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BC89" w14:textId="77777777" w:rsidR="006E06C6" w:rsidRPr="00945AD5" w:rsidRDefault="00D5115F" w:rsidP="00B723BE">
      <w:r w:rsidRPr="00945AD5">
        <w:rPr>
          <w:noProof/>
          <w:lang w:eastAsia="ja-JP"/>
        </w:rPr>
        <w:drawing>
          <wp:inline distT="0" distB="0" distL="0" distR="0" wp14:anchorId="6C55BCA2" wp14:editId="6C55BCA3">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6C55BC8A" w14:textId="77777777" w:rsidR="00B723BE" w:rsidRPr="00945AD5" w:rsidRDefault="00FC1FCE" w:rsidP="00B723BE">
      <w:pPr>
        <w:jc w:val="right"/>
      </w:pPr>
      <w:r w:rsidRPr="00945AD5">
        <w:t>California Department of Education</w:t>
      </w:r>
    </w:p>
    <w:p w14:paraId="6C55BC8B" w14:textId="77777777" w:rsidR="00B723BE" w:rsidRPr="00945AD5" w:rsidRDefault="00FC1FCE" w:rsidP="00B723BE">
      <w:pPr>
        <w:jc w:val="right"/>
      </w:pPr>
      <w:r w:rsidRPr="00945AD5">
        <w:t>Executive Office</w:t>
      </w:r>
    </w:p>
    <w:p w14:paraId="6C55BC8C" w14:textId="77777777" w:rsidR="002B4B14" w:rsidRPr="00945AD5" w:rsidRDefault="00692300" w:rsidP="00B723BE">
      <w:pPr>
        <w:jc w:val="right"/>
      </w:pPr>
      <w:r w:rsidRPr="00945AD5">
        <w:t>SBE-00</w:t>
      </w:r>
      <w:r w:rsidR="000324AD" w:rsidRPr="00945AD5">
        <w:t>3</w:t>
      </w:r>
      <w:r w:rsidRPr="00945AD5">
        <w:t xml:space="preserve"> (REV. 1</w:t>
      </w:r>
      <w:r w:rsidR="00C27D57" w:rsidRPr="00945AD5">
        <w:t>1</w:t>
      </w:r>
      <w:r w:rsidRPr="00945AD5">
        <w:t>/2017</w:t>
      </w:r>
      <w:r w:rsidR="00FC1FCE" w:rsidRPr="00945AD5">
        <w:t>)</w:t>
      </w:r>
    </w:p>
    <w:p w14:paraId="6C55BC8D" w14:textId="5B1A39A8" w:rsidR="00B723BE" w:rsidRPr="00945AD5" w:rsidRDefault="00E45C37" w:rsidP="00B723BE">
      <w:pPr>
        <w:jc w:val="right"/>
      </w:pPr>
      <w:r>
        <w:t>itb</w:t>
      </w:r>
      <w:r w:rsidR="00D145D7" w:rsidRPr="00945AD5">
        <w:t>-amard-</w:t>
      </w:r>
      <w:r>
        <w:t>jan26</w:t>
      </w:r>
      <w:r w:rsidR="00D145D7" w:rsidRPr="00945AD5">
        <w:t>item0</w:t>
      </w:r>
      <w:r>
        <w:t>2</w:t>
      </w:r>
    </w:p>
    <w:p w14:paraId="6C55BC8E" w14:textId="77777777" w:rsidR="00B723BE" w:rsidRPr="00945AD5" w:rsidRDefault="00B723BE" w:rsidP="00FC1FCE">
      <w:pPr>
        <w:pStyle w:val="Heading1"/>
        <w:jc w:val="center"/>
        <w:rPr>
          <w:sz w:val="40"/>
          <w:szCs w:val="40"/>
        </w:rPr>
        <w:sectPr w:rsidR="00B723BE" w:rsidRPr="00945AD5" w:rsidSect="00C82CB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440" w:bottom="1440" w:left="1440" w:header="720" w:footer="720" w:gutter="0"/>
          <w:cols w:num="2" w:space="720"/>
          <w:titlePg/>
          <w:docGrid w:linePitch="360"/>
        </w:sectPr>
      </w:pPr>
    </w:p>
    <w:p w14:paraId="6C55BC8F" w14:textId="77777777" w:rsidR="006E06C6" w:rsidRPr="00945AD5" w:rsidRDefault="006E06C6" w:rsidP="00FC1FCE">
      <w:pPr>
        <w:pStyle w:val="Heading1"/>
        <w:jc w:val="center"/>
        <w:rPr>
          <w:sz w:val="40"/>
          <w:szCs w:val="40"/>
        </w:rPr>
        <w:sectPr w:rsidR="006E06C6" w:rsidRPr="00945AD5" w:rsidSect="0091117B">
          <w:type w:val="continuous"/>
          <w:pgSz w:w="12240" w:h="15840"/>
          <w:pgMar w:top="720" w:right="1440" w:bottom="1440" w:left="1440" w:header="720" w:footer="720" w:gutter="0"/>
          <w:cols w:space="720"/>
          <w:docGrid w:linePitch="360"/>
        </w:sectPr>
      </w:pPr>
    </w:p>
    <w:p w14:paraId="6C55BC90" w14:textId="5C9B9DE7" w:rsidR="00FC1FCE" w:rsidRPr="00945AD5" w:rsidRDefault="0091117B" w:rsidP="005247FC">
      <w:pPr>
        <w:pStyle w:val="Heading1"/>
        <w:spacing w:before="0" w:after="240"/>
        <w:jc w:val="center"/>
        <w:rPr>
          <w:sz w:val="40"/>
          <w:szCs w:val="40"/>
        </w:rPr>
      </w:pPr>
      <w:r w:rsidRPr="00945AD5">
        <w:rPr>
          <w:sz w:val="40"/>
          <w:szCs w:val="40"/>
        </w:rPr>
        <w:t>Californ</w:t>
      </w:r>
      <w:r w:rsidR="00693951" w:rsidRPr="00945AD5">
        <w:rPr>
          <w:sz w:val="40"/>
          <w:szCs w:val="40"/>
        </w:rPr>
        <w:t>ia State Board of Education</w:t>
      </w:r>
      <w:r w:rsidR="00693951" w:rsidRPr="00945AD5">
        <w:rPr>
          <w:sz w:val="40"/>
          <w:szCs w:val="40"/>
        </w:rPr>
        <w:br/>
      </w:r>
      <w:r w:rsidR="002511A1">
        <w:rPr>
          <w:sz w:val="40"/>
          <w:szCs w:val="40"/>
        </w:rPr>
        <w:t>January</w:t>
      </w:r>
      <w:r w:rsidR="00130059" w:rsidRPr="00945AD5">
        <w:rPr>
          <w:sz w:val="40"/>
          <w:szCs w:val="40"/>
        </w:rPr>
        <w:t xml:space="preserve"> </w:t>
      </w:r>
      <w:r w:rsidR="00D145D7" w:rsidRPr="00945AD5">
        <w:rPr>
          <w:sz w:val="40"/>
          <w:szCs w:val="40"/>
        </w:rPr>
        <w:t>20</w:t>
      </w:r>
      <w:r w:rsidR="002511A1">
        <w:rPr>
          <w:sz w:val="40"/>
          <w:szCs w:val="40"/>
        </w:rPr>
        <w:t>26</w:t>
      </w:r>
      <w:r w:rsidRPr="00945AD5">
        <w:rPr>
          <w:sz w:val="40"/>
          <w:szCs w:val="40"/>
        </w:rPr>
        <w:t xml:space="preserve"> </w:t>
      </w:r>
      <w:r w:rsidR="00AB09EB" w:rsidRPr="00945AD5">
        <w:rPr>
          <w:sz w:val="40"/>
          <w:szCs w:val="40"/>
        </w:rPr>
        <w:t>Study Session</w:t>
      </w:r>
      <w:r w:rsidR="00377C5A">
        <w:rPr>
          <w:sz w:val="40"/>
          <w:szCs w:val="40"/>
        </w:rPr>
        <w:br/>
        <w:t>Item #</w:t>
      </w:r>
      <w:r w:rsidR="00771BA1">
        <w:rPr>
          <w:sz w:val="40"/>
          <w:szCs w:val="40"/>
        </w:rPr>
        <w:t>02</w:t>
      </w:r>
    </w:p>
    <w:p w14:paraId="6C55BC91" w14:textId="77777777" w:rsidR="00FC1FCE" w:rsidRPr="00945AD5" w:rsidRDefault="00FC1FCE" w:rsidP="005247FC">
      <w:pPr>
        <w:pStyle w:val="Heading2"/>
        <w:spacing w:before="240" w:after="240"/>
        <w:rPr>
          <w:sz w:val="36"/>
          <w:szCs w:val="36"/>
        </w:rPr>
      </w:pPr>
      <w:r w:rsidRPr="00945AD5">
        <w:rPr>
          <w:sz w:val="36"/>
          <w:szCs w:val="36"/>
        </w:rPr>
        <w:t>Subject</w:t>
      </w:r>
    </w:p>
    <w:p w14:paraId="6C55BC92" w14:textId="06820C09" w:rsidR="00692300" w:rsidRPr="00945AD5" w:rsidRDefault="00560C68" w:rsidP="005247FC">
      <w:pPr>
        <w:spacing w:before="240" w:after="240"/>
      </w:pPr>
      <w:r w:rsidRPr="00945AD5">
        <w:t>Update on the Implementation of the Integrated Local, State, and Federal Accountability and Continuous Improvement System: Study Session on the College/Career Indicator.</w:t>
      </w:r>
    </w:p>
    <w:p w14:paraId="6C55BC93" w14:textId="77777777" w:rsidR="00FC1FCE" w:rsidRPr="00945AD5" w:rsidRDefault="00FC1FCE" w:rsidP="005247FC">
      <w:pPr>
        <w:pStyle w:val="Heading2"/>
        <w:spacing w:before="240" w:after="240"/>
        <w:rPr>
          <w:sz w:val="36"/>
          <w:szCs w:val="36"/>
        </w:rPr>
      </w:pPr>
      <w:r w:rsidRPr="00945AD5">
        <w:rPr>
          <w:sz w:val="36"/>
          <w:szCs w:val="36"/>
        </w:rPr>
        <w:t>Type of Action</w:t>
      </w:r>
    </w:p>
    <w:p w14:paraId="6C55BC94" w14:textId="2868D741" w:rsidR="0091117B" w:rsidRPr="00945AD5" w:rsidRDefault="008909EE" w:rsidP="005247FC">
      <w:pPr>
        <w:spacing w:before="240" w:after="240"/>
      </w:pPr>
      <w:r w:rsidRPr="00945AD5">
        <w:t>Information</w:t>
      </w:r>
    </w:p>
    <w:p w14:paraId="6C55BC95" w14:textId="77777777" w:rsidR="00FC1FCE" w:rsidRPr="00945AD5" w:rsidRDefault="00FC1FCE" w:rsidP="005247FC">
      <w:pPr>
        <w:pStyle w:val="Heading2"/>
        <w:spacing w:before="240" w:after="240"/>
        <w:rPr>
          <w:sz w:val="36"/>
          <w:szCs w:val="36"/>
        </w:rPr>
      </w:pPr>
      <w:r w:rsidRPr="00945AD5">
        <w:rPr>
          <w:sz w:val="36"/>
          <w:szCs w:val="36"/>
        </w:rPr>
        <w:t>Summary of the Issue(s)</w:t>
      </w:r>
    </w:p>
    <w:p w14:paraId="5F223C72" w14:textId="1134BCFA" w:rsidR="0036250B" w:rsidRDefault="0036250B" w:rsidP="005247FC">
      <w:pPr>
        <w:spacing w:before="240" w:after="240"/>
      </w:pPr>
      <w:r>
        <w:t xml:space="preserve">At the July 2025 </w:t>
      </w:r>
      <w:r w:rsidR="00104D13" w:rsidRPr="00945AD5">
        <w:t>State Board of Education (SBE)</w:t>
      </w:r>
      <w:r>
        <w:t xml:space="preserve"> meeting</w:t>
      </w:r>
      <w:r w:rsidR="00D42681">
        <w:t>,</w:t>
      </w:r>
      <w:r>
        <w:t xml:space="preserve"> members requested a </w:t>
      </w:r>
      <w:r w:rsidR="00293EFF">
        <w:t>S</w:t>
      </w:r>
      <w:r>
        <w:t xml:space="preserve">tudy </w:t>
      </w:r>
      <w:r w:rsidR="00293EFF">
        <w:t>S</w:t>
      </w:r>
      <w:r>
        <w:t>ession on the College/Career Indicator (CCI)</w:t>
      </w:r>
      <w:r w:rsidR="00293EFF">
        <w:t>. The Study Session is intended</w:t>
      </w:r>
      <w:r>
        <w:t xml:space="preserve"> to assist</w:t>
      </w:r>
      <w:r w:rsidR="00293EFF">
        <w:t xml:space="preserve"> the</w:t>
      </w:r>
      <w:r>
        <w:t xml:space="preserve"> SBE with making decisions around upcoming proposed changes to the CCI in the 2026 </w:t>
      </w:r>
      <w:r w:rsidR="00293EFF">
        <w:t>Accountability W</w:t>
      </w:r>
      <w:r>
        <w:t>orkplan and discuss the indicator and its overall measures.</w:t>
      </w:r>
    </w:p>
    <w:p w14:paraId="1AC7F5F3" w14:textId="3736B925" w:rsidR="004235AD" w:rsidRDefault="00293EFF" w:rsidP="005247FC">
      <w:pPr>
        <w:spacing w:before="240" w:after="240"/>
      </w:pPr>
      <w:r>
        <w:t xml:space="preserve">This Study Session builds on information that was previously shared at the </w:t>
      </w:r>
      <w:r w:rsidR="0036250B">
        <w:t>May 2019</w:t>
      </w:r>
      <w:r>
        <w:t xml:space="preserve"> SBE S</w:t>
      </w:r>
      <w:r w:rsidR="00D02B83">
        <w:t xml:space="preserve">tudy </w:t>
      </w:r>
      <w:r>
        <w:t>S</w:t>
      </w:r>
      <w:r w:rsidR="00D02B83">
        <w:t xml:space="preserve">ession on the </w:t>
      </w:r>
      <w:r w:rsidR="00AB09EB" w:rsidRPr="00945AD5">
        <w:t>CCI</w:t>
      </w:r>
      <w:r w:rsidR="00451396">
        <w:t xml:space="preserve"> (</w:t>
      </w:r>
      <w:hyperlink r:id="rId18" w:tooltip="May 2019 SBE Study Session on the CCI">
        <w:r w:rsidR="00B92B45" w:rsidRPr="13111A47">
          <w:rPr>
            <w:rStyle w:val="Hyperlink"/>
          </w:rPr>
          <w:t>https://www.cde.ca.gov/be/ag/ag/yr19/documents/may19item01studysession.docx</w:t>
        </w:r>
      </w:hyperlink>
      <w:r w:rsidR="00B92B45">
        <w:t>)</w:t>
      </w:r>
      <w:r w:rsidR="00E854D7" w:rsidRPr="00945AD5">
        <w:t>.</w:t>
      </w:r>
      <w:r w:rsidR="00CA79D6">
        <w:t xml:space="preserve"> </w:t>
      </w:r>
      <w:r w:rsidR="00132F6C" w:rsidRPr="00945AD5">
        <w:t xml:space="preserve">The </w:t>
      </w:r>
      <w:r w:rsidR="00CA79D6">
        <w:t>2019 S</w:t>
      </w:r>
      <w:r w:rsidR="00132F6C" w:rsidRPr="00945AD5">
        <w:t xml:space="preserve">tudy </w:t>
      </w:r>
      <w:r w:rsidR="00CA79D6">
        <w:t>S</w:t>
      </w:r>
      <w:r w:rsidR="00132F6C" w:rsidRPr="00945AD5">
        <w:t>ession include</w:t>
      </w:r>
      <w:r w:rsidR="00F03C85">
        <w:t>d</w:t>
      </w:r>
      <w:r w:rsidR="00132F6C" w:rsidRPr="00945AD5">
        <w:t xml:space="preserve">: (1) a presentation by the California Department of Education (CDE) staff on the </w:t>
      </w:r>
      <w:r w:rsidR="007F6C81" w:rsidRPr="00945AD5">
        <w:t>history</w:t>
      </w:r>
      <w:r w:rsidR="00132F6C" w:rsidRPr="00945AD5">
        <w:t xml:space="preserve"> and </w:t>
      </w:r>
      <w:r w:rsidR="007F6C81" w:rsidRPr="00945AD5">
        <w:t xml:space="preserve">construction </w:t>
      </w:r>
      <w:r w:rsidR="00132F6C" w:rsidRPr="00945AD5">
        <w:t xml:space="preserve">of the CCI; (2) </w:t>
      </w:r>
      <w:r w:rsidR="005247FC" w:rsidRPr="00945AD5">
        <w:t>guest speaker presentations</w:t>
      </w:r>
      <w:r w:rsidR="00132F6C" w:rsidRPr="00945AD5">
        <w:t xml:space="preserve">; and (3) </w:t>
      </w:r>
      <w:r w:rsidR="007F6C81" w:rsidRPr="00945AD5">
        <w:t xml:space="preserve">time </w:t>
      </w:r>
      <w:r w:rsidR="00B4728B" w:rsidRPr="00945AD5">
        <w:t xml:space="preserve">for SBE members to </w:t>
      </w:r>
      <w:r w:rsidR="00DA3C66" w:rsidRPr="00945AD5">
        <w:t xml:space="preserve">have a conversation </w:t>
      </w:r>
      <w:r w:rsidR="007F6C81" w:rsidRPr="00945AD5">
        <w:t>regarding</w:t>
      </w:r>
      <w:r w:rsidR="00DA3C66" w:rsidRPr="00945AD5">
        <w:t xml:space="preserve"> </w:t>
      </w:r>
      <w:r w:rsidR="00E854D7" w:rsidRPr="00945AD5">
        <w:t xml:space="preserve">the intended </w:t>
      </w:r>
      <w:r w:rsidR="008F55EF" w:rsidRPr="00945AD5">
        <w:t>purpose of the indicator</w:t>
      </w:r>
      <w:r w:rsidR="00B4728B" w:rsidRPr="00945AD5">
        <w:t xml:space="preserve"> </w:t>
      </w:r>
      <w:r w:rsidR="00815275" w:rsidRPr="00945AD5">
        <w:t xml:space="preserve">in California’s accountability system. </w:t>
      </w:r>
    </w:p>
    <w:p w14:paraId="58EB7B66" w14:textId="6EF5BDBD" w:rsidR="007F6C81" w:rsidRPr="00945AD5" w:rsidRDefault="00067F77" w:rsidP="005247FC">
      <w:pPr>
        <w:spacing w:before="240" w:after="240"/>
      </w:pPr>
      <w:r>
        <w:t>During t</w:t>
      </w:r>
      <w:r w:rsidR="003A016F">
        <w:t>h</w:t>
      </w:r>
      <w:r>
        <w:t>e</w:t>
      </w:r>
      <w:r w:rsidR="003A016F">
        <w:t xml:space="preserve"> </w:t>
      </w:r>
      <w:r w:rsidR="003F2327">
        <w:t>2026</w:t>
      </w:r>
      <w:r w:rsidR="003A016F">
        <w:t xml:space="preserve"> Study Session</w:t>
      </w:r>
      <w:r w:rsidR="00D42681">
        <w:t>,</w:t>
      </w:r>
      <w:r w:rsidR="003A016F">
        <w:t xml:space="preserve"> </w:t>
      </w:r>
      <w:r>
        <w:t xml:space="preserve">the California Department of Education (CDE) </w:t>
      </w:r>
      <w:r w:rsidR="559B9633">
        <w:t xml:space="preserve">will </w:t>
      </w:r>
      <w:r w:rsidR="7AD762C6">
        <w:t>provide</w:t>
      </w:r>
      <w:r w:rsidR="003A016F">
        <w:t xml:space="preserve"> </w:t>
      </w:r>
      <w:r w:rsidR="00A735E5" w:rsidRPr="00945AD5">
        <w:t xml:space="preserve">an overview of </w:t>
      </w:r>
      <w:r w:rsidR="00303843">
        <w:t xml:space="preserve">each of the </w:t>
      </w:r>
      <w:r w:rsidR="00321BBF">
        <w:t xml:space="preserve">SBE adopted </w:t>
      </w:r>
      <w:r w:rsidR="00303843">
        <w:t xml:space="preserve">measures included in the CCI, along with a detailed </w:t>
      </w:r>
      <w:r w:rsidR="001045A8">
        <w:t xml:space="preserve">walkthrough of how schools and LEAs demonstrate that they have prepared students for college/career. The presentation will revisit the historical </w:t>
      </w:r>
      <w:r w:rsidR="00B4728B" w:rsidRPr="00945AD5">
        <w:t>context and development process of this indicator</w:t>
      </w:r>
      <w:r w:rsidR="00C23696">
        <w:t xml:space="preserve"> (See the </w:t>
      </w:r>
      <w:r w:rsidR="00815275" w:rsidRPr="00945AD5">
        <w:t xml:space="preserve">April </w:t>
      </w:r>
      <w:r w:rsidR="00A735E5" w:rsidRPr="00945AD5">
        <w:t xml:space="preserve">2019 </w:t>
      </w:r>
      <w:r w:rsidR="007B09B6">
        <w:t xml:space="preserve">SBE </w:t>
      </w:r>
      <w:r w:rsidR="00A735E5" w:rsidRPr="00945AD5">
        <w:t xml:space="preserve">Information </w:t>
      </w:r>
      <w:r w:rsidR="00815275" w:rsidRPr="00945AD5">
        <w:t>Memorandum</w:t>
      </w:r>
      <w:r w:rsidR="007B09B6">
        <w:t xml:space="preserve"> for additional information </w:t>
      </w:r>
      <w:hyperlink r:id="rId19" w:tooltip="April 2019 SBE Information Memorandum">
        <w:r w:rsidR="00E5365C" w:rsidRPr="13111A47">
          <w:rPr>
            <w:rStyle w:val="Hyperlink"/>
          </w:rPr>
          <w:t>https://www.cde.ca.gov/be/pn/im/documents/memo-pptb-amard-apr19item01.docx</w:t>
        </w:r>
      </w:hyperlink>
      <w:r w:rsidR="00815275">
        <w:t>)</w:t>
      </w:r>
      <w:r w:rsidR="007D0915">
        <w:t xml:space="preserve">. </w:t>
      </w:r>
      <w:r w:rsidR="0093688A">
        <w:t>The CDE</w:t>
      </w:r>
      <w:r w:rsidR="00BE0DF0">
        <w:t xml:space="preserve"> staff will conclude their presentation with a walkthrough of </w:t>
      </w:r>
      <w:r w:rsidR="00E5677B">
        <w:t xml:space="preserve">data available for the proposed career measures, as well as outline the additional requests made by SBE at the July 2025 meeting. </w:t>
      </w:r>
    </w:p>
    <w:p w14:paraId="30E44722" w14:textId="033AC0D4" w:rsidR="00CD7B7D" w:rsidRDefault="00067F77" w:rsidP="005247FC">
      <w:pPr>
        <w:spacing w:before="240" w:after="240"/>
        <w:rPr>
          <w:rFonts w:cs="Arial"/>
        </w:rPr>
      </w:pPr>
      <w:r>
        <w:rPr>
          <w:rFonts w:cs="Arial"/>
        </w:rPr>
        <w:lastRenderedPageBreak/>
        <w:t xml:space="preserve">Additionally, </w:t>
      </w:r>
      <w:r w:rsidR="001A6724">
        <w:rPr>
          <w:rFonts w:cs="Arial"/>
        </w:rPr>
        <w:t xml:space="preserve">representatives from the </w:t>
      </w:r>
      <w:r w:rsidR="00C66C45">
        <w:rPr>
          <w:rFonts w:cs="Arial"/>
        </w:rPr>
        <w:t xml:space="preserve">American Institutes </w:t>
      </w:r>
      <w:r w:rsidR="00B8535F">
        <w:rPr>
          <w:rFonts w:cs="Arial"/>
        </w:rPr>
        <w:t>for</w:t>
      </w:r>
      <w:r w:rsidR="00C66C45">
        <w:rPr>
          <w:rFonts w:cs="Arial"/>
        </w:rPr>
        <w:t xml:space="preserve"> Research (AIR) will share </w:t>
      </w:r>
      <w:r w:rsidR="006F5514" w:rsidRPr="006F5514">
        <w:rPr>
          <w:rFonts w:cs="Arial"/>
        </w:rPr>
        <w:t xml:space="preserve">an overview of how other states structure </w:t>
      </w:r>
      <w:r w:rsidR="003B7E9D">
        <w:rPr>
          <w:rFonts w:cs="Arial"/>
        </w:rPr>
        <w:t xml:space="preserve">their </w:t>
      </w:r>
      <w:r w:rsidR="006F5514" w:rsidRPr="006F5514">
        <w:rPr>
          <w:rFonts w:cs="Arial"/>
        </w:rPr>
        <w:t>college/career indicator</w:t>
      </w:r>
      <w:r w:rsidR="00D42681">
        <w:rPr>
          <w:rFonts w:cs="Arial"/>
        </w:rPr>
        <w:t>.</w:t>
      </w:r>
    </w:p>
    <w:p w14:paraId="116ED219" w14:textId="3C0A1604" w:rsidR="007F6C81" w:rsidRDefault="00321BBF" w:rsidP="005247FC">
      <w:pPr>
        <w:spacing w:before="240" w:after="240"/>
      </w:pPr>
      <w:r>
        <w:rPr>
          <w:rFonts w:cs="Arial"/>
        </w:rPr>
        <w:t>Finally</w:t>
      </w:r>
      <w:r w:rsidR="007D0915" w:rsidRPr="00945AD5">
        <w:rPr>
          <w:rFonts w:cs="Arial"/>
        </w:rPr>
        <w:t>,</w:t>
      </w:r>
      <w:r>
        <w:rPr>
          <w:rFonts w:cs="Arial"/>
        </w:rPr>
        <w:t xml:space="preserve"> </w:t>
      </w:r>
      <w:r w:rsidR="00A735E5" w:rsidRPr="00945AD5">
        <w:rPr>
          <w:rFonts w:cs="Arial"/>
        </w:rPr>
        <w:t xml:space="preserve">the </w:t>
      </w:r>
      <w:r w:rsidR="00067F77">
        <w:rPr>
          <w:rFonts w:cs="Arial"/>
        </w:rPr>
        <w:t>S</w:t>
      </w:r>
      <w:r w:rsidR="00A735E5" w:rsidRPr="00945AD5">
        <w:rPr>
          <w:rFonts w:cs="Arial"/>
        </w:rPr>
        <w:t xml:space="preserve">tudy </w:t>
      </w:r>
      <w:r w:rsidR="00067F77">
        <w:rPr>
          <w:rFonts w:cs="Arial"/>
        </w:rPr>
        <w:t>S</w:t>
      </w:r>
      <w:r w:rsidR="00A735E5" w:rsidRPr="00945AD5">
        <w:rPr>
          <w:rFonts w:cs="Arial"/>
        </w:rPr>
        <w:t xml:space="preserve">ession </w:t>
      </w:r>
      <w:r w:rsidR="00E658A8">
        <w:rPr>
          <w:rFonts w:cs="Arial"/>
        </w:rPr>
        <w:t>is intended to</w:t>
      </w:r>
      <w:r w:rsidR="00A735E5" w:rsidRPr="00945AD5">
        <w:rPr>
          <w:rFonts w:cs="Arial"/>
        </w:rPr>
        <w:t xml:space="preserve"> provide </w:t>
      </w:r>
      <w:r w:rsidR="00DA3C66" w:rsidRPr="00945AD5">
        <w:rPr>
          <w:rFonts w:cs="Arial"/>
        </w:rPr>
        <w:t xml:space="preserve">SBE </w:t>
      </w:r>
      <w:proofErr w:type="gramStart"/>
      <w:r w:rsidR="00DA3C66" w:rsidRPr="00945AD5">
        <w:rPr>
          <w:rFonts w:cs="Arial"/>
        </w:rPr>
        <w:t>members</w:t>
      </w:r>
      <w:proofErr w:type="gramEnd"/>
      <w:r w:rsidR="00DA3C66" w:rsidRPr="00945AD5">
        <w:rPr>
          <w:rFonts w:cs="Arial"/>
        </w:rPr>
        <w:t xml:space="preserve"> </w:t>
      </w:r>
      <w:r w:rsidR="00A735E5" w:rsidRPr="00945AD5">
        <w:rPr>
          <w:rFonts w:cs="Arial"/>
        </w:rPr>
        <w:t xml:space="preserve">an opportunity to have a conversation on </w:t>
      </w:r>
      <w:r w:rsidR="00B4728B" w:rsidRPr="00945AD5">
        <w:rPr>
          <w:rFonts w:cs="Arial"/>
        </w:rPr>
        <w:t xml:space="preserve">the </w:t>
      </w:r>
      <w:r w:rsidR="00B4728B" w:rsidRPr="00945AD5">
        <w:t>de</w:t>
      </w:r>
      <w:r w:rsidR="00243C60" w:rsidRPr="00945AD5">
        <w:t xml:space="preserve">sired </w:t>
      </w:r>
      <w:r w:rsidR="00F339AC">
        <w:t xml:space="preserve">measures </w:t>
      </w:r>
      <w:r w:rsidR="00A735E5" w:rsidRPr="00945AD5">
        <w:t>for</w:t>
      </w:r>
      <w:r w:rsidR="00243C60" w:rsidRPr="00945AD5">
        <w:t xml:space="preserve"> this indicator</w:t>
      </w:r>
      <w:r w:rsidR="00F339AC">
        <w:t xml:space="preserve"> and </w:t>
      </w:r>
      <w:r w:rsidR="00CD7B7D">
        <w:t xml:space="preserve">request additional information to be included in the upcoming </w:t>
      </w:r>
      <w:r w:rsidR="00067F77">
        <w:t>a</w:t>
      </w:r>
      <w:r w:rsidR="00CD7B7D">
        <w:t>ccountability items</w:t>
      </w:r>
      <w:r w:rsidR="007F6C81" w:rsidRPr="00945AD5">
        <w:t>.</w:t>
      </w:r>
    </w:p>
    <w:p w14:paraId="1FB4876A" w14:textId="52BE6BA2" w:rsidR="00240B8A" w:rsidRDefault="00240B8A" w:rsidP="00240B8A">
      <w:pPr>
        <w:spacing w:before="240" w:after="240"/>
      </w:pPr>
      <w:r>
        <w:t>Attachment 1 provide</w:t>
      </w:r>
      <w:r w:rsidR="00A139A7">
        <w:t xml:space="preserve">s a </w:t>
      </w:r>
      <w:r w:rsidR="00B06555">
        <w:t xml:space="preserve">historical </w:t>
      </w:r>
      <w:r w:rsidR="00A139A7">
        <w:t>review of prior action by the SBE related to the</w:t>
      </w:r>
      <w:r>
        <w:t xml:space="preserve"> College/Career Indicator measures</w:t>
      </w:r>
      <w:r w:rsidR="00A139A7">
        <w:t>.</w:t>
      </w:r>
      <w:r>
        <w:t xml:space="preserve"> </w:t>
      </w:r>
    </w:p>
    <w:p w14:paraId="2430E6C0" w14:textId="5B65CD0D" w:rsidR="00A139A7" w:rsidRPr="003A776B" w:rsidRDefault="00240B8A" w:rsidP="00A139A7">
      <w:pPr>
        <w:spacing w:before="100" w:beforeAutospacing="1" w:after="240"/>
        <w:rPr>
          <w:rFonts w:cs="Arial"/>
        </w:rPr>
      </w:pPr>
      <w:r>
        <w:t xml:space="preserve">Attachment 2 </w:t>
      </w:r>
      <w:r w:rsidR="00A139A7" w:rsidRPr="003A776B">
        <w:rPr>
          <w:rFonts w:cs="Arial"/>
        </w:rPr>
        <w:t>features a comprehensive list of the resources available as of the publication of the 2025 Dashboard</w:t>
      </w:r>
      <w:r w:rsidR="00B06555">
        <w:rPr>
          <w:rFonts w:cs="Arial"/>
        </w:rPr>
        <w:t xml:space="preserve"> to</w:t>
      </w:r>
      <w:r w:rsidR="00A139A7">
        <w:rPr>
          <w:rFonts w:cs="Arial"/>
        </w:rPr>
        <w:t xml:space="preserve"> support the use and understanding of the CCI</w:t>
      </w:r>
      <w:r w:rsidR="00A139A7" w:rsidRPr="003A776B">
        <w:rPr>
          <w:rFonts w:cs="Arial"/>
        </w:rPr>
        <w:t xml:space="preserve">. </w:t>
      </w:r>
    </w:p>
    <w:p w14:paraId="666384A2" w14:textId="6B7848C8" w:rsidR="00240B8A" w:rsidRPr="005247FC" w:rsidRDefault="00240B8A" w:rsidP="00240B8A">
      <w:pPr>
        <w:spacing w:before="240" w:after="240"/>
      </w:pPr>
      <w:r>
        <w:t>Attachment 3 provides</w:t>
      </w:r>
      <w:r w:rsidR="002C5A60">
        <w:t xml:space="preserve"> an overview of the</w:t>
      </w:r>
      <w:r>
        <w:t xml:space="preserve"> 2025 Dashboard </w:t>
      </w:r>
      <w:r w:rsidR="00882E65">
        <w:t>o</w:t>
      </w:r>
      <w:r>
        <w:t>utcomes on the College/Career Indicator</w:t>
      </w:r>
      <w:r w:rsidR="00882E65">
        <w:t>.</w:t>
      </w:r>
    </w:p>
    <w:p w14:paraId="6C55BC97" w14:textId="77777777" w:rsidR="003E4DF7" w:rsidRPr="00945AD5" w:rsidRDefault="003E4DF7" w:rsidP="005247FC">
      <w:pPr>
        <w:pStyle w:val="Heading2"/>
        <w:spacing w:before="240" w:after="240"/>
        <w:rPr>
          <w:sz w:val="36"/>
          <w:szCs w:val="36"/>
        </w:rPr>
      </w:pPr>
      <w:r w:rsidRPr="00945AD5">
        <w:rPr>
          <w:sz w:val="36"/>
          <w:szCs w:val="36"/>
        </w:rPr>
        <w:t>Recommendation</w:t>
      </w:r>
    </w:p>
    <w:p w14:paraId="6C55BC98" w14:textId="770DB3BE" w:rsidR="003E4DF7" w:rsidRPr="00945AD5" w:rsidRDefault="00132F6C" w:rsidP="005247FC">
      <w:pPr>
        <w:spacing w:before="240" w:after="240"/>
      </w:pPr>
      <w:r w:rsidRPr="00945AD5">
        <w:rPr>
          <w:rFonts w:cs="Arial"/>
        </w:rPr>
        <w:t xml:space="preserve">No specific action is recommended </w:t>
      </w:r>
      <w:proofErr w:type="gramStart"/>
      <w:r w:rsidRPr="00945AD5">
        <w:rPr>
          <w:rFonts w:cs="Arial"/>
        </w:rPr>
        <w:t>at this time</w:t>
      </w:r>
      <w:proofErr w:type="gramEnd"/>
      <w:r w:rsidRPr="00945AD5">
        <w:rPr>
          <w:rFonts w:cs="Arial"/>
        </w:rPr>
        <w:t>.</w:t>
      </w:r>
    </w:p>
    <w:p w14:paraId="6C55BC9C" w14:textId="77777777" w:rsidR="003E4DF7" w:rsidRPr="00945AD5" w:rsidRDefault="003E4DF7" w:rsidP="005247FC">
      <w:pPr>
        <w:pStyle w:val="Heading2"/>
        <w:spacing w:before="240" w:after="240"/>
        <w:rPr>
          <w:sz w:val="36"/>
          <w:szCs w:val="36"/>
        </w:rPr>
      </w:pPr>
      <w:r w:rsidRPr="00945AD5">
        <w:rPr>
          <w:sz w:val="36"/>
          <w:szCs w:val="36"/>
        </w:rPr>
        <w:t>Summary of Previous State Board of Education Discussion and Action</w:t>
      </w:r>
    </w:p>
    <w:p w14:paraId="6934AD74" w14:textId="77777777" w:rsidR="00A01081" w:rsidRPr="00385428" w:rsidRDefault="00A01081" w:rsidP="00A01081">
      <w:pPr>
        <w:spacing w:before="240" w:after="240"/>
        <w:rPr>
          <w:rFonts w:cs="Arial"/>
        </w:rPr>
      </w:pPr>
      <w:r w:rsidRPr="00385428">
        <w:rPr>
          <w:rFonts w:eastAsia="Arial" w:cs="Arial"/>
        </w:rPr>
        <w:t>In July 2016, the SBE reviewed and approved the College/Career Indicator (CCI) as a state indicator (</w:t>
      </w:r>
      <w:hyperlink r:id="rId20" w:tooltip="College/Career Indicator (CCI)">
        <w:r w:rsidRPr="00385428">
          <w:rPr>
            <w:rStyle w:val="Hyperlink"/>
            <w:rFonts w:eastAsia="Arial" w:cs="Arial"/>
          </w:rPr>
          <w:t>https://www.cde.ca.gov/be/mt/ms/documents/finalminutes1314jul2016.doc</w:t>
        </w:r>
      </w:hyperlink>
      <w:r w:rsidRPr="00385428">
        <w:rPr>
          <w:rFonts w:eastAsia="Arial" w:cs="Arial"/>
        </w:rPr>
        <w:t>).</w:t>
      </w:r>
    </w:p>
    <w:p w14:paraId="24EF22B2" w14:textId="77777777" w:rsidR="00A01081" w:rsidRPr="00385428" w:rsidRDefault="00A01081" w:rsidP="00A01081">
      <w:pPr>
        <w:spacing w:before="240"/>
        <w:rPr>
          <w:rFonts w:cs="Arial"/>
        </w:rPr>
      </w:pPr>
      <w:r w:rsidRPr="00385428">
        <w:rPr>
          <w:rFonts w:eastAsia="Arial" w:cs="Arial"/>
        </w:rPr>
        <w:t xml:space="preserve">In September 2016, the SBE reviewed and approved Status performance levels for the CCI based on the 2013–14 cohort data file and approved the re-evaluation of the performance levels in September 2017 once the first year of results of Smarter Balanced assessment were included in the CCI. The SBE also directed the removal of the </w:t>
      </w:r>
      <w:r w:rsidRPr="00385428">
        <w:rPr>
          <w:rFonts w:eastAsia="Arial" w:cs="Arial"/>
          <w:color w:val="000000" w:themeColor="text1"/>
        </w:rPr>
        <w:t>“Well Prepared” category until additional data on career readiness becomes available</w:t>
      </w:r>
    </w:p>
    <w:p w14:paraId="0512BB31" w14:textId="77777777" w:rsidR="00A01081" w:rsidRPr="00385428" w:rsidRDefault="00A01081" w:rsidP="00A01081">
      <w:pPr>
        <w:spacing w:after="240"/>
        <w:rPr>
          <w:rFonts w:cs="Arial"/>
        </w:rPr>
      </w:pPr>
      <w:r w:rsidRPr="00385428">
        <w:rPr>
          <w:rFonts w:eastAsia="Arial" w:cs="Arial"/>
        </w:rPr>
        <w:t>(</w:t>
      </w:r>
      <w:hyperlink r:id="rId21" w:tooltip="SBE September 2016">
        <w:r w:rsidRPr="00385428">
          <w:rPr>
            <w:rStyle w:val="Hyperlink"/>
            <w:rFonts w:eastAsia="Arial" w:cs="Arial"/>
          </w:rPr>
          <w:t>https://www.cde.ca.gov/be/ag/ag/yr16/documents/sep16item01.doc</w:t>
        </w:r>
      </w:hyperlink>
      <w:r w:rsidRPr="00385428">
        <w:rPr>
          <w:rFonts w:eastAsia="Arial" w:cs="Arial"/>
        </w:rPr>
        <w:t>).</w:t>
      </w:r>
    </w:p>
    <w:p w14:paraId="3AA406F1" w14:textId="77777777" w:rsidR="00A01081" w:rsidRPr="00385428" w:rsidRDefault="00A01081" w:rsidP="00A01081">
      <w:pPr>
        <w:spacing w:before="240" w:after="240"/>
        <w:rPr>
          <w:rFonts w:cs="Arial"/>
        </w:rPr>
      </w:pPr>
      <w:r w:rsidRPr="00385428">
        <w:rPr>
          <w:rFonts w:eastAsia="Arial" w:cs="Arial"/>
        </w:rPr>
        <w:t>In September 2017, the SBE reviewed a three-year implementation plan for the CCI. In addition, the SBE reviewed a clarification to one of the CCI criterion in the “Approaching Prepared” level within the CCI and the recommended revised Status cut scores based on the Class of 2016. The SBE approved the revised cut scores for Status. The SBE also reviewed the three-year plan timeline for fully building out this indicator to include additional career and college measures (</w:t>
      </w:r>
      <w:hyperlink r:id="rId22" w:tooltip="SBE September 2017 reviewed a three-year implementation plan for the CCI">
        <w:r w:rsidRPr="00385428">
          <w:rPr>
            <w:rStyle w:val="Hyperlink"/>
            <w:rFonts w:eastAsia="Arial" w:cs="Arial"/>
          </w:rPr>
          <w:t>https://www.cde.ca.gov/be/ag/ag/yr17/documents/sep17item02.doc</w:t>
        </w:r>
      </w:hyperlink>
      <w:r w:rsidRPr="00385428">
        <w:rPr>
          <w:rFonts w:eastAsia="Arial" w:cs="Arial"/>
        </w:rPr>
        <w:t>).</w:t>
      </w:r>
    </w:p>
    <w:p w14:paraId="41AB119C" w14:textId="77777777" w:rsidR="00A01081" w:rsidRPr="00385428" w:rsidRDefault="00A01081" w:rsidP="00A01081">
      <w:pPr>
        <w:spacing w:before="240" w:after="240"/>
        <w:rPr>
          <w:rFonts w:cs="Arial"/>
        </w:rPr>
      </w:pPr>
      <w:r w:rsidRPr="00385428">
        <w:rPr>
          <w:rFonts w:eastAsia="Arial" w:cs="Arial"/>
        </w:rPr>
        <w:t xml:space="preserve">In February 2018, the SBE received an Information Memorandum that provided an update on the status of the three-year CCI timeline and the development of new career </w:t>
      </w:r>
      <w:r w:rsidRPr="00385428">
        <w:rPr>
          <w:rFonts w:eastAsia="Arial" w:cs="Arial"/>
        </w:rPr>
        <w:lastRenderedPageBreak/>
        <w:t>measures, including Leadership/Military Science (</w:t>
      </w:r>
      <w:hyperlink r:id="rId23" w:tooltip="SBE February 2018 Information Memorandum">
        <w:r w:rsidRPr="00385428">
          <w:rPr>
            <w:rStyle w:val="Hyperlink"/>
            <w:rFonts w:eastAsia="Arial" w:cs="Arial"/>
          </w:rPr>
          <w:t>https://www.cde.ca.gov/be/pn/im/documents/memo-pptb-amard-feb18item02.docx</w:t>
        </w:r>
      </w:hyperlink>
      <w:r w:rsidRPr="00385428">
        <w:rPr>
          <w:rFonts w:eastAsia="Arial" w:cs="Arial"/>
        </w:rPr>
        <w:t>).</w:t>
      </w:r>
    </w:p>
    <w:p w14:paraId="5ACF6124" w14:textId="77777777" w:rsidR="00A01081" w:rsidRPr="00385428" w:rsidRDefault="00A01081" w:rsidP="00A01081">
      <w:pPr>
        <w:spacing w:before="240" w:after="240"/>
        <w:rPr>
          <w:rFonts w:cs="Arial"/>
        </w:rPr>
      </w:pPr>
      <w:r w:rsidRPr="00385428">
        <w:rPr>
          <w:rFonts w:eastAsia="Arial" w:cs="Arial"/>
        </w:rPr>
        <w:t>In March 2018, the SBE was informed of the revisions made to the Fall 2017 Dashboard, including items that were being prepared for the 2018 Dashboard release, such as the potential use of the following three CCI measures: State Seal of Biliteracy, Golden State Seal Merit Diploma, and Articulated Career Technical Education Courses (</w:t>
      </w:r>
      <w:hyperlink r:id="rId24" w:tooltip="In March 2018 SBE was informed of the revisions made to the Fall 2017 Dashboard">
        <w:r w:rsidRPr="00385428">
          <w:rPr>
            <w:rStyle w:val="Hyperlink"/>
            <w:rFonts w:eastAsia="Arial" w:cs="Arial"/>
          </w:rPr>
          <w:t>https://www.cde.ca.gov/be/ag/ag/yr18/documents/mar18item01.docx</w:t>
        </w:r>
      </w:hyperlink>
      <w:r w:rsidRPr="00385428">
        <w:rPr>
          <w:rFonts w:eastAsia="Arial" w:cs="Arial"/>
        </w:rPr>
        <w:t>).</w:t>
      </w:r>
    </w:p>
    <w:p w14:paraId="60CE8941" w14:textId="77777777" w:rsidR="00A01081" w:rsidRPr="00385428" w:rsidRDefault="00A01081" w:rsidP="00A01081">
      <w:pPr>
        <w:spacing w:before="240" w:after="240"/>
        <w:rPr>
          <w:rFonts w:cs="Arial"/>
        </w:rPr>
      </w:pPr>
      <w:r w:rsidRPr="00385428">
        <w:rPr>
          <w:rFonts w:eastAsia="Arial" w:cs="Arial"/>
        </w:rPr>
        <w:t>In April 2018, the SBE received an Information Memorandum that provided an overview of the research conducted in the development of the CCI and the rigorous vetting criteria and processes that were applied to select CCI measures (</w:t>
      </w:r>
      <w:hyperlink r:id="rId25" w:tooltip="SBE April 2018 Information Memorandum">
        <w:r w:rsidRPr="00385428">
          <w:rPr>
            <w:rStyle w:val="Hyperlink"/>
            <w:rFonts w:eastAsia="Arial" w:cs="Arial"/>
          </w:rPr>
          <w:t>https://www.cde.ca.gov/be/pn/im/documents/memo-pptb-amard-apr18item02.docx</w:t>
        </w:r>
      </w:hyperlink>
      <w:r w:rsidRPr="00385428">
        <w:rPr>
          <w:rFonts w:eastAsia="Arial" w:cs="Arial"/>
        </w:rPr>
        <w:t>).</w:t>
      </w:r>
    </w:p>
    <w:p w14:paraId="6E746105" w14:textId="77777777" w:rsidR="00A01081" w:rsidRPr="00385428" w:rsidRDefault="00A01081" w:rsidP="00A01081">
      <w:pPr>
        <w:spacing w:before="240" w:after="240"/>
        <w:rPr>
          <w:rFonts w:cs="Arial"/>
        </w:rPr>
      </w:pPr>
      <w:r w:rsidRPr="00385428">
        <w:rPr>
          <w:rFonts w:eastAsia="Arial" w:cs="Arial"/>
        </w:rPr>
        <w:t>In May 2018, the SBE held a Study Session on the CCI and received an overview of the indicator and presentation from an LEA on their local use of the CCI (</w:t>
      </w:r>
      <w:hyperlink r:id="rId26" w:tooltip="In May 2018 the SBE held a Study Session on the CCI">
        <w:r w:rsidRPr="00385428">
          <w:rPr>
            <w:rStyle w:val="Hyperlink"/>
            <w:rFonts w:eastAsia="Arial" w:cs="Arial"/>
          </w:rPr>
          <w:t>https://www.cde.ca.gov/be/ag/ag/yr18/documents/may18item02slides.pdf</w:t>
        </w:r>
      </w:hyperlink>
      <w:r w:rsidRPr="00385428">
        <w:rPr>
          <w:rFonts w:eastAsia="Arial" w:cs="Arial"/>
        </w:rPr>
        <w:t>).</w:t>
      </w:r>
    </w:p>
    <w:p w14:paraId="01BAF7ED" w14:textId="77777777" w:rsidR="00A01081" w:rsidRPr="00385428" w:rsidRDefault="00A01081" w:rsidP="00A01081">
      <w:pPr>
        <w:spacing w:before="240" w:after="240"/>
        <w:rPr>
          <w:rFonts w:cs="Arial"/>
        </w:rPr>
      </w:pPr>
      <w:r w:rsidRPr="00385428">
        <w:rPr>
          <w:rFonts w:eastAsia="Arial" w:cs="Arial"/>
        </w:rPr>
        <w:t>In August 2018, the SBE received an Information Memorandum on the additional measures proposed for the CCI for the 2019 Dashboard (</w:t>
      </w:r>
      <w:hyperlink r:id="rId27" w:tooltip="August 2018 Information Memorandum on the additional measures proposed for the CCI for the 2019 Dashboard">
        <w:r w:rsidRPr="00385428">
          <w:rPr>
            <w:rStyle w:val="Hyperlink"/>
            <w:rFonts w:eastAsia="Arial" w:cs="Arial"/>
          </w:rPr>
          <w:t>https://www.cde.ca.gov/be/pn/im/documents/memo-pptb-amard-aug18item02.docx</w:t>
        </w:r>
      </w:hyperlink>
      <w:r w:rsidRPr="00385428">
        <w:rPr>
          <w:rFonts w:eastAsia="Arial" w:cs="Arial"/>
        </w:rPr>
        <w:t>).</w:t>
      </w:r>
    </w:p>
    <w:p w14:paraId="7CC6035B" w14:textId="77777777" w:rsidR="00A01081" w:rsidRPr="00385428" w:rsidRDefault="00A01081" w:rsidP="00A01081">
      <w:pPr>
        <w:spacing w:before="240" w:after="240"/>
        <w:rPr>
          <w:rFonts w:cs="Arial"/>
        </w:rPr>
      </w:pPr>
      <w:r w:rsidRPr="00385428">
        <w:rPr>
          <w:rFonts w:eastAsia="Arial" w:cs="Arial"/>
        </w:rPr>
        <w:t>In September 2018, the SBE approved the State Seal of Biliteracy and Leadership/Military Science for inclusion in the CCI. In addition, the SBE approved placement criteria for the two new measures (</w:t>
      </w:r>
      <w:hyperlink r:id="rId28" w:tooltip="In September 2018 the SBE approved the State Seal of Biliteracy and Leadership/Military Science for inclusion in the CCI">
        <w:r w:rsidRPr="00385428">
          <w:rPr>
            <w:rStyle w:val="Hyperlink"/>
            <w:rFonts w:eastAsia="Arial" w:cs="Arial"/>
          </w:rPr>
          <w:t>https://www.cde.ca.gov/be/ag/ag/yr18/documents/sep18item01.docx</w:t>
        </w:r>
      </w:hyperlink>
      <w:r w:rsidRPr="00385428">
        <w:rPr>
          <w:rFonts w:eastAsia="Arial" w:cs="Arial"/>
        </w:rPr>
        <w:t>).</w:t>
      </w:r>
    </w:p>
    <w:p w14:paraId="537BA61B" w14:textId="77777777" w:rsidR="00A01081" w:rsidRPr="00385428" w:rsidRDefault="00A01081" w:rsidP="00A01081">
      <w:pPr>
        <w:spacing w:before="240" w:after="240"/>
        <w:rPr>
          <w:rFonts w:cs="Arial"/>
        </w:rPr>
      </w:pPr>
      <w:r w:rsidRPr="00385428">
        <w:rPr>
          <w:rFonts w:eastAsia="Arial" w:cs="Arial"/>
        </w:rPr>
        <w:t>In November 2018, the SBE approved Status and Change cut scores for the CCI (</w:t>
      </w:r>
      <w:hyperlink r:id="rId29" w:tooltip="In November 2018 the SBE approved Status and Change cut scores for the CCI">
        <w:r w:rsidRPr="00385428">
          <w:rPr>
            <w:rStyle w:val="Hyperlink"/>
            <w:rFonts w:eastAsia="Arial" w:cs="Arial"/>
          </w:rPr>
          <w:t>https://www.cde.ca.gov/be/ag/ag/yr18/documents/nov18item04.docx</w:t>
        </w:r>
      </w:hyperlink>
      <w:r w:rsidRPr="00385428">
        <w:rPr>
          <w:rFonts w:eastAsia="Arial" w:cs="Arial"/>
          <w:color w:val="000000" w:themeColor="text1"/>
        </w:rPr>
        <w:t>).</w:t>
      </w:r>
    </w:p>
    <w:p w14:paraId="49A047E1" w14:textId="77777777" w:rsidR="00A01081" w:rsidRPr="00385428" w:rsidRDefault="00A01081" w:rsidP="00A01081">
      <w:pPr>
        <w:spacing w:before="240"/>
        <w:rPr>
          <w:rFonts w:cs="Arial"/>
        </w:rPr>
      </w:pPr>
      <w:r w:rsidRPr="00385428">
        <w:rPr>
          <w:rFonts w:eastAsia="Arial" w:cs="Arial"/>
        </w:rPr>
        <w:t>In April 2019, the CDE provided an Information Memorandum on the history, implementation, and purpose of the CCI in the Accountability System which was used for the May Study Session</w:t>
      </w:r>
    </w:p>
    <w:p w14:paraId="24F2560F" w14:textId="77777777" w:rsidR="00A01081" w:rsidRPr="00385428" w:rsidRDefault="00A01081" w:rsidP="00A01081">
      <w:pPr>
        <w:spacing w:after="240"/>
        <w:rPr>
          <w:rFonts w:cs="Arial"/>
        </w:rPr>
      </w:pPr>
      <w:r w:rsidRPr="00385428">
        <w:rPr>
          <w:rFonts w:eastAsia="Arial" w:cs="Arial"/>
        </w:rPr>
        <w:t>(</w:t>
      </w:r>
      <w:hyperlink r:id="rId30" w:tooltip="In April 2019 the CDE provided an Information Memorandum">
        <w:r w:rsidRPr="00385428">
          <w:rPr>
            <w:rStyle w:val="Hyperlink"/>
            <w:rFonts w:eastAsia="Arial" w:cs="Arial"/>
          </w:rPr>
          <w:t>https://www.cde.ca.gov/be/pn/im/documents/memo-pptb-amard-apr19item01.docx</w:t>
        </w:r>
      </w:hyperlink>
      <w:r w:rsidRPr="00385428">
        <w:rPr>
          <w:rFonts w:eastAsia="Arial" w:cs="Arial"/>
        </w:rPr>
        <w:t>).</w:t>
      </w:r>
    </w:p>
    <w:p w14:paraId="7FDC56AF" w14:textId="77777777" w:rsidR="00A01081" w:rsidRPr="00385428" w:rsidRDefault="00A01081" w:rsidP="00A01081">
      <w:pPr>
        <w:spacing w:before="240" w:after="240"/>
        <w:rPr>
          <w:rFonts w:cs="Arial"/>
        </w:rPr>
      </w:pPr>
      <w:r w:rsidRPr="00385428">
        <w:rPr>
          <w:rFonts w:eastAsia="Arial" w:cs="Arial"/>
        </w:rPr>
        <w:t>In May 2019, the SBE held a study session on the CCI (</w:t>
      </w:r>
      <w:hyperlink r:id="rId31" w:tooltip="In May 2019 the SBE held a study session on the CCI">
        <w:r w:rsidRPr="00385428">
          <w:rPr>
            <w:rStyle w:val="Hyperlink"/>
            <w:rFonts w:eastAsia="Arial" w:cs="Arial"/>
          </w:rPr>
          <w:t>https://www.cde.ca.gov/be/ag/ag/yr19/documents/may19item01studysession.docx</w:t>
        </w:r>
      </w:hyperlink>
      <w:r w:rsidRPr="00385428">
        <w:rPr>
          <w:rFonts w:eastAsia="Arial" w:cs="Arial"/>
        </w:rPr>
        <w:t>).</w:t>
      </w:r>
    </w:p>
    <w:p w14:paraId="42F68497" w14:textId="77777777" w:rsidR="00A01081" w:rsidRPr="00385428" w:rsidRDefault="00A01081" w:rsidP="00A01081">
      <w:pPr>
        <w:spacing w:before="240"/>
        <w:rPr>
          <w:rFonts w:cs="Arial"/>
        </w:rPr>
      </w:pPr>
      <w:r w:rsidRPr="00385428">
        <w:rPr>
          <w:rFonts w:eastAsia="Arial" w:cs="Arial"/>
        </w:rPr>
        <w:t>In June 2019, the SBE received an Information Memorandum providing an update on the definitions used in California Longitudinal Pupil Achievement Data System (CALPADS) and California Special Education Management Information System (CASEMIS) for career measures collected in 2018–19 and 2019–2020 for possible inclusion in the CCI</w:t>
      </w:r>
    </w:p>
    <w:p w14:paraId="06496901" w14:textId="77777777" w:rsidR="00A01081" w:rsidRPr="00385428" w:rsidRDefault="00A01081" w:rsidP="00A01081">
      <w:pPr>
        <w:spacing w:after="240"/>
        <w:rPr>
          <w:rFonts w:cs="Arial"/>
        </w:rPr>
      </w:pPr>
      <w:r w:rsidRPr="00385428">
        <w:rPr>
          <w:rFonts w:eastAsia="Arial" w:cs="Arial"/>
        </w:rPr>
        <w:t>(</w:t>
      </w:r>
      <w:hyperlink r:id="rId32" w:tooltip="June 2019 the SBE received an Information Memorandum providing an update on the definitions used in CALPADS">
        <w:r w:rsidRPr="00385428">
          <w:rPr>
            <w:rStyle w:val="Hyperlink"/>
            <w:rFonts w:eastAsia="Arial" w:cs="Arial"/>
          </w:rPr>
          <w:t>https://www.cde.ca.gov/be/pn/im/documents/memo-pptb-amard-jun19item02.docx</w:t>
        </w:r>
      </w:hyperlink>
      <w:r w:rsidRPr="00385428">
        <w:rPr>
          <w:rFonts w:eastAsia="Arial" w:cs="Arial"/>
        </w:rPr>
        <w:t>).</w:t>
      </w:r>
    </w:p>
    <w:p w14:paraId="494DFE2A" w14:textId="5905992F" w:rsidR="00A01081" w:rsidRDefault="00A01081" w:rsidP="00A01081">
      <w:pPr>
        <w:spacing w:before="240"/>
        <w:rPr>
          <w:rFonts w:eastAsia="Arial" w:cs="Arial"/>
        </w:rPr>
      </w:pPr>
      <w:r>
        <w:rPr>
          <w:rFonts w:eastAsia="Arial" w:cs="Arial"/>
        </w:rPr>
        <w:lastRenderedPageBreak/>
        <w:t>I</w:t>
      </w:r>
      <w:r w:rsidRPr="00385428">
        <w:rPr>
          <w:rFonts w:eastAsia="Arial" w:cs="Arial"/>
        </w:rPr>
        <w:t>n an August 2019 Information Memorandum</w:t>
      </w:r>
      <w:r w:rsidRPr="00E74641">
        <w:rPr>
          <w:rFonts w:eastAsia="Arial" w:cs="Arial"/>
        </w:rPr>
        <w:t xml:space="preserve"> </w:t>
      </w:r>
      <w:r w:rsidRPr="00385428">
        <w:rPr>
          <w:rFonts w:eastAsia="Arial" w:cs="Arial"/>
        </w:rPr>
        <w:t>shared with the SBE, the CDE</w:t>
      </w:r>
      <w:r>
        <w:rPr>
          <w:rFonts w:eastAsia="Arial" w:cs="Arial"/>
        </w:rPr>
        <w:t xml:space="preserve"> communicated </w:t>
      </w:r>
      <w:proofErr w:type="gramStart"/>
      <w:r>
        <w:rPr>
          <w:rFonts w:eastAsia="Arial" w:cs="Arial"/>
        </w:rPr>
        <w:t>it was</w:t>
      </w:r>
      <w:proofErr w:type="gramEnd"/>
      <w:r w:rsidRPr="00385428">
        <w:rPr>
          <w:rFonts w:eastAsia="Arial" w:cs="Arial"/>
        </w:rPr>
        <w:t xml:space="preserve"> examining the inclusion of civic engagement as a potential career measure in the CCI</w:t>
      </w:r>
    </w:p>
    <w:p w14:paraId="501C70F1" w14:textId="4456195B" w:rsidR="00A01081" w:rsidRPr="00385428" w:rsidRDefault="00A01081" w:rsidP="00A01081">
      <w:pPr>
        <w:spacing w:after="240"/>
        <w:rPr>
          <w:rFonts w:cs="Arial"/>
        </w:rPr>
      </w:pPr>
      <w:r w:rsidRPr="2730344A">
        <w:rPr>
          <w:rFonts w:eastAsia="Arial" w:cs="Arial"/>
        </w:rPr>
        <w:t>(</w:t>
      </w:r>
      <w:hyperlink r:id="rId33" w:tooltip="August 2019 Information Memorandum shared with the SBE about inclusion of civic engagement in CCI">
        <w:r w:rsidRPr="2730344A">
          <w:rPr>
            <w:rStyle w:val="Hyperlink"/>
            <w:rFonts w:eastAsia="Arial" w:cs="Arial"/>
          </w:rPr>
          <w:t>https://www.cde.ca.gov/be/pn/im/documents/memo-branch-eeed-aug19item02.docx</w:t>
        </w:r>
      </w:hyperlink>
      <w:r w:rsidRPr="2730344A">
        <w:rPr>
          <w:rFonts w:eastAsia="Arial" w:cs="Arial"/>
        </w:rPr>
        <w:t>).</w:t>
      </w:r>
    </w:p>
    <w:p w14:paraId="6E25A5AA" w14:textId="77777777" w:rsidR="00A01081" w:rsidRPr="00385428" w:rsidRDefault="00A01081" w:rsidP="00A01081">
      <w:pPr>
        <w:spacing w:before="240" w:after="240"/>
        <w:rPr>
          <w:rFonts w:cs="Arial"/>
        </w:rPr>
      </w:pPr>
      <w:r w:rsidRPr="00385428">
        <w:rPr>
          <w:rFonts w:eastAsia="Arial" w:cs="Arial"/>
          <w:color w:val="000000" w:themeColor="text1"/>
        </w:rPr>
        <w:t xml:space="preserve">At the March 2020 SBE meeting, the CDE reviewed the career measures collected in 2018–19 and its plans to conduct simulations for each of these measures to determine if the measures are valid and reliable and to set criteria that graduates must meet to be placed in the Prepared or Approaching Prepared CCI levels </w:t>
      </w:r>
      <w:r w:rsidRPr="00385428">
        <w:rPr>
          <w:rFonts w:eastAsia="Arial" w:cs="Arial"/>
        </w:rPr>
        <w:t>(</w:t>
      </w:r>
      <w:hyperlink r:id="rId34" w:tooltip="In March 2020 the CDE reviewed the career measures collected in 2018–19">
        <w:r w:rsidRPr="00385428">
          <w:rPr>
            <w:rStyle w:val="Hyperlink"/>
            <w:rFonts w:eastAsia="Arial" w:cs="Arial"/>
          </w:rPr>
          <w:t>https://www.cde.ca.gov/be/ag/ag/yr20/documents/mar20item05.docx</w:t>
        </w:r>
      </w:hyperlink>
      <w:r w:rsidRPr="00385428">
        <w:rPr>
          <w:rFonts w:eastAsia="Arial" w:cs="Arial"/>
        </w:rPr>
        <w:t>).</w:t>
      </w:r>
    </w:p>
    <w:p w14:paraId="35515BFA" w14:textId="6A12336D" w:rsidR="00A01081" w:rsidRPr="00385428" w:rsidRDefault="00A01081" w:rsidP="00A01081">
      <w:pPr>
        <w:spacing w:before="240" w:after="240"/>
        <w:rPr>
          <w:rFonts w:cs="Arial"/>
        </w:rPr>
      </w:pPr>
      <w:r w:rsidRPr="2730344A">
        <w:rPr>
          <w:rFonts w:eastAsia="Arial" w:cs="Arial"/>
        </w:rPr>
        <w:t>At the May 2020 SBE meeting, the CDE shared its data analyses on several new career measures currently being collected in CALPADS for future incorporation into the CCI (</w:t>
      </w:r>
      <w:hyperlink r:id="rId35" w:tooltip="May 2020 SBE meeting">
        <w:r w:rsidRPr="2730344A">
          <w:rPr>
            <w:rStyle w:val="Hyperlink"/>
            <w:rFonts w:eastAsia="Arial" w:cs="Arial"/>
          </w:rPr>
          <w:t>https://www.cde.ca.gov/be/ag/ag/yr20/documents/may20item02.docx</w:t>
        </w:r>
      </w:hyperlink>
      <w:r w:rsidRPr="2730344A">
        <w:rPr>
          <w:rFonts w:eastAsia="Arial" w:cs="Arial"/>
          <w:color w:val="000000" w:themeColor="text1"/>
        </w:rPr>
        <w:t>).</w:t>
      </w:r>
    </w:p>
    <w:p w14:paraId="0D424AFC" w14:textId="502C7ED1" w:rsidR="00A01081" w:rsidRDefault="00A01081" w:rsidP="00A01081">
      <w:pPr>
        <w:spacing w:before="240" w:after="240"/>
        <w:rPr>
          <w:rFonts w:cs="Arial"/>
        </w:rPr>
      </w:pPr>
      <w:r w:rsidRPr="2730344A">
        <w:rPr>
          <w:rFonts w:eastAsia="Arial" w:cs="Arial"/>
        </w:rPr>
        <w:t xml:space="preserve">In September 2020, the SBE adopted four career measures for inclusion in the CCI: Pre-Apprenticeships, State or Federal Job Programs, Transition Work-Based Learning Experiences, and </w:t>
      </w:r>
      <w:r w:rsidRPr="2730344A">
        <w:rPr>
          <w:rFonts w:eastAsia="Arial" w:cs="Arial"/>
          <w:color w:val="000000" w:themeColor="text1"/>
        </w:rPr>
        <w:t>Transition Classroom-Based Learning Experiences (</w:t>
      </w:r>
      <w:hyperlink r:id="rId36" w:tooltip="SBE adopted four career measures for inclusion in the CCI">
        <w:r w:rsidRPr="2730344A">
          <w:rPr>
            <w:rStyle w:val="Hyperlink"/>
            <w:rFonts w:eastAsia="Arial" w:cs="Arial"/>
          </w:rPr>
          <w:t>https://www.cde.ca.gov/be/ag/ag/yr20/documents/sep20item02.docx</w:t>
        </w:r>
      </w:hyperlink>
      <w:r w:rsidRPr="2730344A">
        <w:rPr>
          <w:rFonts w:eastAsia="Arial" w:cs="Arial"/>
          <w:color w:val="000000" w:themeColor="text1"/>
        </w:rPr>
        <w:t>).</w:t>
      </w:r>
    </w:p>
    <w:p w14:paraId="43434BC3" w14:textId="77777777" w:rsidR="00A01081" w:rsidRDefault="00A01081" w:rsidP="00A01081">
      <w:pPr>
        <w:spacing w:before="240"/>
        <w:rPr>
          <w:rFonts w:eastAsia="Arial" w:cs="Arial"/>
          <w:color w:val="000000" w:themeColor="text1"/>
        </w:rPr>
      </w:pPr>
      <w:r w:rsidRPr="00385428">
        <w:rPr>
          <w:rFonts w:eastAsia="Arial" w:cs="Arial"/>
          <w:color w:val="000000" w:themeColor="text1"/>
        </w:rPr>
        <w:t xml:space="preserve">In September 2020, the SBE adopted the State Seal of Civic Engagement (SSCE), and the SBE directed the CDE to determine how to incorporate civic engagement into the CCI </w:t>
      </w:r>
    </w:p>
    <w:p w14:paraId="07BE43BF" w14:textId="77777777" w:rsidR="00A01081" w:rsidRPr="00385428" w:rsidRDefault="00A01081" w:rsidP="00A01081">
      <w:pPr>
        <w:spacing w:after="240"/>
        <w:rPr>
          <w:rFonts w:cs="Arial"/>
        </w:rPr>
      </w:pPr>
      <w:r w:rsidRPr="00385428">
        <w:rPr>
          <w:rFonts w:eastAsia="Arial" w:cs="Arial"/>
          <w:color w:val="000000" w:themeColor="text1"/>
        </w:rPr>
        <w:t>(</w:t>
      </w:r>
      <w:hyperlink r:id="rId37" w:tooltip="In September 2020 the SBE adopted the State Seal of Civic Engagement">
        <w:r w:rsidRPr="00385428">
          <w:rPr>
            <w:rStyle w:val="Hyperlink"/>
            <w:rFonts w:eastAsia="Arial" w:cs="Arial"/>
          </w:rPr>
          <w:t>https://www.cde.ca.gov/be/ag/ag/yr20/documents/sep20item05rev.docx</w:t>
        </w:r>
      </w:hyperlink>
      <w:r w:rsidRPr="00385428">
        <w:rPr>
          <w:rFonts w:eastAsia="Arial" w:cs="Arial"/>
          <w:color w:val="000000" w:themeColor="text1"/>
        </w:rPr>
        <w:t>).</w:t>
      </w:r>
    </w:p>
    <w:p w14:paraId="2939A9F0" w14:textId="77777777" w:rsidR="00A01081" w:rsidRPr="00385428" w:rsidRDefault="00A01081" w:rsidP="00A01081">
      <w:pPr>
        <w:spacing w:before="240" w:after="240"/>
        <w:rPr>
          <w:rFonts w:cs="Arial"/>
        </w:rPr>
      </w:pPr>
      <w:r w:rsidRPr="00385428">
        <w:rPr>
          <w:rFonts w:eastAsia="Arial" w:cs="Arial"/>
        </w:rPr>
        <w:t>At the January 2021 SBE meeting, the CDE submitted revisions to the ESSA Consolidated State Plan (via the COVID-19 State Plan Addendum) to request that the CCI not be reported on the 2021 Dashboard due to the suspension of the CAASPP in March 2020, which is one of the key measures in the CCI (</w:t>
      </w:r>
      <w:hyperlink r:id="rId38" w:tooltip="In January 2021 the CDE submitted revisions to the ESSA Consolidated State Plan">
        <w:r w:rsidRPr="00385428">
          <w:rPr>
            <w:rStyle w:val="Hyperlink"/>
            <w:rFonts w:eastAsia="Arial" w:cs="Arial"/>
          </w:rPr>
          <w:t>https://www.cde.ca.gov/be/ag/ag/yr21/documents/jan21item04.docx</w:t>
        </w:r>
      </w:hyperlink>
      <w:r w:rsidRPr="00385428">
        <w:rPr>
          <w:rFonts w:eastAsia="Arial" w:cs="Arial"/>
        </w:rPr>
        <w:t>).</w:t>
      </w:r>
    </w:p>
    <w:p w14:paraId="243934D4" w14:textId="77777777" w:rsidR="00A01081" w:rsidRPr="00385428" w:rsidRDefault="00A01081" w:rsidP="00A01081">
      <w:pPr>
        <w:spacing w:before="240" w:after="240"/>
        <w:rPr>
          <w:rFonts w:cs="Arial"/>
        </w:rPr>
      </w:pPr>
      <w:r w:rsidRPr="00385428">
        <w:rPr>
          <w:rFonts w:eastAsia="Arial" w:cs="Arial"/>
        </w:rPr>
        <w:t xml:space="preserve">At the May 2021 SBE meeting, the CDE reviewed the work conducted </w:t>
      </w:r>
      <w:r>
        <w:rPr>
          <w:rFonts w:eastAsia="Arial" w:cs="Arial"/>
        </w:rPr>
        <w:t>to that point</w:t>
      </w:r>
      <w:r w:rsidRPr="00385428">
        <w:rPr>
          <w:rFonts w:eastAsia="Arial" w:cs="Arial"/>
        </w:rPr>
        <w:t xml:space="preserve"> on two new measures for possible inclusion in the CCI: civic engagement and industry certifications. The CDE also proposed the production of student-level data files for the CCI that can be shared with authorized LEA staff (</w:t>
      </w:r>
      <w:hyperlink r:id="rId39" w:tooltip="In May 2021 the CDE reviewed the work conducted on two new measures for possible inclusion in the CCI">
        <w:r w:rsidRPr="00385428">
          <w:rPr>
            <w:rStyle w:val="Hyperlink"/>
            <w:rFonts w:eastAsia="Arial" w:cs="Arial"/>
          </w:rPr>
          <w:t>https://www.cde.ca.gov/be/ag/ag/yr21/documents/may21item04.docx</w:t>
        </w:r>
      </w:hyperlink>
      <w:r w:rsidRPr="00385428">
        <w:rPr>
          <w:rFonts w:eastAsia="Arial" w:cs="Arial"/>
        </w:rPr>
        <w:t>).</w:t>
      </w:r>
    </w:p>
    <w:p w14:paraId="41AC7E49" w14:textId="77777777" w:rsidR="00A01081" w:rsidRPr="00385428" w:rsidRDefault="00A01081" w:rsidP="00A01081">
      <w:pPr>
        <w:spacing w:before="240" w:after="240"/>
        <w:rPr>
          <w:rFonts w:cs="Arial"/>
        </w:rPr>
      </w:pPr>
      <w:r w:rsidRPr="00385428">
        <w:rPr>
          <w:rFonts w:eastAsia="Arial" w:cs="Arial"/>
        </w:rPr>
        <w:t xml:space="preserve">In March 2022, the SBE </w:t>
      </w:r>
      <w:r w:rsidRPr="00385428">
        <w:rPr>
          <w:rFonts w:eastAsia="Arial" w:cs="Arial"/>
          <w:color w:val="000000" w:themeColor="text1"/>
        </w:rPr>
        <w:t>received a statue update on two new career measures–civic engagement and industry certifications–that are being developed for future potential inclusion in the CCI (</w:t>
      </w:r>
      <w:hyperlink r:id="rId40" w:tooltip="In March 2022 the SBE received a statue update on two new career measures">
        <w:r w:rsidRPr="00385428">
          <w:rPr>
            <w:rStyle w:val="Hyperlink"/>
            <w:rFonts w:eastAsia="Arial" w:cs="Arial"/>
          </w:rPr>
          <w:t>https://www.cde.ca.gov/be/ag/ag/yr22/documents/mar22item04.docx</w:t>
        </w:r>
      </w:hyperlink>
      <w:r w:rsidRPr="00385428">
        <w:rPr>
          <w:rFonts w:eastAsia="Arial" w:cs="Arial"/>
        </w:rPr>
        <w:t>).</w:t>
      </w:r>
    </w:p>
    <w:p w14:paraId="1175851F" w14:textId="77777777" w:rsidR="00A01081" w:rsidRDefault="00A01081" w:rsidP="00A01081">
      <w:pPr>
        <w:spacing w:before="240"/>
        <w:rPr>
          <w:rFonts w:eastAsia="Arial" w:cs="Arial"/>
          <w:color w:val="000000" w:themeColor="text1"/>
        </w:rPr>
      </w:pPr>
      <w:r w:rsidRPr="00385428">
        <w:rPr>
          <w:rFonts w:eastAsia="Arial" w:cs="Arial"/>
          <w:color w:val="000000" w:themeColor="text1"/>
        </w:rPr>
        <w:t>In September 2023, the CDE presented the workplan for the CCI</w:t>
      </w:r>
      <w:r>
        <w:rPr>
          <w:rFonts w:eastAsia="Arial" w:cs="Arial"/>
          <w:color w:val="000000" w:themeColor="text1"/>
        </w:rPr>
        <w:t xml:space="preserve"> which</w:t>
      </w:r>
      <w:r w:rsidRPr="00385428">
        <w:rPr>
          <w:rFonts w:eastAsia="Arial" w:cs="Arial"/>
          <w:color w:val="000000" w:themeColor="text1"/>
        </w:rPr>
        <w:t xml:space="preserve"> included a review of the Non-Registered Pre-Apprenticeship measure and use of modified criteria for Differentiated Assistance to incorporate the inclusion of CCI status only for the 2023 </w:t>
      </w:r>
      <w:r w:rsidRPr="00385428">
        <w:rPr>
          <w:rFonts w:eastAsia="Arial" w:cs="Arial"/>
          <w:color w:val="000000" w:themeColor="text1"/>
        </w:rPr>
        <w:lastRenderedPageBreak/>
        <w:t>Dashboard. Additionally, CCI is the only indicator that reports “Status” only on the 2023 Dashboard</w:t>
      </w:r>
    </w:p>
    <w:p w14:paraId="6480BE7E" w14:textId="77777777" w:rsidR="00A01081" w:rsidRPr="00385428" w:rsidRDefault="00A01081" w:rsidP="00A01081">
      <w:pPr>
        <w:spacing w:after="240"/>
        <w:rPr>
          <w:rFonts w:cs="Arial"/>
        </w:rPr>
      </w:pPr>
      <w:r w:rsidRPr="00385428">
        <w:rPr>
          <w:rFonts w:eastAsia="Arial" w:cs="Arial"/>
          <w:color w:val="000000" w:themeColor="text1"/>
        </w:rPr>
        <w:t>(</w:t>
      </w:r>
      <w:hyperlink r:id="rId41" w:tooltip="In September 2023 the CDE presented the workplan for the College/Career Indicator">
        <w:r w:rsidRPr="00385428">
          <w:rPr>
            <w:rStyle w:val="Hyperlink"/>
            <w:rFonts w:eastAsia="Arial" w:cs="Arial"/>
          </w:rPr>
          <w:t>https://www.cde.ca.gov/be/ag/ag/yr23/documents/sep23item08.docx</w:t>
        </w:r>
      </w:hyperlink>
      <w:r w:rsidRPr="00385428">
        <w:rPr>
          <w:rFonts w:eastAsia="Arial" w:cs="Arial"/>
        </w:rPr>
        <w:t>)</w:t>
      </w:r>
    </w:p>
    <w:p w14:paraId="3A18C582" w14:textId="77777777" w:rsidR="00A01081" w:rsidRPr="00385428" w:rsidRDefault="00A01081" w:rsidP="00A01081">
      <w:pPr>
        <w:spacing w:before="240" w:after="240"/>
        <w:rPr>
          <w:rFonts w:cs="Arial"/>
        </w:rPr>
      </w:pPr>
      <w:r w:rsidRPr="00385428">
        <w:rPr>
          <w:rFonts w:eastAsia="Arial" w:cs="Arial"/>
          <w:color w:val="000000" w:themeColor="text1"/>
        </w:rPr>
        <w:t>In March 2023, the CDE continued its work on the: (1) review and analysis of data collected on four new career measures, (2) exploration of current measures approved by the SBE, and (3) development of two new career measures: Civic Engagement, and Industry Certifications (</w:t>
      </w:r>
      <w:hyperlink r:id="rId42" w:tooltip="In March 2023 the CDE continued its work on the review and analysis of data">
        <w:r w:rsidRPr="00385428">
          <w:rPr>
            <w:rStyle w:val="Hyperlink"/>
            <w:rFonts w:eastAsia="Arial" w:cs="Arial"/>
          </w:rPr>
          <w:t>https://www.cde.ca.gov/be/ag/ag/yr23/documents/mar23item03.docx</w:t>
        </w:r>
      </w:hyperlink>
      <w:r w:rsidRPr="00385428">
        <w:rPr>
          <w:rFonts w:eastAsia="Arial" w:cs="Arial"/>
          <w:color w:val="000000" w:themeColor="text1"/>
        </w:rPr>
        <w:t>)</w:t>
      </w:r>
      <w:r>
        <w:rPr>
          <w:rFonts w:eastAsia="Arial" w:cs="Arial"/>
          <w:color w:val="000000" w:themeColor="text1"/>
        </w:rPr>
        <w:t>.</w:t>
      </w:r>
    </w:p>
    <w:p w14:paraId="635DEEFB" w14:textId="77777777" w:rsidR="00A01081" w:rsidRPr="00385428" w:rsidRDefault="00A01081" w:rsidP="00A01081">
      <w:pPr>
        <w:spacing w:before="240" w:after="240"/>
        <w:rPr>
          <w:rFonts w:cs="Arial"/>
        </w:rPr>
      </w:pPr>
      <w:r w:rsidRPr="00385428">
        <w:rPr>
          <w:rFonts w:eastAsia="Arial" w:cs="Arial"/>
          <w:color w:val="000000" w:themeColor="text1"/>
        </w:rPr>
        <w:t xml:space="preserve">In March 2024, the CDE: (1) </w:t>
      </w:r>
      <w:r>
        <w:rPr>
          <w:rFonts w:eastAsia="Arial" w:cs="Arial"/>
          <w:color w:val="000000" w:themeColor="text1"/>
        </w:rPr>
        <w:t>Sought</w:t>
      </w:r>
      <w:r w:rsidRPr="00385428">
        <w:rPr>
          <w:rFonts w:eastAsia="Arial" w:cs="Arial"/>
          <w:color w:val="000000" w:themeColor="text1"/>
        </w:rPr>
        <w:t xml:space="preserve"> guidance from the SBE on whether to continue a review of the data for the four new career measures (Internships, Student-led enterprise, Simulated work-based learning, ASVAB), (2) Update</w:t>
      </w:r>
      <w:r>
        <w:rPr>
          <w:rFonts w:eastAsia="Arial" w:cs="Arial"/>
          <w:color w:val="000000" w:themeColor="text1"/>
        </w:rPr>
        <w:t>d</w:t>
      </w:r>
      <w:r w:rsidRPr="00385428">
        <w:rPr>
          <w:rFonts w:eastAsia="Arial" w:cs="Arial"/>
          <w:color w:val="000000" w:themeColor="text1"/>
        </w:rPr>
        <w:t xml:space="preserve"> the SBE on the data collection for the seal of civic engagement, and (3) Discusse</w:t>
      </w:r>
      <w:r>
        <w:rPr>
          <w:rFonts w:eastAsia="Arial" w:cs="Arial"/>
          <w:color w:val="000000" w:themeColor="text1"/>
        </w:rPr>
        <w:t>d</w:t>
      </w:r>
      <w:r w:rsidRPr="00385428">
        <w:rPr>
          <w:rFonts w:eastAsia="Arial" w:cs="Arial"/>
          <w:color w:val="000000" w:themeColor="text1"/>
        </w:rPr>
        <w:t xml:space="preserve"> exploration of industry certifications prior to the release of the 2024 CCI (</w:t>
      </w:r>
      <w:hyperlink r:id="rId43" w:tooltip="In March 2024 the CDE seeks guidance from the SBE regarding continuing review of the data for four new career measures">
        <w:r w:rsidRPr="00385428">
          <w:rPr>
            <w:rStyle w:val="Hyperlink"/>
            <w:rFonts w:eastAsia="Arial" w:cs="Arial"/>
          </w:rPr>
          <w:t>https://www.cde.ca.gov/be/ag/ag/yr24/documents/mar24item02.docx</w:t>
        </w:r>
      </w:hyperlink>
      <w:r w:rsidRPr="00385428">
        <w:rPr>
          <w:rFonts w:eastAsia="Arial" w:cs="Arial"/>
        </w:rPr>
        <w:t>)</w:t>
      </w:r>
      <w:r>
        <w:rPr>
          <w:rFonts w:eastAsia="Arial" w:cs="Arial"/>
        </w:rPr>
        <w:t>.</w:t>
      </w:r>
    </w:p>
    <w:p w14:paraId="25A5FC76" w14:textId="77777777" w:rsidR="00A01081" w:rsidRDefault="00A01081" w:rsidP="00A01081">
      <w:pPr>
        <w:spacing w:before="240"/>
        <w:rPr>
          <w:rFonts w:eastAsia="Arial" w:cs="Arial"/>
          <w:color w:val="000000" w:themeColor="text1"/>
        </w:rPr>
      </w:pPr>
      <w:r w:rsidRPr="00385428">
        <w:rPr>
          <w:rFonts w:eastAsia="Arial" w:cs="Arial"/>
          <w:color w:val="000000" w:themeColor="text1"/>
        </w:rPr>
        <w:t xml:space="preserve">In January 2025, the CDE suggested that the ROC/P criterion be excluded from the CCI beginning with the 2025 Dashboard </w:t>
      </w:r>
      <w:proofErr w:type="gramStart"/>
      <w:r w:rsidRPr="00385428">
        <w:rPr>
          <w:rFonts w:eastAsia="Arial" w:cs="Arial"/>
          <w:color w:val="000000" w:themeColor="text1"/>
        </w:rPr>
        <w:t>in order to</w:t>
      </w:r>
      <w:proofErr w:type="gramEnd"/>
      <w:r w:rsidRPr="00385428">
        <w:rPr>
          <w:rFonts w:eastAsia="Arial" w:cs="Arial"/>
          <w:color w:val="000000" w:themeColor="text1"/>
        </w:rPr>
        <w:t xml:space="preserve"> align with current data collection practices. Additionally, CDE explore</w:t>
      </w:r>
      <w:r>
        <w:rPr>
          <w:rFonts w:eastAsia="Arial" w:cs="Arial"/>
          <w:color w:val="000000" w:themeColor="text1"/>
        </w:rPr>
        <w:t>d</w:t>
      </w:r>
      <w:r w:rsidRPr="00385428">
        <w:rPr>
          <w:rFonts w:eastAsia="Arial" w:cs="Arial"/>
          <w:color w:val="000000" w:themeColor="text1"/>
        </w:rPr>
        <w:t xml:space="preserve"> adding additional requirements to the college credit course-taking options in the CCI as well as the data collection process in CALPADS</w:t>
      </w:r>
    </w:p>
    <w:p w14:paraId="6BD2F635" w14:textId="77777777" w:rsidR="00A01081" w:rsidRPr="00385428" w:rsidRDefault="00A01081" w:rsidP="00A01081">
      <w:pPr>
        <w:spacing w:after="240"/>
        <w:rPr>
          <w:rFonts w:cs="Arial"/>
        </w:rPr>
      </w:pPr>
      <w:r w:rsidRPr="00385428">
        <w:rPr>
          <w:rFonts w:eastAsia="Arial" w:cs="Arial"/>
          <w:color w:val="000000" w:themeColor="text1"/>
        </w:rPr>
        <w:t>(</w:t>
      </w:r>
      <w:hyperlink r:id="rId44" w:tooltip="In January 2025 the CDE suggested that the ROC/P criterion be excluded from the CCI">
        <w:r w:rsidRPr="00385428">
          <w:rPr>
            <w:rStyle w:val="Hyperlink"/>
            <w:rFonts w:eastAsia="Arial" w:cs="Arial"/>
          </w:rPr>
          <w:t>https://www.cde.ca.gov/be/ag/ag/yr25/documents/jan25item03.docx</w:t>
        </w:r>
      </w:hyperlink>
      <w:r w:rsidRPr="00385428">
        <w:rPr>
          <w:rFonts w:eastAsia="Arial" w:cs="Arial"/>
          <w:color w:val="000000" w:themeColor="text1"/>
        </w:rPr>
        <w:t>)</w:t>
      </w:r>
      <w:r>
        <w:rPr>
          <w:rFonts w:eastAsia="Arial" w:cs="Arial"/>
          <w:color w:val="000000" w:themeColor="text1"/>
        </w:rPr>
        <w:t>.</w:t>
      </w:r>
    </w:p>
    <w:p w14:paraId="173C4A10" w14:textId="77777777" w:rsidR="00A01081" w:rsidRDefault="00A01081" w:rsidP="00A01081">
      <w:pPr>
        <w:spacing w:before="240"/>
        <w:rPr>
          <w:rFonts w:eastAsia="Arial" w:cs="Arial"/>
          <w:color w:val="000000" w:themeColor="text1"/>
        </w:rPr>
      </w:pPr>
      <w:r w:rsidRPr="3AA43C48">
        <w:rPr>
          <w:rFonts w:eastAsia="Arial" w:cs="Arial"/>
          <w:color w:val="000000" w:themeColor="text1"/>
        </w:rPr>
        <w:t>In May 2025, the CDE continued to provide data, and a review of existing measures, State Seal of Civic Engagement data, and data collected on Career measures for the CCI</w:t>
      </w:r>
    </w:p>
    <w:p w14:paraId="7EF2168F" w14:textId="53BF3435" w:rsidR="00A01081" w:rsidRPr="00385428" w:rsidRDefault="00A01081" w:rsidP="00A01081">
      <w:pPr>
        <w:spacing w:after="240"/>
        <w:rPr>
          <w:rFonts w:eastAsia="Arial" w:cs="Arial"/>
          <w:color w:val="000000" w:themeColor="text1"/>
        </w:rPr>
      </w:pPr>
      <w:r w:rsidRPr="3AA43C48">
        <w:rPr>
          <w:rFonts w:eastAsia="Arial" w:cs="Arial"/>
          <w:color w:val="000000" w:themeColor="text1"/>
        </w:rPr>
        <w:t>(</w:t>
      </w:r>
      <w:hyperlink r:id="rId45" w:tooltip="Data and review of existing measures for State Seal of Civic Engagement data, and data collected on Career measures for the CCI">
        <w:r w:rsidRPr="3AA43C48">
          <w:rPr>
            <w:rStyle w:val="Hyperlink"/>
            <w:rFonts w:eastAsia="Arial" w:cs="Arial"/>
          </w:rPr>
          <w:t>https://www.cde.ca.gov/be/ag/ag/yr25/documents/may25item02.docx</w:t>
        </w:r>
      </w:hyperlink>
      <w:r w:rsidRPr="3AA43C48">
        <w:rPr>
          <w:rFonts w:eastAsia="Arial" w:cs="Arial"/>
          <w:color w:val="000000" w:themeColor="text1"/>
        </w:rPr>
        <w:t>).</w:t>
      </w:r>
    </w:p>
    <w:p w14:paraId="2858687B" w14:textId="36F2BB52" w:rsidR="00A01081" w:rsidRDefault="00A01081" w:rsidP="00A01081">
      <w:pPr>
        <w:spacing w:before="240" w:after="240"/>
        <w:rPr>
          <w:rFonts w:eastAsia="Arial" w:cs="Arial"/>
        </w:rPr>
      </w:pPr>
      <w:r w:rsidRPr="3AA43C48">
        <w:rPr>
          <w:rFonts w:eastAsia="Arial" w:cs="Arial"/>
        </w:rPr>
        <w:t xml:space="preserve">In July 2025, existing CCI measures were modified to remove ROC/P participation from the State and Federal Job Programs measure, and Course Code </w:t>
      </w:r>
      <w:r>
        <w:rPr>
          <w:rFonts w:eastAsia="Arial" w:cs="Arial"/>
        </w:rPr>
        <w:t>“</w:t>
      </w:r>
      <w:r w:rsidRPr="3AA43C48">
        <w:rPr>
          <w:rFonts w:eastAsia="Arial" w:cs="Arial"/>
        </w:rPr>
        <w:t>9227 – College Credit Course -Other" from the list of college credit courses. The AP measure was updated to include completion of an AP course with a grade of C- or better, and the Transition Classroom and Work-Based Learning Experiences measure was expanded to include students awarded diplomas (</w:t>
      </w:r>
      <w:hyperlink r:id="rId46" w:tooltip="CCI measures to remove ROC/P participation from the State and Federal Job Programs">
        <w:r w:rsidRPr="3AA43C48">
          <w:rPr>
            <w:rStyle w:val="Hyperlink"/>
            <w:rFonts w:eastAsia="Arial" w:cs="Arial"/>
          </w:rPr>
          <w:t>https://www.cde.ca.gov/be/ag/ag/yr25/documents/jul25item02.docx</w:t>
        </w:r>
      </w:hyperlink>
      <w:r w:rsidRPr="3AA43C48">
        <w:rPr>
          <w:rFonts w:eastAsia="Arial" w:cs="Arial"/>
        </w:rPr>
        <w:t>)</w:t>
      </w:r>
      <w:r>
        <w:rPr>
          <w:rFonts w:eastAsia="Arial" w:cs="Arial"/>
        </w:rPr>
        <w:t>.</w:t>
      </w:r>
    </w:p>
    <w:p w14:paraId="62AD0C53" w14:textId="77777777" w:rsidR="00A01081" w:rsidRDefault="00A01081" w:rsidP="00A01081">
      <w:pPr>
        <w:spacing w:before="240"/>
        <w:rPr>
          <w:rFonts w:eastAsia="Arial" w:cs="Arial"/>
          <w:color w:val="000000" w:themeColor="text1"/>
        </w:rPr>
      </w:pPr>
      <w:r w:rsidRPr="3AA43C48">
        <w:rPr>
          <w:rFonts w:eastAsia="Arial" w:cs="Arial"/>
          <w:color w:val="000000" w:themeColor="text1"/>
        </w:rPr>
        <w:t>In August 2025, the CDE provided an information memorandum to the SBE with a Summary of July 2025 State Board of Education Actions Related to 2025 and 2026 Accountability Workplans</w:t>
      </w:r>
    </w:p>
    <w:p w14:paraId="23BEBD99" w14:textId="6BDED846" w:rsidR="00A01081" w:rsidRDefault="00A01081" w:rsidP="00A01081">
      <w:pPr>
        <w:spacing w:after="240"/>
        <w:rPr>
          <w:rFonts w:eastAsia="Arial" w:cs="Arial"/>
        </w:rPr>
      </w:pPr>
      <w:r w:rsidRPr="3AA43C48">
        <w:rPr>
          <w:rFonts w:eastAsia="Arial" w:cs="Arial"/>
          <w:color w:val="000000" w:themeColor="text1"/>
        </w:rPr>
        <w:t>(</w:t>
      </w:r>
      <w:hyperlink r:id="rId47" w:tooltip="August 2025 Information Memorandum">
        <w:r>
          <w:rPr>
            <w:rStyle w:val="Hyperlink"/>
            <w:rFonts w:eastAsia="Arial" w:cs="Arial"/>
          </w:rPr>
          <w:t>https://www.cde.ca.gov/be/pn/im/infomemoaug2025.asp</w:t>
        </w:r>
      </w:hyperlink>
      <w:r w:rsidRPr="3AA43C48">
        <w:rPr>
          <w:rFonts w:eastAsia="Arial" w:cs="Arial"/>
        </w:rPr>
        <w:t>)</w:t>
      </w:r>
      <w:r>
        <w:rPr>
          <w:rFonts w:eastAsia="Arial" w:cs="Arial"/>
        </w:rPr>
        <w:t>.</w:t>
      </w:r>
    </w:p>
    <w:p w14:paraId="6C55BC9E" w14:textId="77777777" w:rsidR="003E4DF7" w:rsidRPr="00945AD5" w:rsidRDefault="003E4DF7" w:rsidP="005247FC">
      <w:pPr>
        <w:pStyle w:val="Heading2"/>
        <w:spacing w:before="240" w:after="240"/>
        <w:rPr>
          <w:sz w:val="36"/>
          <w:szCs w:val="36"/>
        </w:rPr>
      </w:pPr>
      <w:r w:rsidRPr="00945AD5">
        <w:rPr>
          <w:sz w:val="36"/>
          <w:szCs w:val="36"/>
        </w:rPr>
        <w:t>Fiscal Analysis (as appropriate)</w:t>
      </w:r>
    </w:p>
    <w:p w14:paraId="630A944A" w14:textId="77777777" w:rsidR="00A06863" w:rsidRPr="00385428" w:rsidRDefault="00A06863" w:rsidP="00A06863">
      <w:pPr>
        <w:spacing w:before="240" w:after="240"/>
        <w:rPr>
          <w:rFonts w:cs="Arial"/>
        </w:rPr>
      </w:pPr>
      <w:r w:rsidRPr="273F38BD">
        <w:rPr>
          <w:rFonts w:eastAsia="Arial" w:cs="Arial"/>
        </w:rPr>
        <w:t>California’s total kindergarten through grade twelve funding within the 2025–26 California Budget Act is $137.8 billion from the following sources:</w:t>
      </w:r>
    </w:p>
    <w:p w14:paraId="27E7D11F" w14:textId="77777777" w:rsidR="00A06863" w:rsidRPr="00385428" w:rsidRDefault="00A06863" w:rsidP="00A06863">
      <w:pPr>
        <w:pStyle w:val="ListParagraph"/>
        <w:numPr>
          <w:ilvl w:val="0"/>
          <w:numId w:val="14"/>
        </w:numPr>
        <w:contextualSpacing w:val="0"/>
        <w:rPr>
          <w:rFonts w:eastAsia="Arial" w:cs="Arial"/>
        </w:rPr>
      </w:pPr>
      <w:r w:rsidRPr="273F38BD">
        <w:rPr>
          <w:rFonts w:eastAsia="Arial" w:cs="Arial"/>
        </w:rPr>
        <w:lastRenderedPageBreak/>
        <w:t>State: $82.9 billion (59.4 percent)</w:t>
      </w:r>
    </w:p>
    <w:p w14:paraId="034E5DDE" w14:textId="77777777" w:rsidR="00A06863" w:rsidRPr="00385428" w:rsidRDefault="00A06863" w:rsidP="00A06863">
      <w:pPr>
        <w:pStyle w:val="ListParagraph"/>
        <w:numPr>
          <w:ilvl w:val="0"/>
          <w:numId w:val="13"/>
        </w:numPr>
        <w:contextualSpacing w:val="0"/>
        <w:rPr>
          <w:rFonts w:eastAsia="Arial" w:cs="Arial"/>
        </w:rPr>
      </w:pPr>
      <w:r w:rsidRPr="273F38BD">
        <w:rPr>
          <w:rFonts w:eastAsia="Arial" w:cs="Arial"/>
        </w:rPr>
        <w:t>Federal: $46.2 billion (33.1 percent)</w:t>
      </w:r>
    </w:p>
    <w:p w14:paraId="7073CBB0" w14:textId="77777777" w:rsidR="00A06863" w:rsidRPr="00385428" w:rsidRDefault="00A06863" w:rsidP="00A06863">
      <w:pPr>
        <w:pStyle w:val="ListParagraph"/>
        <w:numPr>
          <w:ilvl w:val="0"/>
          <w:numId w:val="12"/>
        </w:numPr>
        <w:contextualSpacing w:val="0"/>
        <w:rPr>
          <w:rFonts w:eastAsia="Arial" w:cs="Arial"/>
        </w:rPr>
      </w:pPr>
      <w:r w:rsidRPr="273F38BD">
        <w:rPr>
          <w:rFonts w:eastAsia="Arial" w:cs="Arial"/>
        </w:rPr>
        <w:t>Local: $8.8 billion (6.3 percent)</w:t>
      </w:r>
    </w:p>
    <w:p w14:paraId="255A0811" w14:textId="77777777" w:rsidR="00A06863" w:rsidRPr="00385428" w:rsidRDefault="00A06863" w:rsidP="00A06863">
      <w:pPr>
        <w:pStyle w:val="ListParagraph"/>
        <w:numPr>
          <w:ilvl w:val="0"/>
          <w:numId w:val="11"/>
        </w:numPr>
        <w:contextualSpacing w:val="0"/>
        <w:rPr>
          <w:rFonts w:eastAsia="Arial" w:cs="Arial"/>
        </w:rPr>
      </w:pPr>
      <w:r w:rsidRPr="041FA96F">
        <w:rPr>
          <w:rFonts w:eastAsia="Arial" w:cs="Arial"/>
        </w:rPr>
        <w:t>Lottery $1.6 (1.1 percent)</w:t>
      </w:r>
    </w:p>
    <w:p w14:paraId="09F43897" w14:textId="77777777" w:rsidR="00A06863" w:rsidRPr="00385428" w:rsidRDefault="00A06863" w:rsidP="00A06863">
      <w:pPr>
        <w:spacing w:before="240" w:after="240"/>
        <w:rPr>
          <w:rFonts w:cs="Arial"/>
        </w:rPr>
      </w:pPr>
      <w:proofErr w:type="gramStart"/>
      <w:r w:rsidRPr="273F38BD">
        <w:rPr>
          <w:rFonts w:eastAsia="Arial" w:cs="Arial"/>
        </w:rPr>
        <w:t>The Every</w:t>
      </w:r>
      <w:proofErr w:type="gramEnd"/>
      <w:r w:rsidRPr="273F38BD">
        <w:rPr>
          <w:rFonts w:eastAsia="Arial" w:cs="Arial"/>
        </w:rPr>
        <w:t xml:space="preserve"> Student Succeeds Act funds are also typically a portion of the total federal funding amount.</w:t>
      </w:r>
    </w:p>
    <w:p w14:paraId="6C55BCA0" w14:textId="77777777" w:rsidR="00406F50" w:rsidRPr="00945AD5" w:rsidRDefault="00406F50" w:rsidP="005247FC">
      <w:pPr>
        <w:pStyle w:val="Heading2"/>
        <w:spacing w:before="240" w:after="240"/>
        <w:rPr>
          <w:sz w:val="36"/>
          <w:szCs w:val="36"/>
        </w:rPr>
      </w:pPr>
      <w:r w:rsidRPr="00945AD5">
        <w:rPr>
          <w:sz w:val="36"/>
          <w:szCs w:val="36"/>
        </w:rPr>
        <w:t>Attachment(s)</w:t>
      </w:r>
    </w:p>
    <w:p w14:paraId="794A6ACE" w14:textId="09B68715" w:rsidR="007B3CD9" w:rsidRDefault="179AD326" w:rsidP="008952E3">
      <w:pPr>
        <w:spacing w:before="240" w:after="240"/>
      </w:pPr>
      <w:r>
        <w:t xml:space="preserve">Attachment 1: </w:t>
      </w:r>
      <w:r w:rsidR="0537BD52">
        <w:t xml:space="preserve">History and </w:t>
      </w:r>
      <w:r w:rsidR="5997F211">
        <w:t>Data</w:t>
      </w:r>
      <w:r w:rsidR="0537BD52">
        <w:t xml:space="preserve"> on College/Career Indicator measures</w:t>
      </w:r>
      <w:r w:rsidR="007B3CD9">
        <w:t xml:space="preserve"> (</w:t>
      </w:r>
      <w:r w:rsidR="007102C4">
        <w:t>5</w:t>
      </w:r>
      <w:r w:rsidR="007B3CD9">
        <w:t xml:space="preserve"> Pages)</w:t>
      </w:r>
    </w:p>
    <w:p w14:paraId="66CD9DFC" w14:textId="21E5C4A2" w:rsidR="007B3CD9" w:rsidRDefault="4859C046" w:rsidP="008952E3">
      <w:pPr>
        <w:spacing w:before="240" w:after="240"/>
      </w:pPr>
      <w:r>
        <w:t>Attachment 2:</w:t>
      </w:r>
      <w:r w:rsidR="00D42681">
        <w:t xml:space="preserve"> </w:t>
      </w:r>
      <w:r>
        <w:t>Communication Resources for the College/Career Indicator</w:t>
      </w:r>
      <w:r w:rsidR="007B3CD9">
        <w:t xml:space="preserve"> (</w:t>
      </w:r>
      <w:r w:rsidR="006F4552">
        <w:t>2</w:t>
      </w:r>
      <w:r w:rsidR="007B3CD9">
        <w:t xml:space="preserve"> Pages)</w:t>
      </w:r>
    </w:p>
    <w:p w14:paraId="3345728C" w14:textId="49C1DC97" w:rsidR="00083939" w:rsidRDefault="0D7721E1" w:rsidP="008952E3">
      <w:pPr>
        <w:spacing w:before="240" w:after="240"/>
        <w:sectPr w:rsidR="00083939" w:rsidSect="00407E9B">
          <w:headerReference w:type="default" r:id="rId48"/>
          <w:type w:val="continuous"/>
          <w:pgSz w:w="12240" w:h="15840"/>
          <w:pgMar w:top="720" w:right="1440" w:bottom="1440" w:left="1440" w:header="720" w:footer="720" w:gutter="0"/>
          <w:cols w:space="720"/>
          <w:docGrid w:linePitch="360"/>
        </w:sectPr>
      </w:pPr>
      <w:r>
        <w:t>Attachment</w:t>
      </w:r>
      <w:r w:rsidR="00D42681">
        <w:t xml:space="preserve"> 3: </w:t>
      </w:r>
      <w:r>
        <w:t>2025 Dashboard Outcomes on the College/Career Indicator</w:t>
      </w:r>
      <w:r w:rsidR="0888C2C4">
        <w:t xml:space="preserve"> </w:t>
      </w:r>
      <w:r w:rsidR="007B3CD9">
        <w:t>(</w:t>
      </w:r>
      <w:r w:rsidR="00D42681">
        <w:t>9</w:t>
      </w:r>
      <w:r w:rsidR="007B3CD9">
        <w:t xml:space="preserve"> Pages)</w:t>
      </w:r>
    </w:p>
    <w:p w14:paraId="044345A2" w14:textId="77777777" w:rsidR="004075D8" w:rsidRPr="00FD0F9E" w:rsidRDefault="004075D8" w:rsidP="004075D8">
      <w:pPr>
        <w:pStyle w:val="Heading2"/>
        <w:rPr>
          <w:sz w:val="36"/>
          <w:szCs w:val="36"/>
        </w:rPr>
      </w:pPr>
      <w:r w:rsidRPr="00FD0F9E">
        <w:rPr>
          <w:sz w:val="36"/>
          <w:szCs w:val="36"/>
        </w:rPr>
        <w:lastRenderedPageBreak/>
        <w:t>Attachment 1</w:t>
      </w:r>
    </w:p>
    <w:p w14:paraId="23D30D0D" w14:textId="77777777" w:rsidR="004075D8" w:rsidRPr="007941B3" w:rsidRDefault="004075D8" w:rsidP="004075D8">
      <w:pPr>
        <w:pStyle w:val="Heading3"/>
        <w:rPr>
          <w:rFonts w:cs="Arial"/>
          <w:szCs w:val="28"/>
        </w:rPr>
      </w:pPr>
      <w:r w:rsidRPr="007941B3">
        <w:rPr>
          <w:rFonts w:cs="Arial"/>
          <w:szCs w:val="28"/>
        </w:rPr>
        <w:t xml:space="preserve">College/Career Readiness Indicator Measures </w:t>
      </w:r>
    </w:p>
    <w:p w14:paraId="72A88436" w14:textId="4B782759" w:rsidR="004075D8" w:rsidRPr="009B4E2D" w:rsidRDefault="004075D8" w:rsidP="00EA5B24">
      <w:pPr>
        <w:spacing w:after="240"/>
        <w:rPr>
          <w:rFonts w:cs="Arial"/>
        </w:rPr>
      </w:pPr>
      <w:r w:rsidRPr="009B4E2D">
        <w:rPr>
          <w:rFonts w:cs="Arial"/>
        </w:rPr>
        <w:t xml:space="preserve">The following are metrics </w:t>
      </w:r>
      <w:r w:rsidR="00EA5B24">
        <w:rPr>
          <w:rFonts w:cs="Arial"/>
        </w:rPr>
        <w:t xml:space="preserve">that </w:t>
      </w:r>
      <w:r w:rsidR="007941B3">
        <w:rPr>
          <w:rFonts w:cs="Arial"/>
        </w:rPr>
        <w:t xml:space="preserve">were </w:t>
      </w:r>
      <w:r w:rsidRPr="009B4E2D">
        <w:rPr>
          <w:rFonts w:cs="Arial"/>
        </w:rPr>
        <w:t>considered by the State Board of Education (SBE) for inclusion in the College/Career Indicator on the California School Dashboard</w:t>
      </w:r>
      <w:r w:rsidR="007941B3">
        <w:rPr>
          <w:rFonts w:cs="Arial"/>
        </w:rPr>
        <w:t xml:space="preserve"> between 2016 and 2025.</w:t>
      </w:r>
      <w:r w:rsidR="00C14D43">
        <w:rPr>
          <w:rFonts w:cs="Arial"/>
        </w:rPr>
        <w:t xml:space="preserve"> Their status is indicated by an action in the year </w:t>
      </w:r>
      <w:r w:rsidR="006F4552">
        <w:rPr>
          <w:rFonts w:cs="Arial"/>
        </w:rPr>
        <w:t xml:space="preserve">the SBE considered the metric. </w:t>
      </w:r>
    </w:p>
    <w:tbl>
      <w:tblPr>
        <w:tblStyle w:val="TableGrid"/>
        <w:tblW w:w="18253" w:type="dxa"/>
        <w:tblLayout w:type="fixed"/>
        <w:tblLook w:val="0420" w:firstRow="1" w:lastRow="0" w:firstColumn="0" w:lastColumn="0" w:noHBand="0" w:noVBand="1"/>
        <w:tblDescription w:val="Metrics that were considered by the State Board of Education (SBE) for inclusion in the College/Career Indicator on the California School Dashboard between 2016 and 2025"/>
      </w:tblPr>
      <w:tblGrid>
        <w:gridCol w:w="2443"/>
        <w:gridCol w:w="1895"/>
        <w:gridCol w:w="1764"/>
        <w:gridCol w:w="2070"/>
        <w:gridCol w:w="1072"/>
        <w:gridCol w:w="1440"/>
        <w:gridCol w:w="1244"/>
        <w:gridCol w:w="1276"/>
        <w:gridCol w:w="1683"/>
        <w:gridCol w:w="1683"/>
        <w:gridCol w:w="1683"/>
      </w:tblGrid>
      <w:tr w:rsidR="004075D8" w:rsidRPr="009B4E2D" w14:paraId="203C68B7" w14:textId="77777777" w:rsidTr="000650FE">
        <w:trPr>
          <w:tblHeader/>
        </w:trPr>
        <w:tc>
          <w:tcPr>
            <w:tcW w:w="2443" w:type="dxa"/>
          </w:tcPr>
          <w:p w14:paraId="45E4F950" w14:textId="77777777" w:rsidR="004075D8" w:rsidRPr="009B4E2D" w:rsidRDefault="004075D8">
            <w:pPr>
              <w:rPr>
                <w:rFonts w:cs="Arial"/>
                <w:b/>
                <w:bCs/>
              </w:rPr>
            </w:pPr>
            <w:r w:rsidRPr="009B4E2D">
              <w:rPr>
                <w:rFonts w:cs="Arial"/>
                <w:b/>
                <w:bCs/>
              </w:rPr>
              <w:t>Metric</w:t>
            </w:r>
          </w:p>
        </w:tc>
        <w:tc>
          <w:tcPr>
            <w:tcW w:w="1895" w:type="dxa"/>
          </w:tcPr>
          <w:p w14:paraId="7C3D48E7" w14:textId="77777777" w:rsidR="004075D8" w:rsidRPr="009B4E2D" w:rsidRDefault="004075D8">
            <w:pPr>
              <w:rPr>
                <w:rFonts w:cs="Arial"/>
                <w:b/>
                <w:bCs/>
              </w:rPr>
            </w:pPr>
            <w:r w:rsidRPr="009B4E2D">
              <w:rPr>
                <w:rFonts w:cs="Arial"/>
                <w:b/>
                <w:bCs/>
              </w:rPr>
              <w:t>2016</w:t>
            </w:r>
          </w:p>
        </w:tc>
        <w:tc>
          <w:tcPr>
            <w:tcW w:w="1764" w:type="dxa"/>
          </w:tcPr>
          <w:p w14:paraId="5622B3C3" w14:textId="77777777" w:rsidR="004075D8" w:rsidRPr="009B4E2D" w:rsidRDefault="004075D8">
            <w:pPr>
              <w:rPr>
                <w:rFonts w:cs="Arial"/>
                <w:b/>
                <w:bCs/>
              </w:rPr>
            </w:pPr>
            <w:r w:rsidRPr="009B4E2D">
              <w:rPr>
                <w:rFonts w:cs="Arial"/>
                <w:b/>
                <w:bCs/>
              </w:rPr>
              <w:t>2017</w:t>
            </w:r>
          </w:p>
        </w:tc>
        <w:tc>
          <w:tcPr>
            <w:tcW w:w="2070" w:type="dxa"/>
          </w:tcPr>
          <w:p w14:paraId="0C5724C6" w14:textId="77777777" w:rsidR="004075D8" w:rsidRPr="009B4E2D" w:rsidRDefault="004075D8">
            <w:pPr>
              <w:rPr>
                <w:rFonts w:cs="Arial"/>
                <w:b/>
                <w:bCs/>
              </w:rPr>
            </w:pPr>
            <w:r w:rsidRPr="009B4E2D">
              <w:rPr>
                <w:rFonts w:cs="Arial"/>
                <w:b/>
                <w:bCs/>
              </w:rPr>
              <w:t>2018</w:t>
            </w:r>
          </w:p>
        </w:tc>
        <w:tc>
          <w:tcPr>
            <w:tcW w:w="1072" w:type="dxa"/>
          </w:tcPr>
          <w:p w14:paraId="062A66BF" w14:textId="77777777" w:rsidR="004075D8" w:rsidRPr="009B4E2D" w:rsidRDefault="004075D8">
            <w:pPr>
              <w:rPr>
                <w:rFonts w:cs="Arial"/>
                <w:b/>
                <w:bCs/>
              </w:rPr>
            </w:pPr>
            <w:r w:rsidRPr="009B4E2D">
              <w:rPr>
                <w:rFonts w:cs="Arial"/>
                <w:b/>
                <w:bCs/>
              </w:rPr>
              <w:t>2019</w:t>
            </w:r>
          </w:p>
        </w:tc>
        <w:tc>
          <w:tcPr>
            <w:tcW w:w="1440" w:type="dxa"/>
          </w:tcPr>
          <w:p w14:paraId="23B46450" w14:textId="77777777" w:rsidR="004075D8" w:rsidRPr="009B4E2D" w:rsidRDefault="004075D8">
            <w:pPr>
              <w:rPr>
                <w:rFonts w:cs="Arial"/>
                <w:b/>
                <w:bCs/>
              </w:rPr>
            </w:pPr>
            <w:r w:rsidRPr="009B4E2D">
              <w:rPr>
                <w:rFonts w:cs="Arial"/>
                <w:b/>
                <w:bCs/>
              </w:rPr>
              <w:t>2020</w:t>
            </w:r>
          </w:p>
        </w:tc>
        <w:tc>
          <w:tcPr>
            <w:tcW w:w="1244" w:type="dxa"/>
          </w:tcPr>
          <w:p w14:paraId="5A790A02" w14:textId="77777777" w:rsidR="004075D8" w:rsidRPr="009B4E2D" w:rsidRDefault="004075D8">
            <w:pPr>
              <w:rPr>
                <w:rFonts w:cs="Arial"/>
                <w:b/>
                <w:bCs/>
              </w:rPr>
            </w:pPr>
            <w:r w:rsidRPr="009B4E2D">
              <w:rPr>
                <w:rFonts w:cs="Arial"/>
                <w:b/>
                <w:bCs/>
              </w:rPr>
              <w:t>2021</w:t>
            </w:r>
          </w:p>
        </w:tc>
        <w:tc>
          <w:tcPr>
            <w:tcW w:w="1276" w:type="dxa"/>
          </w:tcPr>
          <w:p w14:paraId="7081CA5C" w14:textId="77777777" w:rsidR="004075D8" w:rsidRPr="009B4E2D" w:rsidRDefault="004075D8">
            <w:pPr>
              <w:rPr>
                <w:rFonts w:cs="Arial"/>
                <w:b/>
                <w:bCs/>
              </w:rPr>
            </w:pPr>
            <w:r w:rsidRPr="009B4E2D">
              <w:rPr>
                <w:rFonts w:cs="Arial"/>
                <w:b/>
                <w:bCs/>
              </w:rPr>
              <w:t>2022</w:t>
            </w:r>
          </w:p>
        </w:tc>
        <w:tc>
          <w:tcPr>
            <w:tcW w:w="1683" w:type="dxa"/>
          </w:tcPr>
          <w:p w14:paraId="3E3D313F" w14:textId="77777777" w:rsidR="004075D8" w:rsidRPr="009B4E2D" w:rsidRDefault="004075D8">
            <w:pPr>
              <w:rPr>
                <w:rFonts w:cs="Arial"/>
                <w:b/>
                <w:bCs/>
              </w:rPr>
            </w:pPr>
            <w:r w:rsidRPr="009B4E2D">
              <w:rPr>
                <w:rFonts w:cs="Arial"/>
                <w:b/>
                <w:bCs/>
              </w:rPr>
              <w:t>2023</w:t>
            </w:r>
          </w:p>
        </w:tc>
        <w:tc>
          <w:tcPr>
            <w:tcW w:w="1683" w:type="dxa"/>
          </w:tcPr>
          <w:p w14:paraId="4C97013F" w14:textId="77777777" w:rsidR="004075D8" w:rsidRPr="009B4E2D" w:rsidRDefault="004075D8">
            <w:pPr>
              <w:rPr>
                <w:rFonts w:cs="Arial"/>
                <w:b/>
                <w:bCs/>
              </w:rPr>
            </w:pPr>
            <w:r w:rsidRPr="009B4E2D">
              <w:rPr>
                <w:rFonts w:cs="Arial"/>
                <w:b/>
                <w:bCs/>
              </w:rPr>
              <w:t>2024</w:t>
            </w:r>
          </w:p>
        </w:tc>
        <w:tc>
          <w:tcPr>
            <w:tcW w:w="1683" w:type="dxa"/>
          </w:tcPr>
          <w:p w14:paraId="5817B30A" w14:textId="77777777" w:rsidR="004075D8" w:rsidRPr="009B4E2D" w:rsidRDefault="004075D8">
            <w:pPr>
              <w:rPr>
                <w:rFonts w:cs="Arial"/>
                <w:b/>
                <w:bCs/>
              </w:rPr>
            </w:pPr>
            <w:r w:rsidRPr="009B4E2D">
              <w:rPr>
                <w:rFonts w:cs="Arial"/>
                <w:b/>
                <w:bCs/>
              </w:rPr>
              <w:t>2025</w:t>
            </w:r>
          </w:p>
        </w:tc>
      </w:tr>
      <w:tr w:rsidR="004075D8" w:rsidRPr="009B4E2D" w14:paraId="08BF5D07" w14:textId="77777777" w:rsidTr="00E0709F">
        <w:tc>
          <w:tcPr>
            <w:tcW w:w="2443" w:type="dxa"/>
          </w:tcPr>
          <w:p w14:paraId="488A0567" w14:textId="0580ADD3" w:rsidR="004075D8" w:rsidRPr="009B4E2D" w:rsidRDefault="004075D8">
            <w:pPr>
              <w:rPr>
                <w:rFonts w:cs="Arial"/>
              </w:rPr>
            </w:pPr>
            <w:r w:rsidRPr="009B4E2D">
              <w:rPr>
                <w:rFonts w:cs="Arial"/>
              </w:rPr>
              <w:t>Advanced Placement</w:t>
            </w:r>
            <w:r w:rsidR="005F38D3">
              <w:rPr>
                <w:rFonts w:cs="Arial"/>
              </w:rPr>
              <w:t>:</w:t>
            </w:r>
            <w:r w:rsidRPr="009B4E2D">
              <w:rPr>
                <w:rFonts w:cs="Arial"/>
              </w:rPr>
              <w:t xml:space="preserve"> Courses</w:t>
            </w:r>
          </w:p>
        </w:tc>
        <w:tc>
          <w:tcPr>
            <w:tcW w:w="1895" w:type="dxa"/>
          </w:tcPr>
          <w:p w14:paraId="71FE20D9" w14:textId="77777777" w:rsidR="004075D8" w:rsidRPr="009B4E2D" w:rsidRDefault="004075D8">
            <w:pPr>
              <w:rPr>
                <w:rFonts w:cs="Arial"/>
              </w:rPr>
            </w:pPr>
            <w:r w:rsidRPr="00B728F1">
              <w:rPr>
                <w:rFonts w:cs="Arial"/>
              </w:rPr>
              <w:t>N/A</w:t>
            </w:r>
          </w:p>
        </w:tc>
        <w:tc>
          <w:tcPr>
            <w:tcW w:w="1764" w:type="dxa"/>
          </w:tcPr>
          <w:p w14:paraId="3D3F1C45" w14:textId="77777777" w:rsidR="004075D8" w:rsidRPr="009B4E2D" w:rsidRDefault="004075D8">
            <w:pPr>
              <w:rPr>
                <w:rFonts w:cs="Arial"/>
              </w:rPr>
            </w:pPr>
            <w:r w:rsidRPr="00B728F1">
              <w:rPr>
                <w:rFonts w:cs="Arial"/>
              </w:rPr>
              <w:t>N/A</w:t>
            </w:r>
          </w:p>
        </w:tc>
        <w:tc>
          <w:tcPr>
            <w:tcW w:w="2070" w:type="dxa"/>
          </w:tcPr>
          <w:p w14:paraId="392C4B39" w14:textId="77777777" w:rsidR="004075D8" w:rsidRPr="009B4E2D" w:rsidRDefault="004075D8">
            <w:pPr>
              <w:rPr>
                <w:rFonts w:cs="Arial"/>
              </w:rPr>
            </w:pPr>
            <w:r w:rsidRPr="00B728F1">
              <w:rPr>
                <w:rFonts w:cs="Arial"/>
              </w:rPr>
              <w:t>N/A</w:t>
            </w:r>
          </w:p>
        </w:tc>
        <w:tc>
          <w:tcPr>
            <w:tcW w:w="1072" w:type="dxa"/>
          </w:tcPr>
          <w:p w14:paraId="734EA079" w14:textId="77777777" w:rsidR="004075D8" w:rsidRPr="009B4E2D" w:rsidRDefault="004075D8">
            <w:pPr>
              <w:rPr>
                <w:rFonts w:cs="Arial"/>
              </w:rPr>
            </w:pPr>
            <w:r w:rsidRPr="00B728F1">
              <w:rPr>
                <w:rFonts w:cs="Arial"/>
              </w:rPr>
              <w:t>N/A</w:t>
            </w:r>
          </w:p>
        </w:tc>
        <w:tc>
          <w:tcPr>
            <w:tcW w:w="1440" w:type="dxa"/>
          </w:tcPr>
          <w:p w14:paraId="2A6F28D6" w14:textId="77777777" w:rsidR="004075D8" w:rsidRPr="009B4E2D" w:rsidRDefault="004075D8">
            <w:pPr>
              <w:rPr>
                <w:rFonts w:cs="Arial"/>
              </w:rPr>
            </w:pPr>
            <w:r w:rsidRPr="00B728F1">
              <w:rPr>
                <w:rFonts w:cs="Arial"/>
              </w:rPr>
              <w:t>N/A</w:t>
            </w:r>
          </w:p>
        </w:tc>
        <w:tc>
          <w:tcPr>
            <w:tcW w:w="1244" w:type="dxa"/>
          </w:tcPr>
          <w:p w14:paraId="057E5C5B" w14:textId="77777777" w:rsidR="004075D8" w:rsidRPr="009B4E2D" w:rsidRDefault="004075D8">
            <w:pPr>
              <w:rPr>
                <w:rFonts w:cs="Arial"/>
              </w:rPr>
            </w:pPr>
            <w:r w:rsidRPr="00B728F1">
              <w:rPr>
                <w:rFonts w:cs="Arial"/>
              </w:rPr>
              <w:t>N/A</w:t>
            </w:r>
          </w:p>
        </w:tc>
        <w:tc>
          <w:tcPr>
            <w:tcW w:w="1276" w:type="dxa"/>
          </w:tcPr>
          <w:p w14:paraId="5BA9D4E4" w14:textId="77777777" w:rsidR="004075D8" w:rsidRPr="009B4E2D" w:rsidRDefault="004075D8">
            <w:pPr>
              <w:rPr>
                <w:rFonts w:cs="Arial"/>
              </w:rPr>
            </w:pPr>
            <w:r w:rsidRPr="00B728F1">
              <w:rPr>
                <w:rFonts w:cs="Arial"/>
              </w:rPr>
              <w:t>N/A</w:t>
            </w:r>
          </w:p>
        </w:tc>
        <w:tc>
          <w:tcPr>
            <w:tcW w:w="1683" w:type="dxa"/>
          </w:tcPr>
          <w:p w14:paraId="1D5913C2" w14:textId="77777777" w:rsidR="004075D8" w:rsidRPr="009B4E2D" w:rsidRDefault="004075D8">
            <w:pPr>
              <w:rPr>
                <w:rFonts w:cs="Arial"/>
              </w:rPr>
            </w:pPr>
            <w:r w:rsidRPr="00B728F1">
              <w:rPr>
                <w:rFonts w:cs="Arial"/>
              </w:rPr>
              <w:t>N/A</w:t>
            </w:r>
          </w:p>
        </w:tc>
        <w:tc>
          <w:tcPr>
            <w:tcW w:w="1683" w:type="dxa"/>
          </w:tcPr>
          <w:p w14:paraId="7D57C6A6" w14:textId="77777777" w:rsidR="004075D8" w:rsidRPr="009B4E2D" w:rsidRDefault="004075D8">
            <w:pPr>
              <w:rPr>
                <w:rFonts w:cs="Arial"/>
              </w:rPr>
            </w:pPr>
            <w:r w:rsidRPr="00B728F1">
              <w:rPr>
                <w:rFonts w:cs="Arial"/>
              </w:rPr>
              <w:t>N/A</w:t>
            </w:r>
          </w:p>
        </w:tc>
        <w:tc>
          <w:tcPr>
            <w:tcW w:w="1683" w:type="dxa"/>
          </w:tcPr>
          <w:p w14:paraId="2B6CD1F5" w14:textId="77777777" w:rsidR="004075D8" w:rsidRPr="00E10D5D" w:rsidRDefault="004075D8">
            <w:pPr>
              <w:rPr>
                <w:rFonts w:cs="Arial"/>
                <w:b/>
                <w:bCs/>
              </w:rPr>
            </w:pPr>
            <w:r w:rsidRPr="00E10D5D">
              <w:rPr>
                <w:rFonts w:cs="Arial"/>
                <w:b/>
                <w:bCs/>
              </w:rPr>
              <w:t>Adopted</w:t>
            </w:r>
          </w:p>
        </w:tc>
      </w:tr>
      <w:tr w:rsidR="004075D8" w:rsidRPr="009B4E2D" w14:paraId="53C71A31" w14:textId="77777777" w:rsidTr="00E0709F">
        <w:tc>
          <w:tcPr>
            <w:tcW w:w="2443" w:type="dxa"/>
          </w:tcPr>
          <w:p w14:paraId="306091C9" w14:textId="3499268F" w:rsidR="004075D8" w:rsidRPr="009B4E2D" w:rsidRDefault="004075D8">
            <w:pPr>
              <w:rPr>
                <w:rFonts w:cs="Arial"/>
              </w:rPr>
            </w:pPr>
            <w:r w:rsidRPr="009B4E2D">
              <w:rPr>
                <w:rFonts w:cs="Arial"/>
              </w:rPr>
              <w:t>Advanced Placement</w:t>
            </w:r>
            <w:r w:rsidR="005F38D3">
              <w:rPr>
                <w:rFonts w:cs="Arial"/>
              </w:rPr>
              <w:t>:</w:t>
            </w:r>
            <w:r w:rsidRPr="009B4E2D">
              <w:rPr>
                <w:rFonts w:cs="Arial"/>
              </w:rPr>
              <w:t xml:space="preserve"> </w:t>
            </w:r>
            <w:r>
              <w:rPr>
                <w:rFonts w:cs="Arial"/>
              </w:rPr>
              <w:t>Exams</w:t>
            </w:r>
          </w:p>
        </w:tc>
        <w:tc>
          <w:tcPr>
            <w:tcW w:w="1895" w:type="dxa"/>
          </w:tcPr>
          <w:p w14:paraId="03C5A75C" w14:textId="77777777" w:rsidR="004075D8" w:rsidRPr="00BA3B4E" w:rsidRDefault="004075D8">
            <w:pPr>
              <w:rPr>
                <w:rFonts w:cs="Arial"/>
                <w:b/>
                <w:bCs/>
              </w:rPr>
            </w:pPr>
            <w:r w:rsidRPr="00BA3B4E">
              <w:rPr>
                <w:rFonts w:cs="Arial"/>
                <w:b/>
                <w:bCs/>
              </w:rPr>
              <w:t>Adopted</w:t>
            </w:r>
          </w:p>
        </w:tc>
        <w:tc>
          <w:tcPr>
            <w:tcW w:w="1764" w:type="dxa"/>
          </w:tcPr>
          <w:p w14:paraId="50B23802" w14:textId="77777777" w:rsidR="004075D8" w:rsidRPr="009B4E2D" w:rsidRDefault="004075D8">
            <w:pPr>
              <w:rPr>
                <w:rFonts w:cs="Arial"/>
              </w:rPr>
            </w:pPr>
            <w:r w:rsidRPr="00ED37E2">
              <w:rPr>
                <w:rFonts w:cs="Arial"/>
              </w:rPr>
              <w:t>N/A</w:t>
            </w:r>
          </w:p>
        </w:tc>
        <w:tc>
          <w:tcPr>
            <w:tcW w:w="2070" w:type="dxa"/>
          </w:tcPr>
          <w:p w14:paraId="601B786B" w14:textId="77777777" w:rsidR="004075D8" w:rsidRPr="009B4E2D" w:rsidRDefault="004075D8">
            <w:pPr>
              <w:rPr>
                <w:rFonts w:cs="Arial"/>
              </w:rPr>
            </w:pPr>
            <w:r w:rsidRPr="00ED37E2">
              <w:rPr>
                <w:rFonts w:cs="Arial"/>
              </w:rPr>
              <w:t>N/A</w:t>
            </w:r>
          </w:p>
        </w:tc>
        <w:tc>
          <w:tcPr>
            <w:tcW w:w="1072" w:type="dxa"/>
          </w:tcPr>
          <w:p w14:paraId="18E79CF4" w14:textId="77777777" w:rsidR="004075D8" w:rsidRPr="009B4E2D" w:rsidRDefault="004075D8">
            <w:pPr>
              <w:rPr>
                <w:rFonts w:cs="Arial"/>
              </w:rPr>
            </w:pPr>
            <w:r w:rsidRPr="00ED37E2">
              <w:rPr>
                <w:rFonts w:cs="Arial"/>
              </w:rPr>
              <w:t>N/A</w:t>
            </w:r>
          </w:p>
        </w:tc>
        <w:tc>
          <w:tcPr>
            <w:tcW w:w="1440" w:type="dxa"/>
          </w:tcPr>
          <w:p w14:paraId="087D0EB1" w14:textId="77777777" w:rsidR="004075D8" w:rsidRPr="009B4E2D" w:rsidRDefault="004075D8">
            <w:pPr>
              <w:rPr>
                <w:rFonts w:cs="Arial"/>
              </w:rPr>
            </w:pPr>
            <w:r w:rsidRPr="00ED37E2">
              <w:rPr>
                <w:rFonts w:cs="Arial"/>
              </w:rPr>
              <w:t>N/A</w:t>
            </w:r>
          </w:p>
        </w:tc>
        <w:tc>
          <w:tcPr>
            <w:tcW w:w="1244" w:type="dxa"/>
          </w:tcPr>
          <w:p w14:paraId="40A94BCE" w14:textId="77777777" w:rsidR="004075D8" w:rsidRPr="009B4E2D" w:rsidRDefault="004075D8">
            <w:pPr>
              <w:rPr>
                <w:rFonts w:cs="Arial"/>
              </w:rPr>
            </w:pPr>
            <w:r w:rsidRPr="00ED37E2">
              <w:rPr>
                <w:rFonts w:cs="Arial"/>
              </w:rPr>
              <w:t>N/A</w:t>
            </w:r>
          </w:p>
        </w:tc>
        <w:tc>
          <w:tcPr>
            <w:tcW w:w="1276" w:type="dxa"/>
          </w:tcPr>
          <w:p w14:paraId="39CDFDD2" w14:textId="77777777" w:rsidR="004075D8" w:rsidRPr="009B4E2D" w:rsidRDefault="004075D8">
            <w:pPr>
              <w:rPr>
                <w:rFonts w:cs="Arial"/>
              </w:rPr>
            </w:pPr>
            <w:r w:rsidRPr="00ED37E2">
              <w:rPr>
                <w:rFonts w:cs="Arial"/>
              </w:rPr>
              <w:t>N/A</w:t>
            </w:r>
          </w:p>
        </w:tc>
        <w:tc>
          <w:tcPr>
            <w:tcW w:w="1683" w:type="dxa"/>
          </w:tcPr>
          <w:p w14:paraId="2E8F2EEB" w14:textId="77777777" w:rsidR="004075D8" w:rsidRPr="009B4E2D" w:rsidRDefault="004075D8">
            <w:pPr>
              <w:rPr>
                <w:rFonts w:cs="Arial"/>
              </w:rPr>
            </w:pPr>
            <w:r w:rsidRPr="00ED37E2">
              <w:rPr>
                <w:rFonts w:cs="Arial"/>
              </w:rPr>
              <w:t>N/A</w:t>
            </w:r>
          </w:p>
        </w:tc>
        <w:tc>
          <w:tcPr>
            <w:tcW w:w="1683" w:type="dxa"/>
          </w:tcPr>
          <w:p w14:paraId="4607A7BD" w14:textId="77777777" w:rsidR="004075D8" w:rsidRPr="009B4E2D" w:rsidRDefault="004075D8">
            <w:pPr>
              <w:rPr>
                <w:rFonts w:cs="Arial"/>
              </w:rPr>
            </w:pPr>
            <w:r w:rsidRPr="00ED37E2">
              <w:rPr>
                <w:rFonts w:cs="Arial"/>
              </w:rPr>
              <w:t>N/A</w:t>
            </w:r>
          </w:p>
        </w:tc>
        <w:tc>
          <w:tcPr>
            <w:tcW w:w="1683" w:type="dxa"/>
          </w:tcPr>
          <w:p w14:paraId="2EBAEA9B" w14:textId="77777777" w:rsidR="004075D8" w:rsidRPr="009B4E2D" w:rsidRDefault="004075D8">
            <w:pPr>
              <w:rPr>
                <w:rFonts w:cs="Arial"/>
              </w:rPr>
            </w:pPr>
            <w:r w:rsidRPr="00ED37E2">
              <w:rPr>
                <w:rFonts w:cs="Arial"/>
              </w:rPr>
              <w:t>N/A</w:t>
            </w:r>
          </w:p>
        </w:tc>
      </w:tr>
      <w:tr w:rsidR="004075D8" w:rsidRPr="009B4E2D" w14:paraId="068E6081" w14:textId="77777777" w:rsidTr="00E0709F">
        <w:tc>
          <w:tcPr>
            <w:tcW w:w="2443" w:type="dxa"/>
          </w:tcPr>
          <w:p w14:paraId="1844BA7F" w14:textId="77777777" w:rsidR="004075D8" w:rsidRDefault="004075D8">
            <w:pPr>
              <w:rPr>
                <w:rFonts w:cs="Arial"/>
              </w:rPr>
            </w:pPr>
            <w:r w:rsidRPr="009B4E2D">
              <w:rPr>
                <w:rFonts w:cs="Arial"/>
              </w:rPr>
              <w:t xml:space="preserve">Advanced Placement </w:t>
            </w:r>
          </w:p>
          <w:p w14:paraId="1FB354CF" w14:textId="77777777" w:rsidR="004075D8" w:rsidRPr="009B4E2D" w:rsidRDefault="004075D8">
            <w:pPr>
              <w:rPr>
                <w:rFonts w:cs="Arial"/>
              </w:rPr>
            </w:pPr>
            <w:r w:rsidRPr="009B4E2D">
              <w:rPr>
                <w:rFonts w:cs="Arial"/>
              </w:rPr>
              <w:t>Career Program</w:t>
            </w:r>
          </w:p>
        </w:tc>
        <w:tc>
          <w:tcPr>
            <w:tcW w:w="1895" w:type="dxa"/>
          </w:tcPr>
          <w:p w14:paraId="3DC9454B" w14:textId="77777777" w:rsidR="004075D8" w:rsidRPr="009B4E2D" w:rsidRDefault="004075D8">
            <w:pPr>
              <w:rPr>
                <w:rFonts w:cs="Arial"/>
              </w:rPr>
            </w:pPr>
            <w:r>
              <w:rPr>
                <w:rFonts w:cs="Arial"/>
              </w:rPr>
              <w:t>N/A</w:t>
            </w:r>
          </w:p>
        </w:tc>
        <w:tc>
          <w:tcPr>
            <w:tcW w:w="1764" w:type="dxa"/>
          </w:tcPr>
          <w:p w14:paraId="6D741BA5" w14:textId="77777777" w:rsidR="004075D8" w:rsidRPr="00C66B4C" w:rsidRDefault="004075D8">
            <w:pPr>
              <w:rPr>
                <w:rFonts w:cs="Arial"/>
                <w:b/>
                <w:bCs/>
              </w:rPr>
            </w:pPr>
            <w:r w:rsidRPr="00C66B4C">
              <w:rPr>
                <w:rFonts w:cs="Arial"/>
                <w:b/>
                <w:bCs/>
              </w:rPr>
              <w:t xml:space="preserve">Directed Further Review </w:t>
            </w:r>
          </w:p>
        </w:tc>
        <w:tc>
          <w:tcPr>
            <w:tcW w:w="2070" w:type="dxa"/>
          </w:tcPr>
          <w:p w14:paraId="1A557B22" w14:textId="77777777" w:rsidR="004075D8" w:rsidRPr="009B4E2D" w:rsidRDefault="004075D8">
            <w:pPr>
              <w:rPr>
                <w:rFonts w:cs="Arial"/>
              </w:rPr>
            </w:pPr>
            <w:r>
              <w:rPr>
                <w:rFonts w:cs="Arial"/>
              </w:rPr>
              <w:t>N/A</w:t>
            </w:r>
          </w:p>
        </w:tc>
        <w:tc>
          <w:tcPr>
            <w:tcW w:w="1072" w:type="dxa"/>
          </w:tcPr>
          <w:p w14:paraId="5C619A4C" w14:textId="77777777" w:rsidR="004075D8" w:rsidRPr="009B4E2D" w:rsidRDefault="004075D8">
            <w:pPr>
              <w:rPr>
                <w:rFonts w:cs="Arial"/>
              </w:rPr>
            </w:pPr>
            <w:r w:rsidRPr="00D819AE">
              <w:rPr>
                <w:rFonts w:cs="Arial"/>
              </w:rPr>
              <w:t>N/A</w:t>
            </w:r>
          </w:p>
        </w:tc>
        <w:tc>
          <w:tcPr>
            <w:tcW w:w="1440" w:type="dxa"/>
          </w:tcPr>
          <w:p w14:paraId="2769325F" w14:textId="77777777" w:rsidR="004075D8" w:rsidRPr="009B4E2D" w:rsidRDefault="004075D8">
            <w:pPr>
              <w:rPr>
                <w:rFonts w:cs="Arial"/>
              </w:rPr>
            </w:pPr>
            <w:r w:rsidRPr="00D819AE">
              <w:rPr>
                <w:rFonts w:cs="Arial"/>
              </w:rPr>
              <w:t>N/A</w:t>
            </w:r>
          </w:p>
        </w:tc>
        <w:tc>
          <w:tcPr>
            <w:tcW w:w="1244" w:type="dxa"/>
          </w:tcPr>
          <w:p w14:paraId="09BE3B69" w14:textId="77777777" w:rsidR="004075D8" w:rsidRPr="009B4E2D" w:rsidRDefault="004075D8">
            <w:pPr>
              <w:rPr>
                <w:rFonts w:cs="Arial"/>
              </w:rPr>
            </w:pPr>
            <w:r w:rsidRPr="00D819AE">
              <w:rPr>
                <w:rFonts w:cs="Arial"/>
              </w:rPr>
              <w:t>N/A</w:t>
            </w:r>
          </w:p>
        </w:tc>
        <w:tc>
          <w:tcPr>
            <w:tcW w:w="1276" w:type="dxa"/>
          </w:tcPr>
          <w:p w14:paraId="61F9D6E7" w14:textId="77777777" w:rsidR="004075D8" w:rsidRPr="009B4E2D" w:rsidRDefault="004075D8">
            <w:pPr>
              <w:rPr>
                <w:rFonts w:cs="Arial"/>
              </w:rPr>
            </w:pPr>
            <w:r w:rsidRPr="00D819AE">
              <w:rPr>
                <w:rFonts w:cs="Arial"/>
              </w:rPr>
              <w:t>N/A</w:t>
            </w:r>
          </w:p>
        </w:tc>
        <w:tc>
          <w:tcPr>
            <w:tcW w:w="1683" w:type="dxa"/>
          </w:tcPr>
          <w:p w14:paraId="48B638C1" w14:textId="77777777" w:rsidR="004075D8" w:rsidRPr="009B4E2D" w:rsidRDefault="004075D8">
            <w:pPr>
              <w:rPr>
                <w:rFonts w:cs="Arial"/>
              </w:rPr>
            </w:pPr>
            <w:r w:rsidRPr="00D819AE">
              <w:rPr>
                <w:rFonts w:cs="Arial"/>
              </w:rPr>
              <w:t>N/A</w:t>
            </w:r>
          </w:p>
        </w:tc>
        <w:tc>
          <w:tcPr>
            <w:tcW w:w="1683" w:type="dxa"/>
          </w:tcPr>
          <w:p w14:paraId="11AC1FFB" w14:textId="77777777" w:rsidR="004075D8" w:rsidRPr="009B4E2D" w:rsidRDefault="004075D8">
            <w:pPr>
              <w:rPr>
                <w:rFonts w:cs="Arial"/>
              </w:rPr>
            </w:pPr>
            <w:r w:rsidRPr="00D819AE">
              <w:rPr>
                <w:rFonts w:cs="Arial"/>
              </w:rPr>
              <w:t>N/A</w:t>
            </w:r>
          </w:p>
        </w:tc>
        <w:tc>
          <w:tcPr>
            <w:tcW w:w="1683" w:type="dxa"/>
          </w:tcPr>
          <w:p w14:paraId="135387D3" w14:textId="77777777" w:rsidR="004075D8" w:rsidRPr="009B4E2D" w:rsidRDefault="004075D8">
            <w:pPr>
              <w:rPr>
                <w:rFonts w:cs="Arial"/>
              </w:rPr>
            </w:pPr>
            <w:r w:rsidRPr="00D819AE">
              <w:rPr>
                <w:rFonts w:cs="Arial"/>
              </w:rPr>
              <w:t>N/A</w:t>
            </w:r>
          </w:p>
        </w:tc>
      </w:tr>
      <w:tr w:rsidR="004075D8" w:rsidRPr="009B4E2D" w14:paraId="188B8261" w14:textId="77777777" w:rsidTr="00E0709F">
        <w:tc>
          <w:tcPr>
            <w:tcW w:w="2443" w:type="dxa"/>
          </w:tcPr>
          <w:p w14:paraId="0A647F44" w14:textId="77777777" w:rsidR="004075D8" w:rsidRPr="009B4E2D" w:rsidRDefault="004075D8">
            <w:pPr>
              <w:rPr>
                <w:rFonts w:cs="Arial"/>
                <w:color w:val="000000"/>
              </w:rPr>
            </w:pPr>
            <w:r w:rsidRPr="009B4E2D">
              <w:rPr>
                <w:rFonts w:cs="Arial"/>
                <w:color w:val="000000"/>
              </w:rPr>
              <w:t>Armed Services Vocational Aptitude Battery (ASVAB)</w:t>
            </w:r>
          </w:p>
        </w:tc>
        <w:tc>
          <w:tcPr>
            <w:tcW w:w="1895" w:type="dxa"/>
          </w:tcPr>
          <w:p w14:paraId="4C730B13" w14:textId="77777777" w:rsidR="004075D8" w:rsidRPr="009B4E2D" w:rsidRDefault="004075D8">
            <w:pPr>
              <w:rPr>
                <w:rFonts w:cs="Arial"/>
              </w:rPr>
            </w:pPr>
            <w:r>
              <w:rPr>
                <w:rFonts w:cs="Arial"/>
              </w:rPr>
              <w:t>N/A</w:t>
            </w:r>
          </w:p>
        </w:tc>
        <w:tc>
          <w:tcPr>
            <w:tcW w:w="1764" w:type="dxa"/>
          </w:tcPr>
          <w:p w14:paraId="747CBAA8" w14:textId="77777777" w:rsidR="004075D8" w:rsidRPr="009B4E2D" w:rsidRDefault="004075D8">
            <w:pPr>
              <w:rPr>
                <w:rFonts w:cs="Arial"/>
              </w:rPr>
            </w:pPr>
            <w:r w:rsidRPr="00933BC5">
              <w:rPr>
                <w:rFonts w:cs="Arial"/>
              </w:rPr>
              <w:t>N/A</w:t>
            </w:r>
          </w:p>
        </w:tc>
        <w:tc>
          <w:tcPr>
            <w:tcW w:w="2070" w:type="dxa"/>
          </w:tcPr>
          <w:p w14:paraId="7011A84E" w14:textId="77777777" w:rsidR="004075D8" w:rsidRPr="009B4E2D" w:rsidRDefault="004075D8">
            <w:pPr>
              <w:rPr>
                <w:rFonts w:cs="Arial"/>
              </w:rPr>
            </w:pPr>
            <w:r w:rsidRPr="00933BC5">
              <w:rPr>
                <w:rFonts w:cs="Arial"/>
              </w:rPr>
              <w:t>N/A</w:t>
            </w:r>
          </w:p>
        </w:tc>
        <w:tc>
          <w:tcPr>
            <w:tcW w:w="1072" w:type="dxa"/>
          </w:tcPr>
          <w:p w14:paraId="70729A1D" w14:textId="77777777" w:rsidR="004075D8" w:rsidRPr="009B4E2D" w:rsidRDefault="004075D8">
            <w:pPr>
              <w:rPr>
                <w:rFonts w:cs="Arial"/>
              </w:rPr>
            </w:pPr>
            <w:r w:rsidRPr="00933BC5">
              <w:rPr>
                <w:rFonts w:cs="Arial"/>
              </w:rPr>
              <w:t>N/A</w:t>
            </w:r>
          </w:p>
        </w:tc>
        <w:tc>
          <w:tcPr>
            <w:tcW w:w="1440" w:type="dxa"/>
          </w:tcPr>
          <w:p w14:paraId="778F4C62" w14:textId="0C78205B" w:rsidR="004075D8" w:rsidRPr="009B4E2D" w:rsidRDefault="003A29C5">
            <w:pPr>
              <w:rPr>
                <w:rFonts w:cs="Arial"/>
              </w:rPr>
            </w:pPr>
            <w:r w:rsidRPr="00C66B4C">
              <w:rPr>
                <w:rFonts w:cs="Arial"/>
                <w:b/>
                <w:bCs/>
              </w:rPr>
              <w:t>Directed Further Review</w:t>
            </w:r>
            <w:r w:rsidR="00FB2408">
              <w:rPr>
                <w:rFonts w:cs="Arial"/>
                <w:b/>
                <w:bCs/>
              </w:rPr>
              <w:t xml:space="preserve">: </w:t>
            </w:r>
            <w:r w:rsidR="00FB2408" w:rsidRPr="00DD2003">
              <w:rPr>
                <w:rFonts w:cs="Arial"/>
                <w:b/>
                <w:bCs/>
              </w:rPr>
              <w:t>Data Collection Started</w:t>
            </w:r>
            <w:r w:rsidR="00FB2408">
              <w:rPr>
                <w:rFonts w:cs="Arial"/>
              </w:rPr>
              <w:t xml:space="preserve"> </w:t>
            </w:r>
          </w:p>
        </w:tc>
        <w:tc>
          <w:tcPr>
            <w:tcW w:w="1244" w:type="dxa"/>
          </w:tcPr>
          <w:p w14:paraId="4F724390" w14:textId="1E0694F4" w:rsidR="004075D8" w:rsidRPr="009B4E2D" w:rsidRDefault="00FB2408">
            <w:pPr>
              <w:rPr>
                <w:rFonts w:cs="Arial"/>
              </w:rPr>
            </w:pPr>
            <w:r w:rsidRPr="00C66B4C">
              <w:rPr>
                <w:rFonts w:cs="Arial"/>
                <w:b/>
                <w:bCs/>
              </w:rPr>
              <w:t>Data Analysis</w:t>
            </w:r>
            <w:r w:rsidR="00471543">
              <w:rPr>
                <w:rFonts w:cs="Arial"/>
                <w:b/>
                <w:bCs/>
              </w:rPr>
              <w:t xml:space="preserve"> Provided</w:t>
            </w:r>
          </w:p>
        </w:tc>
        <w:tc>
          <w:tcPr>
            <w:tcW w:w="1276" w:type="dxa"/>
          </w:tcPr>
          <w:p w14:paraId="6D96BDCE" w14:textId="32F95783" w:rsidR="004075D8" w:rsidRPr="009B4E2D" w:rsidRDefault="00FB2408">
            <w:pPr>
              <w:rPr>
                <w:rFonts w:cs="Arial"/>
              </w:rPr>
            </w:pPr>
            <w:r w:rsidRPr="00C66B4C">
              <w:rPr>
                <w:rFonts w:cs="Arial"/>
                <w:b/>
                <w:bCs/>
              </w:rPr>
              <w:t>Data Analysis</w:t>
            </w:r>
            <w:r w:rsidR="00471543">
              <w:rPr>
                <w:rFonts w:cs="Arial"/>
                <w:b/>
                <w:bCs/>
              </w:rPr>
              <w:t xml:space="preserve"> Provided</w:t>
            </w:r>
          </w:p>
        </w:tc>
        <w:tc>
          <w:tcPr>
            <w:tcW w:w="1683" w:type="dxa"/>
          </w:tcPr>
          <w:p w14:paraId="4AFC8783" w14:textId="5DC5A9A3" w:rsidR="004075D8" w:rsidRPr="00C66B4C" w:rsidRDefault="004075D8">
            <w:pPr>
              <w:rPr>
                <w:rFonts w:cs="Arial"/>
                <w:b/>
                <w:bCs/>
              </w:rPr>
            </w:pPr>
            <w:r w:rsidRPr="00C66B4C">
              <w:rPr>
                <w:rFonts w:cs="Arial"/>
                <w:b/>
                <w:bCs/>
              </w:rPr>
              <w:t>Data Analysis Provided; No Action Taken</w:t>
            </w:r>
          </w:p>
        </w:tc>
        <w:tc>
          <w:tcPr>
            <w:tcW w:w="1683" w:type="dxa"/>
          </w:tcPr>
          <w:p w14:paraId="54E79A35" w14:textId="2570A2E1" w:rsidR="004075D8" w:rsidRPr="00C66B4C" w:rsidRDefault="004075D8">
            <w:pPr>
              <w:rPr>
                <w:rFonts w:cs="Arial"/>
                <w:b/>
                <w:bCs/>
              </w:rPr>
            </w:pPr>
            <w:r w:rsidRPr="00C66B4C">
              <w:rPr>
                <w:rFonts w:cs="Arial"/>
                <w:b/>
                <w:bCs/>
              </w:rPr>
              <w:t>Data Analysis Provided; No Action Taken</w:t>
            </w:r>
          </w:p>
        </w:tc>
        <w:tc>
          <w:tcPr>
            <w:tcW w:w="1683" w:type="dxa"/>
          </w:tcPr>
          <w:p w14:paraId="5413D97D" w14:textId="4E4404F6" w:rsidR="004075D8" w:rsidRPr="00C66B4C" w:rsidRDefault="004075D8">
            <w:pPr>
              <w:rPr>
                <w:rFonts w:cs="Arial"/>
                <w:b/>
                <w:bCs/>
              </w:rPr>
            </w:pPr>
            <w:r w:rsidRPr="00C66B4C">
              <w:rPr>
                <w:rFonts w:cs="Arial"/>
                <w:b/>
                <w:bCs/>
              </w:rPr>
              <w:t>Data Analysis Provided; No Action Taken</w:t>
            </w:r>
          </w:p>
        </w:tc>
      </w:tr>
      <w:tr w:rsidR="004075D8" w:rsidRPr="009B4E2D" w14:paraId="4875EEA1" w14:textId="77777777" w:rsidTr="00E0709F">
        <w:tc>
          <w:tcPr>
            <w:tcW w:w="2443" w:type="dxa"/>
          </w:tcPr>
          <w:p w14:paraId="3B158148" w14:textId="77777777" w:rsidR="004075D8" w:rsidRPr="009B4E2D" w:rsidRDefault="004075D8">
            <w:pPr>
              <w:rPr>
                <w:rFonts w:cs="Arial"/>
                <w:color w:val="000000"/>
              </w:rPr>
            </w:pPr>
            <w:r w:rsidRPr="009B4E2D">
              <w:rPr>
                <w:rFonts w:cs="Arial"/>
                <w:color w:val="000000"/>
              </w:rPr>
              <w:t>Articulated Career Technical Education (CTE) Courses</w:t>
            </w:r>
          </w:p>
        </w:tc>
        <w:tc>
          <w:tcPr>
            <w:tcW w:w="1895" w:type="dxa"/>
          </w:tcPr>
          <w:p w14:paraId="430D69EB" w14:textId="77777777" w:rsidR="004075D8" w:rsidRPr="000859AC" w:rsidRDefault="004075D8">
            <w:pPr>
              <w:rPr>
                <w:rFonts w:cs="Arial"/>
              </w:rPr>
            </w:pPr>
            <w:r>
              <w:rPr>
                <w:rFonts w:cs="Arial"/>
              </w:rPr>
              <w:t>N/A</w:t>
            </w:r>
          </w:p>
        </w:tc>
        <w:tc>
          <w:tcPr>
            <w:tcW w:w="1764" w:type="dxa"/>
          </w:tcPr>
          <w:p w14:paraId="74A53023" w14:textId="77777777" w:rsidR="004075D8" w:rsidRPr="009B4E2D" w:rsidRDefault="004075D8">
            <w:pPr>
              <w:rPr>
                <w:rFonts w:cs="Arial"/>
              </w:rPr>
            </w:pPr>
            <w:r w:rsidRPr="007E51E9">
              <w:rPr>
                <w:rFonts w:cs="Arial"/>
                <w:b/>
                <w:bCs/>
              </w:rPr>
              <w:t>Directed Further Review</w:t>
            </w:r>
          </w:p>
        </w:tc>
        <w:tc>
          <w:tcPr>
            <w:tcW w:w="2070" w:type="dxa"/>
          </w:tcPr>
          <w:p w14:paraId="0034B1C5" w14:textId="77777777" w:rsidR="004075D8" w:rsidRPr="00C66B4C" w:rsidRDefault="004075D8">
            <w:pPr>
              <w:rPr>
                <w:rFonts w:cs="Arial"/>
                <w:b/>
                <w:bCs/>
              </w:rPr>
            </w:pPr>
            <w:r w:rsidRPr="00C66B4C">
              <w:rPr>
                <w:rFonts w:cs="Arial"/>
                <w:b/>
                <w:bCs/>
              </w:rPr>
              <w:t>Not Recommended for Adoption</w:t>
            </w:r>
          </w:p>
        </w:tc>
        <w:tc>
          <w:tcPr>
            <w:tcW w:w="1072" w:type="dxa"/>
          </w:tcPr>
          <w:p w14:paraId="00947A35" w14:textId="77777777" w:rsidR="004075D8" w:rsidRPr="009B4E2D" w:rsidRDefault="004075D8">
            <w:pPr>
              <w:rPr>
                <w:rFonts w:cs="Arial"/>
              </w:rPr>
            </w:pPr>
            <w:r w:rsidRPr="00473D72">
              <w:rPr>
                <w:rFonts w:cs="Arial"/>
              </w:rPr>
              <w:t>N/A</w:t>
            </w:r>
          </w:p>
        </w:tc>
        <w:tc>
          <w:tcPr>
            <w:tcW w:w="1440" w:type="dxa"/>
          </w:tcPr>
          <w:p w14:paraId="5B20FA1A" w14:textId="77777777" w:rsidR="004075D8" w:rsidRPr="009B4E2D" w:rsidRDefault="004075D8">
            <w:pPr>
              <w:rPr>
                <w:rFonts w:cs="Arial"/>
              </w:rPr>
            </w:pPr>
            <w:r w:rsidRPr="00473D72">
              <w:rPr>
                <w:rFonts w:cs="Arial"/>
              </w:rPr>
              <w:t>N/A</w:t>
            </w:r>
          </w:p>
        </w:tc>
        <w:tc>
          <w:tcPr>
            <w:tcW w:w="1244" w:type="dxa"/>
          </w:tcPr>
          <w:p w14:paraId="1B279E29" w14:textId="77777777" w:rsidR="004075D8" w:rsidRPr="009B4E2D" w:rsidRDefault="004075D8">
            <w:pPr>
              <w:rPr>
                <w:rFonts w:cs="Arial"/>
              </w:rPr>
            </w:pPr>
            <w:r w:rsidRPr="00473D72">
              <w:rPr>
                <w:rFonts w:cs="Arial"/>
              </w:rPr>
              <w:t>N/A</w:t>
            </w:r>
          </w:p>
        </w:tc>
        <w:tc>
          <w:tcPr>
            <w:tcW w:w="1276" w:type="dxa"/>
          </w:tcPr>
          <w:p w14:paraId="59EB5A78" w14:textId="77777777" w:rsidR="004075D8" w:rsidRPr="009B4E2D" w:rsidRDefault="004075D8">
            <w:pPr>
              <w:rPr>
                <w:rFonts w:cs="Arial"/>
              </w:rPr>
            </w:pPr>
            <w:r w:rsidRPr="00473D72">
              <w:rPr>
                <w:rFonts w:cs="Arial"/>
              </w:rPr>
              <w:t>N/A</w:t>
            </w:r>
          </w:p>
        </w:tc>
        <w:tc>
          <w:tcPr>
            <w:tcW w:w="1683" w:type="dxa"/>
          </w:tcPr>
          <w:p w14:paraId="34FA83B0" w14:textId="77777777" w:rsidR="004075D8" w:rsidRPr="009B4E2D" w:rsidRDefault="004075D8">
            <w:pPr>
              <w:rPr>
                <w:rFonts w:cs="Arial"/>
              </w:rPr>
            </w:pPr>
            <w:r w:rsidRPr="00473D72">
              <w:rPr>
                <w:rFonts w:cs="Arial"/>
              </w:rPr>
              <w:t>N/A</w:t>
            </w:r>
          </w:p>
        </w:tc>
        <w:tc>
          <w:tcPr>
            <w:tcW w:w="1683" w:type="dxa"/>
          </w:tcPr>
          <w:p w14:paraId="099AC577" w14:textId="77777777" w:rsidR="004075D8" w:rsidRPr="009B4E2D" w:rsidRDefault="004075D8">
            <w:pPr>
              <w:rPr>
                <w:rFonts w:cs="Arial"/>
              </w:rPr>
            </w:pPr>
            <w:r w:rsidRPr="00473D72">
              <w:rPr>
                <w:rFonts w:cs="Arial"/>
              </w:rPr>
              <w:t>N/A</w:t>
            </w:r>
          </w:p>
        </w:tc>
        <w:tc>
          <w:tcPr>
            <w:tcW w:w="1683" w:type="dxa"/>
          </w:tcPr>
          <w:p w14:paraId="1196277F" w14:textId="77777777" w:rsidR="004075D8" w:rsidRPr="009B4E2D" w:rsidRDefault="004075D8">
            <w:pPr>
              <w:rPr>
                <w:rFonts w:cs="Arial"/>
              </w:rPr>
            </w:pPr>
            <w:r w:rsidRPr="00473D72">
              <w:rPr>
                <w:rFonts w:cs="Arial"/>
              </w:rPr>
              <w:t>N/A</w:t>
            </w:r>
          </w:p>
        </w:tc>
      </w:tr>
      <w:tr w:rsidR="004075D8" w:rsidRPr="009B4E2D" w14:paraId="0CDBA776" w14:textId="77777777" w:rsidTr="00E0709F">
        <w:tc>
          <w:tcPr>
            <w:tcW w:w="2443" w:type="dxa"/>
          </w:tcPr>
          <w:p w14:paraId="6F5078DE" w14:textId="77777777" w:rsidR="004075D8" w:rsidRPr="009B4E2D" w:rsidRDefault="004075D8">
            <w:pPr>
              <w:rPr>
                <w:rFonts w:cs="Arial"/>
                <w:color w:val="000000"/>
              </w:rPr>
            </w:pPr>
            <w:r w:rsidRPr="009B4E2D">
              <w:rPr>
                <w:rFonts w:cs="Arial"/>
                <w:color w:val="000000"/>
              </w:rPr>
              <w:t>Articulated CTE Pathway</w:t>
            </w:r>
            <w:r>
              <w:rPr>
                <w:rFonts w:cs="Arial"/>
                <w:color w:val="000000"/>
              </w:rPr>
              <w:t xml:space="preserve"> Completion</w:t>
            </w:r>
          </w:p>
        </w:tc>
        <w:tc>
          <w:tcPr>
            <w:tcW w:w="1895" w:type="dxa"/>
          </w:tcPr>
          <w:p w14:paraId="7D39C971" w14:textId="77777777" w:rsidR="004075D8" w:rsidRPr="00BA3B4E" w:rsidRDefault="004075D8">
            <w:pPr>
              <w:rPr>
                <w:rFonts w:cs="Arial"/>
                <w:b/>
                <w:bCs/>
              </w:rPr>
            </w:pPr>
            <w:r w:rsidRPr="00BA3B4E">
              <w:rPr>
                <w:rFonts w:cs="Arial"/>
                <w:b/>
                <w:bCs/>
              </w:rPr>
              <w:t>Adopted</w:t>
            </w:r>
          </w:p>
        </w:tc>
        <w:tc>
          <w:tcPr>
            <w:tcW w:w="1764" w:type="dxa"/>
          </w:tcPr>
          <w:p w14:paraId="2CF1EA5D" w14:textId="77777777" w:rsidR="004075D8" w:rsidRPr="009B4E2D" w:rsidRDefault="004075D8">
            <w:pPr>
              <w:rPr>
                <w:rFonts w:cs="Arial"/>
              </w:rPr>
            </w:pPr>
            <w:r w:rsidRPr="00B521DD">
              <w:rPr>
                <w:rFonts w:cs="Arial"/>
              </w:rPr>
              <w:t>N/A</w:t>
            </w:r>
          </w:p>
        </w:tc>
        <w:tc>
          <w:tcPr>
            <w:tcW w:w="2070" w:type="dxa"/>
          </w:tcPr>
          <w:p w14:paraId="57B8C46E" w14:textId="77777777" w:rsidR="004075D8" w:rsidRPr="009B4E2D" w:rsidRDefault="004075D8">
            <w:pPr>
              <w:rPr>
                <w:rFonts w:cs="Arial"/>
              </w:rPr>
            </w:pPr>
            <w:r w:rsidRPr="00B521DD">
              <w:rPr>
                <w:rFonts w:cs="Arial"/>
              </w:rPr>
              <w:t>N/A</w:t>
            </w:r>
          </w:p>
        </w:tc>
        <w:tc>
          <w:tcPr>
            <w:tcW w:w="1072" w:type="dxa"/>
          </w:tcPr>
          <w:p w14:paraId="66549736" w14:textId="77777777" w:rsidR="004075D8" w:rsidRPr="009B4E2D" w:rsidRDefault="004075D8">
            <w:pPr>
              <w:rPr>
                <w:rFonts w:cs="Arial"/>
              </w:rPr>
            </w:pPr>
            <w:r w:rsidRPr="00B521DD">
              <w:rPr>
                <w:rFonts w:cs="Arial"/>
              </w:rPr>
              <w:t>N/A</w:t>
            </w:r>
          </w:p>
        </w:tc>
        <w:tc>
          <w:tcPr>
            <w:tcW w:w="1440" w:type="dxa"/>
          </w:tcPr>
          <w:p w14:paraId="5639D7FE" w14:textId="77777777" w:rsidR="004075D8" w:rsidRPr="009B4E2D" w:rsidRDefault="004075D8">
            <w:pPr>
              <w:rPr>
                <w:rFonts w:cs="Arial"/>
              </w:rPr>
            </w:pPr>
            <w:r w:rsidRPr="00B521DD">
              <w:rPr>
                <w:rFonts w:cs="Arial"/>
              </w:rPr>
              <w:t>N/A</w:t>
            </w:r>
          </w:p>
        </w:tc>
        <w:tc>
          <w:tcPr>
            <w:tcW w:w="1244" w:type="dxa"/>
          </w:tcPr>
          <w:p w14:paraId="04202243" w14:textId="77777777" w:rsidR="004075D8" w:rsidRPr="009B4E2D" w:rsidRDefault="004075D8">
            <w:pPr>
              <w:rPr>
                <w:rFonts w:cs="Arial"/>
              </w:rPr>
            </w:pPr>
            <w:r w:rsidRPr="00B521DD">
              <w:rPr>
                <w:rFonts w:cs="Arial"/>
              </w:rPr>
              <w:t>N/A</w:t>
            </w:r>
          </w:p>
        </w:tc>
        <w:tc>
          <w:tcPr>
            <w:tcW w:w="1276" w:type="dxa"/>
          </w:tcPr>
          <w:p w14:paraId="5FCF28E6" w14:textId="77777777" w:rsidR="004075D8" w:rsidRPr="009B4E2D" w:rsidRDefault="004075D8">
            <w:pPr>
              <w:rPr>
                <w:rFonts w:cs="Arial"/>
              </w:rPr>
            </w:pPr>
            <w:r w:rsidRPr="00B521DD">
              <w:rPr>
                <w:rFonts w:cs="Arial"/>
              </w:rPr>
              <w:t>N/A</w:t>
            </w:r>
          </w:p>
        </w:tc>
        <w:tc>
          <w:tcPr>
            <w:tcW w:w="1683" w:type="dxa"/>
          </w:tcPr>
          <w:p w14:paraId="2960E11D" w14:textId="77777777" w:rsidR="004075D8" w:rsidRPr="009B4E2D" w:rsidRDefault="004075D8">
            <w:pPr>
              <w:rPr>
                <w:rFonts w:cs="Arial"/>
              </w:rPr>
            </w:pPr>
            <w:r w:rsidRPr="00B521DD">
              <w:rPr>
                <w:rFonts w:cs="Arial"/>
              </w:rPr>
              <w:t>N/A</w:t>
            </w:r>
          </w:p>
        </w:tc>
        <w:tc>
          <w:tcPr>
            <w:tcW w:w="1683" w:type="dxa"/>
          </w:tcPr>
          <w:p w14:paraId="04A8DC0C" w14:textId="77777777" w:rsidR="004075D8" w:rsidRPr="009B4E2D" w:rsidRDefault="004075D8">
            <w:pPr>
              <w:rPr>
                <w:rFonts w:cs="Arial"/>
              </w:rPr>
            </w:pPr>
            <w:r w:rsidRPr="00B521DD">
              <w:rPr>
                <w:rFonts w:cs="Arial"/>
              </w:rPr>
              <w:t>N/A</w:t>
            </w:r>
          </w:p>
        </w:tc>
        <w:tc>
          <w:tcPr>
            <w:tcW w:w="1683" w:type="dxa"/>
          </w:tcPr>
          <w:p w14:paraId="5D0E68E9" w14:textId="77777777" w:rsidR="004075D8" w:rsidRPr="009B4E2D" w:rsidRDefault="004075D8">
            <w:pPr>
              <w:rPr>
                <w:rFonts w:cs="Arial"/>
              </w:rPr>
            </w:pPr>
            <w:r w:rsidRPr="00B521DD">
              <w:rPr>
                <w:rFonts w:cs="Arial"/>
              </w:rPr>
              <w:t>N/A</w:t>
            </w:r>
          </w:p>
        </w:tc>
      </w:tr>
      <w:tr w:rsidR="006366D8" w:rsidRPr="009B4E2D" w14:paraId="7448F915" w14:textId="77777777" w:rsidTr="00E0709F">
        <w:tc>
          <w:tcPr>
            <w:tcW w:w="2443" w:type="dxa"/>
          </w:tcPr>
          <w:p w14:paraId="025BF9BB" w14:textId="788F888F" w:rsidR="006366D8" w:rsidRDefault="006366D8" w:rsidP="006366D8">
            <w:pPr>
              <w:rPr>
                <w:rFonts w:cs="Arial"/>
                <w:color w:val="000000"/>
              </w:rPr>
            </w:pPr>
            <w:r w:rsidRPr="006366D8">
              <w:rPr>
                <w:rFonts w:cs="Arial"/>
                <w:color w:val="000000"/>
              </w:rPr>
              <w:t xml:space="preserve">Cambridge International AS </w:t>
            </w:r>
            <w:proofErr w:type="gramStart"/>
            <w:r w:rsidRPr="006366D8">
              <w:rPr>
                <w:rFonts w:cs="Arial"/>
                <w:color w:val="000000"/>
              </w:rPr>
              <w:t>&amp; A</w:t>
            </w:r>
            <w:proofErr w:type="gramEnd"/>
            <w:r w:rsidRPr="006366D8">
              <w:rPr>
                <w:rFonts w:cs="Arial"/>
                <w:color w:val="000000"/>
              </w:rPr>
              <w:t xml:space="preserve"> Levels</w:t>
            </w:r>
            <w:r>
              <w:rPr>
                <w:rFonts w:cs="Arial"/>
                <w:color w:val="000000"/>
              </w:rPr>
              <w:t>: Courses</w:t>
            </w:r>
          </w:p>
        </w:tc>
        <w:tc>
          <w:tcPr>
            <w:tcW w:w="1895" w:type="dxa"/>
          </w:tcPr>
          <w:p w14:paraId="1D8836A7" w14:textId="2FEDC8F9" w:rsidR="006366D8" w:rsidRPr="00C66B4C" w:rsidRDefault="006366D8" w:rsidP="006366D8">
            <w:pPr>
              <w:rPr>
                <w:rFonts w:cs="Arial"/>
                <w:b/>
                <w:bCs/>
              </w:rPr>
            </w:pPr>
            <w:r w:rsidRPr="00E05D7D">
              <w:rPr>
                <w:rFonts w:cs="Arial"/>
              </w:rPr>
              <w:t>N/A</w:t>
            </w:r>
          </w:p>
        </w:tc>
        <w:tc>
          <w:tcPr>
            <w:tcW w:w="1764" w:type="dxa"/>
          </w:tcPr>
          <w:p w14:paraId="0DA57599" w14:textId="544F2622" w:rsidR="006366D8" w:rsidRPr="00FE41B7" w:rsidRDefault="006366D8" w:rsidP="006366D8">
            <w:pPr>
              <w:rPr>
                <w:rFonts w:cs="Arial"/>
              </w:rPr>
            </w:pPr>
            <w:r w:rsidRPr="00E05D7D">
              <w:rPr>
                <w:rFonts w:cs="Arial"/>
              </w:rPr>
              <w:t>N/A</w:t>
            </w:r>
          </w:p>
        </w:tc>
        <w:tc>
          <w:tcPr>
            <w:tcW w:w="2070" w:type="dxa"/>
          </w:tcPr>
          <w:p w14:paraId="1F9D194B" w14:textId="19A31C57" w:rsidR="006366D8" w:rsidRPr="00FE41B7" w:rsidRDefault="006366D8" w:rsidP="006366D8">
            <w:pPr>
              <w:rPr>
                <w:rFonts w:cs="Arial"/>
              </w:rPr>
            </w:pPr>
            <w:r w:rsidRPr="00E05D7D">
              <w:rPr>
                <w:rFonts w:cs="Arial"/>
              </w:rPr>
              <w:t>N/A</w:t>
            </w:r>
          </w:p>
        </w:tc>
        <w:tc>
          <w:tcPr>
            <w:tcW w:w="1072" w:type="dxa"/>
          </w:tcPr>
          <w:p w14:paraId="68E01A40" w14:textId="39147B32" w:rsidR="006366D8" w:rsidRPr="00FE41B7" w:rsidRDefault="006366D8" w:rsidP="006366D8">
            <w:pPr>
              <w:rPr>
                <w:rFonts w:cs="Arial"/>
              </w:rPr>
            </w:pPr>
            <w:r w:rsidRPr="00E05D7D">
              <w:rPr>
                <w:rFonts w:cs="Arial"/>
              </w:rPr>
              <w:t>N/A</w:t>
            </w:r>
          </w:p>
        </w:tc>
        <w:tc>
          <w:tcPr>
            <w:tcW w:w="1440" w:type="dxa"/>
          </w:tcPr>
          <w:p w14:paraId="785BF871" w14:textId="287364EC" w:rsidR="006366D8" w:rsidRPr="00FE41B7" w:rsidRDefault="006366D8" w:rsidP="006366D8">
            <w:pPr>
              <w:rPr>
                <w:rFonts w:cs="Arial"/>
              </w:rPr>
            </w:pPr>
            <w:r w:rsidRPr="00E05D7D">
              <w:rPr>
                <w:rFonts w:cs="Arial"/>
              </w:rPr>
              <w:t>N/A</w:t>
            </w:r>
          </w:p>
        </w:tc>
        <w:tc>
          <w:tcPr>
            <w:tcW w:w="1244" w:type="dxa"/>
          </w:tcPr>
          <w:p w14:paraId="7B56F62B" w14:textId="2E42117F" w:rsidR="006366D8" w:rsidRPr="00FE41B7" w:rsidRDefault="006366D8" w:rsidP="006366D8">
            <w:pPr>
              <w:rPr>
                <w:rFonts w:cs="Arial"/>
              </w:rPr>
            </w:pPr>
            <w:r w:rsidRPr="00E05D7D">
              <w:rPr>
                <w:rFonts w:cs="Arial"/>
              </w:rPr>
              <w:t>N/A</w:t>
            </w:r>
          </w:p>
        </w:tc>
        <w:tc>
          <w:tcPr>
            <w:tcW w:w="1276" w:type="dxa"/>
          </w:tcPr>
          <w:p w14:paraId="522EB7D8" w14:textId="76CD732E" w:rsidR="006366D8" w:rsidRPr="00FE41B7" w:rsidRDefault="006366D8" w:rsidP="006366D8">
            <w:pPr>
              <w:rPr>
                <w:rFonts w:cs="Arial"/>
              </w:rPr>
            </w:pPr>
            <w:r w:rsidRPr="00E05D7D">
              <w:rPr>
                <w:rFonts w:cs="Arial"/>
              </w:rPr>
              <w:t>N/A</w:t>
            </w:r>
          </w:p>
        </w:tc>
        <w:tc>
          <w:tcPr>
            <w:tcW w:w="1683" w:type="dxa"/>
          </w:tcPr>
          <w:p w14:paraId="654FCCC8" w14:textId="287AB61E" w:rsidR="006366D8" w:rsidRPr="00FE41B7" w:rsidRDefault="006366D8" w:rsidP="006366D8">
            <w:pPr>
              <w:rPr>
                <w:rFonts w:cs="Arial"/>
              </w:rPr>
            </w:pPr>
            <w:r w:rsidRPr="00E05D7D">
              <w:rPr>
                <w:rFonts w:cs="Arial"/>
              </w:rPr>
              <w:t>N/A</w:t>
            </w:r>
          </w:p>
        </w:tc>
        <w:tc>
          <w:tcPr>
            <w:tcW w:w="1683" w:type="dxa"/>
          </w:tcPr>
          <w:p w14:paraId="41700367" w14:textId="2B600350" w:rsidR="006366D8" w:rsidRPr="00FE41B7" w:rsidRDefault="006366D8" w:rsidP="006366D8">
            <w:pPr>
              <w:rPr>
                <w:rFonts w:cs="Arial"/>
              </w:rPr>
            </w:pPr>
            <w:r w:rsidRPr="00E05D7D">
              <w:rPr>
                <w:rFonts w:cs="Arial"/>
              </w:rPr>
              <w:t>N/A</w:t>
            </w:r>
          </w:p>
        </w:tc>
        <w:tc>
          <w:tcPr>
            <w:tcW w:w="1683" w:type="dxa"/>
          </w:tcPr>
          <w:p w14:paraId="013F4BBB" w14:textId="7603DB2C" w:rsidR="006366D8" w:rsidRPr="00FE41B7" w:rsidRDefault="006366D8" w:rsidP="006366D8">
            <w:pPr>
              <w:rPr>
                <w:rFonts w:cs="Arial"/>
              </w:rPr>
            </w:pPr>
            <w:r>
              <w:rPr>
                <w:rFonts w:cs="Arial"/>
                <w:b/>
                <w:bCs/>
              </w:rPr>
              <w:t>Directed Further Review</w:t>
            </w:r>
          </w:p>
        </w:tc>
      </w:tr>
      <w:tr w:rsidR="006366D8" w:rsidRPr="009B4E2D" w14:paraId="492CE1AA" w14:textId="77777777" w:rsidTr="00E0709F">
        <w:tc>
          <w:tcPr>
            <w:tcW w:w="2443" w:type="dxa"/>
          </w:tcPr>
          <w:p w14:paraId="7ACB4855" w14:textId="0CBC1FD0" w:rsidR="006366D8" w:rsidRDefault="006366D8" w:rsidP="006366D8">
            <w:pPr>
              <w:rPr>
                <w:rFonts w:cs="Arial"/>
                <w:color w:val="000000"/>
              </w:rPr>
            </w:pPr>
            <w:r w:rsidRPr="006366D8">
              <w:rPr>
                <w:rFonts w:cs="Arial"/>
                <w:color w:val="000000"/>
              </w:rPr>
              <w:lastRenderedPageBreak/>
              <w:t>Cambridge International AS &amp; A Levels</w:t>
            </w:r>
            <w:r>
              <w:rPr>
                <w:rFonts w:cs="Arial"/>
                <w:color w:val="000000"/>
              </w:rPr>
              <w:t>: Exams</w:t>
            </w:r>
          </w:p>
        </w:tc>
        <w:tc>
          <w:tcPr>
            <w:tcW w:w="1895" w:type="dxa"/>
          </w:tcPr>
          <w:p w14:paraId="63A2D053" w14:textId="5043CE53" w:rsidR="006366D8" w:rsidRPr="00C66B4C" w:rsidRDefault="006366D8" w:rsidP="006366D8">
            <w:pPr>
              <w:rPr>
                <w:rFonts w:cs="Arial"/>
                <w:b/>
                <w:bCs/>
              </w:rPr>
            </w:pPr>
            <w:r w:rsidRPr="00E05D7D">
              <w:rPr>
                <w:rFonts w:cs="Arial"/>
              </w:rPr>
              <w:t>N/A</w:t>
            </w:r>
          </w:p>
        </w:tc>
        <w:tc>
          <w:tcPr>
            <w:tcW w:w="1764" w:type="dxa"/>
          </w:tcPr>
          <w:p w14:paraId="781EEC45" w14:textId="7B76DA56" w:rsidR="006366D8" w:rsidRPr="00FE41B7" w:rsidRDefault="006366D8" w:rsidP="006366D8">
            <w:pPr>
              <w:rPr>
                <w:rFonts w:cs="Arial"/>
              </w:rPr>
            </w:pPr>
            <w:r w:rsidRPr="00E05D7D">
              <w:rPr>
                <w:rFonts w:cs="Arial"/>
              </w:rPr>
              <w:t>N/A</w:t>
            </w:r>
          </w:p>
        </w:tc>
        <w:tc>
          <w:tcPr>
            <w:tcW w:w="2070" w:type="dxa"/>
          </w:tcPr>
          <w:p w14:paraId="555B1764" w14:textId="2182FC44" w:rsidR="006366D8" w:rsidRPr="00FE41B7" w:rsidRDefault="006366D8" w:rsidP="006366D8">
            <w:pPr>
              <w:rPr>
                <w:rFonts w:cs="Arial"/>
              </w:rPr>
            </w:pPr>
            <w:r w:rsidRPr="00E05D7D">
              <w:rPr>
                <w:rFonts w:cs="Arial"/>
              </w:rPr>
              <w:t>N/A</w:t>
            </w:r>
          </w:p>
        </w:tc>
        <w:tc>
          <w:tcPr>
            <w:tcW w:w="1072" w:type="dxa"/>
          </w:tcPr>
          <w:p w14:paraId="229D28C7" w14:textId="61C6F35F" w:rsidR="006366D8" w:rsidRPr="00FE41B7" w:rsidRDefault="006366D8" w:rsidP="006366D8">
            <w:pPr>
              <w:rPr>
                <w:rFonts w:cs="Arial"/>
              </w:rPr>
            </w:pPr>
            <w:r w:rsidRPr="00E05D7D">
              <w:rPr>
                <w:rFonts w:cs="Arial"/>
              </w:rPr>
              <w:t>N/A</w:t>
            </w:r>
          </w:p>
        </w:tc>
        <w:tc>
          <w:tcPr>
            <w:tcW w:w="1440" w:type="dxa"/>
          </w:tcPr>
          <w:p w14:paraId="02321EC8" w14:textId="6DF36A4E" w:rsidR="006366D8" w:rsidRPr="00FE41B7" w:rsidRDefault="006366D8" w:rsidP="006366D8">
            <w:pPr>
              <w:rPr>
                <w:rFonts w:cs="Arial"/>
              </w:rPr>
            </w:pPr>
            <w:r w:rsidRPr="00E05D7D">
              <w:rPr>
                <w:rFonts w:cs="Arial"/>
              </w:rPr>
              <w:t>N/A</w:t>
            </w:r>
          </w:p>
        </w:tc>
        <w:tc>
          <w:tcPr>
            <w:tcW w:w="1244" w:type="dxa"/>
          </w:tcPr>
          <w:p w14:paraId="57D392E1" w14:textId="37A602FD" w:rsidR="006366D8" w:rsidRPr="00FE41B7" w:rsidRDefault="006366D8" w:rsidP="006366D8">
            <w:pPr>
              <w:rPr>
                <w:rFonts w:cs="Arial"/>
              </w:rPr>
            </w:pPr>
            <w:r w:rsidRPr="00E05D7D">
              <w:rPr>
                <w:rFonts w:cs="Arial"/>
              </w:rPr>
              <w:t>N/A</w:t>
            </w:r>
          </w:p>
        </w:tc>
        <w:tc>
          <w:tcPr>
            <w:tcW w:w="1276" w:type="dxa"/>
          </w:tcPr>
          <w:p w14:paraId="6AB6B2BB" w14:textId="42C8B2A8" w:rsidR="006366D8" w:rsidRPr="00FE41B7" w:rsidRDefault="006366D8" w:rsidP="006366D8">
            <w:pPr>
              <w:rPr>
                <w:rFonts w:cs="Arial"/>
              </w:rPr>
            </w:pPr>
            <w:r w:rsidRPr="00E05D7D">
              <w:rPr>
                <w:rFonts w:cs="Arial"/>
              </w:rPr>
              <w:t>N/A</w:t>
            </w:r>
          </w:p>
        </w:tc>
        <w:tc>
          <w:tcPr>
            <w:tcW w:w="1683" w:type="dxa"/>
          </w:tcPr>
          <w:p w14:paraId="7DF39D7A" w14:textId="06A963A2" w:rsidR="006366D8" w:rsidRPr="00FE41B7" w:rsidRDefault="006366D8" w:rsidP="006366D8">
            <w:pPr>
              <w:rPr>
                <w:rFonts w:cs="Arial"/>
              </w:rPr>
            </w:pPr>
            <w:r w:rsidRPr="00E05D7D">
              <w:rPr>
                <w:rFonts w:cs="Arial"/>
              </w:rPr>
              <w:t>N/A</w:t>
            </w:r>
          </w:p>
        </w:tc>
        <w:tc>
          <w:tcPr>
            <w:tcW w:w="1683" w:type="dxa"/>
          </w:tcPr>
          <w:p w14:paraId="05ED4098" w14:textId="1D6BD627" w:rsidR="006366D8" w:rsidRPr="00FE41B7" w:rsidRDefault="006366D8" w:rsidP="006366D8">
            <w:pPr>
              <w:rPr>
                <w:rFonts w:cs="Arial"/>
              </w:rPr>
            </w:pPr>
            <w:r w:rsidRPr="00E05D7D">
              <w:rPr>
                <w:rFonts w:cs="Arial"/>
              </w:rPr>
              <w:t>N/A</w:t>
            </w:r>
          </w:p>
        </w:tc>
        <w:tc>
          <w:tcPr>
            <w:tcW w:w="1683" w:type="dxa"/>
          </w:tcPr>
          <w:p w14:paraId="79D3B0A7" w14:textId="0CFC12E2" w:rsidR="006366D8" w:rsidRPr="00FE41B7" w:rsidRDefault="006366D8" w:rsidP="006366D8">
            <w:pPr>
              <w:rPr>
                <w:rFonts w:cs="Arial"/>
              </w:rPr>
            </w:pPr>
            <w:r>
              <w:rPr>
                <w:rFonts w:cs="Arial"/>
                <w:b/>
                <w:bCs/>
              </w:rPr>
              <w:t>Directed Further Review</w:t>
            </w:r>
          </w:p>
        </w:tc>
      </w:tr>
      <w:tr w:rsidR="004D36A2" w:rsidRPr="009B4E2D" w14:paraId="548F113C" w14:textId="77777777" w:rsidTr="00E0709F">
        <w:tc>
          <w:tcPr>
            <w:tcW w:w="2443" w:type="dxa"/>
          </w:tcPr>
          <w:p w14:paraId="524D249C" w14:textId="037A97DF" w:rsidR="004D36A2" w:rsidRPr="006366D8" w:rsidRDefault="004D36A2" w:rsidP="004D36A2">
            <w:pPr>
              <w:rPr>
                <w:rFonts w:cs="Arial"/>
                <w:color w:val="000000"/>
              </w:rPr>
            </w:pPr>
            <w:r>
              <w:rPr>
                <w:rFonts w:cs="Arial"/>
                <w:color w:val="000000"/>
              </w:rPr>
              <w:t>Career Assessment</w:t>
            </w:r>
          </w:p>
        </w:tc>
        <w:tc>
          <w:tcPr>
            <w:tcW w:w="1895" w:type="dxa"/>
          </w:tcPr>
          <w:p w14:paraId="74824A76" w14:textId="3BDD82FC" w:rsidR="004D36A2" w:rsidRPr="00E05D7D" w:rsidRDefault="003547B4" w:rsidP="004D36A2">
            <w:pPr>
              <w:rPr>
                <w:rFonts w:cs="Arial"/>
              </w:rPr>
            </w:pPr>
            <w:r w:rsidRPr="00C66B4C">
              <w:rPr>
                <w:rFonts w:cs="Arial"/>
                <w:b/>
                <w:bCs/>
              </w:rPr>
              <w:t>Directed Further Review</w:t>
            </w:r>
          </w:p>
        </w:tc>
        <w:tc>
          <w:tcPr>
            <w:tcW w:w="1764" w:type="dxa"/>
          </w:tcPr>
          <w:p w14:paraId="456F903F" w14:textId="3666C0BC" w:rsidR="004D36A2" w:rsidRPr="00E05D7D" w:rsidRDefault="004D36A2" w:rsidP="004D36A2">
            <w:pPr>
              <w:rPr>
                <w:rFonts w:cs="Arial"/>
              </w:rPr>
            </w:pPr>
            <w:r w:rsidRPr="00FE41B7">
              <w:rPr>
                <w:rFonts w:cs="Arial"/>
              </w:rPr>
              <w:t>N/A</w:t>
            </w:r>
          </w:p>
        </w:tc>
        <w:tc>
          <w:tcPr>
            <w:tcW w:w="2070" w:type="dxa"/>
          </w:tcPr>
          <w:p w14:paraId="63FD92A2" w14:textId="1EFCB0EF" w:rsidR="004D36A2" w:rsidRPr="00E05D7D" w:rsidRDefault="004D36A2" w:rsidP="004D36A2">
            <w:pPr>
              <w:rPr>
                <w:rFonts w:cs="Arial"/>
              </w:rPr>
            </w:pPr>
            <w:r w:rsidRPr="00FE41B7">
              <w:rPr>
                <w:rFonts w:cs="Arial"/>
              </w:rPr>
              <w:t>N/A</w:t>
            </w:r>
          </w:p>
        </w:tc>
        <w:tc>
          <w:tcPr>
            <w:tcW w:w="1072" w:type="dxa"/>
          </w:tcPr>
          <w:p w14:paraId="11EF3136" w14:textId="5F1C82FC" w:rsidR="004D36A2" w:rsidRPr="00E05D7D" w:rsidRDefault="004D36A2" w:rsidP="004D36A2">
            <w:pPr>
              <w:rPr>
                <w:rFonts w:cs="Arial"/>
              </w:rPr>
            </w:pPr>
            <w:r w:rsidRPr="00FE41B7">
              <w:rPr>
                <w:rFonts w:cs="Arial"/>
              </w:rPr>
              <w:t>N/A</w:t>
            </w:r>
          </w:p>
        </w:tc>
        <w:tc>
          <w:tcPr>
            <w:tcW w:w="1440" w:type="dxa"/>
          </w:tcPr>
          <w:p w14:paraId="203FAEB9" w14:textId="63D9E64B" w:rsidR="004D36A2" w:rsidRPr="00E05D7D" w:rsidRDefault="004D36A2" w:rsidP="004D36A2">
            <w:pPr>
              <w:rPr>
                <w:rFonts w:cs="Arial"/>
              </w:rPr>
            </w:pPr>
            <w:r w:rsidRPr="00FE41B7">
              <w:rPr>
                <w:rFonts w:cs="Arial"/>
              </w:rPr>
              <w:t>N/A</w:t>
            </w:r>
          </w:p>
        </w:tc>
        <w:tc>
          <w:tcPr>
            <w:tcW w:w="1244" w:type="dxa"/>
          </w:tcPr>
          <w:p w14:paraId="461EBB56" w14:textId="3964C8E7" w:rsidR="004D36A2" w:rsidRPr="00E05D7D" w:rsidRDefault="004D36A2" w:rsidP="004D36A2">
            <w:pPr>
              <w:rPr>
                <w:rFonts w:cs="Arial"/>
              </w:rPr>
            </w:pPr>
            <w:r w:rsidRPr="00FE41B7">
              <w:rPr>
                <w:rFonts w:cs="Arial"/>
              </w:rPr>
              <w:t>N/A</w:t>
            </w:r>
          </w:p>
        </w:tc>
        <w:tc>
          <w:tcPr>
            <w:tcW w:w="1276" w:type="dxa"/>
          </w:tcPr>
          <w:p w14:paraId="24059AB3" w14:textId="6A7C10D8" w:rsidR="004D36A2" w:rsidRPr="00E05D7D" w:rsidRDefault="004D36A2" w:rsidP="004D36A2">
            <w:pPr>
              <w:rPr>
                <w:rFonts w:cs="Arial"/>
              </w:rPr>
            </w:pPr>
            <w:r w:rsidRPr="00FE41B7">
              <w:rPr>
                <w:rFonts w:cs="Arial"/>
              </w:rPr>
              <w:t>N/A</w:t>
            </w:r>
          </w:p>
        </w:tc>
        <w:tc>
          <w:tcPr>
            <w:tcW w:w="1683" w:type="dxa"/>
          </w:tcPr>
          <w:p w14:paraId="060C914F" w14:textId="349F20E3" w:rsidR="004D36A2" w:rsidRPr="00E05D7D" w:rsidRDefault="004D36A2" w:rsidP="004D36A2">
            <w:pPr>
              <w:rPr>
                <w:rFonts w:cs="Arial"/>
              </w:rPr>
            </w:pPr>
            <w:r w:rsidRPr="00FE41B7">
              <w:rPr>
                <w:rFonts w:cs="Arial"/>
              </w:rPr>
              <w:t>N/A</w:t>
            </w:r>
          </w:p>
        </w:tc>
        <w:tc>
          <w:tcPr>
            <w:tcW w:w="1683" w:type="dxa"/>
          </w:tcPr>
          <w:p w14:paraId="2B2F33BB" w14:textId="57BD65F3" w:rsidR="004D36A2" w:rsidRPr="00E05D7D" w:rsidRDefault="004D36A2" w:rsidP="004D36A2">
            <w:pPr>
              <w:rPr>
                <w:rFonts w:cs="Arial"/>
              </w:rPr>
            </w:pPr>
            <w:r w:rsidRPr="00FE41B7">
              <w:rPr>
                <w:rFonts w:cs="Arial"/>
              </w:rPr>
              <w:t>N/A</w:t>
            </w:r>
          </w:p>
        </w:tc>
        <w:tc>
          <w:tcPr>
            <w:tcW w:w="1683" w:type="dxa"/>
          </w:tcPr>
          <w:p w14:paraId="4CE050F8" w14:textId="17FD120B" w:rsidR="004D36A2" w:rsidRDefault="004D36A2" w:rsidP="004D36A2">
            <w:pPr>
              <w:rPr>
                <w:rFonts w:cs="Arial"/>
                <w:b/>
                <w:bCs/>
              </w:rPr>
            </w:pPr>
            <w:r w:rsidRPr="00FE41B7">
              <w:rPr>
                <w:rFonts w:cs="Arial"/>
              </w:rPr>
              <w:t>N/A</w:t>
            </w:r>
          </w:p>
        </w:tc>
      </w:tr>
      <w:tr w:rsidR="004075D8" w:rsidRPr="009B4E2D" w14:paraId="0F9BD596" w14:textId="77777777" w:rsidTr="00E0709F">
        <w:tc>
          <w:tcPr>
            <w:tcW w:w="2443" w:type="dxa"/>
          </w:tcPr>
          <w:p w14:paraId="67E206F8" w14:textId="141AD81C" w:rsidR="004075D8" w:rsidRPr="009B4E2D" w:rsidRDefault="00E245BF">
            <w:pPr>
              <w:rPr>
                <w:rFonts w:cs="Arial"/>
                <w:color w:val="000000"/>
              </w:rPr>
            </w:pPr>
            <w:r w:rsidRPr="009B4E2D">
              <w:rPr>
                <w:rFonts w:cs="Arial"/>
                <w:color w:val="000000"/>
              </w:rPr>
              <w:t xml:space="preserve">College Credit </w:t>
            </w:r>
            <w:r w:rsidR="004075D8" w:rsidRPr="009B4E2D">
              <w:rPr>
                <w:rFonts w:cs="Arial"/>
                <w:color w:val="000000"/>
              </w:rPr>
              <w:t>(formally</w:t>
            </w:r>
            <w:r w:rsidR="0079443D">
              <w:rPr>
                <w:rFonts w:cs="Arial"/>
                <w:color w:val="000000"/>
              </w:rPr>
              <w:t xml:space="preserve"> </w:t>
            </w:r>
            <w:r w:rsidR="0079443D" w:rsidRPr="009B4E2D">
              <w:rPr>
                <w:rFonts w:cs="Arial"/>
                <w:color w:val="000000"/>
              </w:rPr>
              <w:t>Dual Enrollment</w:t>
            </w:r>
            <w:r w:rsidR="004075D8" w:rsidRPr="009B4E2D">
              <w:rPr>
                <w:rFonts w:cs="Arial"/>
                <w:color w:val="000000"/>
              </w:rPr>
              <w:t>)</w:t>
            </w:r>
          </w:p>
        </w:tc>
        <w:tc>
          <w:tcPr>
            <w:tcW w:w="1895" w:type="dxa"/>
          </w:tcPr>
          <w:p w14:paraId="653254B3" w14:textId="77777777" w:rsidR="004075D8" w:rsidRPr="00E10D5D" w:rsidRDefault="004075D8">
            <w:pPr>
              <w:rPr>
                <w:rFonts w:cs="Arial"/>
                <w:b/>
                <w:bCs/>
              </w:rPr>
            </w:pPr>
            <w:r w:rsidRPr="00E10D5D">
              <w:rPr>
                <w:rFonts w:cs="Arial"/>
                <w:b/>
                <w:bCs/>
              </w:rPr>
              <w:t>Adopted</w:t>
            </w:r>
          </w:p>
        </w:tc>
        <w:tc>
          <w:tcPr>
            <w:tcW w:w="1764" w:type="dxa"/>
          </w:tcPr>
          <w:p w14:paraId="56E8337D" w14:textId="281A443B" w:rsidR="004075D8" w:rsidRPr="006D0445" w:rsidRDefault="004075D8">
            <w:pPr>
              <w:rPr>
                <w:rFonts w:cs="Arial"/>
                <w:b/>
                <w:bCs/>
              </w:rPr>
            </w:pPr>
            <w:r w:rsidRPr="006D0445">
              <w:rPr>
                <w:rFonts w:cs="Arial"/>
                <w:b/>
                <w:bCs/>
              </w:rPr>
              <w:t>Criteria</w:t>
            </w:r>
            <w:r w:rsidR="003547B4" w:rsidRPr="006D0445">
              <w:rPr>
                <w:rFonts w:cs="Arial"/>
                <w:b/>
                <w:bCs/>
              </w:rPr>
              <w:t xml:space="preserve"> Adjusted</w:t>
            </w:r>
          </w:p>
        </w:tc>
        <w:tc>
          <w:tcPr>
            <w:tcW w:w="2070" w:type="dxa"/>
          </w:tcPr>
          <w:p w14:paraId="250C21CC" w14:textId="77777777" w:rsidR="004075D8" w:rsidRPr="009B4E2D" w:rsidRDefault="004075D8">
            <w:pPr>
              <w:rPr>
                <w:rFonts w:cs="Arial"/>
              </w:rPr>
            </w:pPr>
            <w:r w:rsidRPr="002F3857">
              <w:rPr>
                <w:rFonts w:cs="Arial"/>
              </w:rPr>
              <w:t>N/A</w:t>
            </w:r>
          </w:p>
        </w:tc>
        <w:tc>
          <w:tcPr>
            <w:tcW w:w="1072" w:type="dxa"/>
          </w:tcPr>
          <w:p w14:paraId="5D794B5A" w14:textId="77777777" w:rsidR="004075D8" w:rsidRPr="009B4E2D" w:rsidRDefault="004075D8">
            <w:pPr>
              <w:rPr>
                <w:rFonts w:cs="Arial"/>
              </w:rPr>
            </w:pPr>
            <w:r w:rsidRPr="008F0538">
              <w:rPr>
                <w:rFonts w:cs="Arial"/>
              </w:rPr>
              <w:t>N/A</w:t>
            </w:r>
          </w:p>
        </w:tc>
        <w:tc>
          <w:tcPr>
            <w:tcW w:w="1440" w:type="dxa"/>
          </w:tcPr>
          <w:p w14:paraId="114C9709" w14:textId="77777777" w:rsidR="004075D8" w:rsidRPr="009B4E2D" w:rsidRDefault="004075D8">
            <w:pPr>
              <w:rPr>
                <w:rFonts w:cs="Arial"/>
              </w:rPr>
            </w:pPr>
            <w:r w:rsidRPr="002F3857">
              <w:rPr>
                <w:rFonts w:cs="Arial"/>
              </w:rPr>
              <w:t>N/A</w:t>
            </w:r>
          </w:p>
        </w:tc>
        <w:tc>
          <w:tcPr>
            <w:tcW w:w="1244" w:type="dxa"/>
          </w:tcPr>
          <w:p w14:paraId="424AF7DB" w14:textId="77777777" w:rsidR="004075D8" w:rsidRPr="009B4E2D" w:rsidRDefault="004075D8">
            <w:pPr>
              <w:rPr>
                <w:rFonts w:cs="Arial"/>
              </w:rPr>
            </w:pPr>
            <w:r w:rsidRPr="002F3857">
              <w:rPr>
                <w:rFonts w:cs="Arial"/>
              </w:rPr>
              <w:t>N/A</w:t>
            </w:r>
          </w:p>
        </w:tc>
        <w:tc>
          <w:tcPr>
            <w:tcW w:w="1276" w:type="dxa"/>
          </w:tcPr>
          <w:p w14:paraId="51136041" w14:textId="77777777" w:rsidR="004075D8" w:rsidRPr="009B4E2D" w:rsidRDefault="004075D8">
            <w:pPr>
              <w:rPr>
                <w:rFonts w:cs="Arial"/>
              </w:rPr>
            </w:pPr>
            <w:r w:rsidRPr="002F3857">
              <w:rPr>
                <w:rFonts w:cs="Arial"/>
              </w:rPr>
              <w:t>N/A</w:t>
            </w:r>
          </w:p>
        </w:tc>
        <w:tc>
          <w:tcPr>
            <w:tcW w:w="1683" w:type="dxa"/>
          </w:tcPr>
          <w:p w14:paraId="6F607354" w14:textId="77777777" w:rsidR="004075D8" w:rsidRPr="009B4E2D" w:rsidRDefault="004075D8">
            <w:pPr>
              <w:rPr>
                <w:rFonts w:cs="Arial"/>
              </w:rPr>
            </w:pPr>
            <w:r w:rsidRPr="002F3857">
              <w:rPr>
                <w:rFonts w:cs="Arial"/>
              </w:rPr>
              <w:t>N/A</w:t>
            </w:r>
          </w:p>
        </w:tc>
        <w:tc>
          <w:tcPr>
            <w:tcW w:w="1683" w:type="dxa"/>
          </w:tcPr>
          <w:p w14:paraId="623555EC" w14:textId="77777777" w:rsidR="004075D8" w:rsidRPr="009B4E2D" w:rsidRDefault="004075D8">
            <w:pPr>
              <w:rPr>
                <w:rFonts w:cs="Arial"/>
              </w:rPr>
            </w:pPr>
            <w:r w:rsidRPr="002F3857">
              <w:rPr>
                <w:rFonts w:cs="Arial"/>
              </w:rPr>
              <w:t>N/A</w:t>
            </w:r>
          </w:p>
        </w:tc>
        <w:tc>
          <w:tcPr>
            <w:tcW w:w="1683" w:type="dxa"/>
          </w:tcPr>
          <w:p w14:paraId="332E3B0B" w14:textId="77777777" w:rsidR="004075D8" w:rsidRPr="009B4E2D" w:rsidRDefault="004075D8">
            <w:pPr>
              <w:rPr>
                <w:rFonts w:cs="Arial"/>
              </w:rPr>
            </w:pPr>
            <w:r w:rsidRPr="0047400A">
              <w:rPr>
                <w:rFonts w:cs="Arial"/>
                <w:b/>
                <w:bCs/>
              </w:rPr>
              <w:t>Criteria</w:t>
            </w:r>
            <w:r>
              <w:rPr>
                <w:rFonts w:cs="Arial"/>
                <w:b/>
                <w:bCs/>
              </w:rPr>
              <w:t xml:space="preserve"> </w:t>
            </w:r>
            <w:r w:rsidRPr="0047400A">
              <w:rPr>
                <w:rFonts w:cs="Arial"/>
                <w:b/>
                <w:bCs/>
              </w:rPr>
              <w:t>Adjusted</w:t>
            </w:r>
          </w:p>
        </w:tc>
      </w:tr>
      <w:tr w:rsidR="003547B4" w:rsidRPr="009B4E2D" w14:paraId="2D1AE773" w14:textId="77777777" w:rsidTr="00E0709F">
        <w:tc>
          <w:tcPr>
            <w:tcW w:w="2443" w:type="dxa"/>
          </w:tcPr>
          <w:p w14:paraId="685DA4FF" w14:textId="77777777" w:rsidR="003547B4" w:rsidRPr="009B4E2D" w:rsidRDefault="003547B4" w:rsidP="003547B4">
            <w:pPr>
              <w:rPr>
                <w:rFonts w:cs="Arial"/>
                <w:color w:val="000000"/>
              </w:rPr>
            </w:pPr>
            <w:r>
              <w:rPr>
                <w:rFonts w:cs="Arial"/>
                <w:color w:val="000000"/>
              </w:rPr>
              <w:t>Early Assessment Program</w:t>
            </w:r>
          </w:p>
        </w:tc>
        <w:tc>
          <w:tcPr>
            <w:tcW w:w="1895" w:type="dxa"/>
          </w:tcPr>
          <w:p w14:paraId="6B8FABBE" w14:textId="3F88C7C5" w:rsidR="003547B4" w:rsidRPr="00C66B4C" w:rsidRDefault="003547B4" w:rsidP="003547B4">
            <w:pPr>
              <w:rPr>
                <w:rFonts w:cs="Arial"/>
                <w:b/>
                <w:bCs/>
              </w:rPr>
            </w:pPr>
            <w:r w:rsidRPr="00B62E69">
              <w:rPr>
                <w:rFonts w:cs="Arial"/>
                <w:b/>
                <w:bCs/>
              </w:rPr>
              <w:t>Directed Further Review</w:t>
            </w:r>
          </w:p>
        </w:tc>
        <w:tc>
          <w:tcPr>
            <w:tcW w:w="1764" w:type="dxa"/>
          </w:tcPr>
          <w:p w14:paraId="01BC8174" w14:textId="77777777" w:rsidR="003547B4" w:rsidRPr="009B4E2D" w:rsidRDefault="003547B4" w:rsidP="003547B4">
            <w:pPr>
              <w:rPr>
                <w:rFonts w:cs="Arial"/>
              </w:rPr>
            </w:pPr>
            <w:r w:rsidRPr="00CA08DD">
              <w:rPr>
                <w:rFonts w:cs="Arial"/>
              </w:rPr>
              <w:t>N/A</w:t>
            </w:r>
          </w:p>
        </w:tc>
        <w:tc>
          <w:tcPr>
            <w:tcW w:w="2070" w:type="dxa"/>
          </w:tcPr>
          <w:p w14:paraId="37BEE222" w14:textId="77777777" w:rsidR="003547B4" w:rsidRPr="009B4E2D" w:rsidRDefault="003547B4" w:rsidP="003547B4">
            <w:pPr>
              <w:rPr>
                <w:rFonts w:cs="Arial"/>
              </w:rPr>
            </w:pPr>
            <w:r w:rsidRPr="00CA08DD">
              <w:rPr>
                <w:rFonts w:cs="Arial"/>
              </w:rPr>
              <w:t>N/A</w:t>
            </w:r>
          </w:p>
        </w:tc>
        <w:tc>
          <w:tcPr>
            <w:tcW w:w="1072" w:type="dxa"/>
          </w:tcPr>
          <w:p w14:paraId="30F60587" w14:textId="77777777" w:rsidR="003547B4" w:rsidRPr="009B4E2D" w:rsidRDefault="003547B4" w:rsidP="003547B4">
            <w:pPr>
              <w:rPr>
                <w:rFonts w:cs="Arial"/>
              </w:rPr>
            </w:pPr>
            <w:r w:rsidRPr="00CA08DD">
              <w:rPr>
                <w:rFonts w:cs="Arial"/>
              </w:rPr>
              <w:t>N/A</w:t>
            </w:r>
          </w:p>
        </w:tc>
        <w:tc>
          <w:tcPr>
            <w:tcW w:w="1440" w:type="dxa"/>
          </w:tcPr>
          <w:p w14:paraId="693EC7FC" w14:textId="77777777" w:rsidR="003547B4" w:rsidRPr="009B4E2D" w:rsidRDefault="003547B4" w:rsidP="003547B4">
            <w:pPr>
              <w:rPr>
                <w:rFonts w:cs="Arial"/>
              </w:rPr>
            </w:pPr>
            <w:r w:rsidRPr="00CA08DD">
              <w:rPr>
                <w:rFonts w:cs="Arial"/>
              </w:rPr>
              <w:t>N/A</w:t>
            </w:r>
          </w:p>
        </w:tc>
        <w:tc>
          <w:tcPr>
            <w:tcW w:w="1244" w:type="dxa"/>
          </w:tcPr>
          <w:p w14:paraId="288AF460" w14:textId="77777777" w:rsidR="003547B4" w:rsidRPr="009B4E2D" w:rsidRDefault="003547B4" w:rsidP="003547B4">
            <w:pPr>
              <w:rPr>
                <w:rFonts w:cs="Arial"/>
              </w:rPr>
            </w:pPr>
            <w:r w:rsidRPr="00CA08DD">
              <w:rPr>
                <w:rFonts w:cs="Arial"/>
              </w:rPr>
              <w:t>N/A</w:t>
            </w:r>
          </w:p>
        </w:tc>
        <w:tc>
          <w:tcPr>
            <w:tcW w:w="1276" w:type="dxa"/>
          </w:tcPr>
          <w:p w14:paraId="75CDDAF1" w14:textId="77777777" w:rsidR="003547B4" w:rsidRPr="009B4E2D" w:rsidRDefault="003547B4" w:rsidP="003547B4">
            <w:pPr>
              <w:rPr>
                <w:rFonts w:cs="Arial"/>
              </w:rPr>
            </w:pPr>
            <w:r w:rsidRPr="00CA08DD">
              <w:rPr>
                <w:rFonts w:cs="Arial"/>
              </w:rPr>
              <w:t>N/A</w:t>
            </w:r>
          </w:p>
        </w:tc>
        <w:tc>
          <w:tcPr>
            <w:tcW w:w="1683" w:type="dxa"/>
          </w:tcPr>
          <w:p w14:paraId="7555481C" w14:textId="77777777" w:rsidR="003547B4" w:rsidRPr="009B4E2D" w:rsidRDefault="003547B4" w:rsidP="003547B4">
            <w:pPr>
              <w:rPr>
                <w:rFonts w:cs="Arial"/>
              </w:rPr>
            </w:pPr>
            <w:r w:rsidRPr="00CA08DD">
              <w:rPr>
                <w:rFonts w:cs="Arial"/>
              </w:rPr>
              <w:t>N/A</w:t>
            </w:r>
          </w:p>
        </w:tc>
        <w:tc>
          <w:tcPr>
            <w:tcW w:w="1683" w:type="dxa"/>
          </w:tcPr>
          <w:p w14:paraId="63BC3E0D" w14:textId="77777777" w:rsidR="003547B4" w:rsidRPr="009B4E2D" w:rsidRDefault="003547B4" w:rsidP="003547B4">
            <w:pPr>
              <w:rPr>
                <w:rFonts w:cs="Arial"/>
              </w:rPr>
            </w:pPr>
            <w:r w:rsidRPr="00CA08DD">
              <w:rPr>
                <w:rFonts w:cs="Arial"/>
              </w:rPr>
              <w:t>N/A</w:t>
            </w:r>
          </w:p>
        </w:tc>
        <w:tc>
          <w:tcPr>
            <w:tcW w:w="1683" w:type="dxa"/>
          </w:tcPr>
          <w:p w14:paraId="47A55782" w14:textId="0ABEE74E" w:rsidR="003547B4" w:rsidRPr="009B4E2D" w:rsidRDefault="003547B4" w:rsidP="003547B4">
            <w:pPr>
              <w:rPr>
                <w:rFonts w:cs="Arial"/>
              </w:rPr>
            </w:pPr>
            <w:r w:rsidRPr="00CA08DD">
              <w:rPr>
                <w:rFonts w:cs="Arial"/>
              </w:rPr>
              <w:t>N/A</w:t>
            </w:r>
          </w:p>
        </w:tc>
      </w:tr>
      <w:tr w:rsidR="003547B4" w:rsidRPr="009B4E2D" w14:paraId="3756F121" w14:textId="77777777" w:rsidTr="00E0709F">
        <w:tc>
          <w:tcPr>
            <w:tcW w:w="2443" w:type="dxa"/>
          </w:tcPr>
          <w:p w14:paraId="697DD882" w14:textId="77777777" w:rsidR="003547B4" w:rsidRPr="009B4E2D" w:rsidRDefault="003547B4" w:rsidP="003547B4">
            <w:pPr>
              <w:rPr>
                <w:rFonts w:cs="Arial"/>
                <w:color w:val="000000"/>
              </w:rPr>
            </w:pPr>
            <w:r w:rsidRPr="009B4E2D">
              <w:rPr>
                <w:rFonts w:cs="Arial"/>
                <w:color w:val="000000"/>
              </w:rPr>
              <w:t>Golden State Seal Merit Diploma</w:t>
            </w:r>
          </w:p>
        </w:tc>
        <w:tc>
          <w:tcPr>
            <w:tcW w:w="1895" w:type="dxa"/>
          </w:tcPr>
          <w:p w14:paraId="1BE7DE00" w14:textId="16E20C60" w:rsidR="003547B4" w:rsidRPr="00C66B4C" w:rsidRDefault="003547B4" w:rsidP="003547B4">
            <w:pPr>
              <w:rPr>
                <w:rFonts w:cs="Arial"/>
                <w:b/>
                <w:bCs/>
              </w:rPr>
            </w:pPr>
            <w:r w:rsidRPr="00B62E69">
              <w:rPr>
                <w:rFonts w:cs="Arial"/>
                <w:b/>
                <w:bCs/>
              </w:rPr>
              <w:t>Directed Further Review</w:t>
            </w:r>
          </w:p>
        </w:tc>
        <w:tc>
          <w:tcPr>
            <w:tcW w:w="1764" w:type="dxa"/>
          </w:tcPr>
          <w:p w14:paraId="293C799F" w14:textId="77777777" w:rsidR="003547B4" w:rsidRPr="00C66B4C" w:rsidRDefault="003547B4" w:rsidP="003547B4">
            <w:pPr>
              <w:rPr>
                <w:rFonts w:cs="Arial"/>
                <w:b/>
                <w:bCs/>
              </w:rPr>
            </w:pPr>
            <w:r w:rsidRPr="00C66B4C">
              <w:rPr>
                <w:rFonts w:cs="Arial"/>
                <w:b/>
                <w:bCs/>
              </w:rPr>
              <w:t>Under Review</w:t>
            </w:r>
          </w:p>
        </w:tc>
        <w:tc>
          <w:tcPr>
            <w:tcW w:w="2070" w:type="dxa"/>
          </w:tcPr>
          <w:p w14:paraId="10129784" w14:textId="6B142206" w:rsidR="003547B4" w:rsidRPr="009B4E2D" w:rsidRDefault="003547B4" w:rsidP="003547B4">
            <w:pPr>
              <w:rPr>
                <w:rFonts w:cs="Arial"/>
              </w:rPr>
            </w:pPr>
            <w:r w:rsidRPr="00C66B4C">
              <w:rPr>
                <w:rFonts w:cs="Arial"/>
                <w:b/>
                <w:bCs/>
              </w:rPr>
              <w:t>Data Analysis Provided; No Action Taken</w:t>
            </w:r>
          </w:p>
        </w:tc>
        <w:tc>
          <w:tcPr>
            <w:tcW w:w="1072" w:type="dxa"/>
          </w:tcPr>
          <w:p w14:paraId="344B52C2" w14:textId="77777777" w:rsidR="003547B4" w:rsidRPr="009B4E2D" w:rsidRDefault="003547B4" w:rsidP="003547B4">
            <w:pPr>
              <w:rPr>
                <w:rFonts w:cs="Arial"/>
              </w:rPr>
            </w:pPr>
            <w:r w:rsidRPr="008F0538">
              <w:rPr>
                <w:rFonts w:cs="Arial"/>
              </w:rPr>
              <w:t>N/A</w:t>
            </w:r>
          </w:p>
        </w:tc>
        <w:tc>
          <w:tcPr>
            <w:tcW w:w="1440" w:type="dxa"/>
          </w:tcPr>
          <w:p w14:paraId="48B2B1F8" w14:textId="77777777" w:rsidR="003547B4" w:rsidRPr="009B4E2D" w:rsidRDefault="003547B4" w:rsidP="003547B4">
            <w:pPr>
              <w:rPr>
                <w:rFonts w:cs="Arial"/>
              </w:rPr>
            </w:pPr>
            <w:r w:rsidRPr="006C618A">
              <w:rPr>
                <w:rFonts w:cs="Arial"/>
              </w:rPr>
              <w:t>N/A</w:t>
            </w:r>
          </w:p>
        </w:tc>
        <w:tc>
          <w:tcPr>
            <w:tcW w:w="1244" w:type="dxa"/>
          </w:tcPr>
          <w:p w14:paraId="0A625A9A" w14:textId="77777777" w:rsidR="003547B4" w:rsidRPr="009B4E2D" w:rsidRDefault="003547B4" w:rsidP="003547B4">
            <w:pPr>
              <w:rPr>
                <w:rFonts w:cs="Arial"/>
              </w:rPr>
            </w:pPr>
            <w:r w:rsidRPr="006C618A">
              <w:rPr>
                <w:rFonts w:cs="Arial"/>
              </w:rPr>
              <w:t>N/A</w:t>
            </w:r>
          </w:p>
        </w:tc>
        <w:tc>
          <w:tcPr>
            <w:tcW w:w="1276" w:type="dxa"/>
          </w:tcPr>
          <w:p w14:paraId="7A3A81CF" w14:textId="77777777" w:rsidR="003547B4" w:rsidRPr="009B4E2D" w:rsidRDefault="003547B4" w:rsidP="003547B4">
            <w:pPr>
              <w:rPr>
                <w:rFonts w:cs="Arial"/>
              </w:rPr>
            </w:pPr>
            <w:r w:rsidRPr="006C618A">
              <w:rPr>
                <w:rFonts w:cs="Arial"/>
              </w:rPr>
              <w:t>N/A</w:t>
            </w:r>
          </w:p>
        </w:tc>
        <w:tc>
          <w:tcPr>
            <w:tcW w:w="1683" w:type="dxa"/>
          </w:tcPr>
          <w:p w14:paraId="3192E76C" w14:textId="77777777" w:rsidR="003547B4" w:rsidRPr="009B4E2D" w:rsidRDefault="003547B4" w:rsidP="003547B4">
            <w:pPr>
              <w:rPr>
                <w:rFonts w:cs="Arial"/>
              </w:rPr>
            </w:pPr>
            <w:r w:rsidRPr="006C618A">
              <w:rPr>
                <w:rFonts w:cs="Arial"/>
              </w:rPr>
              <w:t>N/A</w:t>
            </w:r>
          </w:p>
        </w:tc>
        <w:tc>
          <w:tcPr>
            <w:tcW w:w="1683" w:type="dxa"/>
          </w:tcPr>
          <w:p w14:paraId="6BC4F293" w14:textId="77777777" w:rsidR="003547B4" w:rsidRPr="009B4E2D" w:rsidRDefault="003547B4" w:rsidP="003547B4">
            <w:pPr>
              <w:rPr>
                <w:rFonts w:cs="Arial"/>
              </w:rPr>
            </w:pPr>
            <w:r w:rsidRPr="006C618A">
              <w:rPr>
                <w:rFonts w:cs="Arial"/>
              </w:rPr>
              <w:t>N/A</w:t>
            </w:r>
          </w:p>
        </w:tc>
        <w:tc>
          <w:tcPr>
            <w:tcW w:w="1683" w:type="dxa"/>
          </w:tcPr>
          <w:p w14:paraId="7D9AD128" w14:textId="77777777" w:rsidR="003547B4" w:rsidRPr="009B4E2D" w:rsidRDefault="003547B4" w:rsidP="003547B4">
            <w:pPr>
              <w:rPr>
                <w:rFonts w:cs="Arial"/>
              </w:rPr>
            </w:pPr>
            <w:r w:rsidRPr="006C618A">
              <w:rPr>
                <w:rFonts w:cs="Arial"/>
              </w:rPr>
              <w:t>N/A</w:t>
            </w:r>
          </w:p>
        </w:tc>
      </w:tr>
      <w:tr w:rsidR="003547B4" w:rsidRPr="009B4E2D" w14:paraId="2A583A72" w14:textId="77777777" w:rsidTr="00E0709F">
        <w:tc>
          <w:tcPr>
            <w:tcW w:w="2443" w:type="dxa"/>
          </w:tcPr>
          <w:p w14:paraId="66226D06" w14:textId="791CC7B2" w:rsidR="003547B4" w:rsidRPr="009B4E2D" w:rsidRDefault="003547B4" w:rsidP="003547B4">
            <w:pPr>
              <w:rPr>
                <w:rFonts w:cs="Arial"/>
                <w:color w:val="000000"/>
              </w:rPr>
            </w:pPr>
            <w:r w:rsidRPr="009B4E2D">
              <w:rPr>
                <w:rFonts w:cs="Arial"/>
                <w:color w:val="000000"/>
              </w:rPr>
              <w:t>Grade Point Average</w:t>
            </w:r>
          </w:p>
        </w:tc>
        <w:tc>
          <w:tcPr>
            <w:tcW w:w="1895" w:type="dxa"/>
          </w:tcPr>
          <w:p w14:paraId="51BD7A10" w14:textId="478138E2" w:rsidR="003547B4" w:rsidRPr="00C66B4C" w:rsidRDefault="003547B4" w:rsidP="003547B4">
            <w:pPr>
              <w:rPr>
                <w:rFonts w:cs="Arial"/>
                <w:b/>
                <w:bCs/>
              </w:rPr>
            </w:pPr>
            <w:r w:rsidRPr="00B62E69">
              <w:rPr>
                <w:rFonts w:cs="Arial"/>
                <w:b/>
                <w:bCs/>
              </w:rPr>
              <w:t>Directed Further Review</w:t>
            </w:r>
          </w:p>
        </w:tc>
        <w:tc>
          <w:tcPr>
            <w:tcW w:w="1764" w:type="dxa"/>
          </w:tcPr>
          <w:p w14:paraId="6D008D74" w14:textId="2AF938F4" w:rsidR="003547B4" w:rsidRPr="00C66B4C" w:rsidRDefault="003547B4" w:rsidP="003547B4">
            <w:pPr>
              <w:rPr>
                <w:rFonts w:cs="Arial"/>
                <w:b/>
                <w:bCs/>
              </w:rPr>
            </w:pPr>
            <w:r>
              <w:rPr>
                <w:rFonts w:cs="Arial"/>
              </w:rPr>
              <w:t>N/A</w:t>
            </w:r>
          </w:p>
        </w:tc>
        <w:tc>
          <w:tcPr>
            <w:tcW w:w="2070" w:type="dxa"/>
          </w:tcPr>
          <w:p w14:paraId="493F8C95" w14:textId="360AA8A1" w:rsidR="003547B4" w:rsidRPr="00C66B4C" w:rsidRDefault="003547B4" w:rsidP="003547B4">
            <w:pPr>
              <w:rPr>
                <w:rFonts w:cs="Arial"/>
                <w:b/>
                <w:bCs/>
              </w:rPr>
            </w:pPr>
            <w:r w:rsidRPr="00B46CDB">
              <w:rPr>
                <w:rFonts w:cs="Arial"/>
              </w:rPr>
              <w:t>N/A</w:t>
            </w:r>
          </w:p>
        </w:tc>
        <w:tc>
          <w:tcPr>
            <w:tcW w:w="1072" w:type="dxa"/>
          </w:tcPr>
          <w:p w14:paraId="26010A45" w14:textId="51F406F9" w:rsidR="003547B4" w:rsidRPr="008F0538" w:rsidRDefault="003547B4" w:rsidP="003547B4">
            <w:pPr>
              <w:rPr>
                <w:rFonts w:cs="Arial"/>
              </w:rPr>
            </w:pPr>
            <w:r w:rsidRPr="00B46CDB">
              <w:rPr>
                <w:rFonts w:cs="Arial"/>
              </w:rPr>
              <w:t>N/A</w:t>
            </w:r>
          </w:p>
        </w:tc>
        <w:tc>
          <w:tcPr>
            <w:tcW w:w="1440" w:type="dxa"/>
          </w:tcPr>
          <w:p w14:paraId="10F3C040" w14:textId="19BC5A2C" w:rsidR="003547B4" w:rsidRPr="006C618A" w:rsidRDefault="003547B4" w:rsidP="003547B4">
            <w:pPr>
              <w:rPr>
                <w:rFonts w:cs="Arial"/>
              </w:rPr>
            </w:pPr>
            <w:r w:rsidRPr="00B46CDB">
              <w:rPr>
                <w:rFonts w:cs="Arial"/>
              </w:rPr>
              <w:t>N/A</w:t>
            </w:r>
          </w:p>
        </w:tc>
        <w:tc>
          <w:tcPr>
            <w:tcW w:w="1244" w:type="dxa"/>
          </w:tcPr>
          <w:p w14:paraId="72232027" w14:textId="69DC0A0C" w:rsidR="003547B4" w:rsidRPr="006C618A" w:rsidRDefault="003547B4" w:rsidP="003547B4">
            <w:pPr>
              <w:rPr>
                <w:rFonts w:cs="Arial"/>
              </w:rPr>
            </w:pPr>
            <w:r w:rsidRPr="00B46CDB">
              <w:rPr>
                <w:rFonts w:cs="Arial"/>
              </w:rPr>
              <w:t>N/A</w:t>
            </w:r>
          </w:p>
        </w:tc>
        <w:tc>
          <w:tcPr>
            <w:tcW w:w="1276" w:type="dxa"/>
          </w:tcPr>
          <w:p w14:paraId="48956E41" w14:textId="397A53D0" w:rsidR="003547B4" w:rsidRPr="006C618A" w:rsidRDefault="003547B4" w:rsidP="003547B4">
            <w:pPr>
              <w:rPr>
                <w:rFonts w:cs="Arial"/>
              </w:rPr>
            </w:pPr>
            <w:r w:rsidRPr="00B46CDB">
              <w:rPr>
                <w:rFonts w:cs="Arial"/>
              </w:rPr>
              <w:t>N/A</w:t>
            </w:r>
          </w:p>
        </w:tc>
        <w:tc>
          <w:tcPr>
            <w:tcW w:w="1683" w:type="dxa"/>
          </w:tcPr>
          <w:p w14:paraId="27B397A5" w14:textId="24EE2A28" w:rsidR="003547B4" w:rsidRPr="006C618A" w:rsidRDefault="003547B4" w:rsidP="003547B4">
            <w:pPr>
              <w:rPr>
                <w:rFonts w:cs="Arial"/>
              </w:rPr>
            </w:pPr>
            <w:r w:rsidRPr="00B46CDB">
              <w:rPr>
                <w:rFonts w:cs="Arial"/>
              </w:rPr>
              <w:t>N/A</w:t>
            </w:r>
          </w:p>
        </w:tc>
        <w:tc>
          <w:tcPr>
            <w:tcW w:w="1683" w:type="dxa"/>
          </w:tcPr>
          <w:p w14:paraId="2FCD5B3A" w14:textId="5FD400F8" w:rsidR="003547B4" w:rsidRPr="006C618A" w:rsidRDefault="003547B4" w:rsidP="003547B4">
            <w:pPr>
              <w:rPr>
                <w:rFonts w:cs="Arial"/>
              </w:rPr>
            </w:pPr>
            <w:r w:rsidRPr="00B46CDB">
              <w:rPr>
                <w:rFonts w:cs="Arial"/>
              </w:rPr>
              <w:t>N/A</w:t>
            </w:r>
          </w:p>
        </w:tc>
        <w:tc>
          <w:tcPr>
            <w:tcW w:w="1683" w:type="dxa"/>
          </w:tcPr>
          <w:p w14:paraId="74318214" w14:textId="63360C06" w:rsidR="003547B4" w:rsidRPr="006C618A" w:rsidRDefault="003547B4" w:rsidP="003547B4">
            <w:pPr>
              <w:rPr>
                <w:rFonts w:cs="Arial"/>
              </w:rPr>
            </w:pPr>
            <w:r w:rsidRPr="00B46CDB">
              <w:rPr>
                <w:rFonts w:cs="Arial"/>
              </w:rPr>
              <w:t>N/A</w:t>
            </w:r>
          </w:p>
        </w:tc>
      </w:tr>
      <w:tr w:rsidR="004075D8" w:rsidRPr="009B4E2D" w14:paraId="0726F650" w14:textId="77777777" w:rsidTr="00E0709F">
        <w:tc>
          <w:tcPr>
            <w:tcW w:w="2443" w:type="dxa"/>
          </w:tcPr>
          <w:p w14:paraId="1D6D53BC" w14:textId="77777777" w:rsidR="004075D8" w:rsidRPr="009B4E2D" w:rsidRDefault="004075D8">
            <w:pPr>
              <w:rPr>
                <w:rFonts w:cs="Arial"/>
                <w:color w:val="000000"/>
              </w:rPr>
            </w:pPr>
            <w:r>
              <w:rPr>
                <w:rFonts w:cs="Arial"/>
                <w:color w:val="000000"/>
              </w:rPr>
              <w:t>In</w:t>
            </w:r>
            <w:r w:rsidRPr="009B4E2D">
              <w:rPr>
                <w:rFonts w:cs="Arial"/>
                <w:color w:val="000000"/>
              </w:rPr>
              <w:t>dustry Certificates</w:t>
            </w:r>
          </w:p>
        </w:tc>
        <w:tc>
          <w:tcPr>
            <w:tcW w:w="1895" w:type="dxa"/>
          </w:tcPr>
          <w:p w14:paraId="0632177C" w14:textId="77777777" w:rsidR="004075D8" w:rsidRPr="00C66B4C" w:rsidRDefault="004075D8">
            <w:pPr>
              <w:rPr>
                <w:rFonts w:cs="Arial"/>
                <w:b/>
                <w:bCs/>
              </w:rPr>
            </w:pPr>
            <w:r w:rsidRPr="00C66B4C">
              <w:rPr>
                <w:rFonts w:cs="Arial"/>
                <w:b/>
                <w:bCs/>
              </w:rPr>
              <w:t>Directed Further Review</w:t>
            </w:r>
          </w:p>
        </w:tc>
        <w:tc>
          <w:tcPr>
            <w:tcW w:w="1764" w:type="dxa"/>
          </w:tcPr>
          <w:p w14:paraId="4ABBAEC3" w14:textId="77777777" w:rsidR="004075D8" w:rsidRPr="00C66B4C" w:rsidRDefault="004075D8">
            <w:pPr>
              <w:rPr>
                <w:rFonts w:cs="Arial"/>
                <w:b/>
                <w:bCs/>
              </w:rPr>
            </w:pPr>
            <w:r w:rsidRPr="00C66B4C">
              <w:rPr>
                <w:rFonts w:cs="Arial"/>
                <w:b/>
                <w:bCs/>
              </w:rPr>
              <w:t>Under Review</w:t>
            </w:r>
          </w:p>
        </w:tc>
        <w:tc>
          <w:tcPr>
            <w:tcW w:w="2070" w:type="dxa"/>
          </w:tcPr>
          <w:p w14:paraId="1D2C49F5" w14:textId="77777777" w:rsidR="004075D8" w:rsidRPr="009B4E2D" w:rsidRDefault="004075D8">
            <w:pPr>
              <w:rPr>
                <w:rFonts w:cs="Arial"/>
              </w:rPr>
            </w:pPr>
            <w:r>
              <w:rPr>
                <w:rFonts w:cs="Arial"/>
              </w:rPr>
              <w:t>N/A</w:t>
            </w:r>
          </w:p>
        </w:tc>
        <w:tc>
          <w:tcPr>
            <w:tcW w:w="1072" w:type="dxa"/>
          </w:tcPr>
          <w:p w14:paraId="471DEAAF" w14:textId="77777777" w:rsidR="004075D8" w:rsidRPr="009B4E2D" w:rsidRDefault="004075D8">
            <w:pPr>
              <w:rPr>
                <w:rFonts w:cs="Arial"/>
              </w:rPr>
            </w:pPr>
            <w:r w:rsidRPr="008F0538">
              <w:rPr>
                <w:rFonts w:cs="Arial"/>
              </w:rPr>
              <w:t>N/A</w:t>
            </w:r>
          </w:p>
        </w:tc>
        <w:tc>
          <w:tcPr>
            <w:tcW w:w="1440" w:type="dxa"/>
          </w:tcPr>
          <w:p w14:paraId="61C11BA1" w14:textId="0CCFDDE3" w:rsidR="004075D8" w:rsidRPr="009B4E2D" w:rsidRDefault="00D96A33">
            <w:pPr>
              <w:rPr>
                <w:rFonts w:cs="Arial"/>
              </w:rPr>
            </w:pPr>
            <w:r>
              <w:rPr>
                <w:rFonts w:cs="Arial"/>
                <w:b/>
                <w:bCs/>
              </w:rPr>
              <w:t xml:space="preserve">Under </w:t>
            </w:r>
            <w:r w:rsidR="00C14D43">
              <w:rPr>
                <w:rFonts w:cs="Arial"/>
                <w:b/>
                <w:bCs/>
              </w:rPr>
              <w:t>Review</w:t>
            </w:r>
          </w:p>
        </w:tc>
        <w:tc>
          <w:tcPr>
            <w:tcW w:w="1244" w:type="dxa"/>
          </w:tcPr>
          <w:p w14:paraId="484DEA72" w14:textId="66531FF8" w:rsidR="004075D8" w:rsidRPr="009B4E2D" w:rsidRDefault="00102C42">
            <w:pPr>
              <w:rPr>
                <w:rFonts w:cs="Arial"/>
              </w:rPr>
            </w:pPr>
            <w:r w:rsidRPr="00C66B4C">
              <w:rPr>
                <w:rFonts w:cs="Arial"/>
                <w:b/>
                <w:bCs/>
              </w:rPr>
              <w:t>Under Review</w:t>
            </w:r>
          </w:p>
        </w:tc>
        <w:tc>
          <w:tcPr>
            <w:tcW w:w="1276" w:type="dxa"/>
          </w:tcPr>
          <w:p w14:paraId="7027F406" w14:textId="3FB1C7F6" w:rsidR="004075D8" w:rsidRPr="009B4E2D" w:rsidRDefault="00102C42">
            <w:pPr>
              <w:rPr>
                <w:rFonts w:cs="Arial"/>
              </w:rPr>
            </w:pPr>
            <w:r w:rsidRPr="00C66B4C">
              <w:rPr>
                <w:rFonts w:cs="Arial"/>
                <w:b/>
                <w:bCs/>
              </w:rPr>
              <w:t>Under Review</w:t>
            </w:r>
          </w:p>
        </w:tc>
        <w:tc>
          <w:tcPr>
            <w:tcW w:w="1683" w:type="dxa"/>
          </w:tcPr>
          <w:p w14:paraId="47C97780" w14:textId="5E7DBE05" w:rsidR="004075D8" w:rsidRPr="009B4E2D" w:rsidRDefault="00C61EB8">
            <w:pPr>
              <w:rPr>
                <w:rFonts w:cs="Arial"/>
              </w:rPr>
            </w:pPr>
            <w:r w:rsidRPr="00C66B4C">
              <w:rPr>
                <w:rFonts w:cs="Arial"/>
                <w:b/>
                <w:bCs/>
              </w:rPr>
              <w:t>Under Review</w:t>
            </w:r>
          </w:p>
        </w:tc>
        <w:tc>
          <w:tcPr>
            <w:tcW w:w="1683" w:type="dxa"/>
          </w:tcPr>
          <w:p w14:paraId="16FA43F1" w14:textId="4019B02C" w:rsidR="004075D8" w:rsidRPr="009B4E2D" w:rsidRDefault="00C61EB8">
            <w:pPr>
              <w:rPr>
                <w:rFonts w:cs="Arial"/>
              </w:rPr>
            </w:pPr>
            <w:r w:rsidRPr="00C66B4C">
              <w:rPr>
                <w:rFonts w:cs="Arial"/>
                <w:b/>
                <w:bCs/>
              </w:rPr>
              <w:t>Under Review</w:t>
            </w:r>
          </w:p>
        </w:tc>
        <w:tc>
          <w:tcPr>
            <w:tcW w:w="1683" w:type="dxa"/>
          </w:tcPr>
          <w:p w14:paraId="1A0D313F" w14:textId="6E3A978A" w:rsidR="004075D8" w:rsidRPr="009B4E2D" w:rsidRDefault="00C61EB8">
            <w:pPr>
              <w:rPr>
                <w:rFonts w:cs="Arial"/>
              </w:rPr>
            </w:pPr>
            <w:r w:rsidRPr="00C66B4C">
              <w:rPr>
                <w:rFonts w:cs="Arial"/>
                <w:b/>
                <w:bCs/>
              </w:rPr>
              <w:t>Under Review</w:t>
            </w:r>
          </w:p>
        </w:tc>
      </w:tr>
      <w:tr w:rsidR="00C46904" w:rsidRPr="009B4E2D" w14:paraId="720AE00E" w14:textId="77777777" w:rsidTr="00E0709F">
        <w:tc>
          <w:tcPr>
            <w:tcW w:w="2443" w:type="dxa"/>
          </w:tcPr>
          <w:p w14:paraId="268D9332" w14:textId="5FCA1FB3" w:rsidR="00C46904" w:rsidRDefault="00C46904" w:rsidP="00C46904">
            <w:pPr>
              <w:rPr>
                <w:rFonts w:cs="Arial"/>
                <w:color w:val="000000"/>
              </w:rPr>
            </w:pPr>
            <w:r>
              <w:rPr>
                <w:rFonts w:cs="Arial"/>
                <w:color w:val="000000"/>
              </w:rPr>
              <w:t xml:space="preserve">Industry Certificates: </w:t>
            </w:r>
            <w:r w:rsidRPr="009B4E2D">
              <w:rPr>
                <w:rFonts w:cs="Arial"/>
                <w:color w:val="000000"/>
              </w:rPr>
              <w:t>Food Handler Certificate</w:t>
            </w:r>
          </w:p>
        </w:tc>
        <w:tc>
          <w:tcPr>
            <w:tcW w:w="1895" w:type="dxa"/>
          </w:tcPr>
          <w:p w14:paraId="2054B963" w14:textId="2BDEBB6D" w:rsidR="00C46904" w:rsidRPr="00C66B4C" w:rsidRDefault="00C46904" w:rsidP="00C46904">
            <w:pPr>
              <w:rPr>
                <w:rFonts w:cs="Arial"/>
                <w:b/>
                <w:bCs/>
              </w:rPr>
            </w:pPr>
            <w:r>
              <w:rPr>
                <w:rFonts w:cs="Arial"/>
              </w:rPr>
              <w:t>N/A</w:t>
            </w:r>
          </w:p>
        </w:tc>
        <w:tc>
          <w:tcPr>
            <w:tcW w:w="1764" w:type="dxa"/>
          </w:tcPr>
          <w:p w14:paraId="6D58C4BB" w14:textId="1AC8FE85" w:rsidR="00C46904" w:rsidRPr="00C66B4C" w:rsidRDefault="00C46904" w:rsidP="00C46904">
            <w:pPr>
              <w:rPr>
                <w:rFonts w:cs="Arial"/>
                <w:b/>
                <w:bCs/>
              </w:rPr>
            </w:pPr>
            <w:r>
              <w:rPr>
                <w:rFonts w:cs="Arial"/>
              </w:rPr>
              <w:t>N/A</w:t>
            </w:r>
          </w:p>
        </w:tc>
        <w:tc>
          <w:tcPr>
            <w:tcW w:w="2070" w:type="dxa"/>
          </w:tcPr>
          <w:p w14:paraId="01803BDD" w14:textId="2BD8F774" w:rsidR="00C46904" w:rsidRDefault="00C46904" w:rsidP="00C46904">
            <w:pPr>
              <w:rPr>
                <w:rFonts w:cs="Arial"/>
              </w:rPr>
            </w:pPr>
            <w:r>
              <w:rPr>
                <w:rFonts w:cs="Arial"/>
              </w:rPr>
              <w:t>N/A</w:t>
            </w:r>
          </w:p>
        </w:tc>
        <w:tc>
          <w:tcPr>
            <w:tcW w:w="1072" w:type="dxa"/>
          </w:tcPr>
          <w:p w14:paraId="2F853F90" w14:textId="3D99ED64" w:rsidR="00C46904" w:rsidRPr="008F0538" w:rsidRDefault="00C46904" w:rsidP="00C46904">
            <w:pPr>
              <w:rPr>
                <w:rFonts w:cs="Arial"/>
              </w:rPr>
            </w:pPr>
            <w:r w:rsidRPr="008F0538">
              <w:rPr>
                <w:rFonts w:cs="Arial"/>
              </w:rPr>
              <w:t>N/A</w:t>
            </w:r>
          </w:p>
        </w:tc>
        <w:tc>
          <w:tcPr>
            <w:tcW w:w="1440" w:type="dxa"/>
          </w:tcPr>
          <w:p w14:paraId="25E44C96" w14:textId="5534DD68" w:rsidR="00C46904" w:rsidRPr="00C66B4C" w:rsidRDefault="00C46904" w:rsidP="00C46904">
            <w:pPr>
              <w:rPr>
                <w:rFonts w:cs="Arial"/>
                <w:b/>
                <w:bCs/>
              </w:rPr>
            </w:pPr>
            <w:r w:rsidRPr="00C66B4C">
              <w:rPr>
                <w:rFonts w:cs="Arial"/>
                <w:b/>
                <w:bCs/>
              </w:rPr>
              <w:t>Data Analysis Provided; No Action Taken</w:t>
            </w:r>
          </w:p>
        </w:tc>
        <w:tc>
          <w:tcPr>
            <w:tcW w:w="1244" w:type="dxa"/>
          </w:tcPr>
          <w:p w14:paraId="425ACA3B" w14:textId="681ED4F1" w:rsidR="00C46904" w:rsidRPr="00C66B4C" w:rsidRDefault="00C46904" w:rsidP="00C46904">
            <w:pPr>
              <w:rPr>
                <w:rFonts w:cs="Arial"/>
                <w:b/>
                <w:bCs/>
              </w:rPr>
            </w:pPr>
            <w:r w:rsidRPr="004900C8">
              <w:rPr>
                <w:rFonts w:cs="Arial"/>
              </w:rPr>
              <w:t>N/A</w:t>
            </w:r>
          </w:p>
        </w:tc>
        <w:tc>
          <w:tcPr>
            <w:tcW w:w="1276" w:type="dxa"/>
          </w:tcPr>
          <w:p w14:paraId="300D1050" w14:textId="01DC0C8D" w:rsidR="00C46904" w:rsidRPr="00C66B4C" w:rsidRDefault="00C46904" w:rsidP="00C46904">
            <w:pPr>
              <w:rPr>
                <w:rFonts w:cs="Arial"/>
                <w:b/>
                <w:bCs/>
              </w:rPr>
            </w:pPr>
            <w:r w:rsidRPr="004900C8">
              <w:rPr>
                <w:rFonts w:cs="Arial"/>
              </w:rPr>
              <w:t>N/A</w:t>
            </w:r>
          </w:p>
        </w:tc>
        <w:tc>
          <w:tcPr>
            <w:tcW w:w="1683" w:type="dxa"/>
          </w:tcPr>
          <w:p w14:paraId="0037AB2D" w14:textId="71DA3F62" w:rsidR="00C46904" w:rsidRDefault="00C46904" w:rsidP="00C46904">
            <w:pPr>
              <w:rPr>
                <w:rFonts w:cs="Arial"/>
              </w:rPr>
            </w:pPr>
            <w:r w:rsidRPr="004900C8">
              <w:rPr>
                <w:rFonts w:cs="Arial"/>
              </w:rPr>
              <w:t>N/A</w:t>
            </w:r>
          </w:p>
        </w:tc>
        <w:tc>
          <w:tcPr>
            <w:tcW w:w="1683" w:type="dxa"/>
          </w:tcPr>
          <w:p w14:paraId="72AE9637" w14:textId="5CBE7B5A" w:rsidR="00C46904" w:rsidRDefault="00C46904" w:rsidP="00C46904">
            <w:pPr>
              <w:rPr>
                <w:rFonts w:cs="Arial"/>
              </w:rPr>
            </w:pPr>
            <w:r w:rsidRPr="004900C8">
              <w:rPr>
                <w:rFonts w:cs="Arial"/>
              </w:rPr>
              <w:t>N/A</w:t>
            </w:r>
          </w:p>
        </w:tc>
        <w:tc>
          <w:tcPr>
            <w:tcW w:w="1683" w:type="dxa"/>
          </w:tcPr>
          <w:p w14:paraId="2EC5B704" w14:textId="128F1A11" w:rsidR="00C46904" w:rsidRDefault="00C46904" w:rsidP="00C46904">
            <w:pPr>
              <w:rPr>
                <w:rFonts w:cs="Arial"/>
              </w:rPr>
            </w:pPr>
            <w:r w:rsidRPr="004900C8">
              <w:rPr>
                <w:rFonts w:cs="Arial"/>
              </w:rPr>
              <w:t>N/A</w:t>
            </w:r>
          </w:p>
        </w:tc>
      </w:tr>
      <w:tr w:rsidR="004075D8" w:rsidRPr="009B4E2D" w14:paraId="5844105C" w14:textId="77777777" w:rsidTr="00E0709F">
        <w:tc>
          <w:tcPr>
            <w:tcW w:w="2443" w:type="dxa"/>
          </w:tcPr>
          <w:p w14:paraId="7CC405EB" w14:textId="086713A8" w:rsidR="004075D8" w:rsidRPr="009B4E2D" w:rsidRDefault="004075D8">
            <w:pPr>
              <w:rPr>
                <w:rFonts w:cs="Arial"/>
                <w:color w:val="000000"/>
              </w:rPr>
            </w:pPr>
            <w:r>
              <w:rPr>
                <w:rFonts w:cs="Arial"/>
                <w:color w:val="000000"/>
              </w:rPr>
              <w:t>International Baccalaureate</w:t>
            </w:r>
            <w:r w:rsidR="00C14073">
              <w:rPr>
                <w:rFonts w:cs="Arial"/>
                <w:color w:val="000000"/>
              </w:rPr>
              <w:t>:</w:t>
            </w:r>
            <w:r>
              <w:rPr>
                <w:rFonts w:cs="Arial"/>
                <w:color w:val="000000"/>
              </w:rPr>
              <w:t xml:space="preserve"> Exams</w:t>
            </w:r>
          </w:p>
        </w:tc>
        <w:tc>
          <w:tcPr>
            <w:tcW w:w="1895" w:type="dxa"/>
          </w:tcPr>
          <w:p w14:paraId="072404AE" w14:textId="77777777" w:rsidR="004075D8" w:rsidRPr="00E10D5D" w:rsidRDefault="004075D8">
            <w:pPr>
              <w:rPr>
                <w:rFonts w:cs="Arial"/>
                <w:b/>
                <w:bCs/>
              </w:rPr>
            </w:pPr>
            <w:r w:rsidRPr="00E10D5D">
              <w:rPr>
                <w:rFonts w:cs="Arial"/>
                <w:b/>
                <w:bCs/>
              </w:rPr>
              <w:t>Adopted</w:t>
            </w:r>
          </w:p>
        </w:tc>
        <w:tc>
          <w:tcPr>
            <w:tcW w:w="1764" w:type="dxa"/>
          </w:tcPr>
          <w:p w14:paraId="0BD447E1" w14:textId="77777777" w:rsidR="004075D8" w:rsidRPr="0047400A" w:rsidRDefault="004075D8">
            <w:pPr>
              <w:rPr>
                <w:rFonts w:cs="Arial"/>
                <w:b/>
                <w:bCs/>
              </w:rPr>
            </w:pPr>
            <w:r w:rsidRPr="0047400A">
              <w:rPr>
                <w:rFonts w:cs="Arial"/>
                <w:b/>
                <w:bCs/>
              </w:rPr>
              <w:t>Criteria</w:t>
            </w:r>
            <w:r>
              <w:rPr>
                <w:rFonts w:cs="Arial"/>
                <w:b/>
                <w:bCs/>
              </w:rPr>
              <w:t xml:space="preserve"> </w:t>
            </w:r>
            <w:r w:rsidRPr="0047400A">
              <w:rPr>
                <w:rFonts w:cs="Arial"/>
                <w:b/>
                <w:bCs/>
              </w:rPr>
              <w:t>Adjusted</w:t>
            </w:r>
          </w:p>
        </w:tc>
        <w:tc>
          <w:tcPr>
            <w:tcW w:w="2070" w:type="dxa"/>
          </w:tcPr>
          <w:p w14:paraId="69D62CD9" w14:textId="77777777" w:rsidR="004075D8" w:rsidRPr="009B4E2D" w:rsidRDefault="004075D8">
            <w:pPr>
              <w:rPr>
                <w:rFonts w:cs="Arial"/>
              </w:rPr>
            </w:pPr>
            <w:r w:rsidRPr="003250E7">
              <w:rPr>
                <w:rFonts w:cs="Arial"/>
              </w:rPr>
              <w:t>N/A</w:t>
            </w:r>
          </w:p>
        </w:tc>
        <w:tc>
          <w:tcPr>
            <w:tcW w:w="1072" w:type="dxa"/>
          </w:tcPr>
          <w:p w14:paraId="58835DD1" w14:textId="77777777" w:rsidR="004075D8" w:rsidRPr="009B4E2D" w:rsidRDefault="004075D8">
            <w:pPr>
              <w:rPr>
                <w:rFonts w:cs="Arial"/>
              </w:rPr>
            </w:pPr>
            <w:r w:rsidRPr="008F0538">
              <w:rPr>
                <w:rFonts w:cs="Arial"/>
              </w:rPr>
              <w:t>N/A</w:t>
            </w:r>
          </w:p>
        </w:tc>
        <w:tc>
          <w:tcPr>
            <w:tcW w:w="1440" w:type="dxa"/>
          </w:tcPr>
          <w:p w14:paraId="42B304BA" w14:textId="77777777" w:rsidR="004075D8" w:rsidRPr="009B4E2D" w:rsidRDefault="004075D8">
            <w:pPr>
              <w:rPr>
                <w:rFonts w:cs="Arial"/>
              </w:rPr>
            </w:pPr>
            <w:r w:rsidRPr="003250E7">
              <w:rPr>
                <w:rFonts w:cs="Arial"/>
              </w:rPr>
              <w:t>N/A</w:t>
            </w:r>
          </w:p>
        </w:tc>
        <w:tc>
          <w:tcPr>
            <w:tcW w:w="1244" w:type="dxa"/>
          </w:tcPr>
          <w:p w14:paraId="68C91954" w14:textId="77777777" w:rsidR="004075D8" w:rsidRPr="009B4E2D" w:rsidRDefault="004075D8">
            <w:pPr>
              <w:rPr>
                <w:rFonts w:cs="Arial"/>
              </w:rPr>
            </w:pPr>
            <w:r w:rsidRPr="003250E7">
              <w:rPr>
                <w:rFonts w:cs="Arial"/>
              </w:rPr>
              <w:t>N/A</w:t>
            </w:r>
          </w:p>
        </w:tc>
        <w:tc>
          <w:tcPr>
            <w:tcW w:w="1276" w:type="dxa"/>
          </w:tcPr>
          <w:p w14:paraId="05DD897B" w14:textId="77777777" w:rsidR="004075D8" w:rsidRPr="009B4E2D" w:rsidRDefault="004075D8">
            <w:pPr>
              <w:rPr>
                <w:rFonts w:cs="Arial"/>
              </w:rPr>
            </w:pPr>
            <w:r w:rsidRPr="003250E7">
              <w:rPr>
                <w:rFonts w:cs="Arial"/>
              </w:rPr>
              <w:t>N/A</w:t>
            </w:r>
          </w:p>
        </w:tc>
        <w:tc>
          <w:tcPr>
            <w:tcW w:w="1683" w:type="dxa"/>
          </w:tcPr>
          <w:p w14:paraId="1EEFDE9F" w14:textId="77777777" w:rsidR="004075D8" w:rsidRPr="009B4E2D" w:rsidRDefault="004075D8">
            <w:pPr>
              <w:rPr>
                <w:rFonts w:cs="Arial"/>
              </w:rPr>
            </w:pPr>
            <w:r w:rsidRPr="003250E7">
              <w:rPr>
                <w:rFonts w:cs="Arial"/>
              </w:rPr>
              <w:t>N/A</w:t>
            </w:r>
          </w:p>
        </w:tc>
        <w:tc>
          <w:tcPr>
            <w:tcW w:w="1683" w:type="dxa"/>
          </w:tcPr>
          <w:p w14:paraId="733C304F" w14:textId="77777777" w:rsidR="004075D8" w:rsidRPr="009B4E2D" w:rsidRDefault="004075D8">
            <w:pPr>
              <w:rPr>
                <w:rFonts w:cs="Arial"/>
              </w:rPr>
            </w:pPr>
            <w:r w:rsidRPr="003250E7">
              <w:rPr>
                <w:rFonts w:cs="Arial"/>
              </w:rPr>
              <w:t>N/A</w:t>
            </w:r>
          </w:p>
        </w:tc>
        <w:tc>
          <w:tcPr>
            <w:tcW w:w="1683" w:type="dxa"/>
          </w:tcPr>
          <w:p w14:paraId="67162987" w14:textId="77777777" w:rsidR="004075D8" w:rsidRPr="009B4E2D" w:rsidRDefault="004075D8">
            <w:pPr>
              <w:rPr>
                <w:rFonts w:cs="Arial"/>
              </w:rPr>
            </w:pPr>
            <w:r w:rsidRPr="003250E7">
              <w:rPr>
                <w:rFonts w:cs="Arial"/>
              </w:rPr>
              <w:t>N/A</w:t>
            </w:r>
          </w:p>
        </w:tc>
      </w:tr>
      <w:tr w:rsidR="004075D8" w:rsidRPr="009B4E2D" w14:paraId="78C37167" w14:textId="77777777" w:rsidTr="00E0709F">
        <w:tc>
          <w:tcPr>
            <w:tcW w:w="2443" w:type="dxa"/>
          </w:tcPr>
          <w:p w14:paraId="46347DFA" w14:textId="77777777" w:rsidR="004075D8" w:rsidRDefault="004075D8">
            <w:pPr>
              <w:rPr>
                <w:rFonts w:cs="Arial"/>
                <w:color w:val="000000"/>
              </w:rPr>
            </w:pPr>
            <w:r>
              <w:rPr>
                <w:rFonts w:cs="Arial"/>
                <w:color w:val="000000"/>
              </w:rPr>
              <w:lastRenderedPageBreak/>
              <w:t>International Baccalaureate Courses</w:t>
            </w:r>
          </w:p>
        </w:tc>
        <w:tc>
          <w:tcPr>
            <w:tcW w:w="1895" w:type="dxa"/>
          </w:tcPr>
          <w:p w14:paraId="66D1B084" w14:textId="77777777" w:rsidR="004075D8" w:rsidRPr="00E10D5D" w:rsidRDefault="004075D8">
            <w:pPr>
              <w:rPr>
                <w:rFonts w:cs="Arial"/>
                <w:b/>
                <w:bCs/>
              </w:rPr>
            </w:pPr>
            <w:r w:rsidRPr="003621B7">
              <w:rPr>
                <w:rFonts w:cs="Arial"/>
              </w:rPr>
              <w:t>N/A</w:t>
            </w:r>
          </w:p>
        </w:tc>
        <w:tc>
          <w:tcPr>
            <w:tcW w:w="1764" w:type="dxa"/>
          </w:tcPr>
          <w:p w14:paraId="156DA9D9" w14:textId="77777777" w:rsidR="004075D8" w:rsidRPr="0047400A" w:rsidRDefault="004075D8">
            <w:pPr>
              <w:rPr>
                <w:rFonts w:cs="Arial"/>
                <w:b/>
                <w:bCs/>
              </w:rPr>
            </w:pPr>
            <w:r w:rsidRPr="003621B7">
              <w:rPr>
                <w:rFonts w:cs="Arial"/>
              </w:rPr>
              <w:t>N/A</w:t>
            </w:r>
          </w:p>
        </w:tc>
        <w:tc>
          <w:tcPr>
            <w:tcW w:w="2070" w:type="dxa"/>
          </w:tcPr>
          <w:p w14:paraId="2B19A0E8" w14:textId="77777777" w:rsidR="004075D8" w:rsidRPr="003250E7" w:rsidRDefault="004075D8">
            <w:pPr>
              <w:rPr>
                <w:rFonts w:cs="Arial"/>
              </w:rPr>
            </w:pPr>
            <w:r w:rsidRPr="003621B7">
              <w:rPr>
                <w:rFonts w:cs="Arial"/>
              </w:rPr>
              <w:t>N/A</w:t>
            </w:r>
          </w:p>
        </w:tc>
        <w:tc>
          <w:tcPr>
            <w:tcW w:w="1072" w:type="dxa"/>
          </w:tcPr>
          <w:p w14:paraId="113EAB2B" w14:textId="77777777" w:rsidR="004075D8" w:rsidRPr="003250E7" w:rsidRDefault="004075D8">
            <w:pPr>
              <w:rPr>
                <w:rFonts w:cs="Arial"/>
              </w:rPr>
            </w:pPr>
            <w:r w:rsidRPr="003621B7">
              <w:rPr>
                <w:rFonts w:cs="Arial"/>
              </w:rPr>
              <w:t>N/A</w:t>
            </w:r>
          </w:p>
        </w:tc>
        <w:tc>
          <w:tcPr>
            <w:tcW w:w="1440" w:type="dxa"/>
          </w:tcPr>
          <w:p w14:paraId="2C393DA8" w14:textId="77777777" w:rsidR="004075D8" w:rsidRPr="003250E7" w:rsidRDefault="004075D8">
            <w:pPr>
              <w:rPr>
                <w:rFonts w:cs="Arial"/>
              </w:rPr>
            </w:pPr>
            <w:r w:rsidRPr="003621B7">
              <w:rPr>
                <w:rFonts w:cs="Arial"/>
              </w:rPr>
              <w:t>N/A</w:t>
            </w:r>
          </w:p>
        </w:tc>
        <w:tc>
          <w:tcPr>
            <w:tcW w:w="1244" w:type="dxa"/>
          </w:tcPr>
          <w:p w14:paraId="2AFF0FE1" w14:textId="77777777" w:rsidR="004075D8" w:rsidRPr="003250E7" w:rsidRDefault="004075D8">
            <w:pPr>
              <w:rPr>
                <w:rFonts w:cs="Arial"/>
              </w:rPr>
            </w:pPr>
            <w:r w:rsidRPr="003621B7">
              <w:rPr>
                <w:rFonts w:cs="Arial"/>
              </w:rPr>
              <w:t>N/A</w:t>
            </w:r>
          </w:p>
        </w:tc>
        <w:tc>
          <w:tcPr>
            <w:tcW w:w="1276" w:type="dxa"/>
          </w:tcPr>
          <w:p w14:paraId="1610E6E9" w14:textId="77777777" w:rsidR="004075D8" w:rsidRPr="003250E7" w:rsidRDefault="004075D8">
            <w:pPr>
              <w:rPr>
                <w:rFonts w:cs="Arial"/>
              </w:rPr>
            </w:pPr>
            <w:r w:rsidRPr="003621B7">
              <w:rPr>
                <w:rFonts w:cs="Arial"/>
              </w:rPr>
              <w:t>N/A</w:t>
            </w:r>
          </w:p>
        </w:tc>
        <w:tc>
          <w:tcPr>
            <w:tcW w:w="1683" w:type="dxa"/>
          </w:tcPr>
          <w:p w14:paraId="217726A7" w14:textId="77777777" w:rsidR="004075D8" w:rsidRPr="003250E7" w:rsidRDefault="004075D8">
            <w:pPr>
              <w:rPr>
                <w:rFonts w:cs="Arial"/>
              </w:rPr>
            </w:pPr>
            <w:r w:rsidRPr="003621B7">
              <w:rPr>
                <w:rFonts w:cs="Arial"/>
              </w:rPr>
              <w:t>N/A</w:t>
            </w:r>
          </w:p>
        </w:tc>
        <w:tc>
          <w:tcPr>
            <w:tcW w:w="1683" w:type="dxa"/>
          </w:tcPr>
          <w:p w14:paraId="73129C5F" w14:textId="77777777" w:rsidR="004075D8" w:rsidRPr="003250E7" w:rsidRDefault="004075D8">
            <w:pPr>
              <w:rPr>
                <w:rFonts w:cs="Arial"/>
              </w:rPr>
            </w:pPr>
            <w:r w:rsidRPr="003621B7">
              <w:rPr>
                <w:rFonts w:cs="Arial"/>
              </w:rPr>
              <w:t>N/A</w:t>
            </w:r>
          </w:p>
        </w:tc>
        <w:tc>
          <w:tcPr>
            <w:tcW w:w="1683" w:type="dxa"/>
          </w:tcPr>
          <w:p w14:paraId="2C05E232" w14:textId="4DCA694F" w:rsidR="004075D8" w:rsidRPr="00C66B4C" w:rsidRDefault="00C14073">
            <w:pPr>
              <w:rPr>
                <w:rFonts w:cs="Arial"/>
                <w:b/>
                <w:bCs/>
              </w:rPr>
            </w:pPr>
            <w:r>
              <w:rPr>
                <w:rFonts w:cs="Arial"/>
                <w:b/>
                <w:bCs/>
              </w:rPr>
              <w:t>Directed Further Review</w:t>
            </w:r>
          </w:p>
        </w:tc>
      </w:tr>
      <w:tr w:rsidR="004075D8" w:rsidRPr="009B4E2D" w14:paraId="6B2B1F15" w14:textId="77777777" w:rsidTr="00E0709F">
        <w:tc>
          <w:tcPr>
            <w:tcW w:w="2443" w:type="dxa"/>
          </w:tcPr>
          <w:p w14:paraId="7CE26311" w14:textId="77777777" w:rsidR="004075D8" w:rsidRDefault="004075D8">
            <w:pPr>
              <w:rPr>
                <w:rFonts w:cs="Arial"/>
                <w:color w:val="000000"/>
              </w:rPr>
            </w:pPr>
            <w:r>
              <w:rPr>
                <w:rFonts w:cs="Arial"/>
                <w:color w:val="000000"/>
              </w:rPr>
              <w:t>International Baccalaureate Career Program</w:t>
            </w:r>
          </w:p>
        </w:tc>
        <w:tc>
          <w:tcPr>
            <w:tcW w:w="1895" w:type="dxa"/>
          </w:tcPr>
          <w:p w14:paraId="13FF7DB0" w14:textId="77777777" w:rsidR="004075D8" w:rsidRPr="00E10D5D" w:rsidRDefault="004075D8">
            <w:pPr>
              <w:rPr>
                <w:rFonts w:cs="Arial"/>
                <w:b/>
                <w:bCs/>
              </w:rPr>
            </w:pPr>
            <w:r>
              <w:rPr>
                <w:rFonts w:cs="Arial"/>
              </w:rPr>
              <w:t>N/A</w:t>
            </w:r>
          </w:p>
        </w:tc>
        <w:tc>
          <w:tcPr>
            <w:tcW w:w="1764" w:type="dxa"/>
          </w:tcPr>
          <w:p w14:paraId="4B857BD0" w14:textId="77777777" w:rsidR="004075D8" w:rsidRPr="0047400A" w:rsidRDefault="004075D8">
            <w:pPr>
              <w:rPr>
                <w:rFonts w:cs="Arial"/>
                <w:b/>
                <w:bCs/>
              </w:rPr>
            </w:pPr>
            <w:r>
              <w:rPr>
                <w:rFonts w:cs="Arial"/>
                <w:b/>
                <w:bCs/>
              </w:rPr>
              <w:t xml:space="preserve">Directed Further Review </w:t>
            </w:r>
          </w:p>
        </w:tc>
        <w:tc>
          <w:tcPr>
            <w:tcW w:w="2070" w:type="dxa"/>
          </w:tcPr>
          <w:p w14:paraId="5AEBC137" w14:textId="77777777" w:rsidR="004075D8" w:rsidRPr="003250E7" w:rsidRDefault="004075D8">
            <w:pPr>
              <w:rPr>
                <w:rFonts w:cs="Arial"/>
              </w:rPr>
            </w:pPr>
            <w:r w:rsidRPr="00A5595E">
              <w:rPr>
                <w:rFonts w:cs="Arial"/>
              </w:rPr>
              <w:t>N/A</w:t>
            </w:r>
          </w:p>
        </w:tc>
        <w:tc>
          <w:tcPr>
            <w:tcW w:w="1072" w:type="dxa"/>
          </w:tcPr>
          <w:p w14:paraId="21602EFA" w14:textId="77777777" w:rsidR="004075D8" w:rsidRPr="003250E7" w:rsidRDefault="004075D8">
            <w:pPr>
              <w:rPr>
                <w:rFonts w:cs="Arial"/>
              </w:rPr>
            </w:pPr>
            <w:r w:rsidRPr="00A5595E">
              <w:rPr>
                <w:rFonts w:cs="Arial"/>
              </w:rPr>
              <w:t>N/A</w:t>
            </w:r>
          </w:p>
        </w:tc>
        <w:tc>
          <w:tcPr>
            <w:tcW w:w="1440" w:type="dxa"/>
          </w:tcPr>
          <w:p w14:paraId="01F6F80D" w14:textId="77777777" w:rsidR="004075D8" w:rsidRPr="003250E7" w:rsidRDefault="004075D8">
            <w:pPr>
              <w:rPr>
                <w:rFonts w:cs="Arial"/>
              </w:rPr>
            </w:pPr>
            <w:r w:rsidRPr="00A5595E">
              <w:rPr>
                <w:rFonts w:cs="Arial"/>
              </w:rPr>
              <w:t>N/A</w:t>
            </w:r>
          </w:p>
        </w:tc>
        <w:tc>
          <w:tcPr>
            <w:tcW w:w="1244" w:type="dxa"/>
          </w:tcPr>
          <w:p w14:paraId="7A96CC48" w14:textId="77777777" w:rsidR="004075D8" w:rsidRPr="003250E7" w:rsidRDefault="004075D8">
            <w:pPr>
              <w:rPr>
                <w:rFonts w:cs="Arial"/>
              </w:rPr>
            </w:pPr>
            <w:r w:rsidRPr="00A5595E">
              <w:rPr>
                <w:rFonts w:cs="Arial"/>
              </w:rPr>
              <w:t>N/A</w:t>
            </w:r>
          </w:p>
        </w:tc>
        <w:tc>
          <w:tcPr>
            <w:tcW w:w="1276" w:type="dxa"/>
          </w:tcPr>
          <w:p w14:paraId="0627E3E4" w14:textId="77777777" w:rsidR="004075D8" w:rsidRPr="003250E7" w:rsidRDefault="004075D8">
            <w:pPr>
              <w:rPr>
                <w:rFonts w:cs="Arial"/>
              </w:rPr>
            </w:pPr>
            <w:r w:rsidRPr="00A5595E">
              <w:rPr>
                <w:rFonts w:cs="Arial"/>
              </w:rPr>
              <w:t>N/A</w:t>
            </w:r>
          </w:p>
        </w:tc>
        <w:tc>
          <w:tcPr>
            <w:tcW w:w="1683" w:type="dxa"/>
          </w:tcPr>
          <w:p w14:paraId="435E6471" w14:textId="77777777" w:rsidR="004075D8" w:rsidRPr="003250E7" w:rsidRDefault="004075D8">
            <w:pPr>
              <w:rPr>
                <w:rFonts w:cs="Arial"/>
              </w:rPr>
            </w:pPr>
            <w:r w:rsidRPr="00A5595E">
              <w:rPr>
                <w:rFonts w:cs="Arial"/>
              </w:rPr>
              <w:t>N/A</w:t>
            </w:r>
          </w:p>
        </w:tc>
        <w:tc>
          <w:tcPr>
            <w:tcW w:w="1683" w:type="dxa"/>
          </w:tcPr>
          <w:p w14:paraId="174008E3" w14:textId="77777777" w:rsidR="004075D8" w:rsidRPr="003250E7" w:rsidRDefault="004075D8">
            <w:pPr>
              <w:rPr>
                <w:rFonts w:cs="Arial"/>
              </w:rPr>
            </w:pPr>
            <w:r w:rsidRPr="00A5595E">
              <w:rPr>
                <w:rFonts w:cs="Arial"/>
              </w:rPr>
              <w:t>N/A</w:t>
            </w:r>
          </w:p>
        </w:tc>
        <w:tc>
          <w:tcPr>
            <w:tcW w:w="1683" w:type="dxa"/>
          </w:tcPr>
          <w:p w14:paraId="0EA1AB09" w14:textId="77777777" w:rsidR="004075D8" w:rsidRPr="003250E7" w:rsidRDefault="004075D8">
            <w:pPr>
              <w:rPr>
                <w:rFonts w:cs="Arial"/>
              </w:rPr>
            </w:pPr>
            <w:r w:rsidRPr="00A5595E">
              <w:rPr>
                <w:rFonts w:cs="Arial"/>
              </w:rPr>
              <w:t>N/A</w:t>
            </w:r>
          </w:p>
        </w:tc>
      </w:tr>
      <w:tr w:rsidR="004075D8" w:rsidRPr="009B4E2D" w14:paraId="1E2BAB7E" w14:textId="77777777" w:rsidTr="00E0709F">
        <w:tc>
          <w:tcPr>
            <w:tcW w:w="2443" w:type="dxa"/>
          </w:tcPr>
          <w:p w14:paraId="705445E9" w14:textId="77777777" w:rsidR="004075D8" w:rsidRPr="009B4E2D" w:rsidRDefault="004075D8">
            <w:pPr>
              <w:rPr>
                <w:rFonts w:cs="Arial"/>
                <w:color w:val="000000"/>
              </w:rPr>
            </w:pPr>
            <w:r w:rsidRPr="009B4E2D">
              <w:rPr>
                <w:rFonts w:cs="Arial"/>
                <w:color w:val="000000"/>
              </w:rPr>
              <w:t>Leadership/Military Science Courses</w:t>
            </w:r>
            <w:r>
              <w:rPr>
                <w:rFonts w:cs="Arial"/>
                <w:color w:val="000000"/>
              </w:rPr>
              <w:t xml:space="preserve"> (also known as</w:t>
            </w:r>
            <w:r w:rsidRPr="00604CF1">
              <w:rPr>
                <w:rFonts w:cs="Arial"/>
                <w:bCs/>
                <w:color w:val="000000"/>
              </w:rPr>
              <w:t xml:space="preserve"> </w:t>
            </w:r>
            <w:r w:rsidRPr="00604CF1">
              <w:rPr>
                <w:rFonts w:cs="Arial"/>
                <w:bCs/>
                <w:color w:val="000000"/>
                <w:lang w:val="en"/>
              </w:rPr>
              <w:t>Reserve Officer Training Corps)</w:t>
            </w:r>
            <w:r>
              <w:rPr>
                <w:rFonts w:cs="Arial"/>
                <w:color w:val="000000"/>
              </w:rPr>
              <w:t xml:space="preserve"> </w:t>
            </w:r>
          </w:p>
        </w:tc>
        <w:tc>
          <w:tcPr>
            <w:tcW w:w="1895" w:type="dxa"/>
          </w:tcPr>
          <w:p w14:paraId="6C0B0164" w14:textId="77777777" w:rsidR="004075D8" w:rsidRPr="009B4E2D" w:rsidRDefault="004075D8">
            <w:pPr>
              <w:rPr>
                <w:rFonts w:cs="Arial"/>
              </w:rPr>
            </w:pPr>
            <w:r>
              <w:rPr>
                <w:rFonts w:cs="Arial"/>
              </w:rPr>
              <w:t>N/A</w:t>
            </w:r>
          </w:p>
        </w:tc>
        <w:tc>
          <w:tcPr>
            <w:tcW w:w="1764" w:type="dxa"/>
          </w:tcPr>
          <w:p w14:paraId="7D413C01" w14:textId="77777777" w:rsidR="004075D8" w:rsidRPr="009B4E2D" w:rsidRDefault="004075D8">
            <w:pPr>
              <w:rPr>
                <w:rFonts w:cs="Arial"/>
              </w:rPr>
            </w:pPr>
            <w:r>
              <w:rPr>
                <w:rFonts w:cs="Arial"/>
                <w:b/>
                <w:bCs/>
              </w:rPr>
              <w:t>Directed Further Review</w:t>
            </w:r>
          </w:p>
        </w:tc>
        <w:tc>
          <w:tcPr>
            <w:tcW w:w="2070" w:type="dxa"/>
          </w:tcPr>
          <w:p w14:paraId="4AA7FB1B" w14:textId="77777777" w:rsidR="004075D8" w:rsidRPr="00B51241" w:rsidRDefault="004075D8">
            <w:pPr>
              <w:rPr>
                <w:rFonts w:cs="Arial"/>
                <w:b/>
                <w:bCs/>
              </w:rPr>
            </w:pPr>
            <w:r w:rsidRPr="00B51241">
              <w:rPr>
                <w:rFonts w:cs="Arial"/>
                <w:b/>
                <w:bCs/>
              </w:rPr>
              <w:t>Adopted</w:t>
            </w:r>
          </w:p>
        </w:tc>
        <w:tc>
          <w:tcPr>
            <w:tcW w:w="1072" w:type="dxa"/>
          </w:tcPr>
          <w:p w14:paraId="295927AE" w14:textId="77777777" w:rsidR="004075D8" w:rsidRPr="009B4E2D" w:rsidRDefault="004075D8">
            <w:pPr>
              <w:rPr>
                <w:rFonts w:cs="Arial"/>
              </w:rPr>
            </w:pPr>
            <w:r w:rsidRPr="008F0538">
              <w:rPr>
                <w:rFonts w:cs="Arial"/>
              </w:rPr>
              <w:t>N/A</w:t>
            </w:r>
          </w:p>
        </w:tc>
        <w:tc>
          <w:tcPr>
            <w:tcW w:w="1440" w:type="dxa"/>
          </w:tcPr>
          <w:p w14:paraId="5C541520" w14:textId="77777777" w:rsidR="004075D8" w:rsidRPr="009B4E2D" w:rsidRDefault="004075D8">
            <w:pPr>
              <w:rPr>
                <w:rFonts w:cs="Arial"/>
              </w:rPr>
            </w:pPr>
            <w:r w:rsidRPr="00B91882">
              <w:rPr>
                <w:rFonts w:cs="Arial"/>
              </w:rPr>
              <w:t>N/A</w:t>
            </w:r>
          </w:p>
        </w:tc>
        <w:tc>
          <w:tcPr>
            <w:tcW w:w="1244" w:type="dxa"/>
          </w:tcPr>
          <w:p w14:paraId="20BB6171" w14:textId="77777777" w:rsidR="004075D8" w:rsidRPr="009B4E2D" w:rsidRDefault="004075D8">
            <w:pPr>
              <w:rPr>
                <w:rFonts w:cs="Arial"/>
              </w:rPr>
            </w:pPr>
            <w:r w:rsidRPr="00B91882">
              <w:rPr>
                <w:rFonts w:cs="Arial"/>
              </w:rPr>
              <w:t>N/A</w:t>
            </w:r>
          </w:p>
        </w:tc>
        <w:tc>
          <w:tcPr>
            <w:tcW w:w="1276" w:type="dxa"/>
          </w:tcPr>
          <w:p w14:paraId="4F95E658" w14:textId="77777777" w:rsidR="004075D8" w:rsidRPr="009B4E2D" w:rsidRDefault="004075D8">
            <w:pPr>
              <w:rPr>
                <w:rFonts w:cs="Arial"/>
              </w:rPr>
            </w:pPr>
            <w:r w:rsidRPr="00B91882">
              <w:rPr>
                <w:rFonts w:cs="Arial"/>
              </w:rPr>
              <w:t>N/A</w:t>
            </w:r>
          </w:p>
        </w:tc>
        <w:tc>
          <w:tcPr>
            <w:tcW w:w="1683" w:type="dxa"/>
          </w:tcPr>
          <w:p w14:paraId="44B2A3F2" w14:textId="77777777" w:rsidR="004075D8" w:rsidRPr="009B4E2D" w:rsidRDefault="004075D8">
            <w:pPr>
              <w:rPr>
                <w:rFonts w:cs="Arial"/>
              </w:rPr>
            </w:pPr>
            <w:r w:rsidRPr="00B91882">
              <w:rPr>
                <w:rFonts w:cs="Arial"/>
              </w:rPr>
              <w:t>N/A</w:t>
            </w:r>
          </w:p>
        </w:tc>
        <w:tc>
          <w:tcPr>
            <w:tcW w:w="1683" w:type="dxa"/>
          </w:tcPr>
          <w:p w14:paraId="14485CEC" w14:textId="77777777" w:rsidR="004075D8" w:rsidRPr="009B4E2D" w:rsidRDefault="004075D8">
            <w:pPr>
              <w:rPr>
                <w:rFonts w:cs="Arial"/>
              </w:rPr>
            </w:pPr>
            <w:r w:rsidRPr="00B91882">
              <w:rPr>
                <w:rFonts w:cs="Arial"/>
              </w:rPr>
              <w:t>N/A</w:t>
            </w:r>
          </w:p>
        </w:tc>
        <w:tc>
          <w:tcPr>
            <w:tcW w:w="1683" w:type="dxa"/>
          </w:tcPr>
          <w:p w14:paraId="372193B1" w14:textId="77777777" w:rsidR="004075D8" w:rsidRPr="009B4E2D" w:rsidRDefault="004075D8">
            <w:pPr>
              <w:rPr>
                <w:rFonts w:cs="Arial"/>
              </w:rPr>
            </w:pPr>
            <w:r w:rsidRPr="00B91882">
              <w:rPr>
                <w:rFonts w:cs="Arial"/>
              </w:rPr>
              <w:t>N/A</w:t>
            </w:r>
          </w:p>
        </w:tc>
      </w:tr>
      <w:tr w:rsidR="004D36A2" w:rsidRPr="009B4E2D" w14:paraId="1E0061D9" w14:textId="77777777" w:rsidTr="00E0709F">
        <w:tc>
          <w:tcPr>
            <w:tcW w:w="2443" w:type="dxa"/>
          </w:tcPr>
          <w:p w14:paraId="42C13A7A" w14:textId="390A3C1F" w:rsidR="004D36A2" w:rsidRPr="009B4E2D" w:rsidRDefault="004D36A2" w:rsidP="004D36A2">
            <w:pPr>
              <w:rPr>
                <w:rFonts w:cs="Arial"/>
              </w:rPr>
            </w:pPr>
            <w:r>
              <w:rPr>
                <w:rFonts w:cs="Arial"/>
              </w:rPr>
              <w:t>Met University of California (UC)/California State University (CSU) Requirements (</w:t>
            </w:r>
            <w:r w:rsidRPr="009B4E2D">
              <w:rPr>
                <w:rFonts w:cs="Arial"/>
              </w:rPr>
              <w:t>A-G</w:t>
            </w:r>
            <w:r>
              <w:rPr>
                <w:rFonts w:cs="Arial"/>
              </w:rPr>
              <w:t>)</w:t>
            </w:r>
          </w:p>
        </w:tc>
        <w:tc>
          <w:tcPr>
            <w:tcW w:w="1895" w:type="dxa"/>
          </w:tcPr>
          <w:p w14:paraId="09ED367C" w14:textId="77777777" w:rsidR="004D36A2" w:rsidRPr="00BA3B4E" w:rsidRDefault="004D36A2" w:rsidP="004D36A2">
            <w:pPr>
              <w:rPr>
                <w:rFonts w:cs="Arial"/>
                <w:b/>
                <w:bCs/>
              </w:rPr>
            </w:pPr>
            <w:r w:rsidRPr="00BA3B4E">
              <w:rPr>
                <w:rFonts w:cs="Arial"/>
                <w:b/>
                <w:bCs/>
              </w:rPr>
              <w:t>Adopted</w:t>
            </w:r>
          </w:p>
        </w:tc>
        <w:tc>
          <w:tcPr>
            <w:tcW w:w="1764" w:type="dxa"/>
          </w:tcPr>
          <w:p w14:paraId="6C4FF68E" w14:textId="77777777" w:rsidR="004D36A2" w:rsidRPr="009B4E2D" w:rsidRDefault="004D36A2" w:rsidP="004D36A2">
            <w:pPr>
              <w:rPr>
                <w:rFonts w:cs="Arial"/>
              </w:rPr>
            </w:pPr>
            <w:r>
              <w:rPr>
                <w:rFonts w:cs="Arial"/>
              </w:rPr>
              <w:t>N/A</w:t>
            </w:r>
          </w:p>
        </w:tc>
        <w:tc>
          <w:tcPr>
            <w:tcW w:w="2070" w:type="dxa"/>
          </w:tcPr>
          <w:p w14:paraId="52B298AD" w14:textId="77777777" w:rsidR="004D36A2" w:rsidRPr="009B4E2D" w:rsidRDefault="004D36A2" w:rsidP="004D36A2">
            <w:pPr>
              <w:rPr>
                <w:rFonts w:cs="Arial"/>
              </w:rPr>
            </w:pPr>
            <w:r>
              <w:rPr>
                <w:rFonts w:cs="Arial"/>
              </w:rPr>
              <w:t>N/A</w:t>
            </w:r>
          </w:p>
        </w:tc>
        <w:tc>
          <w:tcPr>
            <w:tcW w:w="1072" w:type="dxa"/>
          </w:tcPr>
          <w:p w14:paraId="2897FEB0" w14:textId="77777777" w:rsidR="004D36A2" w:rsidRPr="009B4E2D" w:rsidRDefault="004D36A2" w:rsidP="004D36A2">
            <w:pPr>
              <w:rPr>
                <w:rFonts w:cs="Arial"/>
              </w:rPr>
            </w:pPr>
            <w:r>
              <w:rPr>
                <w:rFonts w:cs="Arial"/>
              </w:rPr>
              <w:t>N/A</w:t>
            </w:r>
          </w:p>
        </w:tc>
        <w:tc>
          <w:tcPr>
            <w:tcW w:w="1440" w:type="dxa"/>
          </w:tcPr>
          <w:p w14:paraId="6A12779B" w14:textId="77777777" w:rsidR="004D36A2" w:rsidRPr="009B4E2D" w:rsidRDefault="004D36A2" w:rsidP="004D36A2">
            <w:pPr>
              <w:rPr>
                <w:rFonts w:cs="Arial"/>
              </w:rPr>
            </w:pPr>
            <w:r>
              <w:rPr>
                <w:rFonts w:cs="Arial"/>
              </w:rPr>
              <w:t>N/A</w:t>
            </w:r>
          </w:p>
        </w:tc>
        <w:tc>
          <w:tcPr>
            <w:tcW w:w="1244" w:type="dxa"/>
          </w:tcPr>
          <w:p w14:paraId="6183750F" w14:textId="77777777" w:rsidR="004D36A2" w:rsidRPr="009B4E2D" w:rsidRDefault="004D36A2" w:rsidP="004D36A2">
            <w:pPr>
              <w:rPr>
                <w:rFonts w:cs="Arial"/>
              </w:rPr>
            </w:pPr>
            <w:r>
              <w:rPr>
                <w:rFonts w:cs="Arial"/>
              </w:rPr>
              <w:t>N/A</w:t>
            </w:r>
          </w:p>
        </w:tc>
        <w:tc>
          <w:tcPr>
            <w:tcW w:w="1276" w:type="dxa"/>
          </w:tcPr>
          <w:p w14:paraId="0B2EB50B" w14:textId="77777777" w:rsidR="004D36A2" w:rsidRPr="009B4E2D" w:rsidRDefault="004D36A2" w:rsidP="004D36A2">
            <w:pPr>
              <w:rPr>
                <w:rFonts w:cs="Arial"/>
              </w:rPr>
            </w:pPr>
            <w:r w:rsidRPr="009A53D8">
              <w:rPr>
                <w:rFonts w:cs="Arial"/>
              </w:rPr>
              <w:t>N/A</w:t>
            </w:r>
          </w:p>
        </w:tc>
        <w:tc>
          <w:tcPr>
            <w:tcW w:w="1683" w:type="dxa"/>
          </w:tcPr>
          <w:p w14:paraId="19E40C63" w14:textId="77777777" w:rsidR="004D36A2" w:rsidRPr="009B4E2D" w:rsidRDefault="004D36A2" w:rsidP="004D36A2">
            <w:pPr>
              <w:rPr>
                <w:rFonts w:cs="Arial"/>
              </w:rPr>
            </w:pPr>
            <w:r w:rsidRPr="009A53D8">
              <w:rPr>
                <w:rFonts w:cs="Arial"/>
              </w:rPr>
              <w:t>N/A</w:t>
            </w:r>
          </w:p>
        </w:tc>
        <w:tc>
          <w:tcPr>
            <w:tcW w:w="1683" w:type="dxa"/>
          </w:tcPr>
          <w:p w14:paraId="5CBBFDF1" w14:textId="77777777" w:rsidR="004D36A2" w:rsidRPr="009B4E2D" w:rsidRDefault="004D36A2" w:rsidP="004D36A2">
            <w:pPr>
              <w:rPr>
                <w:rFonts w:cs="Arial"/>
              </w:rPr>
            </w:pPr>
            <w:r w:rsidRPr="009A53D8">
              <w:rPr>
                <w:rFonts w:cs="Arial"/>
              </w:rPr>
              <w:t>N/A</w:t>
            </w:r>
          </w:p>
        </w:tc>
        <w:tc>
          <w:tcPr>
            <w:tcW w:w="1683" w:type="dxa"/>
          </w:tcPr>
          <w:p w14:paraId="3309E76F" w14:textId="77777777" w:rsidR="004D36A2" w:rsidRPr="009B4E2D" w:rsidRDefault="004D36A2" w:rsidP="004D36A2">
            <w:pPr>
              <w:rPr>
                <w:rFonts w:cs="Arial"/>
              </w:rPr>
            </w:pPr>
            <w:r w:rsidRPr="009A53D8">
              <w:rPr>
                <w:rFonts w:cs="Arial"/>
              </w:rPr>
              <w:t>N/A</w:t>
            </w:r>
          </w:p>
        </w:tc>
      </w:tr>
      <w:tr w:rsidR="004075D8" w:rsidRPr="009B4E2D" w14:paraId="3D4029E8" w14:textId="77777777" w:rsidTr="00E0709F">
        <w:tc>
          <w:tcPr>
            <w:tcW w:w="2443" w:type="dxa"/>
          </w:tcPr>
          <w:p w14:paraId="0C5ED17A" w14:textId="77777777" w:rsidR="004075D8" w:rsidRPr="009B4E2D" w:rsidRDefault="004075D8">
            <w:pPr>
              <w:rPr>
                <w:rFonts w:cs="Arial"/>
                <w:color w:val="000000"/>
              </w:rPr>
            </w:pPr>
            <w:r>
              <w:rPr>
                <w:rFonts w:cs="Arial"/>
                <w:color w:val="000000"/>
              </w:rPr>
              <w:t>Military Enlistment</w:t>
            </w:r>
          </w:p>
        </w:tc>
        <w:tc>
          <w:tcPr>
            <w:tcW w:w="1895" w:type="dxa"/>
          </w:tcPr>
          <w:p w14:paraId="2C96DA7C" w14:textId="77777777" w:rsidR="004075D8" w:rsidRPr="009B4E2D" w:rsidRDefault="004075D8">
            <w:pPr>
              <w:rPr>
                <w:rFonts w:cs="Arial"/>
              </w:rPr>
            </w:pPr>
            <w:r>
              <w:rPr>
                <w:rFonts w:cs="Arial"/>
              </w:rPr>
              <w:t>N/A</w:t>
            </w:r>
          </w:p>
        </w:tc>
        <w:tc>
          <w:tcPr>
            <w:tcW w:w="1764" w:type="dxa"/>
          </w:tcPr>
          <w:p w14:paraId="3248A47C" w14:textId="77777777" w:rsidR="004075D8" w:rsidRPr="009B4E2D" w:rsidRDefault="004075D8">
            <w:pPr>
              <w:rPr>
                <w:rFonts w:cs="Arial"/>
              </w:rPr>
            </w:pPr>
            <w:r>
              <w:rPr>
                <w:rFonts w:cs="Arial"/>
                <w:b/>
                <w:bCs/>
              </w:rPr>
              <w:t>Directed Further Review</w:t>
            </w:r>
          </w:p>
        </w:tc>
        <w:tc>
          <w:tcPr>
            <w:tcW w:w="2070" w:type="dxa"/>
          </w:tcPr>
          <w:p w14:paraId="27DAEFEE" w14:textId="77777777" w:rsidR="004075D8" w:rsidRPr="009B4E2D" w:rsidRDefault="004075D8">
            <w:pPr>
              <w:rPr>
                <w:rFonts w:cs="Arial"/>
              </w:rPr>
            </w:pPr>
            <w:r w:rsidRPr="009D4E34">
              <w:rPr>
                <w:rFonts w:cs="Arial"/>
              </w:rPr>
              <w:t>N/A</w:t>
            </w:r>
          </w:p>
        </w:tc>
        <w:tc>
          <w:tcPr>
            <w:tcW w:w="1072" w:type="dxa"/>
          </w:tcPr>
          <w:p w14:paraId="153350DC" w14:textId="77777777" w:rsidR="004075D8" w:rsidRPr="009B4E2D" w:rsidRDefault="004075D8">
            <w:pPr>
              <w:rPr>
                <w:rFonts w:cs="Arial"/>
              </w:rPr>
            </w:pPr>
            <w:r w:rsidRPr="009D4E34">
              <w:rPr>
                <w:rFonts w:cs="Arial"/>
              </w:rPr>
              <w:t>N/A</w:t>
            </w:r>
          </w:p>
        </w:tc>
        <w:tc>
          <w:tcPr>
            <w:tcW w:w="1440" w:type="dxa"/>
          </w:tcPr>
          <w:p w14:paraId="6CB1C1C4" w14:textId="77777777" w:rsidR="004075D8" w:rsidRPr="009B4E2D" w:rsidRDefault="004075D8">
            <w:pPr>
              <w:rPr>
                <w:rFonts w:cs="Arial"/>
              </w:rPr>
            </w:pPr>
            <w:r w:rsidRPr="009D4E34">
              <w:rPr>
                <w:rFonts w:cs="Arial"/>
              </w:rPr>
              <w:t>N/A</w:t>
            </w:r>
          </w:p>
        </w:tc>
        <w:tc>
          <w:tcPr>
            <w:tcW w:w="1244" w:type="dxa"/>
          </w:tcPr>
          <w:p w14:paraId="7A635EBB" w14:textId="77777777" w:rsidR="004075D8" w:rsidRPr="009B4E2D" w:rsidRDefault="004075D8">
            <w:pPr>
              <w:rPr>
                <w:rFonts w:cs="Arial"/>
              </w:rPr>
            </w:pPr>
            <w:r w:rsidRPr="009D4E34">
              <w:rPr>
                <w:rFonts w:cs="Arial"/>
              </w:rPr>
              <w:t>N/A</w:t>
            </w:r>
          </w:p>
        </w:tc>
        <w:tc>
          <w:tcPr>
            <w:tcW w:w="1276" w:type="dxa"/>
          </w:tcPr>
          <w:p w14:paraId="513626BE" w14:textId="77777777" w:rsidR="004075D8" w:rsidRPr="009B4E2D" w:rsidRDefault="004075D8">
            <w:pPr>
              <w:rPr>
                <w:rFonts w:cs="Arial"/>
              </w:rPr>
            </w:pPr>
            <w:r w:rsidRPr="009D4E34">
              <w:rPr>
                <w:rFonts w:cs="Arial"/>
              </w:rPr>
              <w:t>N/A</w:t>
            </w:r>
          </w:p>
        </w:tc>
        <w:tc>
          <w:tcPr>
            <w:tcW w:w="1683" w:type="dxa"/>
          </w:tcPr>
          <w:p w14:paraId="257915C6" w14:textId="77777777" w:rsidR="004075D8" w:rsidRPr="009B4E2D" w:rsidRDefault="004075D8">
            <w:pPr>
              <w:rPr>
                <w:rFonts w:cs="Arial"/>
              </w:rPr>
            </w:pPr>
            <w:r w:rsidRPr="009D4E34">
              <w:rPr>
                <w:rFonts w:cs="Arial"/>
              </w:rPr>
              <w:t>N/A</w:t>
            </w:r>
          </w:p>
        </w:tc>
        <w:tc>
          <w:tcPr>
            <w:tcW w:w="1683" w:type="dxa"/>
          </w:tcPr>
          <w:p w14:paraId="31452319" w14:textId="77777777" w:rsidR="004075D8" w:rsidRPr="009B4E2D" w:rsidRDefault="004075D8">
            <w:pPr>
              <w:rPr>
                <w:rFonts w:cs="Arial"/>
              </w:rPr>
            </w:pPr>
            <w:r w:rsidRPr="009D4E34">
              <w:rPr>
                <w:rFonts w:cs="Arial"/>
              </w:rPr>
              <w:t>N/A</w:t>
            </w:r>
          </w:p>
        </w:tc>
        <w:tc>
          <w:tcPr>
            <w:tcW w:w="1683" w:type="dxa"/>
          </w:tcPr>
          <w:p w14:paraId="44604B93" w14:textId="77777777" w:rsidR="004075D8" w:rsidRPr="009B4E2D" w:rsidRDefault="004075D8">
            <w:pPr>
              <w:rPr>
                <w:rFonts w:cs="Arial"/>
              </w:rPr>
            </w:pPr>
            <w:r w:rsidRPr="009D4E34">
              <w:rPr>
                <w:rFonts w:cs="Arial"/>
              </w:rPr>
              <w:t>N/A</w:t>
            </w:r>
          </w:p>
        </w:tc>
      </w:tr>
      <w:tr w:rsidR="004075D8" w:rsidRPr="009B4E2D" w14:paraId="04998EBD" w14:textId="77777777" w:rsidTr="00E0709F">
        <w:tc>
          <w:tcPr>
            <w:tcW w:w="2443" w:type="dxa"/>
          </w:tcPr>
          <w:p w14:paraId="61948B83" w14:textId="77777777" w:rsidR="004075D8" w:rsidRPr="009B4E2D" w:rsidRDefault="004075D8">
            <w:pPr>
              <w:rPr>
                <w:rFonts w:cs="Arial"/>
                <w:color w:val="000000"/>
              </w:rPr>
            </w:pPr>
            <w:r w:rsidRPr="009B4E2D">
              <w:rPr>
                <w:rFonts w:cs="Arial"/>
                <w:color w:val="000000"/>
              </w:rPr>
              <w:t>Non-Registered Pre-Apprenticeship</w:t>
            </w:r>
          </w:p>
        </w:tc>
        <w:tc>
          <w:tcPr>
            <w:tcW w:w="1895" w:type="dxa"/>
          </w:tcPr>
          <w:p w14:paraId="1AB8FF74" w14:textId="77777777" w:rsidR="004075D8" w:rsidRPr="009B4E2D" w:rsidRDefault="004075D8">
            <w:pPr>
              <w:rPr>
                <w:rFonts w:cs="Arial"/>
              </w:rPr>
            </w:pPr>
            <w:r w:rsidRPr="00D65834">
              <w:rPr>
                <w:rFonts w:cs="Arial"/>
              </w:rPr>
              <w:t>N/A</w:t>
            </w:r>
          </w:p>
        </w:tc>
        <w:tc>
          <w:tcPr>
            <w:tcW w:w="1764" w:type="dxa"/>
          </w:tcPr>
          <w:p w14:paraId="462CB6F8" w14:textId="77777777" w:rsidR="004075D8" w:rsidRPr="009B4E2D" w:rsidRDefault="004075D8">
            <w:pPr>
              <w:rPr>
                <w:rFonts w:cs="Arial"/>
              </w:rPr>
            </w:pPr>
            <w:r w:rsidRPr="00D65834">
              <w:rPr>
                <w:rFonts w:cs="Arial"/>
              </w:rPr>
              <w:t>N/A</w:t>
            </w:r>
          </w:p>
        </w:tc>
        <w:tc>
          <w:tcPr>
            <w:tcW w:w="2070" w:type="dxa"/>
          </w:tcPr>
          <w:p w14:paraId="3C7419EA" w14:textId="77777777" w:rsidR="004075D8" w:rsidRPr="009B4E2D" w:rsidRDefault="004075D8">
            <w:pPr>
              <w:rPr>
                <w:rFonts w:cs="Arial"/>
              </w:rPr>
            </w:pPr>
            <w:r w:rsidRPr="00D65834">
              <w:rPr>
                <w:rFonts w:cs="Arial"/>
              </w:rPr>
              <w:t>N/A</w:t>
            </w:r>
          </w:p>
        </w:tc>
        <w:tc>
          <w:tcPr>
            <w:tcW w:w="1072" w:type="dxa"/>
          </w:tcPr>
          <w:p w14:paraId="4D130D55" w14:textId="77777777" w:rsidR="004075D8" w:rsidRPr="009B4E2D" w:rsidRDefault="004075D8">
            <w:pPr>
              <w:rPr>
                <w:rFonts w:cs="Arial"/>
              </w:rPr>
            </w:pPr>
            <w:r w:rsidRPr="008F0538">
              <w:rPr>
                <w:rFonts w:cs="Arial"/>
              </w:rPr>
              <w:t>N/A</w:t>
            </w:r>
          </w:p>
        </w:tc>
        <w:tc>
          <w:tcPr>
            <w:tcW w:w="1440" w:type="dxa"/>
          </w:tcPr>
          <w:p w14:paraId="6EF36239" w14:textId="77777777" w:rsidR="004075D8" w:rsidRPr="009B4E2D" w:rsidRDefault="004075D8">
            <w:pPr>
              <w:rPr>
                <w:rFonts w:cs="Arial"/>
              </w:rPr>
            </w:pPr>
            <w:r w:rsidRPr="00B51551">
              <w:rPr>
                <w:rFonts w:cs="Arial"/>
                <w:b/>
                <w:bCs/>
              </w:rPr>
              <w:t>Approved</w:t>
            </w:r>
          </w:p>
        </w:tc>
        <w:tc>
          <w:tcPr>
            <w:tcW w:w="1244" w:type="dxa"/>
          </w:tcPr>
          <w:p w14:paraId="0A0C1793" w14:textId="77777777" w:rsidR="004075D8" w:rsidRPr="009B4E2D" w:rsidRDefault="004075D8">
            <w:pPr>
              <w:rPr>
                <w:rFonts w:cs="Arial"/>
              </w:rPr>
            </w:pPr>
            <w:r>
              <w:rPr>
                <w:rFonts w:cs="Arial"/>
              </w:rPr>
              <w:t>N/A</w:t>
            </w:r>
          </w:p>
        </w:tc>
        <w:tc>
          <w:tcPr>
            <w:tcW w:w="1276" w:type="dxa"/>
          </w:tcPr>
          <w:p w14:paraId="0CF1276A" w14:textId="77777777" w:rsidR="004075D8" w:rsidRPr="009B4E2D" w:rsidRDefault="004075D8">
            <w:pPr>
              <w:rPr>
                <w:rFonts w:cs="Arial"/>
              </w:rPr>
            </w:pPr>
            <w:r>
              <w:rPr>
                <w:rFonts w:cs="Arial"/>
              </w:rPr>
              <w:t>N/A</w:t>
            </w:r>
          </w:p>
        </w:tc>
        <w:tc>
          <w:tcPr>
            <w:tcW w:w="1683" w:type="dxa"/>
          </w:tcPr>
          <w:p w14:paraId="1A81CC27" w14:textId="77777777" w:rsidR="004075D8" w:rsidRPr="003858F7" w:rsidRDefault="004075D8">
            <w:pPr>
              <w:rPr>
                <w:rFonts w:cs="Arial"/>
                <w:b/>
                <w:bCs/>
              </w:rPr>
            </w:pPr>
            <w:r w:rsidRPr="003858F7">
              <w:rPr>
                <w:rFonts w:cs="Arial"/>
                <w:b/>
                <w:bCs/>
              </w:rPr>
              <w:t>Removed</w:t>
            </w:r>
          </w:p>
        </w:tc>
        <w:tc>
          <w:tcPr>
            <w:tcW w:w="1683" w:type="dxa"/>
          </w:tcPr>
          <w:p w14:paraId="0081A1F4" w14:textId="77777777" w:rsidR="004075D8" w:rsidRPr="009B4E2D" w:rsidRDefault="004075D8">
            <w:pPr>
              <w:rPr>
                <w:rFonts w:cs="Arial"/>
              </w:rPr>
            </w:pPr>
            <w:r w:rsidRPr="008A367B">
              <w:rPr>
                <w:rFonts w:cs="Arial"/>
              </w:rPr>
              <w:t>N/A</w:t>
            </w:r>
          </w:p>
        </w:tc>
        <w:tc>
          <w:tcPr>
            <w:tcW w:w="1683" w:type="dxa"/>
          </w:tcPr>
          <w:p w14:paraId="082EC072" w14:textId="77777777" w:rsidR="004075D8" w:rsidRPr="009B4E2D" w:rsidRDefault="004075D8">
            <w:pPr>
              <w:rPr>
                <w:rFonts w:cs="Arial"/>
              </w:rPr>
            </w:pPr>
            <w:r w:rsidRPr="008A367B">
              <w:rPr>
                <w:rFonts w:cs="Arial"/>
              </w:rPr>
              <w:t>N/A</w:t>
            </w:r>
          </w:p>
        </w:tc>
      </w:tr>
      <w:tr w:rsidR="004075D8" w:rsidRPr="009B4E2D" w14:paraId="53E2246A" w14:textId="77777777" w:rsidTr="00E0709F">
        <w:tc>
          <w:tcPr>
            <w:tcW w:w="2443" w:type="dxa"/>
          </w:tcPr>
          <w:p w14:paraId="1205A5EB" w14:textId="77777777" w:rsidR="004075D8" w:rsidRPr="009B4E2D" w:rsidRDefault="004075D8">
            <w:pPr>
              <w:rPr>
                <w:rFonts w:cs="Arial"/>
                <w:color w:val="000000"/>
              </w:rPr>
            </w:pPr>
            <w:r w:rsidRPr="009B4E2D">
              <w:rPr>
                <w:rFonts w:cs="Arial"/>
                <w:color w:val="000000"/>
              </w:rPr>
              <w:t>Registered Pre-Apprenticeship</w:t>
            </w:r>
          </w:p>
        </w:tc>
        <w:tc>
          <w:tcPr>
            <w:tcW w:w="1895" w:type="dxa"/>
          </w:tcPr>
          <w:p w14:paraId="7DBADB82" w14:textId="77777777" w:rsidR="004075D8" w:rsidRPr="009B4E2D" w:rsidRDefault="004075D8">
            <w:pPr>
              <w:rPr>
                <w:rFonts w:cs="Arial"/>
              </w:rPr>
            </w:pPr>
            <w:r w:rsidRPr="00D65834">
              <w:rPr>
                <w:rFonts w:cs="Arial"/>
              </w:rPr>
              <w:t>N/A</w:t>
            </w:r>
          </w:p>
        </w:tc>
        <w:tc>
          <w:tcPr>
            <w:tcW w:w="1764" w:type="dxa"/>
          </w:tcPr>
          <w:p w14:paraId="0483F617" w14:textId="77777777" w:rsidR="004075D8" w:rsidRPr="009B4E2D" w:rsidRDefault="004075D8">
            <w:pPr>
              <w:rPr>
                <w:rFonts w:cs="Arial"/>
              </w:rPr>
            </w:pPr>
            <w:r w:rsidRPr="00D65834">
              <w:rPr>
                <w:rFonts w:cs="Arial"/>
              </w:rPr>
              <w:t>N/A</w:t>
            </w:r>
          </w:p>
        </w:tc>
        <w:tc>
          <w:tcPr>
            <w:tcW w:w="2070" w:type="dxa"/>
          </w:tcPr>
          <w:p w14:paraId="558482C8" w14:textId="77777777" w:rsidR="004075D8" w:rsidRPr="009B4E2D" w:rsidRDefault="004075D8">
            <w:pPr>
              <w:rPr>
                <w:rFonts w:cs="Arial"/>
              </w:rPr>
            </w:pPr>
            <w:r w:rsidRPr="00D65834">
              <w:rPr>
                <w:rFonts w:cs="Arial"/>
              </w:rPr>
              <w:t>N/A</w:t>
            </w:r>
          </w:p>
        </w:tc>
        <w:tc>
          <w:tcPr>
            <w:tcW w:w="1072" w:type="dxa"/>
          </w:tcPr>
          <w:p w14:paraId="579A15DC" w14:textId="77777777" w:rsidR="004075D8" w:rsidRPr="009B4E2D" w:rsidRDefault="004075D8">
            <w:pPr>
              <w:rPr>
                <w:rFonts w:cs="Arial"/>
              </w:rPr>
            </w:pPr>
            <w:r w:rsidRPr="008F0538">
              <w:rPr>
                <w:rFonts w:cs="Arial"/>
              </w:rPr>
              <w:t>N/A</w:t>
            </w:r>
          </w:p>
        </w:tc>
        <w:tc>
          <w:tcPr>
            <w:tcW w:w="1440" w:type="dxa"/>
          </w:tcPr>
          <w:p w14:paraId="4D4585A4" w14:textId="77777777" w:rsidR="004075D8" w:rsidRPr="009B4E2D" w:rsidRDefault="004075D8">
            <w:pPr>
              <w:rPr>
                <w:rFonts w:cs="Arial"/>
              </w:rPr>
            </w:pPr>
            <w:r w:rsidRPr="00B51551">
              <w:rPr>
                <w:rFonts w:cs="Arial"/>
                <w:b/>
                <w:bCs/>
              </w:rPr>
              <w:t>Approved</w:t>
            </w:r>
          </w:p>
        </w:tc>
        <w:tc>
          <w:tcPr>
            <w:tcW w:w="1244" w:type="dxa"/>
          </w:tcPr>
          <w:p w14:paraId="7F24D3EB" w14:textId="77777777" w:rsidR="004075D8" w:rsidRPr="009B4E2D" w:rsidRDefault="004075D8">
            <w:pPr>
              <w:rPr>
                <w:rFonts w:cs="Arial"/>
              </w:rPr>
            </w:pPr>
            <w:r w:rsidRPr="00000212">
              <w:rPr>
                <w:rFonts w:cs="Arial"/>
              </w:rPr>
              <w:t>N/A</w:t>
            </w:r>
          </w:p>
        </w:tc>
        <w:tc>
          <w:tcPr>
            <w:tcW w:w="1276" w:type="dxa"/>
          </w:tcPr>
          <w:p w14:paraId="42E2DB6D" w14:textId="77777777" w:rsidR="004075D8" w:rsidRPr="009B4E2D" w:rsidRDefault="004075D8">
            <w:pPr>
              <w:rPr>
                <w:rFonts w:cs="Arial"/>
              </w:rPr>
            </w:pPr>
            <w:r w:rsidRPr="00000212">
              <w:rPr>
                <w:rFonts w:cs="Arial"/>
              </w:rPr>
              <w:t>N/A</w:t>
            </w:r>
          </w:p>
        </w:tc>
        <w:tc>
          <w:tcPr>
            <w:tcW w:w="1683" w:type="dxa"/>
          </w:tcPr>
          <w:p w14:paraId="1408C495" w14:textId="77777777" w:rsidR="004075D8" w:rsidRPr="009B4E2D" w:rsidRDefault="004075D8">
            <w:pPr>
              <w:rPr>
                <w:rFonts w:cs="Arial"/>
              </w:rPr>
            </w:pPr>
            <w:r w:rsidRPr="00000212">
              <w:rPr>
                <w:rFonts w:cs="Arial"/>
              </w:rPr>
              <w:t>N/A</w:t>
            </w:r>
          </w:p>
        </w:tc>
        <w:tc>
          <w:tcPr>
            <w:tcW w:w="1683" w:type="dxa"/>
          </w:tcPr>
          <w:p w14:paraId="2F6A55C2" w14:textId="77777777" w:rsidR="004075D8" w:rsidRPr="009B4E2D" w:rsidRDefault="004075D8">
            <w:pPr>
              <w:rPr>
                <w:rFonts w:cs="Arial"/>
              </w:rPr>
            </w:pPr>
            <w:r w:rsidRPr="008A367B">
              <w:rPr>
                <w:rFonts w:cs="Arial"/>
              </w:rPr>
              <w:t>N/A</w:t>
            </w:r>
          </w:p>
        </w:tc>
        <w:tc>
          <w:tcPr>
            <w:tcW w:w="1683" w:type="dxa"/>
          </w:tcPr>
          <w:p w14:paraId="1D68ADD9" w14:textId="77777777" w:rsidR="004075D8" w:rsidRPr="009B4E2D" w:rsidRDefault="004075D8">
            <w:pPr>
              <w:rPr>
                <w:rFonts w:cs="Arial"/>
              </w:rPr>
            </w:pPr>
            <w:r w:rsidRPr="008A367B">
              <w:rPr>
                <w:rFonts w:cs="Arial"/>
              </w:rPr>
              <w:t>N/A</w:t>
            </w:r>
          </w:p>
        </w:tc>
      </w:tr>
      <w:tr w:rsidR="00A93BAD" w:rsidRPr="009B4E2D" w14:paraId="2D0FA259" w14:textId="77777777" w:rsidTr="00E0709F">
        <w:tc>
          <w:tcPr>
            <w:tcW w:w="2443" w:type="dxa"/>
          </w:tcPr>
          <w:p w14:paraId="259BD465" w14:textId="2D458070" w:rsidR="00A93BAD" w:rsidRPr="009B4E2D" w:rsidRDefault="00A93BAD" w:rsidP="00A93BAD">
            <w:pPr>
              <w:rPr>
                <w:rFonts w:cs="Arial"/>
                <w:color w:val="000000"/>
              </w:rPr>
            </w:pPr>
            <w:r w:rsidRPr="009B4E2D">
              <w:rPr>
                <w:rFonts w:cs="Arial"/>
                <w:color w:val="000000"/>
              </w:rPr>
              <w:t>Simulated work-based learning</w:t>
            </w:r>
            <w:r>
              <w:rPr>
                <w:rFonts w:cs="Arial"/>
                <w:color w:val="000000"/>
              </w:rPr>
              <w:t xml:space="preserve"> </w:t>
            </w:r>
          </w:p>
        </w:tc>
        <w:tc>
          <w:tcPr>
            <w:tcW w:w="1895" w:type="dxa"/>
          </w:tcPr>
          <w:p w14:paraId="662FF105" w14:textId="5CCCDD71" w:rsidR="00A93BAD" w:rsidRPr="009B4E2D" w:rsidRDefault="00A93BAD" w:rsidP="00A93BAD">
            <w:pPr>
              <w:rPr>
                <w:rFonts w:cs="Arial"/>
              </w:rPr>
            </w:pPr>
            <w:r w:rsidRPr="0003384A">
              <w:rPr>
                <w:rFonts w:cs="Arial"/>
              </w:rPr>
              <w:t>N/A</w:t>
            </w:r>
          </w:p>
        </w:tc>
        <w:tc>
          <w:tcPr>
            <w:tcW w:w="1764" w:type="dxa"/>
          </w:tcPr>
          <w:p w14:paraId="583E2DD9" w14:textId="3A580EE5" w:rsidR="00A93BAD" w:rsidRPr="009B4E2D" w:rsidRDefault="00A93BAD" w:rsidP="00A93BAD">
            <w:pPr>
              <w:rPr>
                <w:rFonts w:cs="Arial"/>
              </w:rPr>
            </w:pPr>
            <w:r w:rsidRPr="0003384A">
              <w:rPr>
                <w:rFonts w:cs="Arial"/>
              </w:rPr>
              <w:t>N/A</w:t>
            </w:r>
          </w:p>
        </w:tc>
        <w:tc>
          <w:tcPr>
            <w:tcW w:w="2070" w:type="dxa"/>
          </w:tcPr>
          <w:p w14:paraId="6471C049" w14:textId="5F402EAC" w:rsidR="00A93BAD" w:rsidRPr="009B4E2D" w:rsidRDefault="00A93BAD" w:rsidP="00A93BAD">
            <w:pPr>
              <w:rPr>
                <w:rFonts w:cs="Arial"/>
              </w:rPr>
            </w:pPr>
            <w:r w:rsidRPr="0003384A">
              <w:rPr>
                <w:rFonts w:cs="Arial"/>
              </w:rPr>
              <w:t>N/A</w:t>
            </w:r>
          </w:p>
        </w:tc>
        <w:tc>
          <w:tcPr>
            <w:tcW w:w="1072" w:type="dxa"/>
          </w:tcPr>
          <w:p w14:paraId="7AEAA448" w14:textId="77777777" w:rsidR="00A93BAD" w:rsidRPr="009B4E2D" w:rsidRDefault="00A93BAD" w:rsidP="00A93BAD">
            <w:pPr>
              <w:rPr>
                <w:rFonts w:cs="Arial"/>
              </w:rPr>
            </w:pPr>
            <w:r w:rsidRPr="008F0538">
              <w:rPr>
                <w:rFonts w:cs="Arial"/>
              </w:rPr>
              <w:t>N/A</w:t>
            </w:r>
          </w:p>
        </w:tc>
        <w:tc>
          <w:tcPr>
            <w:tcW w:w="1440" w:type="dxa"/>
          </w:tcPr>
          <w:p w14:paraId="16AD505A" w14:textId="164B72C4" w:rsidR="00A93BAD" w:rsidRPr="00DD2003" w:rsidRDefault="00A93BAD" w:rsidP="00A93BAD">
            <w:pPr>
              <w:rPr>
                <w:rFonts w:cs="Arial"/>
                <w:b/>
              </w:rPr>
            </w:pPr>
            <w:r w:rsidRPr="00C66B4C">
              <w:rPr>
                <w:rFonts w:cs="Arial"/>
                <w:b/>
                <w:bCs/>
              </w:rPr>
              <w:t>Directed Further Review</w:t>
            </w:r>
            <w:r>
              <w:rPr>
                <w:rFonts w:cs="Arial"/>
                <w:b/>
                <w:bCs/>
              </w:rPr>
              <w:t xml:space="preserve">: </w:t>
            </w:r>
            <w:r w:rsidRPr="00DD2003">
              <w:rPr>
                <w:rFonts w:cs="Arial"/>
                <w:b/>
                <w:bCs/>
              </w:rPr>
              <w:t>Data Collection Started</w:t>
            </w:r>
          </w:p>
        </w:tc>
        <w:tc>
          <w:tcPr>
            <w:tcW w:w="1244" w:type="dxa"/>
          </w:tcPr>
          <w:p w14:paraId="11F03948" w14:textId="453B99A9" w:rsidR="00A93BAD" w:rsidRPr="009B4E2D" w:rsidRDefault="00A93BAD" w:rsidP="00A93BAD">
            <w:pPr>
              <w:rPr>
                <w:rFonts w:cs="Arial"/>
              </w:rPr>
            </w:pPr>
            <w:r w:rsidRPr="00C66B4C">
              <w:rPr>
                <w:rFonts w:cs="Arial"/>
                <w:b/>
                <w:bCs/>
              </w:rPr>
              <w:t>Data Analysis</w:t>
            </w:r>
            <w:r w:rsidR="001243DB">
              <w:rPr>
                <w:rFonts w:cs="Arial"/>
                <w:b/>
                <w:bCs/>
              </w:rPr>
              <w:t xml:space="preserve"> Provided</w:t>
            </w:r>
          </w:p>
        </w:tc>
        <w:tc>
          <w:tcPr>
            <w:tcW w:w="1276" w:type="dxa"/>
          </w:tcPr>
          <w:p w14:paraId="47D2358E" w14:textId="77E97E10" w:rsidR="00A93BAD" w:rsidRPr="009B4E2D" w:rsidRDefault="00A93BAD" w:rsidP="00A93BAD">
            <w:pPr>
              <w:rPr>
                <w:rFonts w:cs="Arial"/>
              </w:rPr>
            </w:pPr>
            <w:r w:rsidRPr="00C66B4C">
              <w:rPr>
                <w:rFonts w:cs="Arial"/>
                <w:b/>
                <w:bCs/>
              </w:rPr>
              <w:t>Data Analysis</w:t>
            </w:r>
            <w:r w:rsidR="002B29F5">
              <w:rPr>
                <w:rFonts w:cs="Arial"/>
                <w:b/>
                <w:bCs/>
              </w:rPr>
              <w:t xml:space="preserve"> Provided</w:t>
            </w:r>
          </w:p>
        </w:tc>
        <w:tc>
          <w:tcPr>
            <w:tcW w:w="1683" w:type="dxa"/>
          </w:tcPr>
          <w:p w14:paraId="665D5D7A" w14:textId="4827104F" w:rsidR="00A93BAD" w:rsidRPr="009B4E2D" w:rsidRDefault="00A93BAD" w:rsidP="00A93BAD">
            <w:pPr>
              <w:rPr>
                <w:rFonts w:cs="Arial"/>
              </w:rPr>
            </w:pPr>
            <w:r w:rsidRPr="00C66B4C">
              <w:rPr>
                <w:rFonts w:cs="Arial"/>
                <w:b/>
                <w:bCs/>
              </w:rPr>
              <w:t>Data Analysis Provided; No Action Taken</w:t>
            </w:r>
          </w:p>
        </w:tc>
        <w:tc>
          <w:tcPr>
            <w:tcW w:w="1683" w:type="dxa"/>
          </w:tcPr>
          <w:p w14:paraId="26D809CF" w14:textId="1DA98E2D" w:rsidR="00A93BAD" w:rsidRPr="009B4E2D" w:rsidRDefault="00A93BAD" w:rsidP="00A93BAD">
            <w:pPr>
              <w:rPr>
                <w:rFonts w:cs="Arial"/>
              </w:rPr>
            </w:pPr>
            <w:r w:rsidRPr="00C66B4C">
              <w:rPr>
                <w:rFonts w:cs="Arial"/>
                <w:b/>
                <w:bCs/>
              </w:rPr>
              <w:t>Data Analysis Provided; No Action Taken</w:t>
            </w:r>
          </w:p>
        </w:tc>
        <w:tc>
          <w:tcPr>
            <w:tcW w:w="1683" w:type="dxa"/>
          </w:tcPr>
          <w:p w14:paraId="48FD00AC" w14:textId="0CC02845" w:rsidR="00A93BAD" w:rsidRPr="009B4E2D" w:rsidRDefault="00A93BAD" w:rsidP="00A93BAD">
            <w:pPr>
              <w:rPr>
                <w:rFonts w:cs="Arial"/>
              </w:rPr>
            </w:pPr>
            <w:r w:rsidRPr="00C66B4C">
              <w:rPr>
                <w:rFonts w:cs="Arial"/>
                <w:b/>
                <w:bCs/>
              </w:rPr>
              <w:t>Data Analysis Provided; No Action Taken</w:t>
            </w:r>
          </w:p>
        </w:tc>
      </w:tr>
      <w:tr w:rsidR="004075D8" w:rsidRPr="009B4E2D" w14:paraId="3B171F95" w14:textId="77777777" w:rsidTr="00E0709F">
        <w:tc>
          <w:tcPr>
            <w:tcW w:w="2443" w:type="dxa"/>
          </w:tcPr>
          <w:p w14:paraId="4BD3FE55" w14:textId="77777777" w:rsidR="004075D8" w:rsidRPr="009B4E2D" w:rsidRDefault="004075D8">
            <w:pPr>
              <w:rPr>
                <w:rFonts w:cs="Arial"/>
                <w:color w:val="000000"/>
              </w:rPr>
            </w:pPr>
            <w:r>
              <w:rPr>
                <w:rFonts w:cs="Arial"/>
                <w:color w:val="000000"/>
              </w:rPr>
              <w:lastRenderedPageBreak/>
              <w:t>Smarter Balanced Assessments</w:t>
            </w:r>
          </w:p>
        </w:tc>
        <w:tc>
          <w:tcPr>
            <w:tcW w:w="1895" w:type="dxa"/>
          </w:tcPr>
          <w:p w14:paraId="1ED0E018" w14:textId="77777777" w:rsidR="004075D8" w:rsidRPr="009B4E2D" w:rsidRDefault="004075D8">
            <w:pPr>
              <w:rPr>
                <w:rFonts w:cs="Arial"/>
              </w:rPr>
            </w:pPr>
            <w:r>
              <w:rPr>
                <w:rFonts w:cs="Arial"/>
              </w:rPr>
              <w:t>N/A</w:t>
            </w:r>
          </w:p>
        </w:tc>
        <w:tc>
          <w:tcPr>
            <w:tcW w:w="1764" w:type="dxa"/>
          </w:tcPr>
          <w:p w14:paraId="4E31AAB2" w14:textId="77777777" w:rsidR="004075D8" w:rsidRPr="002B45F1" w:rsidRDefault="004075D8">
            <w:pPr>
              <w:rPr>
                <w:rFonts w:cs="Arial"/>
                <w:b/>
                <w:bCs/>
              </w:rPr>
            </w:pPr>
            <w:r w:rsidRPr="002B45F1">
              <w:rPr>
                <w:rFonts w:cs="Arial"/>
                <w:b/>
                <w:bCs/>
              </w:rPr>
              <w:t>Adopted</w:t>
            </w:r>
          </w:p>
        </w:tc>
        <w:tc>
          <w:tcPr>
            <w:tcW w:w="2070" w:type="dxa"/>
          </w:tcPr>
          <w:p w14:paraId="626E4E6C" w14:textId="77777777" w:rsidR="004075D8" w:rsidRPr="009B4E2D" w:rsidRDefault="004075D8">
            <w:pPr>
              <w:rPr>
                <w:rFonts w:cs="Arial"/>
              </w:rPr>
            </w:pPr>
            <w:r w:rsidRPr="005D3BD8">
              <w:rPr>
                <w:rFonts w:cs="Arial"/>
              </w:rPr>
              <w:t>N/A</w:t>
            </w:r>
          </w:p>
        </w:tc>
        <w:tc>
          <w:tcPr>
            <w:tcW w:w="1072" w:type="dxa"/>
          </w:tcPr>
          <w:p w14:paraId="3CC36452" w14:textId="77777777" w:rsidR="004075D8" w:rsidRPr="009B4E2D" w:rsidRDefault="004075D8">
            <w:pPr>
              <w:rPr>
                <w:rFonts w:cs="Arial"/>
              </w:rPr>
            </w:pPr>
            <w:r w:rsidRPr="008F0538">
              <w:rPr>
                <w:rFonts w:cs="Arial"/>
              </w:rPr>
              <w:t>N/A</w:t>
            </w:r>
          </w:p>
        </w:tc>
        <w:tc>
          <w:tcPr>
            <w:tcW w:w="1440" w:type="dxa"/>
          </w:tcPr>
          <w:p w14:paraId="2EEC6486" w14:textId="77777777" w:rsidR="004075D8" w:rsidRPr="009B4E2D" w:rsidRDefault="004075D8">
            <w:pPr>
              <w:rPr>
                <w:rFonts w:cs="Arial"/>
              </w:rPr>
            </w:pPr>
            <w:r w:rsidRPr="005D3BD8">
              <w:rPr>
                <w:rFonts w:cs="Arial"/>
              </w:rPr>
              <w:t>N/A</w:t>
            </w:r>
          </w:p>
        </w:tc>
        <w:tc>
          <w:tcPr>
            <w:tcW w:w="1244" w:type="dxa"/>
          </w:tcPr>
          <w:p w14:paraId="3DD92E24" w14:textId="77777777" w:rsidR="004075D8" w:rsidRPr="009B4E2D" w:rsidRDefault="004075D8">
            <w:pPr>
              <w:rPr>
                <w:rFonts w:cs="Arial"/>
              </w:rPr>
            </w:pPr>
            <w:r w:rsidRPr="005D3BD8">
              <w:rPr>
                <w:rFonts w:cs="Arial"/>
              </w:rPr>
              <w:t>N/A</w:t>
            </w:r>
          </w:p>
        </w:tc>
        <w:tc>
          <w:tcPr>
            <w:tcW w:w="1276" w:type="dxa"/>
          </w:tcPr>
          <w:p w14:paraId="4FCBDD2A" w14:textId="77777777" w:rsidR="004075D8" w:rsidRPr="009B4E2D" w:rsidRDefault="004075D8">
            <w:pPr>
              <w:rPr>
                <w:rFonts w:cs="Arial"/>
              </w:rPr>
            </w:pPr>
            <w:r w:rsidRPr="005D3BD8">
              <w:rPr>
                <w:rFonts w:cs="Arial"/>
              </w:rPr>
              <w:t>N/A</w:t>
            </w:r>
          </w:p>
        </w:tc>
        <w:tc>
          <w:tcPr>
            <w:tcW w:w="1683" w:type="dxa"/>
          </w:tcPr>
          <w:p w14:paraId="5AF0760A" w14:textId="77777777" w:rsidR="004075D8" w:rsidRPr="009B4E2D" w:rsidRDefault="004075D8">
            <w:pPr>
              <w:rPr>
                <w:rFonts w:cs="Arial"/>
              </w:rPr>
            </w:pPr>
            <w:r w:rsidRPr="005D3BD8">
              <w:rPr>
                <w:rFonts w:cs="Arial"/>
              </w:rPr>
              <w:t>N/A</w:t>
            </w:r>
          </w:p>
        </w:tc>
        <w:tc>
          <w:tcPr>
            <w:tcW w:w="1683" w:type="dxa"/>
          </w:tcPr>
          <w:p w14:paraId="55ED390B" w14:textId="77777777" w:rsidR="004075D8" w:rsidRPr="009B4E2D" w:rsidRDefault="004075D8">
            <w:pPr>
              <w:rPr>
                <w:rFonts w:cs="Arial"/>
              </w:rPr>
            </w:pPr>
            <w:r w:rsidRPr="005D3BD8">
              <w:rPr>
                <w:rFonts w:cs="Arial"/>
              </w:rPr>
              <w:t>N/A</w:t>
            </w:r>
          </w:p>
        </w:tc>
        <w:tc>
          <w:tcPr>
            <w:tcW w:w="1683" w:type="dxa"/>
          </w:tcPr>
          <w:p w14:paraId="08B24BEB" w14:textId="77777777" w:rsidR="004075D8" w:rsidRPr="009B4E2D" w:rsidRDefault="004075D8">
            <w:pPr>
              <w:rPr>
                <w:rFonts w:cs="Arial"/>
              </w:rPr>
            </w:pPr>
            <w:r w:rsidRPr="005D3BD8">
              <w:rPr>
                <w:rFonts w:cs="Arial"/>
              </w:rPr>
              <w:t>N/A</w:t>
            </w:r>
          </w:p>
        </w:tc>
      </w:tr>
      <w:tr w:rsidR="00A93BAD" w:rsidRPr="009B4E2D" w14:paraId="0058C054" w14:textId="77777777" w:rsidTr="00E0709F">
        <w:tc>
          <w:tcPr>
            <w:tcW w:w="2443" w:type="dxa"/>
          </w:tcPr>
          <w:p w14:paraId="130104A9" w14:textId="37BEA78F" w:rsidR="00A93BAD" w:rsidRDefault="00A93BAD" w:rsidP="00A93BAD">
            <w:pPr>
              <w:rPr>
                <w:rFonts w:cs="Arial"/>
                <w:color w:val="000000"/>
              </w:rPr>
            </w:pPr>
            <w:r>
              <w:rPr>
                <w:rFonts w:cs="Arial"/>
                <w:color w:val="000000"/>
              </w:rPr>
              <w:t>State and Federal Job Programs</w:t>
            </w:r>
          </w:p>
        </w:tc>
        <w:tc>
          <w:tcPr>
            <w:tcW w:w="1895" w:type="dxa"/>
          </w:tcPr>
          <w:p w14:paraId="291C9386" w14:textId="67E787DF" w:rsidR="00A93BAD" w:rsidRDefault="00A93BAD" w:rsidP="00A93BAD">
            <w:pPr>
              <w:rPr>
                <w:rFonts w:cs="Arial"/>
              </w:rPr>
            </w:pPr>
            <w:r>
              <w:rPr>
                <w:rFonts w:cs="Arial"/>
              </w:rPr>
              <w:t>N/A</w:t>
            </w:r>
          </w:p>
        </w:tc>
        <w:tc>
          <w:tcPr>
            <w:tcW w:w="1764" w:type="dxa"/>
          </w:tcPr>
          <w:p w14:paraId="48544423" w14:textId="63DA0E5E" w:rsidR="00A93BAD" w:rsidRPr="002B45F1" w:rsidRDefault="00A93BAD" w:rsidP="00A93BAD">
            <w:pPr>
              <w:rPr>
                <w:rFonts w:cs="Arial"/>
                <w:b/>
                <w:bCs/>
              </w:rPr>
            </w:pPr>
            <w:r w:rsidRPr="00B83844">
              <w:rPr>
                <w:rFonts w:cs="Arial"/>
              </w:rPr>
              <w:t>N/A</w:t>
            </w:r>
          </w:p>
        </w:tc>
        <w:tc>
          <w:tcPr>
            <w:tcW w:w="2070" w:type="dxa"/>
          </w:tcPr>
          <w:p w14:paraId="63C6BEFD" w14:textId="3F6609BC" w:rsidR="00A93BAD" w:rsidRPr="005D3BD8" w:rsidRDefault="00A93BAD" w:rsidP="00A93BAD">
            <w:pPr>
              <w:rPr>
                <w:rFonts w:cs="Arial"/>
              </w:rPr>
            </w:pPr>
            <w:r w:rsidRPr="00B83844">
              <w:rPr>
                <w:rFonts w:cs="Arial"/>
              </w:rPr>
              <w:t>N/A</w:t>
            </w:r>
          </w:p>
        </w:tc>
        <w:tc>
          <w:tcPr>
            <w:tcW w:w="1072" w:type="dxa"/>
          </w:tcPr>
          <w:p w14:paraId="5A99ECAA" w14:textId="4890461E" w:rsidR="00A93BAD" w:rsidRPr="008F0538" w:rsidRDefault="00A93BAD" w:rsidP="00A93BAD">
            <w:pPr>
              <w:rPr>
                <w:rFonts w:cs="Arial"/>
              </w:rPr>
            </w:pPr>
            <w:r w:rsidRPr="00B83844">
              <w:rPr>
                <w:rFonts w:cs="Arial"/>
              </w:rPr>
              <w:t>N/A</w:t>
            </w:r>
          </w:p>
        </w:tc>
        <w:tc>
          <w:tcPr>
            <w:tcW w:w="1440" w:type="dxa"/>
          </w:tcPr>
          <w:p w14:paraId="5E192028" w14:textId="48994F0C" w:rsidR="00A93BAD" w:rsidRPr="005D3BD8" w:rsidRDefault="00A93BAD" w:rsidP="00A93BAD">
            <w:pPr>
              <w:rPr>
                <w:rFonts w:cs="Arial"/>
              </w:rPr>
            </w:pPr>
            <w:r w:rsidRPr="00B51551">
              <w:rPr>
                <w:rFonts w:cs="Arial"/>
                <w:b/>
                <w:bCs/>
              </w:rPr>
              <w:t>Approved</w:t>
            </w:r>
          </w:p>
        </w:tc>
        <w:tc>
          <w:tcPr>
            <w:tcW w:w="1244" w:type="dxa"/>
          </w:tcPr>
          <w:p w14:paraId="04F375AD" w14:textId="3ECB65C2" w:rsidR="00A93BAD" w:rsidRPr="005D3BD8" w:rsidRDefault="00A93BAD" w:rsidP="00A93BAD">
            <w:pPr>
              <w:rPr>
                <w:rFonts w:cs="Arial"/>
              </w:rPr>
            </w:pPr>
            <w:r w:rsidRPr="005D3BD8">
              <w:rPr>
                <w:rFonts w:cs="Arial"/>
              </w:rPr>
              <w:t>N/A</w:t>
            </w:r>
          </w:p>
        </w:tc>
        <w:tc>
          <w:tcPr>
            <w:tcW w:w="1276" w:type="dxa"/>
          </w:tcPr>
          <w:p w14:paraId="0AF62AD8" w14:textId="1C0B9EAB" w:rsidR="00A93BAD" w:rsidRPr="005D3BD8" w:rsidRDefault="00A93BAD" w:rsidP="00A93BAD">
            <w:pPr>
              <w:rPr>
                <w:rFonts w:cs="Arial"/>
              </w:rPr>
            </w:pPr>
            <w:r w:rsidRPr="005D3BD8">
              <w:rPr>
                <w:rFonts w:cs="Arial"/>
              </w:rPr>
              <w:t>N/A</w:t>
            </w:r>
          </w:p>
        </w:tc>
        <w:tc>
          <w:tcPr>
            <w:tcW w:w="1683" w:type="dxa"/>
          </w:tcPr>
          <w:p w14:paraId="20D64E67" w14:textId="04D2BBC6" w:rsidR="00A93BAD" w:rsidRPr="005D3BD8" w:rsidRDefault="00A93BAD" w:rsidP="00A93BAD">
            <w:pPr>
              <w:rPr>
                <w:rFonts w:cs="Arial"/>
              </w:rPr>
            </w:pPr>
            <w:r w:rsidRPr="005D3BD8">
              <w:rPr>
                <w:rFonts w:cs="Arial"/>
              </w:rPr>
              <w:t>N/A</w:t>
            </w:r>
          </w:p>
        </w:tc>
        <w:tc>
          <w:tcPr>
            <w:tcW w:w="1683" w:type="dxa"/>
          </w:tcPr>
          <w:p w14:paraId="588A8628" w14:textId="237A5081" w:rsidR="00A93BAD" w:rsidRPr="005D3BD8" w:rsidRDefault="00A93BAD" w:rsidP="00A93BAD">
            <w:pPr>
              <w:rPr>
                <w:rFonts w:cs="Arial"/>
              </w:rPr>
            </w:pPr>
            <w:r w:rsidRPr="005D3BD8">
              <w:rPr>
                <w:rFonts w:cs="Arial"/>
              </w:rPr>
              <w:t>N/A</w:t>
            </w:r>
          </w:p>
        </w:tc>
        <w:tc>
          <w:tcPr>
            <w:tcW w:w="1683" w:type="dxa"/>
          </w:tcPr>
          <w:p w14:paraId="554983F9" w14:textId="46313834" w:rsidR="00A93BAD" w:rsidRPr="005D3BD8" w:rsidRDefault="00A93BAD" w:rsidP="00A93BAD">
            <w:pPr>
              <w:rPr>
                <w:rFonts w:cs="Arial"/>
              </w:rPr>
            </w:pPr>
            <w:r w:rsidRPr="0047400A">
              <w:rPr>
                <w:rFonts w:cs="Arial"/>
                <w:b/>
                <w:bCs/>
              </w:rPr>
              <w:t>Criteria</w:t>
            </w:r>
            <w:r>
              <w:rPr>
                <w:rFonts w:cs="Arial"/>
                <w:b/>
                <w:bCs/>
              </w:rPr>
              <w:t xml:space="preserve"> </w:t>
            </w:r>
            <w:r w:rsidRPr="0047400A">
              <w:rPr>
                <w:rFonts w:cs="Arial"/>
                <w:b/>
                <w:bCs/>
              </w:rPr>
              <w:t>Adjusted</w:t>
            </w:r>
            <w:r>
              <w:rPr>
                <w:rFonts w:cs="Arial"/>
                <w:b/>
                <w:bCs/>
              </w:rPr>
              <w:t xml:space="preserve"> (see below)</w:t>
            </w:r>
          </w:p>
        </w:tc>
      </w:tr>
      <w:tr w:rsidR="004075D8" w:rsidRPr="009B4E2D" w14:paraId="2E4C88B1" w14:textId="77777777" w:rsidTr="00E0709F">
        <w:tc>
          <w:tcPr>
            <w:tcW w:w="2443" w:type="dxa"/>
          </w:tcPr>
          <w:p w14:paraId="01236D3A" w14:textId="62B1224A" w:rsidR="004075D8" w:rsidRPr="009B4E2D" w:rsidRDefault="004075D8">
            <w:pPr>
              <w:rPr>
                <w:rFonts w:cs="Arial"/>
                <w:color w:val="000000"/>
              </w:rPr>
            </w:pPr>
            <w:r w:rsidRPr="009B4E2D">
              <w:rPr>
                <w:rFonts w:cs="Arial"/>
                <w:color w:val="000000"/>
              </w:rPr>
              <w:t xml:space="preserve">State and Federal Job Programs </w:t>
            </w:r>
            <w:r w:rsidR="004D36A2">
              <w:rPr>
                <w:rFonts w:cs="Arial"/>
                <w:color w:val="000000"/>
              </w:rPr>
              <w:t>–</w:t>
            </w:r>
            <w:r w:rsidR="004D36A2" w:rsidRPr="009B4E2D">
              <w:rPr>
                <w:rFonts w:cs="Arial"/>
                <w:color w:val="000000"/>
              </w:rPr>
              <w:t xml:space="preserve"> R</w:t>
            </w:r>
            <w:r w:rsidR="004D36A2">
              <w:rPr>
                <w:rFonts w:cs="Arial"/>
                <w:color w:val="000000"/>
              </w:rPr>
              <w:t xml:space="preserve">egional </w:t>
            </w:r>
            <w:r w:rsidR="004D36A2" w:rsidRPr="009B4E2D">
              <w:rPr>
                <w:rFonts w:cs="Arial"/>
                <w:color w:val="000000"/>
              </w:rPr>
              <w:t>O</w:t>
            </w:r>
            <w:r w:rsidR="004D36A2">
              <w:rPr>
                <w:rFonts w:cs="Arial"/>
                <w:color w:val="000000"/>
              </w:rPr>
              <w:t xml:space="preserve">ccupational </w:t>
            </w:r>
            <w:r w:rsidR="004D36A2" w:rsidRPr="009B4E2D">
              <w:rPr>
                <w:rFonts w:cs="Arial"/>
                <w:color w:val="000000"/>
              </w:rPr>
              <w:t>C</w:t>
            </w:r>
            <w:r w:rsidR="004D36A2">
              <w:rPr>
                <w:rFonts w:cs="Arial"/>
                <w:color w:val="000000"/>
              </w:rPr>
              <w:t>enters</w:t>
            </w:r>
            <w:r w:rsidR="004D36A2" w:rsidRPr="009B4E2D">
              <w:rPr>
                <w:rFonts w:cs="Arial"/>
                <w:color w:val="000000"/>
              </w:rPr>
              <w:t>/P</w:t>
            </w:r>
            <w:r w:rsidR="004D36A2">
              <w:rPr>
                <w:rFonts w:cs="Arial"/>
                <w:color w:val="000000"/>
              </w:rPr>
              <w:t>rograms</w:t>
            </w:r>
          </w:p>
        </w:tc>
        <w:tc>
          <w:tcPr>
            <w:tcW w:w="1895" w:type="dxa"/>
          </w:tcPr>
          <w:p w14:paraId="4721F23B" w14:textId="77777777" w:rsidR="004075D8" w:rsidRPr="009B4E2D" w:rsidRDefault="004075D8">
            <w:pPr>
              <w:rPr>
                <w:rFonts w:cs="Arial"/>
              </w:rPr>
            </w:pPr>
            <w:r>
              <w:rPr>
                <w:rFonts w:cs="Arial"/>
              </w:rPr>
              <w:t>N/A</w:t>
            </w:r>
          </w:p>
        </w:tc>
        <w:tc>
          <w:tcPr>
            <w:tcW w:w="1764" w:type="dxa"/>
          </w:tcPr>
          <w:p w14:paraId="7C56A90F" w14:textId="77777777" w:rsidR="004075D8" w:rsidRPr="009B4E2D" w:rsidRDefault="004075D8">
            <w:pPr>
              <w:rPr>
                <w:rFonts w:cs="Arial"/>
              </w:rPr>
            </w:pPr>
            <w:r w:rsidRPr="00346096">
              <w:rPr>
                <w:rFonts w:cs="Arial"/>
              </w:rPr>
              <w:t>N/A</w:t>
            </w:r>
          </w:p>
        </w:tc>
        <w:tc>
          <w:tcPr>
            <w:tcW w:w="2070" w:type="dxa"/>
          </w:tcPr>
          <w:p w14:paraId="23A091C6" w14:textId="77777777" w:rsidR="004075D8" w:rsidRPr="009B4E2D" w:rsidRDefault="004075D8">
            <w:pPr>
              <w:rPr>
                <w:rFonts w:cs="Arial"/>
              </w:rPr>
            </w:pPr>
            <w:r w:rsidRPr="00346096">
              <w:rPr>
                <w:rFonts w:cs="Arial"/>
              </w:rPr>
              <w:t>N/A</w:t>
            </w:r>
          </w:p>
        </w:tc>
        <w:tc>
          <w:tcPr>
            <w:tcW w:w="1072" w:type="dxa"/>
          </w:tcPr>
          <w:p w14:paraId="62050D01" w14:textId="77777777" w:rsidR="004075D8" w:rsidRPr="009B4E2D" w:rsidRDefault="004075D8">
            <w:pPr>
              <w:rPr>
                <w:rFonts w:cs="Arial"/>
              </w:rPr>
            </w:pPr>
            <w:r w:rsidRPr="008F0538">
              <w:rPr>
                <w:rFonts w:cs="Arial"/>
              </w:rPr>
              <w:t>N/A</w:t>
            </w:r>
          </w:p>
        </w:tc>
        <w:tc>
          <w:tcPr>
            <w:tcW w:w="1440" w:type="dxa"/>
          </w:tcPr>
          <w:p w14:paraId="76D0C26A" w14:textId="77777777" w:rsidR="004075D8" w:rsidRPr="00B51551" w:rsidRDefault="004075D8">
            <w:pPr>
              <w:rPr>
                <w:rFonts w:cs="Arial"/>
                <w:b/>
                <w:bCs/>
              </w:rPr>
            </w:pPr>
            <w:r w:rsidRPr="00B51551">
              <w:rPr>
                <w:rFonts w:cs="Arial"/>
                <w:b/>
                <w:bCs/>
              </w:rPr>
              <w:t>Approved</w:t>
            </w:r>
          </w:p>
        </w:tc>
        <w:tc>
          <w:tcPr>
            <w:tcW w:w="1244" w:type="dxa"/>
          </w:tcPr>
          <w:p w14:paraId="41BF61A8" w14:textId="77777777" w:rsidR="004075D8" w:rsidRPr="009B4E2D" w:rsidRDefault="004075D8">
            <w:pPr>
              <w:rPr>
                <w:rFonts w:cs="Arial"/>
              </w:rPr>
            </w:pPr>
            <w:r w:rsidRPr="00F95F26">
              <w:rPr>
                <w:rFonts w:cs="Arial"/>
              </w:rPr>
              <w:t>N/A</w:t>
            </w:r>
          </w:p>
        </w:tc>
        <w:tc>
          <w:tcPr>
            <w:tcW w:w="1276" w:type="dxa"/>
          </w:tcPr>
          <w:p w14:paraId="66123B54" w14:textId="77777777" w:rsidR="004075D8" w:rsidRPr="009B4E2D" w:rsidRDefault="004075D8">
            <w:pPr>
              <w:rPr>
                <w:rFonts w:cs="Arial"/>
              </w:rPr>
            </w:pPr>
            <w:r w:rsidRPr="00F95F26">
              <w:rPr>
                <w:rFonts w:cs="Arial"/>
              </w:rPr>
              <w:t>N/A</w:t>
            </w:r>
          </w:p>
        </w:tc>
        <w:tc>
          <w:tcPr>
            <w:tcW w:w="1683" w:type="dxa"/>
          </w:tcPr>
          <w:p w14:paraId="647AE26D" w14:textId="77777777" w:rsidR="004075D8" w:rsidRPr="009B4E2D" w:rsidRDefault="004075D8">
            <w:pPr>
              <w:rPr>
                <w:rFonts w:cs="Arial"/>
              </w:rPr>
            </w:pPr>
            <w:r w:rsidRPr="00F95F26">
              <w:rPr>
                <w:rFonts w:cs="Arial"/>
              </w:rPr>
              <w:t>N/A</w:t>
            </w:r>
          </w:p>
        </w:tc>
        <w:tc>
          <w:tcPr>
            <w:tcW w:w="1683" w:type="dxa"/>
          </w:tcPr>
          <w:p w14:paraId="594D526D" w14:textId="77777777" w:rsidR="004075D8" w:rsidRPr="009B4E2D" w:rsidRDefault="004075D8">
            <w:pPr>
              <w:rPr>
                <w:rFonts w:cs="Arial"/>
              </w:rPr>
            </w:pPr>
            <w:r w:rsidRPr="00F95F26">
              <w:rPr>
                <w:rFonts w:cs="Arial"/>
              </w:rPr>
              <w:t>N/A</w:t>
            </w:r>
          </w:p>
        </w:tc>
        <w:tc>
          <w:tcPr>
            <w:tcW w:w="1683" w:type="dxa"/>
          </w:tcPr>
          <w:p w14:paraId="06600FD8" w14:textId="77777777" w:rsidR="004075D8" w:rsidRPr="00C9650F" w:rsidRDefault="004075D8">
            <w:pPr>
              <w:rPr>
                <w:rFonts w:cs="Arial"/>
                <w:b/>
                <w:bCs/>
              </w:rPr>
            </w:pPr>
            <w:r w:rsidRPr="00C9650F">
              <w:rPr>
                <w:rFonts w:cs="Arial"/>
                <w:b/>
                <w:bCs/>
              </w:rPr>
              <w:t>Removed</w:t>
            </w:r>
          </w:p>
        </w:tc>
      </w:tr>
      <w:tr w:rsidR="004075D8" w:rsidRPr="009B4E2D" w14:paraId="332F244C" w14:textId="77777777" w:rsidTr="00E0709F">
        <w:tc>
          <w:tcPr>
            <w:tcW w:w="2443" w:type="dxa"/>
          </w:tcPr>
          <w:p w14:paraId="4924C31F" w14:textId="77777777" w:rsidR="004075D8" w:rsidRPr="009B4E2D" w:rsidRDefault="004075D8">
            <w:pPr>
              <w:rPr>
                <w:rFonts w:cs="Arial"/>
                <w:color w:val="000000"/>
              </w:rPr>
            </w:pPr>
            <w:r w:rsidRPr="009B4E2D">
              <w:rPr>
                <w:rFonts w:cs="Arial"/>
                <w:color w:val="000000"/>
              </w:rPr>
              <w:t>State Seal of Biliteracy</w:t>
            </w:r>
          </w:p>
        </w:tc>
        <w:tc>
          <w:tcPr>
            <w:tcW w:w="1895" w:type="dxa"/>
          </w:tcPr>
          <w:p w14:paraId="225E476B" w14:textId="77777777" w:rsidR="004075D8" w:rsidRPr="00C66B4C" w:rsidRDefault="004075D8">
            <w:pPr>
              <w:rPr>
                <w:rFonts w:cs="Arial"/>
                <w:b/>
                <w:bCs/>
              </w:rPr>
            </w:pPr>
            <w:r w:rsidRPr="00C66B4C">
              <w:rPr>
                <w:rFonts w:cs="Arial"/>
                <w:b/>
                <w:bCs/>
              </w:rPr>
              <w:t>Directed Further Review</w:t>
            </w:r>
          </w:p>
        </w:tc>
        <w:tc>
          <w:tcPr>
            <w:tcW w:w="1764" w:type="dxa"/>
          </w:tcPr>
          <w:p w14:paraId="15E68E78" w14:textId="77777777" w:rsidR="004075D8" w:rsidRPr="00C66B4C" w:rsidRDefault="004075D8">
            <w:pPr>
              <w:rPr>
                <w:rFonts w:cs="Arial"/>
                <w:b/>
                <w:bCs/>
              </w:rPr>
            </w:pPr>
            <w:r w:rsidRPr="00C66B4C">
              <w:rPr>
                <w:rFonts w:cs="Arial"/>
                <w:b/>
                <w:bCs/>
              </w:rPr>
              <w:t>Under Review</w:t>
            </w:r>
          </w:p>
        </w:tc>
        <w:tc>
          <w:tcPr>
            <w:tcW w:w="2070" w:type="dxa"/>
          </w:tcPr>
          <w:p w14:paraId="48F446B8" w14:textId="77777777" w:rsidR="004075D8" w:rsidRPr="009B4E2D" w:rsidRDefault="004075D8">
            <w:pPr>
              <w:rPr>
                <w:rFonts w:cs="Arial"/>
              </w:rPr>
            </w:pPr>
            <w:r>
              <w:rPr>
                <w:rFonts w:cs="Arial"/>
                <w:b/>
                <w:bCs/>
              </w:rPr>
              <w:t>Adopted</w:t>
            </w:r>
          </w:p>
        </w:tc>
        <w:tc>
          <w:tcPr>
            <w:tcW w:w="1072" w:type="dxa"/>
          </w:tcPr>
          <w:p w14:paraId="5E49D25D" w14:textId="77777777" w:rsidR="004075D8" w:rsidRPr="009B4E2D" w:rsidRDefault="004075D8">
            <w:pPr>
              <w:rPr>
                <w:rFonts w:cs="Arial"/>
              </w:rPr>
            </w:pPr>
            <w:r w:rsidRPr="008F0538">
              <w:rPr>
                <w:rFonts w:cs="Arial"/>
              </w:rPr>
              <w:t>N/A</w:t>
            </w:r>
          </w:p>
        </w:tc>
        <w:tc>
          <w:tcPr>
            <w:tcW w:w="1440" w:type="dxa"/>
          </w:tcPr>
          <w:p w14:paraId="51182B9A" w14:textId="77777777" w:rsidR="004075D8" w:rsidRPr="009B4E2D" w:rsidRDefault="004075D8">
            <w:pPr>
              <w:rPr>
                <w:rFonts w:cs="Arial"/>
              </w:rPr>
            </w:pPr>
            <w:r w:rsidRPr="003D375C">
              <w:rPr>
                <w:rFonts w:cs="Arial"/>
              </w:rPr>
              <w:t>N/A</w:t>
            </w:r>
          </w:p>
        </w:tc>
        <w:tc>
          <w:tcPr>
            <w:tcW w:w="1244" w:type="dxa"/>
          </w:tcPr>
          <w:p w14:paraId="274D896A" w14:textId="77777777" w:rsidR="004075D8" w:rsidRPr="009B4E2D" w:rsidRDefault="004075D8">
            <w:pPr>
              <w:rPr>
                <w:rFonts w:cs="Arial"/>
              </w:rPr>
            </w:pPr>
            <w:r w:rsidRPr="003D375C">
              <w:rPr>
                <w:rFonts w:cs="Arial"/>
              </w:rPr>
              <w:t>N/A</w:t>
            </w:r>
          </w:p>
        </w:tc>
        <w:tc>
          <w:tcPr>
            <w:tcW w:w="1276" w:type="dxa"/>
          </w:tcPr>
          <w:p w14:paraId="649D7282" w14:textId="77777777" w:rsidR="004075D8" w:rsidRPr="009B4E2D" w:rsidRDefault="004075D8">
            <w:pPr>
              <w:rPr>
                <w:rFonts w:cs="Arial"/>
              </w:rPr>
            </w:pPr>
            <w:r w:rsidRPr="003D375C">
              <w:rPr>
                <w:rFonts w:cs="Arial"/>
              </w:rPr>
              <w:t>N/A</w:t>
            </w:r>
          </w:p>
        </w:tc>
        <w:tc>
          <w:tcPr>
            <w:tcW w:w="1683" w:type="dxa"/>
          </w:tcPr>
          <w:p w14:paraId="073EDE9D" w14:textId="77777777" w:rsidR="004075D8" w:rsidRPr="009B4E2D" w:rsidRDefault="004075D8">
            <w:pPr>
              <w:rPr>
                <w:rFonts w:cs="Arial"/>
              </w:rPr>
            </w:pPr>
            <w:r w:rsidRPr="003D375C">
              <w:rPr>
                <w:rFonts w:cs="Arial"/>
              </w:rPr>
              <w:t>N/A</w:t>
            </w:r>
          </w:p>
        </w:tc>
        <w:tc>
          <w:tcPr>
            <w:tcW w:w="1683" w:type="dxa"/>
          </w:tcPr>
          <w:p w14:paraId="11EEEA68" w14:textId="77777777" w:rsidR="004075D8" w:rsidRPr="009B4E2D" w:rsidRDefault="004075D8">
            <w:pPr>
              <w:rPr>
                <w:rFonts w:cs="Arial"/>
              </w:rPr>
            </w:pPr>
            <w:r w:rsidRPr="003D375C">
              <w:rPr>
                <w:rFonts w:cs="Arial"/>
              </w:rPr>
              <w:t>N/A</w:t>
            </w:r>
          </w:p>
        </w:tc>
        <w:tc>
          <w:tcPr>
            <w:tcW w:w="1683" w:type="dxa"/>
          </w:tcPr>
          <w:p w14:paraId="15A34232" w14:textId="77777777" w:rsidR="004075D8" w:rsidRPr="009B4E2D" w:rsidRDefault="004075D8">
            <w:pPr>
              <w:rPr>
                <w:rFonts w:cs="Arial"/>
              </w:rPr>
            </w:pPr>
            <w:r w:rsidRPr="003D375C">
              <w:rPr>
                <w:rFonts w:cs="Arial"/>
              </w:rPr>
              <w:t>N/A</w:t>
            </w:r>
          </w:p>
        </w:tc>
      </w:tr>
      <w:tr w:rsidR="004075D8" w:rsidRPr="009B4E2D" w14:paraId="3F1C7B40" w14:textId="77777777" w:rsidTr="00E0709F">
        <w:tc>
          <w:tcPr>
            <w:tcW w:w="2443" w:type="dxa"/>
          </w:tcPr>
          <w:p w14:paraId="329050ED" w14:textId="77777777" w:rsidR="004075D8" w:rsidRPr="009B4E2D" w:rsidRDefault="004075D8">
            <w:pPr>
              <w:rPr>
                <w:rFonts w:cs="Arial"/>
                <w:color w:val="000000"/>
              </w:rPr>
            </w:pPr>
            <w:r w:rsidRPr="009B4E2D">
              <w:rPr>
                <w:rFonts w:cs="Arial"/>
                <w:color w:val="000000"/>
              </w:rPr>
              <w:t>State Seal of Civic Engagement</w:t>
            </w:r>
          </w:p>
        </w:tc>
        <w:tc>
          <w:tcPr>
            <w:tcW w:w="1895" w:type="dxa"/>
          </w:tcPr>
          <w:p w14:paraId="657D5B5A" w14:textId="77777777" w:rsidR="004075D8" w:rsidRPr="009B4E2D" w:rsidRDefault="004075D8">
            <w:pPr>
              <w:rPr>
                <w:rFonts w:cs="Arial"/>
              </w:rPr>
            </w:pPr>
            <w:r>
              <w:rPr>
                <w:rFonts w:cs="Arial"/>
              </w:rPr>
              <w:t>N/A</w:t>
            </w:r>
          </w:p>
        </w:tc>
        <w:tc>
          <w:tcPr>
            <w:tcW w:w="1764" w:type="dxa"/>
          </w:tcPr>
          <w:p w14:paraId="152681EF" w14:textId="77777777" w:rsidR="004075D8" w:rsidRPr="009B4E2D" w:rsidRDefault="004075D8">
            <w:pPr>
              <w:rPr>
                <w:rFonts w:cs="Arial"/>
              </w:rPr>
            </w:pPr>
            <w:r w:rsidRPr="005629F7">
              <w:rPr>
                <w:rFonts w:cs="Arial"/>
              </w:rPr>
              <w:t>N/A</w:t>
            </w:r>
          </w:p>
        </w:tc>
        <w:tc>
          <w:tcPr>
            <w:tcW w:w="2070" w:type="dxa"/>
          </w:tcPr>
          <w:p w14:paraId="0153796E" w14:textId="77777777" w:rsidR="004075D8" w:rsidRPr="009B4E2D" w:rsidRDefault="004075D8">
            <w:pPr>
              <w:rPr>
                <w:rFonts w:cs="Arial"/>
              </w:rPr>
            </w:pPr>
            <w:r w:rsidRPr="005629F7">
              <w:rPr>
                <w:rFonts w:cs="Arial"/>
              </w:rPr>
              <w:t>N/A</w:t>
            </w:r>
          </w:p>
        </w:tc>
        <w:tc>
          <w:tcPr>
            <w:tcW w:w="1072" w:type="dxa"/>
          </w:tcPr>
          <w:p w14:paraId="7A662F00" w14:textId="77777777" w:rsidR="004075D8" w:rsidRPr="009B4E2D" w:rsidRDefault="004075D8">
            <w:pPr>
              <w:rPr>
                <w:rFonts w:cs="Arial"/>
              </w:rPr>
            </w:pPr>
            <w:r w:rsidRPr="008F0538">
              <w:rPr>
                <w:rFonts w:cs="Arial"/>
              </w:rPr>
              <w:t>N/A</w:t>
            </w:r>
          </w:p>
        </w:tc>
        <w:tc>
          <w:tcPr>
            <w:tcW w:w="1440" w:type="dxa"/>
          </w:tcPr>
          <w:p w14:paraId="3D25FC20" w14:textId="046B8478" w:rsidR="004075D8" w:rsidRPr="009B4E2D" w:rsidRDefault="00194476">
            <w:pPr>
              <w:rPr>
                <w:rFonts w:cs="Arial"/>
              </w:rPr>
            </w:pPr>
            <w:r>
              <w:rPr>
                <w:rFonts w:cs="Arial"/>
                <w:b/>
                <w:bCs/>
              </w:rPr>
              <w:t>Directed Further Review</w:t>
            </w:r>
          </w:p>
        </w:tc>
        <w:tc>
          <w:tcPr>
            <w:tcW w:w="1244" w:type="dxa"/>
          </w:tcPr>
          <w:p w14:paraId="75463701" w14:textId="77777777" w:rsidR="004075D8" w:rsidRPr="009B4E2D" w:rsidRDefault="004075D8">
            <w:pPr>
              <w:rPr>
                <w:rFonts w:cs="Arial"/>
              </w:rPr>
            </w:pPr>
            <w:r>
              <w:rPr>
                <w:rFonts w:cs="Arial"/>
              </w:rPr>
              <w:t>N/A</w:t>
            </w:r>
          </w:p>
        </w:tc>
        <w:tc>
          <w:tcPr>
            <w:tcW w:w="1276" w:type="dxa"/>
          </w:tcPr>
          <w:p w14:paraId="21B92A56" w14:textId="77777777" w:rsidR="004075D8" w:rsidRPr="009B4E2D" w:rsidRDefault="004075D8">
            <w:pPr>
              <w:rPr>
                <w:rFonts w:cs="Arial"/>
              </w:rPr>
            </w:pPr>
            <w:r>
              <w:rPr>
                <w:rFonts w:cs="Arial"/>
              </w:rPr>
              <w:t>N/A</w:t>
            </w:r>
          </w:p>
        </w:tc>
        <w:tc>
          <w:tcPr>
            <w:tcW w:w="1683" w:type="dxa"/>
          </w:tcPr>
          <w:p w14:paraId="5799DA37" w14:textId="77777777" w:rsidR="004075D8" w:rsidRPr="00C66B4C" w:rsidRDefault="004075D8">
            <w:pPr>
              <w:rPr>
                <w:rFonts w:cs="Arial"/>
                <w:b/>
                <w:bCs/>
              </w:rPr>
            </w:pPr>
            <w:r w:rsidRPr="00C66B4C">
              <w:rPr>
                <w:rFonts w:cs="Arial"/>
                <w:b/>
                <w:bCs/>
              </w:rPr>
              <w:t>Data Analysis Provided; No Action Taken</w:t>
            </w:r>
          </w:p>
        </w:tc>
        <w:tc>
          <w:tcPr>
            <w:tcW w:w="1683" w:type="dxa"/>
          </w:tcPr>
          <w:p w14:paraId="445559EE" w14:textId="77777777" w:rsidR="004075D8" w:rsidRPr="00C66B4C" w:rsidRDefault="004075D8">
            <w:pPr>
              <w:rPr>
                <w:rFonts w:cs="Arial"/>
                <w:b/>
                <w:bCs/>
              </w:rPr>
            </w:pPr>
            <w:r w:rsidRPr="00C66B4C">
              <w:rPr>
                <w:rFonts w:cs="Arial"/>
                <w:b/>
                <w:bCs/>
              </w:rPr>
              <w:t>Data Analysis Provided; No Action Taken</w:t>
            </w:r>
          </w:p>
        </w:tc>
        <w:tc>
          <w:tcPr>
            <w:tcW w:w="1683" w:type="dxa"/>
          </w:tcPr>
          <w:p w14:paraId="1967D329" w14:textId="77777777" w:rsidR="004075D8" w:rsidRPr="00C66B4C" w:rsidRDefault="004075D8">
            <w:pPr>
              <w:rPr>
                <w:rFonts w:cs="Arial"/>
                <w:b/>
                <w:bCs/>
              </w:rPr>
            </w:pPr>
            <w:r w:rsidRPr="00C66B4C">
              <w:rPr>
                <w:rFonts w:cs="Arial"/>
                <w:b/>
                <w:bCs/>
              </w:rPr>
              <w:t>Data Analysis Provided; No Action Taken</w:t>
            </w:r>
          </w:p>
        </w:tc>
      </w:tr>
      <w:tr w:rsidR="004075D8" w:rsidRPr="009B4E2D" w14:paraId="7D108A0B" w14:textId="77777777" w:rsidTr="00E0709F">
        <w:tc>
          <w:tcPr>
            <w:tcW w:w="2443" w:type="dxa"/>
          </w:tcPr>
          <w:p w14:paraId="42B1184C" w14:textId="77777777" w:rsidR="004075D8" w:rsidRPr="009B4E2D" w:rsidRDefault="004075D8">
            <w:pPr>
              <w:rPr>
                <w:rFonts w:cs="Arial"/>
                <w:color w:val="000000"/>
              </w:rPr>
            </w:pPr>
            <w:r w:rsidRPr="009B4E2D">
              <w:rPr>
                <w:rFonts w:cs="Arial"/>
                <w:color w:val="000000"/>
              </w:rPr>
              <w:t xml:space="preserve">Student-led </w:t>
            </w:r>
            <w:r>
              <w:rPr>
                <w:rFonts w:cs="Arial"/>
                <w:color w:val="000000"/>
              </w:rPr>
              <w:t>E</w:t>
            </w:r>
            <w:r w:rsidRPr="009B4E2D">
              <w:rPr>
                <w:rFonts w:cs="Arial"/>
                <w:color w:val="000000"/>
              </w:rPr>
              <w:t>nterprise</w:t>
            </w:r>
          </w:p>
        </w:tc>
        <w:tc>
          <w:tcPr>
            <w:tcW w:w="1895" w:type="dxa"/>
          </w:tcPr>
          <w:p w14:paraId="1EFDF17B" w14:textId="77777777" w:rsidR="004075D8" w:rsidRPr="009B4E2D" w:rsidRDefault="004075D8">
            <w:pPr>
              <w:rPr>
                <w:rFonts w:cs="Arial"/>
              </w:rPr>
            </w:pPr>
            <w:r>
              <w:rPr>
                <w:rFonts w:cs="Arial"/>
              </w:rPr>
              <w:t>N/A</w:t>
            </w:r>
          </w:p>
        </w:tc>
        <w:tc>
          <w:tcPr>
            <w:tcW w:w="1764" w:type="dxa"/>
          </w:tcPr>
          <w:p w14:paraId="0F25B54F" w14:textId="77777777" w:rsidR="004075D8" w:rsidRPr="009B4E2D" w:rsidRDefault="004075D8">
            <w:pPr>
              <w:rPr>
                <w:rFonts w:cs="Arial"/>
              </w:rPr>
            </w:pPr>
            <w:r w:rsidRPr="005629F7">
              <w:rPr>
                <w:rFonts w:cs="Arial"/>
              </w:rPr>
              <w:t>N/A</w:t>
            </w:r>
          </w:p>
        </w:tc>
        <w:tc>
          <w:tcPr>
            <w:tcW w:w="2070" w:type="dxa"/>
          </w:tcPr>
          <w:p w14:paraId="34A93EF6" w14:textId="77777777" w:rsidR="004075D8" w:rsidRPr="009B4E2D" w:rsidRDefault="004075D8">
            <w:pPr>
              <w:rPr>
                <w:rFonts w:cs="Arial"/>
              </w:rPr>
            </w:pPr>
            <w:r w:rsidRPr="005629F7">
              <w:rPr>
                <w:rFonts w:cs="Arial"/>
              </w:rPr>
              <w:t>N/A</w:t>
            </w:r>
          </w:p>
        </w:tc>
        <w:tc>
          <w:tcPr>
            <w:tcW w:w="1072" w:type="dxa"/>
          </w:tcPr>
          <w:p w14:paraId="5BE14419" w14:textId="77777777" w:rsidR="004075D8" w:rsidRPr="009B4E2D" w:rsidRDefault="004075D8">
            <w:pPr>
              <w:rPr>
                <w:rFonts w:cs="Arial"/>
              </w:rPr>
            </w:pPr>
            <w:r w:rsidRPr="008F0538">
              <w:rPr>
                <w:rFonts w:cs="Arial"/>
              </w:rPr>
              <w:t>N/A</w:t>
            </w:r>
          </w:p>
        </w:tc>
        <w:tc>
          <w:tcPr>
            <w:tcW w:w="1440" w:type="dxa"/>
          </w:tcPr>
          <w:p w14:paraId="6BFE6007" w14:textId="7D399195" w:rsidR="004075D8" w:rsidRPr="009B4E2D" w:rsidRDefault="004D36A2">
            <w:pPr>
              <w:rPr>
                <w:rFonts w:cs="Arial"/>
              </w:rPr>
            </w:pPr>
            <w:r w:rsidRPr="00C66B4C">
              <w:rPr>
                <w:rFonts w:cs="Arial"/>
                <w:b/>
                <w:bCs/>
              </w:rPr>
              <w:t>Directed Further Review</w:t>
            </w:r>
            <w:r>
              <w:rPr>
                <w:rFonts w:cs="Arial"/>
                <w:b/>
                <w:bCs/>
              </w:rPr>
              <w:t xml:space="preserve">: </w:t>
            </w:r>
            <w:r w:rsidRPr="00DD2003">
              <w:rPr>
                <w:rFonts w:cs="Arial"/>
                <w:b/>
                <w:bCs/>
              </w:rPr>
              <w:t>Data Collection Started</w:t>
            </w:r>
          </w:p>
        </w:tc>
        <w:tc>
          <w:tcPr>
            <w:tcW w:w="1244" w:type="dxa"/>
          </w:tcPr>
          <w:p w14:paraId="18B6CA6E" w14:textId="15411A53" w:rsidR="004075D8" w:rsidRPr="009B4E2D" w:rsidRDefault="004D36A2">
            <w:pPr>
              <w:rPr>
                <w:rFonts w:cs="Arial"/>
              </w:rPr>
            </w:pPr>
            <w:r w:rsidRPr="00C66B4C">
              <w:rPr>
                <w:rFonts w:cs="Arial"/>
                <w:b/>
                <w:bCs/>
              </w:rPr>
              <w:t>Data Analysis</w:t>
            </w:r>
          </w:p>
        </w:tc>
        <w:tc>
          <w:tcPr>
            <w:tcW w:w="1276" w:type="dxa"/>
          </w:tcPr>
          <w:p w14:paraId="3780A85E" w14:textId="57E44F56" w:rsidR="004075D8" w:rsidRPr="009B4E2D" w:rsidRDefault="004D36A2">
            <w:pPr>
              <w:rPr>
                <w:rFonts w:cs="Arial"/>
              </w:rPr>
            </w:pPr>
            <w:r w:rsidRPr="00C66B4C">
              <w:rPr>
                <w:rFonts w:cs="Arial"/>
                <w:b/>
                <w:bCs/>
              </w:rPr>
              <w:t>Data Analysis</w:t>
            </w:r>
          </w:p>
        </w:tc>
        <w:tc>
          <w:tcPr>
            <w:tcW w:w="1683" w:type="dxa"/>
          </w:tcPr>
          <w:p w14:paraId="5DC7DFC9" w14:textId="77777777" w:rsidR="004075D8" w:rsidRPr="00C66B4C" w:rsidRDefault="004075D8">
            <w:pPr>
              <w:rPr>
                <w:rFonts w:cs="Arial"/>
                <w:b/>
                <w:bCs/>
              </w:rPr>
            </w:pPr>
            <w:r w:rsidRPr="00C66B4C">
              <w:rPr>
                <w:rFonts w:cs="Arial"/>
                <w:b/>
                <w:bCs/>
              </w:rPr>
              <w:t>Data Analysis Provided; No Action Taken</w:t>
            </w:r>
          </w:p>
        </w:tc>
        <w:tc>
          <w:tcPr>
            <w:tcW w:w="1683" w:type="dxa"/>
          </w:tcPr>
          <w:p w14:paraId="57E1005A" w14:textId="77777777" w:rsidR="004075D8" w:rsidRPr="00C66B4C" w:rsidRDefault="004075D8">
            <w:pPr>
              <w:rPr>
                <w:rFonts w:cs="Arial"/>
                <w:b/>
                <w:bCs/>
              </w:rPr>
            </w:pPr>
            <w:r w:rsidRPr="00C66B4C">
              <w:rPr>
                <w:rFonts w:cs="Arial"/>
                <w:b/>
                <w:bCs/>
              </w:rPr>
              <w:t>Data Analysis Provided; No Action Taken</w:t>
            </w:r>
          </w:p>
        </w:tc>
        <w:tc>
          <w:tcPr>
            <w:tcW w:w="1683" w:type="dxa"/>
          </w:tcPr>
          <w:p w14:paraId="6DD770D5" w14:textId="77777777" w:rsidR="004075D8" w:rsidRPr="00C66B4C" w:rsidRDefault="004075D8">
            <w:pPr>
              <w:rPr>
                <w:rFonts w:cs="Arial"/>
                <w:b/>
                <w:bCs/>
              </w:rPr>
            </w:pPr>
            <w:r w:rsidRPr="00C66B4C">
              <w:rPr>
                <w:rFonts w:cs="Arial"/>
                <w:b/>
                <w:bCs/>
              </w:rPr>
              <w:t>Data Analysis Provided; No Action Taken</w:t>
            </w:r>
          </w:p>
        </w:tc>
      </w:tr>
      <w:tr w:rsidR="004075D8" w:rsidRPr="009B4E2D" w14:paraId="14894416" w14:textId="77777777" w:rsidTr="00E0709F">
        <w:tc>
          <w:tcPr>
            <w:tcW w:w="2443" w:type="dxa"/>
          </w:tcPr>
          <w:p w14:paraId="7E8CD322" w14:textId="77777777" w:rsidR="004075D8" w:rsidRPr="009B4E2D" w:rsidRDefault="004075D8">
            <w:pPr>
              <w:rPr>
                <w:rFonts w:cs="Arial"/>
                <w:color w:val="000000"/>
              </w:rPr>
            </w:pPr>
            <w:r w:rsidRPr="009B4E2D">
              <w:rPr>
                <w:rFonts w:cs="Arial"/>
                <w:color w:val="000000"/>
              </w:rPr>
              <w:t>Student Portfolio</w:t>
            </w:r>
          </w:p>
        </w:tc>
        <w:tc>
          <w:tcPr>
            <w:tcW w:w="1895" w:type="dxa"/>
          </w:tcPr>
          <w:p w14:paraId="7B8CCB64" w14:textId="77777777" w:rsidR="004075D8" w:rsidRPr="00C66B4C" w:rsidRDefault="004075D8">
            <w:pPr>
              <w:rPr>
                <w:rFonts w:cs="Arial"/>
                <w:b/>
                <w:bCs/>
              </w:rPr>
            </w:pPr>
            <w:r w:rsidRPr="00C66B4C">
              <w:rPr>
                <w:rFonts w:cs="Arial"/>
                <w:b/>
                <w:bCs/>
              </w:rPr>
              <w:t>Directed Further Review</w:t>
            </w:r>
          </w:p>
        </w:tc>
        <w:tc>
          <w:tcPr>
            <w:tcW w:w="1764" w:type="dxa"/>
          </w:tcPr>
          <w:p w14:paraId="6363A7E6" w14:textId="77777777" w:rsidR="004075D8" w:rsidRPr="009B4E2D" w:rsidRDefault="004075D8">
            <w:pPr>
              <w:rPr>
                <w:rFonts w:cs="Arial"/>
              </w:rPr>
            </w:pPr>
            <w:r>
              <w:rPr>
                <w:rFonts w:cs="Arial"/>
              </w:rPr>
              <w:t>N/A</w:t>
            </w:r>
          </w:p>
        </w:tc>
        <w:tc>
          <w:tcPr>
            <w:tcW w:w="2070" w:type="dxa"/>
          </w:tcPr>
          <w:p w14:paraId="012D040A" w14:textId="77777777" w:rsidR="004075D8" w:rsidRPr="009B4E2D" w:rsidRDefault="004075D8">
            <w:pPr>
              <w:rPr>
                <w:rFonts w:cs="Arial"/>
              </w:rPr>
            </w:pPr>
            <w:r>
              <w:rPr>
                <w:rFonts w:cs="Arial"/>
              </w:rPr>
              <w:t>N/A</w:t>
            </w:r>
          </w:p>
        </w:tc>
        <w:tc>
          <w:tcPr>
            <w:tcW w:w="1072" w:type="dxa"/>
          </w:tcPr>
          <w:p w14:paraId="3700B32C" w14:textId="77777777" w:rsidR="004075D8" w:rsidRPr="009B4E2D" w:rsidRDefault="004075D8">
            <w:pPr>
              <w:rPr>
                <w:rFonts w:cs="Arial"/>
              </w:rPr>
            </w:pPr>
            <w:r w:rsidRPr="008F0538">
              <w:rPr>
                <w:rFonts w:cs="Arial"/>
              </w:rPr>
              <w:t>N/A</w:t>
            </w:r>
          </w:p>
        </w:tc>
        <w:tc>
          <w:tcPr>
            <w:tcW w:w="1440" w:type="dxa"/>
          </w:tcPr>
          <w:p w14:paraId="30E67A06" w14:textId="77777777" w:rsidR="004075D8" w:rsidRPr="009B4E2D" w:rsidRDefault="004075D8">
            <w:pPr>
              <w:rPr>
                <w:rFonts w:cs="Arial"/>
              </w:rPr>
            </w:pPr>
            <w:r w:rsidRPr="00616D41">
              <w:rPr>
                <w:rFonts w:cs="Arial"/>
              </w:rPr>
              <w:t>N/A</w:t>
            </w:r>
          </w:p>
        </w:tc>
        <w:tc>
          <w:tcPr>
            <w:tcW w:w="1244" w:type="dxa"/>
          </w:tcPr>
          <w:p w14:paraId="14E411B9" w14:textId="77777777" w:rsidR="004075D8" w:rsidRPr="009B4E2D" w:rsidRDefault="004075D8">
            <w:pPr>
              <w:rPr>
                <w:rFonts w:cs="Arial"/>
              </w:rPr>
            </w:pPr>
            <w:r w:rsidRPr="00616D41">
              <w:rPr>
                <w:rFonts w:cs="Arial"/>
              </w:rPr>
              <w:t>N/A</w:t>
            </w:r>
          </w:p>
        </w:tc>
        <w:tc>
          <w:tcPr>
            <w:tcW w:w="1276" w:type="dxa"/>
          </w:tcPr>
          <w:p w14:paraId="0C889C02" w14:textId="77777777" w:rsidR="004075D8" w:rsidRPr="009B4E2D" w:rsidRDefault="004075D8">
            <w:pPr>
              <w:rPr>
                <w:rFonts w:cs="Arial"/>
              </w:rPr>
            </w:pPr>
            <w:r w:rsidRPr="00616D41">
              <w:rPr>
                <w:rFonts w:cs="Arial"/>
              </w:rPr>
              <w:t>N/A</w:t>
            </w:r>
          </w:p>
        </w:tc>
        <w:tc>
          <w:tcPr>
            <w:tcW w:w="1683" w:type="dxa"/>
          </w:tcPr>
          <w:p w14:paraId="6FD5BC3C" w14:textId="77777777" w:rsidR="004075D8" w:rsidRPr="009B4E2D" w:rsidRDefault="004075D8">
            <w:pPr>
              <w:rPr>
                <w:rFonts w:cs="Arial"/>
              </w:rPr>
            </w:pPr>
            <w:r w:rsidRPr="00616D41">
              <w:rPr>
                <w:rFonts w:cs="Arial"/>
              </w:rPr>
              <w:t>N/A</w:t>
            </w:r>
          </w:p>
        </w:tc>
        <w:tc>
          <w:tcPr>
            <w:tcW w:w="1683" w:type="dxa"/>
          </w:tcPr>
          <w:p w14:paraId="75A33CE2" w14:textId="77777777" w:rsidR="004075D8" w:rsidRPr="009B4E2D" w:rsidRDefault="004075D8">
            <w:pPr>
              <w:rPr>
                <w:rFonts w:cs="Arial"/>
              </w:rPr>
            </w:pPr>
            <w:r w:rsidRPr="00616D41">
              <w:rPr>
                <w:rFonts w:cs="Arial"/>
              </w:rPr>
              <w:t>N/A</w:t>
            </w:r>
          </w:p>
        </w:tc>
        <w:tc>
          <w:tcPr>
            <w:tcW w:w="1683" w:type="dxa"/>
          </w:tcPr>
          <w:p w14:paraId="1263AA4F" w14:textId="77777777" w:rsidR="004075D8" w:rsidRPr="009B4E2D" w:rsidRDefault="004075D8">
            <w:pPr>
              <w:rPr>
                <w:rFonts w:cs="Arial"/>
              </w:rPr>
            </w:pPr>
            <w:r w:rsidRPr="00616D41">
              <w:rPr>
                <w:rFonts w:cs="Arial"/>
              </w:rPr>
              <w:t>N/A</w:t>
            </w:r>
          </w:p>
        </w:tc>
      </w:tr>
      <w:tr w:rsidR="004075D8" w:rsidRPr="009B4E2D" w14:paraId="5BBE7107" w14:textId="77777777" w:rsidTr="00E0709F">
        <w:tc>
          <w:tcPr>
            <w:tcW w:w="2443" w:type="dxa"/>
          </w:tcPr>
          <w:p w14:paraId="7105B9FC" w14:textId="12F5A7CC" w:rsidR="004075D8" w:rsidRPr="009B4E2D" w:rsidRDefault="004075D8">
            <w:pPr>
              <w:rPr>
                <w:rFonts w:cs="Arial"/>
                <w:color w:val="000000"/>
              </w:rPr>
            </w:pPr>
            <w:r w:rsidRPr="009B4E2D">
              <w:rPr>
                <w:rFonts w:cs="Arial"/>
                <w:color w:val="000000"/>
              </w:rPr>
              <w:t xml:space="preserve">Transition </w:t>
            </w:r>
            <w:r>
              <w:rPr>
                <w:rFonts w:cs="Arial"/>
                <w:color w:val="000000"/>
              </w:rPr>
              <w:t>Work</w:t>
            </w:r>
            <w:r w:rsidRPr="009B4E2D">
              <w:rPr>
                <w:rFonts w:cs="Arial"/>
                <w:color w:val="000000"/>
              </w:rPr>
              <w:t>-Based Learning Experiences</w:t>
            </w:r>
            <w:r w:rsidR="004D36A2">
              <w:rPr>
                <w:rFonts w:cs="Arial"/>
                <w:color w:val="000000"/>
              </w:rPr>
              <w:t xml:space="preserve"> </w:t>
            </w:r>
            <w:r w:rsidR="004D36A2">
              <w:rPr>
                <w:rFonts w:cs="Arial"/>
                <w:color w:val="000000"/>
              </w:rPr>
              <w:lastRenderedPageBreak/>
              <w:t>(</w:t>
            </w:r>
            <w:r w:rsidR="004D36A2" w:rsidRPr="00E2683A">
              <w:rPr>
                <w:rFonts w:cs="Arial"/>
                <w:color w:val="000000"/>
              </w:rPr>
              <w:t>individualized education program</w:t>
            </w:r>
            <w:r w:rsidR="004D36A2">
              <w:rPr>
                <w:rFonts w:cs="Arial"/>
                <w:color w:val="000000"/>
              </w:rPr>
              <w:t xml:space="preserve"> students only)</w:t>
            </w:r>
          </w:p>
        </w:tc>
        <w:tc>
          <w:tcPr>
            <w:tcW w:w="1895" w:type="dxa"/>
          </w:tcPr>
          <w:p w14:paraId="03BCE905" w14:textId="77777777" w:rsidR="004075D8" w:rsidRPr="009B4E2D" w:rsidRDefault="004075D8">
            <w:pPr>
              <w:rPr>
                <w:rFonts w:cs="Arial"/>
              </w:rPr>
            </w:pPr>
            <w:r w:rsidRPr="00DF6104">
              <w:rPr>
                <w:rFonts w:cs="Arial"/>
              </w:rPr>
              <w:lastRenderedPageBreak/>
              <w:t>N/A</w:t>
            </w:r>
          </w:p>
        </w:tc>
        <w:tc>
          <w:tcPr>
            <w:tcW w:w="1764" w:type="dxa"/>
          </w:tcPr>
          <w:p w14:paraId="01440AA9" w14:textId="77777777" w:rsidR="004075D8" w:rsidRPr="009B4E2D" w:rsidRDefault="004075D8">
            <w:pPr>
              <w:rPr>
                <w:rFonts w:cs="Arial"/>
              </w:rPr>
            </w:pPr>
            <w:r w:rsidRPr="005D4214">
              <w:rPr>
                <w:rFonts w:cs="Arial"/>
              </w:rPr>
              <w:t>N/A</w:t>
            </w:r>
          </w:p>
        </w:tc>
        <w:tc>
          <w:tcPr>
            <w:tcW w:w="2070" w:type="dxa"/>
          </w:tcPr>
          <w:p w14:paraId="2A599E75" w14:textId="77777777" w:rsidR="004075D8" w:rsidRPr="009B4E2D" w:rsidRDefault="004075D8">
            <w:pPr>
              <w:rPr>
                <w:rFonts w:cs="Arial"/>
              </w:rPr>
            </w:pPr>
            <w:r w:rsidRPr="005D4214">
              <w:rPr>
                <w:rFonts w:cs="Arial"/>
              </w:rPr>
              <w:t>N/A</w:t>
            </w:r>
          </w:p>
        </w:tc>
        <w:tc>
          <w:tcPr>
            <w:tcW w:w="1072" w:type="dxa"/>
          </w:tcPr>
          <w:p w14:paraId="4B20B6A9" w14:textId="77777777" w:rsidR="004075D8" w:rsidRPr="009B4E2D" w:rsidRDefault="004075D8">
            <w:pPr>
              <w:rPr>
                <w:rFonts w:cs="Arial"/>
              </w:rPr>
            </w:pPr>
            <w:r w:rsidRPr="008F0538">
              <w:rPr>
                <w:rFonts w:cs="Arial"/>
              </w:rPr>
              <w:t>N/A</w:t>
            </w:r>
          </w:p>
        </w:tc>
        <w:tc>
          <w:tcPr>
            <w:tcW w:w="1440" w:type="dxa"/>
          </w:tcPr>
          <w:p w14:paraId="410C53AA" w14:textId="77777777" w:rsidR="004075D8" w:rsidRPr="009B4E2D" w:rsidRDefault="004075D8">
            <w:pPr>
              <w:rPr>
                <w:rFonts w:cs="Arial"/>
              </w:rPr>
            </w:pPr>
            <w:r w:rsidRPr="00B51551">
              <w:rPr>
                <w:rFonts w:cs="Arial"/>
                <w:b/>
                <w:bCs/>
              </w:rPr>
              <w:t>Approved</w:t>
            </w:r>
          </w:p>
        </w:tc>
        <w:tc>
          <w:tcPr>
            <w:tcW w:w="1244" w:type="dxa"/>
          </w:tcPr>
          <w:p w14:paraId="10F26FE3" w14:textId="406EEDD5" w:rsidR="004075D8" w:rsidRPr="009B4E2D" w:rsidRDefault="004D36A2">
            <w:pPr>
              <w:rPr>
                <w:rFonts w:cs="Arial"/>
              </w:rPr>
            </w:pPr>
            <w:r w:rsidRPr="004D4108">
              <w:rPr>
                <w:rFonts w:cs="Arial"/>
              </w:rPr>
              <w:t>N/A</w:t>
            </w:r>
          </w:p>
        </w:tc>
        <w:tc>
          <w:tcPr>
            <w:tcW w:w="1276" w:type="dxa"/>
          </w:tcPr>
          <w:p w14:paraId="3FBB03BF" w14:textId="7AA6E722" w:rsidR="004075D8" w:rsidRPr="009B4E2D" w:rsidRDefault="004D36A2">
            <w:pPr>
              <w:rPr>
                <w:rFonts w:cs="Arial"/>
              </w:rPr>
            </w:pPr>
            <w:r w:rsidRPr="004D4108">
              <w:rPr>
                <w:rFonts w:cs="Arial"/>
              </w:rPr>
              <w:t>N/A</w:t>
            </w:r>
          </w:p>
        </w:tc>
        <w:tc>
          <w:tcPr>
            <w:tcW w:w="1683" w:type="dxa"/>
          </w:tcPr>
          <w:p w14:paraId="048B9DA4" w14:textId="6FFDECA0" w:rsidR="004075D8" w:rsidRPr="009B4E2D" w:rsidRDefault="004D36A2">
            <w:pPr>
              <w:rPr>
                <w:rFonts w:cs="Arial"/>
              </w:rPr>
            </w:pPr>
            <w:r w:rsidRPr="004D4108">
              <w:rPr>
                <w:rFonts w:cs="Arial"/>
              </w:rPr>
              <w:t>N/A</w:t>
            </w:r>
          </w:p>
        </w:tc>
        <w:tc>
          <w:tcPr>
            <w:tcW w:w="1683" w:type="dxa"/>
          </w:tcPr>
          <w:p w14:paraId="7B2B5B97" w14:textId="7B6B97E7" w:rsidR="004075D8" w:rsidRPr="009B4E2D" w:rsidRDefault="004D36A2">
            <w:pPr>
              <w:rPr>
                <w:rFonts w:cs="Arial"/>
              </w:rPr>
            </w:pPr>
            <w:r w:rsidRPr="004D4108">
              <w:rPr>
                <w:rFonts w:cs="Arial"/>
              </w:rPr>
              <w:t>N/A</w:t>
            </w:r>
          </w:p>
        </w:tc>
        <w:tc>
          <w:tcPr>
            <w:tcW w:w="1683" w:type="dxa"/>
          </w:tcPr>
          <w:p w14:paraId="4965A6D7" w14:textId="77777777" w:rsidR="004075D8" w:rsidRPr="009B4E2D" w:rsidRDefault="004075D8">
            <w:pPr>
              <w:rPr>
                <w:rFonts w:cs="Arial"/>
              </w:rPr>
            </w:pPr>
            <w:r w:rsidRPr="0047400A">
              <w:rPr>
                <w:rFonts w:cs="Arial"/>
                <w:b/>
                <w:bCs/>
              </w:rPr>
              <w:t>Criteria</w:t>
            </w:r>
            <w:r>
              <w:rPr>
                <w:rFonts w:cs="Arial"/>
                <w:b/>
                <w:bCs/>
              </w:rPr>
              <w:t xml:space="preserve"> </w:t>
            </w:r>
            <w:r w:rsidRPr="0047400A">
              <w:rPr>
                <w:rFonts w:cs="Arial"/>
                <w:b/>
                <w:bCs/>
              </w:rPr>
              <w:t>Adjusted</w:t>
            </w:r>
          </w:p>
        </w:tc>
      </w:tr>
      <w:tr w:rsidR="004075D8" w:rsidRPr="009B4E2D" w14:paraId="300B9E32" w14:textId="77777777" w:rsidTr="00E0709F">
        <w:tc>
          <w:tcPr>
            <w:tcW w:w="2443" w:type="dxa"/>
          </w:tcPr>
          <w:p w14:paraId="3402FB1A" w14:textId="34756550" w:rsidR="004075D8" w:rsidRPr="009B4E2D" w:rsidRDefault="004075D8">
            <w:pPr>
              <w:rPr>
                <w:rFonts w:cs="Arial"/>
                <w:color w:val="000000"/>
              </w:rPr>
            </w:pPr>
            <w:r w:rsidRPr="009B4E2D">
              <w:rPr>
                <w:rFonts w:cs="Arial"/>
                <w:color w:val="000000"/>
              </w:rPr>
              <w:t>Transition Classroom-Based Learning</w:t>
            </w:r>
            <w:r>
              <w:rPr>
                <w:rFonts w:cs="Arial"/>
                <w:color w:val="000000"/>
              </w:rPr>
              <w:t xml:space="preserve"> Experiences</w:t>
            </w:r>
            <w:r w:rsidR="004D36A2">
              <w:rPr>
                <w:rFonts w:cs="Arial"/>
                <w:color w:val="000000"/>
              </w:rPr>
              <w:t xml:space="preserve"> (</w:t>
            </w:r>
            <w:r w:rsidR="004D36A2" w:rsidRPr="00E2683A">
              <w:rPr>
                <w:rFonts w:cs="Arial"/>
                <w:color w:val="000000"/>
              </w:rPr>
              <w:t>individualized education program</w:t>
            </w:r>
            <w:r w:rsidR="004D36A2">
              <w:rPr>
                <w:rFonts w:cs="Arial"/>
                <w:color w:val="000000"/>
              </w:rPr>
              <w:t xml:space="preserve"> students only)</w:t>
            </w:r>
          </w:p>
        </w:tc>
        <w:tc>
          <w:tcPr>
            <w:tcW w:w="1895" w:type="dxa"/>
          </w:tcPr>
          <w:p w14:paraId="7167DAF3" w14:textId="77777777" w:rsidR="004075D8" w:rsidRPr="009B4E2D" w:rsidRDefault="004075D8">
            <w:pPr>
              <w:rPr>
                <w:rFonts w:cs="Arial"/>
              </w:rPr>
            </w:pPr>
            <w:r w:rsidRPr="00DF6104">
              <w:rPr>
                <w:rFonts w:cs="Arial"/>
              </w:rPr>
              <w:t>N/A</w:t>
            </w:r>
          </w:p>
        </w:tc>
        <w:tc>
          <w:tcPr>
            <w:tcW w:w="1764" w:type="dxa"/>
          </w:tcPr>
          <w:p w14:paraId="3847998F" w14:textId="77777777" w:rsidR="004075D8" w:rsidRPr="009B4E2D" w:rsidRDefault="004075D8">
            <w:pPr>
              <w:rPr>
                <w:rFonts w:cs="Arial"/>
              </w:rPr>
            </w:pPr>
            <w:r w:rsidRPr="00DF6104">
              <w:rPr>
                <w:rFonts w:cs="Arial"/>
              </w:rPr>
              <w:t>N/A</w:t>
            </w:r>
          </w:p>
        </w:tc>
        <w:tc>
          <w:tcPr>
            <w:tcW w:w="2070" w:type="dxa"/>
          </w:tcPr>
          <w:p w14:paraId="2DDAD167" w14:textId="77777777" w:rsidR="004075D8" w:rsidRPr="009B4E2D" w:rsidRDefault="004075D8">
            <w:pPr>
              <w:rPr>
                <w:rFonts w:cs="Arial"/>
              </w:rPr>
            </w:pPr>
            <w:r w:rsidRPr="00DF6104">
              <w:rPr>
                <w:rFonts w:cs="Arial"/>
              </w:rPr>
              <w:t>N/A</w:t>
            </w:r>
          </w:p>
        </w:tc>
        <w:tc>
          <w:tcPr>
            <w:tcW w:w="1072" w:type="dxa"/>
          </w:tcPr>
          <w:p w14:paraId="3EA016B6" w14:textId="77777777" w:rsidR="004075D8" w:rsidRPr="008F0538" w:rsidRDefault="004075D8">
            <w:pPr>
              <w:rPr>
                <w:rFonts w:cs="Arial"/>
              </w:rPr>
            </w:pPr>
            <w:r w:rsidRPr="00DF6104">
              <w:rPr>
                <w:rFonts w:cs="Arial"/>
              </w:rPr>
              <w:t>N/A</w:t>
            </w:r>
          </w:p>
        </w:tc>
        <w:tc>
          <w:tcPr>
            <w:tcW w:w="1440" w:type="dxa"/>
          </w:tcPr>
          <w:p w14:paraId="1E942A19" w14:textId="77777777" w:rsidR="004075D8" w:rsidRPr="00B51551" w:rsidRDefault="004075D8">
            <w:pPr>
              <w:rPr>
                <w:rFonts w:cs="Arial"/>
                <w:b/>
                <w:bCs/>
              </w:rPr>
            </w:pPr>
            <w:r w:rsidRPr="00B51551">
              <w:rPr>
                <w:rFonts w:cs="Arial"/>
                <w:b/>
                <w:bCs/>
              </w:rPr>
              <w:t>Approved</w:t>
            </w:r>
          </w:p>
        </w:tc>
        <w:tc>
          <w:tcPr>
            <w:tcW w:w="1244" w:type="dxa"/>
          </w:tcPr>
          <w:p w14:paraId="351FBCBA" w14:textId="77777777" w:rsidR="004075D8" w:rsidRPr="009B4E2D" w:rsidRDefault="004075D8">
            <w:pPr>
              <w:rPr>
                <w:rFonts w:cs="Arial"/>
              </w:rPr>
            </w:pPr>
            <w:r w:rsidRPr="004D4108">
              <w:rPr>
                <w:rFonts w:cs="Arial"/>
              </w:rPr>
              <w:t>N/A</w:t>
            </w:r>
          </w:p>
        </w:tc>
        <w:tc>
          <w:tcPr>
            <w:tcW w:w="1276" w:type="dxa"/>
          </w:tcPr>
          <w:p w14:paraId="1D97F587" w14:textId="77777777" w:rsidR="004075D8" w:rsidRPr="009B4E2D" w:rsidRDefault="004075D8">
            <w:pPr>
              <w:rPr>
                <w:rFonts w:cs="Arial"/>
              </w:rPr>
            </w:pPr>
            <w:r w:rsidRPr="004D4108">
              <w:rPr>
                <w:rFonts w:cs="Arial"/>
              </w:rPr>
              <w:t>N/A</w:t>
            </w:r>
          </w:p>
        </w:tc>
        <w:tc>
          <w:tcPr>
            <w:tcW w:w="1683" w:type="dxa"/>
          </w:tcPr>
          <w:p w14:paraId="69B2FA3B" w14:textId="77777777" w:rsidR="004075D8" w:rsidRPr="009B4E2D" w:rsidRDefault="004075D8">
            <w:pPr>
              <w:rPr>
                <w:rFonts w:cs="Arial"/>
              </w:rPr>
            </w:pPr>
            <w:r w:rsidRPr="004D4108">
              <w:rPr>
                <w:rFonts w:cs="Arial"/>
              </w:rPr>
              <w:t>N/A</w:t>
            </w:r>
          </w:p>
        </w:tc>
        <w:tc>
          <w:tcPr>
            <w:tcW w:w="1683" w:type="dxa"/>
          </w:tcPr>
          <w:p w14:paraId="1236A07F" w14:textId="77777777" w:rsidR="004075D8" w:rsidRPr="009B4E2D" w:rsidRDefault="004075D8">
            <w:pPr>
              <w:rPr>
                <w:rFonts w:cs="Arial"/>
              </w:rPr>
            </w:pPr>
            <w:r w:rsidRPr="004D4108">
              <w:rPr>
                <w:rFonts w:cs="Arial"/>
              </w:rPr>
              <w:t>N/A</w:t>
            </w:r>
          </w:p>
        </w:tc>
        <w:tc>
          <w:tcPr>
            <w:tcW w:w="1683" w:type="dxa"/>
          </w:tcPr>
          <w:p w14:paraId="54B7F3AA" w14:textId="77777777" w:rsidR="004075D8" w:rsidRPr="009B4E2D" w:rsidRDefault="004075D8">
            <w:pPr>
              <w:rPr>
                <w:rFonts w:cs="Arial"/>
              </w:rPr>
            </w:pPr>
            <w:r w:rsidRPr="0047400A">
              <w:rPr>
                <w:rFonts w:cs="Arial"/>
                <w:b/>
                <w:bCs/>
              </w:rPr>
              <w:t>Criteria</w:t>
            </w:r>
            <w:r>
              <w:rPr>
                <w:rFonts w:cs="Arial"/>
                <w:b/>
                <w:bCs/>
              </w:rPr>
              <w:t xml:space="preserve"> </w:t>
            </w:r>
            <w:r w:rsidRPr="0047400A">
              <w:rPr>
                <w:rFonts w:cs="Arial"/>
                <w:b/>
                <w:bCs/>
              </w:rPr>
              <w:t>Adjusted</w:t>
            </w:r>
          </w:p>
        </w:tc>
      </w:tr>
      <w:tr w:rsidR="004075D8" w:rsidRPr="009B4E2D" w14:paraId="0149AF3B" w14:textId="77777777" w:rsidTr="00E0709F">
        <w:tc>
          <w:tcPr>
            <w:tcW w:w="2443" w:type="dxa"/>
          </w:tcPr>
          <w:p w14:paraId="48C0AB0C" w14:textId="77E43162" w:rsidR="004075D8" w:rsidRPr="009B4E2D" w:rsidRDefault="004075D8">
            <w:pPr>
              <w:rPr>
                <w:rFonts w:cs="Arial"/>
                <w:color w:val="000000"/>
              </w:rPr>
            </w:pPr>
            <w:r w:rsidRPr="009B4E2D">
              <w:rPr>
                <w:rFonts w:cs="Arial"/>
                <w:color w:val="000000"/>
              </w:rPr>
              <w:t>Internships</w:t>
            </w:r>
          </w:p>
        </w:tc>
        <w:tc>
          <w:tcPr>
            <w:tcW w:w="1895" w:type="dxa"/>
          </w:tcPr>
          <w:p w14:paraId="226EBEC2" w14:textId="77777777" w:rsidR="004075D8" w:rsidRPr="009B4E2D" w:rsidRDefault="004075D8">
            <w:pPr>
              <w:rPr>
                <w:rFonts w:cs="Arial"/>
              </w:rPr>
            </w:pPr>
            <w:r>
              <w:rPr>
                <w:rFonts w:cs="Arial"/>
              </w:rPr>
              <w:t>N/A</w:t>
            </w:r>
          </w:p>
        </w:tc>
        <w:tc>
          <w:tcPr>
            <w:tcW w:w="1764" w:type="dxa"/>
          </w:tcPr>
          <w:p w14:paraId="0D98D253" w14:textId="4949DE57" w:rsidR="004075D8" w:rsidRPr="00C66B4C" w:rsidRDefault="00C14D43">
            <w:pPr>
              <w:rPr>
                <w:rFonts w:cs="Arial"/>
                <w:b/>
                <w:bCs/>
              </w:rPr>
            </w:pPr>
            <w:r>
              <w:rPr>
                <w:rFonts w:cs="Arial"/>
                <w:b/>
                <w:bCs/>
              </w:rPr>
              <w:t xml:space="preserve">Directed </w:t>
            </w:r>
            <w:r w:rsidR="004075D8" w:rsidRPr="00C66B4C">
              <w:rPr>
                <w:rFonts w:cs="Arial"/>
                <w:b/>
                <w:bCs/>
              </w:rPr>
              <w:t xml:space="preserve">Further </w:t>
            </w:r>
            <w:r>
              <w:rPr>
                <w:rFonts w:cs="Arial"/>
                <w:b/>
                <w:bCs/>
              </w:rPr>
              <w:t>Review</w:t>
            </w:r>
            <w:r w:rsidR="004075D8" w:rsidRPr="00C66B4C">
              <w:rPr>
                <w:rFonts w:cs="Arial"/>
                <w:b/>
                <w:bCs/>
              </w:rPr>
              <w:t>; Began Work on Student-level Data Collection</w:t>
            </w:r>
          </w:p>
        </w:tc>
        <w:tc>
          <w:tcPr>
            <w:tcW w:w="2070" w:type="dxa"/>
          </w:tcPr>
          <w:p w14:paraId="3AC97652" w14:textId="77777777" w:rsidR="004075D8" w:rsidRPr="009B4E2D" w:rsidRDefault="004075D8">
            <w:pPr>
              <w:rPr>
                <w:rFonts w:cs="Arial"/>
              </w:rPr>
            </w:pPr>
            <w:r>
              <w:rPr>
                <w:rFonts w:cs="Arial"/>
              </w:rPr>
              <w:t>N/A</w:t>
            </w:r>
          </w:p>
        </w:tc>
        <w:tc>
          <w:tcPr>
            <w:tcW w:w="1072" w:type="dxa"/>
          </w:tcPr>
          <w:p w14:paraId="5DCCFC28" w14:textId="77777777" w:rsidR="004075D8" w:rsidRPr="009B4E2D" w:rsidRDefault="004075D8">
            <w:pPr>
              <w:rPr>
                <w:rFonts w:cs="Arial"/>
              </w:rPr>
            </w:pPr>
            <w:r w:rsidRPr="008F0538">
              <w:rPr>
                <w:rFonts w:cs="Arial"/>
              </w:rPr>
              <w:t>N/A</w:t>
            </w:r>
          </w:p>
        </w:tc>
        <w:tc>
          <w:tcPr>
            <w:tcW w:w="1440" w:type="dxa"/>
          </w:tcPr>
          <w:p w14:paraId="1BF2789A" w14:textId="369B6C25" w:rsidR="004075D8" w:rsidRPr="009B4E2D" w:rsidRDefault="004D36A2">
            <w:pPr>
              <w:rPr>
                <w:rFonts w:cs="Arial"/>
              </w:rPr>
            </w:pPr>
            <w:r w:rsidRPr="00C66B4C">
              <w:rPr>
                <w:rFonts w:cs="Arial"/>
                <w:b/>
                <w:bCs/>
              </w:rPr>
              <w:t>Directed Further Review</w:t>
            </w:r>
            <w:r>
              <w:rPr>
                <w:rFonts w:cs="Arial"/>
                <w:b/>
                <w:bCs/>
              </w:rPr>
              <w:t xml:space="preserve">: </w:t>
            </w:r>
            <w:r w:rsidRPr="00DD2003">
              <w:rPr>
                <w:rFonts w:cs="Arial"/>
                <w:b/>
                <w:bCs/>
              </w:rPr>
              <w:t>Data Collection Started</w:t>
            </w:r>
          </w:p>
        </w:tc>
        <w:tc>
          <w:tcPr>
            <w:tcW w:w="1244" w:type="dxa"/>
          </w:tcPr>
          <w:p w14:paraId="40097F44" w14:textId="5EC9CD06" w:rsidR="004075D8" w:rsidRPr="009B4E2D" w:rsidRDefault="004D36A2">
            <w:pPr>
              <w:rPr>
                <w:rFonts w:cs="Arial"/>
              </w:rPr>
            </w:pPr>
            <w:r w:rsidRPr="00C66B4C">
              <w:rPr>
                <w:rFonts w:cs="Arial"/>
                <w:b/>
                <w:bCs/>
              </w:rPr>
              <w:t>Data Analysis</w:t>
            </w:r>
            <w:r w:rsidR="005D1DBC">
              <w:rPr>
                <w:rFonts w:cs="Arial"/>
                <w:b/>
                <w:bCs/>
              </w:rPr>
              <w:t xml:space="preserve"> Provided</w:t>
            </w:r>
          </w:p>
        </w:tc>
        <w:tc>
          <w:tcPr>
            <w:tcW w:w="1276" w:type="dxa"/>
          </w:tcPr>
          <w:p w14:paraId="47642CF1" w14:textId="010D8F02" w:rsidR="004075D8" w:rsidRPr="009B4E2D" w:rsidRDefault="004D36A2">
            <w:pPr>
              <w:rPr>
                <w:rFonts w:cs="Arial"/>
              </w:rPr>
            </w:pPr>
            <w:r w:rsidRPr="00C66B4C">
              <w:rPr>
                <w:rFonts w:cs="Arial"/>
                <w:b/>
                <w:bCs/>
              </w:rPr>
              <w:t>Data Analysis</w:t>
            </w:r>
            <w:r w:rsidR="005D1DBC">
              <w:rPr>
                <w:rFonts w:cs="Arial"/>
                <w:b/>
                <w:bCs/>
              </w:rPr>
              <w:t xml:space="preserve"> Provided</w:t>
            </w:r>
          </w:p>
        </w:tc>
        <w:tc>
          <w:tcPr>
            <w:tcW w:w="1683" w:type="dxa"/>
          </w:tcPr>
          <w:p w14:paraId="691D0033" w14:textId="77777777" w:rsidR="004075D8" w:rsidRPr="00C66B4C" w:rsidRDefault="004075D8">
            <w:pPr>
              <w:rPr>
                <w:rFonts w:cs="Arial"/>
                <w:b/>
                <w:bCs/>
              </w:rPr>
            </w:pPr>
            <w:r w:rsidRPr="00C66B4C">
              <w:rPr>
                <w:rFonts w:cs="Arial"/>
                <w:b/>
                <w:bCs/>
              </w:rPr>
              <w:t>Data Analysis Provided; No Action Taken</w:t>
            </w:r>
          </w:p>
        </w:tc>
        <w:tc>
          <w:tcPr>
            <w:tcW w:w="1683" w:type="dxa"/>
          </w:tcPr>
          <w:p w14:paraId="189D9EE3" w14:textId="77777777" w:rsidR="004075D8" w:rsidRPr="00C66B4C" w:rsidRDefault="004075D8">
            <w:pPr>
              <w:rPr>
                <w:rFonts w:cs="Arial"/>
                <w:b/>
                <w:bCs/>
              </w:rPr>
            </w:pPr>
            <w:r w:rsidRPr="00C66B4C">
              <w:rPr>
                <w:rFonts w:cs="Arial"/>
                <w:b/>
                <w:bCs/>
              </w:rPr>
              <w:t>Data Analysis Provided; No Action Taken</w:t>
            </w:r>
          </w:p>
        </w:tc>
        <w:tc>
          <w:tcPr>
            <w:tcW w:w="1683" w:type="dxa"/>
          </w:tcPr>
          <w:p w14:paraId="71E535B1" w14:textId="77777777" w:rsidR="004075D8" w:rsidRPr="00C66B4C" w:rsidRDefault="004075D8">
            <w:pPr>
              <w:rPr>
                <w:rFonts w:cs="Arial"/>
                <w:b/>
                <w:bCs/>
              </w:rPr>
            </w:pPr>
            <w:r w:rsidRPr="00C66B4C">
              <w:rPr>
                <w:rFonts w:cs="Arial"/>
                <w:b/>
                <w:bCs/>
              </w:rPr>
              <w:t>Data Analysis Provided; No Action Taken</w:t>
            </w:r>
          </w:p>
        </w:tc>
      </w:tr>
      <w:tr w:rsidR="004075D8" w:rsidRPr="009B4E2D" w14:paraId="59381460" w14:textId="77777777" w:rsidTr="00E0709F">
        <w:tc>
          <w:tcPr>
            <w:tcW w:w="2443" w:type="dxa"/>
          </w:tcPr>
          <w:p w14:paraId="02D41B84" w14:textId="77777777" w:rsidR="004075D8" w:rsidRPr="009B4E2D" w:rsidRDefault="004075D8">
            <w:pPr>
              <w:rPr>
                <w:rFonts w:cs="Arial"/>
                <w:color w:val="000000"/>
              </w:rPr>
            </w:pPr>
            <w:r w:rsidRPr="009B4E2D">
              <w:rPr>
                <w:rFonts w:cs="Arial"/>
                <w:color w:val="000000"/>
              </w:rPr>
              <w:t>Workforce Readiness Certificate</w:t>
            </w:r>
          </w:p>
        </w:tc>
        <w:tc>
          <w:tcPr>
            <w:tcW w:w="1895" w:type="dxa"/>
          </w:tcPr>
          <w:p w14:paraId="1E304975" w14:textId="77777777" w:rsidR="004075D8" w:rsidRPr="009B4E2D" w:rsidRDefault="004075D8">
            <w:pPr>
              <w:rPr>
                <w:rFonts w:cs="Arial"/>
              </w:rPr>
            </w:pPr>
            <w:r w:rsidRPr="008F0538">
              <w:rPr>
                <w:rFonts w:cs="Arial"/>
              </w:rPr>
              <w:t>N/A</w:t>
            </w:r>
          </w:p>
        </w:tc>
        <w:tc>
          <w:tcPr>
            <w:tcW w:w="1764" w:type="dxa"/>
          </w:tcPr>
          <w:p w14:paraId="3D7EDCD0" w14:textId="77777777" w:rsidR="004075D8" w:rsidRPr="009B4E2D" w:rsidRDefault="004075D8">
            <w:pPr>
              <w:rPr>
                <w:rFonts w:cs="Arial"/>
              </w:rPr>
            </w:pPr>
            <w:r w:rsidRPr="008F0538">
              <w:rPr>
                <w:rFonts w:cs="Arial"/>
              </w:rPr>
              <w:t>N/A</w:t>
            </w:r>
          </w:p>
        </w:tc>
        <w:tc>
          <w:tcPr>
            <w:tcW w:w="2070" w:type="dxa"/>
          </w:tcPr>
          <w:p w14:paraId="46E9F7CF" w14:textId="77777777" w:rsidR="004075D8" w:rsidRPr="009B4E2D" w:rsidRDefault="004075D8">
            <w:pPr>
              <w:rPr>
                <w:rFonts w:cs="Arial"/>
              </w:rPr>
            </w:pPr>
            <w:r w:rsidRPr="008F0538">
              <w:rPr>
                <w:rFonts w:cs="Arial"/>
              </w:rPr>
              <w:t>N/A</w:t>
            </w:r>
          </w:p>
        </w:tc>
        <w:tc>
          <w:tcPr>
            <w:tcW w:w="1072" w:type="dxa"/>
          </w:tcPr>
          <w:p w14:paraId="18D49313" w14:textId="77777777" w:rsidR="004075D8" w:rsidRPr="009B4E2D" w:rsidRDefault="004075D8">
            <w:pPr>
              <w:rPr>
                <w:rFonts w:cs="Arial"/>
              </w:rPr>
            </w:pPr>
            <w:r w:rsidRPr="008F0538">
              <w:rPr>
                <w:rFonts w:cs="Arial"/>
              </w:rPr>
              <w:t>N/A</w:t>
            </w:r>
          </w:p>
        </w:tc>
        <w:tc>
          <w:tcPr>
            <w:tcW w:w="1440" w:type="dxa"/>
          </w:tcPr>
          <w:p w14:paraId="2E1AEF55" w14:textId="77777777" w:rsidR="004075D8" w:rsidRPr="00C66B4C" w:rsidRDefault="004075D8">
            <w:pPr>
              <w:rPr>
                <w:rFonts w:cs="Arial"/>
                <w:b/>
                <w:bCs/>
              </w:rPr>
            </w:pPr>
            <w:r w:rsidRPr="00C66B4C">
              <w:rPr>
                <w:rFonts w:cs="Arial"/>
                <w:b/>
                <w:bCs/>
              </w:rPr>
              <w:t>Data Analysis Provided; No Action Taken</w:t>
            </w:r>
          </w:p>
        </w:tc>
        <w:tc>
          <w:tcPr>
            <w:tcW w:w="1244" w:type="dxa"/>
          </w:tcPr>
          <w:p w14:paraId="5A5C68E4" w14:textId="77777777" w:rsidR="004075D8" w:rsidRPr="009B4E2D" w:rsidRDefault="004075D8">
            <w:pPr>
              <w:rPr>
                <w:rFonts w:cs="Arial"/>
              </w:rPr>
            </w:pPr>
            <w:r w:rsidRPr="008F0538">
              <w:rPr>
                <w:rFonts w:cs="Arial"/>
              </w:rPr>
              <w:t>N/A</w:t>
            </w:r>
          </w:p>
        </w:tc>
        <w:tc>
          <w:tcPr>
            <w:tcW w:w="1276" w:type="dxa"/>
          </w:tcPr>
          <w:p w14:paraId="2630EAF1" w14:textId="77777777" w:rsidR="004075D8" w:rsidRPr="009B4E2D" w:rsidRDefault="004075D8">
            <w:pPr>
              <w:rPr>
                <w:rFonts w:cs="Arial"/>
              </w:rPr>
            </w:pPr>
            <w:r w:rsidRPr="008F0538">
              <w:rPr>
                <w:rFonts w:cs="Arial"/>
              </w:rPr>
              <w:t>N/A</w:t>
            </w:r>
          </w:p>
        </w:tc>
        <w:tc>
          <w:tcPr>
            <w:tcW w:w="1683" w:type="dxa"/>
          </w:tcPr>
          <w:p w14:paraId="3DB1D98C" w14:textId="77777777" w:rsidR="004075D8" w:rsidRPr="009B4E2D" w:rsidRDefault="004075D8">
            <w:pPr>
              <w:rPr>
                <w:rFonts w:cs="Arial"/>
              </w:rPr>
            </w:pPr>
            <w:r w:rsidRPr="008F0538">
              <w:rPr>
                <w:rFonts w:cs="Arial"/>
              </w:rPr>
              <w:t>N/A</w:t>
            </w:r>
          </w:p>
        </w:tc>
        <w:tc>
          <w:tcPr>
            <w:tcW w:w="1683" w:type="dxa"/>
          </w:tcPr>
          <w:p w14:paraId="6AF399F6" w14:textId="77777777" w:rsidR="004075D8" w:rsidRPr="009B4E2D" w:rsidRDefault="004075D8">
            <w:pPr>
              <w:rPr>
                <w:rFonts w:cs="Arial"/>
              </w:rPr>
            </w:pPr>
            <w:r w:rsidRPr="008F0538">
              <w:rPr>
                <w:rFonts w:cs="Arial"/>
              </w:rPr>
              <w:t>N/A</w:t>
            </w:r>
          </w:p>
        </w:tc>
        <w:tc>
          <w:tcPr>
            <w:tcW w:w="1683" w:type="dxa"/>
          </w:tcPr>
          <w:p w14:paraId="1E6664DC" w14:textId="77777777" w:rsidR="004075D8" w:rsidRPr="009B4E2D" w:rsidRDefault="004075D8">
            <w:pPr>
              <w:rPr>
                <w:rFonts w:cs="Arial"/>
              </w:rPr>
            </w:pPr>
            <w:r w:rsidRPr="008F0538">
              <w:rPr>
                <w:rFonts w:cs="Arial"/>
              </w:rPr>
              <w:t>N/A</w:t>
            </w:r>
          </w:p>
        </w:tc>
      </w:tr>
    </w:tbl>
    <w:p w14:paraId="7A58E325" w14:textId="7805C675" w:rsidR="00B51948" w:rsidRDefault="00B51948" w:rsidP="008952E3">
      <w:pPr>
        <w:spacing w:before="240" w:after="240"/>
        <w:sectPr w:rsidR="00B51948" w:rsidSect="00EA5B24">
          <w:headerReference w:type="default" r:id="rId49"/>
          <w:pgSz w:w="20160" w:h="12240" w:orient="landscape" w:code="5"/>
          <w:pgMar w:top="1440" w:right="1440" w:bottom="1440" w:left="1440" w:header="720" w:footer="720" w:gutter="0"/>
          <w:pgNumType w:start="1"/>
          <w:cols w:space="720"/>
          <w:docGrid w:linePitch="360"/>
        </w:sectPr>
      </w:pPr>
    </w:p>
    <w:p w14:paraId="44911DAE" w14:textId="77777777" w:rsidR="00B71A86" w:rsidRDefault="00B71A86" w:rsidP="00B71A86">
      <w:pPr>
        <w:pStyle w:val="Heading2"/>
        <w:spacing w:before="100" w:beforeAutospacing="1" w:after="240"/>
        <w:rPr>
          <w:rFonts w:eastAsia="Arial" w:cs="Arial"/>
          <w:bCs/>
          <w:sz w:val="36"/>
          <w:szCs w:val="36"/>
        </w:rPr>
      </w:pPr>
      <w:r w:rsidRPr="00B71A86">
        <w:rPr>
          <w:rFonts w:eastAsia="Arial" w:cs="Arial"/>
          <w:bCs/>
          <w:sz w:val="36"/>
          <w:szCs w:val="36"/>
        </w:rPr>
        <w:lastRenderedPageBreak/>
        <w:t>Attachment 2</w:t>
      </w:r>
    </w:p>
    <w:p w14:paraId="72F77583" w14:textId="6652793D" w:rsidR="003A053D" w:rsidRPr="003A053D" w:rsidRDefault="003A053D" w:rsidP="003A053D">
      <w:pPr>
        <w:pStyle w:val="Heading3"/>
      </w:pPr>
      <w:r>
        <w:t>College/Career Indicator Resources</w:t>
      </w:r>
    </w:p>
    <w:p w14:paraId="0E2C85A3" w14:textId="4618AE6E" w:rsidR="00B71A86" w:rsidRPr="003A776B" w:rsidRDefault="00B71A86" w:rsidP="00B71A86">
      <w:pPr>
        <w:spacing w:before="100" w:beforeAutospacing="1" w:after="240"/>
        <w:rPr>
          <w:rFonts w:cs="Arial"/>
        </w:rPr>
      </w:pPr>
      <w:r w:rsidRPr="003A776B">
        <w:rPr>
          <w:rFonts w:cs="Arial"/>
        </w:rPr>
        <w:t xml:space="preserve">The California Department of Education (CDE) </w:t>
      </w:r>
      <w:r w:rsidR="00142BF9">
        <w:rPr>
          <w:rFonts w:cs="Arial"/>
        </w:rPr>
        <w:t>developed various</w:t>
      </w:r>
      <w:r w:rsidRPr="003A776B">
        <w:rPr>
          <w:rFonts w:cs="Arial"/>
        </w:rPr>
        <w:t xml:space="preserve"> resources to assist educational partners with understanding the College/Career Indicator (CCI) on the California School Dashboard (Dashboard). These resources are updated annually and </w:t>
      </w:r>
      <w:r w:rsidR="00A139A7">
        <w:rPr>
          <w:rFonts w:cs="Arial"/>
        </w:rPr>
        <w:t xml:space="preserve">are used </w:t>
      </w:r>
      <w:r w:rsidR="00A139A7" w:rsidRPr="00A139A7">
        <w:rPr>
          <w:rFonts w:cs="Arial"/>
        </w:rPr>
        <w:t>t</w:t>
      </w:r>
      <w:r w:rsidR="00A139A7">
        <w:rPr>
          <w:rFonts w:cs="Arial"/>
        </w:rPr>
        <w:t>o</w:t>
      </w:r>
      <w:r w:rsidR="00A139A7" w:rsidRPr="00A139A7">
        <w:rPr>
          <w:rFonts w:cs="Arial"/>
        </w:rPr>
        <w:t xml:space="preserve"> help explain the data reported on the Dashboard</w:t>
      </w:r>
      <w:r w:rsidR="00142BF9">
        <w:rPr>
          <w:rFonts w:cs="Arial"/>
        </w:rPr>
        <w:t xml:space="preserve"> to educators, parents, and the </w:t>
      </w:r>
      <w:proofErr w:type="gramStart"/>
      <w:r w:rsidR="00142BF9">
        <w:rPr>
          <w:rFonts w:cs="Arial"/>
        </w:rPr>
        <w:t>general public</w:t>
      </w:r>
      <w:proofErr w:type="gramEnd"/>
      <w:r w:rsidR="00A139A7">
        <w:rPr>
          <w:rFonts w:cs="Arial"/>
        </w:rPr>
        <w:t>.</w:t>
      </w:r>
    </w:p>
    <w:p w14:paraId="5D0F877E" w14:textId="604F336E" w:rsidR="00B71A86" w:rsidRPr="003A776B" w:rsidRDefault="00B71A86" w:rsidP="00B71A86">
      <w:pPr>
        <w:spacing w:before="100" w:beforeAutospacing="1" w:after="240"/>
        <w:rPr>
          <w:rFonts w:cs="Arial"/>
        </w:rPr>
      </w:pPr>
      <w:r w:rsidRPr="003A776B">
        <w:rPr>
          <w:rFonts w:cs="Arial"/>
        </w:rPr>
        <w:t xml:space="preserve">This attachment features a comprehensive list of the resources available as of the publication of the 2025 Dashboard. </w:t>
      </w:r>
      <w:r w:rsidR="008647B6">
        <w:rPr>
          <w:rFonts w:cs="Arial"/>
        </w:rPr>
        <w:t>Additional Dashboard resources can be found in the annual release of the Dashboard Communications Toolkit.</w:t>
      </w:r>
    </w:p>
    <w:p w14:paraId="37CDDF57" w14:textId="142958DA" w:rsidR="00B71A86" w:rsidRPr="00B71A86" w:rsidRDefault="00580C4B" w:rsidP="00FA2D7D">
      <w:pPr>
        <w:pStyle w:val="Heading4"/>
        <w:rPr>
          <w:i/>
        </w:rPr>
      </w:pPr>
      <w:r>
        <w:t xml:space="preserve">Dashboard </w:t>
      </w:r>
      <w:r w:rsidR="00B71A86" w:rsidRPr="00B71A86">
        <w:t>Additional Reports</w:t>
      </w:r>
    </w:p>
    <w:p w14:paraId="6FFDDC07" w14:textId="4EA7412E" w:rsidR="00B71A86" w:rsidRPr="003A776B" w:rsidRDefault="00EE790C" w:rsidP="00B71A86">
      <w:pPr>
        <w:shd w:val="clear" w:color="auto" w:fill="FFFFFF" w:themeFill="background1"/>
        <w:spacing w:before="100" w:beforeAutospacing="1" w:after="240"/>
        <w:rPr>
          <w:rFonts w:eastAsia="Arial" w:cs="Arial"/>
          <w:color w:val="000000" w:themeColor="text1"/>
        </w:rPr>
      </w:pPr>
      <w:r>
        <w:rPr>
          <w:rFonts w:eastAsia="Arial" w:cs="Arial"/>
          <w:color w:val="000000" w:themeColor="text1"/>
        </w:rPr>
        <w:t>The</w:t>
      </w:r>
      <w:r w:rsidR="00B71A86" w:rsidRPr="003A776B">
        <w:rPr>
          <w:rFonts w:eastAsia="Arial" w:cs="Arial"/>
          <w:color w:val="000000" w:themeColor="text1"/>
        </w:rPr>
        <w:t xml:space="preserve"> </w:t>
      </w:r>
      <w:r w:rsidR="00B71A86" w:rsidRPr="005A24A6">
        <w:rPr>
          <w:rFonts w:eastAsia="Arial" w:cs="Arial"/>
          <w:bCs/>
        </w:rPr>
        <w:t>Dashboard Additional Reports</w:t>
      </w:r>
      <w:r w:rsidR="00B71A86" w:rsidRPr="003A776B">
        <w:rPr>
          <w:rFonts w:eastAsia="Arial" w:cs="Arial"/>
          <w:color w:val="000000" w:themeColor="text1"/>
        </w:rPr>
        <w:t xml:space="preserve"> </w:t>
      </w:r>
      <w:r w:rsidR="005A24A6">
        <w:rPr>
          <w:rFonts w:eastAsia="Arial" w:cs="Arial"/>
          <w:color w:val="000000" w:themeColor="text1"/>
        </w:rPr>
        <w:t>(</w:t>
      </w:r>
      <w:hyperlink r:id="rId50" w:tooltip="School Dashboard Additional Reports" w:history="1">
        <w:r w:rsidR="004A4D0E" w:rsidRPr="00EC18ED">
          <w:rPr>
            <w:rStyle w:val="Hyperlink"/>
            <w:rFonts w:eastAsia="Arial" w:cs="Arial"/>
          </w:rPr>
          <w:t>http://www6.cde.ca.gov/californiamodel</w:t>
        </w:r>
      </w:hyperlink>
      <w:r w:rsidR="005A24A6">
        <w:rPr>
          <w:rFonts w:eastAsia="Arial" w:cs="Arial"/>
          <w:color w:val="000000" w:themeColor="text1"/>
        </w:rPr>
        <w:t>)</w:t>
      </w:r>
      <w:r w:rsidR="00B71A86" w:rsidRPr="003A776B">
        <w:rPr>
          <w:rFonts w:eastAsia="Arial" w:cs="Arial"/>
          <w:color w:val="000000" w:themeColor="text1"/>
        </w:rPr>
        <w:t xml:space="preserve"> offer information and data beyond what are reported on the Dashboard, including summarized views across all state indicators. Reports specific to this indicator are:</w:t>
      </w:r>
    </w:p>
    <w:p w14:paraId="49E5C4F4" w14:textId="6A9D7E31" w:rsidR="008647B6" w:rsidRDefault="008647B6" w:rsidP="00B71A86">
      <w:pPr>
        <w:pStyle w:val="ListParagraph"/>
        <w:numPr>
          <w:ilvl w:val="0"/>
          <w:numId w:val="19"/>
        </w:numPr>
        <w:shd w:val="clear" w:color="auto" w:fill="FFFFFF" w:themeFill="background1"/>
        <w:spacing w:before="100" w:beforeAutospacing="1" w:after="240"/>
        <w:contextualSpacing w:val="0"/>
        <w:rPr>
          <w:rFonts w:eastAsia="Arial" w:cs="Arial"/>
          <w:color w:val="000000" w:themeColor="text1"/>
        </w:rPr>
      </w:pPr>
      <w:r>
        <w:rPr>
          <w:rFonts w:eastAsia="Arial" w:cs="Arial"/>
          <w:color w:val="000000" w:themeColor="text1"/>
        </w:rPr>
        <w:t>Five-by-Five Report: College/Career Indicator</w:t>
      </w:r>
    </w:p>
    <w:p w14:paraId="78EEE70F" w14:textId="4FA00B7E" w:rsidR="00B71A86" w:rsidRPr="003A776B" w:rsidRDefault="00B71A86" w:rsidP="00B71A86">
      <w:pPr>
        <w:pStyle w:val="ListParagraph"/>
        <w:numPr>
          <w:ilvl w:val="0"/>
          <w:numId w:val="19"/>
        </w:numPr>
        <w:shd w:val="clear" w:color="auto" w:fill="FFFFFF" w:themeFill="background1"/>
        <w:spacing w:before="100" w:beforeAutospacing="1" w:after="240"/>
        <w:contextualSpacing w:val="0"/>
        <w:rPr>
          <w:rFonts w:eastAsia="Arial" w:cs="Arial"/>
          <w:color w:val="000000" w:themeColor="text1"/>
        </w:rPr>
      </w:pPr>
      <w:r w:rsidRPr="003A776B">
        <w:rPr>
          <w:rFonts w:eastAsia="Arial" w:cs="Arial"/>
          <w:color w:val="000000" w:themeColor="text1"/>
        </w:rPr>
        <w:t>College/Career Measures Report</w:t>
      </w:r>
    </w:p>
    <w:p w14:paraId="5FB51F96" w14:textId="57A9790B" w:rsidR="00B71A86" w:rsidRPr="002A0D90" w:rsidRDefault="00B71A86" w:rsidP="00704115">
      <w:pPr>
        <w:pStyle w:val="ListParagraph"/>
        <w:numPr>
          <w:ilvl w:val="0"/>
          <w:numId w:val="19"/>
        </w:numPr>
        <w:shd w:val="clear" w:color="auto" w:fill="FFFFFF" w:themeFill="background1"/>
        <w:spacing w:before="100" w:beforeAutospacing="1" w:after="240"/>
        <w:contextualSpacing w:val="0"/>
        <w:rPr>
          <w:rFonts w:eastAsia="Arial" w:cs="Arial"/>
          <w:color w:val="000000" w:themeColor="text1"/>
        </w:rPr>
      </w:pPr>
      <w:r w:rsidRPr="003A776B">
        <w:rPr>
          <w:rFonts w:eastAsia="Arial" w:cs="Arial"/>
          <w:color w:val="000000" w:themeColor="text1"/>
        </w:rPr>
        <w:t>Met UC/CSU Requirements and CTE Pathway Completion Report</w:t>
      </w:r>
    </w:p>
    <w:p w14:paraId="4289A93E" w14:textId="0AE6CA92" w:rsidR="00B71A86" w:rsidRPr="004A0765" w:rsidRDefault="00B71A86" w:rsidP="00FA2D7D">
      <w:pPr>
        <w:pStyle w:val="Heading4"/>
      </w:pPr>
      <w:r w:rsidRPr="004A0765">
        <w:t xml:space="preserve">General </w:t>
      </w:r>
      <w:r w:rsidR="002A3707">
        <w:t>Fly</w:t>
      </w:r>
      <w:r w:rsidR="00581252">
        <w:t>ers</w:t>
      </w:r>
    </w:p>
    <w:p w14:paraId="362E7907" w14:textId="02574C3B" w:rsidR="00B71A86" w:rsidRPr="003E000E" w:rsidRDefault="00B71A86" w:rsidP="00B71A86">
      <w:pPr>
        <w:pStyle w:val="ListParagraph"/>
        <w:numPr>
          <w:ilvl w:val="0"/>
          <w:numId w:val="18"/>
        </w:numPr>
        <w:shd w:val="clear" w:color="auto" w:fill="FFFFFF" w:themeFill="background1"/>
        <w:spacing w:before="100" w:beforeAutospacing="1" w:after="240"/>
        <w:contextualSpacing w:val="0"/>
        <w:rPr>
          <w:rFonts w:eastAsia="Arial" w:cs="Arial"/>
          <w:color w:val="000000" w:themeColor="text1"/>
        </w:rPr>
      </w:pPr>
      <w:bookmarkStart w:id="0" w:name="_Hlk216101081"/>
      <w:r w:rsidRPr="00BF7D9A">
        <w:rPr>
          <w:rFonts w:eastAsia="Arial" w:cs="Arial"/>
          <w:b/>
        </w:rPr>
        <w:t>College/Career Indicator</w:t>
      </w:r>
      <w:r w:rsidR="00BF7D9A">
        <w:rPr>
          <w:rFonts w:eastAsia="Arial" w:cs="Arial"/>
          <w:b/>
        </w:rPr>
        <w:t xml:space="preserve"> Flyer</w:t>
      </w:r>
      <w:r w:rsidR="00704115" w:rsidRPr="004C6AD9">
        <w:rPr>
          <w:rFonts w:eastAsia="Arial" w:cs="Arial"/>
          <w:bCs/>
        </w:rPr>
        <w:t xml:space="preserve"> </w:t>
      </w:r>
      <w:r w:rsidRPr="004C6AD9">
        <w:rPr>
          <w:rFonts w:eastAsia="Arial" w:cs="Arial"/>
          <w:bCs/>
        </w:rPr>
        <w:t>(</w:t>
      </w:r>
      <w:bookmarkEnd w:id="0"/>
      <w:r w:rsidR="004C6AD9">
        <w:fldChar w:fldCharType="begin"/>
      </w:r>
      <w:r w:rsidR="00525309">
        <w:instrText>HYPERLINK "https://www.cde.ca.gov/ta/ac/cm/documents/collegecareer25.pdf" \o "College/Career Indicator Flyer"</w:instrText>
      </w:r>
      <w:r w:rsidR="004C6AD9">
        <w:fldChar w:fldCharType="separate"/>
      </w:r>
      <w:r w:rsidR="004C6AD9" w:rsidRPr="00EC18ED">
        <w:rPr>
          <w:rStyle w:val="Hyperlink"/>
        </w:rPr>
        <w:t>https://www.cde.ca.gov/ta/ac/cm/documents/collegecareer25.pdf</w:t>
      </w:r>
      <w:r w:rsidR="004C6AD9">
        <w:fldChar w:fldCharType="end"/>
      </w:r>
      <w:r w:rsidR="004C6AD9">
        <w:t>)</w:t>
      </w:r>
      <w:r w:rsidR="00E616EE">
        <w:t>: This flyer provides a parent friendly overview of what the College/Career Indicator measures on the Dashboard.</w:t>
      </w:r>
    </w:p>
    <w:p w14:paraId="2FE5E2A7" w14:textId="7DDD212D" w:rsidR="00B71A86" w:rsidRPr="003A776B" w:rsidRDefault="00BC4324" w:rsidP="00B71A86">
      <w:pPr>
        <w:pStyle w:val="ListParagraph"/>
        <w:numPr>
          <w:ilvl w:val="0"/>
          <w:numId w:val="18"/>
        </w:numPr>
        <w:shd w:val="clear" w:color="auto" w:fill="FFFFFF" w:themeFill="background1"/>
        <w:spacing w:before="100" w:beforeAutospacing="1" w:after="240"/>
        <w:contextualSpacing w:val="0"/>
        <w:rPr>
          <w:rFonts w:eastAsia="Arial" w:cs="Arial"/>
          <w:color w:val="000000" w:themeColor="text1"/>
        </w:rPr>
      </w:pPr>
      <w:r w:rsidRPr="00BF7D9A">
        <w:rPr>
          <w:b/>
        </w:rPr>
        <w:t>Measures of College Readiness</w:t>
      </w:r>
      <w:r w:rsidR="00E616EE" w:rsidRPr="00BF7D9A">
        <w:rPr>
          <w:b/>
        </w:rPr>
        <w:t xml:space="preserve"> </w:t>
      </w:r>
      <w:r w:rsidR="00BF7D9A" w:rsidRPr="00BF7D9A">
        <w:rPr>
          <w:b/>
          <w:bCs/>
        </w:rPr>
        <w:t>Flyer</w:t>
      </w:r>
      <w:r w:rsidR="00BF7D9A">
        <w:t xml:space="preserve"> </w:t>
      </w:r>
      <w:r w:rsidR="00E616EE">
        <w:t>(</w:t>
      </w:r>
      <w:hyperlink r:id="rId51" w:tooltip="Measures of College Readiness Flyer" w:history="1">
        <w:r w:rsidR="00E616EE" w:rsidRPr="00EC18ED">
          <w:rPr>
            <w:rStyle w:val="Hyperlink"/>
          </w:rPr>
          <w:t>https://www.cde.ca.gov/ta/ac/cm/documents/ccicollege25.pdf</w:t>
        </w:r>
      </w:hyperlink>
      <w:r w:rsidR="00E616EE">
        <w:t>)</w:t>
      </w:r>
      <w:r>
        <w:t>:</w:t>
      </w:r>
      <w:r w:rsidR="00B71A86">
        <w:rPr>
          <w:rFonts w:eastAsia="Arial"/>
        </w:rPr>
        <w:t xml:space="preserve"> </w:t>
      </w:r>
      <w:r w:rsidR="00B71A86" w:rsidRPr="003A776B">
        <w:rPr>
          <w:rFonts w:eastAsia="Arial" w:cs="Arial"/>
          <w:color w:val="000000" w:themeColor="text1"/>
        </w:rPr>
        <w:t>A list of college measures used to determine whether a student is “Prepared” or “Approaching Prepared” for postsecondary education.</w:t>
      </w:r>
    </w:p>
    <w:p w14:paraId="2134E3BB" w14:textId="025C6E3C" w:rsidR="00B71A86" w:rsidRPr="003A776B" w:rsidRDefault="00BC4324" w:rsidP="00B71A86">
      <w:pPr>
        <w:pStyle w:val="ListParagraph"/>
        <w:numPr>
          <w:ilvl w:val="0"/>
          <w:numId w:val="18"/>
        </w:numPr>
        <w:shd w:val="clear" w:color="auto" w:fill="FFFFFF" w:themeFill="background1"/>
        <w:spacing w:before="100" w:beforeAutospacing="1" w:after="240"/>
        <w:contextualSpacing w:val="0"/>
        <w:rPr>
          <w:rFonts w:eastAsia="Arial" w:cs="Arial"/>
          <w:color w:val="000000" w:themeColor="text1"/>
        </w:rPr>
      </w:pPr>
      <w:r w:rsidRPr="00BF7D9A">
        <w:rPr>
          <w:b/>
        </w:rPr>
        <w:t xml:space="preserve">Measures of Career Readiness </w:t>
      </w:r>
      <w:r w:rsidR="00BF7D9A" w:rsidRPr="00BF7D9A">
        <w:rPr>
          <w:b/>
          <w:bCs/>
        </w:rPr>
        <w:t>Flyer</w:t>
      </w:r>
      <w:r>
        <w:t xml:space="preserve"> (</w:t>
      </w:r>
      <w:hyperlink r:id="rId52" w:tooltip="Measures of Career Readiness Flyer" w:history="1">
        <w:r w:rsidRPr="00EC18ED">
          <w:rPr>
            <w:rStyle w:val="Hyperlink"/>
          </w:rPr>
          <w:t>https://www.cde.ca.gov/ta/ac/cm/documents/ccicareer25.pdf</w:t>
        </w:r>
      </w:hyperlink>
      <w:r>
        <w:t>):</w:t>
      </w:r>
      <w:r w:rsidR="00B71A86" w:rsidRPr="003A776B">
        <w:rPr>
          <w:rFonts w:eastAsia="Arial" w:cs="Arial"/>
          <w:color w:val="000000" w:themeColor="text1"/>
        </w:rPr>
        <w:t xml:space="preserve"> A list of career measures used to determine whether a student is “Prepared” or “Approaching Prepared” for the work-force.</w:t>
      </w:r>
    </w:p>
    <w:p w14:paraId="05114638" w14:textId="77777777" w:rsidR="00B71A86" w:rsidRPr="003A776B" w:rsidRDefault="00B71A86" w:rsidP="00607F92">
      <w:pPr>
        <w:pStyle w:val="Heading4"/>
      </w:pPr>
      <w:r w:rsidRPr="003A776B">
        <w:lastRenderedPageBreak/>
        <w:t>Technical Information about the Indicator</w:t>
      </w:r>
    </w:p>
    <w:p w14:paraId="02BF7830" w14:textId="245D2E95" w:rsidR="00B71A86" w:rsidRPr="003A776B" w:rsidRDefault="00BF7D9A" w:rsidP="00B71A86">
      <w:pPr>
        <w:pStyle w:val="ListParagraph"/>
        <w:numPr>
          <w:ilvl w:val="0"/>
          <w:numId w:val="17"/>
        </w:numPr>
        <w:shd w:val="clear" w:color="auto" w:fill="FFFFFF" w:themeFill="background1"/>
        <w:spacing w:before="100" w:beforeAutospacing="1" w:after="240"/>
        <w:contextualSpacing w:val="0"/>
        <w:rPr>
          <w:rFonts w:eastAsia="Arial" w:cs="Arial"/>
          <w:color w:val="000000" w:themeColor="text1"/>
        </w:rPr>
      </w:pPr>
      <w:r w:rsidRPr="00BF7D9A">
        <w:rPr>
          <w:rFonts w:eastAsia="Arial" w:cs="Arial"/>
          <w:b/>
          <w:bCs/>
          <w:color w:val="000000" w:themeColor="text1"/>
        </w:rPr>
        <w:t xml:space="preserve">2025 Dashboard Technical Guide </w:t>
      </w:r>
      <w:r>
        <w:rPr>
          <w:rFonts w:eastAsia="Arial" w:cs="Arial"/>
          <w:color w:val="000000" w:themeColor="text1"/>
        </w:rPr>
        <w:t>(</w:t>
      </w:r>
      <w:hyperlink r:id="rId53" w:tooltip="2025 Dashboard Technical Guide" w:history="1">
        <w:r w:rsidRPr="00EC18ED">
          <w:rPr>
            <w:rStyle w:val="Hyperlink"/>
            <w:rFonts w:eastAsia="Arial" w:cs="Arial"/>
          </w:rPr>
          <w:t>https://www.cde.ca.gov/ta/ac/cm/dashboardguide.asp</w:t>
        </w:r>
      </w:hyperlink>
      <w:r>
        <w:rPr>
          <w:rFonts w:eastAsia="Arial" w:cs="Arial"/>
          <w:color w:val="000000" w:themeColor="text1"/>
        </w:rPr>
        <w:t xml:space="preserve">): </w:t>
      </w:r>
      <w:r w:rsidR="00B71A86" w:rsidRPr="003A776B">
        <w:rPr>
          <w:rFonts w:eastAsia="Arial" w:cs="Arial"/>
          <w:color w:val="000000" w:themeColor="text1"/>
        </w:rPr>
        <w:t>Th</w:t>
      </w:r>
      <w:r>
        <w:rPr>
          <w:rFonts w:eastAsia="Arial" w:cs="Arial"/>
          <w:color w:val="000000" w:themeColor="text1"/>
        </w:rPr>
        <w:t xml:space="preserve">e </w:t>
      </w:r>
      <w:r w:rsidR="00AA1793">
        <w:rPr>
          <w:rFonts w:eastAsia="Arial" w:cs="Arial"/>
          <w:color w:val="000000" w:themeColor="text1"/>
        </w:rPr>
        <w:t xml:space="preserve">annual technical </w:t>
      </w:r>
      <w:r w:rsidR="00AA1793" w:rsidRPr="00AA1793">
        <w:rPr>
          <w:rFonts w:eastAsia="Arial" w:cs="Arial"/>
          <w:color w:val="000000" w:themeColor="text1"/>
        </w:rPr>
        <w:t>guide includes</w:t>
      </w:r>
      <w:r w:rsidR="00AA1793">
        <w:rPr>
          <w:rFonts w:eastAsia="Arial" w:cs="Arial"/>
          <w:color w:val="000000" w:themeColor="text1"/>
        </w:rPr>
        <w:t xml:space="preserve"> the detailed</w:t>
      </w:r>
      <w:r w:rsidR="00AA1793" w:rsidRPr="00AA1793">
        <w:rPr>
          <w:rFonts w:eastAsia="Arial" w:cs="Arial"/>
          <w:color w:val="000000" w:themeColor="text1"/>
        </w:rPr>
        <w:t xml:space="preserve"> calculation formulas and business rules used to produce the data </w:t>
      </w:r>
      <w:r w:rsidR="00D41420">
        <w:rPr>
          <w:rFonts w:eastAsia="Arial" w:cs="Arial"/>
          <w:color w:val="000000" w:themeColor="text1"/>
        </w:rPr>
        <w:t>used to calculate</w:t>
      </w:r>
      <w:r w:rsidR="00B71A86" w:rsidRPr="003A776B">
        <w:rPr>
          <w:rFonts w:eastAsia="Arial" w:cs="Arial"/>
          <w:color w:val="000000" w:themeColor="text1"/>
        </w:rPr>
        <w:t xml:space="preserve"> the </w:t>
      </w:r>
      <w:r w:rsidR="00D41420">
        <w:rPr>
          <w:rFonts w:eastAsia="Arial" w:cs="Arial"/>
          <w:color w:val="000000" w:themeColor="text1"/>
        </w:rPr>
        <w:t>College/Career Indicator</w:t>
      </w:r>
      <w:r w:rsidR="00AA1793" w:rsidRPr="00AA1793">
        <w:rPr>
          <w:rFonts w:eastAsia="Arial" w:cs="Arial"/>
          <w:color w:val="000000" w:themeColor="text1"/>
        </w:rPr>
        <w:t>.</w:t>
      </w:r>
      <w:r w:rsidR="00B71A86" w:rsidRPr="003A776B">
        <w:rPr>
          <w:rFonts w:eastAsia="Arial" w:cs="Arial"/>
          <w:color w:val="000000" w:themeColor="text1"/>
        </w:rPr>
        <w:t xml:space="preserve"> </w:t>
      </w:r>
    </w:p>
    <w:p w14:paraId="6F9F60A8" w14:textId="2DE8ED53" w:rsidR="00B71A86" w:rsidRPr="003A776B" w:rsidRDefault="00093166" w:rsidP="00B71A86">
      <w:pPr>
        <w:pStyle w:val="ListParagraph"/>
        <w:numPr>
          <w:ilvl w:val="0"/>
          <w:numId w:val="17"/>
        </w:numPr>
        <w:shd w:val="clear" w:color="auto" w:fill="FFFFFF" w:themeFill="background1"/>
        <w:spacing w:before="100" w:beforeAutospacing="1" w:after="240"/>
        <w:contextualSpacing w:val="0"/>
        <w:rPr>
          <w:rFonts w:eastAsia="Arial" w:cs="Arial"/>
          <w:color w:val="000000" w:themeColor="text1"/>
        </w:rPr>
      </w:pPr>
      <w:r w:rsidRPr="004350B6">
        <w:rPr>
          <w:rFonts w:eastAsia="Arial" w:cs="Arial"/>
          <w:b/>
          <w:bCs/>
          <w:color w:val="000000" w:themeColor="text1"/>
        </w:rPr>
        <w:t xml:space="preserve">Handbook on the Connections Between CALPADS and the Dashboard </w:t>
      </w:r>
      <w:r w:rsidR="004050AA">
        <w:rPr>
          <w:rFonts w:eastAsia="Arial" w:cs="Arial"/>
          <w:b/>
          <w:bCs/>
          <w:color w:val="000000" w:themeColor="text1"/>
        </w:rPr>
        <w:t>(</w:t>
      </w:r>
      <w:hyperlink r:id="rId54" w:tooltip="Handbook on the Connections Between CALPADS and the Dashboard" w:history="1">
        <w:r w:rsidR="004050AA" w:rsidRPr="00D47AFB">
          <w:rPr>
            <w:rStyle w:val="Hyperlink"/>
            <w:rFonts w:eastAsia="Arial" w:cs="Arial"/>
          </w:rPr>
          <w:t>https://www.cde.ca.gov/ta/ac/cm/documents/caldashhandbook25.docx</w:t>
        </w:r>
      </w:hyperlink>
      <w:r w:rsidR="004050AA">
        <w:rPr>
          <w:rFonts w:eastAsia="Arial" w:cs="Arial"/>
          <w:color w:val="000000" w:themeColor="text1"/>
        </w:rPr>
        <w:t>):</w:t>
      </w:r>
      <w:r w:rsidR="00B71A86" w:rsidRPr="003A776B">
        <w:rPr>
          <w:rFonts w:eastAsia="Arial" w:cs="Arial"/>
          <w:color w:val="000000" w:themeColor="text1"/>
        </w:rPr>
        <w:t xml:space="preserve"> A </w:t>
      </w:r>
      <w:r w:rsidR="000C6E55">
        <w:rPr>
          <w:rFonts w:eastAsia="Arial" w:cs="Arial"/>
          <w:color w:val="000000" w:themeColor="text1"/>
        </w:rPr>
        <w:t xml:space="preserve">handbook that was developed </w:t>
      </w:r>
      <w:r w:rsidR="001A3D59">
        <w:rPr>
          <w:rFonts w:eastAsia="Arial" w:cs="Arial"/>
          <w:color w:val="000000" w:themeColor="text1"/>
        </w:rPr>
        <w:t xml:space="preserve">for LEAs to make connections between </w:t>
      </w:r>
      <w:r w:rsidR="00B71A86" w:rsidRPr="003A776B">
        <w:rPr>
          <w:rFonts w:eastAsia="Arial" w:cs="Arial"/>
          <w:color w:val="000000" w:themeColor="text1"/>
        </w:rPr>
        <w:t xml:space="preserve">California Longitudinal Pupil Achievement Data System (CALPADS) data </w:t>
      </w:r>
      <w:r w:rsidR="00FD1BE3">
        <w:rPr>
          <w:rFonts w:eastAsia="Arial" w:cs="Arial"/>
          <w:color w:val="000000" w:themeColor="text1"/>
        </w:rPr>
        <w:t>and the California School</w:t>
      </w:r>
      <w:r w:rsidR="00B71A86" w:rsidRPr="003A776B">
        <w:rPr>
          <w:rFonts w:eastAsia="Arial" w:cs="Arial"/>
          <w:color w:val="000000" w:themeColor="text1"/>
        </w:rPr>
        <w:t xml:space="preserve"> Dashboard.</w:t>
      </w:r>
      <w:r w:rsidR="003C32E8">
        <w:rPr>
          <w:rFonts w:eastAsia="Arial" w:cs="Arial"/>
          <w:color w:val="000000" w:themeColor="text1"/>
        </w:rPr>
        <w:t xml:space="preserve"> This guide assists LEAs in understanding the precise data that is submitted by LEAs and how it impacts each </w:t>
      </w:r>
      <w:r w:rsidR="00A14B1A">
        <w:rPr>
          <w:rFonts w:eastAsia="Arial" w:cs="Arial"/>
          <w:color w:val="000000" w:themeColor="text1"/>
        </w:rPr>
        <w:t>Indicator.</w:t>
      </w:r>
    </w:p>
    <w:p w14:paraId="0DE10C59" w14:textId="1189EAE5" w:rsidR="00B71A86" w:rsidRPr="003A776B" w:rsidRDefault="00CD2B89" w:rsidP="00B71A86">
      <w:pPr>
        <w:pStyle w:val="ListParagraph"/>
        <w:numPr>
          <w:ilvl w:val="0"/>
          <w:numId w:val="17"/>
        </w:numPr>
        <w:shd w:val="clear" w:color="auto" w:fill="FFFFFF" w:themeFill="background1"/>
        <w:spacing w:before="100" w:beforeAutospacing="1" w:after="240"/>
        <w:contextualSpacing w:val="0"/>
        <w:rPr>
          <w:rFonts w:eastAsia="Arial" w:cs="Arial"/>
          <w:color w:val="000000" w:themeColor="text1"/>
        </w:rPr>
      </w:pPr>
      <w:r w:rsidRPr="00D75948">
        <w:rPr>
          <w:rFonts w:eastAsia="Arial" w:cs="Arial"/>
          <w:b/>
          <w:bCs/>
          <w:color w:val="000000" w:themeColor="text1"/>
        </w:rPr>
        <w:t>Downloadable Data Files</w:t>
      </w:r>
      <w:r w:rsidR="00D75948" w:rsidRPr="00D75948">
        <w:rPr>
          <w:rFonts w:eastAsia="Arial" w:cs="Arial"/>
          <w:b/>
          <w:bCs/>
          <w:color w:val="000000" w:themeColor="text1"/>
        </w:rPr>
        <w:t xml:space="preserve"> for the College/Career Indicator </w:t>
      </w:r>
      <w:r w:rsidR="004C55DB">
        <w:rPr>
          <w:rFonts w:eastAsia="Arial" w:cs="Arial"/>
          <w:color w:val="000000" w:themeColor="text1"/>
        </w:rPr>
        <w:t>(</w:t>
      </w:r>
      <w:hyperlink r:id="rId55" w:tooltip="Downloadable Data Files for the College/Career Indicator" w:history="1">
        <w:r w:rsidR="004C55DB" w:rsidRPr="00D47AFB">
          <w:rPr>
            <w:rStyle w:val="Hyperlink"/>
            <w:rFonts w:eastAsia="Arial" w:cs="Arial"/>
          </w:rPr>
          <w:t>https://www.cde.ca.gov/ta/ac/cm/ccidatafiles.asp</w:t>
        </w:r>
      </w:hyperlink>
      <w:r w:rsidR="004C55DB">
        <w:rPr>
          <w:rFonts w:eastAsia="Arial" w:cs="Arial"/>
          <w:color w:val="000000" w:themeColor="text1"/>
        </w:rPr>
        <w:t>)</w:t>
      </w:r>
      <w:r>
        <w:rPr>
          <w:rFonts w:eastAsia="Arial" w:cs="Arial"/>
          <w:color w:val="000000" w:themeColor="text1"/>
        </w:rPr>
        <w:t xml:space="preserve">: </w:t>
      </w:r>
      <w:r w:rsidR="00EE1AE4">
        <w:rPr>
          <w:rFonts w:eastAsia="Arial" w:cs="Arial"/>
          <w:color w:val="000000" w:themeColor="text1"/>
        </w:rPr>
        <w:t>D</w:t>
      </w:r>
      <w:r w:rsidR="00D75948">
        <w:rPr>
          <w:rFonts w:eastAsia="Arial" w:cs="Arial"/>
          <w:color w:val="000000" w:themeColor="text1"/>
        </w:rPr>
        <w:t>ata files for</w:t>
      </w:r>
      <w:r w:rsidR="00B71A86" w:rsidRPr="003A776B">
        <w:rPr>
          <w:rFonts w:eastAsia="Arial" w:cs="Arial"/>
          <w:color w:val="000000" w:themeColor="text1"/>
        </w:rPr>
        <w:t xml:space="preserve"> statewide LEA, school, and student group </w:t>
      </w:r>
      <w:r w:rsidR="00513B3C">
        <w:rPr>
          <w:rFonts w:eastAsia="Arial" w:cs="Arial"/>
          <w:color w:val="000000" w:themeColor="text1"/>
        </w:rPr>
        <w:t>College/Career</w:t>
      </w:r>
      <w:r w:rsidR="00B71A86" w:rsidRPr="003A776B">
        <w:rPr>
          <w:rFonts w:eastAsia="Arial" w:cs="Arial"/>
          <w:color w:val="000000" w:themeColor="text1"/>
        </w:rPr>
        <w:t xml:space="preserve"> result</w:t>
      </w:r>
      <w:r w:rsidR="001410E1">
        <w:rPr>
          <w:rFonts w:eastAsia="Arial" w:cs="Arial"/>
          <w:color w:val="000000" w:themeColor="text1"/>
        </w:rPr>
        <w:t xml:space="preserve">s for </w:t>
      </w:r>
      <w:r w:rsidR="00994AAC">
        <w:rPr>
          <w:rFonts w:eastAsia="Arial" w:cs="Arial"/>
          <w:color w:val="000000" w:themeColor="text1"/>
        </w:rPr>
        <w:t>all prior years of the Dashboard.</w:t>
      </w:r>
    </w:p>
    <w:p w14:paraId="0DA37A91" w14:textId="77777777" w:rsidR="00B71A86" w:rsidRPr="003A776B" w:rsidRDefault="00B71A86" w:rsidP="00607F92">
      <w:pPr>
        <w:pStyle w:val="Heading4"/>
      </w:pPr>
      <w:r w:rsidRPr="003A776B">
        <w:t>Frequently Asked Questions (FAQs)</w:t>
      </w:r>
    </w:p>
    <w:p w14:paraId="69824B76" w14:textId="5EC756EB" w:rsidR="00AF31CB" w:rsidRPr="00AF31CB" w:rsidRDefault="007D4557" w:rsidP="00AF31CB">
      <w:pPr>
        <w:pStyle w:val="ListParagraph"/>
        <w:numPr>
          <w:ilvl w:val="0"/>
          <w:numId w:val="20"/>
        </w:numPr>
        <w:rPr>
          <w:rFonts w:eastAsia="Arial"/>
        </w:rPr>
      </w:pPr>
      <w:r w:rsidRPr="00C122ED">
        <w:rPr>
          <w:rFonts w:eastAsia="Arial"/>
          <w:b/>
        </w:rPr>
        <w:t>College/Career Indicator F</w:t>
      </w:r>
      <w:r w:rsidR="00456533" w:rsidRPr="00C122ED">
        <w:rPr>
          <w:rFonts w:eastAsia="Arial"/>
          <w:b/>
        </w:rPr>
        <w:t>requently Asked Questions (FAQs)</w:t>
      </w:r>
      <w:r w:rsidR="004279A8">
        <w:rPr>
          <w:rFonts w:eastAsia="Arial"/>
        </w:rPr>
        <w:t xml:space="preserve"> (</w:t>
      </w:r>
      <w:hyperlink r:id="rId56" w:tooltip="College/Career Indicator Frequently Asked Questions" w:history="1">
        <w:r w:rsidR="004279A8" w:rsidRPr="00D47AFB">
          <w:rPr>
            <w:rStyle w:val="Hyperlink"/>
            <w:rFonts w:eastAsia="Arial"/>
          </w:rPr>
          <w:t>https://www.cde.ca.gov/ta/ac/cm/dbccifaq.asp</w:t>
        </w:r>
      </w:hyperlink>
      <w:r w:rsidR="004279A8">
        <w:rPr>
          <w:rFonts w:eastAsia="Arial"/>
        </w:rPr>
        <w:t xml:space="preserve">): </w:t>
      </w:r>
      <w:r w:rsidR="00AE0905">
        <w:rPr>
          <w:rFonts w:eastAsia="Arial"/>
        </w:rPr>
        <w:t xml:space="preserve">The California Department of Education receives thousands of inquiries from the field each year through in-person and online events and questions through email. These FAQs provide answers to </w:t>
      </w:r>
      <w:r w:rsidR="0079402A">
        <w:rPr>
          <w:rFonts w:eastAsia="Arial"/>
        </w:rPr>
        <w:t xml:space="preserve">common inquiries and assist to clarify issues </w:t>
      </w:r>
      <w:r w:rsidR="00885A8F">
        <w:rPr>
          <w:rFonts w:eastAsia="Arial"/>
        </w:rPr>
        <w:t xml:space="preserve">across the </w:t>
      </w:r>
      <w:proofErr w:type="gramStart"/>
      <w:r w:rsidR="00885A8F">
        <w:rPr>
          <w:rFonts w:eastAsia="Arial"/>
        </w:rPr>
        <w:t>state as a whole</w:t>
      </w:r>
      <w:proofErr w:type="gramEnd"/>
      <w:r w:rsidR="00885A8F">
        <w:rPr>
          <w:rFonts w:eastAsia="Arial"/>
        </w:rPr>
        <w:t>.</w:t>
      </w:r>
      <w:r w:rsidR="004279A8">
        <w:rPr>
          <w:rFonts w:eastAsia="Arial"/>
        </w:rPr>
        <w:t xml:space="preserve"> </w:t>
      </w:r>
    </w:p>
    <w:p w14:paraId="777AA28B" w14:textId="2DCBFF5D" w:rsidR="009C34F8" w:rsidRDefault="009C34F8" w:rsidP="00885A8F">
      <w:pPr>
        <w:pStyle w:val="ListParagraph"/>
        <w:shd w:val="clear" w:color="auto" w:fill="FFFFFF" w:themeFill="background1"/>
        <w:spacing w:before="100" w:beforeAutospacing="1" w:after="240"/>
        <w:contextualSpacing w:val="0"/>
        <w:rPr>
          <w:rFonts w:eastAsia="Arial" w:cs="Arial"/>
          <w:color w:val="000000" w:themeColor="text1"/>
        </w:rPr>
        <w:sectPr w:rsidR="009C34F8" w:rsidSect="009C34F8">
          <w:headerReference w:type="default" r:id="rId57"/>
          <w:pgSz w:w="12240" w:h="15840"/>
          <w:pgMar w:top="1440" w:right="1440" w:bottom="1440" w:left="1440" w:header="720" w:footer="720" w:gutter="0"/>
          <w:pgNumType w:start="1"/>
          <w:cols w:space="720"/>
          <w:docGrid w:linePitch="360"/>
        </w:sectPr>
      </w:pPr>
    </w:p>
    <w:p w14:paraId="0CF3BA51" w14:textId="77777777" w:rsidR="005D4EBD" w:rsidRDefault="005D4EBD" w:rsidP="005D4EBD">
      <w:pPr>
        <w:pStyle w:val="Heading2"/>
        <w:rPr>
          <w:sz w:val="36"/>
          <w:szCs w:val="36"/>
        </w:rPr>
      </w:pPr>
      <w:r w:rsidRPr="005D4EBD">
        <w:rPr>
          <w:sz w:val="36"/>
          <w:szCs w:val="36"/>
        </w:rPr>
        <w:lastRenderedPageBreak/>
        <w:t>Attachment 3</w:t>
      </w:r>
    </w:p>
    <w:p w14:paraId="22D00C0F" w14:textId="46D279FD" w:rsidR="003A053D" w:rsidRPr="00963EA8" w:rsidRDefault="003A053D" w:rsidP="003A053D">
      <w:pPr>
        <w:pStyle w:val="Heading3"/>
      </w:pPr>
      <w:bookmarkStart w:id="1" w:name="_Toc149483595"/>
      <w:r w:rsidRPr="00963EA8">
        <w:t>2025 College/Career Indicator Analysis</w:t>
      </w:r>
    </w:p>
    <w:p w14:paraId="226B6D6C" w14:textId="77777777" w:rsidR="003A053D" w:rsidRPr="00695E12" w:rsidRDefault="003A053D" w:rsidP="00FA2D7D">
      <w:pPr>
        <w:pStyle w:val="Heading4"/>
      </w:pPr>
      <w:r w:rsidRPr="00695E12">
        <w:t>Statewide Results</w:t>
      </w:r>
      <w:bookmarkEnd w:id="1"/>
    </w:p>
    <w:p w14:paraId="0E519723" w14:textId="77777777" w:rsidR="003A053D" w:rsidRPr="00AD5048" w:rsidRDefault="003A053D" w:rsidP="00FA2D7D">
      <w:pPr>
        <w:pStyle w:val="Heading5"/>
      </w:pPr>
      <w:bookmarkStart w:id="2" w:name="_Toc149483596"/>
      <w:bookmarkStart w:id="3" w:name="_Toc216087483"/>
      <w:r w:rsidRPr="00AD5048">
        <w:t>Table 1</w:t>
      </w:r>
      <w:r>
        <w:t>:</w:t>
      </w:r>
      <w:r w:rsidRPr="00AD5048">
        <w:t xml:space="preserve"> 2024</w:t>
      </w:r>
      <w:r>
        <w:t>–</w:t>
      </w:r>
      <w:r w:rsidRPr="00AD5048">
        <w:t>25 CCI by Student Group</w:t>
      </w:r>
      <w:bookmarkEnd w:id="2"/>
      <w:bookmarkEnd w:id="3"/>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1: 2024-25 CCI by Student Group"/>
      </w:tblPr>
      <w:tblGrid>
        <w:gridCol w:w="2235"/>
        <w:gridCol w:w="1614"/>
        <w:gridCol w:w="1366"/>
        <w:gridCol w:w="1620"/>
        <w:gridCol w:w="1500"/>
        <w:gridCol w:w="1375"/>
      </w:tblGrid>
      <w:tr w:rsidR="003A053D" w:rsidRPr="001E3656" w14:paraId="60664236" w14:textId="77777777" w:rsidTr="000650FE">
        <w:trPr>
          <w:cantSplit/>
          <w:trHeight w:val="308"/>
          <w:tblHeader/>
        </w:trPr>
        <w:tc>
          <w:tcPr>
            <w:tcW w:w="2235" w:type="dxa"/>
            <w:shd w:val="clear" w:color="auto" w:fill="D9E2F3" w:themeFill="accent5" w:themeFillTint="33"/>
            <w:noWrap/>
            <w:vAlign w:val="bottom"/>
            <w:hideMark/>
          </w:tcPr>
          <w:p w14:paraId="6B1FD774" w14:textId="77777777" w:rsidR="003A053D" w:rsidRPr="00B72164" w:rsidRDefault="003A053D" w:rsidP="00205DEE">
            <w:pPr>
              <w:rPr>
                <w:b/>
              </w:rPr>
            </w:pPr>
            <w:r w:rsidRPr="00B72164">
              <w:rPr>
                <w:b/>
              </w:rPr>
              <w:t>Student Group</w:t>
            </w:r>
          </w:p>
        </w:tc>
        <w:tc>
          <w:tcPr>
            <w:tcW w:w="1614" w:type="dxa"/>
            <w:shd w:val="clear" w:color="auto" w:fill="D9E2F3" w:themeFill="accent5" w:themeFillTint="33"/>
            <w:noWrap/>
            <w:vAlign w:val="bottom"/>
            <w:hideMark/>
          </w:tcPr>
          <w:p w14:paraId="3F9970C1" w14:textId="77777777" w:rsidR="003A053D" w:rsidRPr="00B72164" w:rsidRDefault="003A053D" w:rsidP="00205DEE">
            <w:pPr>
              <w:jc w:val="center"/>
              <w:rPr>
                <w:b/>
              </w:rPr>
            </w:pPr>
            <w:r w:rsidRPr="00B72164">
              <w:rPr>
                <w:b/>
              </w:rPr>
              <w:t>2025 CCI Status</w:t>
            </w:r>
          </w:p>
        </w:tc>
        <w:tc>
          <w:tcPr>
            <w:tcW w:w="1366" w:type="dxa"/>
            <w:shd w:val="clear" w:color="auto" w:fill="D9E2F3" w:themeFill="accent5" w:themeFillTint="33"/>
            <w:noWrap/>
            <w:vAlign w:val="bottom"/>
            <w:hideMark/>
          </w:tcPr>
          <w:p w14:paraId="7C878070" w14:textId="77777777" w:rsidR="003A053D" w:rsidRPr="00B72164" w:rsidRDefault="003A053D" w:rsidP="00205DEE">
            <w:pPr>
              <w:jc w:val="center"/>
              <w:rPr>
                <w:b/>
              </w:rPr>
            </w:pPr>
            <w:r w:rsidRPr="00B72164">
              <w:rPr>
                <w:b/>
              </w:rPr>
              <w:t>Status Level</w:t>
            </w:r>
          </w:p>
        </w:tc>
        <w:tc>
          <w:tcPr>
            <w:tcW w:w="1620" w:type="dxa"/>
            <w:shd w:val="clear" w:color="auto" w:fill="D9E2F3" w:themeFill="accent5" w:themeFillTint="33"/>
            <w:noWrap/>
            <w:vAlign w:val="bottom"/>
            <w:hideMark/>
          </w:tcPr>
          <w:p w14:paraId="75575134" w14:textId="77777777" w:rsidR="003A053D" w:rsidRPr="00B72164" w:rsidRDefault="003A053D" w:rsidP="00205DEE">
            <w:pPr>
              <w:jc w:val="center"/>
              <w:rPr>
                <w:b/>
              </w:rPr>
            </w:pPr>
            <w:r w:rsidRPr="00B72164">
              <w:rPr>
                <w:b/>
              </w:rPr>
              <w:t>CCI Percentage Point Change</w:t>
            </w:r>
          </w:p>
        </w:tc>
        <w:tc>
          <w:tcPr>
            <w:tcW w:w="1500" w:type="dxa"/>
            <w:shd w:val="clear" w:color="auto" w:fill="D9E2F3" w:themeFill="accent5" w:themeFillTint="33"/>
            <w:noWrap/>
            <w:vAlign w:val="bottom"/>
            <w:hideMark/>
          </w:tcPr>
          <w:p w14:paraId="31D3364C" w14:textId="77777777" w:rsidR="003A053D" w:rsidRPr="00B72164" w:rsidRDefault="003A053D" w:rsidP="00205DEE">
            <w:pPr>
              <w:jc w:val="center"/>
              <w:rPr>
                <w:b/>
              </w:rPr>
            </w:pPr>
            <w:r w:rsidRPr="00B72164">
              <w:rPr>
                <w:b/>
              </w:rPr>
              <w:t>Change Level</w:t>
            </w:r>
          </w:p>
        </w:tc>
        <w:tc>
          <w:tcPr>
            <w:tcW w:w="1375" w:type="dxa"/>
            <w:shd w:val="clear" w:color="auto" w:fill="D9E2F3" w:themeFill="accent5" w:themeFillTint="33"/>
            <w:noWrap/>
            <w:vAlign w:val="bottom"/>
            <w:hideMark/>
          </w:tcPr>
          <w:p w14:paraId="0ED6C593" w14:textId="77777777" w:rsidR="003A053D" w:rsidRPr="00B72164" w:rsidRDefault="003A053D" w:rsidP="00205DEE">
            <w:pPr>
              <w:jc w:val="center"/>
              <w:rPr>
                <w:b/>
              </w:rPr>
            </w:pPr>
            <w:r w:rsidRPr="00B72164">
              <w:rPr>
                <w:b/>
              </w:rPr>
              <w:t>Color</w:t>
            </w:r>
          </w:p>
        </w:tc>
      </w:tr>
      <w:tr w:rsidR="003A053D" w:rsidRPr="001E3656" w14:paraId="7DA5030F" w14:textId="77777777" w:rsidTr="000650FE">
        <w:trPr>
          <w:cantSplit/>
          <w:trHeight w:val="540"/>
        </w:trPr>
        <w:tc>
          <w:tcPr>
            <w:tcW w:w="2235" w:type="dxa"/>
            <w:noWrap/>
            <w:vAlign w:val="bottom"/>
            <w:hideMark/>
          </w:tcPr>
          <w:p w14:paraId="4E06F918" w14:textId="77777777" w:rsidR="003A053D" w:rsidRPr="00C649FA" w:rsidRDefault="003A053D" w:rsidP="00205DEE">
            <w:pPr>
              <w:rPr>
                <w:color w:val="000000"/>
              </w:rPr>
            </w:pPr>
            <w:r w:rsidRPr="00C649FA">
              <w:rPr>
                <w:color w:val="000000"/>
              </w:rPr>
              <w:t>All Students</w:t>
            </w:r>
          </w:p>
        </w:tc>
        <w:tc>
          <w:tcPr>
            <w:tcW w:w="1614" w:type="dxa"/>
            <w:noWrap/>
            <w:vAlign w:val="bottom"/>
          </w:tcPr>
          <w:p w14:paraId="7C8EE1A3" w14:textId="77777777" w:rsidR="003A053D" w:rsidRPr="00C649FA" w:rsidRDefault="003A053D" w:rsidP="00205DEE">
            <w:pPr>
              <w:jc w:val="center"/>
              <w:rPr>
                <w:color w:val="000000"/>
              </w:rPr>
            </w:pPr>
            <w:r w:rsidRPr="00C649FA">
              <w:rPr>
                <w:color w:val="000000"/>
              </w:rPr>
              <w:t>51.7%</w:t>
            </w:r>
          </w:p>
        </w:tc>
        <w:tc>
          <w:tcPr>
            <w:tcW w:w="1366" w:type="dxa"/>
            <w:noWrap/>
            <w:vAlign w:val="bottom"/>
          </w:tcPr>
          <w:p w14:paraId="107314D7" w14:textId="77777777" w:rsidR="003A053D" w:rsidRPr="00C649FA" w:rsidRDefault="003A053D" w:rsidP="00205DEE">
            <w:pPr>
              <w:jc w:val="center"/>
              <w:rPr>
                <w:color w:val="000000"/>
              </w:rPr>
            </w:pPr>
            <w:r w:rsidRPr="00C649FA">
              <w:rPr>
                <w:color w:val="000000"/>
              </w:rPr>
              <w:t>Medium</w:t>
            </w:r>
          </w:p>
        </w:tc>
        <w:tc>
          <w:tcPr>
            <w:tcW w:w="1620" w:type="dxa"/>
            <w:noWrap/>
            <w:vAlign w:val="bottom"/>
          </w:tcPr>
          <w:p w14:paraId="29F341DE" w14:textId="77777777" w:rsidR="003A053D" w:rsidRPr="00C649FA" w:rsidRDefault="003A053D" w:rsidP="00205DEE">
            <w:pPr>
              <w:jc w:val="center"/>
              <w:rPr>
                <w:color w:val="000000"/>
              </w:rPr>
            </w:pPr>
            <w:r w:rsidRPr="00C649FA">
              <w:rPr>
                <w:color w:val="000000"/>
              </w:rPr>
              <w:t>3.1</w:t>
            </w:r>
          </w:p>
        </w:tc>
        <w:tc>
          <w:tcPr>
            <w:tcW w:w="1500" w:type="dxa"/>
            <w:noWrap/>
            <w:vAlign w:val="bottom"/>
          </w:tcPr>
          <w:p w14:paraId="7432993E" w14:textId="77777777" w:rsidR="003A053D" w:rsidRPr="00C649FA" w:rsidRDefault="003A053D" w:rsidP="00205DEE">
            <w:pPr>
              <w:jc w:val="center"/>
              <w:rPr>
                <w:color w:val="000000"/>
              </w:rPr>
            </w:pPr>
            <w:r w:rsidRPr="00C649FA">
              <w:rPr>
                <w:color w:val="000000"/>
              </w:rPr>
              <w:t>Increased</w:t>
            </w:r>
          </w:p>
        </w:tc>
        <w:tc>
          <w:tcPr>
            <w:tcW w:w="1375" w:type="dxa"/>
            <w:shd w:val="clear" w:color="auto" w:fill="006401"/>
            <w:noWrap/>
            <w:vAlign w:val="bottom"/>
          </w:tcPr>
          <w:p w14:paraId="542DD72F" w14:textId="77777777" w:rsidR="003A053D" w:rsidRPr="00C649FA" w:rsidRDefault="003A053D" w:rsidP="00205DEE">
            <w:pPr>
              <w:jc w:val="center"/>
              <w:rPr>
                <w:color w:val="000000"/>
              </w:rPr>
            </w:pPr>
            <w:r w:rsidRPr="00C649FA">
              <w:rPr>
                <w:color w:val="FFFFFF" w:themeColor="background1"/>
              </w:rPr>
              <w:t>Green</w:t>
            </w:r>
          </w:p>
        </w:tc>
      </w:tr>
      <w:tr w:rsidR="003A053D" w:rsidRPr="001E3656" w14:paraId="5304C05F" w14:textId="77777777" w:rsidTr="000650FE">
        <w:trPr>
          <w:cantSplit/>
          <w:trHeight w:val="308"/>
        </w:trPr>
        <w:tc>
          <w:tcPr>
            <w:tcW w:w="2235" w:type="dxa"/>
            <w:noWrap/>
            <w:vAlign w:val="bottom"/>
            <w:hideMark/>
          </w:tcPr>
          <w:p w14:paraId="3E734040" w14:textId="77777777" w:rsidR="003A053D" w:rsidRPr="00C649FA" w:rsidRDefault="003A053D" w:rsidP="00205DEE">
            <w:pPr>
              <w:rPr>
                <w:color w:val="000000"/>
              </w:rPr>
            </w:pPr>
            <w:r w:rsidRPr="00C649FA">
              <w:rPr>
                <w:color w:val="000000" w:themeColor="text1"/>
              </w:rPr>
              <w:t>African American</w:t>
            </w:r>
          </w:p>
        </w:tc>
        <w:tc>
          <w:tcPr>
            <w:tcW w:w="1614" w:type="dxa"/>
            <w:noWrap/>
            <w:vAlign w:val="bottom"/>
          </w:tcPr>
          <w:p w14:paraId="66749D02" w14:textId="77777777" w:rsidR="003A053D" w:rsidRPr="00C649FA" w:rsidRDefault="003A053D" w:rsidP="00205DEE">
            <w:pPr>
              <w:jc w:val="center"/>
              <w:rPr>
                <w:color w:val="000000"/>
              </w:rPr>
            </w:pPr>
            <w:r w:rsidRPr="00C649FA">
              <w:rPr>
                <w:color w:val="000000"/>
              </w:rPr>
              <w:t>35.7%</w:t>
            </w:r>
          </w:p>
        </w:tc>
        <w:tc>
          <w:tcPr>
            <w:tcW w:w="1366" w:type="dxa"/>
            <w:noWrap/>
            <w:vAlign w:val="bottom"/>
          </w:tcPr>
          <w:p w14:paraId="22B833B0" w14:textId="77777777" w:rsidR="003A053D" w:rsidRPr="00C649FA" w:rsidRDefault="003A053D" w:rsidP="00205DEE">
            <w:pPr>
              <w:jc w:val="center"/>
              <w:rPr>
                <w:color w:val="000000"/>
              </w:rPr>
            </w:pPr>
            <w:r w:rsidRPr="00C649FA">
              <w:rPr>
                <w:color w:val="000000"/>
              </w:rPr>
              <w:t>Medium</w:t>
            </w:r>
          </w:p>
        </w:tc>
        <w:tc>
          <w:tcPr>
            <w:tcW w:w="1620" w:type="dxa"/>
            <w:noWrap/>
            <w:vAlign w:val="bottom"/>
          </w:tcPr>
          <w:p w14:paraId="0FA3B83D" w14:textId="77777777" w:rsidR="003A053D" w:rsidRPr="00C649FA" w:rsidRDefault="003A053D" w:rsidP="00205DEE">
            <w:pPr>
              <w:jc w:val="center"/>
              <w:rPr>
                <w:color w:val="000000"/>
              </w:rPr>
            </w:pPr>
            <w:r w:rsidRPr="00C649FA">
              <w:rPr>
                <w:color w:val="000000"/>
              </w:rPr>
              <w:t>3.1</w:t>
            </w:r>
          </w:p>
        </w:tc>
        <w:tc>
          <w:tcPr>
            <w:tcW w:w="1500" w:type="dxa"/>
            <w:noWrap/>
            <w:vAlign w:val="bottom"/>
          </w:tcPr>
          <w:p w14:paraId="16DFB2B6" w14:textId="77777777" w:rsidR="003A053D" w:rsidRPr="00C649FA" w:rsidRDefault="003A053D" w:rsidP="00205DEE">
            <w:pPr>
              <w:jc w:val="center"/>
              <w:rPr>
                <w:color w:val="000000"/>
              </w:rPr>
            </w:pPr>
            <w:r w:rsidRPr="00C649FA">
              <w:rPr>
                <w:color w:val="000000"/>
              </w:rPr>
              <w:t>Increased</w:t>
            </w:r>
          </w:p>
        </w:tc>
        <w:tc>
          <w:tcPr>
            <w:tcW w:w="1375" w:type="dxa"/>
            <w:shd w:val="clear" w:color="auto" w:fill="006401"/>
            <w:noWrap/>
            <w:vAlign w:val="bottom"/>
          </w:tcPr>
          <w:p w14:paraId="1ED7AC96" w14:textId="77777777" w:rsidR="003A053D" w:rsidRPr="00C649FA" w:rsidRDefault="003A053D" w:rsidP="00205DEE">
            <w:pPr>
              <w:jc w:val="center"/>
              <w:rPr>
                <w:color w:val="000000"/>
              </w:rPr>
            </w:pPr>
            <w:r w:rsidRPr="00C649FA">
              <w:rPr>
                <w:color w:val="FFFFFF" w:themeColor="background1"/>
              </w:rPr>
              <w:t>Green</w:t>
            </w:r>
          </w:p>
        </w:tc>
      </w:tr>
      <w:tr w:rsidR="003A053D" w:rsidRPr="001E3656" w14:paraId="7914AD24" w14:textId="77777777" w:rsidTr="000650FE">
        <w:trPr>
          <w:cantSplit/>
          <w:trHeight w:val="308"/>
        </w:trPr>
        <w:tc>
          <w:tcPr>
            <w:tcW w:w="2235" w:type="dxa"/>
            <w:noWrap/>
            <w:vAlign w:val="bottom"/>
            <w:hideMark/>
          </w:tcPr>
          <w:p w14:paraId="7854DA18" w14:textId="77777777" w:rsidR="003A053D" w:rsidRPr="00C649FA" w:rsidRDefault="003A053D" w:rsidP="00205DEE">
            <w:pPr>
              <w:rPr>
                <w:color w:val="000000"/>
              </w:rPr>
            </w:pPr>
            <w:r w:rsidRPr="00C649FA">
              <w:rPr>
                <w:color w:val="000000" w:themeColor="text1"/>
              </w:rPr>
              <w:t>American Indian</w:t>
            </w:r>
          </w:p>
        </w:tc>
        <w:tc>
          <w:tcPr>
            <w:tcW w:w="1614" w:type="dxa"/>
            <w:noWrap/>
            <w:vAlign w:val="bottom"/>
          </w:tcPr>
          <w:p w14:paraId="6A3FC5E6" w14:textId="77777777" w:rsidR="003A053D" w:rsidRPr="00C649FA" w:rsidRDefault="003A053D" w:rsidP="00205DEE">
            <w:pPr>
              <w:jc w:val="center"/>
              <w:rPr>
                <w:color w:val="000000"/>
              </w:rPr>
            </w:pPr>
            <w:r w:rsidRPr="00C649FA">
              <w:rPr>
                <w:color w:val="000000"/>
              </w:rPr>
              <w:t>35.3%</w:t>
            </w:r>
          </w:p>
        </w:tc>
        <w:tc>
          <w:tcPr>
            <w:tcW w:w="1366" w:type="dxa"/>
            <w:noWrap/>
            <w:vAlign w:val="bottom"/>
          </w:tcPr>
          <w:p w14:paraId="2B97FA13" w14:textId="77777777" w:rsidR="003A053D" w:rsidRPr="00C649FA" w:rsidRDefault="003A053D" w:rsidP="00205DEE">
            <w:pPr>
              <w:jc w:val="center"/>
              <w:rPr>
                <w:color w:val="000000"/>
              </w:rPr>
            </w:pPr>
            <w:r w:rsidRPr="00C649FA">
              <w:rPr>
                <w:color w:val="000000"/>
              </w:rPr>
              <w:t>Medium</w:t>
            </w:r>
          </w:p>
        </w:tc>
        <w:tc>
          <w:tcPr>
            <w:tcW w:w="1620" w:type="dxa"/>
            <w:noWrap/>
            <w:vAlign w:val="bottom"/>
          </w:tcPr>
          <w:p w14:paraId="00616580" w14:textId="77777777" w:rsidR="003A053D" w:rsidRPr="00C649FA" w:rsidRDefault="003A053D" w:rsidP="00205DEE">
            <w:pPr>
              <w:jc w:val="center"/>
              <w:rPr>
                <w:color w:val="000000"/>
              </w:rPr>
            </w:pPr>
            <w:r w:rsidRPr="00C649FA">
              <w:rPr>
                <w:color w:val="000000"/>
              </w:rPr>
              <w:t>4.3</w:t>
            </w:r>
          </w:p>
        </w:tc>
        <w:tc>
          <w:tcPr>
            <w:tcW w:w="1500" w:type="dxa"/>
            <w:noWrap/>
            <w:vAlign w:val="bottom"/>
          </w:tcPr>
          <w:p w14:paraId="337F94A0" w14:textId="77777777" w:rsidR="003A053D" w:rsidRPr="00C649FA" w:rsidRDefault="003A053D" w:rsidP="00205DEE">
            <w:pPr>
              <w:jc w:val="center"/>
              <w:rPr>
                <w:color w:val="000000"/>
              </w:rPr>
            </w:pPr>
            <w:r w:rsidRPr="00C649FA">
              <w:rPr>
                <w:color w:val="000000"/>
              </w:rPr>
              <w:t>Increased</w:t>
            </w:r>
          </w:p>
        </w:tc>
        <w:tc>
          <w:tcPr>
            <w:tcW w:w="1375" w:type="dxa"/>
            <w:shd w:val="clear" w:color="auto" w:fill="006401"/>
            <w:noWrap/>
            <w:vAlign w:val="bottom"/>
          </w:tcPr>
          <w:p w14:paraId="40758FA6" w14:textId="77777777" w:rsidR="003A053D" w:rsidRPr="00C649FA" w:rsidRDefault="003A053D" w:rsidP="00205DEE">
            <w:pPr>
              <w:jc w:val="center"/>
              <w:rPr>
                <w:color w:val="000000"/>
              </w:rPr>
            </w:pPr>
            <w:r w:rsidRPr="00C649FA">
              <w:rPr>
                <w:color w:val="FFFFFF" w:themeColor="background1"/>
              </w:rPr>
              <w:t>Green</w:t>
            </w:r>
          </w:p>
        </w:tc>
      </w:tr>
      <w:tr w:rsidR="003A053D" w:rsidRPr="001E3656" w14:paraId="3A5D5241" w14:textId="77777777" w:rsidTr="000650FE">
        <w:trPr>
          <w:cantSplit/>
          <w:trHeight w:val="308"/>
        </w:trPr>
        <w:tc>
          <w:tcPr>
            <w:tcW w:w="2235" w:type="dxa"/>
            <w:noWrap/>
            <w:vAlign w:val="bottom"/>
            <w:hideMark/>
          </w:tcPr>
          <w:p w14:paraId="2943361D" w14:textId="77777777" w:rsidR="003A053D" w:rsidRPr="00C649FA" w:rsidRDefault="003A053D" w:rsidP="00205DEE">
            <w:pPr>
              <w:rPr>
                <w:color w:val="000000"/>
              </w:rPr>
            </w:pPr>
            <w:r w:rsidRPr="00C649FA">
              <w:rPr>
                <w:color w:val="000000"/>
              </w:rPr>
              <w:t>Asian</w:t>
            </w:r>
          </w:p>
        </w:tc>
        <w:tc>
          <w:tcPr>
            <w:tcW w:w="1614" w:type="dxa"/>
            <w:noWrap/>
            <w:vAlign w:val="bottom"/>
          </w:tcPr>
          <w:p w14:paraId="127FD014" w14:textId="77777777" w:rsidR="003A053D" w:rsidRPr="00C649FA" w:rsidRDefault="003A053D" w:rsidP="00205DEE">
            <w:pPr>
              <w:jc w:val="center"/>
              <w:rPr>
                <w:color w:val="000000"/>
              </w:rPr>
            </w:pPr>
            <w:r w:rsidRPr="00C649FA">
              <w:rPr>
                <w:color w:val="000000"/>
              </w:rPr>
              <w:t>77.9%</w:t>
            </w:r>
          </w:p>
        </w:tc>
        <w:tc>
          <w:tcPr>
            <w:tcW w:w="1366" w:type="dxa"/>
            <w:noWrap/>
            <w:vAlign w:val="bottom"/>
          </w:tcPr>
          <w:p w14:paraId="4C5E4510" w14:textId="77777777" w:rsidR="003A053D" w:rsidRPr="00C649FA" w:rsidRDefault="003A053D" w:rsidP="00205DEE">
            <w:pPr>
              <w:jc w:val="center"/>
              <w:rPr>
                <w:color w:val="000000"/>
              </w:rPr>
            </w:pPr>
            <w:r w:rsidRPr="00C649FA">
              <w:rPr>
                <w:color w:val="000000"/>
              </w:rPr>
              <w:t>Very High</w:t>
            </w:r>
          </w:p>
        </w:tc>
        <w:tc>
          <w:tcPr>
            <w:tcW w:w="1620" w:type="dxa"/>
            <w:noWrap/>
            <w:vAlign w:val="bottom"/>
          </w:tcPr>
          <w:p w14:paraId="578C60AF" w14:textId="77777777" w:rsidR="003A053D" w:rsidRPr="00C649FA" w:rsidRDefault="003A053D" w:rsidP="00205DEE">
            <w:pPr>
              <w:jc w:val="center"/>
              <w:rPr>
                <w:color w:val="000000"/>
              </w:rPr>
            </w:pPr>
            <w:r w:rsidRPr="00C649FA">
              <w:rPr>
                <w:color w:val="000000"/>
              </w:rPr>
              <w:t>0.9</w:t>
            </w:r>
          </w:p>
        </w:tc>
        <w:tc>
          <w:tcPr>
            <w:tcW w:w="1500" w:type="dxa"/>
            <w:noWrap/>
            <w:vAlign w:val="bottom"/>
          </w:tcPr>
          <w:p w14:paraId="3F660CAA" w14:textId="77777777" w:rsidR="003A053D" w:rsidRPr="00C649FA" w:rsidRDefault="003A053D" w:rsidP="00205DEE">
            <w:pPr>
              <w:jc w:val="center"/>
              <w:rPr>
                <w:color w:val="000000"/>
              </w:rPr>
            </w:pPr>
            <w:r w:rsidRPr="00C649FA">
              <w:rPr>
                <w:color w:val="000000"/>
              </w:rPr>
              <w:t>Maintained</w:t>
            </w:r>
          </w:p>
        </w:tc>
        <w:tc>
          <w:tcPr>
            <w:tcW w:w="1375" w:type="dxa"/>
            <w:shd w:val="clear" w:color="auto" w:fill="0001FC"/>
            <w:noWrap/>
            <w:vAlign w:val="bottom"/>
          </w:tcPr>
          <w:p w14:paraId="4900AF99" w14:textId="77777777" w:rsidR="003A053D" w:rsidRPr="00C649FA" w:rsidRDefault="003A053D" w:rsidP="00205DEE">
            <w:pPr>
              <w:jc w:val="center"/>
              <w:rPr>
                <w:color w:val="FFFFFF"/>
              </w:rPr>
            </w:pPr>
            <w:r w:rsidRPr="00C649FA">
              <w:rPr>
                <w:color w:val="FFFFFF"/>
              </w:rPr>
              <w:t>Blue</w:t>
            </w:r>
          </w:p>
        </w:tc>
      </w:tr>
      <w:tr w:rsidR="003A053D" w:rsidRPr="001E3656" w14:paraId="7ED34BA5" w14:textId="77777777" w:rsidTr="000650FE">
        <w:trPr>
          <w:cantSplit/>
          <w:trHeight w:val="308"/>
        </w:trPr>
        <w:tc>
          <w:tcPr>
            <w:tcW w:w="2235" w:type="dxa"/>
            <w:noWrap/>
            <w:vAlign w:val="bottom"/>
            <w:hideMark/>
          </w:tcPr>
          <w:p w14:paraId="29296101" w14:textId="77777777" w:rsidR="003A053D" w:rsidRPr="00C649FA" w:rsidRDefault="003A053D" w:rsidP="00205DEE">
            <w:pPr>
              <w:rPr>
                <w:color w:val="000000"/>
              </w:rPr>
            </w:pPr>
            <w:r w:rsidRPr="00C649FA">
              <w:rPr>
                <w:color w:val="000000"/>
              </w:rPr>
              <w:t>Filipino</w:t>
            </w:r>
          </w:p>
        </w:tc>
        <w:tc>
          <w:tcPr>
            <w:tcW w:w="1614" w:type="dxa"/>
            <w:noWrap/>
            <w:vAlign w:val="bottom"/>
          </w:tcPr>
          <w:p w14:paraId="337B3197" w14:textId="77777777" w:rsidR="003A053D" w:rsidRPr="00C649FA" w:rsidRDefault="003A053D" w:rsidP="00205DEE">
            <w:pPr>
              <w:jc w:val="center"/>
              <w:rPr>
                <w:color w:val="000000"/>
              </w:rPr>
            </w:pPr>
            <w:r w:rsidRPr="00C649FA">
              <w:rPr>
                <w:color w:val="000000"/>
              </w:rPr>
              <w:t>74.6%</w:t>
            </w:r>
          </w:p>
        </w:tc>
        <w:tc>
          <w:tcPr>
            <w:tcW w:w="1366" w:type="dxa"/>
            <w:noWrap/>
            <w:vAlign w:val="bottom"/>
          </w:tcPr>
          <w:p w14:paraId="182A399C" w14:textId="77777777" w:rsidR="003A053D" w:rsidRPr="00C649FA" w:rsidRDefault="003A053D" w:rsidP="00205DEE">
            <w:pPr>
              <w:jc w:val="center"/>
              <w:rPr>
                <w:color w:val="000000"/>
              </w:rPr>
            </w:pPr>
            <w:r w:rsidRPr="00C649FA">
              <w:rPr>
                <w:color w:val="000000"/>
              </w:rPr>
              <w:t>Very High</w:t>
            </w:r>
          </w:p>
        </w:tc>
        <w:tc>
          <w:tcPr>
            <w:tcW w:w="1620" w:type="dxa"/>
            <w:noWrap/>
            <w:vAlign w:val="bottom"/>
          </w:tcPr>
          <w:p w14:paraId="26F0E1A7" w14:textId="77777777" w:rsidR="003A053D" w:rsidRPr="00C649FA" w:rsidRDefault="003A053D" w:rsidP="00205DEE">
            <w:pPr>
              <w:jc w:val="center"/>
              <w:rPr>
                <w:color w:val="000000"/>
              </w:rPr>
            </w:pPr>
            <w:r w:rsidRPr="00C649FA">
              <w:rPr>
                <w:color w:val="000000"/>
              </w:rPr>
              <w:t>3.0</w:t>
            </w:r>
          </w:p>
        </w:tc>
        <w:tc>
          <w:tcPr>
            <w:tcW w:w="1500" w:type="dxa"/>
            <w:noWrap/>
            <w:vAlign w:val="bottom"/>
          </w:tcPr>
          <w:p w14:paraId="020D7E31" w14:textId="77777777" w:rsidR="003A053D" w:rsidRPr="00C649FA" w:rsidRDefault="003A053D" w:rsidP="00205DEE">
            <w:pPr>
              <w:jc w:val="center"/>
              <w:rPr>
                <w:color w:val="000000"/>
              </w:rPr>
            </w:pPr>
            <w:r w:rsidRPr="00C649FA">
              <w:rPr>
                <w:color w:val="000000"/>
              </w:rPr>
              <w:t>Increased</w:t>
            </w:r>
          </w:p>
        </w:tc>
        <w:tc>
          <w:tcPr>
            <w:tcW w:w="1375" w:type="dxa"/>
            <w:shd w:val="clear" w:color="auto" w:fill="0001FC"/>
            <w:noWrap/>
            <w:vAlign w:val="bottom"/>
          </w:tcPr>
          <w:p w14:paraId="5AAECBF5" w14:textId="77777777" w:rsidR="003A053D" w:rsidRPr="00C649FA" w:rsidRDefault="003A053D" w:rsidP="00205DEE">
            <w:pPr>
              <w:jc w:val="center"/>
              <w:rPr>
                <w:color w:val="FFFFFF"/>
              </w:rPr>
            </w:pPr>
            <w:r w:rsidRPr="00C649FA">
              <w:rPr>
                <w:color w:val="FFFFFF"/>
              </w:rPr>
              <w:t>Blue</w:t>
            </w:r>
          </w:p>
        </w:tc>
      </w:tr>
      <w:tr w:rsidR="003A053D" w:rsidRPr="001E3656" w14:paraId="71C440C1" w14:textId="77777777" w:rsidTr="000650FE">
        <w:trPr>
          <w:cantSplit/>
          <w:trHeight w:val="308"/>
        </w:trPr>
        <w:tc>
          <w:tcPr>
            <w:tcW w:w="2235" w:type="dxa"/>
            <w:noWrap/>
            <w:vAlign w:val="bottom"/>
            <w:hideMark/>
          </w:tcPr>
          <w:p w14:paraId="0B0A0164" w14:textId="77777777" w:rsidR="003A053D" w:rsidRPr="00C649FA" w:rsidRDefault="003A053D" w:rsidP="00205DEE">
            <w:pPr>
              <w:rPr>
                <w:color w:val="000000"/>
              </w:rPr>
            </w:pPr>
            <w:r w:rsidRPr="00C649FA">
              <w:rPr>
                <w:color w:val="000000"/>
              </w:rPr>
              <w:t>Hispanic</w:t>
            </w:r>
          </w:p>
        </w:tc>
        <w:tc>
          <w:tcPr>
            <w:tcW w:w="1614" w:type="dxa"/>
            <w:noWrap/>
            <w:vAlign w:val="bottom"/>
          </w:tcPr>
          <w:p w14:paraId="19E403F7" w14:textId="77777777" w:rsidR="003A053D" w:rsidRPr="00C649FA" w:rsidRDefault="003A053D" w:rsidP="00205DEE">
            <w:pPr>
              <w:jc w:val="center"/>
              <w:rPr>
                <w:color w:val="000000"/>
              </w:rPr>
            </w:pPr>
            <w:r w:rsidRPr="00C649FA">
              <w:rPr>
                <w:color w:val="000000"/>
              </w:rPr>
              <w:t>45.1%</w:t>
            </w:r>
          </w:p>
        </w:tc>
        <w:tc>
          <w:tcPr>
            <w:tcW w:w="1366" w:type="dxa"/>
            <w:noWrap/>
            <w:vAlign w:val="bottom"/>
          </w:tcPr>
          <w:p w14:paraId="5B78DBC4" w14:textId="77777777" w:rsidR="003A053D" w:rsidRPr="00C649FA" w:rsidRDefault="003A053D" w:rsidP="00205DEE">
            <w:pPr>
              <w:jc w:val="center"/>
              <w:rPr>
                <w:color w:val="000000"/>
              </w:rPr>
            </w:pPr>
            <w:r w:rsidRPr="00C649FA">
              <w:rPr>
                <w:color w:val="000000"/>
              </w:rPr>
              <w:t>Medium</w:t>
            </w:r>
          </w:p>
        </w:tc>
        <w:tc>
          <w:tcPr>
            <w:tcW w:w="1620" w:type="dxa"/>
            <w:noWrap/>
            <w:vAlign w:val="bottom"/>
          </w:tcPr>
          <w:p w14:paraId="4693E185" w14:textId="77777777" w:rsidR="003A053D" w:rsidRPr="00C649FA" w:rsidRDefault="003A053D" w:rsidP="00205DEE">
            <w:pPr>
              <w:jc w:val="center"/>
              <w:rPr>
                <w:color w:val="000000"/>
              </w:rPr>
            </w:pPr>
            <w:r w:rsidRPr="00C649FA">
              <w:rPr>
                <w:color w:val="000000"/>
              </w:rPr>
              <w:t>4.2</w:t>
            </w:r>
          </w:p>
        </w:tc>
        <w:tc>
          <w:tcPr>
            <w:tcW w:w="1500" w:type="dxa"/>
            <w:noWrap/>
            <w:vAlign w:val="bottom"/>
          </w:tcPr>
          <w:p w14:paraId="323F73B3" w14:textId="77777777" w:rsidR="003A053D" w:rsidRPr="00C649FA" w:rsidRDefault="003A053D" w:rsidP="00205DEE">
            <w:pPr>
              <w:jc w:val="center"/>
              <w:rPr>
                <w:color w:val="000000"/>
              </w:rPr>
            </w:pPr>
            <w:r w:rsidRPr="00C649FA">
              <w:rPr>
                <w:color w:val="000000"/>
              </w:rPr>
              <w:t>Increased</w:t>
            </w:r>
          </w:p>
        </w:tc>
        <w:tc>
          <w:tcPr>
            <w:tcW w:w="1375" w:type="dxa"/>
            <w:shd w:val="clear" w:color="auto" w:fill="006401"/>
            <w:noWrap/>
            <w:vAlign w:val="bottom"/>
          </w:tcPr>
          <w:p w14:paraId="47465F56" w14:textId="77777777" w:rsidR="003A053D" w:rsidRPr="00C649FA" w:rsidRDefault="003A053D" w:rsidP="00205DEE">
            <w:pPr>
              <w:jc w:val="center"/>
              <w:rPr>
                <w:color w:val="000000"/>
              </w:rPr>
            </w:pPr>
            <w:r w:rsidRPr="00C649FA">
              <w:rPr>
                <w:color w:val="FFFFFF" w:themeColor="background1"/>
              </w:rPr>
              <w:t>Green</w:t>
            </w:r>
          </w:p>
        </w:tc>
      </w:tr>
      <w:tr w:rsidR="003A053D" w:rsidRPr="001E3656" w14:paraId="12434159" w14:textId="77777777" w:rsidTr="000650FE">
        <w:trPr>
          <w:cantSplit/>
          <w:trHeight w:val="308"/>
        </w:trPr>
        <w:tc>
          <w:tcPr>
            <w:tcW w:w="2235" w:type="dxa"/>
            <w:noWrap/>
            <w:vAlign w:val="bottom"/>
            <w:hideMark/>
          </w:tcPr>
          <w:p w14:paraId="10F51624" w14:textId="77777777" w:rsidR="003A053D" w:rsidRPr="00C649FA" w:rsidRDefault="003A053D" w:rsidP="00205DEE">
            <w:pPr>
              <w:rPr>
                <w:color w:val="000000"/>
              </w:rPr>
            </w:pPr>
            <w:r w:rsidRPr="00C649FA">
              <w:rPr>
                <w:color w:val="000000"/>
              </w:rPr>
              <w:t>Pacific Islander</w:t>
            </w:r>
          </w:p>
        </w:tc>
        <w:tc>
          <w:tcPr>
            <w:tcW w:w="1614" w:type="dxa"/>
            <w:noWrap/>
            <w:vAlign w:val="bottom"/>
          </w:tcPr>
          <w:p w14:paraId="255F1774" w14:textId="77777777" w:rsidR="003A053D" w:rsidRPr="00C649FA" w:rsidRDefault="003A053D" w:rsidP="00205DEE">
            <w:pPr>
              <w:jc w:val="center"/>
              <w:rPr>
                <w:color w:val="000000"/>
              </w:rPr>
            </w:pPr>
            <w:r w:rsidRPr="00C649FA">
              <w:rPr>
                <w:color w:val="000000"/>
              </w:rPr>
              <w:t>40.2%</w:t>
            </w:r>
          </w:p>
        </w:tc>
        <w:tc>
          <w:tcPr>
            <w:tcW w:w="1366" w:type="dxa"/>
            <w:noWrap/>
            <w:vAlign w:val="bottom"/>
          </w:tcPr>
          <w:p w14:paraId="4C1395B5" w14:textId="77777777" w:rsidR="003A053D" w:rsidRPr="00C649FA" w:rsidRDefault="003A053D" w:rsidP="00205DEE">
            <w:pPr>
              <w:jc w:val="center"/>
              <w:rPr>
                <w:color w:val="000000"/>
              </w:rPr>
            </w:pPr>
            <w:r w:rsidRPr="00C649FA">
              <w:rPr>
                <w:color w:val="000000"/>
              </w:rPr>
              <w:t>Medium</w:t>
            </w:r>
          </w:p>
        </w:tc>
        <w:tc>
          <w:tcPr>
            <w:tcW w:w="1620" w:type="dxa"/>
            <w:noWrap/>
            <w:vAlign w:val="bottom"/>
          </w:tcPr>
          <w:p w14:paraId="26630F0E" w14:textId="77777777" w:rsidR="003A053D" w:rsidRPr="00C649FA" w:rsidRDefault="003A053D" w:rsidP="00205DEE">
            <w:pPr>
              <w:jc w:val="center"/>
              <w:rPr>
                <w:color w:val="000000"/>
              </w:rPr>
            </w:pPr>
            <w:r w:rsidRPr="00C649FA">
              <w:rPr>
                <w:color w:val="000000"/>
              </w:rPr>
              <w:t>2.5</w:t>
            </w:r>
          </w:p>
        </w:tc>
        <w:tc>
          <w:tcPr>
            <w:tcW w:w="1500" w:type="dxa"/>
            <w:noWrap/>
            <w:vAlign w:val="bottom"/>
          </w:tcPr>
          <w:p w14:paraId="41455ECF" w14:textId="77777777" w:rsidR="003A053D" w:rsidRPr="00C649FA" w:rsidRDefault="003A053D" w:rsidP="00205DEE">
            <w:pPr>
              <w:jc w:val="center"/>
              <w:rPr>
                <w:color w:val="000000"/>
              </w:rPr>
            </w:pPr>
            <w:r w:rsidRPr="00C649FA">
              <w:rPr>
                <w:color w:val="000000"/>
              </w:rPr>
              <w:t>Increased</w:t>
            </w:r>
          </w:p>
        </w:tc>
        <w:tc>
          <w:tcPr>
            <w:tcW w:w="1375" w:type="dxa"/>
            <w:shd w:val="clear" w:color="auto" w:fill="006401"/>
            <w:noWrap/>
            <w:vAlign w:val="bottom"/>
          </w:tcPr>
          <w:p w14:paraId="1D52F30F" w14:textId="77777777" w:rsidR="003A053D" w:rsidRPr="00C649FA" w:rsidRDefault="003A053D" w:rsidP="00205DEE">
            <w:pPr>
              <w:jc w:val="center"/>
              <w:rPr>
                <w:color w:val="000000"/>
              </w:rPr>
            </w:pPr>
            <w:r w:rsidRPr="00C649FA">
              <w:rPr>
                <w:color w:val="FFFFFF" w:themeColor="background1"/>
              </w:rPr>
              <w:t>Green</w:t>
            </w:r>
          </w:p>
        </w:tc>
      </w:tr>
      <w:tr w:rsidR="003A053D" w:rsidRPr="001E3656" w14:paraId="0AE3F03D" w14:textId="77777777" w:rsidTr="000650FE">
        <w:trPr>
          <w:cantSplit/>
          <w:trHeight w:val="308"/>
        </w:trPr>
        <w:tc>
          <w:tcPr>
            <w:tcW w:w="2235" w:type="dxa"/>
            <w:noWrap/>
            <w:vAlign w:val="bottom"/>
            <w:hideMark/>
          </w:tcPr>
          <w:p w14:paraId="392E9DF8" w14:textId="77777777" w:rsidR="003A053D" w:rsidRPr="00C649FA" w:rsidRDefault="003A053D" w:rsidP="00205DEE">
            <w:pPr>
              <w:rPr>
                <w:color w:val="000000"/>
              </w:rPr>
            </w:pPr>
            <w:r w:rsidRPr="00C649FA">
              <w:rPr>
                <w:color w:val="000000" w:themeColor="text1"/>
              </w:rPr>
              <w:t>Two or More Races</w:t>
            </w:r>
          </w:p>
        </w:tc>
        <w:tc>
          <w:tcPr>
            <w:tcW w:w="1614" w:type="dxa"/>
            <w:noWrap/>
            <w:vAlign w:val="bottom"/>
          </w:tcPr>
          <w:p w14:paraId="4C6EF422" w14:textId="77777777" w:rsidR="003A053D" w:rsidRPr="00C649FA" w:rsidRDefault="003A053D" w:rsidP="00205DEE">
            <w:pPr>
              <w:jc w:val="center"/>
              <w:rPr>
                <w:color w:val="000000"/>
              </w:rPr>
            </w:pPr>
            <w:r w:rsidRPr="00C649FA">
              <w:rPr>
                <w:color w:val="000000"/>
              </w:rPr>
              <w:t>58.6%</w:t>
            </w:r>
          </w:p>
        </w:tc>
        <w:tc>
          <w:tcPr>
            <w:tcW w:w="1366" w:type="dxa"/>
            <w:noWrap/>
            <w:vAlign w:val="bottom"/>
          </w:tcPr>
          <w:p w14:paraId="5798894D" w14:textId="77777777" w:rsidR="003A053D" w:rsidRPr="00C649FA" w:rsidRDefault="003A053D" w:rsidP="00205DEE">
            <w:pPr>
              <w:jc w:val="center"/>
              <w:rPr>
                <w:color w:val="000000"/>
              </w:rPr>
            </w:pPr>
            <w:r w:rsidRPr="00C649FA">
              <w:rPr>
                <w:color w:val="000000"/>
              </w:rPr>
              <w:t>High</w:t>
            </w:r>
          </w:p>
        </w:tc>
        <w:tc>
          <w:tcPr>
            <w:tcW w:w="1620" w:type="dxa"/>
            <w:noWrap/>
            <w:vAlign w:val="bottom"/>
          </w:tcPr>
          <w:p w14:paraId="11D83DB8" w14:textId="77777777" w:rsidR="003A053D" w:rsidRPr="00C649FA" w:rsidRDefault="003A053D" w:rsidP="00205DEE">
            <w:pPr>
              <w:jc w:val="center"/>
              <w:rPr>
                <w:color w:val="000000"/>
              </w:rPr>
            </w:pPr>
            <w:r w:rsidRPr="00C649FA">
              <w:rPr>
                <w:color w:val="000000"/>
              </w:rPr>
              <w:t>1.8</w:t>
            </w:r>
          </w:p>
        </w:tc>
        <w:tc>
          <w:tcPr>
            <w:tcW w:w="1500" w:type="dxa"/>
            <w:noWrap/>
            <w:vAlign w:val="bottom"/>
          </w:tcPr>
          <w:p w14:paraId="2FC48127" w14:textId="77777777" w:rsidR="003A053D" w:rsidRPr="00C649FA" w:rsidRDefault="003A053D" w:rsidP="00205DEE">
            <w:pPr>
              <w:jc w:val="center"/>
              <w:rPr>
                <w:color w:val="000000"/>
              </w:rPr>
            </w:pPr>
            <w:r w:rsidRPr="00C649FA">
              <w:rPr>
                <w:color w:val="000000"/>
              </w:rPr>
              <w:t>Maintained</w:t>
            </w:r>
          </w:p>
        </w:tc>
        <w:tc>
          <w:tcPr>
            <w:tcW w:w="1375" w:type="dxa"/>
            <w:shd w:val="clear" w:color="auto" w:fill="006401"/>
            <w:noWrap/>
            <w:vAlign w:val="bottom"/>
          </w:tcPr>
          <w:p w14:paraId="209B8FAF" w14:textId="77777777" w:rsidR="003A053D" w:rsidRPr="00C649FA" w:rsidRDefault="003A053D" w:rsidP="00205DEE">
            <w:pPr>
              <w:jc w:val="center"/>
              <w:rPr>
                <w:color w:val="FFFFFF"/>
              </w:rPr>
            </w:pPr>
            <w:r w:rsidRPr="00C649FA">
              <w:rPr>
                <w:color w:val="FFFFFF" w:themeColor="background1"/>
              </w:rPr>
              <w:t>Green</w:t>
            </w:r>
          </w:p>
        </w:tc>
      </w:tr>
      <w:tr w:rsidR="003A053D" w:rsidRPr="001E3656" w14:paraId="017F78F1" w14:textId="77777777" w:rsidTr="000650FE">
        <w:trPr>
          <w:cantSplit/>
          <w:trHeight w:val="308"/>
        </w:trPr>
        <w:tc>
          <w:tcPr>
            <w:tcW w:w="2235" w:type="dxa"/>
            <w:noWrap/>
            <w:vAlign w:val="bottom"/>
            <w:hideMark/>
          </w:tcPr>
          <w:p w14:paraId="65840875" w14:textId="77777777" w:rsidR="003A053D" w:rsidRPr="00C649FA" w:rsidRDefault="003A053D" w:rsidP="00205DEE">
            <w:pPr>
              <w:rPr>
                <w:color w:val="000000"/>
              </w:rPr>
            </w:pPr>
            <w:r w:rsidRPr="00C649FA">
              <w:rPr>
                <w:color w:val="000000"/>
              </w:rPr>
              <w:t>White</w:t>
            </w:r>
          </w:p>
        </w:tc>
        <w:tc>
          <w:tcPr>
            <w:tcW w:w="1614" w:type="dxa"/>
            <w:noWrap/>
            <w:vAlign w:val="bottom"/>
          </w:tcPr>
          <w:p w14:paraId="15456878" w14:textId="77777777" w:rsidR="003A053D" w:rsidRPr="00C649FA" w:rsidRDefault="003A053D" w:rsidP="00205DEE">
            <w:pPr>
              <w:jc w:val="center"/>
              <w:rPr>
                <w:color w:val="000000"/>
              </w:rPr>
            </w:pPr>
            <w:r w:rsidRPr="00C649FA">
              <w:rPr>
                <w:color w:val="000000"/>
              </w:rPr>
              <w:t>58.6%</w:t>
            </w:r>
          </w:p>
        </w:tc>
        <w:tc>
          <w:tcPr>
            <w:tcW w:w="1366" w:type="dxa"/>
            <w:noWrap/>
            <w:vAlign w:val="bottom"/>
          </w:tcPr>
          <w:p w14:paraId="22C56FA7" w14:textId="77777777" w:rsidR="003A053D" w:rsidRPr="00C649FA" w:rsidRDefault="003A053D" w:rsidP="00205DEE">
            <w:pPr>
              <w:jc w:val="center"/>
              <w:rPr>
                <w:color w:val="000000"/>
              </w:rPr>
            </w:pPr>
            <w:r w:rsidRPr="00C649FA">
              <w:rPr>
                <w:color w:val="000000"/>
              </w:rPr>
              <w:t>High</w:t>
            </w:r>
          </w:p>
        </w:tc>
        <w:tc>
          <w:tcPr>
            <w:tcW w:w="1620" w:type="dxa"/>
            <w:noWrap/>
            <w:vAlign w:val="bottom"/>
          </w:tcPr>
          <w:p w14:paraId="0B592C05" w14:textId="77777777" w:rsidR="003A053D" w:rsidRPr="00C649FA" w:rsidRDefault="003A053D" w:rsidP="00205DEE">
            <w:pPr>
              <w:jc w:val="center"/>
              <w:rPr>
                <w:color w:val="000000"/>
              </w:rPr>
            </w:pPr>
            <w:r w:rsidRPr="00C649FA">
              <w:rPr>
                <w:color w:val="000000"/>
              </w:rPr>
              <w:t>1.3</w:t>
            </w:r>
          </w:p>
        </w:tc>
        <w:tc>
          <w:tcPr>
            <w:tcW w:w="1500" w:type="dxa"/>
            <w:noWrap/>
            <w:vAlign w:val="bottom"/>
          </w:tcPr>
          <w:p w14:paraId="76FA60D4" w14:textId="77777777" w:rsidR="003A053D" w:rsidRPr="00C649FA" w:rsidRDefault="003A053D" w:rsidP="00205DEE">
            <w:pPr>
              <w:jc w:val="center"/>
              <w:rPr>
                <w:color w:val="000000"/>
              </w:rPr>
            </w:pPr>
            <w:r w:rsidRPr="00C649FA">
              <w:rPr>
                <w:color w:val="000000"/>
              </w:rPr>
              <w:t>Maintained</w:t>
            </w:r>
          </w:p>
        </w:tc>
        <w:tc>
          <w:tcPr>
            <w:tcW w:w="1375" w:type="dxa"/>
            <w:shd w:val="clear" w:color="auto" w:fill="006401"/>
            <w:noWrap/>
            <w:vAlign w:val="bottom"/>
          </w:tcPr>
          <w:p w14:paraId="7E619AE0" w14:textId="77777777" w:rsidR="003A053D" w:rsidRPr="00C649FA" w:rsidRDefault="003A053D" w:rsidP="00205DEE">
            <w:pPr>
              <w:jc w:val="center"/>
              <w:rPr>
                <w:color w:val="FFFFFF"/>
              </w:rPr>
            </w:pPr>
            <w:r w:rsidRPr="00C649FA">
              <w:rPr>
                <w:color w:val="FFFFFF" w:themeColor="background1"/>
              </w:rPr>
              <w:t>Green</w:t>
            </w:r>
          </w:p>
        </w:tc>
      </w:tr>
      <w:tr w:rsidR="003A053D" w:rsidRPr="001E3656" w14:paraId="59F7D1B5" w14:textId="77777777" w:rsidTr="000650FE">
        <w:trPr>
          <w:cantSplit/>
          <w:trHeight w:val="308"/>
        </w:trPr>
        <w:tc>
          <w:tcPr>
            <w:tcW w:w="2235" w:type="dxa"/>
            <w:noWrap/>
            <w:vAlign w:val="bottom"/>
            <w:hideMark/>
          </w:tcPr>
          <w:p w14:paraId="124F68E1" w14:textId="77777777" w:rsidR="003A053D" w:rsidRPr="00C649FA" w:rsidRDefault="003A053D" w:rsidP="00205DEE">
            <w:pPr>
              <w:rPr>
                <w:color w:val="000000"/>
              </w:rPr>
            </w:pPr>
            <w:r w:rsidRPr="00C649FA">
              <w:rPr>
                <w:color w:val="000000" w:themeColor="text1"/>
              </w:rPr>
              <w:t>English Learners</w:t>
            </w:r>
          </w:p>
        </w:tc>
        <w:tc>
          <w:tcPr>
            <w:tcW w:w="1614" w:type="dxa"/>
            <w:noWrap/>
            <w:vAlign w:val="bottom"/>
          </w:tcPr>
          <w:p w14:paraId="0B77437A" w14:textId="77777777" w:rsidR="003A053D" w:rsidRPr="00C649FA" w:rsidRDefault="003A053D" w:rsidP="00205DEE">
            <w:pPr>
              <w:jc w:val="center"/>
              <w:rPr>
                <w:color w:val="000000"/>
              </w:rPr>
            </w:pPr>
            <w:r w:rsidRPr="00C649FA">
              <w:rPr>
                <w:color w:val="000000"/>
              </w:rPr>
              <w:t>24.3%</w:t>
            </w:r>
          </w:p>
        </w:tc>
        <w:tc>
          <w:tcPr>
            <w:tcW w:w="1366" w:type="dxa"/>
            <w:noWrap/>
            <w:vAlign w:val="bottom"/>
          </w:tcPr>
          <w:p w14:paraId="79646616" w14:textId="77777777" w:rsidR="003A053D" w:rsidRPr="00C649FA" w:rsidRDefault="003A053D" w:rsidP="00205DEE">
            <w:pPr>
              <w:jc w:val="center"/>
              <w:rPr>
                <w:color w:val="000000"/>
              </w:rPr>
            </w:pPr>
            <w:r w:rsidRPr="00C649FA">
              <w:rPr>
                <w:color w:val="000000"/>
              </w:rPr>
              <w:t>Low</w:t>
            </w:r>
          </w:p>
        </w:tc>
        <w:tc>
          <w:tcPr>
            <w:tcW w:w="1620" w:type="dxa"/>
            <w:noWrap/>
            <w:vAlign w:val="bottom"/>
          </w:tcPr>
          <w:p w14:paraId="1BAD5C7B" w14:textId="77777777" w:rsidR="003A053D" w:rsidRPr="00C649FA" w:rsidRDefault="003A053D" w:rsidP="00205DEE">
            <w:pPr>
              <w:jc w:val="center"/>
              <w:rPr>
                <w:color w:val="000000"/>
              </w:rPr>
            </w:pPr>
            <w:r w:rsidRPr="00C649FA">
              <w:rPr>
                <w:color w:val="000000"/>
              </w:rPr>
              <w:t>4.0</w:t>
            </w:r>
          </w:p>
        </w:tc>
        <w:tc>
          <w:tcPr>
            <w:tcW w:w="1500" w:type="dxa"/>
            <w:noWrap/>
            <w:vAlign w:val="bottom"/>
          </w:tcPr>
          <w:p w14:paraId="64C1ADED" w14:textId="77777777" w:rsidR="003A053D" w:rsidRPr="00C649FA" w:rsidRDefault="003A053D" w:rsidP="00205DEE">
            <w:pPr>
              <w:jc w:val="center"/>
              <w:rPr>
                <w:color w:val="000000"/>
              </w:rPr>
            </w:pPr>
            <w:r w:rsidRPr="00C649FA">
              <w:rPr>
                <w:color w:val="000000"/>
              </w:rPr>
              <w:t>Increased</w:t>
            </w:r>
          </w:p>
        </w:tc>
        <w:tc>
          <w:tcPr>
            <w:tcW w:w="1375" w:type="dxa"/>
            <w:shd w:val="clear" w:color="auto" w:fill="FFFF00"/>
            <w:noWrap/>
            <w:vAlign w:val="bottom"/>
          </w:tcPr>
          <w:p w14:paraId="753A55BB" w14:textId="77777777" w:rsidR="003A053D" w:rsidRPr="00C649FA" w:rsidRDefault="003A053D" w:rsidP="00205DEE">
            <w:pPr>
              <w:jc w:val="center"/>
              <w:rPr>
                <w:color w:val="000000"/>
              </w:rPr>
            </w:pPr>
            <w:r w:rsidRPr="00C649FA">
              <w:rPr>
                <w:color w:val="000000"/>
              </w:rPr>
              <w:t>Yellow</w:t>
            </w:r>
          </w:p>
        </w:tc>
      </w:tr>
      <w:tr w:rsidR="003A053D" w:rsidRPr="001E3656" w14:paraId="0AF7D0A1" w14:textId="77777777" w:rsidTr="000650FE">
        <w:trPr>
          <w:cantSplit/>
          <w:trHeight w:val="308"/>
        </w:trPr>
        <w:tc>
          <w:tcPr>
            <w:tcW w:w="2235" w:type="dxa"/>
            <w:noWrap/>
            <w:vAlign w:val="bottom"/>
            <w:hideMark/>
          </w:tcPr>
          <w:p w14:paraId="1334E074" w14:textId="77777777" w:rsidR="003A053D" w:rsidRPr="00C649FA" w:rsidRDefault="003A053D" w:rsidP="00205DEE">
            <w:pPr>
              <w:rPr>
                <w:color w:val="000000"/>
              </w:rPr>
            </w:pPr>
            <w:r w:rsidRPr="00C649FA">
              <w:rPr>
                <w:color w:val="000000"/>
              </w:rPr>
              <w:t>Foster Youth</w:t>
            </w:r>
          </w:p>
        </w:tc>
        <w:tc>
          <w:tcPr>
            <w:tcW w:w="1614" w:type="dxa"/>
            <w:noWrap/>
            <w:vAlign w:val="bottom"/>
          </w:tcPr>
          <w:p w14:paraId="6E93717E" w14:textId="77777777" w:rsidR="003A053D" w:rsidRPr="00C649FA" w:rsidRDefault="003A053D" w:rsidP="00205DEE">
            <w:pPr>
              <w:jc w:val="center"/>
              <w:rPr>
                <w:color w:val="000000"/>
              </w:rPr>
            </w:pPr>
            <w:r w:rsidRPr="00C649FA">
              <w:rPr>
                <w:color w:val="000000"/>
              </w:rPr>
              <w:t>17.7%</w:t>
            </w:r>
          </w:p>
        </w:tc>
        <w:tc>
          <w:tcPr>
            <w:tcW w:w="1366" w:type="dxa"/>
            <w:noWrap/>
            <w:vAlign w:val="bottom"/>
          </w:tcPr>
          <w:p w14:paraId="2975E72F" w14:textId="77777777" w:rsidR="003A053D" w:rsidRPr="00C649FA" w:rsidRDefault="003A053D" w:rsidP="00205DEE">
            <w:pPr>
              <w:jc w:val="center"/>
              <w:rPr>
                <w:color w:val="000000"/>
              </w:rPr>
            </w:pPr>
            <w:r w:rsidRPr="00C649FA">
              <w:rPr>
                <w:color w:val="000000"/>
              </w:rPr>
              <w:t>Low</w:t>
            </w:r>
          </w:p>
        </w:tc>
        <w:tc>
          <w:tcPr>
            <w:tcW w:w="1620" w:type="dxa"/>
            <w:noWrap/>
            <w:vAlign w:val="bottom"/>
          </w:tcPr>
          <w:p w14:paraId="2B32CC05" w14:textId="77777777" w:rsidR="003A053D" w:rsidRPr="00C649FA" w:rsidRDefault="003A053D" w:rsidP="00205DEE">
            <w:pPr>
              <w:jc w:val="center"/>
              <w:rPr>
                <w:color w:val="000000"/>
              </w:rPr>
            </w:pPr>
            <w:r w:rsidRPr="00C649FA">
              <w:rPr>
                <w:color w:val="000000"/>
              </w:rPr>
              <w:t>3.0</w:t>
            </w:r>
          </w:p>
        </w:tc>
        <w:tc>
          <w:tcPr>
            <w:tcW w:w="1500" w:type="dxa"/>
            <w:noWrap/>
            <w:vAlign w:val="bottom"/>
          </w:tcPr>
          <w:p w14:paraId="56C99C67" w14:textId="77777777" w:rsidR="003A053D" w:rsidRPr="00C649FA" w:rsidRDefault="003A053D" w:rsidP="00205DEE">
            <w:pPr>
              <w:jc w:val="center"/>
              <w:rPr>
                <w:color w:val="000000"/>
              </w:rPr>
            </w:pPr>
            <w:r w:rsidRPr="00C649FA">
              <w:rPr>
                <w:color w:val="000000"/>
              </w:rPr>
              <w:t>Increased</w:t>
            </w:r>
          </w:p>
        </w:tc>
        <w:tc>
          <w:tcPr>
            <w:tcW w:w="1375" w:type="dxa"/>
            <w:shd w:val="clear" w:color="auto" w:fill="FFFF00"/>
            <w:noWrap/>
            <w:vAlign w:val="bottom"/>
          </w:tcPr>
          <w:p w14:paraId="0F820B4A" w14:textId="77777777" w:rsidR="003A053D" w:rsidRPr="00C649FA" w:rsidRDefault="003A053D" w:rsidP="00205DEE">
            <w:pPr>
              <w:jc w:val="center"/>
              <w:rPr>
                <w:color w:val="FFFFFF"/>
              </w:rPr>
            </w:pPr>
            <w:r w:rsidRPr="00C649FA">
              <w:rPr>
                <w:color w:val="000000"/>
              </w:rPr>
              <w:t>Yellow</w:t>
            </w:r>
          </w:p>
        </w:tc>
      </w:tr>
      <w:tr w:rsidR="003A053D" w:rsidRPr="001E3656" w14:paraId="12579B7F" w14:textId="77777777" w:rsidTr="000650FE">
        <w:trPr>
          <w:cantSplit/>
          <w:trHeight w:val="308"/>
        </w:trPr>
        <w:tc>
          <w:tcPr>
            <w:tcW w:w="2235" w:type="dxa"/>
            <w:noWrap/>
            <w:vAlign w:val="bottom"/>
            <w:hideMark/>
          </w:tcPr>
          <w:p w14:paraId="600B738C" w14:textId="77777777" w:rsidR="003A053D" w:rsidRPr="00C649FA" w:rsidRDefault="003A053D" w:rsidP="00205DEE">
            <w:pPr>
              <w:rPr>
                <w:color w:val="000000"/>
              </w:rPr>
            </w:pPr>
            <w:r w:rsidRPr="00C649FA">
              <w:rPr>
                <w:color w:val="000000" w:themeColor="text1"/>
              </w:rPr>
              <w:t>Homeless</w:t>
            </w:r>
          </w:p>
        </w:tc>
        <w:tc>
          <w:tcPr>
            <w:tcW w:w="1614" w:type="dxa"/>
            <w:noWrap/>
            <w:vAlign w:val="bottom"/>
          </w:tcPr>
          <w:p w14:paraId="325CB181" w14:textId="77777777" w:rsidR="003A053D" w:rsidRPr="00C649FA" w:rsidRDefault="003A053D" w:rsidP="00205DEE">
            <w:pPr>
              <w:jc w:val="center"/>
              <w:rPr>
                <w:color w:val="000000"/>
              </w:rPr>
            </w:pPr>
            <w:r w:rsidRPr="00C649FA">
              <w:rPr>
                <w:color w:val="000000"/>
              </w:rPr>
              <w:t>26.5%</w:t>
            </w:r>
          </w:p>
        </w:tc>
        <w:tc>
          <w:tcPr>
            <w:tcW w:w="1366" w:type="dxa"/>
            <w:noWrap/>
            <w:vAlign w:val="bottom"/>
          </w:tcPr>
          <w:p w14:paraId="29126E11" w14:textId="77777777" w:rsidR="003A053D" w:rsidRPr="00C649FA" w:rsidRDefault="003A053D" w:rsidP="00205DEE">
            <w:pPr>
              <w:jc w:val="center"/>
              <w:rPr>
                <w:color w:val="000000"/>
              </w:rPr>
            </w:pPr>
            <w:r w:rsidRPr="00C649FA">
              <w:rPr>
                <w:color w:val="000000"/>
              </w:rPr>
              <w:t>Low</w:t>
            </w:r>
          </w:p>
        </w:tc>
        <w:tc>
          <w:tcPr>
            <w:tcW w:w="1620" w:type="dxa"/>
            <w:noWrap/>
            <w:vAlign w:val="bottom"/>
          </w:tcPr>
          <w:p w14:paraId="4315519A" w14:textId="77777777" w:rsidR="003A053D" w:rsidRPr="00C649FA" w:rsidRDefault="003A053D" w:rsidP="00205DEE">
            <w:pPr>
              <w:jc w:val="center"/>
              <w:rPr>
                <w:color w:val="000000"/>
              </w:rPr>
            </w:pPr>
            <w:r w:rsidRPr="00C649FA">
              <w:rPr>
                <w:color w:val="000000"/>
              </w:rPr>
              <w:t>2.7</w:t>
            </w:r>
          </w:p>
        </w:tc>
        <w:tc>
          <w:tcPr>
            <w:tcW w:w="1500" w:type="dxa"/>
            <w:noWrap/>
            <w:vAlign w:val="bottom"/>
          </w:tcPr>
          <w:p w14:paraId="23E8491A" w14:textId="77777777" w:rsidR="003A053D" w:rsidRPr="00C649FA" w:rsidRDefault="003A053D" w:rsidP="00205DEE">
            <w:pPr>
              <w:jc w:val="center"/>
              <w:rPr>
                <w:color w:val="000000"/>
              </w:rPr>
            </w:pPr>
            <w:r w:rsidRPr="00C649FA">
              <w:rPr>
                <w:color w:val="000000"/>
              </w:rPr>
              <w:t>Increased</w:t>
            </w:r>
          </w:p>
        </w:tc>
        <w:tc>
          <w:tcPr>
            <w:tcW w:w="1375" w:type="dxa"/>
            <w:shd w:val="clear" w:color="auto" w:fill="FFFF00"/>
            <w:noWrap/>
            <w:vAlign w:val="bottom"/>
          </w:tcPr>
          <w:p w14:paraId="21494137" w14:textId="77777777" w:rsidR="003A053D" w:rsidRPr="00C649FA" w:rsidRDefault="003A053D" w:rsidP="00205DEE">
            <w:pPr>
              <w:jc w:val="center"/>
              <w:rPr>
                <w:color w:val="000000"/>
              </w:rPr>
            </w:pPr>
            <w:r w:rsidRPr="00C649FA">
              <w:rPr>
                <w:color w:val="000000"/>
              </w:rPr>
              <w:t>Yellow</w:t>
            </w:r>
          </w:p>
        </w:tc>
      </w:tr>
      <w:tr w:rsidR="003A053D" w:rsidRPr="001E3656" w14:paraId="5C3C809F" w14:textId="77777777" w:rsidTr="000650FE">
        <w:trPr>
          <w:cantSplit/>
          <w:trHeight w:val="308"/>
        </w:trPr>
        <w:tc>
          <w:tcPr>
            <w:tcW w:w="2235" w:type="dxa"/>
            <w:noWrap/>
            <w:vAlign w:val="bottom"/>
            <w:hideMark/>
          </w:tcPr>
          <w:p w14:paraId="45F519AC" w14:textId="77777777" w:rsidR="003A053D" w:rsidRPr="00C649FA" w:rsidRDefault="003A053D" w:rsidP="00205DEE">
            <w:pPr>
              <w:rPr>
                <w:color w:val="000000"/>
              </w:rPr>
            </w:pPr>
            <w:r w:rsidRPr="00C649FA">
              <w:rPr>
                <w:color w:val="000000"/>
              </w:rPr>
              <w:t>Socioeconomically Disadvantaged</w:t>
            </w:r>
          </w:p>
        </w:tc>
        <w:tc>
          <w:tcPr>
            <w:tcW w:w="1614" w:type="dxa"/>
            <w:noWrap/>
            <w:vAlign w:val="bottom"/>
          </w:tcPr>
          <w:p w14:paraId="66E6C0B6" w14:textId="77777777" w:rsidR="003A053D" w:rsidRPr="00C649FA" w:rsidRDefault="003A053D" w:rsidP="00205DEE">
            <w:pPr>
              <w:jc w:val="center"/>
              <w:rPr>
                <w:color w:val="000000"/>
              </w:rPr>
            </w:pPr>
            <w:r w:rsidRPr="00C649FA">
              <w:rPr>
                <w:color w:val="000000"/>
              </w:rPr>
              <w:t>44.8%</w:t>
            </w:r>
          </w:p>
        </w:tc>
        <w:tc>
          <w:tcPr>
            <w:tcW w:w="1366" w:type="dxa"/>
            <w:noWrap/>
            <w:vAlign w:val="bottom"/>
          </w:tcPr>
          <w:p w14:paraId="3D7BEF2B" w14:textId="77777777" w:rsidR="003A053D" w:rsidRPr="00C649FA" w:rsidRDefault="003A053D" w:rsidP="00205DEE">
            <w:pPr>
              <w:jc w:val="center"/>
              <w:rPr>
                <w:color w:val="000000"/>
              </w:rPr>
            </w:pPr>
            <w:r w:rsidRPr="00C649FA">
              <w:rPr>
                <w:color w:val="000000"/>
              </w:rPr>
              <w:t>Medium</w:t>
            </w:r>
          </w:p>
        </w:tc>
        <w:tc>
          <w:tcPr>
            <w:tcW w:w="1620" w:type="dxa"/>
            <w:noWrap/>
            <w:vAlign w:val="bottom"/>
          </w:tcPr>
          <w:p w14:paraId="5693116C" w14:textId="77777777" w:rsidR="003A053D" w:rsidRPr="00C649FA" w:rsidRDefault="003A053D" w:rsidP="00205DEE">
            <w:pPr>
              <w:jc w:val="center"/>
              <w:rPr>
                <w:color w:val="000000"/>
              </w:rPr>
            </w:pPr>
            <w:r w:rsidRPr="00C649FA">
              <w:rPr>
                <w:color w:val="000000"/>
              </w:rPr>
              <w:t>4.1</w:t>
            </w:r>
          </w:p>
        </w:tc>
        <w:tc>
          <w:tcPr>
            <w:tcW w:w="1500" w:type="dxa"/>
            <w:noWrap/>
            <w:vAlign w:val="bottom"/>
          </w:tcPr>
          <w:p w14:paraId="63103D0A" w14:textId="77777777" w:rsidR="003A053D" w:rsidRPr="00C649FA" w:rsidRDefault="003A053D" w:rsidP="00205DEE">
            <w:pPr>
              <w:jc w:val="center"/>
              <w:rPr>
                <w:color w:val="000000"/>
              </w:rPr>
            </w:pPr>
            <w:r w:rsidRPr="00C649FA">
              <w:rPr>
                <w:color w:val="000000"/>
              </w:rPr>
              <w:t>Increased</w:t>
            </w:r>
          </w:p>
        </w:tc>
        <w:tc>
          <w:tcPr>
            <w:tcW w:w="1375" w:type="dxa"/>
            <w:shd w:val="clear" w:color="auto" w:fill="006401"/>
            <w:noWrap/>
            <w:vAlign w:val="bottom"/>
          </w:tcPr>
          <w:p w14:paraId="01029C8D" w14:textId="77777777" w:rsidR="003A053D" w:rsidRPr="00C649FA" w:rsidRDefault="003A053D" w:rsidP="00205DEE">
            <w:pPr>
              <w:jc w:val="center"/>
              <w:rPr>
                <w:color w:val="000000"/>
              </w:rPr>
            </w:pPr>
            <w:r w:rsidRPr="00C649FA">
              <w:rPr>
                <w:color w:val="FFFFFF" w:themeColor="background1"/>
              </w:rPr>
              <w:t>Green</w:t>
            </w:r>
          </w:p>
        </w:tc>
      </w:tr>
      <w:tr w:rsidR="003A053D" w:rsidRPr="001E3656" w14:paraId="539D4549" w14:textId="77777777" w:rsidTr="000650FE">
        <w:trPr>
          <w:cantSplit/>
          <w:trHeight w:val="308"/>
        </w:trPr>
        <w:tc>
          <w:tcPr>
            <w:tcW w:w="2235" w:type="dxa"/>
            <w:noWrap/>
            <w:vAlign w:val="bottom"/>
            <w:hideMark/>
          </w:tcPr>
          <w:p w14:paraId="181F44D5" w14:textId="77777777" w:rsidR="003A053D" w:rsidRPr="00C649FA" w:rsidRDefault="003A053D" w:rsidP="00205DEE">
            <w:pPr>
              <w:rPr>
                <w:color w:val="000000"/>
              </w:rPr>
            </w:pPr>
            <w:r w:rsidRPr="00C649FA">
              <w:rPr>
                <w:color w:val="000000"/>
              </w:rPr>
              <w:t>Students with Disabilities</w:t>
            </w:r>
          </w:p>
        </w:tc>
        <w:tc>
          <w:tcPr>
            <w:tcW w:w="1614" w:type="dxa"/>
            <w:noWrap/>
            <w:vAlign w:val="bottom"/>
          </w:tcPr>
          <w:p w14:paraId="02A061FF" w14:textId="77777777" w:rsidR="003A053D" w:rsidRPr="00C649FA" w:rsidRDefault="003A053D" w:rsidP="00205DEE">
            <w:pPr>
              <w:jc w:val="center"/>
              <w:rPr>
                <w:color w:val="000000"/>
              </w:rPr>
            </w:pPr>
            <w:r w:rsidRPr="00C649FA">
              <w:rPr>
                <w:color w:val="000000"/>
              </w:rPr>
              <w:t>18.7%</w:t>
            </w:r>
          </w:p>
        </w:tc>
        <w:tc>
          <w:tcPr>
            <w:tcW w:w="1366" w:type="dxa"/>
            <w:noWrap/>
            <w:vAlign w:val="bottom"/>
          </w:tcPr>
          <w:p w14:paraId="5DDC131B" w14:textId="77777777" w:rsidR="003A053D" w:rsidRPr="00C649FA" w:rsidRDefault="003A053D" w:rsidP="00205DEE">
            <w:pPr>
              <w:jc w:val="center"/>
              <w:rPr>
                <w:color w:val="000000"/>
              </w:rPr>
            </w:pPr>
            <w:r w:rsidRPr="00C649FA">
              <w:rPr>
                <w:color w:val="000000"/>
              </w:rPr>
              <w:t>Low</w:t>
            </w:r>
          </w:p>
        </w:tc>
        <w:tc>
          <w:tcPr>
            <w:tcW w:w="1620" w:type="dxa"/>
            <w:noWrap/>
            <w:vAlign w:val="bottom"/>
          </w:tcPr>
          <w:p w14:paraId="5ED5D7BD" w14:textId="77777777" w:rsidR="003A053D" w:rsidRPr="00C649FA" w:rsidRDefault="003A053D" w:rsidP="00205DEE">
            <w:pPr>
              <w:jc w:val="center"/>
              <w:rPr>
                <w:color w:val="000000"/>
              </w:rPr>
            </w:pPr>
            <w:r w:rsidRPr="00C649FA">
              <w:rPr>
                <w:color w:val="000000"/>
              </w:rPr>
              <w:t>3.3</w:t>
            </w:r>
          </w:p>
        </w:tc>
        <w:tc>
          <w:tcPr>
            <w:tcW w:w="1500" w:type="dxa"/>
            <w:noWrap/>
            <w:vAlign w:val="bottom"/>
          </w:tcPr>
          <w:p w14:paraId="4CC251D7" w14:textId="77777777" w:rsidR="003A053D" w:rsidRPr="00C649FA" w:rsidRDefault="003A053D" w:rsidP="00205DEE">
            <w:pPr>
              <w:jc w:val="center"/>
              <w:rPr>
                <w:color w:val="000000"/>
              </w:rPr>
            </w:pPr>
            <w:r w:rsidRPr="00C649FA">
              <w:rPr>
                <w:color w:val="000000"/>
              </w:rPr>
              <w:t>Increased</w:t>
            </w:r>
          </w:p>
        </w:tc>
        <w:tc>
          <w:tcPr>
            <w:tcW w:w="1375" w:type="dxa"/>
            <w:shd w:val="clear" w:color="auto" w:fill="FFFF00"/>
            <w:noWrap/>
            <w:vAlign w:val="bottom"/>
          </w:tcPr>
          <w:p w14:paraId="55CA7953" w14:textId="77777777" w:rsidR="003A053D" w:rsidRPr="00C649FA" w:rsidRDefault="003A053D" w:rsidP="00205DEE">
            <w:pPr>
              <w:jc w:val="center"/>
              <w:rPr>
                <w:color w:val="FFFFFF"/>
              </w:rPr>
            </w:pPr>
            <w:r w:rsidRPr="00C649FA">
              <w:rPr>
                <w:color w:val="000000"/>
              </w:rPr>
              <w:t>Yellow</w:t>
            </w:r>
          </w:p>
        </w:tc>
      </w:tr>
      <w:tr w:rsidR="003A053D" w:rsidRPr="001E3656" w14:paraId="0A6B77C9" w14:textId="77777777" w:rsidTr="000650FE">
        <w:trPr>
          <w:cantSplit/>
          <w:trHeight w:val="308"/>
        </w:trPr>
        <w:tc>
          <w:tcPr>
            <w:tcW w:w="2235" w:type="dxa"/>
            <w:noWrap/>
            <w:vAlign w:val="bottom"/>
          </w:tcPr>
          <w:p w14:paraId="5377DD15" w14:textId="77777777" w:rsidR="003A053D" w:rsidRPr="00C649FA" w:rsidRDefault="003A053D" w:rsidP="00205DEE">
            <w:pPr>
              <w:rPr>
                <w:color w:val="000000"/>
              </w:rPr>
            </w:pPr>
            <w:r w:rsidRPr="00C649FA">
              <w:rPr>
                <w:color w:val="000000" w:themeColor="text1"/>
              </w:rPr>
              <w:t>Long-Term English Learners</w:t>
            </w:r>
          </w:p>
        </w:tc>
        <w:tc>
          <w:tcPr>
            <w:tcW w:w="1614" w:type="dxa"/>
            <w:noWrap/>
            <w:vAlign w:val="bottom"/>
          </w:tcPr>
          <w:p w14:paraId="3869471F" w14:textId="77777777" w:rsidR="003A053D" w:rsidRPr="00C649FA" w:rsidRDefault="003A053D" w:rsidP="00205DEE">
            <w:pPr>
              <w:jc w:val="center"/>
              <w:rPr>
                <w:color w:val="000000"/>
              </w:rPr>
            </w:pPr>
            <w:r w:rsidRPr="00C649FA">
              <w:rPr>
                <w:color w:val="000000"/>
              </w:rPr>
              <w:t>24.9%</w:t>
            </w:r>
          </w:p>
        </w:tc>
        <w:tc>
          <w:tcPr>
            <w:tcW w:w="1366" w:type="dxa"/>
            <w:noWrap/>
            <w:vAlign w:val="bottom"/>
          </w:tcPr>
          <w:p w14:paraId="39DA3798" w14:textId="77777777" w:rsidR="003A053D" w:rsidRPr="00C649FA" w:rsidRDefault="003A053D" w:rsidP="00205DEE">
            <w:pPr>
              <w:jc w:val="center"/>
              <w:rPr>
                <w:color w:val="000000"/>
              </w:rPr>
            </w:pPr>
            <w:r w:rsidRPr="00C649FA">
              <w:rPr>
                <w:color w:val="000000"/>
              </w:rPr>
              <w:t>Low</w:t>
            </w:r>
          </w:p>
        </w:tc>
        <w:tc>
          <w:tcPr>
            <w:tcW w:w="1620" w:type="dxa"/>
            <w:noWrap/>
            <w:vAlign w:val="bottom"/>
          </w:tcPr>
          <w:p w14:paraId="03939911" w14:textId="77777777" w:rsidR="003A053D" w:rsidRPr="00C649FA" w:rsidRDefault="003A053D" w:rsidP="00205DEE">
            <w:pPr>
              <w:jc w:val="center"/>
              <w:rPr>
                <w:color w:val="000000"/>
              </w:rPr>
            </w:pPr>
            <w:r w:rsidRPr="00C649FA">
              <w:rPr>
                <w:color w:val="000000"/>
              </w:rPr>
              <w:t>5.1</w:t>
            </w:r>
          </w:p>
        </w:tc>
        <w:tc>
          <w:tcPr>
            <w:tcW w:w="1500" w:type="dxa"/>
            <w:noWrap/>
            <w:vAlign w:val="bottom"/>
          </w:tcPr>
          <w:p w14:paraId="5063C24B" w14:textId="77777777" w:rsidR="003A053D" w:rsidRPr="00C649FA" w:rsidRDefault="003A053D" w:rsidP="00205DEE">
            <w:pPr>
              <w:jc w:val="center"/>
              <w:rPr>
                <w:color w:val="000000"/>
              </w:rPr>
            </w:pPr>
            <w:r w:rsidRPr="00C649FA">
              <w:rPr>
                <w:color w:val="000000"/>
              </w:rPr>
              <w:t>Increased</w:t>
            </w:r>
          </w:p>
        </w:tc>
        <w:tc>
          <w:tcPr>
            <w:tcW w:w="1375" w:type="dxa"/>
            <w:shd w:val="clear" w:color="auto" w:fill="FFFF00"/>
            <w:noWrap/>
            <w:vAlign w:val="bottom"/>
          </w:tcPr>
          <w:p w14:paraId="1E219C07" w14:textId="77777777" w:rsidR="003A053D" w:rsidRPr="00C649FA" w:rsidRDefault="003A053D" w:rsidP="00205DEE">
            <w:pPr>
              <w:jc w:val="center"/>
              <w:rPr>
                <w:color w:val="000000"/>
              </w:rPr>
            </w:pPr>
            <w:r w:rsidRPr="00C649FA">
              <w:rPr>
                <w:color w:val="000000"/>
              </w:rPr>
              <w:t>Yellow</w:t>
            </w:r>
          </w:p>
        </w:tc>
      </w:tr>
    </w:tbl>
    <w:p w14:paraId="57DF192F" w14:textId="77777777" w:rsidR="003A053D" w:rsidRPr="001E3656" w:rsidRDefault="003A053D" w:rsidP="003A053D">
      <w:pPr>
        <w:rPr>
          <w:rFonts w:eastAsiaTheme="majorEastAsia"/>
          <w:color w:val="2E74B5" w:themeColor="accent1" w:themeShade="BF"/>
          <w:sz w:val="26"/>
          <w:szCs w:val="26"/>
        </w:rPr>
      </w:pPr>
      <w:bookmarkStart w:id="4" w:name="_Toc149483599"/>
      <w:r w:rsidRPr="001E3656">
        <w:br w:type="page"/>
      </w:r>
    </w:p>
    <w:p w14:paraId="24D5FEA3" w14:textId="659E29F8" w:rsidR="003A053D" w:rsidRPr="006F1E54" w:rsidRDefault="003A053D" w:rsidP="00FA2D7D">
      <w:pPr>
        <w:pStyle w:val="Heading5"/>
      </w:pPr>
      <w:bookmarkStart w:id="5" w:name="_Toc216087484"/>
      <w:bookmarkEnd w:id="4"/>
      <w:r w:rsidRPr="006F1E54">
        <w:lastRenderedPageBreak/>
        <w:t>Graph 1: Four Student Groups have CCI Rates Above the State Average</w:t>
      </w:r>
      <w:bookmarkEnd w:id="5"/>
    </w:p>
    <w:p w14:paraId="40966F88" w14:textId="77777777" w:rsidR="003A053D" w:rsidRPr="001E3656" w:rsidRDefault="003A053D" w:rsidP="003A053D">
      <w:r w:rsidRPr="001E3656">
        <w:rPr>
          <w:noProof/>
        </w:rPr>
        <w:drawing>
          <wp:inline distT="0" distB="0" distL="0" distR="0" wp14:anchorId="1AB11EDA" wp14:editId="76362011">
            <wp:extent cx="5880735" cy="7031182"/>
            <wp:effectExtent l="0" t="0" r="5715" b="17780"/>
            <wp:docPr id="1016094197" name="Chart 1" descr="Graph 1: Four Student Groups have CCI Rates Above the State Average. The data displayed is fully described in the previous table titled &quot;Table 1: 2024-25 CCI by Student Group&quot;">
              <a:extLst xmlns:a="http://schemas.openxmlformats.org/drawingml/2006/main">
                <a:ext uri="{FF2B5EF4-FFF2-40B4-BE49-F238E27FC236}">
                  <a16:creationId xmlns:a16="http://schemas.microsoft.com/office/drawing/2014/main" id="{9FF3E94B-FD34-737B-EB99-13C0E92C55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664196B6" w14:textId="3BB3B850" w:rsidR="000A4CCC" w:rsidRDefault="000A4CCC">
      <w:pPr>
        <w:spacing w:after="160" w:line="259" w:lineRule="auto"/>
      </w:pPr>
      <w:r>
        <w:br w:type="page"/>
      </w:r>
    </w:p>
    <w:p w14:paraId="0E677CFD" w14:textId="77777777" w:rsidR="003A053D" w:rsidRPr="000F10B8" w:rsidRDefault="003A053D" w:rsidP="000F10B8">
      <w:pPr>
        <w:pStyle w:val="Heading4"/>
      </w:pPr>
      <w:bookmarkStart w:id="6" w:name="_Toc216087486"/>
      <w:r w:rsidRPr="000F10B8">
        <w:lastRenderedPageBreak/>
        <w:t>CCI</w:t>
      </w:r>
      <w:bookmarkStart w:id="7" w:name="_Toc149483603"/>
      <w:r w:rsidRPr="000F10B8">
        <w:t xml:space="preserve"> District Results</w:t>
      </w:r>
      <w:bookmarkEnd w:id="6"/>
      <w:bookmarkEnd w:id="7"/>
    </w:p>
    <w:p w14:paraId="3332A1E5" w14:textId="77777777" w:rsidR="003A053D" w:rsidRPr="00963EA8" w:rsidRDefault="003A053D" w:rsidP="00FA2D7D">
      <w:pPr>
        <w:pStyle w:val="Heading5"/>
      </w:pPr>
      <w:bookmarkStart w:id="8" w:name="_Toc149483604"/>
      <w:bookmarkStart w:id="9" w:name="_Toc216087487"/>
      <w:r w:rsidRPr="00963EA8">
        <w:t xml:space="preserve">Table </w:t>
      </w:r>
      <w:r>
        <w:t>2:</w:t>
      </w:r>
      <w:r w:rsidRPr="00963EA8">
        <w:t xml:space="preserve"> 2024</w:t>
      </w:r>
      <w:r>
        <w:t>–</w:t>
      </w:r>
      <w:r w:rsidRPr="00963EA8">
        <w:t xml:space="preserve">25 CCI District Performance Level (Color) Results in Five-by-Five </w:t>
      </w:r>
      <w:bookmarkEnd w:id="8"/>
      <w:r w:rsidRPr="00963EA8">
        <w:t>Colored Table</w:t>
      </w:r>
      <w:bookmarkEnd w:id="9"/>
    </w:p>
    <w:tbl>
      <w:tblPr>
        <w:tblW w:w="10165" w:type="dxa"/>
        <w:tblLayout w:type="fixed"/>
        <w:tblLook w:val="0420" w:firstRow="1" w:lastRow="0" w:firstColumn="0" w:lastColumn="0" w:noHBand="0" w:noVBand="1"/>
        <w:tblDescription w:val="Table 2: 2024–25 CCI District Performance Level (Color) Results in Five-by-Five Colored Table"/>
      </w:tblPr>
      <w:tblGrid>
        <w:gridCol w:w="1525"/>
        <w:gridCol w:w="1890"/>
        <w:gridCol w:w="1595"/>
        <w:gridCol w:w="1825"/>
        <w:gridCol w:w="1534"/>
        <w:gridCol w:w="1796"/>
      </w:tblGrid>
      <w:tr w:rsidR="003A053D" w:rsidRPr="001E3656" w14:paraId="69BE134A" w14:textId="77777777" w:rsidTr="000650FE">
        <w:trPr>
          <w:cantSplit/>
          <w:trHeight w:val="1240"/>
          <w:tblHeader/>
        </w:trPr>
        <w:tc>
          <w:tcPr>
            <w:tcW w:w="1525" w:type="dxa"/>
            <w:tcBorders>
              <w:top w:val="single" w:sz="4" w:space="0" w:color="auto"/>
              <w:left w:val="single" w:sz="4" w:space="0" w:color="auto"/>
              <w:bottom w:val="single" w:sz="4" w:space="0" w:color="auto"/>
              <w:right w:val="single" w:sz="4" w:space="0" w:color="auto"/>
            </w:tcBorders>
            <w:vAlign w:val="center"/>
            <w:hideMark/>
          </w:tcPr>
          <w:p w14:paraId="38799992" w14:textId="77777777" w:rsidR="003A053D" w:rsidRPr="001E3656" w:rsidRDefault="003A053D" w:rsidP="00205DEE">
            <w:pPr>
              <w:jc w:val="center"/>
              <w:rPr>
                <w:b/>
              </w:rPr>
            </w:pPr>
            <w:r w:rsidRPr="001E3656">
              <w:rPr>
                <w:b/>
              </w:rPr>
              <w:t>Level</w:t>
            </w:r>
          </w:p>
        </w:tc>
        <w:tc>
          <w:tcPr>
            <w:tcW w:w="1890" w:type="dxa"/>
            <w:tcBorders>
              <w:top w:val="single" w:sz="4" w:space="0" w:color="auto"/>
              <w:left w:val="nil"/>
              <w:bottom w:val="single" w:sz="4" w:space="0" w:color="auto"/>
              <w:right w:val="single" w:sz="4" w:space="0" w:color="auto"/>
            </w:tcBorders>
            <w:vAlign w:val="center"/>
            <w:hideMark/>
          </w:tcPr>
          <w:p w14:paraId="2C05458A" w14:textId="77777777" w:rsidR="003A053D" w:rsidRPr="001E3656" w:rsidRDefault="003A053D" w:rsidP="00205DEE">
            <w:pPr>
              <w:jc w:val="center"/>
              <w:rPr>
                <w:b/>
              </w:rPr>
            </w:pPr>
            <w:r w:rsidRPr="00C649FA">
              <w:rPr>
                <w:rStyle w:val="normaltextrun"/>
                <w:b/>
              </w:rPr>
              <w:t>Declined Significantly</w:t>
            </w:r>
          </w:p>
        </w:tc>
        <w:tc>
          <w:tcPr>
            <w:tcW w:w="1595" w:type="dxa"/>
            <w:tcBorders>
              <w:top w:val="single" w:sz="4" w:space="0" w:color="auto"/>
              <w:left w:val="nil"/>
              <w:bottom w:val="single" w:sz="4" w:space="0" w:color="auto"/>
              <w:right w:val="single" w:sz="4" w:space="0" w:color="auto"/>
            </w:tcBorders>
            <w:vAlign w:val="center"/>
            <w:hideMark/>
          </w:tcPr>
          <w:p w14:paraId="61498E41" w14:textId="77777777" w:rsidR="003A053D" w:rsidRPr="001E3656" w:rsidRDefault="003A053D" w:rsidP="00205DEE">
            <w:pPr>
              <w:jc w:val="center"/>
              <w:rPr>
                <w:b/>
              </w:rPr>
            </w:pPr>
            <w:r w:rsidRPr="00C649FA">
              <w:rPr>
                <w:rStyle w:val="normaltextrun"/>
                <w:b/>
              </w:rPr>
              <w:t>Decline</w:t>
            </w:r>
            <w:r>
              <w:rPr>
                <w:rStyle w:val="normaltextrun"/>
                <w:b/>
              </w:rPr>
              <w:t>d</w:t>
            </w:r>
          </w:p>
        </w:tc>
        <w:tc>
          <w:tcPr>
            <w:tcW w:w="1825" w:type="dxa"/>
            <w:tcBorders>
              <w:top w:val="single" w:sz="4" w:space="0" w:color="auto"/>
              <w:left w:val="nil"/>
              <w:bottom w:val="single" w:sz="4" w:space="0" w:color="auto"/>
              <w:right w:val="single" w:sz="4" w:space="0" w:color="auto"/>
            </w:tcBorders>
            <w:vAlign w:val="center"/>
            <w:hideMark/>
          </w:tcPr>
          <w:p w14:paraId="5DE34C9F" w14:textId="77777777" w:rsidR="003A053D" w:rsidRPr="001E3656" w:rsidRDefault="003A053D" w:rsidP="00205DEE">
            <w:pPr>
              <w:jc w:val="center"/>
              <w:rPr>
                <w:b/>
              </w:rPr>
            </w:pPr>
            <w:r w:rsidRPr="00C649FA">
              <w:rPr>
                <w:rStyle w:val="normaltextrun"/>
                <w:b/>
              </w:rPr>
              <w:t>Maintained</w:t>
            </w:r>
          </w:p>
        </w:tc>
        <w:tc>
          <w:tcPr>
            <w:tcW w:w="1534" w:type="dxa"/>
            <w:tcBorders>
              <w:top w:val="single" w:sz="4" w:space="0" w:color="auto"/>
              <w:left w:val="nil"/>
              <w:bottom w:val="single" w:sz="4" w:space="0" w:color="auto"/>
              <w:right w:val="single" w:sz="4" w:space="0" w:color="auto"/>
            </w:tcBorders>
            <w:vAlign w:val="center"/>
            <w:hideMark/>
          </w:tcPr>
          <w:p w14:paraId="73FF5703" w14:textId="77777777" w:rsidR="003A053D" w:rsidRPr="001E3656" w:rsidRDefault="003A053D" w:rsidP="00205DEE">
            <w:pPr>
              <w:jc w:val="center"/>
              <w:rPr>
                <w:b/>
              </w:rPr>
            </w:pPr>
            <w:r w:rsidRPr="00C649FA">
              <w:rPr>
                <w:rStyle w:val="normaltextrun"/>
                <w:b/>
              </w:rPr>
              <w:t>Increased</w:t>
            </w:r>
          </w:p>
        </w:tc>
        <w:tc>
          <w:tcPr>
            <w:tcW w:w="1796" w:type="dxa"/>
            <w:tcBorders>
              <w:top w:val="single" w:sz="4" w:space="0" w:color="auto"/>
              <w:left w:val="nil"/>
              <w:bottom w:val="single" w:sz="4" w:space="0" w:color="auto"/>
              <w:right w:val="single" w:sz="4" w:space="0" w:color="auto"/>
            </w:tcBorders>
            <w:vAlign w:val="center"/>
            <w:hideMark/>
          </w:tcPr>
          <w:p w14:paraId="25B9F378" w14:textId="77777777" w:rsidR="003A053D" w:rsidRPr="001E3656" w:rsidRDefault="003A053D" w:rsidP="00205DEE">
            <w:pPr>
              <w:jc w:val="center"/>
              <w:rPr>
                <w:b/>
              </w:rPr>
            </w:pPr>
            <w:r w:rsidRPr="00C649FA">
              <w:rPr>
                <w:rStyle w:val="normaltextrun"/>
                <w:b/>
              </w:rPr>
              <w:t>Increased Significantly</w:t>
            </w:r>
          </w:p>
        </w:tc>
      </w:tr>
      <w:tr w:rsidR="003A053D" w:rsidRPr="001E3656" w14:paraId="589FA4A7"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3BF6EFC6" w14:textId="77777777" w:rsidR="003A053D" w:rsidRPr="00C649FA" w:rsidRDefault="003A053D" w:rsidP="00205DEE">
            <w:pPr>
              <w:pStyle w:val="paragraph"/>
              <w:spacing w:before="0" w:beforeAutospacing="0" w:after="0" w:afterAutospacing="0"/>
              <w:jc w:val="center"/>
              <w:textAlignment w:val="baseline"/>
              <w:rPr>
                <w:rFonts w:ascii="Arial" w:hAnsi="Arial" w:cs="Arial"/>
                <w:b/>
              </w:rPr>
            </w:pPr>
            <w:r w:rsidRPr="001E3656">
              <w:rPr>
                <w:rStyle w:val="normaltextrun"/>
                <w:rFonts w:ascii="Arial" w:hAnsi="Arial" w:cs="Arial"/>
                <w:b/>
                <w:bCs/>
              </w:rPr>
              <w:t>Very High</w:t>
            </w:r>
          </w:p>
        </w:tc>
        <w:tc>
          <w:tcPr>
            <w:tcW w:w="1890" w:type="dxa"/>
            <w:tcBorders>
              <w:top w:val="nil"/>
              <w:left w:val="nil"/>
              <w:bottom w:val="single" w:sz="4" w:space="0" w:color="auto"/>
              <w:right w:val="single" w:sz="4" w:space="0" w:color="auto"/>
            </w:tcBorders>
            <w:shd w:val="clear" w:color="auto" w:fill="FFFF00"/>
            <w:vAlign w:val="center"/>
          </w:tcPr>
          <w:p w14:paraId="0B595C5E" w14:textId="77777777" w:rsidR="003A053D" w:rsidRPr="001E3656" w:rsidRDefault="003A053D" w:rsidP="00205DEE">
            <w:pPr>
              <w:jc w:val="center"/>
            </w:pPr>
            <w:r w:rsidRPr="00C649FA">
              <w:rPr>
                <w:color w:val="000000"/>
              </w:rPr>
              <w:t>0</w:t>
            </w:r>
            <w:r w:rsidRPr="00C649FA">
              <w:rPr>
                <w:color w:val="000000"/>
              </w:rPr>
              <w:br/>
              <w:t>(0.0%)</w:t>
            </w:r>
          </w:p>
        </w:tc>
        <w:tc>
          <w:tcPr>
            <w:tcW w:w="1595" w:type="dxa"/>
            <w:tcBorders>
              <w:top w:val="nil"/>
              <w:left w:val="nil"/>
              <w:bottom w:val="single" w:sz="4" w:space="0" w:color="auto"/>
              <w:right w:val="single" w:sz="4" w:space="0" w:color="auto"/>
            </w:tcBorders>
            <w:shd w:val="clear" w:color="000000" w:fill="006500"/>
            <w:vAlign w:val="center"/>
          </w:tcPr>
          <w:p w14:paraId="7E394907" w14:textId="77777777" w:rsidR="003A053D" w:rsidRPr="001E3656" w:rsidRDefault="003A053D" w:rsidP="00205DEE">
            <w:pPr>
              <w:jc w:val="center"/>
              <w:rPr>
                <w:color w:val="FFFFFF"/>
              </w:rPr>
            </w:pPr>
            <w:r w:rsidRPr="00C649FA">
              <w:rPr>
                <w:color w:val="FFFFFF"/>
              </w:rPr>
              <w:t>3</w:t>
            </w:r>
            <w:r w:rsidRPr="00C649FA">
              <w:rPr>
                <w:color w:val="FFFFFF"/>
              </w:rPr>
              <w:br/>
              <w:t>(0.7%)</w:t>
            </w:r>
          </w:p>
        </w:tc>
        <w:tc>
          <w:tcPr>
            <w:tcW w:w="1825" w:type="dxa"/>
            <w:tcBorders>
              <w:top w:val="nil"/>
              <w:left w:val="nil"/>
              <w:bottom w:val="single" w:sz="4" w:space="0" w:color="auto"/>
              <w:right w:val="single" w:sz="4" w:space="0" w:color="auto"/>
            </w:tcBorders>
            <w:shd w:val="clear" w:color="000000" w:fill="0000FF"/>
            <w:vAlign w:val="center"/>
          </w:tcPr>
          <w:p w14:paraId="76B38B4C" w14:textId="77777777" w:rsidR="003A053D" w:rsidRPr="001E3656" w:rsidRDefault="003A053D" w:rsidP="00205DEE">
            <w:pPr>
              <w:jc w:val="center"/>
              <w:rPr>
                <w:color w:val="FFFFFF"/>
              </w:rPr>
            </w:pPr>
            <w:r w:rsidRPr="00C649FA">
              <w:rPr>
                <w:color w:val="FFFFFF"/>
              </w:rPr>
              <w:t>20</w:t>
            </w:r>
            <w:r w:rsidRPr="00C649FA">
              <w:rPr>
                <w:color w:val="FFFFFF"/>
              </w:rPr>
              <w:br/>
              <w:t>(4.9%)</w:t>
            </w:r>
          </w:p>
        </w:tc>
        <w:tc>
          <w:tcPr>
            <w:tcW w:w="1534" w:type="dxa"/>
            <w:tcBorders>
              <w:top w:val="nil"/>
              <w:left w:val="nil"/>
              <w:bottom w:val="single" w:sz="4" w:space="0" w:color="auto"/>
              <w:right w:val="single" w:sz="4" w:space="0" w:color="auto"/>
            </w:tcBorders>
            <w:shd w:val="clear" w:color="000000" w:fill="0000FF"/>
            <w:vAlign w:val="center"/>
          </w:tcPr>
          <w:p w14:paraId="60F3E941" w14:textId="77777777" w:rsidR="003A053D" w:rsidRPr="001E3656" w:rsidRDefault="003A053D" w:rsidP="00205DEE">
            <w:pPr>
              <w:jc w:val="center"/>
              <w:rPr>
                <w:color w:val="FFFFFF"/>
              </w:rPr>
            </w:pPr>
            <w:r w:rsidRPr="00C649FA">
              <w:rPr>
                <w:color w:val="FFFFFF"/>
              </w:rPr>
              <w:t>25</w:t>
            </w:r>
            <w:r w:rsidRPr="00C649FA">
              <w:rPr>
                <w:color w:val="FFFFFF"/>
              </w:rPr>
              <w:br/>
              <w:t>(6.2%)</w:t>
            </w:r>
          </w:p>
        </w:tc>
        <w:tc>
          <w:tcPr>
            <w:tcW w:w="1796" w:type="dxa"/>
            <w:tcBorders>
              <w:top w:val="nil"/>
              <w:left w:val="nil"/>
              <w:bottom w:val="single" w:sz="4" w:space="0" w:color="auto"/>
              <w:right w:val="single" w:sz="4" w:space="0" w:color="auto"/>
            </w:tcBorders>
            <w:shd w:val="clear" w:color="000000" w:fill="0000FF"/>
            <w:vAlign w:val="center"/>
          </w:tcPr>
          <w:p w14:paraId="08484C31" w14:textId="77777777" w:rsidR="003A053D" w:rsidRPr="001E3656" w:rsidRDefault="003A053D" w:rsidP="00205DEE">
            <w:pPr>
              <w:jc w:val="center"/>
              <w:rPr>
                <w:color w:val="FFFFFF"/>
              </w:rPr>
            </w:pPr>
            <w:r w:rsidRPr="00C649FA">
              <w:rPr>
                <w:color w:val="FFFFFF"/>
              </w:rPr>
              <w:t>8</w:t>
            </w:r>
            <w:r w:rsidRPr="00C649FA">
              <w:rPr>
                <w:color w:val="FFFFFF"/>
              </w:rPr>
              <w:br/>
              <w:t>(2%)</w:t>
            </w:r>
          </w:p>
        </w:tc>
      </w:tr>
      <w:tr w:rsidR="003A053D" w:rsidRPr="001E3656" w14:paraId="3044D9A9"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7F7C84FD" w14:textId="77777777" w:rsidR="003A053D" w:rsidRPr="001E3656" w:rsidRDefault="003A053D" w:rsidP="00205DEE">
            <w:pPr>
              <w:jc w:val="center"/>
              <w:rPr>
                <w:b/>
              </w:rPr>
            </w:pPr>
            <w:r w:rsidRPr="00C649FA">
              <w:rPr>
                <w:rStyle w:val="normaltextrun"/>
                <w:b/>
              </w:rPr>
              <w:t>High</w:t>
            </w:r>
          </w:p>
        </w:tc>
        <w:tc>
          <w:tcPr>
            <w:tcW w:w="1890" w:type="dxa"/>
            <w:tcBorders>
              <w:top w:val="nil"/>
              <w:left w:val="nil"/>
              <w:bottom w:val="single" w:sz="4" w:space="0" w:color="auto"/>
              <w:right w:val="single" w:sz="4" w:space="0" w:color="auto"/>
            </w:tcBorders>
            <w:shd w:val="clear" w:color="auto" w:fill="FFA500"/>
            <w:vAlign w:val="center"/>
          </w:tcPr>
          <w:p w14:paraId="6706D472" w14:textId="77777777" w:rsidR="003A053D" w:rsidRPr="001E3656" w:rsidRDefault="003A053D" w:rsidP="00205DEE">
            <w:pPr>
              <w:jc w:val="center"/>
            </w:pPr>
            <w:r w:rsidRPr="00C649FA">
              <w:rPr>
                <w:color w:val="000000"/>
              </w:rPr>
              <w:t>0</w:t>
            </w:r>
            <w:r w:rsidRPr="00C649FA">
              <w:rPr>
                <w:color w:val="000000"/>
              </w:rPr>
              <w:br/>
              <w:t>(0.0%)</w:t>
            </w:r>
          </w:p>
        </w:tc>
        <w:tc>
          <w:tcPr>
            <w:tcW w:w="1595" w:type="dxa"/>
            <w:tcBorders>
              <w:top w:val="nil"/>
              <w:left w:val="nil"/>
              <w:bottom w:val="single" w:sz="4" w:space="0" w:color="auto"/>
              <w:right w:val="single" w:sz="4" w:space="0" w:color="auto"/>
            </w:tcBorders>
            <w:shd w:val="clear" w:color="auto" w:fill="FFFF00"/>
            <w:vAlign w:val="center"/>
          </w:tcPr>
          <w:p w14:paraId="0C11010B" w14:textId="77777777" w:rsidR="003A053D" w:rsidRPr="001E3656" w:rsidRDefault="003A053D" w:rsidP="00205DEE">
            <w:pPr>
              <w:jc w:val="center"/>
            </w:pPr>
            <w:r w:rsidRPr="00C649FA">
              <w:rPr>
                <w:color w:val="000000"/>
              </w:rPr>
              <w:t>6</w:t>
            </w:r>
            <w:r w:rsidRPr="00C649FA">
              <w:rPr>
                <w:color w:val="000000"/>
              </w:rPr>
              <w:br/>
              <w:t>(1.5%)</w:t>
            </w:r>
          </w:p>
        </w:tc>
        <w:tc>
          <w:tcPr>
            <w:tcW w:w="1825" w:type="dxa"/>
            <w:tcBorders>
              <w:top w:val="nil"/>
              <w:left w:val="nil"/>
              <w:bottom w:val="single" w:sz="4" w:space="0" w:color="auto"/>
              <w:right w:val="single" w:sz="4" w:space="0" w:color="auto"/>
            </w:tcBorders>
            <w:shd w:val="clear" w:color="000000" w:fill="006500"/>
            <w:vAlign w:val="center"/>
          </w:tcPr>
          <w:p w14:paraId="0361BE7E" w14:textId="77777777" w:rsidR="003A053D" w:rsidRPr="001E3656" w:rsidRDefault="003A053D" w:rsidP="00205DEE">
            <w:pPr>
              <w:jc w:val="center"/>
              <w:rPr>
                <w:color w:val="FFFFFF"/>
              </w:rPr>
            </w:pPr>
            <w:r w:rsidRPr="00C649FA">
              <w:rPr>
                <w:color w:val="FFFFFF"/>
              </w:rPr>
              <w:t>26</w:t>
            </w:r>
            <w:r w:rsidRPr="00C649FA">
              <w:rPr>
                <w:color w:val="FFFFFF"/>
              </w:rPr>
              <w:br/>
              <w:t>(6.4%)</w:t>
            </w:r>
          </w:p>
        </w:tc>
        <w:tc>
          <w:tcPr>
            <w:tcW w:w="1534" w:type="dxa"/>
            <w:tcBorders>
              <w:top w:val="nil"/>
              <w:left w:val="nil"/>
              <w:bottom w:val="single" w:sz="4" w:space="0" w:color="auto"/>
              <w:right w:val="single" w:sz="4" w:space="0" w:color="auto"/>
            </w:tcBorders>
            <w:shd w:val="clear" w:color="000000" w:fill="006500"/>
            <w:vAlign w:val="center"/>
          </w:tcPr>
          <w:p w14:paraId="57D5A3CA" w14:textId="77777777" w:rsidR="003A053D" w:rsidRPr="001E3656" w:rsidRDefault="003A053D" w:rsidP="00205DEE">
            <w:pPr>
              <w:jc w:val="center"/>
              <w:rPr>
                <w:color w:val="FFFFFF"/>
              </w:rPr>
            </w:pPr>
            <w:r w:rsidRPr="00C649FA">
              <w:rPr>
                <w:color w:val="FFFFFF"/>
              </w:rPr>
              <w:t>57</w:t>
            </w:r>
            <w:r w:rsidRPr="00C649FA">
              <w:rPr>
                <w:color w:val="FFFFFF"/>
              </w:rPr>
              <w:br/>
              <w:t>(14.1%)</w:t>
            </w:r>
          </w:p>
        </w:tc>
        <w:tc>
          <w:tcPr>
            <w:tcW w:w="1796" w:type="dxa"/>
            <w:tcBorders>
              <w:top w:val="nil"/>
              <w:left w:val="nil"/>
              <w:bottom w:val="single" w:sz="4" w:space="0" w:color="auto"/>
              <w:right w:val="single" w:sz="4" w:space="0" w:color="auto"/>
            </w:tcBorders>
            <w:shd w:val="clear" w:color="000000" w:fill="0000FF"/>
            <w:vAlign w:val="center"/>
          </w:tcPr>
          <w:p w14:paraId="39F9692E" w14:textId="77777777" w:rsidR="003A053D" w:rsidRPr="001E3656" w:rsidRDefault="003A053D" w:rsidP="00205DEE">
            <w:pPr>
              <w:jc w:val="center"/>
              <w:rPr>
                <w:color w:val="FFFFFF"/>
              </w:rPr>
            </w:pPr>
            <w:r w:rsidRPr="00C649FA">
              <w:rPr>
                <w:color w:val="FFFFFF"/>
              </w:rPr>
              <w:t>9</w:t>
            </w:r>
            <w:r w:rsidRPr="00C649FA">
              <w:rPr>
                <w:color w:val="FFFFFF"/>
              </w:rPr>
              <w:br/>
              <w:t>(2.2%)</w:t>
            </w:r>
          </w:p>
        </w:tc>
      </w:tr>
      <w:tr w:rsidR="003A053D" w:rsidRPr="001E3656" w14:paraId="393A3120"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5C5EFAF7" w14:textId="77777777" w:rsidR="003A053D" w:rsidRPr="00C649FA" w:rsidRDefault="003A053D" w:rsidP="00205DEE">
            <w:pPr>
              <w:pStyle w:val="paragraph"/>
              <w:spacing w:before="0" w:beforeAutospacing="0" w:after="0" w:afterAutospacing="0"/>
              <w:jc w:val="center"/>
              <w:textAlignment w:val="baseline"/>
              <w:rPr>
                <w:rFonts w:ascii="Arial" w:hAnsi="Arial" w:cs="Arial"/>
                <w:b/>
              </w:rPr>
            </w:pPr>
            <w:r w:rsidRPr="001E3656">
              <w:rPr>
                <w:rStyle w:val="normaltextrun"/>
                <w:rFonts w:ascii="Arial" w:hAnsi="Arial" w:cs="Arial"/>
                <w:b/>
                <w:bCs/>
              </w:rPr>
              <w:t>Medium</w:t>
            </w:r>
          </w:p>
        </w:tc>
        <w:tc>
          <w:tcPr>
            <w:tcW w:w="1890" w:type="dxa"/>
            <w:tcBorders>
              <w:top w:val="nil"/>
              <w:left w:val="nil"/>
              <w:bottom w:val="single" w:sz="4" w:space="0" w:color="auto"/>
              <w:right w:val="single" w:sz="4" w:space="0" w:color="auto"/>
            </w:tcBorders>
            <w:shd w:val="clear" w:color="auto" w:fill="FFA500"/>
            <w:vAlign w:val="center"/>
          </w:tcPr>
          <w:p w14:paraId="42CEB603" w14:textId="77777777" w:rsidR="003A053D" w:rsidRPr="001E3656" w:rsidRDefault="003A053D" w:rsidP="00205DEE">
            <w:pPr>
              <w:jc w:val="center"/>
            </w:pPr>
            <w:r w:rsidRPr="00C649FA">
              <w:t>1</w:t>
            </w:r>
            <w:r w:rsidRPr="00C649FA">
              <w:br/>
              <w:t>(0.2%)</w:t>
            </w:r>
          </w:p>
        </w:tc>
        <w:tc>
          <w:tcPr>
            <w:tcW w:w="1595" w:type="dxa"/>
            <w:tcBorders>
              <w:top w:val="nil"/>
              <w:left w:val="nil"/>
              <w:bottom w:val="single" w:sz="4" w:space="0" w:color="auto"/>
              <w:right w:val="single" w:sz="4" w:space="0" w:color="auto"/>
            </w:tcBorders>
            <w:shd w:val="clear" w:color="auto" w:fill="FFA500"/>
            <w:vAlign w:val="center"/>
          </w:tcPr>
          <w:p w14:paraId="0F297A98" w14:textId="77777777" w:rsidR="003A053D" w:rsidRPr="001E3656" w:rsidRDefault="003A053D" w:rsidP="00205DEE">
            <w:pPr>
              <w:jc w:val="center"/>
            </w:pPr>
            <w:r w:rsidRPr="00C649FA">
              <w:t>19</w:t>
            </w:r>
            <w:r w:rsidRPr="00C649FA">
              <w:br/>
              <w:t>(4.7%)</w:t>
            </w:r>
          </w:p>
        </w:tc>
        <w:tc>
          <w:tcPr>
            <w:tcW w:w="1825" w:type="dxa"/>
            <w:tcBorders>
              <w:top w:val="nil"/>
              <w:left w:val="nil"/>
              <w:bottom w:val="single" w:sz="4" w:space="0" w:color="auto"/>
              <w:right w:val="single" w:sz="4" w:space="0" w:color="auto"/>
            </w:tcBorders>
            <w:shd w:val="clear" w:color="000000" w:fill="FFFF00"/>
            <w:vAlign w:val="center"/>
          </w:tcPr>
          <w:p w14:paraId="4550C31B" w14:textId="77777777" w:rsidR="003A053D" w:rsidRPr="001E3656" w:rsidRDefault="003A053D" w:rsidP="00205DEE">
            <w:pPr>
              <w:jc w:val="center"/>
            </w:pPr>
            <w:r w:rsidRPr="00C649FA">
              <w:t>44</w:t>
            </w:r>
            <w:r w:rsidRPr="00C649FA">
              <w:br/>
              <w:t>(10.9%)</w:t>
            </w:r>
          </w:p>
        </w:tc>
        <w:tc>
          <w:tcPr>
            <w:tcW w:w="1534" w:type="dxa"/>
            <w:tcBorders>
              <w:top w:val="nil"/>
              <w:left w:val="nil"/>
              <w:bottom w:val="single" w:sz="4" w:space="0" w:color="auto"/>
              <w:right w:val="single" w:sz="4" w:space="0" w:color="auto"/>
            </w:tcBorders>
            <w:shd w:val="clear" w:color="000000" w:fill="006500"/>
            <w:vAlign w:val="center"/>
          </w:tcPr>
          <w:p w14:paraId="4659AAE4" w14:textId="77777777" w:rsidR="003A053D" w:rsidRPr="001E3656" w:rsidRDefault="003A053D" w:rsidP="00205DEE">
            <w:pPr>
              <w:jc w:val="center"/>
              <w:rPr>
                <w:color w:val="FFFFFF"/>
              </w:rPr>
            </w:pPr>
            <w:r w:rsidRPr="00C649FA">
              <w:rPr>
                <w:color w:val="FFFFFF"/>
              </w:rPr>
              <w:t>113</w:t>
            </w:r>
            <w:r w:rsidRPr="00C649FA">
              <w:rPr>
                <w:color w:val="FFFFFF"/>
              </w:rPr>
              <w:br/>
              <w:t>(27.9%)</w:t>
            </w:r>
          </w:p>
        </w:tc>
        <w:tc>
          <w:tcPr>
            <w:tcW w:w="1796" w:type="dxa"/>
            <w:tcBorders>
              <w:top w:val="nil"/>
              <w:left w:val="nil"/>
              <w:bottom w:val="single" w:sz="4" w:space="0" w:color="auto"/>
              <w:right w:val="single" w:sz="4" w:space="0" w:color="auto"/>
            </w:tcBorders>
            <w:shd w:val="clear" w:color="000000" w:fill="006500"/>
            <w:vAlign w:val="center"/>
          </w:tcPr>
          <w:p w14:paraId="78FDBCA0" w14:textId="77777777" w:rsidR="003A053D" w:rsidRPr="001E3656" w:rsidRDefault="003A053D" w:rsidP="00205DEE">
            <w:pPr>
              <w:jc w:val="center"/>
              <w:rPr>
                <w:color w:val="FFFFFF"/>
              </w:rPr>
            </w:pPr>
            <w:r w:rsidRPr="00C649FA">
              <w:rPr>
                <w:color w:val="FFFFFF"/>
              </w:rPr>
              <w:t>17</w:t>
            </w:r>
            <w:r w:rsidRPr="00C649FA">
              <w:rPr>
                <w:color w:val="FFFFFF"/>
              </w:rPr>
              <w:br/>
              <w:t>(4.2%)</w:t>
            </w:r>
          </w:p>
        </w:tc>
      </w:tr>
      <w:tr w:rsidR="003A053D" w:rsidRPr="001E3656" w14:paraId="2E640543"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087B5ACA" w14:textId="77777777" w:rsidR="003A053D" w:rsidRPr="00C649FA" w:rsidRDefault="003A053D" w:rsidP="00205DEE">
            <w:pPr>
              <w:pStyle w:val="paragraph"/>
              <w:spacing w:before="0" w:beforeAutospacing="0" w:after="0" w:afterAutospacing="0"/>
              <w:jc w:val="center"/>
              <w:textAlignment w:val="baseline"/>
              <w:rPr>
                <w:rFonts w:ascii="Arial" w:hAnsi="Arial" w:cs="Arial"/>
                <w:b/>
              </w:rPr>
            </w:pPr>
            <w:r w:rsidRPr="001E3656">
              <w:rPr>
                <w:rStyle w:val="normaltextrun"/>
                <w:rFonts w:ascii="Arial" w:hAnsi="Arial" w:cs="Arial"/>
                <w:b/>
                <w:bCs/>
              </w:rPr>
              <w:t>Low</w:t>
            </w:r>
          </w:p>
        </w:tc>
        <w:tc>
          <w:tcPr>
            <w:tcW w:w="1890" w:type="dxa"/>
            <w:tcBorders>
              <w:top w:val="nil"/>
              <w:left w:val="nil"/>
              <w:bottom w:val="single" w:sz="4" w:space="0" w:color="auto"/>
              <w:right w:val="single" w:sz="4" w:space="0" w:color="auto"/>
            </w:tcBorders>
            <w:shd w:val="clear" w:color="auto" w:fill="A20000"/>
            <w:vAlign w:val="bottom"/>
          </w:tcPr>
          <w:p w14:paraId="7F56B9C4" w14:textId="77777777" w:rsidR="003A053D" w:rsidRPr="001E3656" w:rsidRDefault="003A053D" w:rsidP="00205DEE">
            <w:pPr>
              <w:jc w:val="center"/>
              <w:rPr>
                <w:color w:val="FFFFFF" w:themeColor="background1"/>
              </w:rPr>
            </w:pPr>
            <w:r w:rsidRPr="00C649FA">
              <w:rPr>
                <w:color w:val="FFFFFF"/>
              </w:rPr>
              <w:t>0</w:t>
            </w:r>
            <w:r w:rsidRPr="00C649FA">
              <w:rPr>
                <w:color w:val="FFFFFF"/>
              </w:rPr>
              <w:br/>
              <w:t>(0.0%)</w:t>
            </w:r>
          </w:p>
        </w:tc>
        <w:tc>
          <w:tcPr>
            <w:tcW w:w="1595" w:type="dxa"/>
            <w:tcBorders>
              <w:top w:val="nil"/>
              <w:left w:val="nil"/>
              <w:bottom w:val="single" w:sz="4" w:space="0" w:color="auto"/>
              <w:right w:val="single" w:sz="4" w:space="0" w:color="auto"/>
            </w:tcBorders>
            <w:shd w:val="clear" w:color="auto" w:fill="FFA500"/>
            <w:vAlign w:val="bottom"/>
          </w:tcPr>
          <w:p w14:paraId="3D2191DC" w14:textId="77777777" w:rsidR="003A053D" w:rsidRPr="001E3656" w:rsidRDefault="003A053D" w:rsidP="00205DEE">
            <w:pPr>
              <w:jc w:val="center"/>
              <w:rPr>
                <w:color w:val="000000"/>
              </w:rPr>
            </w:pPr>
            <w:r w:rsidRPr="00C649FA">
              <w:rPr>
                <w:color w:val="000000"/>
              </w:rPr>
              <w:t>7</w:t>
            </w:r>
            <w:r w:rsidRPr="00C649FA">
              <w:rPr>
                <w:color w:val="000000"/>
              </w:rPr>
              <w:br/>
              <w:t>(1.7%)</w:t>
            </w:r>
          </w:p>
        </w:tc>
        <w:tc>
          <w:tcPr>
            <w:tcW w:w="1825" w:type="dxa"/>
            <w:tcBorders>
              <w:top w:val="nil"/>
              <w:left w:val="nil"/>
              <w:bottom w:val="single" w:sz="4" w:space="0" w:color="auto"/>
              <w:right w:val="single" w:sz="4" w:space="0" w:color="auto"/>
            </w:tcBorders>
            <w:shd w:val="clear" w:color="000000" w:fill="FFA500"/>
            <w:vAlign w:val="bottom"/>
          </w:tcPr>
          <w:p w14:paraId="4BE56FED" w14:textId="77777777" w:rsidR="003A053D" w:rsidRPr="001E3656" w:rsidRDefault="003A053D" w:rsidP="00205DEE">
            <w:pPr>
              <w:jc w:val="center"/>
              <w:rPr>
                <w:color w:val="000000"/>
              </w:rPr>
            </w:pPr>
            <w:r w:rsidRPr="00C649FA">
              <w:rPr>
                <w:color w:val="000000"/>
              </w:rPr>
              <w:t>8</w:t>
            </w:r>
            <w:r w:rsidRPr="00C649FA">
              <w:rPr>
                <w:color w:val="000000"/>
              </w:rPr>
              <w:br/>
              <w:t>(2%)</w:t>
            </w:r>
          </w:p>
        </w:tc>
        <w:tc>
          <w:tcPr>
            <w:tcW w:w="1534" w:type="dxa"/>
            <w:tcBorders>
              <w:top w:val="nil"/>
              <w:left w:val="nil"/>
              <w:bottom w:val="single" w:sz="4" w:space="0" w:color="auto"/>
              <w:right w:val="single" w:sz="4" w:space="0" w:color="auto"/>
            </w:tcBorders>
            <w:shd w:val="clear" w:color="000000" w:fill="FFFF00"/>
            <w:vAlign w:val="bottom"/>
          </w:tcPr>
          <w:p w14:paraId="3C03AA1E" w14:textId="77777777" w:rsidR="003A053D" w:rsidRPr="001E3656" w:rsidRDefault="003A053D" w:rsidP="00205DEE">
            <w:pPr>
              <w:jc w:val="center"/>
              <w:rPr>
                <w:color w:val="000000"/>
              </w:rPr>
            </w:pPr>
            <w:r w:rsidRPr="00C649FA">
              <w:rPr>
                <w:color w:val="000000"/>
              </w:rPr>
              <w:t>21</w:t>
            </w:r>
            <w:r w:rsidRPr="00C649FA">
              <w:rPr>
                <w:color w:val="000000"/>
              </w:rPr>
              <w:br/>
              <w:t>(5.2%)</w:t>
            </w:r>
          </w:p>
        </w:tc>
        <w:tc>
          <w:tcPr>
            <w:tcW w:w="1796" w:type="dxa"/>
            <w:tcBorders>
              <w:top w:val="nil"/>
              <w:left w:val="nil"/>
              <w:bottom w:val="single" w:sz="4" w:space="0" w:color="auto"/>
              <w:right w:val="single" w:sz="4" w:space="0" w:color="auto"/>
            </w:tcBorders>
            <w:shd w:val="clear" w:color="000000" w:fill="FFFF00"/>
            <w:vAlign w:val="bottom"/>
          </w:tcPr>
          <w:p w14:paraId="73A224A0" w14:textId="77777777" w:rsidR="003A053D" w:rsidRPr="001E3656" w:rsidRDefault="003A053D" w:rsidP="00205DEE">
            <w:pPr>
              <w:jc w:val="center"/>
              <w:rPr>
                <w:color w:val="000000"/>
              </w:rPr>
            </w:pPr>
            <w:r w:rsidRPr="00C649FA">
              <w:rPr>
                <w:color w:val="000000"/>
              </w:rPr>
              <w:t>0</w:t>
            </w:r>
            <w:r w:rsidRPr="00C649FA">
              <w:rPr>
                <w:color w:val="000000"/>
              </w:rPr>
              <w:br/>
              <w:t>(0.0%)</w:t>
            </w:r>
          </w:p>
        </w:tc>
      </w:tr>
      <w:tr w:rsidR="003A053D" w:rsidRPr="001E3656" w14:paraId="2254EAC8"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4E2AADFC" w14:textId="77777777" w:rsidR="003A053D" w:rsidRPr="001E3656" w:rsidRDefault="003A053D" w:rsidP="00205DEE">
            <w:pPr>
              <w:jc w:val="center"/>
              <w:rPr>
                <w:b/>
              </w:rPr>
            </w:pPr>
            <w:r w:rsidRPr="00C649FA">
              <w:rPr>
                <w:rStyle w:val="normaltextrun"/>
                <w:b/>
              </w:rPr>
              <w:t>Very Low</w:t>
            </w:r>
          </w:p>
        </w:tc>
        <w:tc>
          <w:tcPr>
            <w:tcW w:w="1890" w:type="dxa"/>
            <w:tcBorders>
              <w:top w:val="nil"/>
              <w:left w:val="nil"/>
              <w:bottom w:val="single" w:sz="4" w:space="0" w:color="auto"/>
              <w:right w:val="single" w:sz="4" w:space="0" w:color="auto"/>
            </w:tcBorders>
            <w:shd w:val="clear" w:color="auto" w:fill="A20000"/>
            <w:vAlign w:val="center"/>
          </w:tcPr>
          <w:p w14:paraId="566183CC" w14:textId="77777777" w:rsidR="003A053D" w:rsidRPr="001E3656" w:rsidRDefault="003A053D" w:rsidP="00205DEE">
            <w:pPr>
              <w:jc w:val="center"/>
              <w:rPr>
                <w:color w:val="FFFFFF" w:themeColor="background1"/>
              </w:rPr>
            </w:pPr>
            <w:r w:rsidRPr="00C649FA">
              <w:rPr>
                <w:color w:val="FFFFFF"/>
              </w:rPr>
              <w:t>0</w:t>
            </w:r>
            <w:r w:rsidRPr="00C649FA">
              <w:rPr>
                <w:color w:val="FFFFFF"/>
              </w:rPr>
              <w:br/>
              <w:t>(0.0%)</w:t>
            </w:r>
          </w:p>
        </w:tc>
        <w:tc>
          <w:tcPr>
            <w:tcW w:w="1595" w:type="dxa"/>
            <w:tcBorders>
              <w:top w:val="nil"/>
              <w:left w:val="nil"/>
              <w:bottom w:val="single" w:sz="4" w:space="0" w:color="auto"/>
              <w:right w:val="single" w:sz="4" w:space="0" w:color="auto"/>
            </w:tcBorders>
            <w:shd w:val="clear" w:color="000000" w:fill="A20000"/>
            <w:vAlign w:val="center"/>
          </w:tcPr>
          <w:p w14:paraId="760A0E7C" w14:textId="77777777" w:rsidR="003A053D" w:rsidRPr="001E3656" w:rsidRDefault="003A053D" w:rsidP="00205DEE">
            <w:pPr>
              <w:jc w:val="center"/>
              <w:rPr>
                <w:color w:val="FFFFFF"/>
              </w:rPr>
            </w:pPr>
            <w:r w:rsidRPr="00C649FA">
              <w:rPr>
                <w:color w:val="FFFFFF"/>
              </w:rPr>
              <w:t>2</w:t>
            </w:r>
            <w:r w:rsidRPr="00C649FA">
              <w:rPr>
                <w:color w:val="FFFFFF"/>
              </w:rPr>
              <w:br/>
              <w:t>(0.5%)</w:t>
            </w:r>
          </w:p>
        </w:tc>
        <w:tc>
          <w:tcPr>
            <w:tcW w:w="1825" w:type="dxa"/>
            <w:tcBorders>
              <w:top w:val="nil"/>
              <w:left w:val="nil"/>
              <w:bottom w:val="single" w:sz="4" w:space="0" w:color="auto"/>
              <w:right w:val="single" w:sz="4" w:space="0" w:color="auto"/>
            </w:tcBorders>
            <w:shd w:val="clear" w:color="000000" w:fill="A20000"/>
            <w:vAlign w:val="center"/>
          </w:tcPr>
          <w:p w14:paraId="7ADAA208" w14:textId="77777777" w:rsidR="003A053D" w:rsidRPr="001E3656" w:rsidRDefault="003A053D" w:rsidP="00205DEE">
            <w:pPr>
              <w:jc w:val="center"/>
              <w:rPr>
                <w:color w:val="FFFFFF"/>
              </w:rPr>
            </w:pPr>
            <w:r w:rsidRPr="00C649FA">
              <w:rPr>
                <w:color w:val="FFFFFF"/>
              </w:rPr>
              <w:t>16</w:t>
            </w:r>
            <w:r w:rsidRPr="00C649FA">
              <w:rPr>
                <w:color w:val="FFFFFF"/>
              </w:rPr>
              <w:br/>
              <w:t>(4%)</w:t>
            </w:r>
          </w:p>
        </w:tc>
        <w:tc>
          <w:tcPr>
            <w:tcW w:w="1534" w:type="dxa"/>
            <w:tcBorders>
              <w:top w:val="nil"/>
              <w:left w:val="nil"/>
              <w:bottom w:val="single" w:sz="4" w:space="0" w:color="auto"/>
              <w:right w:val="single" w:sz="4" w:space="0" w:color="auto"/>
            </w:tcBorders>
            <w:shd w:val="clear" w:color="000000" w:fill="FFA500"/>
            <w:vAlign w:val="center"/>
          </w:tcPr>
          <w:p w14:paraId="3086F7D5" w14:textId="77777777" w:rsidR="003A053D" w:rsidRPr="001E3656" w:rsidRDefault="003A053D" w:rsidP="00205DEE">
            <w:pPr>
              <w:jc w:val="center"/>
            </w:pPr>
            <w:r w:rsidRPr="00C649FA">
              <w:t>3</w:t>
            </w:r>
            <w:r w:rsidRPr="00C649FA">
              <w:br/>
              <w:t>(0.7%)</w:t>
            </w:r>
          </w:p>
        </w:tc>
        <w:tc>
          <w:tcPr>
            <w:tcW w:w="1796" w:type="dxa"/>
            <w:tcBorders>
              <w:top w:val="nil"/>
              <w:left w:val="nil"/>
              <w:bottom w:val="single" w:sz="4" w:space="0" w:color="auto"/>
              <w:right w:val="single" w:sz="4" w:space="0" w:color="auto"/>
            </w:tcBorders>
            <w:shd w:val="clear" w:color="auto" w:fill="FFFF00"/>
            <w:vAlign w:val="center"/>
          </w:tcPr>
          <w:p w14:paraId="44DE61A6" w14:textId="77777777" w:rsidR="003A053D" w:rsidRPr="001E3656" w:rsidRDefault="003A053D" w:rsidP="00205DEE">
            <w:pPr>
              <w:jc w:val="center"/>
            </w:pPr>
            <w:r w:rsidRPr="00C649FA">
              <w:rPr>
                <w:color w:val="000000"/>
              </w:rPr>
              <w:t>0</w:t>
            </w:r>
            <w:r w:rsidRPr="00C649FA">
              <w:rPr>
                <w:color w:val="000000"/>
              </w:rPr>
              <w:br/>
              <w:t>(0.0%)</w:t>
            </w:r>
          </w:p>
        </w:tc>
      </w:tr>
    </w:tbl>
    <w:p w14:paraId="2EBFCD74" w14:textId="77777777" w:rsidR="003A053D" w:rsidRPr="00963EA8" w:rsidRDefault="003A053D" w:rsidP="003A053D"/>
    <w:p w14:paraId="0F39A9F8" w14:textId="77777777" w:rsidR="003A053D" w:rsidRPr="00963EA8" w:rsidRDefault="003A053D" w:rsidP="00FA2D7D">
      <w:pPr>
        <w:pStyle w:val="Heading5"/>
      </w:pPr>
      <w:bookmarkStart w:id="10" w:name="_Toc216087488"/>
      <w:r w:rsidRPr="00963EA8">
        <w:t xml:space="preserve">Table </w:t>
      </w:r>
      <w:r>
        <w:t>3:</w:t>
      </w:r>
      <w:r w:rsidRPr="00963EA8">
        <w:t xml:space="preserve"> 2024–25 CCI District Performance Level (Color) Results in Three-by-Five Colored Table</w:t>
      </w:r>
      <w:bookmarkEnd w:id="10"/>
    </w:p>
    <w:tbl>
      <w:tblPr>
        <w:tblW w:w="6479" w:type="dxa"/>
        <w:jc w:val="center"/>
        <w:tblLayout w:type="fixed"/>
        <w:tblLook w:val="0420" w:firstRow="1" w:lastRow="0" w:firstColumn="0" w:lastColumn="0" w:noHBand="0" w:noVBand="1"/>
        <w:tblDescription w:val="Table 3: 2024–25 CCI District Performance Level (Color) Results in Three-by-Five Colored Table"/>
      </w:tblPr>
      <w:tblGrid>
        <w:gridCol w:w="1525"/>
        <w:gridCol w:w="1595"/>
        <w:gridCol w:w="1825"/>
        <w:gridCol w:w="1534"/>
      </w:tblGrid>
      <w:tr w:rsidR="003A053D" w:rsidRPr="001E3656" w14:paraId="01927599" w14:textId="77777777" w:rsidTr="000650FE">
        <w:trPr>
          <w:trHeight w:val="1240"/>
          <w:tblHeader/>
          <w:jc w:val="center"/>
        </w:trPr>
        <w:tc>
          <w:tcPr>
            <w:tcW w:w="1525" w:type="dxa"/>
            <w:tcBorders>
              <w:top w:val="single" w:sz="4" w:space="0" w:color="auto"/>
              <w:left w:val="single" w:sz="4" w:space="0" w:color="auto"/>
              <w:bottom w:val="single" w:sz="4" w:space="0" w:color="auto"/>
              <w:right w:val="single" w:sz="4" w:space="0" w:color="auto"/>
            </w:tcBorders>
            <w:vAlign w:val="center"/>
            <w:hideMark/>
          </w:tcPr>
          <w:p w14:paraId="323A45DE" w14:textId="77777777" w:rsidR="003A053D" w:rsidRPr="001E3656" w:rsidRDefault="003A053D" w:rsidP="00205DEE">
            <w:pPr>
              <w:jc w:val="center"/>
              <w:rPr>
                <w:b/>
              </w:rPr>
            </w:pPr>
            <w:r w:rsidRPr="001E3656">
              <w:rPr>
                <w:b/>
              </w:rPr>
              <w:t>Level</w:t>
            </w:r>
          </w:p>
        </w:tc>
        <w:tc>
          <w:tcPr>
            <w:tcW w:w="1595" w:type="dxa"/>
            <w:tcBorders>
              <w:top w:val="single" w:sz="4" w:space="0" w:color="auto"/>
              <w:left w:val="nil"/>
              <w:bottom w:val="single" w:sz="4" w:space="0" w:color="auto"/>
              <w:right w:val="single" w:sz="4" w:space="0" w:color="auto"/>
            </w:tcBorders>
            <w:vAlign w:val="center"/>
            <w:hideMark/>
          </w:tcPr>
          <w:p w14:paraId="00972706" w14:textId="77777777" w:rsidR="003A053D" w:rsidRPr="001E3656" w:rsidRDefault="003A053D" w:rsidP="00205DEE">
            <w:pPr>
              <w:jc w:val="center"/>
              <w:rPr>
                <w:b/>
              </w:rPr>
            </w:pPr>
            <w:r w:rsidRPr="001F5B11">
              <w:rPr>
                <w:rStyle w:val="normaltextrun"/>
                <w:b/>
              </w:rPr>
              <w:t>Declined</w:t>
            </w:r>
          </w:p>
        </w:tc>
        <w:tc>
          <w:tcPr>
            <w:tcW w:w="1825" w:type="dxa"/>
            <w:tcBorders>
              <w:top w:val="single" w:sz="4" w:space="0" w:color="auto"/>
              <w:left w:val="nil"/>
              <w:bottom w:val="single" w:sz="4" w:space="0" w:color="auto"/>
              <w:right w:val="single" w:sz="4" w:space="0" w:color="auto"/>
            </w:tcBorders>
            <w:vAlign w:val="center"/>
            <w:hideMark/>
          </w:tcPr>
          <w:p w14:paraId="41C0CEB2" w14:textId="77777777" w:rsidR="003A053D" w:rsidRPr="001E3656" w:rsidRDefault="003A053D" w:rsidP="00205DEE">
            <w:pPr>
              <w:jc w:val="center"/>
              <w:rPr>
                <w:b/>
              </w:rPr>
            </w:pPr>
            <w:r w:rsidRPr="001F5B11">
              <w:rPr>
                <w:rStyle w:val="normaltextrun"/>
                <w:b/>
              </w:rPr>
              <w:t>Maintained</w:t>
            </w:r>
          </w:p>
        </w:tc>
        <w:tc>
          <w:tcPr>
            <w:tcW w:w="1534" w:type="dxa"/>
            <w:tcBorders>
              <w:top w:val="single" w:sz="4" w:space="0" w:color="auto"/>
              <w:left w:val="nil"/>
              <w:bottom w:val="single" w:sz="4" w:space="0" w:color="auto"/>
              <w:right w:val="single" w:sz="4" w:space="0" w:color="auto"/>
            </w:tcBorders>
            <w:vAlign w:val="center"/>
            <w:hideMark/>
          </w:tcPr>
          <w:p w14:paraId="1CC66161" w14:textId="77777777" w:rsidR="003A053D" w:rsidRPr="001E3656" w:rsidRDefault="003A053D" w:rsidP="00205DEE">
            <w:pPr>
              <w:jc w:val="center"/>
              <w:rPr>
                <w:b/>
              </w:rPr>
            </w:pPr>
            <w:r w:rsidRPr="001F5B11">
              <w:rPr>
                <w:rStyle w:val="normaltextrun"/>
                <w:b/>
              </w:rPr>
              <w:t>Increased</w:t>
            </w:r>
          </w:p>
        </w:tc>
      </w:tr>
      <w:tr w:rsidR="003A053D" w:rsidRPr="001E3656" w14:paraId="6ED7F0EA" w14:textId="77777777" w:rsidTr="002557F1">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6AB61A43" w14:textId="77777777" w:rsidR="003A053D" w:rsidRPr="001E3656" w:rsidRDefault="003A053D" w:rsidP="00205DEE">
            <w:pPr>
              <w:jc w:val="center"/>
              <w:rPr>
                <w:b/>
              </w:rPr>
            </w:pPr>
            <w:r w:rsidRPr="001F5B11">
              <w:rPr>
                <w:rStyle w:val="normaltextrun"/>
                <w:b/>
              </w:rPr>
              <w:t>Very High</w:t>
            </w:r>
          </w:p>
        </w:tc>
        <w:tc>
          <w:tcPr>
            <w:tcW w:w="1595" w:type="dxa"/>
            <w:tcBorders>
              <w:top w:val="nil"/>
              <w:left w:val="nil"/>
              <w:bottom w:val="single" w:sz="4" w:space="0" w:color="auto"/>
              <w:right w:val="single" w:sz="4" w:space="0" w:color="auto"/>
            </w:tcBorders>
            <w:shd w:val="clear" w:color="000000" w:fill="006500"/>
            <w:vAlign w:val="center"/>
          </w:tcPr>
          <w:p w14:paraId="671A7892" w14:textId="77777777" w:rsidR="003A053D" w:rsidRPr="001E3656" w:rsidRDefault="003A053D" w:rsidP="00205DEE">
            <w:pPr>
              <w:jc w:val="center"/>
              <w:rPr>
                <w:color w:val="FFFFFF"/>
              </w:rPr>
            </w:pPr>
            <w:r w:rsidRPr="001F5B11">
              <w:rPr>
                <w:color w:val="FFFFFF"/>
              </w:rPr>
              <w:t>2</w:t>
            </w:r>
            <w:r w:rsidRPr="001F5B11">
              <w:rPr>
                <w:color w:val="FFFFFF"/>
              </w:rPr>
              <w:br/>
              <w:t>(2.6%)</w:t>
            </w:r>
          </w:p>
        </w:tc>
        <w:tc>
          <w:tcPr>
            <w:tcW w:w="1825" w:type="dxa"/>
            <w:tcBorders>
              <w:top w:val="nil"/>
              <w:left w:val="nil"/>
              <w:bottom w:val="single" w:sz="4" w:space="0" w:color="auto"/>
              <w:right w:val="single" w:sz="4" w:space="0" w:color="auto"/>
            </w:tcBorders>
            <w:shd w:val="clear" w:color="000000" w:fill="0000FF"/>
            <w:vAlign w:val="center"/>
          </w:tcPr>
          <w:p w14:paraId="7D90647C" w14:textId="77777777" w:rsidR="003A053D" w:rsidRPr="001E3656" w:rsidRDefault="003A053D" w:rsidP="00205DEE">
            <w:pPr>
              <w:jc w:val="center"/>
              <w:rPr>
                <w:color w:val="FFFFFF"/>
              </w:rPr>
            </w:pPr>
            <w:r w:rsidRPr="001F5B11">
              <w:rPr>
                <w:color w:val="FFFFFF"/>
              </w:rPr>
              <w:t>0</w:t>
            </w:r>
            <w:r w:rsidRPr="001F5B11">
              <w:rPr>
                <w:color w:val="FFFFFF"/>
              </w:rPr>
              <w:br/>
              <w:t>(0.0%)</w:t>
            </w:r>
          </w:p>
        </w:tc>
        <w:tc>
          <w:tcPr>
            <w:tcW w:w="1534" w:type="dxa"/>
            <w:tcBorders>
              <w:top w:val="nil"/>
              <w:left w:val="nil"/>
              <w:bottom w:val="single" w:sz="4" w:space="0" w:color="auto"/>
              <w:right w:val="single" w:sz="4" w:space="0" w:color="auto"/>
            </w:tcBorders>
            <w:shd w:val="clear" w:color="000000" w:fill="0000FF"/>
            <w:vAlign w:val="center"/>
          </w:tcPr>
          <w:p w14:paraId="276BD505" w14:textId="77777777" w:rsidR="003A053D" w:rsidRPr="001E3656" w:rsidRDefault="003A053D" w:rsidP="00205DEE">
            <w:pPr>
              <w:jc w:val="center"/>
              <w:rPr>
                <w:color w:val="FFFFFF"/>
              </w:rPr>
            </w:pPr>
            <w:r w:rsidRPr="001F5B11">
              <w:rPr>
                <w:color w:val="FFFFFF"/>
              </w:rPr>
              <w:t>5</w:t>
            </w:r>
            <w:r w:rsidRPr="001F5B11">
              <w:rPr>
                <w:color w:val="FFFFFF"/>
              </w:rPr>
              <w:br/>
              <w:t>(6.6%)</w:t>
            </w:r>
          </w:p>
        </w:tc>
      </w:tr>
      <w:tr w:rsidR="003A053D" w:rsidRPr="001E3656" w14:paraId="47EAD297" w14:textId="77777777" w:rsidTr="002557F1">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6D422183" w14:textId="77777777" w:rsidR="003A053D" w:rsidRPr="001E3656" w:rsidRDefault="003A053D" w:rsidP="00205DEE">
            <w:pPr>
              <w:jc w:val="center"/>
              <w:rPr>
                <w:b/>
              </w:rPr>
            </w:pPr>
            <w:r w:rsidRPr="001F5B11">
              <w:rPr>
                <w:rStyle w:val="normaltextrun"/>
                <w:b/>
              </w:rPr>
              <w:t>High</w:t>
            </w:r>
          </w:p>
        </w:tc>
        <w:tc>
          <w:tcPr>
            <w:tcW w:w="1595" w:type="dxa"/>
            <w:tcBorders>
              <w:top w:val="nil"/>
              <w:left w:val="nil"/>
              <w:bottom w:val="single" w:sz="4" w:space="0" w:color="auto"/>
              <w:right w:val="single" w:sz="4" w:space="0" w:color="auto"/>
            </w:tcBorders>
            <w:shd w:val="clear" w:color="auto" w:fill="FFFF00"/>
            <w:vAlign w:val="center"/>
          </w:tcPr>
          <w:p w14:paraId="1D0C9CFF" w14:textId="77777777" w:rsidR="003A053D" w:rsidRPr="001E3656" w:rsidRDefault="003A053D" w:rsidP="00205DEE">
            <w:pPr>
              <w:jc w:val="center"/>
            </w:pPr>
            <w:r w:rsidRPr="001F5B11">
              <w:rPr>
                <w:color w:val="000000"/>
              </w:rPr>
              <w:t>3</w:t>
            </w:r>
            <w:r w:rsidRPr="001F5B11">
              <w:rPr>
                <w:color w:val="000000"/>
              </w:rPr>
              <w:br/>
              <w:t>(3.9%)</w:t>
            </w:r>
          </w:p>
        </w:tc>
        <w:tc>
          <w:tcPr>
            <w:tcW w:w="1825" w:type="dxa"/>
            <w:tcBorders>
              <w:top w:val="nil"/>
              <w:left w:val="nil"/>
              <w:bottom w:val="single" w:sz="4" w:space="0" w:color="auto"/>
              <w:right w:val="single" w:sz="4" w:space="0" w:color="auto"/>
            </w:tcBorders>
            <w:shd w:val="clear" w:color="000000" w:fill="006500"/>
            <w:vAlign w:val="center"/>
          </w:tcPr>
          <w:p w14:paraId="07EFA69A" w14:textId="77777777" w:rsidR="003A053D" w:rsidRPr="001E3656" w:rsidRDefault="003A053D" w:rsidP="00205DEE">
            <w:pPr>
              <w:jc w:val="center"/>
              <w:rPr>
                <w:color w:val="FFFFFF"/>
              </w:rPr>
            </w:pPr>
            <w:r w:rsidRPr="001F5B11">
              <w:rPr>
                <w:color w:val="FFFFFF"/>
              </w:rPr>
              <w:t>0</w:t>
            </w:r>
            <w:r w:rsidRPr="001F5B11">
              <w:rPr>
                <w:color w:val="FFFFFF"/>
              </w:rPr>
              <w:br/>
              <w:t>(0.0%)</w:t>
            </w:r>
          </w:p>
        </w:tc>
        <w:tc>
          <w:tcPr>
            <w:tcW w:w="1534" w:type="dxa"/>
            <w:tcBorders>
              <w:top w:val="nil"/>
              <w:left w:val="nil"/>
              <w:bottom w:val="single" w:sz="4" w:space="0" w:color="auto"/>
              <w:right w:val="single" w:sz="4" w:space="0" w:color="auto"/>
            </w:tcBorders>
            <w:shd w:val="clear" w:color="000000" w:fill="006500"/>
            <w:vAlign w:val="center"/>
          </w:tcPr>
          <w:p w14:paraId="0FD70BC2" w14:textId="77777777" w:rsidR="003A053D" w:rsidRPr="001E3656" w:rsidRDefault="003A053D" w:rsidP="00205DEE">
            <w:pPr>
              <w:jc w:val="center"/>
              <w:rPr>
                <w:color w:val="FFFFFF"/>
              </w:rPr>
            </w:pPr>
            <w:r w:rsidRPr="001F5B11">
              <w:rPr>
                <w:color w:val="FFFFFF"/>
              </w:rPr>
              <w:t>7</w:t>
            </w:r>
            <w:r w:rsidRPr="001F5B11">
              <w:rPr>
                <w:color w:val="FFFFFF"/>
              </w:rPr>
              <w:br/>
              <w:t>(9.2%)</w:t>
            </w:r>
          </w:p>
        </w:tc>
      </w:tr>
      <w:tr w:rsidR="003A053D" w:rsidRPr="001E3656" w14:paraId="24E30BDF" w14:textId="77777777" w:rsidTr="002557F1">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169DBEC7" w14:textId="77777777" w:rsidR="003A053D" w:rsidRPr="001E3656" w:rsidRDefault="003A053D" w:rsidP="00205DEE">
            <w:pPr>
              <w:jc w:val="center"/>
              <w:rPr>
                <w:b/>
              </w:rPr>
            </w:pPr>
            <w:r w:rsidRPr="001F5B11">
              <w:rPr>
                <w:rStyle w:val="normaltextrun"/>
                <w:b/>
              </w:rPr>
              <w:t>Medium</w:t>
            </w:r>
          </w:p>
        </w:tc>
        <w:tc>
          <w:tcPr>
            <w:tcW w:w="1595" w:type="dxa"/>
            <w:tcBorders>
              <w:top w:val="nil"/>
              <w:left w:val="nil"/>
              <w:bottom w:val="single" w:sz="4" w:space="0" w:color="auto"/>
              <w:right w:val="single" w:sz="4" w:space="0" w:color="auto"/>
            </w:tcBorders>
            <w:shd w:val="clear" w:color="auto" w:fill="FFA500"/>
            <w:vAlign w:val="center"/>
          </w:tcPr>
          <w:p w14:paraId="3CAC9C8E" w14:textId="77777777" w:rsidR="003A053D" w:rsidRPr="001E3656" w:rsidRDefault="003A053D" w:rsidP="00205DEE">
            <w:pPr>
              <w:jc w:val="center"/>
            </w:pPr>
            <w:r w:rsidRPr="001F5B11">
              <w:rPr>
                <w:color w:val="000000"/>
              </w:rPr>
              <w:t>5</w:t>
            </w:r>
            <w:r w:rsidRPr="001F5B11">
              <w:rPr>
                <w:color w:val="000000"/>
              </w:rPr>
              <w:br/>
              <w:t>(6.6%)</w:t>
            </w:r>
          </w:p>
        </w:tc>
        <w:tc>
          <w:tcPr>
            <w:tcW w:w="1825" w:type="dxa"/>
            <w:tcBorders>
              <w:top w:val="nil"/>
              <w:left w:val="nil"/>
              <w:bottom w:val="single" w:sz="4" w:space="0" w:color="auto"/>
              <w:right w:val="single" w:sz="4" w:space="0" w:color="auto"/>
            </w:tcBorders>
            <w:shd w:val="clear" w:color="000000" w:fill="FFFF00"/>
            <w:vAlign w:val="center"/>
          </w:tcPr>
          <w:p w14:paraId="44FEB945" w14:textId="77777777" w:rsidR="003A053D" w:rsidRPr="001E3656" w:rsidRDefault="003A053D" w:rsidP="00205DEE">
            <w:pPr>
              <w:jc w:val="center"/>
            </w:pPr>
            <w:r w:rsidRPr="001F5B11">
              <w:rPr>
                <w:color w:val="000000"/>
              </w:rPr>
              <w:t>1</w:t>
            </w:r>
            <w:r w:rsidRPr="001F5B11">
              <w:rPr>
                <w:color w:val="000000"/>
              </w:rPr>
              <w:br/>
              <w:t>(1.3%)</w:t>
            </w:r>
          </w:p>
        </w:tc>
        <w:tc>
          <w:tcPr>
            <w:tcW w:w="1534" w:type="dxa"/>
            <w:tcBorders>
              <w:top w:val="nil"/>
              <w:left w:val="nil"/>
              <w:bottom w:val="single" w:sz="4" w:space="0" w:color="auto"/>
              <w:right w:val="single" w:sz="4" w:space="0" w:color="auto"/>
            </w:tcBorders>
            <w:shd w:val="clear" w:color="000000" w:fill="006500"/>
            <w:vAlign w:val="center"/>
          </w:tcPr>
          <w:p w14:paraId="7B16630E" w14:textId="77777777" w:rsidR="003A053D" w:rsidRPr="001E3656" w:rsidRDefault="003A053D" w:rsidP="00205DEE">
            <w:pPr>
              <w:jc w:val="center"/>
              <w:rPr>
                <w:color w:val="FFFFFF"/>
              </w:rPr>
            </w:pPr>
            <w:r w:rsidRPr="001F5B11">
              <w:rPr>
                <w:color w:val="FFFFFF"/>
              </w:rPr>
              <w:t>23</w:t>
            </w:r>
            <w:r w:rsidRPr="001F5B11">
              <w:rPr>
                <w:color w:val="FFFFFF"/>
              </w:rPr>
              <w:br/>
              <w:t>(30.3%)</w:t>
            </w:r>
          </w:p>
        </w:tc>
      </w:tr>
      <w:tr w:rsidR="003A053D" w:rsidRPr="001E3656" w14:paraId="7042F608" w14:textId="77777777" w:rsidTr="002557F1">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354B2030" w14:textId="77777777" w:rsidR="003A053D" w:rsidRPr="001E3656" w:rsidRDefault="003A053D" w:rsidP="00205DEE">
            <w:pPr>
              <w:jc w:val="center"/>
              <w:rPr>
                <w:b/>
              </w:rPr>
            </w:pPr>
            <w:r w:rsidRPr="001F5B11">
              <w:rPr>
                <w:rStyle w:val="normaltextrun"/>
                <w:b/>
              </w:rPr>
              <w:t>Low</w:t>
            </w:r>
          </w:p>
        </w:tc>
        <w:tc>
          <w:tcPr>
            <w:tcW w:w="1595" w:type="dxa"/>
            <w:tcBorders>
              <w:top w:val="nil"/>
              <w:left w:val="nil"/>
              <w:bottom w:val="single" w:sz="4" w:space="0" w:color="auto"/>
              <w:right w:val="single" w:sz="4" w:space="0" w:color="auto"/>
            </w:tcBorders>
            <w:shd w:val="clear" w:color="auto" w:fill="FFA500"/>
            <w:vAlign w:val="center"/>
          </w:tcPr>
          <w:p w14:paraId="1E1E916E" w14:textId="77777777" w:rsidR="003A053D" w:rsidRPr="001E3656" w:rsidRDefault="003A053D" w:rsidP="00205DEE">
            <w:pPr>
              <w:jc w:val="center"/>
              <w:rPr>
                <w:color w:val="000000"/>
              </w:rPr>
            </w:pPr>
            <w:r w:rsidRPr="001F5B11">
              <w:rPr>
                <w:color w:val="000000"/>
              </w:rPr>
              <w:t>3</w:t>
            </w:r>
            <w:r w:rsidRPr="001F5B11">
              <w:rPr>
                <w:color w:val="000000"/>
              </w:rPr>
              <w:br/>
              <w:t>(3.9%)</w:t>
            </w:r>
          </w:p>
        </w:tc>
        <w:tc>
          <w:tcPr>
            <w:tcW w:w="1825" w:type="dxa"/>
            <w:tcBorders>
              <w:top w:val="nil"/>
              <w:left w:val="nil"/>
              <w:bottom w:val="single" w:sz="4" w:space="0" w:color="auto"/>
              <w:right w:val="single" w:sz="4" w:space="0" w:color="auto"/>
            </w:tcBorders>
            <w:shd w:val="clear" w:color="000000" w:fill="FFA500"/>
            <w:vAlign w:val="center"/>
          </w:tcPr>
          <w:p w14:paraId="15BDE116" w14:textId="77777777" w:rsidR="003A053D" w:rsidRPr="001E3656" w:rsidRDefault="003A053D" w:rsidP="00205DEE">
            <w:pPr>
              <w:jc w:val="center"/>
              <w:rPr>
                <w:color w:val="000000"/>
              </w:rPr>
            </w:pPr>
            <w:r w:rsidRPr="001F5B11">
              <w:rPr>
                <w:color w:val="000000"/>
              </w:rPr>
              <w:t>4</w:t>
            </w:r>
            <w:r w:rsidRPr="001F5B11">
              <w:rPr>
                <w:color w:val="000000"/>
              </w:rPr>
              <w:br/>
              <w:t>(5.3%)</w:t>
            </w:r>
          </w:p>
        </w:tc>
        <w:tc>
          <w:tcPr>
            <w:tcW w:w="1534" w:type="dxa"/>
            <w:tcBorders>
              <w:top w:val="nil"/>
              <w:left w:val="nil"/>
              <w:bottom w:val="single" w:sz="4" w:space="0" w:color="auto"/>
              <w:right w:val="single" w:sz="4" w:space="0" w:color="auto"/>
            </w:tcBorders>
            <w:shd w:val="clear" w:color="000000" w:fill="FFFF00"/>
            <w:vAlign w:val="center"/>
          </w:tcPr>
          <w:p w14:paraId="3070BE58" w14:textId="77777777" w:rsidR="003A053D" w:rsidRPr="001E3656" w:rsidRDefault="003A053D" w:rsidP="00205DEE">
            <w:pPr>
              <w:jc w:val="center"/>
              <w:rPr>
                <w:color w:val="000000"/>
              </w:rPr>
            </w:pPr>
            <w:r w:rsidRPr="001F5B11">
              <w:rPr>
                <w:color w:val="000000"/>
              </w:rPr>
              <w:t>8</w:t>
            </w:r>
            <w:r w:rsidRPr="001F5B11">
              <w:rPr>
                <w:color w:val="000000"/>
              </w:rPr>
              <w:br/>
              <w:t>(10.5%)</w:t>
            </w:r>
          </w:p>
        </w:tc>
      </w:tr>
      <w:tr w:rsidR="003A053D" w:rsidRPr="001E3656" w14:paraId="15EE543C" w14:textId="77777777" w:rsidTr="002557F1">
        <w:trPr>
          <w:trHeight w:val="20"/>
          <w:jc w:val="center"/>
        </w:trPr>
        <w:tc>
          <w:tcPr>
            <w:tcW w:w="1525" w:type="dxa"/>
            <w:tcBorders>
              <w:top w:val="nil"/>
              <w:left w:val="single" w:sz="4" w:space="0" w:color="auto"/>
              <w:bottom w:val="single" w:sz="4" w:space="0" w:color="auto"/>
              <w:right w:val="single" w:sz="4" w:space="0" w:color="auto"/>
            </w:tcBorders>
            <w:vAlign w:val="center"/>
            <w:hideMark/>
          </w:tcPr>
          <w:p w14:paraId="53E5765C" w14:textId="77777777" w:rsidR="003A053D" w:rsidRPr="001E3656" w:rsidRDefault="003A053D" w:rsidP="00205DEE">
            <w:pPr>
              <w:jc w:val="center"/>
              <w:rPr>
                <w:b/>
              </w:rPr>
            </w:pPr>
            <w:r w:rsidRPr="001F5B11">
              <w:rPr>
                <w:rStyle w:val="normaltextrun"/>
                <w:b/>
              </w:rPr>
              <w:t>Very Low</w:t>
            </w:r>
          </w:p>
        </w:tc>
        <w:tc>
          <w:tcPr>
            <w:tcW w:w="1595" w:type="dxa"/>
            <w:tcBorders>
              <w:top w:val="nil"/>
              <w:left w:val="nil"/>
              <w:bottom w:val="single" w:sz="4" w:space="0" w:color="auto"/>
              <w:right w:val="single" w:sz="4" w:space="0" w:color="auto"/>
            </w:tcBorders>
            <w:shd w:val="clear" w:color="000000" w:fill="A20000"/>
            <w:vAlign w:val="center"/>
          </w:tcPr>
          <w:p w14:paraId="24FA7F2A" w14:textId="77777777" w:rsidR="003A053D" w:rsidRPr="001E3656" w:rsidRDefault="003A053D" w:rsidP="00205DEE">
            <w:pPr>
              <w:jc w:val="center"/>
              <w:rPr>
                <w:color w:val="FFFFFF"/>
              </w:rPr>
            </w:pPr>
            <w:r w:rsidRPr="001F5B11">
              <w:rPr>
                <w:color w:val="FFFFFF"/>
              </w:rPr>
              <w:t>2</w:t>
            </w:r>
            <w:r w:rsidRPr="001F5B11">
              <w:rPr>
                <w:color w:val="FFFFFF"/>
              </w:rPr>
              <w:br/>
              <w:t>(2.6%)</w:t>
            </w:r>
          </w:p>
        </w:tc>
        <w:tc>
          <w:tcPr>
            <w:tcW w:w="1825" w:type="dxa"/>
            <w:tcBorders>
              <w:top w:val="nil"/>
              <w:left w:val="nil"/>
              <w:bottom w:val="single" w:sz="4" w:space="0" w:color="auto"/>
              <w:right w:val="single" w:sz="4" w:space="0" w:color="auto"/>
            </w:tcBorders>
            <w:shd w:val="clear" w:color="000000" w:fill="A20000"/>
            <w:vAlign w:val="center"/>
          </w:tcPr>
          <w:p w14:paraId="38ED3CA2" w14:textId="77777777" w:rsidR="003A053D" w:rsidRPr="001E3656" w:rsidRDefault="003A053D" w:rsidP="00205DEE">
            <w:pPr>
              <w:jc w:val="center"/>
              <w:rPr>
                <w:color w:val="FFFFFF"/>
              </w:rPr>
            </w:pPr>
            <w:r w:rsidRPr="001F5B11">
              <w:rPr>
                <w:color w:val="FFFFFF"/>
              </w:rPr>
              <w:t>10</w:t>
            </w:r>
            <w:r w:rsidRPr="001F5B11">
              <w:rPr>
                <w:color w:val="FFFFFF"/>
              </w:rPr>
              <w:br/>
              <w:t>(13.2%)</w:t>
            </w:r>
          </w:p>
        </w:tc>
        <w:tc>
          <w:tcPr>
            <w:tcW w:w="1534" w:type="dxa"/>
            <w:tcBorders>
              <w:top w:val="nil"/>
              <w:left w:val="nil"/>
              <w:bottom w:val="single" w:sz="4" w:space="0" w:color="auto"/>
              <w:right w:val="single" w:sz="4" w:space="0" w:color="auto"/>
            </w:tcBorders>
            <w:shd w:val="clear" w:color="000000" w:fill="FFA500"/>
            <w:vAlign w:val="center"/>
          </w:tcPr>
          <w:p w14:paraId="003BEC8C" w14:textId="77777777" w:rsidR="003A053D" w:rsidRPr="001E3656" w:rsidRDefault="003A053D" w:rsidP="00205DEE">
            <w:pPr>
              <w:jc w:val="center"/>
            </w:pPr>
            <w:r w:rsidRPr="001F5B11">
              <w:t>3</w:t>
            </w:r>
            <w:r w:rsidRPr="001F5B11">
              <w:br/>
              <w:t>(3.9%)</w:t>
            </w:r>
          </w:p>
        </w:tc>
      </w:tr>
    </w:tbl>
    <w:p w14:paraId="73223D10" w14:textId="77777777" w:rsidR="003A053D" w:rsidRPr="001E3656" w:rsidRDefault="003A053D" w:rsidP="003A053D">
      <w:pPr>
        <w:rPr>
          <w:rFonts w:eastAsiaTheme="majorEastAsia"/>
          <w:color w:val="2E74B5" w:themeColor="accent1" w:themeShade="BF"/>
          <w:sz w:val="26"/>
          <w:szCs w:val="26"/>
        </w:rPr>
      </w:pPr>
      <w:bookmarkStart w:id="11" w:name="_Toc149483605"/>
      <w:r w:rsidRPr="001E3656">
        <w:br w:type="page"/>
      </w:r>
    </w:p>
    <w:p w14:paraId="038D9106" w14:textId="77777777" w:rsidR="003A053D" w:rsidRPr="00963EA8" w:rsidRDefault="003A053D" w:rsidP="00FA2D7D">
      <w:pPr>
        <w:pStyle w:val="Heading5"/>
      </w:pPr>
      <w:bookmarkStart w:id="12" w:name="_Toc216087489"/>
      <w:r w:rsidRPr="00963EA8">
        <w:lastRenderedPageBreak/>
        <w:t xml:space="preserve">Table </w:t>
      </w:r>
      <w:r>
        <w:t>4:</w:t>
      </w:r>
      <w:r w:rsidRPr="00963EA8">
        <w:t xml:space="preserve"> 2024</w:t>
      </w:r>
      <w:r>
        <w:t>–</w:t>
      </w:r>
      <w:r w:rsidRPr="00963EA8">
        <w:t xml:space="preserve">25 CCI District </w:t>
      </w:r>
      <w:r w:rsidRPr="00963EA8">
        <w:rPr>
          <w:bCs/>
        </w:rPr>
        <w:t>Performance Level (Color)</w:t>
      </w:r>
      <w:r w:rsidRPr="00963EA8">
        <w:t xml:space="preserve"> Results for Student Groups</w:t>
      </w:r>
      <w:bookmarkEnd w:id="11"/>
      <w:bookmarkEnd w:id="12"/>
    </w:p>
    <w:tbl>
      <w:tblPr>
        <w:tblW w:w="9000" w:type="dxa"/>
        <w:tblInd w:w="85" w:type="dxa"/>
        <w:tblLook w:val="0420" w:firstRow="1" w:lastRow="0" w:firstColumn="0" w:lastColumn="0" w:noHBand="0" w:noVBand="1"/>
        <w:tblDescription w:val="Table 4: 2024–25 CCI District Performance Level (Color) Results for Student Groups"/>
      </w:tblPr>
      <w:tblGrid>
        <w:gridCol w:w="3054"/>
        <w:gridCol w:w="883"/>
        <w:gridCol w:w="1057"/>
        <w:gridCol w:w="1057"/>
        <w:gridCol w:w="1057"/>
        <w:gridCol w:w="1057"/>
        <w:gridCol w:w="1057"/>
      </w:tblGrid>
      <w:tr w:rsidR="003A053D" w:rsidRPr="001E3656" w14:paraId="5F4D6880" w14:textId="77777777" w:rsidTr="000650FE">
        <w:trPr>
          <w:cantSplit/>
          <w:trHeight w:val="1240"/>
          <w:tblHeader/>
        </w:trPr>
        <w:tc>
          <w:tcPr>
            <w:tcW w:w="3054" w:type="dxa"/>
            <w:tcBorders>
              <w:top w:val="single" w:sz="4" w:space="0" w:color="auto"/>
              <w:left w:val="single" w:sz="4" w:space="0" w:color="auto"/>
              <w:bottom w:val="single" w:sz="4" w:space="0" w:color="auto"/>
              <w:right w:val="single" w:sz="4" w:space="0" w:color="auto"/>
            </w:tcBorders>
            <w:vAlign w:val="center"/>
            <w:hideMark/>
          </w:tcPr>
          <w:p w14:paraId="690142C2" w14:textId="77777777" w:rsidR="003A053D" w:rsidRPr="001E3656" w:rsidRDefault="003A053D" w:rsidP="00205DEE">
            <w:pPr>
              <w:rPr>
                <w:b/>
              </w:rPr>
            </w:pPr>
            <w:r w:rsidRPr="001E3656">
              <w:rPr>
                <w:b/>
              </w:rPr>
              <w:t>Student Groups</w:t>
            </w:r>
          </w:p>
        </w:tc>
        <w:tc>
          <w:tcPr>
            <w:tcW w:w="950" w:type="dxa"/>
            <w:tcBorders>
              <w:top w:val="single" w:sz="4" w:space="0" w:color="auto"/>
              <w:left w:val="nil"/>
              <w:bottom w:val="single" w:sz="4" w:space="0" w:color="auto"/>
              <w:right w:val="single" w:sz="4" w:space="0" w:color="auto"/>
            </w:tcBorders>
            <w:vAlign w:val="center"/>
            <w:hideMark/>
          </w:tcPr>
          <w:p w14:paraId="706AF36D" w14:textId="77777777" w:rsidR="003A053D" w:rsidRPr="001E3656" w:rsidRDefault="003A053D" w:rsidP="00205DEE">
            <w:pPr>
              <w:jc w:val="center"/>
              <w:rPr>
                <w:b/>
              </w:rPr>
            </w:pPr>
            <w:r w:rsidRPr="001E3656">
              <w:rPr>
                <w:b/>
              </w:rPr>
              <w:t>Total*</w:t>
            </w:r>
          </w:p>
        </w:tc>
        <w:tc>
          <w:tcPr>
            <w:tcW w:w="987" w:type="dxa"/>
            <w:tcBorders>
              <w:top w:val="single" w:sz="4" w:space="0" w:color="auto"/>
              <w:left w:val="nil"/>
              <w:bottom w:val="single" w:sz="4" w:space="0" w:color="auto"/>
              <w:right w:val="single" w:sz="4" w:space="0" w:color="auto"/>
            </w:tcBorders>
            <w:shd w:val="clear" w:color="auto" w:fill="A20000"/>
            <w:vAlign w:val="center"/>
            <w:hideMark/>
          </w:tcPr>
          <w:p w14:paraId="52098C77" w14:textId="77777777" w:rsidR="003A053D" w:rsidRPr="001F5B11" w:rsidRDefault="003A053D" w:rsidP="00205DEE">
            <w:pPr>
              <w:rPr>
                <w:b/>
                <w:color w:val="FFFFFF"/>
              </w:rPr>
            </w:pPr>
            <w:r w:rsidRPr="001F5B11">
              <w:rPr>
                <w:b/>
                <w:color w:val="FFFFFF"/>
              </w:rPr>
              <w:t>Red</w:t>
            </w:r>
          </w:p>
        </w:tc>
        <w:tc>
          <w:tcPr>
            <w:tcW w:w="1048" w:type="dxa"/>
            <w:tcBorders>
              <w:top w:val="single" w:sz="4" w:space="0" w:color="auto"/>
              <w:left w:val="nil"/>
              <w:bottom w:val="single" w:sz="4" w:space="0" w:color="auto"/>
              <w:right w:val="single" w:sz="4" w:space="0" w:color="auto"/>
            </w:tcBorders>
            <w:shd w:val="clear" w:color="auto" w:fill="FFA500"/>
            <w:vAlign w:val="center"/>
            <w:hideMark/>
          </w:tcPr>
          <w:p w14:paraId="535E9269" w14:textId="77777777" w:rsidR="003A053D" w:rsidRPr="001F5B11" w:rsidRDefault="003A053D" w:rsidP="00205DEE">
            <w:pPr>
              <w:rPr>
                <w:b/>
              </w:rPr>
            </w:pPr>
            <w:r w:rsidRPr="001F5B11">
              <w:rPr>
                <w:b/>
              </w:rPr>
              <w:t>Orange</w:t>
            </w:r>
          </w:p>
        </w:tc>
        <w:tc>
          <w:tcPr>
            <w:tcW w:w="987" w:type="dxa"/>
            <w:tcBorders>
              <w:top w:val="single" w:sz="4" w:space="0" w:color="auto"/>
              <w:left w:val="nil"/>
              <w:bottom w:val="single" w:sz="4" w:space="0" w:color="auto"/>
              <w:right w:val="single" w:sz="4" w:space="0" w:color="auto"/>
            </w:tcBorders>
            <w:shd w:val="clear" w:color="auto" w:fill="FFFF00"/>
            <w:vAlign w:val="center"/>
            <w:hideMark/>
          </w:tcPr>
          <w:p w14:paraId="6E23B689" w14:textId="77777777" w:rsidR="003A053D" w:rsidRPr="001F5B11" w:rsidRDefault="003A053D" w:rsidP="00205DEE">
            <w:pPr>
              <w:rPr>
                <w:b/>
              </w:rPr>
            </w:pPr>
            <w:r w:rsidRPr="001F5B11">
              <w:rPr>
                <w:b/>
              </w:rPr>
              <w:t>Yellow</w:t>
            </w:r>
          </w:p>
        </w:tc>
        <w:tc>
          <w:tcPr>
            <w:tcW w:w="987" w:type="dxa"/>
            <w:tcBorders>
              <w:top w:val="single" w:sz="4" w:space="0" w:color="auto"/>
              <w:left w:val="nil"/>
              <w:bottom w:val="single" w:sz="4" w:space="0" w:color="auto"/>
              <w:right w:val="single" w:sz="4" w:space="0" w:color="auto"/>
            </w:tcBorders>
            <w:shd w:val="clear" w:color="auto" w:fill="006500"/>
            <w:vAlign w:val="center"/>
            <w:hideMark/>
          </w:tcPr>
          <w:p w14:paraId="6B1E914A" w14:textId="77777777" w:rsidR="003A053D" w:rsidRPr="001F5B11" w:rsidRDefault="003A053D" w:rsidP="00205DEE">
            <w:pPr>
              <w:rPr>
                <w:b/>
                <w:color w:val="FFFFFF"/>
              </w:rPr>
            </w:pPr>
            <w:r w:rsidRPr="001F5B11">
              <w:rPr>
                <w:b/>
                <w:color w:val="FFFFFF"/>
              </w:rPr>
              <w:t>Green</w:t>
            </w:r>
          </w:p>
        </w:tc>
        <w:tc>
          <w:tcPr>
            <w:tcW w:w="987" w:type="dxa"/>
            <w:tcBorders>
              <w:top w:val="single" w:sz="4" w:space="0" w:color="auto"/>
              <w:left w:val="nil"/>
              <w:bottom w:val="single" w:sz="4" w:space="0" w:color="auto"/>
              <w:right w:val="single" w:sz="4" w:space="0" w:color="auto"/>
            </w:tcBorders>
            <w:shd w:val="clear" w:color="auto" w:fill="0000FF"/>
            <w:vAlign w:val="center"/>
            <w:hideMark/>
          </w:tcPr>
          <w:p w14:paraId="0EB8B6E7" w14:textId="77777777" w:rsidR="003A053D" w:rsidRPr="001F5B11" w:rsidRDefault="003A053D" w:rsidP="00205DEE">
            <w:pPr>
              <w:rPr>
                <w:b/>
                <w:color w:val="FFFFFF"/>
              </w:rPr>
            </w:pPr>
            <w:r w:rsidRPr="001F5B11">
              <w:rPr>
                <w:b/>
                <w:color w:val="FFFFFF"/>
              </w:rPr>
              <w:t>Blue</w:t>
            </w:r>
          </w:p>
        </w:tc>
      </w:tr>
      <w:tr w:rsidR="003A053D" w:rsidRPr="001E3656" w14:paraId="6775758B"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37AED343" w14:textId="77777777" w:rsidR="003A053D" w:rsidRPr="001F5B11" w:rsidRDefault="003A053D" w:rsidP="00205DEE">
            <w:pPr>
              <w:rPr>
                <w:color w:val="000000"/>
              </w:rPr>
            </w:pPr>
            <w:r w:rsidRPr="001F5B11">
              <w:rPr>
                <w:color w:val="000000"/>
              </w:rPr>
              <w:t>All Students</w:t>
            </w:r>
          </w:p>
        </w:tc>
        <w:tc>
          <w:tcPr>
            <w:tcW w:w="950" w:type="dxa"/>
            <w:tcBorders>
              <w:top w:val="nil"/>
              <w:left w:val="nil"/>
              <w:bottom w:val="single" w:sz="4" w:space="0" w:color="auto"/>
              <w:right w:val="single" w:sz="4" w:space="0" w:color="auto"/>
            </w:tcBorders>
            <w:vAlign w:val="bottom"/>
          </w:tcPr>
          <w:p w14:paraId="48EB863C" w14:textId="77777777" w:rsidR="003A053D" w:rsidRPr="001F5B11" w:rsidRDefault="003A053D" w:rsidP="00205DEE">
            <w:pPr>
              <w:jc w:val="center"/>
              <w:rPr>
                <w:color w:val="000000"/>
              </w:rPr>
            </w:pPr>
            <w:r w:rsidRPr="001F5B11">
              <w:rPr>
                <w:color w:val="000000"/>
              </w:rPr>
              <w:t>405</w:t>
            </w:r>
          </w:p>
        </w:tc>
        <w:tc>
          <w:tcPr>
            <w:tcW w:w="987" w:type="dxa"/>
            <w:tcBorders>
              <w:top w:val="nil"/>
              <w:left w:val="nil"/>
              <w:bottom w:val="single" w:sz="4" w:space="0" w:color="auto"/>
              <w:right w:val="single" w:sz="4" w:space="0" w:color="auto"/>
            </w:tcBorders>
            <w:vAlign w:val="bottom"/>
          </w:tcPr>
          <w:p w14:paraId="0E897DEC" w14:textId="77777777" w:rsidR="003A053D" w:rsidRPr="001F5B11" w:rsidRDefault="003A053D" w:rsidP="00205DEE">
            <w:pPr>
              <w:jc w:val="center"/>
              <w:rPr>
                <w:color w:val="000000"/>
              </w:rPr>
            </w:pPr>
            <w:r w:rsidRPr="001F5B11">
              <w:rPr>
                <w:color w:val="000000"/>
              </w:rPr>
              <w:t>18</w:t>
            </w:r>
            <w:r w:rsidRPr="001F5B11">
              <w:rPr>
                <w:color w:val="000000"/>
              </w:rPr>
              <w:br/>
              <w:t>(4.4%)</w:t>
            </w:r>
          </w:p>
        </w:tc>
        <w:tc>
          <w:tcPr>
            <w:tcW w:w="1048" w:type="dxa"/>
            <w:tcBorders>
              <w:top w:val="nil"/>
              <w:left w:val="nil"/>
              <w:bottom w:val="single" w:sz="4" w:space="0" w:color="auto"/>
              <w:right w:val="single" w:sz="4" w:space="0" w:color="auto"/>
            </w:tcBorders>
            <w:vAlign w:val="bottom"/>
          </w:tcPr>
          <w:p w14:paraId="4BB07D35" w14:textId="77777777" w:rsidR="003A053D" w:rsidRPr="001F5B11" w:rsidRDefault="003A053D" w:rsidP="00205DEE">
            <w:pPr>
              <w:jc w:val="center"/>
              <w:rPr>
                <w:color w:val="000000"/>
              </w:rPr>
            </w:pPr>
            <w:r w:rsidRPr="001F5B11">
              <w:rPr>
                <w:color w:val="000000"/>
              </w:rPr>
              <w:t>38</w:t>
            </w:r>
            <w:r w:rsidRPr="001F5B11">
              <w:rPr>
                <w:color w:val="000000"/>
              </w:rPr>
              <w:br/>
              <w:t>(9.4%)</w:t>
            </w:r>
          </w:p>
        </w:tc>
        <w:tc>
          <w:tcPr>
            <w:tcW w:w="987" w:type="dxa"/>
            <w:tcBorders>
              <w:top w:val="nil"/>
              <w:left w:val="nil"/>
              <w:bottom w:val="single" w:sz="4" w:space="0" w:color="auto"/>
              <w:right w:val="single" w:sz="4" w:space="0" w:color="auto"/>
            </w:tcBorders>
            <w:vAlign w:val="bottom"/>
          </w:tcPr>
          <w:p w14:paraId="4CC0361E" w14:textId="77777777" w:rsidR="003A053D" w:rsidRPr="001F5B11" w:rsidRDefault="003A053D" w:rsidP="00205DEE">
            <w:pPr>
              <w:jc w:val="center"/>
              <w:rPr>
                <w:color w:val="000000"/>
              </w:rPr>
            </w:pPr>
            <w:r w:rsidRPr="001F5B11">
              <w:rPr>
                <w:color w:val="000000"/>
              </w:rPr>
              <w:t>71</w:t>
            </w:r>
            <w:r w:rsidRPr="001F5B11">
              <w:rPr>
                <w:color w:val="000000"/>
              </w:rPr>
              <w:br/>
              <w:t>(17.5%)</w:t>
            </w:r>
          </w:p>
        </w:tc>
        <w:tc>
          <w:tcPr>
            <w:tcW w:w="987" w:type="dxa"/>
            <w:tcBorders>
              <w:top w:val="nil"/>
              <w:left w:val="nil"/>
              <w:bottom w:val="single" w:sz="4" w:space="0" w:color="auto"/>
              <w:right w:val="single" w:sz="4" w:space="0" w:color="auto"/>
            </w:tcBorders>
            <w:vAlign w:val="bottom"/>
          </w:tcPr>
          <w:p w14:paraId="04E8EAE7" w14:textId="77777777" w:rsidR="003A053D" w:rsidRPr="001F5B11" w:rsidRDefault="003A053D" w:rsidP="00205DEE">
            <w:pPr>
              <w:jc w:val="center"/>
              <w:rPr>
                <w:color w:val="000000"/>
              </w:rPr>
            </w:pPr>
            <w:r w:rsidRPr="001F5B11">
              <w:rPr>
                <w:color w:val="000000"/>
              </w:rPr>
              <w:t>216</w:t>
            </w:r>
            <w:r w:rsidRPr="001F5B11">
              <w:rPr>
                <w:color w:val="000000"/>
              </w:rPr>
              <w:br/>
              <w:t>(53.3%)</w:t>
            </w:r>
          </w:p>
        </w:tc>
        <w:tc>
          <w:tcPr>
            <w:tcW w:w="987" w:type="dxa"/>
            <w:tcBorders>
              <w:top w:val="nil"/>
              <w:left w:val="nil"/>
              <w:bottom w:val="single" w:sz="4" w:space="0" w:color="auto"/>
              <w:right w:val="single" w:sz="4" w:space="0" w:color="auto"/>
            </w:tcBorders>
            <w:vAlign w:val="bottom"/>
          </w:tcPr>
          <w:p w14:paraId="768856C3" w14:textId="77777777" w:rsidR="003A053D" w:rsidRPr="001F5B11" w:rsidRDefault="003A053D" w:rsidP="00205DEE">
            <w:pPr>
              <w:jc w:val="center"/>
              <w:rPr>
                <w:color w:val="000000"/>
              </w:rPr>
            </w:pPr>
            <w:r w:rsidRPr="001F5B11">
              <w:rPr>
                <w:color w:val="000000"/>
              </w:rPr>
              <w:t>62</w:t>
            </w:r>
            <w:r w:rsidRPr="001F5B11">
              <w:rPr>
                <w:color w:val="000000"/>
              </w:rPr>
              <w:br/>
              <w:t>(15.3%)</w:t>
            </w:r>
          </w:p>
        </w:tc>
      </w:tr>
      <w:tr w:rsidR="003A053D" w:rsidRPr="001E3656" w14:paraId="37026320"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202B3555" w14:textId="77777777" w:rsidR="003A053D" w:rsidRPr="001F5B11" w:rsidRDefault="003A053D" w:rsidP="00205DEE">
            <w:pPr>
              <w:rPr>
                <w:color w:val="000000"/>
              </w:rPr>
            </w:pPr>
            <w:r w:rsidRPr="001F5B11">
              <w:rPr>
                <w:color w:val="000000" w:themeColor="text1"/>
              </w:rPr>
              <w:t>African American</w:t>
            </w:r>
          </w:p>
        </w:tc>
        <w:tc>
          <w:tcPr>
            <w:tcW w:w="950" w:type="dxa"/>
            <w:tcBorders>
              <w:top w:val="nil"/>
              <w:left w:val="nil"/>
              <w:bottom w:val="single" w:sz="4" w:space="0" w:color="auto"/>
              <w:right w:val="single" w:sz="4" w:space="0" w:color="auto"/>
            </w:tcBorders>
            <w:vAlign w:val="bottom"/>
          </w:tcPr>
          <w:p w14:paraId="34A9BD92" w14:textId="77777777" w:rsidR="003A053D" w:rsidRPr="001F5B11" w:rsidRDefault="003A053D" w:rsidP="00205DEE">
            <w:pPr>
              <w:jc w:val="center"/>
              <w:rPr>
                <w:color w:val="000000"/>
              </w:rPr>
            </w:pPr>
            <w:r w:rsidRPr="001F5B11">
              <w:rPr>
                <w:color w:val="000000"/>
              </w:rPr>
              <w:t>113</w:t>
            </w:r>
          </w:p>
        </w:tc>
        <w:tc>
          <w:tcPr>
            <w:tcW w:w="987" w:type="dxa"/>
            <w:tcBorders>
              <w:top w:val="nil"/>
              <w:left w:val="nil"/>
              <w:bottom w:val="single" w:sz="4" w:space="0" w:color="auto"/>
              <w:right w:val="single" w:sz="4" w:space="0" w:color="auto"/>
            </w:tcBorders>
            <w:vAlign w:val="bottom"/>
          </w:tcPr>
          <w:p w14:paraId="6EDA4CA6" w14:textId="77777777" w:rsidR="003A053D" w:rsidRPr="001F5B11" w:rsidRDefault="003A053D" w:rsidP="00205DEE">
            <w:pPr>
              <w:jc w:val="center"/>
              <w:rPr>
                <w:color w:val="000000"/>
              </w:rPr>
            </w:pPr>
            <w:r w:rsidRPr="001F5B11">
              <w:rPr>
                <w:color w:val="000000"/>
              </w:rPr>
              <w:t>3</w:t>
            </w:r>
            <w:r w:rsidRPr="001F5B11">
              <w:rPr>
                <w:color w:val="000000"/>
              </w:rPr>
              <w:br/>
              <w:t>(0.7%)</w:t>
            </w:r>
          </w:p>
        </w:tc>
        <w:tc>
          <w:tcPr>
            <w:tcW w:w="1048" w:type="dxa"/>
            <w:tcBorders>
              <w:top w:val="nil"/>
              <w:left w:val="nil"/>
              <w:bottom w:val="single" w:sz="4" w:space="0" w:color="auto"/>
              <w:right w:val="single" w:sz="4" w:space="0" w:color="auto"/>
            </w:tcBorders>
            <w:vAlign w:val="bottom"/>
          </w:tcPr>
          <w:p w14:paraId="47BB6880" w14:textId="77777777" w:rsidR="003A053D" w:rsidRPr="001F5B11" w:rsidRDefault="003A053D" w:rsidP="00205DEE">
            <w:pPr>
              <w:jc w:val="center"/>
              <w:rPr>
                <w:color w:val="000000"/>
              </w:rPr>
            </w:pPr>
            <w:r w:rsidRPr="001F5B11">
              <w:rPr>
                <w:color w:val="000000"/>
              </w:rPr>
              <w:t>42</w:t>
            </w:r>
            <w:r w:rsidRPr="001F5B11">
              <w:rPr>
                <w:color w:val="000000"/>
              </w:rPr>
              <w:br/>
              <w:t>(10.4%)</w:t>
            </w:r>
          </w:p>
        </w:tc>
        <w:tc>
          <w:tcPr>
            <w:tcW w:w="987" w:type="dxa"/>
            <w:tcBorders>
              <w:top w:val="nil"/>
              <w:left w:val="nil"/>
              <w:bottom w:val="single" w:sz="4" w:space="0" w:color="auto"/>
              <w:right w:val="single" w:sz="4" w:space="0" w:color="auto"/>
            </w:tcBorders>
            <w:vAlign w:val="bottom"/>
          </w:tcPr>
          <w:p w14:paraId="7BA4DB6D" w14:textId="77777777" w:rsidR="003A053D" w:rsidRPr="001F5B11" w:rsidRDefault="003A053D" w:rsidP="00205DEE">
            <w:pPr>
              <w:jc w:val="center"/>
              <w:rPr>
                <w:color w:val="000000"/>
              </w:rPr>
            </w:pPr>
            <w:r w:rsidRPr="001F5B11">
              <w:rPr>
                <w:color w:val="000000"/>
              </w:rPr>
              <w:t>28</w:t>
            </w:r>
            <w:r w:rsidRPr="001F5B11">
              <w:rPr>
                <w:color w:val="000000"/>
              </w:rPr>
              <w:br/>
              <w:t>(6.9%)</w:t>
            </w:r>
          </w:p>
        </w:tc>
        <w:tc>
          <w:tcPr>
            <w:tcW w:w="987" w:type="dxa"/>
            <w:tcBorders>
              <w:top w:val="nil"/>
              <w:left w:val="nil"/>
              <w:bottom w:val="single" w:sz="4" w:space="0" w:color="auto"/>
              <w:right w:val="single" w:sz="4" w:space="0" w:color="auto"/>
            </w:tcBorders>
            <w:vAlign w:val="bottom"/>
          </w:tcPr>
          <w:p w14:paraId="7E82D822" w14:textId="77777777" w:rsidR="003A053D" w:rsidRPr="001F5B11" w:rsidRDefault="003A053D" w:rsidP="00205DEE">
            <w:pPr>
              <w:jc w:val="center"/>
              <w:rPr>
                <w:color w:val="000000"/>
              </w:rPr>
            </w:pPr>
            <w:r w:rsidRPr="001F5B11">
              <w:rPr>
                <w:color w:val="000000"/>
              </w:rPr>
              <w:t>38</w:t>
            </w:r>
            <w:r w:rsidRPr="001F5B11">
              <w:rPr>
                <w:color w:val="000000"/>
              </w:rPr>
              <w:br/>
              <w:t>(9.4%)</w:t>
            </w:r>
          </w:p>
        </w:tc>
        <w:tc>
          <w:tcPr>
            <w:tcW w:w="987" w:type="dxa"/>
            <w:tcBorders>
              <w:top w:val="nil"/>
              <w:left w:val="nil"/>
              <w:bottom w:val="single" w:sz="4" w:space="0" w:color="auto"/>
              <w:right w:val="single" w:sz="4" w:space="0" w:color="auto"/>
            </w:tcBorders>
            <w:vAlign w:val="bottom"/>
          </w:tcPr>
          <w:p w14:paraId="7CAA9426" w14:textId="77777777" w:rsidR="003A053D" w:rsidRPr="001F5B11" w:rsidRDefault="003A053D" w:rsidP="00205DEE">
            <w:pPr>
              <w:jc w:val="center"/>
              <w:rPr>
                <w:color w:val="000000"/>
              </w:rPr>
            </w:pPr>
            <w:r w:rsidRPr="001F5B11">
              <w:rPr>
                <w:color w:val="000000"/>
              </w:rPr>
              <w:t>2</w:t>
            </w:r>
            <w:r w:rsidRPr="001F5B11">
              <w:rPr>
                <w:color w:val="000000"/>
              </w:rPr>
              <w:br/>
              <w:t>(0.5%)</w:t>
            </w:r>
          </w:p>
        </w:tc>
      </w:tr>
      <w:tr w:rsidR="003A053D" w:rsidRPr="001E3656" w14:paraId="2D8DF321"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71A19D10" w14:textId="77777777" w:rsidR="003A053D" w:rsidRPr="001F5B11" w:rsidRDefault="003A053D" w:rsidP="00205DEE">
            <w:pPr>
              <w:rPr>
                <w:color w:val="000000"/>
              </w:rPr>
            </w:pPr>
            <w:r w:rsidRPr="001F5B11">
              <w:rPr>
                <w:color w:val="000000" w:themeColor="text1"/>
              </w:rPr>
              <w:t>American Indian</w:t>
            </w:r>
          </w:p>
        </w:tc>
        <w:tc>
          <w:tcPr>
            <w:tcW w:w="950" w:type="dxa"/>
            <w:tcBorders>
              <w:top w:val="nil"/>
              <w:left w:val="nil"/>
              <w:bottom w:val="single" w:sz="4" w:space="0" w:color="auto"/>
              <w:right w:val="single" w:sz="4" w:space="0" w:color="auto"/>
            </w:tcBorders>
            <w:vAlign w:val="bottom"/>
          </w:tcPr>
          <w:p w14:paraId="601351DE" w14:textId="77777777" w:rsidR="003A053D" w:rsidRPr="001F5B11" w:rsidRDefault="003A053D" w:rsidP="00205DEE">
            <w:pPr>
              <w:jc w:val="center"/>
              <w:rPr>
                <w:color w:val="000000"/>
              </w:rPr>
            </w:pPr>
            <w:r w:rsidRPr="001F5B11">
              <w:rPr>
                <w:color w:val="000000"/>
              </w:rPr>
              <w:t>6</w:t>
            </w:r>
          </w:p>
        </w:tc>
        <w:tc>
          <w:tcPr>
            <w:tcW w:w="987" w:type="dxa"/>
            <w:tcBorders>
              <w:top w:val="nil"/>
              <w:left w:val="nil"/>
              <w:bottom w:val="single" w:sz="4" w:space="0" w:color="auto"/>
              <w:right w:val="single" w:sz="4" w:space="0" w:color="auto"/>
            </w:tcBorders>
            <w:vAlign w:val="bottom"/>
          </w:tcPr>
          <w:p w14:paraId="60389095" w14:textId="77777777" w:rsidR="003A053D" w:rsidRPr="001F5B11" w:rsidRDefault="003A053D" w:rsidP="00205DEE">
            <w:pPr>
              <w:jc w:val="center"/>
              <w:rPr>
                <w:color w:val="000000"/>
              </w:rPr>
            </w:pPr>
            <w:r w:rsidRPr="001F5B11">
              <w:rPr>
                <w:color w:val="000000"/>
              </w:rPr>
              <w:t>0</w:t>
            </w:r>
            <w:r w:rsidRPr="001F5B11">
              <w:rPr>
                <w:color w:val="000000"/>
              </w:rPr>
              <w:br/>
              <w:t>(0.0%)</w:t>
            </w:r>
          </w:p>
        </w:tc>
        <w:tc>
          <w:tcPr>
            <w:tcW w:w="1048" w:type="dxa"/>
            <w:tcBorders>
              <w:top w:val="nil"/>
              <w:left w:val="nil"/>
              <w:bottom w:val="single" w:sz="4" w:space="0" w:color="auto"/>
              <w:right w:val="single" w:sz="4" w:space="0" w:color="auto"/>
            </w:tcBorders>
            <w:vAlign w:val="bottom"/>
          </w:tcPr>
          <w:p w14:paraId="750F8349" w14:textId="77777777" w:rsidR="003A053D" w:rsidRPr="001F5B11" w:rsidRDefault="003A053D" w:rsidP="00205DEE">
            <w:pPr>
              <w:jc w:val="center"/>
              <w:rPr>
                <w:color w:val="000000"/>
              </w:rPr>
            </w:pPr>
            <w:r w:rsidRPr="001F5B11">
              <w:rPr>
                <w:color w:val="000000"/>
              </w:rPr>
              <w:t>3</w:t>
            </w:r>
            <w:r w:rsidRPr="001F5B11">
              <w:rPr>
                <w:color w:val="000000"/>
              </w:rPr>
              <w:br/>
              <w:t>(0.7%)</w:t>
            </w:r>
          </w:p>
        </w:tc>
        <w:tc>
          <w:tcPr>
            <w:tcW w:w="987" w:type="dxa"/>
            <w:tcBorders>
              <w:top w:val="nil"/>
              <w:left w:val="nil"/>
              <w:bottom w:val="single" w:sz="4" w:space="0" w:color="auto"/>
              <w:right w:val="single" w:sz="4" w:space="0" w:color="auto"/>
            </w:tcBorders>
            <w:vAlign w:val="bottom"/>
          </w:tcPr>
          <w:p w14:paraId="6F2C7B95" w14:textId="77777777" w:rsidR="003A053D" w:rsidRPr="001F5B11" w:rsidRDefault="003A053D" w:rsidP="00205DEE">
            <w:pPr>
              <w:jc w:val="center"/>
              <w:rPr>
                <w:color w:val="000000"/>
              </w:rPr>
            </w:pPr>
            <w:r w:rsidRPr="001F5B11">
              <w:rPr>
                <w:color w:val="000000"/>
              </w:rPr>
              <w:t>2</w:t>
            </w:r>
            <w:r w:rsidRPr="001F5B11">
              <w:rPr>
                <w:color w:val="000000"/>
              </w:rPr>
              <w:br/>
              <w:t>(0.5%)</w:t>
            </w:r>
          </w:p>
        </w:tc>
        <w:tc>
          <w:tcPr>
            <w:tcW w:w="987" w:type="dxa"/>
            <w:tcBorders>
              <w:top w:val="nil"/>
              <w:left w:val="nil"/>
              <w:bottom w:val="single" w:sz="4" w:space="0" w:color="auto"/>
              <w:right w:val="single" w:sz="4" w:space="0" w:color="auto"/>
            </w:tcBorders>
            <w:vAlign w:val="bottom"/>
          </w:tcPr>
          <w:p w14:paraId="188DEAE8" w14:textId="77777777" w:rsidR="003A053D" w:rsidRPr="001F5B11" w:rsidRDefault="003A053D" w:rsidP="00205DEE">
            <w:pPr>
              <w:jc w:val="center"/>
              <w:rPr>
                <w:color w:val="000000"/>
              </w:rPr>
            </w:pPr>
            <w:r w:rsidRPr="001F5B11">
              <w:rPr>
                <w:color w:val="000000"/>
              </w:rPr>
              <w:t>1</w:t>
            </w:r>
            <w:r w:rsidRPr="001F5B11">
              <w:rPr>
                <w:color w:val="000000"/>
              </w:rPr>
              <w:br/>
              <w:t>(0.2%)</w:t>
            </w:r>
          </w:p>
        </w:tc>
        <w:tc>
          <w:tcPr>
            <w:tcW w:w="987" w:type="dxa"/>
            <w:tcBorders>
              <w:top w:val="nil"/>
              <w:left w:val="nil"/>
              <w:bottom w:val="single" w:sz="4" w:space="0" w:color="auto"/>
              <w:right w:val="single" w:sz="4" w:space="0" w:color="auto"/>
            </w:tcBorders>
            <w:vAlign w:val="bottom"/>
          </w:tcPr>
          <w:p w14:paraId="17798FCA" w14:textId="77777777" w:rsidR="003A053D" w:rsidRPr="001F5B11" w:rsidRDefault="003A053D" w:rsidP="00205DEE">
            <w:pPr>
              <w:jc w:val="center"/>
              <w:rPr>
                <w:color w:val="000000"/>
              </w:rPr>
            </w:pPr>
            <w:r w:rsidRPr="001F5B11">
              <w:rPr>
                <w:color w:val="000000"/>
              </w:rPr>
              <w:t>0</w:t>
            </w:r>
            <w:r w:rsidRPr="001F5B11">
              <w:rPr>
                <w:color w:val="000000"/>
              </w:rPr>
              <w:br/>
              <w:t>(0.0%)</w:t>
            </w:r>
          </w:p>
        </w:tc>
      </w:tr>
      <w:tr w:rsidR="003A053D" w:rsidRPr="001E3656" w14:paraId="389DA38B"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39B4FC0D" w14:textId="77777777" w:rsidR="003A053D" w:rsidRPr="001F5B11" w:rsidRDefault="003A053D" w:rsidP="00205DEE">
            <w:pPr>
              <w:rPr>
                <w:color w:val="000000"/>
              </w:rPr>
            </w:pPr>
            <w:r w:rsidRPr="001F5B11">
              <w:rPr>
                <w:color w:val="000000"/>
              </w:rPr>
              <w:t>Asian</w:t>
            </w:r>
          </w:p>
        </w:tc>
        <w:tc>
          <w:tcPr>
            <w:tcW w:w="950" w:type="dxa"/>
            <w:tcBorders>
              <w:top w:val="nil"/>
              <w:left w:val="nil"/>
              <w:bottom w:val="single" w:sz="4" w:space="0" w:color="auto"/>
              <w:right w:val="single" w:sz="4" w:space="0" w:color="auto"/>
            </w:tcBorders>
            <w:vAlign w:val="bottom"/>
          </w:tcPr>
          <w:p w14:paraId="6F364800" w14:textId="77777777" w:rsidR="003A053D" w:rsidRPr="001F5B11" w:rsidRDefault="003A053D" w:rsidP="00205DEE">
            <w:pPr>
              <w:jc w:val="center"/>
              <w:rPr>
                <w:color w:val="000000"/>
              </w:rPr>
            </w:pPr>
            <w:r w:rsidRPr="001F5B11">
              <w:rPr>
                <w:color w:val="000000"/>
              </w:rPr>
              <w:t>157</w:t>
            </w:r>
          </w:p>
        </w:tc>
        <w:tc>
          <w:tcPr>
            <w:tcW w:w="987" w:type="dxa"/>
            <w:tcBorders>
              <w:top w:val="nil"/>
              <w:left w:val="nil"/>
              <w:bottom w:val="single" w:sz="4" w:space="0" w:color="auto"/>
              <w:right w:val="single" w:sz="4" w:space="0" w:color="auto"/>
            </w:tcBorders>
            <w:vAlign w:val="bottom"/>
          </w:tcPr>
          <w:p w14:paraId="10751A92" w14:textId="77777777" w:rsidR="003A053D" w:rsidRPr="001F5B11" w:rsidRDefault="003A053D" w:rsidP="00205DEE">
            <w:pPr>
              <w:jc w:val="center"/>
              <w:rPr>
                <w:color w:val="000000"/>
              </w:rPr>
            </w:pPr>
            <w:r w:rsidRPr="001F5B11">
              <w:rPr>
                <w:color w:val="000000"/>
              </w:rPr>
              <w:t>0</w:t>
            </w:r>
            <w:r w:rsidRPr="001F5B11">
              <w:rPr>
                <w:color w:val="000000"/>
              </w:rPr>
              <w:br/>
              <w:t>(0.0%)</w:t>
            </w:r>
          </w:p>
        </w:tc>
        <w:tc>
          <w:tcPr>
            <w:tcW w:w="1048" w:type="dxa"/>
            <w:tcBorders>
              <w:top w:val="nil"/>
              <w:left w:val="nil"/>
              <w:bottom w:val="single" w:sz="4" w:space="0" w:color="auto"/>
              <w:right w:val="single" w:sz="4" w:space="0" w:color="auto"/>
            </w:tcBorders>
            <w:vAlign w:val="bottom"/>
          </w:tcPr>
          <w:p w14:paraId="7788FC2C" w14:textId="77777777" w:rsidR="003A053D" w:rsidRPr="001F5B11" w:rsidRDefault="003A053D" w:rsidP="00205DEE">
            <w:pPr>
              <w:jc w:val="center"/>
              <w:rPr>
                <w:color w:val="000000"/>
              </w:rPr>
            </w:pPr>
            <w:r w:rsidRPr="001F5B11">
              <w:rPr>
                <w:color w:val="000000"/>
              </w:rPr>
              <w:t>6</w:t>
            </w:r>
            <w:r w:rsidRPr="001F5B11">
              <w:rPr>
                <w:color w:val="000000"/>
              </w:rPr>
              <w:br/>
              <w:t>(1.5%)</w:t>
            </w:r>
          </w:p>
        </w:tc>
        <w:tc>
          <w:tcPr>
            <w:tcW w:w="987" w:type="dxa"/>
            <w:tcBorders>
              <w:top w:val="nil"/>
              <w:left w:val="nil"/>
              <w:bottom w:val="single" w:sz="4" w:space="0" w:color="auto"/>
              <w:right w:val="single" w:sz="4" w:space="0" w:color="auto"/>
            </w:tcBorders>
            <w:vAlign w:val="bottom"/>
          </w:tcPr>
          <w:p w14:paraId="5D3F1978" w14:textId="77777777" w:rsidR="003A053D" w:rsidRPr="001F5B11" w:rsidRDefault="003A053D" w:rsidP="00205DEE">
            <w:pPr>
              <w:jc w:val="center"/>
              <w:rPr>
                <w:color w:val="000000"/>
              </w:rPr>
            </w:pPr>
            <w:r w:rsidRPr="001F5B11">
              <w:rPr>
                <w:color w:val="000000"/>
              </w:rPr>
              <w:t>16</w:t>
            </w:r>
            <w:r w:rsidRPr="001F5B11">
              <w:rPr>
                <w:color w:val="000000"/>
              </w:rPr>
              <w:br/>
              <w:t>(4.0%)</w:t>
            </w:r>
          </w:p>
        </w:tc>
        <w:tc>
          <w:tcPr>
            <w:tcW w:w="987" w:type="dxa"/>
            <w:tcBorders>
              <w:top w:val="nil"/>
              <w:left w:val="nil"/>
              <w:bottom w:val="single" w:sz="4" w:space="0" w:color="auto"/>
              <w:right w:val="single" w:sz="4" w:space="0" w:color="auto"/>
            </w:tcBorders>
            <w:vAlign w:val="bottom"/>
          </w:tcPr>
          <w:p w14:paraId="58C1099A" w14:textId="77777777" w:rsidR="003A053D" w:rsidRPr="001F5B11" w:rsidRDefault="003A053D" w:rsidP="00205DEE">
            <w:pPr>
              <w:jc w:val="center"/>
              <w:rPr>
                <w:color w:val="000000"/>
              </w:rPr>
            </w:pPr>
            <w:r w:rsidRPr="001F5B11">
              <w:rPr>
                <w:color w:val="000000"/>
              </w:rPr>
              <w:t>55</w:t>
            </w:r>
            <w:r w:rsidRPr="001F5B11">
              <w:rPr>
                <w:color w:val="000000"/>
              </w:rPr>
              <w:br/>
              <w:t>(13.6%)</w:t>
            </w:r>
          </w:p>
        </w:tc>
        <w:tc>
          <w:tcPr>
            <w:tcW w:w="987" w:type="dxa"/>
            <w:tcBorders>
              <w:top w:val="nil"/>
              <w:left w:val="nil"/>
              <w:bottom w:val="single" w:sz="4" w:space="0" w:color="auto"/>
              <w:right w:val="single" w:sz="4" w:space="0" w:color="auto"/>
            </w:tcBorders>
            <w:vAlign w:val="bottom"/>
          </w:tcPr>
          <w:p w14:paraId="009A4033" w14:textId="77777777" w:rsidR="003A053D" w:rsidRPr="001F5B11" w:rsidRDefault="003A053D" w:rsidP="00205DEE">
            <w:pPr>
              <w:jc w:val="center"/>
              <w:rPr>
                <w:color w:val="000000"/>
              </w:rPr>
            </w:pPr>
            <w:r w:rsidRPr="001F5B11">
              <w:rPr>
                <w:color w:val="000000"/>
              </w:rPr>
              <w:t>80</w:t>
            </w:r>
            <w:r w:rsidRPr="001F5B11">
              <w:rPr>
                <w:color w:val="000000"/>
              </w:rPr>
              <w:br/>
              <w:t>(19.8%)</w:t>
            </w:r>
          </w:p>
        </w:tc>
      </w:tr>
      <w:tr w:rsidR="003A053D" w:rsidRPr="001E3656" w14:paraId="300A498D"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1297DC20" w14:textId="77777777" w:rsidR="003A053D" w:rsidRPr="001F5B11" w:rsidRDefault="003A053D" w:rsidP="00205DEE">
            <w:pPr>
              <w:rPr>
                <w:color w:val="000000"/>
              </w:rPr>
            </w:pPr>
            <w:r w:rsidRPr="001F5B11">
              <w:rPr>
                <w:color w:val="000000"/>
              </w:rPr>
              <w:t>Filipino</w:t>
            </w:r>
          </w:p>
        </w:tc>
        <w:tc>
          <w:tcPr>
            <w:tcW w:w="950" w:type="dxa"/>
            <w:tcBorders>
              <w:top w:val="nil"/>
              <w:left w:val="nil"/>
              <w:bottom w:val="single" w:sz="4" w:space="0" w:color="auto"/>
              <w:right w:val="single" w:sz="4" w:space="0" w:color="auto"/>
            </w:tcBorders>
            <w:vAlign w:val="bottom"/>
          </w:tcPr>
          <w:p w14:paraId="66E46148" w14:textId="77777777" w:rsidR="003A053D" w:rsidRPr="001F5B11" w:rsidRDefault="003A053D" w:rsidP="00205DEE">
            <w:pPr>
              <w:jc w:val="center"/>
              <w:rPr>
                <w:color w:val="000000"/>
              </w:rPr>
            </w:pPr>
            <w:r w:rsidRPr="001F5B11">
              <w:rPr>
                <w:color w:val="000000"/>
              </w:rPr>
              <w:t>90</w:t>
            </w:r>
          </w:p>
        </w:tc>
        <w:tc>
          <w:tcPr>
            <w:tcW w:w="987" w:type="dxa"/>
            <w:tcBorders>
              <w:top w:val="nil"/>
              <w:left w:val="nil"/>
              <w:bottom w:val="single" w:sz="4" w:space="0" w:color="auto"/>
              <w:right w:val="single" w:sz="4" w:space="0" w:color="auto"/>
            </w:tcBorders>
            <w:vAlign w:val="bottom"/>
          </w:tcPr>
          <w:p w14:paraId="6275070F" w14:textId="77777777" w:rsidR="003A053D" w:rsidRPr="001F5B11" w:rsidRDefault="003A053D" w:rsidP="00205DEE">
            <w:pPr>
              <w:jc w:val="center"/>
              <w:rPr>
                <w:color w:val="000000"/>
              </w:rPr>
            </w:pPr>
            <w:r w:rsidRPr="001F5B11">
              <w:rPr>
                <w:color w:val="000000"/>
              </w:rPr>
              <w:t>0</w:t>
            </w:r>
            <w:r w:rsidRPr="001F5B11">
              <w:rPr>
                <w:color w:val="000000"/>
              </w:rPr>
              <w:br/>
              <w:t>(0.0%)</w:t>
            </w:r>
          </w:p>
        </w:tc>
        <w:tc>
          <w:tcPr>
            <w:tcW w:w="1048" w:type="dxa"/>
            <w:tcBorders>
              <w:top w:val="nil"/>
              <w:left w:val="nil"/>
              <w:bottom w:val="single" w:sz="4" w:space="0" w:color="auto"/>
              <w:right w:val="single" w:sz="4" w:space="0" w:color="auto"/>
            </w:tcBorders>
            <w:vAlign w:val="bottom"/>
          </w:tcPr>
          <w:p w14:paraId="3E9CA69D" w14:textId="77777777" w:rsidR="003A053D" w:rsidRPr="001F5B11" w:rsidRDefault="003A053D" w:rsidP="00205DEE">
            <w:pPr>
              <w:jc w:val="center"/>
              <w:rPr>
                <w:color w:val="000000"/>
              </w:rPr>
            </w:pPr>
            <w:r w:rsidRPr="001F5B11">
              <w:rPr>
                <w:color w:val="000000"/>
              </w:rPr>
              <w:t>2</w:t>
            </w:r>
            <w:r w:rsidRPr="001F5B11">
              <w:rPr>
                <w:color w:val="000000"/>
              </w:rPr>
              <w:br/>
              <w:t>(0.5%)</w:t>
            </w:r>
          </w:p>
        </w:tc>
        <w:tc>
          <w:tcPr>
            <w:tcW w:w="987" w:type="dxa"/>
            <w:tcBorders>
              <w:top w:val="nil"/>
              <w:left w:val="nil"/>
              <w:bottom w:val="single" w:sz="4" w:space="0" w:color="auto"/>
              <w:right w:val="single" w:sz="4" w:space="0" w:color="auto"/>
            </w:tcBorders>
            <w:vAlign w:val="bottom"/>
          </w:tcPr>
          <w:p w14:paraId="1AB0988C" w14:textId="77777777" w:rsidR="003A053D" w:rsidRPr="001F5B11" w:rsidRDefault="003A053D" w:rsidP="00205DEE">
            <w:pPr>
              <w:jc w:val="center"/>
              <w:rPr>
                <w:color w:val="000000"/>
              </w:rPr>
            </w:pPr>
            <w:r w:rsidRPr="001F5B11">
              <w:rPr>
                <w:color w:val="000000"/>
              </w:rPr>
              <w:t>8</w:t>
            </w:r>
            <w:r w:rsidRPr="001F5B11">
              <w:rPr>
                <w:color w:val="000000"/>
              </w:rPr>
              <w:br/>
              <w:t>(2.0%)</w:t>
            </w:r>
          </w:p>
        </w:tc>
        <w:tc>
          <w:tcPr>
            <w:tcW w:w="987" w:type="dxa"/>
            <w:tcBorders>
              <w:top w:val="nil"/>
              <w:left w:val="nil"/>
              <w:bottom w:val="single" w:sz="4" w:space="0" w:color="auto"/>
              <w:right w:val="single" w:sz="4" w:space="0" w:color="auto"/>
            </w:tcBorders>
            <w:vAlign w:val="bottom"/>
          </w:tcPr>
          <w:p w14:paraId="03D8FF97" w14:textId="77777777" w:rsidR="003A053D" w:rsidRPr="001F5B11" w:rsidRDefault="003A053D" w:rsidP="00205DEE">
            <w:pPr>
              <w:jc w:val="center"/>
              <w:rPr>
                <w:color w:val="000000"/>
              </w:rPr>
            </w:pPr>
            <w:r w:rsidRPr="001F5B11">
              <w:rPr>
                <w:color w:val="000000"/>
              </w:rPr>
              <w:t>29</w:t>
            </w:r>
            <w:r w:rsidRPr="001F5B11">
              <w:rPr>
                <w:color w:val="000000"/>
              </w:rPr>
              <w:br/>
              <w:t>(7.2%)</w:t>
            </w:r>
          </w:p>
        </w:tc>
        <w:tc>
          <w:tcPr>
            <w:tcW w:w="987" w:type="dxa"/>
            <w:tcBorders>
              <w:top w:val="nil"/>
              <w:left w:val="nil"/>
              <w:bottom w:val="single" w:sz="4" w:space="0" w:color="auto"/>
              <w:right w:val="single" w:sz="4" w:space="0" w:color="auto"/>
            </w:tcBorders>
            <w:vAlign w:val="bottom"/>
          </w:tcPr>
          <w:p w14:paraId="36D1F755" w14:textId="77777777" w:rsidR="003A053D" w:rsidRPr="001F5B11" w:rsidRDefault="003A053D" w:rsidP="00205DEE">
            <w:pPr>
              <w:jc w:val="center"/>
              <w:rPr>
                <w:color w:val="000000"/>
              </w:rPr>
            </w:pPr>
            <w:r w:rsidRPr="001F5B11">
              <w:rPr>
                <w:color w:val="000000"/>
              </w:rPr>
              <w:t>51</w:t>
            </w:r>
            <w:r w:rsidRPr="001F5B11">
              <w:rPr>
                <w:color w:val="000000"/>
              </w:rPr>
              <w:br/>
              <w:t>(12.6%)</w:t>
            </w:r>
          </w:p>
        </w:tc>
      </w:tr>
      <w:tr w:rsidR="003A053D" w:rsidRPr="001E3656" w14:paraId="2D0D786D"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15B47F9D" w14:textId="77777777" w:rsidR="003A053D" w:rsidRPr="001F5B11" w:rsidRDefault="003A053D" w:rsidP="00205DEE">
            <w:pPr>
              <w:rPr>
                <w:color w:val="000000"/>
              </w:rPr>
            </w:pPr>
            <w:r w:rsidRPr="001F5B11">
              <w:rPr>
                <w:color w:val="000000"/>
              </w:rPr>
              <w:t>Hispanic</w:t>
            </w:r>
          </w:p>
        </w:tc>
        <w:tc>
          <w:tcPr>
            <w:tcW w:w="950" w:type="dxa"/>
            <w:tcBorders>
              <w:top w:val="nil"/>
              <w:left w:val="nil"/>
              <w:bottom w:val="single" w:sz="4" w:space="0" w:color="auto"/>
              <w:right w:val="single" w:sz="4" w:space="0" w:color="auto"/>
            </w:tcBorders>
            <w:vAlign w:val="bottom"/>
          </w:tcPr>
          <w:p w14:paraId="48907843" w14:textId="77777777" w:rsidR="003A053D" w:rsidRPr="001F5B11" w:rsidRDefault="003A053D" w:rsidP="00205DEE">
            <w:pPr>
              <w:jc w:val="center"/>
              <w:rPr>
                <w:color w:val="000000"/>
              </w:rPr>
            </w:pPr>
            <w:r w:rsidRPr="001F5B11">
              <w:rPr>
                <w:color w:val="000000"/>
              </w:rPr>
              <w:t>361</w:t>
            </w:r>
          </w:p>
        </w:tc>
        <w:tc>
          <w:tcPr>
            <w:tcW w:w="987" w:type="dxa"/>
            <w:tcBorders>
              <w:top w:val="nil"/>
              <w:left w:val="nil"/>
              <w:bottom w:val="single" w:sz="4" w:space="0" w:color="auto"/>
              <w:right w:val="single" w:sz="4" w:space="0" w:color="auto"/>
            </w:tcBorders>
            <w:vAlign w:val="bottom"/>
          </w:tcPr>
          <w:p w14:paraId="69626E17" w14:textId="77777777" w:rsidR="003A053D" w:rsidRPr="001F5B11" w:rsidRDefault="003A053D" w:rsidP="00205DEE">
            <w:pPr>
              <w:jc w:val="center"/>
              <w:rPr>
                <w:color w:val="000000"/>
              </w:rPr>
            </w:pPr>
            <w:r w:rsidRPr="001F5B11">
              <w:rPr>
                <w:color w:val="000000"/>
              </w:rPr>
              <w:t>15</w:t>
            </w:r>
            <w:r w:rsidRPr="001F5B11">
              <w:rPr>
                <w:color w:val="000000"/>
              </w:rPr>
              <w:br/>
              <w:t>(3.7%)</w:t>
            </w:r>
          </w:p>
        </w:tc>
        <w:tc>
          <w:tcPr>
            <w:tcW w:w="1048" w:type="dxa"/>
            <w:tcBorders>
              <w:top w:val="nil"/>
              <w:left w:val="nil"/>
              <w:bottom w:val="single" w:sz="4" w:space="0" w:color="auto"/>
              <w:right w:val="single" w:sz="4" w:space="0" w:color="auto"/>
            </w:tcBorders>
            <w:vAlign w:val="bottom"/>
          </w:tcPr>
          <w:p w14:paraId="00265AB3" w14:textId="77777777" w:rsidR="003A053D" w:rsidRPr="001F5B11" w:rsidRDefault="003A053D" w:rsidP="00205DEE">
            <w:pPr>
              <w:jc w:val="center"/>
              <w:rPr>
                <w:color w:val="000000"/>
              </w:rPr>
            </w:pPr>
            <w:r w:rsidRPr="001F5B11">
              <w:rPr>
                <w:color w:val="000000"/>
              </w:rPr>
              <w:t>54</w:t>
            </w:r>
            <w:r w:rsidRPr="001F5B11">
              <w:rPr>
                <w:color w:val="000000"/>
              </w:rPr>
              <w:br/>
              <w:t>(13.3%)</w:t>
            </w:r>
          </w:p>
        </w:tc>
        <w:tc>
          <w:tcPr>
            <w:tcW w:w="987" w:type="dxa"/>
            <w:tcBorders>
              <w:top w:val="nil"/>
              <w:left w:val="nil"/>
              <w:bottom w:val="single" w:sz="4" w:space="0" w:color="auto"/>
              <w:right w:val="single" w:sz="4" w:space="0" w:color="auto"/>
            </w:tcBorders>
            <w:vAlign w:val="bottom"/>
          </w:tcPr>
          <w:p w14:paraId="5A723F8C" w14:textId="77777777" w:rsidR="003A053D" w:rsidRPr="001F5B11" w:rsidRDefault="003A053D" w:rsidP="00205DEE">
            <w:pPr>
              <w:jc w:val="center"/>
              <w:rPr>
                <w:color w:val="000000"/>
              </w:rPr>
            </w:pPr>
            <w:r w:rsidRPr="001F5B11">
              <w:rPr>
                <w:color w:val="000000"/>
              </w:rPr>
              <w:t>75</w:t>
            </w:r>
            <w:r w:rsidRPr="001F5B11">
              <w:rPr>
                <w:color w:val="000000"/>
              </w:rPr>
              <w:br/>
              <w:t>(18.5%)</w:t>
            </w:r>
          </w:p>
        </w:tc>
        <w:tc>
          <w:tcPr>
            <w:tcW w:w="987" w:type="dxa"/>
            <w:tcBorders>
              <w:top w:val="nil"/>
              <w:left w:val="nil"/>
              <w:bottom w:val="single" w:sz="4" w:space="0" w:color="auto"/>
              <w:right w:val="single" w:sz="4" w:space="0" w:color="auto"/>
            </w:tcBorders>
            <w:vAlign w:val="bottom"/>
          </w:tcPr>
          <w:p w14:paraId="6BFCB261" w14:textId="77777777" w:rsidR="003A053D" w:rsidRPr="001F5B11" w:rsidRDefault="003A053D" w:rsidP="00205DEE">
            <w:pPr>
              <w:jc w:val="center"/>
              <w:rPr>
                <w:color w:val="000000"/>
              </w:rPr>
            </w:pPr>
            <w:r w:rsidRPr="001F5B11">
              <w:rPr>
                <w:color w:val="000000"/>
              </w:rPr>
              <w:t>192</w:t>
            </w:r>
            <w:r w:rsidRPr="001F5B11">
              <w:rPr>
                <w:color w:val="000000"/>
              </w:rPr>
              <w:br/>
              <w:t>(47.4%)</w:t>
            </w:r>
          </w:p>
        </w:tc>
        <w:tc>
          <w:tcPr>
            <w:tcW w:w="987" w:type="dxa"/>
            <w:tcBorders>
              <w:top w:val="nil"/>
              <w:left w:val="nil"/>
              <w:bottom w:val="single" w:sz="4" w:space="0" w:color="auto"/>
              <w:right w:val="single" w:sz="4" w:space="0" w:color="auto"/>
            </w:tcBorders>
            <w:vAlign w:val="bottom"/>
          </w:tcPr>
          <w:p w14:paraId="58541744" w14:textId="77777777" w:rsidR="003A053D" w:rsidRPr="001F5B11" w:rsidRDefault="003A053D" w:rsidP="00205DEE">
            <w:pPr>
              <w:jc w:val="center"/>
              <w:rPr>
                <w:color w:val="000000"/>
              </w:rPr>
            </w:pPr>
            <w:r w:rsidRPr="001F5B11">
              <w:rPr>
                <w:color w:val="000000"/>
              </w:rPr>
              <w:t>25</w:t>
            </w:r>
            <w:r w:rsidRPr="001F5B11">
              <w:rPr>
                <w:color w:val="000000"/>
              </w:rPr>
              <w:br/>
              <w:t>(6.2%)</w:t>
            </w:r>
          </w:p>
        </w:tc>
      </w:tr>
      <w:tr w:rsidR="003A053D" w:rsidRPr="001E3656" w14:paraId="7756208A"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78D1B693" w14:textId="77777777" w:rsidR="003A053D" w:rsidRPr="001F5B11" w:rsidRDefault="003A053D" w:rsidP="00205DEE">
            <w:pPr>
              <w:rPr>
                <w:color w:val="000000"/>
              </w:rPr>
            </w:pPr>
            <w:r w:rsidRPr="001F5B11">
              <w:rPr>
                <w:color w:val="000000"/>
              </w:rPr>
              <w:t>Pacific Islander</w:t>
            </w:r>
          </w:p>
        </w:tc>
        <w:tc>
          <w:tcPr>
            <w:tcW w:w="950" w:type="dxa"/>
            <w:tcBorders>
              <w:top w:val="nil"/>
              <w:left w:val="nil"/>
              <w:bottom w:val="single" w:sz="4" w:space="0" w:color="auto"/>
              <w:right w:val="single" w:sz="4" w:space="0" w:color="auto"/>
            </w:tcBorders>
            <w:vAlign w:val="bottom"/>
          </w:tcPr>
          <w:p w14:paraId="20562276" w14:textId="77777777" w:rsidR="003A053D" w:rsidRPr="001F5B11" w:rsidRDefault="003A053D" w:rsidP="00205DEE">
            <w:pPr>
              <w:jc w:val="center"/>
              <w:rPr>
                <w:color w:val="000000"/>
              </w:rPr>
            </w:pPr>
            <w:r w:rsidRPr="001F5B11">
              <w:rPr>
                <w:color w:val="000000"/>
              </w:rPr>
              <w:t>8</w:t>
            </w:r>
          </w:p>
        </w:tc>
        <w:tc>
          <w:tcPr>
            <w:tcW w:w="987" w:type="dxa"/>
            <w:tcBorders>
              <w:top w:val="nil"/>
              <w:left w:val="nil"/>
              <w:bottom w:val="single" w:sz="4" w:space="0" w:color="auto"/>
              <w:right w:val="single" w:sz="4" w:space="0" w:color="auto"/>
            </w:tcBorders>
            <w:vAlign w:val="bottom"/>
          </w:tcPr>
          <w:p w14:paraId="2374C27D" w14:textId="77777777" w:rsidR="003A053D" w:rsidRPr="001F5B11" w:rsidRDefault="003A053D" w:rsidP="00205DEE">
            <w:pPr>
              <w:jc w:val="center"/>
              <w:rPr>
                <w:color w:val="000000"/>
              </w:rPr>
            </w:pPr>
            <w:r w:rsidRPr="001F5B11">
              <w:rPr>
                <w:color w:val="000000"/>
              </w:rPr>
              <w:t>0</w:t>
            </w:r>
            <w:r w:rsidRPr="001F5B11">
              <w:rPr>
                <w:color w:val="000000"/>
              </w:rPr>
              <w:br/>
              <w:t>(0.0%)</w:t>
            </w:r>
          </w:p>
        </w:tc>
        <w:tc>
          <w:tcPr>
            <w:tcW w:w="1048" w:type="dxa"/>
            <w:tcBorders>
              <w:top w:val="nil"/>
              <w:left w:val="nil"/>
              <w:bottom w:val="single" w:sz="4" w:space="0" w:color="auto"/>
              <w:right w:val="single" w:sz="4" w:space="0" w:color="auto"/>
            </w:tcBorders>
            <w:vAlign w:val="bottom"/>
          </w:tcPr>
          <w:p w14:paraId="51560309" w14:textId="77777777" w:rsidR="003A053D" w:rsidRPr="001F5B11" w:rsidRDefault="003A053D" w:rsidP="00205DEE">
            <w:pPr>
              <w:jc w:val="center"/>
              <w:rPr>
                <w:color w:val="000000"/>
              </w:rPr>
            </w:pPr>
            <w:r w:rsidRPr="001F5B11">
              <w:rPr>
                <w:color w:val="000000"/>
              </w:rPr>
              <w:t>1</w:t>
            </w:r>
            <w:r w:rsidRPr="001F5B11">
              <w:rPr>
                <w:color w:val="000000"/>
              </w:rPr>
              <w:br/>
              <w:t>(0.2%)</w:t>
            </w:r>
          </w:p>
        </w:tc>
        <w:tc>
          <w:tcPr>
            <w:tcW w:w="987" w:type="dxa"/>
            <w:tcBorders>
              <w:top w:val="nil"/>
              <w:left w:val="nil"/>
              <w:bottom w:val="single" w:sz="4" w:space="0" w:color="auto"/>
              <w:right w:val="single" w:sz="4" w:space="0" w:color="auto"/>
            </w:tcBorders>
            <w:vAlign w:val="bottom"/>
          </w:tcPr>
          <w:p w14:paraId="6BBF5100" w14:textId="77777777" w:rsidR="003A053D" w:rsidRPr="001F5B11" w:rsidRDefault="003A053D" w:rsidP="00205DEE">
            <w:pPr>
              <w:jc w:val="center"/>
              <w:rPr>
                <w:color w:val="000000"/>
              </w:rPr>
            </w:pPr>
            <w:r w:rsidRPr="001F5B11">
              <w:rPr>
                <w:color w:val="000000"/>
              </w:rPr>
              <w:t>4</w:t>
            </w:r>
            <w:r w:rsidRPr="001F5B11">
              <w:rPr>
                <w:color w:val="000000"/>
              </w:rPr>
              <w:br/>
              <w:t>(1.0%)</w:t>
            </w:r>
          </w:p>
        </w:tc>
        <w:tc>
          <w:tcPr>
            <w:tcW w:w="987" w:type="dxa"/>
            <w:tcBorders>
              <w:top w:val="nil"/>
              <w:left w:val="nil"/>
              <w:bottom w:val="single" w:sz="4" w:space="0" w:color="auto"/>
              <w:right w:val="single" w:sz="4" w:space="0" w:color="auto"/>
            </w:tcBorders>
            <w:vAlign w:val="bottom"/>
          </w:tcPr>
          <w:p w14:paraId="259359F3" w14:textId="77777777" w:rsidR="003A053D" w:rsidRPr="001F5B11" w:rsidRDefault="003A053D" w:rsidP="00205DEE">
            <w:pPr>
              <w:jc w:val="center"/>
              <w:rPr>
                <w:color w:val="000000"/>
              </w:rPr>
            </w:pPr>
            <w:r w:rsidRPr="001F5B11">
              <w:rPr>
                <w:color w:val="000000"/>
              </w:rPr>
              <w:t>3</w:t>
            </w:r>
            <w:r w:rsidRPr="001F5B11">
              <w:rPr>
                <w:color w:val="000000"/>
              </w:rPr>
              <w:br/>
              <w:t>(0.7%)</w:t>
            </w:r>
          </w:p>
        </w:tc>
        <w:tc>
          <w:tcPr>
            <w:tcW w:w="987" w:type="dxa"/>
            <w:tcBorders>
              <w:top w:val="nil"/>
              <w:left w:val="nil"/>
              <w:bottom w:val="single" w:sz="4" w:space="0" w:color="auto"/>
              <w:right w:val="single" w:sz="4" w:space="0" w:color="auto"/>
            </w:tcBorders>
            <w:vAlign w:val="bottom"/>
          </w:tcPr>
          <w:p w14:paraId="20EE76F4" w14:textId="77777777" w:rsidR="003A053D" w:rsidRPr="001F5B11" w:rsidRDefault="003A053D" w:rsidP="00205DEE">
            <w:pPr>
              <w:jc w:val="center"/>
              <w:rPr>
                <w:color w:val="000000"/>
              </w:rPr>
            </w:pPr>
            <w:r w:rsidRPr="001F5B11">
              <w:rPr>
                <w:color w:val="000000"/>
              </w:rPr>
              <w:t>0</w:t>
            </w:r>
            <w:r w:rsidRPr="001F5B11">
              <w:rPr>
                <w:color w:val="000000"/>
              </w:rPr>
              <w:br/>
              <w:t>(0.0%)</w:t>
            </w:r>
          </w:p>
        </w:tc>
      </w:tr>
      <w:tr w:rsidR="003A053D" w:rsidRPr="001E3656" w14:paraId="21E64F90"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3E2B4D49" w14:textId="77777777" w:rsidR="003A053D" w:rsidRPr="001F5B11" w:rsidRDefault="003A053D" w:rsidP="00205DEE">
            <w:pPr>
              <w:rPr>
                <w:color w:val="000000"/>
              </w:rPr>
            </w:pPr>
            <w:r w:rsidRPr="001F5B11">
              <w:rPr>
                <w:color w:val="000000" w:themeColor="text1"/>
              </w:rPr>
              <w:t>Two or More Races</w:t>
            </w:r>
          </w:p>
        </w:tc>
        <w:tc>
          <w:tcPr>
            <w:tcW w:w="950" w:type="dxa"/>
            <w:tcBorders>
              <w:top w:val="nil"/>
              <w:left w:val="nil"/>
              <w:bottom w:val="single" w:sz="4" w:space="0" w:color="auto"/>
              <w:right w:val="single" w:sz="4" w:space="0" w:color="auto"/>
            </w:tcBorders>
            <w:vAlign w:val="bottom"/>
          </w:tcPr>
          <w:p w14:paraId="1E40CCCD" w14:textId="77777777" w:rsidR="003A053D" w:rsidRPr="001F5B11" w:rsidRDefault="003A053D" w:rsidP="00205DEE">
            <w:pPr>
              <w:jc w:val="center"/>
              <w:rPr>
                <w:color w:val="000000"/>
              </w:rPr>
            </w:pPr>
            <w:r w:rsidRPr="001F5B11">
              <w:rPr>
                <w:color w:val="000000"/>
              </w:rPr>
              <w:t>142</w:t>
            </w:r>
          </w:p>
        </w:tc>
        <w:tc>
          <w:tcPr>
            <w:tcW w:w="987" w:type="dxa"/>
            <w:tcBorders>
              <w:top w:val="nil"/>
              <w:left w:val="nil"/>
              <w:bottom w:val="single" w:sz="4" w:space="0" w:color="auto"/>
              <w:right w:val="single" w:sz="4" w:space="0" w:color="auto"/>
            </w:tcBorders>
            <w:vAlign w:val="bottom"/>
          </w:tcPr>
          <w:p w14:paraId="36FDA1CD" w14:textId="77777777" w:rsidR="003A053D" w:rsidRPr="001F5B11" w:rsidRDefault="003A053D" w:rsidP="00205DEE">
            <w:pPr>
              <w:jc w:val="center"/>
              <w:rPr>
                <w:color w:val="000000"/>
              </w:rPr>
            </w:pPr>
            <w:r w:rsidRPr="001F5B11">
              <w:rPr>
                <w:color w:val="000000"/>
              </w:rPr>
              <w:t>1</w:t>
            </w:r>
            <w:r w:rsidRPr="001F5B11">
              <w:rPr>
                <w:color w:val="000000"/>
              </w:rPr>
              <w:br/>
              <w:t>(0.2%)</w:t>
            </w:r>
          </w:p>
        </w:tc>
        <w:tc>
          <w:tcPr>
            <w:tcW w:w="1048" w:type="dxa"/>
            <w:tcBorders>
              <w:top w:val="nil"/>
              <w:left w:val="nil"/>
              <w:bottom w:val="single" w:sz="4" w:space="0" w:color="auto"/>
              <w:right w:val="single" w:sz="4" w:space="0" w:color="auto"/>
            </w:tcBorders>
            <w:vAlign w:val="bottom"/>
          </w:tcPr>
          <w:p w14:paraId="3B34FA55" w14:textId="77777777" w:rsidR="003A053D" w:rsidRPr="001F5B11" w:rsidRDefault="003A053D" w:rsidP="00205DEE">
            <w:pPr>
              <w:jc w:val="center"/>
              <w:rPr>
                <w:color w:val="000000"/>
              </w:rPr>
            </w:pPr>
            <w:r w:rsidRPr="001F5B11">
              <w:rPr>
                <w:color w:val="000000"/>
              </w:rPr>
              <w:t>19</w:t>
            </w:r>
            <w:r w:rsidRPr="001F5B11">
              <w:rPr>
                <w:color w:val="000000"/>
              </w:rPr>
              <w:br/>
              <w:t>(4.7%)</w:t>
            </w:r>
          </w:p>
        </w:tc>
        <w:tc>
          <w:tcPr>
            <w:tcW w:w="987" w:type="dxa"/>
            <w:tcBorders>
              <w:top w:val="nil"/>
              <w:left w:val="nil"/>
              <w:bottom w:val="single" w:sz="4" w:space="0" w:color="auto"/>
              <w:right w:val="single" w:sz="4" w:space="0" w:color="auto"/>
            </w:tcBorders>
            <w:vAlign w:val="bottom"/>
          </w:tcPr>
          <w:p w14:paraId="7A7465F1" w14:textId="77777777" w:rsidR="003A053D" w:rsidRPr="001F5B11" w:rsidRDefault="003A053D" w:rsidP="00205DEE">
            <w:pPr>
              <w:jc w:val="center"/>
              <w:rPr>
                <w:color w:val="000000"/>
              </w:rPr>
            </w:pPr>
            <w:r w:rsidRPr="001F5B11">
              <w:rPr>
                <w:color w:val="000000"/>
              </w:rPr>
              <w:t>21</w:t>
            </w:r>
            <w:r w:rsidRPr="001F5B11">
              <w:rPr>
                <w:color w:val="000000"/>
              </w:rPr>
              <w:br/>
              <w:t>(5.2%)</w:t>
            </w:r>
          </w:p>
        </w:tc>
        <w:tc>
          <w:tcPr>
            <w:tcW w:w="987" w:type="dxa"/>
            <w:tcBorders>
              <w:top w:val="nil"/>
              <w:left w:val="nil"/>
              <w:bottom w:val="single" w:sz="4" w:space="0" w:color="auto"/>
              <w:right w:val="single" w:sz="4" w:space="0" w:color="auto"/>
            </w:tcBorders>
            <w:vAlign w:val="bottom"/>
          </w:tcPr>
          <w:p w14:paraId="5E77D14D" w14:textId="77777777" w:rsidR="003A053D" w:rsidRPr="001F5B11" w:rsidRDefault="003A053D" w:rsidP="00205DEE">
            <w:pPr>
              <w:jc w:val="center"/>
              <w:rPr>
                <w:color w:val="000000"/>
              </w:rPr>
            </w:pPr>
            <w:r w:rsidRPr="001F5B11">
              <w:rPr>
                <w:color w:val="000000"/>
              </w:rPr>
              <w:t>49</w:t>
            </w:r>
            <w:r w:rsidRPr="001F5B11">
              <w:rPr>
                <w:color w:val="000000"/>
              </w:rPr>
              <w:br/>
              <w:t>(12.1%)</w:t>
            </w:r>
          </w:p>
        </w:tc>
        <w:tc>
          <w:tcPr>
            <w:tcW w:w="987" w:type="dxa"/>
            <w:tcBorders>
              <w:top w:val="nil"/>
              <w:left w:val="nil"/>
              <w:bottom w:val="single" w:sz="4" w:space="0" w:color="auto"/>
              <w:right w:val="single" w:sz="4" w:space="0" w:color="auto"/>
            </w:tcBorders>
            <w:vAlign w:val="bottom"/>
          </w:tcPr>
          <w:p w14:paraId="35A54F77" w14:textId="77777777" w:rsidR="003A053D" w:rsidRPr="001F5B11" w:rsidRDefault="003A053D" w:rsidP="00205DEE">
            <w:pPr>
              <w:jc w:val="center"/>
              <w:rPr>
                <w:color w:val="000000"/>
              </w:rPr>
            </w:pPr>
            <w:r w:rsidRPr="001F5B11">
              <w:rPr>
                <w:color w:val="000000"/>
              </w:rPr>
              <w:t>52</w:t>
            </w:r>
            <w:r w:rsidRPr="001F5B11">
              <w:rPr>
                <w:color w:val="000000"/>
              </w:rPr>
              <w:br/>
              <w:t>(12.8%)</w:t>
            </w:r>
          </w:p>
        </w:tc>
      </w:tr>
      <w:tr w:rsidR="003A053D" w:rsidRPr="001E3656" w14:paraId="674DE9AE"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1B871E28" w14:textId="77777777" w:rsidR="003A053D" w:rsidRPr="001F5B11" w:rsidRDefault="003A053D" w:rsidP="00205DEE">
            <w:pPr>
              <w:rPr>
                <w:color w:val="000000"/>
              </w:rPr>
            </w:pPr>
            <w:r w:rsidRPr="001F5B11">
              <w:rPr>
                <w:color w:val="000000"/>
              </w:rPr>
              <w:t>White</w:t>
            </w:r>
          </w:p>
        </w:tc>
        <w:tc>
          <w:tcPr>
            <w:tcW w:w="950" w:type="dxa"/>
            <w:tcBorders>
              <w:top w:val="nil"/>
              <w:left w:val="nil"/>
              <w:bottom w:val="single" w:sz="4" w:space="0" w:color="auto"/>
              <w:right w:val="single" w:sz="4" w:space="0" w:color="auto"/>
            </w:tcBorders>
            <w:vAlign w:val="bottom"/>
          </w:tcPr>
          <w:p w14:paraId="299CAC04" w14:textId="77777777" w:rsidR="003A053D" w:rsidRPr="001F5B11" w:rsidRDefault="003A053D" w:rsidP="00205DEE">
            <w:pPr>
              <w:jc w:val="center"/>
              <w:rPr>
                <w:color w:val="000000"/>
              </w:rPr>
            </w:pPr>
            <w:r w:rsidRPr="001F5B11">
              <w:rPr>
                <w:color w:val="000000"/>
              </w:rPr>
              <w:t>302</w:t>
            </w:r>
          </w:p>
        </w:tc>
        <w:tc>
          <w:tcPr>
            <w:tcW w:w="987" w:type="dxa"/>
            <w:tcBorders>
              <w:top w:val="nil"/>
              <w:left w:val="nil"/>
              <w:bottom w:val="single" w:sz="4" w:space="0" w:color="auto"/>
              <w:right w:val="single" w:sz="4" w:space="0" w:color="auto"/>
            </w:tcBorders>
            <w:vAlign w:val="bottom"/>
          </w:tcPr>
          <w:p w14:paraId="7A7FD3DD" w14:textId="77777777" w:rsidR="003A053D" w:rsidRPr="001F5B11" w:rsidRDefault="003A053D" w:rsidP="00205DEE">
            <w:pPr>
              <w:jc w:val="center"/>
              <w:rPr>
                <w:color w:val="000000"/>
              </w:rPr>
            </w:pPr>
            <w:r w:rsidRPr="001F5B11">
              <w:rPr>
                <w:color w:val="000000"/>
              </w:rPr>
              <w:t>4</w:t>
            </w:r>
            <w:r w:rsidRPr="001F5B11">
              <w:rPr>
                <w:color w:val="000000"/>
              </w:rPr>
              <w:br/>
              <w:t>(1.0%)</w:t>
            </w:r>
          </w:p>
        </w:tc>
        <w:tc>
          <w:tcPr>
            <w:tcW w:w="1048" w:type="dxa"/>
            <w:tcBorders>
              <w:top w:val="nil"/>
              <w:left w:val="nil"/>
              <w:bottom w:val="single" w:sz="4" w:space="0" w:color="auto"/>
              <w:right w:val="single" w:sz="4" w:space="0" w:color="auto"/>
            </w:tcBorders>
            <w:vAlign w:val="bottom"/>
          </w:tcPr>
          <w:p w14:paraId="14EFD141" w14:textId="77777777" w:rsidR="003A053D" w:rsidRPr="001F5B11" w:rsidRDefault="003A053D" w:rsidP="00205DEE">
            <w:pPr>
              <w:jc w:val="center"/>
              <w:rPr>
                <w:color w:val="000000"/>
              </w:rPr>
            </w:pPr>
            <w:r w:rsidRPr="001F5B11">
              <w:rPr>
                <w:color w:val="000000"/>
              </w:rPr>
              <w:t>38</w:t>
            </w:r>
            <w:r w:rsidRPr="001F5B11">
              <w:rPr>
                <w:color w:val="000000"/>
              </w:rPr>
              <w:br/>
              <w:t>(9.4%)</w:t>
            </w:r>
          </w:p>
        </w:tc>
        <w:tc>
          <w:tcPr>
            <w:tcW w:w="987" w:type="dxa"/>
            <w:tcBorders>
              <w:top w:val="nil"/>
              <w:left w:val="nil"/>
              <w:bottom w:val="single" w:sz="4" w:space="0" w:color="auto"/>
              <w:right w:val="single" w:sz="4" w:space="0" w:color="auto"/>
            </w:tcBorders>
            <w:vAlign w:val="bottom"/>
          </w:tcPr>
          <w:p w14:paraId="4F3B69C7" w14:textId="77777777" w:rsidR="003A053D" w:rsidRPr="001F5B11" w:rsidRDefault="003A053D" w:rsidP="00205DEE">
            <w:pPr>
              <w:jc w:val="center"/>
              <w:rPr>
                <w:color w:val="000000"/>
              </w:rPr>
            </w:pPr>
            <w:r w:rsidRPr="001F5B11">
              <w:rPr>
                <w:color w:val="000000"/>
              </w:rPr>
              <w:t>44</w:t>
            </w:r>
            <w:r w:rsidRPr="001F5B11">
              <w:rPr>
                <w:color w:val="000000"/>
              </w:rPr>
              <w:br/>
              <w:t>(10.9%)</w:t>
            </w:r>
          </w:p>
        </w:tc>
        <w:tc>
          <w:tcPr>
            <w:tcW w:w="987" w:type="dxa"/>
            <w:tcBorders>
              <w:top w:val="nil"/>
              <w:left w:val="nil"/>
              <w:bottom w:val="single" w:sz="4" w:space="0" w:color="auto"/>
              <w:right w:val="single" w:sz="4" w:space="0" w:color="auto"/>
            </w:tcBorders>
            <w:vAlign w:val="bottom"/>
          </w:tcPr>
          <w:p w14:paraId="3555D5DA" w14:textId="77777777" w:rsidR="003A053D" w:rsidRPr="001F5B11" w:rsidRDefault="003A053D" w:rsidP="00205DEE">
            <w:pPr>
              <w:jc w:val="center"/>
              <w:rPr>
                <w:color w:val="000000"/>
              </w:rPr>
            </w:pPr>
            <w:r w:rsidRPr="001F5B11">
              <w:rPr>
                <w:color w:val="000000"/>
              </w:rPr>
              <w:t>138</w:t>
            </w:r>
            <w:r w:rsidRPr="001F5B11">
              <w:rPr>
                <w:color w:val="000000"/>
              </w:rPr>
              <w:br/>
              <w:t>(34.1%)</w:t>
            </w:r>
          </w:p>
        </w:tc>
        <w:tc>
          <w:tcPr>
            <w:tcW w:w="987" w:type="dxa"/>
            <w:tcBorders>
              <w:top w:val="nil"/>
              <w:left w:val="nil"/>
              <w:bottom w:val="single" w:sz="4" w:space="0" w:color="auto"/>
              <w:right w:val="single" w:sz="4" w:space="0" w:color="auto"/>
            </w:tcBorders>
            <w:vAlign w:val="bottom"/>
          </w:tcPr>
          <w:p w14:paraId="38F9EEE0" w14:textId="77777777" w:rsidR="003A053D" w:rsidRPr="001F5B11" w:rsidRDefault="003A053D" w:rsidP="00205DEE">
            <w:pPr>
              <w:jc w:val="center"/>
              <w:rPr>
                <w:color w:val="000000"/>
              </w:rPr>
            </w:pPr>
            <w:r w:rsidRPr="001F5B11">
              <w:rPr>
                <w:color w:val="000000"/>
              </w:rPr>
              <w:t>78</w:t>
            </w:r>
            <w:r w:rsidRPr="001F5B11">
              <w:rPr>
                <w:color w:val="000000"/>
              </w:rPr>
              <w:br/>
              <w:t>(19.3%)</w:t>
            </w:r>
          </w:p>
        </w:tc>
      </w:tr>
      <w:tr w:rsidR="003A053D" w:rsidRPr="001E3656" w14:paraId="522C3F2B"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330A9E0A" w14:textId="77777777" w:rsidR="003A053D" w:rsidRPr="001F5B11" w:rsidRDefault="003A053D" w:rsidP="00205DEE">
            <w:pPr>
              <w:rPr>
                <w:color w:val="000000"/>
              </w:rPr>
            </w:pPr>
            <w:r w:rsidRPr="001F5B11">
              <w:rPr>
                <w:color w:val="000000" w:themeColor="text1"/>
              </w:rPr>
              <w:t>English Learners</w:t>
            </w:r>
          </w:p>
        </w:tc>
        <w:tc>
          <w:tcPr>
            <w:tcW w:w="950" w:type="dxa"/>
            <w:tcBorders>
              <w:top w:val="nil"/>
              <w:left w:val="nil"/>
              <w:bottom w:val="single" w:sz="4" w:space="0" w:color="auto"/>
              <w:right w:val="single" w:sz="4" w:space="0" w:color="auto"/>
            </w:tcBorders>
            <w:vAlign w:val="bottom"/>
          </w:tcPr>
          <w:p w14:paraId="395DB9B4" w14:textId="77777777" w:rsidR="003A053D" w:rsidRPr="001F5B11" w:rsidRDefault="003A053D" w:rsidP="00205DEE">
            <w:pPr>
              <w:jc w:val="center"/>
              <w:rPr>
                <w:color w:val="000000"/>
              </w:rPr>
            </w:pPr>
            <w:r w:rsidRPr="001F5B11">
              <w:rPr>
                <w:color w:val="000000"/>
              </w:rPr>
              <w:t>271</w:t>
            </w:r>
          </w:p>
        </w:tc>
        <w:tc>
          <w:tcPr>
            <w:tcW w:w="987" w:type="dxa"/>
            <w:tcBorders>
              <w:top w:val="nil"/>
              <w:left w:val="nil"/>
              <w:bottom w:val="single" w:sz="4" w:space="0" w:color="auto"/>
              <w:right w:val="single" w:sz="4" w:space="0" w:color="auto"/>
            </w:tcBorders>
            <w:vAlign w:val="bottom"/>
          </w:tcPr>
          <w:p w14:paraId="5BAA0096" w14:textId="77777777" w:rsidR="003A053D" w:rsidRPr="001F5B11" w:rsidRDefault="003A053D" w:rsidP="00205DEE">
            <w:pPr>
              <w:jc w:val="center"/>
              <w:rPr>
                <w:color w:val="000000"/>
              </w:rPr>
            </w:pPr>
            <w:r w:rsidRPr="001F5B11">
              <w:rPr>
                <w:color w:val="000000"/>
              </w:rPr>
              <w:t>22</w:t>
            </w:r>
            <w:r w:rsidRPr="001F5B11">
              <w:rPr>
                <w:color w:val="000000"/>
              </w:rPr>
              <w:br/>
              <w:t>(5.4%)</w:t>
            </w:r>
          </w:p>
        </w:tc>
        <w:tc>
          <w:tcPr>
            <w:tcW w:w="1048" w:type="dxa"/>
            <w:tcBorders>
              <w:top w:val="nil"/>
              <w:left w:val="nil"/>
              <w:bottom w:val="single" w:sz="4" w:space="0" w:color="auto"/>
              <w:right w:val="single" w:sz="4" w:space="0" w:color="auto"/>
            </w:tcBorders>
            <w:vAlign w:val="bottom"/>
          </w:tcPr>
          <w:p w14:paraId="23E55E4C" w14:textId="77777777" w:rsidR="003A053D" w:rsidRPr="001F5B11" w:rsidRDefault="003A053D" w:rsidP="00205DEE">
            <w:pPr>
              <w:jc w:val="center"/>
              <w:rPr>
                <w:color w:val="000000"/>
              </w:rPr>
            </w:pPr>
            <w:r w:rsidRPr="001F5B11">
              <w:rPr>
                <w:color w:val="000000"/>
              </w:rPr>
              <w:t>79</w:t>
            </w:r>
            <w:r w:rsidRPr="001F5B11">
              <w:rPr>
                <w:color w:val="000000"/>
              </w:rPr>
              <w:br/>
              <w:t>(19.5%)</w:t>
            </w:r>
          </w:p>
        </w:tc>
        <w:tc>
          <w:tcPr>
            <w:tcW w:w="987" w:type="dxa"/>
            <w:tcBorders>
              <w:top w:val="nil"/>
              <w:left w:val="nil"/>
              <w:bottom w:val="single" w:sz="4" w:space="0" w:color="auto"/>
              <w:right w:val="single" w:sz="4" w:space="0" w:color="auto"/>
            </w:tcBorders>
            <w:vAlign w:val="bottom"/>
          </w:tcPr>
          <w:p w14:paraId="315F615A" w14:textId="77777777" w:rsidR="003A053D" w:rsidRPr="001F5B11" w:rsidRDefault="003A053D" w:rsidP="00205DEE">
            <w:pPr>
              <w:jc w:val="center"/>
              <w:rPr>
                <w:color w:val="000000"/>
              </w:rPr>
            </w:pPr>
            <w:r w:rsidRPr="001F5B11">
              <w:rPr>
                <w:color w:val="000000"/>
              </w:rPr>
              <w:t>144</w:t>
            </w:r>
            <w:r w:rsidRPr="001F5B11">
              <w:rPr>
                <w:color w:val="000000"/>
              </w:rPr>
              <w:br/>
              <w:t>(35.6%)</w:t>
            </w:r>
          </w:p>
        </w:tc>
        <w:tc>
          <w:tcPr>
            <w:tcW w:w="987" w:type="dxa"/>
            <w:tcBorders>
              <w:top w:val="nil"/>
              <w:left w:val="nil"/>
              <w:bottom w:val="single" w:sz="4" w:space="0" w:color="auto"/>
              <w:right w:val="single" w:sz="4" w:space="0" w:color="auto"/>
            </w:tcBorders>
            <w:vAlign w:val="bottom"/>
          </w:tcPr>
          <w:p w14:paraId="33268812" w14:textId="77777777" w:rsidR="003A053D" w:rsidRPr="001F5B11" w:rsidRDefault="003A053D" w:rsidP="00205DEE">
            <w:pPr>
              <w:jc w:val="center"/>
              <w:rPr>
                <w:color w:val="000000"/>
              </w:rPr>
            </w:pPr>
            <w:r w:rsidRPr="001F5B11">
              <w:rPr>
                <w:color w:val="000000"/>
              </w:rPr>
              <w:t>22</w:t>
            </w:r>
            <w:r w:rsidRPr="001F5B11">
              <w:rPr>
                <w:color w:val="000000"/>
              </w:rPr>
              <w:br/>
              <w:t>(5.4%)</w:t>
            </w:r>
          </w:p>
        </w:tc>
        <w:tc>
          <w:tcPr>
            <w:tcW w:w="987" w:type="dxa"/>
            <w:tcBorders>
              <w:top w:val="nil"/>
              <w:left w:val="nil"/>
              <w:bottom w:val="single" w:sz="4" w:space="0" w:color="auto"/>
              <w:right w:val="single" w:sz="4" w:space="0" w:color="auto"/>
            </w:tcBorders>
            <w:vAlign w:val="bottom"/>
          </w:tcPr>
          <w:p w14:paraId="683EF43A" w14:textId="77777777" w:rsidR="003A053D" w:rsidRPr="001F5B11" w:rsidRDefault="003A053D" w:rsidP="00205DEE">
            <w:pPr>
              <w:jc w:val="center"/>
              <w:rPr>
                <w:color w:val="000000"/>
              </w:rPr>
            </w:pPr>
            <w:r w:rsidRPr="001F5B11">
              <w:rPr>
                <w:color w:val="000000"/>
              </w:rPr>
              <w:t>4</w:t>
            </w:r>
            <w:r w:rsidRPr="001F5B11">
              <w:rPr>
                <w:color w:val="000000"/>
              </w:rPr>
              <w:br/>
              <w:t>(1.0%)</w:t>
            </w:r>
          </w:p>
        </w:tc>
      </w:tr>
      <w:tr w:rsidR="003A053D" w:rsidRPr="001E3656" w14:paraId="16C97E76"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06803642" w14:textId="77777777" w:rsidR="003A053D" w:rsidRPr="001F5B11" w:rsidRDefault="003A053D" w:rsidP="00205DEE">
            <w:pPr>
              <w:rPr>
                <w:color w:val="000000"/>
              </w:rPr>
            </w:pPr>
            <w:r w:rsidRPr="001F5B11">
              <w:rPr>
                <w:color w:val="000000"/>
              </w:rPr>
              <w:t>Foster Youth</w:t>
            </w:r>
          </w:p>
        </w:tc>
        <w:tc>
          <w:tcPr>
            <w:tcW w:w="950" w:type="dxa"/>
            <w:tcBorders>
              <w:top w:val="nil"/>
              <w:left w:val="nil"/>
              <w:bottom w:val="single" w:sz="4" w:space="0" w:color="auto"/>
              <w:right w:val="single" w:sz="4" w:space="0" w:color="auto"/>
            </w:tcBorders>
            <w:vAlign w:val="bottom"/>
          </w:tcPr>
          <w:p w14:paraId="7FAE2916" w14:textId="77777777" w:rsidR="003A053D" w:rsidRPr="001F5B11" w:rsidRDefault="003A053D" w:rsidP="00205DEE">
            <w:pPr>
              <w:jc w:val="center"/>
              <w:rPr>
                <w:color w:val="000000"/>
              </w:rPr>
            </w:pPr>
            <w:r w:rsidRPr="001F5B11">
              <w:rPr>
                <w:color w:val="000000"/>
              </w:rPr>
              <w:t>77</w:t>
            </w:r>
          </w:p>
        </w:tc>
        <w:tc>
          <w:tcPr>
            <w:tcW w:w="987" w:type="dxa"/>
            <w:tcBorders>
              <w:top w:val="nil"/>
              <w:left w:val="nil"/>
              <w:bottom w:val="single" w:sz="4" w:space="0" w:color="auto"/>
              <w:right w:val="single" w:sz="4" w:space="0" w:color="auto"/>
            </w:tcBorders>
            <w:vAlign w:val="bottom"/>
          </w:tcPr>
          <w:p w14:paraId="576B2A26" w14:textId="77777777" w:rsidR="003A053D" w:rsidRPr="001F5B11" w:rsidRDefault="003A053D" w:rsidP="00205DEE">
            <w:pPr>
              <w:jc w:val="center"/>
              <w:rPr>
                <w:color w:val="000000"/>
              </w:rPr>
            </w:pPr>
            <w:r w:rsidRPr="001F5B11">
              <w:rPr>
                <w:color w:val="000000"/>
              </w:rPr>
              <w:t>14</w:t>
            </w:r>
            <w:r w:rsidRPr="001F5B11">
              <w:rPr>
                <w:color w:val="000000"/>
              </w:rPr>
              <w:br/>
              <w:t>(3.5%)</w:t>
            </w:r>
          </w:p>
        </w:tc>
        <w:tc>
          <w:tcPr>
            <w:tcW w:w="1048" w:type="dxa"/>
            <w:tcBorders>
              <w:top w:val="nil"/>
              <w:left w:val="nil"/>
              <w:bottom w:val="single" w:sz="4" w:space="0" w:color="auto"/>
              <w:right w:val="single" w:sz="4" w:space="0" w:color="auto"/>
            </w:tcBorders>
            <w:vAlign w:val="bottom"/>
          </w:tcPr>
          <w:p w14:paraId="453CE911" w14:textId="77777777" w:rsidR="003A053D" w:rsidRPr="001F5B11" w:rsidRDefault="003A053D" w:rsidP="00205DEE">
            <w:pPr>
              <w:jc w:val="center"/>
              <w:rPr>
                <w:color w:val="000000"/>
              </w:rPr>
            </w:pPr>
            <w:r w:rsidRPr="001F5B11">
              <w:rPr>
                <w:color w:val="000000"/>
              </w:rPr>
              <w:t>23</w:t>
            </w:r>
            <w:r w:rsidRPr="001F5B11">
              <w:rPr>
                <w:color w:val="000000"/>
              </w:rPr>
              <w:br/>
              <w:t>(5.7%)</w:t>
            </w:r>
          </w:p>
        </w:tc>
        <w:tc>
          <w:tcPr>
            <w:tcW w:w="987" w:type="dxa"/>
            <w:tcBorders>
              <w:top w:val="nil"/>
              <w:left w:val="nil"/>
              <w:bottom w:val="single" w:sz="4" w:space="0" w:color="auto"/>
              <w:right w:val="single" w:sz="4" w:space="0" w:color="auto"/>
            </w:tcBorders>
            <w:vAlign w:val="bottom"/>
          </w:tcPr>
          <w:p w14:paraId="4CC61548" w14:textId="77777777" w:rsidR="003A053D" w:rsidRPr="001F5B11" w:rsidRDefault="003A053D" w:rsidP="00205DEE">
            <w:pPr>
              <w:jc w:val="center"/>
              <w:rPr>
                <w:color w:val="000000"/>
              </w:rPr>
            </w:pPr>
            <w:r w:rsidRPr="001F5B11">
              <w:rPr>
                <w:color w:val="000000"/>
              </w:rPr>
              <w:t>35</w:t>
            </w:r>
            <w:r w:rsidRPr="001F5B11">
              <w:rPr>
                <w:color w:val="000000"/>
              </w:rPr>
              <w:br/>
              <w:t>(8.6%)</w:t>
            </w:r>
          </w:p>
        </w:tc>
        <w:tc>
          <w:tcPr>
            <w:tcW w:w="987" w:type="dxa"/>
            <w:tcBorders>
              <w:top w:val="nil"/>
              <w:left w:val="nil"/>
              <w:bottom w:val="single" w:sz="4" w:space="0" w:color="auto"/>
              <w:right w:val="single" w:sz="4" w:space="0" w:color="auto"/>
            </w:tcBorders>
            <w:vAlign w:val="bottom"/>
          </w:tcPr>
          <w:p w14:paraId="662B3868" w14:textId="77777777" w:rsidR="003A053D" w:rsidRPr="001F5B11" w:rsidRDefault="003A053D" w:rsidP="00205DEE">
            <w:pPr>
              <w:jc w:val="center"/>
              <w:rPr>
                <w:color w:val="000000"/>
              </w:rPr>
            </w:pPr>
            <w:r w:rsidRPr="001F5B11">
              <w:rPr>
                <w:color w:val="000000"/>
              </w:rPr>
              <w:t>5</w:t>
            </w:r>
            <w:r w:rsidRPr="001F5B11">
              <w:rPr>
                <w:color w:val="000000"/>
              </w:rPr>
              <w:br/>
              <w:t>(1.2%)</w:t>
            </w:r>
          </w:p>
        </w:tc>
        <w:tc>
          <w:tcPr>
            <w:tcW w:w="987" w:type="dxa"/>
            <w:tcBorders>
              <w:top w:val="nil"/>
              <w:left w:val="nil"/>
              <w:bottom w:val="single" w:sz="4" w:space="0" w:color="auto"/>
              <w:right w:val="single" w:sz="4" w:space="0" w:color="auto"/>
            </w:tcBorders>
            <w:vAlign w:val="bottom"/>
          </w:tcPr>
          <w:p w14:paraId="231FD20A" w14:textId="77777777" w:rsidR="003A053D" w:rsidRPr="001F5B11" w:rsidRDefault="003A053D" w:rsidP="00205DEE">
            <w:pPr>
              <w:jc w:val="center"/>
              <w:rPr>
                <w:color w:val="000000"/>
              </w:rPr>
            </w:pPr>
            <w:r w:rsidRPr="001F5B11">
              <w:rPr>
                <w:color w:val="000000"/>
              </w:rPr>
              <w:t>0</w:t>
            </w:r>
            <w:r w:rsidRPr="001F5B11">
              <w:rPr>
                <w:color w:val="000000"/>
              </w:rPr>
              <w:br/>
              <w:t>(0.0%)</w:t>
            </w:r>
          </w:p>
        </w:tc>
      </w:tr>
      <w:tr w:rsidR="003A053D" w:rsidRPr="001E3656" w14:paraId="5D963B65"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4B052A84" w14:textId="77777777" w:rsidR="003A053D" w:rsidRPr="001F5B11" w:rsidRDefault="003A053D" w:rsidP="00205DEE">
            <w:pPr>
              <w:rPr>
                <w:color w:val="000000"/>
              </w:rPr>
            </w:pPr>
            <w:r w:rsidRPr="001F5B11">
              <w:rPr>
                <w:color w:val="000000" w:themeColor="text1"/>
              </w:rPr>
              <w:t>Homeless</w:t>
            </w:r>
          </w:p>
        </w:tc>
        <w:tc>
          <w:tcPr>
            <w:tcW w:w="950" w:type="dxa"/>
            <w:tcBorders>
              <w:top w:val="nil"/>
              <w:left w:val="nil"/>
              <w:bottom w:val="single" w:sz="4" w:space="0" w:color="auto"/>
              <w:right w:val="single" w:sz="4" w:space="0" w:color="auto"/>
            </w:tcBorders>
            <w:vAlign w:val="bottom"/>
          </w:tcPr>
          <w:p w14:paraId="203CE5E4" w14:textId="77777777" w:rsidR="003A053D" w:rsidRPr="001F5B11" w:rsidRDefault="003A053D" w:rsidP="00205DEE">
            <w:pPr>
              <w:jc w:val="center"/>
              <w:rPr>
                <w:color w:val="000000"/>
              </w:rPr>
            </w:pPr>
            <w:r w:rsidRPr="001F5B11">
              <w:rPr>
                <w:color w:val="000000"/>
              </w:rPr>
              <w:t>250</w:t>
            </w:r>
          </w:p>
        </w:tc>
        <w:tc>
          <w:tcPr>
            <w:tcW w:w="987" w:type="dxa"/>
            <w:tcBorders>
              <w:top w:val="nil"/>
              <w:left w:val="nil"/>
              <w:bottom w:val="single" w:sz="4" w:space="0" w:color="auto"/>
              <w:right w:val="single" w:sz="4" w:space="0" w:color="auto"/>
            </w:tcBorders>
            <w:vAlign w:val="bottom"/>
          </w:tcPr>
          <w:p w14:paraId="5B4C30CC" w14:textId="77777777" w:rsidR="003A053D" w:rsidRPr="001F5B11" w:rsidRDefault="003A053D" w:rsidP="00205DEE">
            <w:pPr>
              <w:jc w:val="center"/>
              <w:rPr>
                <w:color w:val="000000"/>
              </w:rPr>
            </w:pPr>
            <w:r w:rsidRPr="001F5B11">
              <w:rPr>
                <w:color w:val="000000"/>
              </w:rPr>
              <w:t>31</w:t>
            </w:r>
            <w:r w:rsidRPr="001F5B11">
              <w:rPr>
                <w:color w:val="000000"/>
              </w:rPr>
              <w:br/>
              <w:t>(7.7%)</w:t>
            </w:r>
          </w:p>
        </w:tc>
        <w:tc>
          <w:tcPr>
            <w:tcW w:w="1048" w:type="dxa"/>
            <w:tcBorders>
              <w:top w:val="nil"/>
              <w:left w:val="nil"/>
              <w:bottom w:val="single" w:sz="4" w:space="0" w:color="auto"/>
              <w:right w:val="single" w:sz="4" w:space="0" w:color="auto"/>
            </w:tcBorders>
            <w:vAlign w:val="bottom"/>
          </w:tcPr>
          <w:p w14:paraId="14F8DB34" w14:textId="77777777" w:rsidR="003A053D" w:rsidRPr="001F5B11" w:rsidRDefault="003A053D" w:rsidP="00205DEE">
            <w:pPr>
              <w:jc w:val="center"/>
              <w:rPr>
                <w:color w:val="000000"/>
              </w:rPr>
            </w:pPr>
            <w:r w:rsidRPr="001F5B11">
              <w:rPr>
                <w:color w:val="000000"/>
              </w:rPr>
              <w:t>82</w:t>
            </w:r>
            <w:r w:rsidRPr="001F5B11">
              <w:rPr>
                <w:color w:val="000000"/>
              </w:rPr>
              <w:br/>
              <w:t>(20.2%)</w:t>
            </w:r>
          </w:p>
        </w:tc>
        <w:tc>
          <w:tcPr>
            <w:tcW w:w="987" w:type="dxa"/>
            <w:tcBorders>
              <w:top w:val="nil"/>
              <w:left w:val="nil"/>
              <w:bottom w:val="single" w:sz="4" w:space="0" w:color="auto"/>
              <w:right w:val="single" w:sz="4" w:space="0" w:color="auto"/>
            </w:tcBorders>
            <w:vAlign w:val="bottom"/>
          </w:tcPr>
          <w:p w14:paraId="29FE0C3E" w14:textId="77777777" w:rsidR="003A053D" w:rsidRPr="001F5B11" w:rsidRDefault="003A053D" w:rsidP="00205DEE">
            <w:pPr>
              <w:jc w:val="center"/>
              <w:rPr>
                <w:color w:val="000000"/>
              </w:rPr>
            </w:pPr>
            <w:r w:rsidRPr="001F5B11">
              <w:rPr>
                <w:color w:val="000000"/>
              </w:rPr>
              <w:t>99</w:t>
            </w:r>
            <w:r w:rsidRPr="001F5B11">
              <w:rPr>
                <w:color w:val="000000"/>
              </w:rPr>
              <w:br/>
              <w:t>(24.4%)</w:t>
            </w:r>
          </w:p>
        </w:tc>
        <w:tc>
          <w:tcPr>
            <w:tcW w:w="987" w:type="dxa"/>
            <w:tcBorders>
              <w:top w:val="nil"/>
              <w:left w:val="nil"/>
              <w:bottom w:val="single" w:sz="4" w:space="0" w:color="auto"/>
              <w:right w:val="single" w:sz="4" w:space="0" w:color="auto"/>
            </w:tcBorders>
            <w:vAlign w:val="bottom"/>
          </w:tcPr>
          <w:p w14:paraId="122882C3" w14:textId="77777777" w:rsidR="003A053D" w:rsidRPr="001F5B11" w:rsidRDefault="003A053D" w:rsidP="00205DEE">
            <w:pPr>
              <w:jc w:val="center"/>
              <w:rPr>
                <w:color w:val="000000"/>
              </w:rPr>
            </w:pPr>
            <w:r w:rsidRPr="001F5B11">
              <w:rPr>
                <w:color w:val="000000"/>
              </w:rPr>
              <w:t>36</w:t>
            </w:r>
            <w:r w:rsidRPr="001F5B11">
              <w:rPr>
                <w:color w:val="000000"/>
              </w:rPr>
              <w:br/>
              <w:t>(8.9%)</w:t>
            </w:r>
          </w:p>
        </w:tc>
        <w:tc>
          <w:tcPr>
            <w:tcW w:w="987" w:type="dxa"/>
            <w:tcBorders>
              <w:top w:val="nil"/>
              <w:left w:val="nil"/>
              <w:bottom w:val="single" w:sz="4" w:space="0" w:color="auto"/>
              <w:right w:val="single" w:sz="4" w:space="0" w:color="auto"/>
            </w:tcBorders>
            <w:vAlign w:val="bottom"/>
          </w:tcPr>
          <w:p w14:paraId="372D3D52" w14:textId="77777777" w:rsidR="003A053D" w:rsidRPr="001F5B11" w:rsidRDefault="003A053D" w:rsidP="00205DEE">
            <w:pPr>
              <w:jc w:val="center"/>
              <w:rPr>
                <w:color w:val="000000"/>
              </w:rPr>
            </w:pPr>
            <w:r w:rsidRPr="001F5B11">
              <w:rPr>
                <w:color w:val="000000"/>
              </w:rPr>
              <w:t>2</w:t>
            </w:r>
            <w:r w:rsidRPr="001F5B11">
              <w:rPr>
                <w:color w:val="000000"/>
              </w:rPr>
              <w:br/>
              <w:t>(0.5%)</w:t>
            </w:r>
          </w:p>
        </w:tc>
      </w:tr>
      <w:tr w:rsidR="003A053D" w:rsidRPr="001E3656" w14:paraId="59BB5854" w14:textId="77777777" w:rsidTr="002557F1">
        <w:trPr>
          <w:cantSplit/>
          <w:trHeight w:val="580"/>
        </w:trPr>
        <w:tc>
          <w:tcPr>
            <w:tcW w:w="3054" w:type="dxa"/>
            <w:tcBorders>
              <w:top w:val="nil"/>
              <w:left w:val="single" w:sz="4" w:space="0" w:color="auto"/>
              <w:bottom w:val="single" w:sz="4" w:space="0" w:color="auto"/>
              <w:right w:val="single" w:sz="4" w:space="0" w:color="auto"/>
            </w:tcBorders>
            <w:noWrap/>
            <w:vAlign w:val="bottom"/>
            <w:hideMark/>
          </w:tcPr>
          <w:p w14:paraId="67716BE7" w14:textId="77777777" w:rsidR="003A053D" w:rsidRPr="001F5B11" w:rsidRDefault="003A053D" w:rsidP="00205DEE">
            <w:pPr>
              <w:rPr>
                <w:color w:val="000000"/>
              </w:rPr>
            </w:pPr>
            <w:r w:rsidRPr="001F5B11">
              <w:rPr>
                <w:color w:val="000000"/>
              </w:rPr>
              <w:t>Socioeconomically Disadvantaged</w:t>
            </w:r>
          </w:p>
        </w:tc>
        <w:tc>
          <w:tcPr>
            <w:tcW w:w="950" w:type="dxa"/>
            <w:tcBorders>
              <w:top w:val="nil"/>
              <w:left w:val="nil"/>
              <w:bottom w:val="single" w:sz="4" w:space="0" w:color="auto"/>
              <w:right w:val="single" w:sz="4" w:space="0" w:color="auto"/>
            </w:tcBorders>
            <w:vAlign w:val="bottom"/>
          </w:tcPr>
          <w:p w14:paraId="0545716F" w14:textId="77777777" w:rsidR="003A053D" w:rsidRPr="001F5B11" w:rsidRDefault="003A053D" w:rsidP="00205DEE">
            <w:pPr>
              <w:jc w:val="center"/>
              <w:rPr>
                <w:color w:val="000000"/>
              </w:rPr>
            </w:pPr>
            <w:r w:rsidRPr="001F5B11">
              <w:rPr>
                <w:color w:val="000000"/>
              </w:rPr>
              <w:t>398</w:t>
            </w:r>
          </w:p>
        </w:tc>
        <w:tc>
          <w:tcPr>
            <w:tcW w:w="987" w:type="dxa"/>
            <w:tcBorders>
              <w:top w:val="nil"/>
              <w:left w:val="nil"/>
              <w:bottom w:val="single" w:sz="4" w:space="0" w:color="auto"/>
              <w:right w:val="single" w:sz="4" w:space="0" w:color="auto"/>
            </w:tcBorders>
            <w:vAlign w:val="bottom"/>
          </w:tcPr>
          <w:p w14:paraId="541D741C" w14:textId="77777777" w:rsidR="003A053D" w:rsidRPr="001F5B11" w:rsidRDefault="003A053D" w:rsidP="00205DEE">
            <w:pPr>
              <w:jc w:val="center"/>
              <w:rPr>
                <w:color w:val="000000"/>
              </w:rPr>
            </w:pPr>
            <w:r w:rsidRPr="001F5B11">
              <w:rPr>
                <w:color w:val="000000"/>
              </w:rPr>
              <w:t>19</w:t>
            </w:r>
            <w:r w:rsidRPr="001F5B11">
              <w:rPr>
                <w:color w:val="000000"/>
              </w:rPr>
              <w:br/>
              <w:t>(4.7%)</w:t>
            </w:r>
          </w:p>
        </w:tc>
        <w:tc>
          <w:tcPr>
            <w:tcW w:w="1048" w:type="dxa"/>
            <w:tcBorders>
              <w:top w:val="nil"/>
              <w:left w:val="nil"/>
              <w:bottom w:val="single" w:sz="4" w:space="0" w:color="auto"/>
              <w:right w:val="single" w:sz="4" w:space="0" w:color="auto"/>
            </w:tcBorders>
            <w:vAlign w:val="bottom"/>
          </w:tcPr>
          <w:p w14:paraId="08FC2646" w14:textId="77777777" w:rsidR="003A053D" w:rsidRPr="001F5B11" w:rsidRDefault="003A053D" w:rsidP="00205DEE">
            <w:pPr>
              <w:jc w:val="center"/>
              <w:rPr>
                <w:color w:val="000000"/>
              </w:rPr>
            </w:pPr>
            <w:r w:rsidRPr="001F5B11">
              <w:rPr>
                <w:color w:val="000000"/>
              </w:rPr>
              <w:t>53</w:t>
            </w:r>
            <w:r w:rsidRPr="001F5B11">
              <w:rPr>
                <w:color w:val="000000"/>
              </w:rPr>
              <w:br/>
              <w:t>(13.1%)</w:t>
            </w:r>
          </w:p>
        </w:tc>
        <w:tc>
          <w:tcPr>
            <w:tcW w:w="987" w:type="dxa"/>
            <w:tcBorders>
              <w:top w:val="nil"/>
              <w:left w:val="nil"/>
              <w:bottom w:val="single" w:sz="4" w:space="0" w:color="auto"/>
              <w:right w:val="single" w:sz="4" w:space="0" w:color="auto"/>
            </w:tcBorders>
            <w:vAlign w:val="bottom"/>
          </w:tcPr>
          <w:p w14:paraId="4C550593" w14:textId="77777777" w:rsidR="003A053D" w:rsidRPr="001F5B11" w:rsidRDefault="003A053D" w:rsidP="00205DEE">
            <w:pPr>
              <w:jc w:val="center"/>
              <w:rPr>
                <w:color w:val="000000"/>
              </w:rPr>
            </w:pPr>
            <w:r w:rsidRPr="001F5B11">
              <w:rPr>
                <w:color w:val="000000"/>
              </w:rPr>
              <w:t>89</w:t>
            </w:r>
            <w:r w:rsidRPr="001F5B11">
              <w:rPr>
                <w:color w:val="000000"/>
              </w:rPr>
              <w:br/>
              <w:t>(22%)</w:t>
            </w:r>
          </w:p>
        </w:tc>
        <w:tc>
          <w:tcPr>
            <w:tcW w:w="987" w:type="dxa"/>
            <w:tcBorders>
              <w:top w:val="nil"/>
              <w:left w:val="nil"/>
              <w:bottom w:val="single" w:sz="4" w:space="0" w:color="auto"/>
              <w:right w:val="single" w:sz="4" w:space="0" w:color="auto"/>
            </w:tcBorders>
            <w:vAlign w:val="bottom"/>
          </w:tcPr>
          <w:p w14:paraId="74C3B071" w14:textId="77777777" w:rsidR="003A053D" w:rsidRPr="001F5B11" w:rsidRDefault="003A053D" w:rsidP="00205DEE">
            <w:pPr>
              <w:jc w:val="center"/>
              <w:rPr>
                <w:color w:val="000000"/>
              </w:rPr>
            </w:pPr>
            <w:r w:rsidRPr="001F5B11">
              <w:rPr>
                <w:color w:val="000000"/>
              </w:rPr>
              <w:t>207</w:t>
            </w:r>
            <w:r w:rsidRPr="001F5B11">
              <w:rPr>
                <w:color w:val="000000"/>
              </w:rPr>
              <w:br/>
              <w:t>(51.1%)</w:t>
            </w:r>
          </w:p>
        </w:tc>
        <w:tc>
          <w:tcPr>
            <w:tcW w:w="987" w:type="dxa"/>
            <w:tcBorders>
              <w:top w:val="nil"/>
              <w:left w:val="nil"/>
              <w:bottom w:val="single" w:sz="4" w:space="0" w:color="auto"/>
              <w:right w:val="single" w:sz="4" w:space="0" w:color="auto"/>
            </w:tcBorders>
            <w:vAlign w:val="bottom"/>
          </w:tcPr>
          <w:p w14:paraId="1254C94D" w14:textId="77777777" w:rsidR="003A053D" w:rsidRPr="001F5B11" w:rsidRDefault="003A053D" w:rsidP="00205DEE">
            <w:pPr>
              <w:jc w:val="center"/>
              <w:rPr>
                <w:color w:val="000000"/>
              </w:rPr>
            </w:pPr>
            <w:r w:rsidRPr="001F5B11">
              <w:rPr>
                <w:color w:val="000000"/>
              </w:rPr>
              <w:t>30</w:t>
            </w:r>
            <w:r w:rsidRPr="001F5B11">
              <w:rPr>
                <w:color w:val="000000"/>
              </w:rPr>
              <w:br/>
              <w:t>(7.4%)</w:t>
            </w:r>
          </w:p>
        </w:tc>
      </w:tr>
      <w:tr w:rsidR="003A053D" w:rsidRPr="001E3656" w14:paraId="20B3FA00" w14:textId="77777777" w:rsidTr="002557F1">
        <w:trPr>
          <w:cantSplit/>
          <w:trHeight w:val="580"/>
        </w:trPr>
        <w:tc>
          <w:tcPr>
            <w:tcW w:w="3054" w:type="dxa"/>
            <w:tcBorders>
              <w:top w:val="single" w:sz="4" w:space="0" w:color="auto"/>
              <w:left w:val="single" w:sz="4" w:space="0" w:color="auto"/>
              <w:bottom w:val="single" w:sz="4" w:space="0" w:color="auto"/>
              <w:right w:val="single" w:sz="4" w:space="0" w:color="auto"/>
            </w:tcBorders>
            <w:noWrap/>
            <w:vAlign w:val="bottom"/>
            <w:hideMark/>
          </w:tcPr>
          <w:p w14:paraId="033861B1" w14:textId="77777777" w:rsidR="003A053D" w:rsidRPr="001F5B11" w:rsidRDefault="003A053D" w:rsidP="00205DEE">
            <w:pPr>
              <w:rPr>
                <w:color w:val="000000"/>
              </w:rPr>
            </w:pPr>
            <w:r w:rsidRPr="001F5B11">
              <w:rPr>
                <w:color w:val="000000"/>
              </w:rPr>
              <w:t>Students with Disabilities</w:t>
            </w:r>
          </w:p>
        </w:tc>
        <w:tc>
          <w:tcPr>
            <w:tcW w:w="950" w:type="dxa"/>
            <w:tcBorders>
              <w:top w:val="single" w:sz="4" w:space="0" w:color="auto"/>
              <w:left w:val="nil"/>
              <w:bottom w:val="single" w:sz="4" w:space="0" w:color="auto"/>
              <w:right w:val="single" w:sz="4" w:space="0" w:color="auto"/>
            </w:tcBorders>
            <w:vAlign w:val="bottom"/>
          </w:tcPr>
          <w:p w14:paraId="2508683E" w14:textId="77777777" w:rsidR="003A053D" w:rsidRPr="001F5B11" w:rsidRDefault="003A053D" w:rsidP="00205DEE">
            <w:pPr>
              <w:jc w:val="center"/>
              <w:rPr>
                <w:color w:val="000000"/>
              </w:rPr>
            </w:pPr>
            <w:r w:rsidRPr="001F5B11">
              <w:rPr>
                <w:color w:val="000000"/>
              </w:rPr>
              <w:t>278</w:t>
            </w:r>
          </w:p>
        </w:tc>
        <w:tc>
          <w:tcPr>
            <w:tcW w:w="987" w:type="dxa"/>
            <w:tcBorders>
              <w:top w:val="single" w:sz="4" w:space="0" w:color="auto"/>
              <w:left w:val="nil"/>
              <w:bottom w:val="single" w:sz="4" w:space="0" w:color="auto"/>
              <w:right w:val="single" w:sz="4" w:space="0" w:color="auto"/>
            </w:tcBorders>
            <w:vAlign w:val="bottom"/>
          </w:tcPr>
          <w:p w14:paraId="4E93DB0E" w14:textId="77777777" w:rsidR="003A053D" w:rsidRPr="001F5B11" w:rsidRDefault="003A053D" w:rsidP="00205DEE">
            <w:pPr>
              <w:jc w:val="center"/>
              <w:rPr>
                <w:color w:val="000000"/>
              </w:rPr>
            </w:pPr>
            <w:r w:rsidRPr="001F5B11">
              <w:rPr>
                <w:color w:val="000000"/>
              </w:rPr>
              <w:t>50</w:t>
            </w:r>
            <w:r w:rsidRPr="001F5B11">
              <w:rPr>
                <w:color w:val="000000"/>
              </w:rPr>
              <w:br/>
              <w:t>(12.3%)</w:t>
            </w:r>
          </w:p>
        </w:tc>
        <w:tc>
          <w:tcPr>
            <w:tcW w:w="1048" w:type="dxa"/>
            <w:tcBorders>
              <w:top w:val="single" w:sz="4" w:space="0" w:color="auto"/>
              <w:left w:val="nil"/>
              <w:bottom w:val="single" w:sz="4" w:space="0" w:color="auto"/>
              <w:right w:val="single" w:sz="4" w:space="0" w:color="auto"/>
            </w:tcBorders>
            <w:vAlign w:val="bottom"/>
          </w:tcPr>
          <w:p w14:paraId="19479256" w14:textId="77777777" w:rsidR="003A053D" w:rsidRPr="001F5B11" w:rsidRDefault="003A053D" w:rsidP="00205DEE">
            <w:pPr>
              <w:jc w:val="center"/>
              <w:rPr>
                <w:color w:val="000000"/>
              </w:rPr>
            </w:pPr>
            <w:r w:rsidRPr="001F5B11">
              <w:rPr>
                <w:color w:val="000000"/>
              </w:rPr>
              <w:t>77</w:t>
            </w:r>
            <w:r w:rsidRPr="001F5B11">
              <w:rPr>
                <w:color w:val="000000"/>
              </w:rPr>
              <w:br/>
              <w:t>(19%)</w:t>
            </w:r>
          </w:p>
        </w:tc>
        <w:tc>
          <w:tcPr>
            <w:tcW w:w="987" w:type="dxa"/>
            <w:tcBorders>
              <w:top w:val="single" w:sz="4" w:space="0" w:color="auto"/>
              <w:left w:val="nil"/>
              <w:bottom w:val="single" w:sz="4" w:space="0" w:color="auto"/>
              <w:right w:val="single" w:sz="4" w:space="0" w:color="auto"/>
            </w:tcBorders>
            <w:vAlign w:val="bottom"/>
          </w:tcPr>
          <w:p w14:paraId="69C5B672" w14:textId="77777777" w:rsidR="003A053D" w:rsidRPr="001F5B11" w:rsidRDefault="003A053D" w:rsidP="00205DEE">
            <w:pPr>
              <w:jc w:val="center"/>
              <w:rPr>
                <w:color w:val="000000"/>
              </w:rPr>
            </w:pPr>
            <w:r w:rsidRPr="001F5B11">
              <w:rPr>
                <w:color w:val="000000"/>
              </w:rPr>
              <w:t>135</w:t>
            </w:r>
            <w:r w:rsidRPr="001F5B11">
              <w:rPr>
                <w:color w:val="000000"/>
              </w:rPr>
              <w:br/>
              <w:t>(33.3%)</w:t>
            </w:r>
          </w:p>
        </w:tc>
        <w:tc>
          <w:tcPr>
            <w:tcW w:w="987" w:type="dxa"/>
            <w:tcBorders>
              <w:top w:val="single" w:sz="4" w:space="0" w:color="auto"/>
              <w:left w:val="nil"/>
              <w:bottom w:val="single" w:sz="4" w:space="0" w:color="auto"/>
              <w:right w:val="single" w:sz="4" w:space="0" w:color="auto"/>
            </w:tcBorders>
            <w:vAlign w:val="bottom"/>
          </w:tcPr>
          <w:p w14:paraId="60F51F02" w14:textId="77777777" w:rsidR="003A053D" w:rsidRPr="001F5B11" w:rsidRDefault="003A053D" w:rsidP="00205DEE">
            <w:pPr>
              <w:jc w:val="center"/>
              <w:rPr>
                <w:color w:val="000000"/>
              </w:rPr>
            </w:pPr>
            <w:r w:rsidRPr="001F5B11">
              <w:rPr>
                <w:color w:val="000000"/>
              </w:rPr>
              <w:t>16</w:t>
            </w:r>
            <w:r w:rsidRPr="001F5B11">
              <w:rPr>
                <w:color w:val="000000"/>
              </w:rPr>
              <w:br/>
              <w:t>(4%)</w:t>
            </w:r>
          </w:p>
        </w:tc>
        <w:tc>
          <w:tcPr>
            <w:tcW w:w="987" w:type="dxa"/>
            <w:tcBorders>
              <w:top w:val="single" w:sz="4" w:space="0" w:color="auto"/>
              <w:left w:val="nil"/>
              <w:bottom w:val="single" w:sz="4" w:space="0" w:color="auto"/>
              <w:right w:val="single" w:sz="4" w:space="0" w:color="auto"/>
            </w:tcBorders>
            <w:vAlign w:val="bottom"/>
          </w:tcPr>
          <w:p w14:paraId="36B389A3" w14:textId="77777777" w:rsidR="003A053D" w:rsidRPr="001F5B11" w:rsidRDefault="003A053D" w:rsidP="00205DEE">
            <w:pPr>
              <w:jc w:val="center"/>
              <w:rPr>
                <w:color w:val="000000"/>
              </w:rPr>
            </w:pPr>
            <w:r w:rsidRPr="001F5B11">
              <w:rPr>
                <w:color w:val="000000"/>
              </w:rPr>
              <w:t>0</w:t>
            </w:r>
            <w:r w:rsidRPr="001F5B11">
              <w:rPr>
                <w:color w:val="000000"/>
              </w:rPr>
              <w:br/>
              <w:t>(0.0%)</w:t>
            </w:r>
          </w:p>
        </w:tc>
      </w:tr>
      <w:tr w:rsidR="003A053D" w:rsidRPr="001E3656" w14:paraId="5CDBD3F3" w14:textId="77777777" w:rsidTr="002557F1">
        <w:trPr>
          <w:cantSplit/>
          <w:trHeight w:val="580"/>
        </w:trPr>
        <w:tc>
          <w:tcPr>
            <w:tcW w:w="3054" w:type="dxa"/>
            <w:tcBorders>
              <w:top w:val="single" w:sz="4" w:space="0" w:color="auto"/>
              <w:left w:val="single" w:sz="4" w:space="0" w:color="auto"/>
              <w:bottom w:val="single" w:sz="4" w:space="0" w:color="auto"/>
              <w:right w:val="single" w:sz="4" w:space="0" w:color="auto"/>
            </w:tcBorders>
            <w:noWrap/>
            <w:vAlign w:val="bottom"/>
          </w:tcPr>
          <w:p w14:paraId="338A85ED" w14:textId="77777777" w:rsidR="003A053D" w:rsidRPr="001F5B11" w:rsidRDefault="003A053D" w:rsidP="00205DEE">
            <w:pPr>
              <w:rPr>
                <w:color w:val="000000"/>
              </w:rPr>
            </w:pPr>
            <w:r w:rsidRPr="001F5B11">
              <w:rPr>
                <w:color w:val="000000" w:themeColor="text1"/>
              </w:rPr>
              <w:t>Long-Term English Learners</w:t>
            </w:r>
          </w:p>
        </w:tc>
        <w:tc>
          <w:tcPr>
            <w:tcW w:w="950" w:type="dxa"/>
            <w:tcBorders>
              <w:top w:val="single" w:sz="4" w:space="0" w:color="auto"/>
              <w:left w:val="nil"/>
              <w:bottom w:val="single" w:sz="4" w:space="0" w:color="auto"/>
              <w:right w:val="single" w:sz="4" w:space="0" w:color="auto"/>
            </w:tcBorders>
            <w:vAlign w:val="bottom"/>
          </w:tcPr>
          <w:p w14:paraId="6440AA37" w14:textId="77777777" w:rsidR="003A053D" w:rsidRPr="001F5B11" w:rsidRDefault="003A053D" w:rsidP="00205DEE">
            <w:pPr>
              <w:jc w:val="center"/>
              <w:rPr>
                <w:color w:val="000000"/>
              </w:rPr>
            </w:pPr>
            <w:r w:rsidRPr="001F5B11">
              <w:rPr>
                <w:color w:val="000000"/>
              </w:rPr>
              <w:t>300</w:t>
            </w:r>
          </w:p>
        </w:tc>
        <w:tc>
          <w:tcPr>
            <w:tcW w:w="987" w:type="dxa"/>
            <w:tcBorders>
              <w:top w:val="single" w:sz="4" w:space="0" w:color="auto"/>
              <w:left w:val="nil"/>
              <w:bottom w:val="single" w:sz="4" w:space="0" w:color="auto"/>
              <w:right w:val="single" w:sz="4" w:space="0" w:color="auto"/>
            </w:tcBorders>
            <w:vAlign w:val="bottom"/>
          </w:tcPr>
          <w:p w14:paraId="1FCEE702" w14:textId="77777777" w:rsidR="003A053D" w:rsidRPr="001F5B11" w:rsidRDefault="003A053D" w:rsidP="00205DEE">
            <w:pPr>
              <w:jc w:val="center"/>
              <w:rPr>
                <w:color w:val="000000"/>
              </w:rPr>
            </w:pPr>
            <w:r w:rsidRPr="001F5B11">
              <w:rPr>
                <w:color w:val="000000"/>
              </w:rPr>
              <w:t>31</w:t>
            </w:r>
            <w:r w:rsidRPr="001F5B11">
              <w:rPr>
                <w:color w:val="000000"/>
              </w:rPr>
              <w:br/>
              <w:t>(7.7%)</w:t>
            </w:r>
          </w:p>
        </w:tc>
        <w:tc>
          <w:tcPr>
            <w:tcW w:w="1048" w:type="dxa"/>
            <w:tcBorders>
              <w:top w:val="single" w:sz="4" w:space="0" w:color="auto"/>
              <w:left w:val="nil"/>
              <w:bottom w:val="single" w:sz="4" w:space="0" w:color="auto"/>
              <w:right w:val="single" w:sz="4" w:space="0" w:color="auto"/>
            </w:tcBorders>
            <w:vAlign w:val="bottom"/>
          </w:tcPr>
          <w:p w14:paraId="5F810833" w14:textId="77777777" w:rsidR="003A053D" w:rsidRPr="001F5B11" w:rsidRDefault="003A053D" w:rsidP="00205DEE">
            <w:pPr>
              <w:jc w:val="center"/>
              <w:rPr>
                <w:color w:val="000000"/>
              </w:rPr>
            </w:pPr>
            <w:r w:rsidRPr="001F5B11">
              <w:rPr>
                <w:color w:val="000000"/>
              </w:rPr>
              <w:t>78</w:t>
            </w:r>
            <w:r w:rsidRPr="001F5B11">
              <w:rPr>
                <w:color w:val="000000"/>
              </w:rPr>
              <w:br/>
              <w:t>(19.3%)</w:t>
            </w:r>
          </w:p>
        </w:tc>
        <w:tc>
          <w:tcPr>
            <w:tcW w:w="987" w:type="dxa"/>
            <w:tcBorders>
              <w:top w:val="single" w:sz="4" w:space="0" w:color="auto"/>
              <w:left w:val="nil"/>
              <w:bottom w:val="single" w:sz="4" w:space="0" w:color="auto"/>
              <w:right w:val="single" w:sz="4" w:space="0" w:color="auto"/>
            </w:tcBorders>
            <w:vAlign w:val="bottom"/>
          </w:tcPr>
          <w:p w14:paraId="74246983" w14:textId="77777777" w:rsidR="003A053D" w:rsidRPr="001F5B11" w:rsidRDefault="003A053D" w:rsidP="00205DEE">
            <w:pPr>
              <w:jc w:val="center"/>
              <w:rPr>
                <w:color w:val="000000"/>
              </w:rPr>
            </w:pPr>
            <w:r w:rsidRPr="001F5B11">
              <w:rPr>
                <w:color w:val="000000"/>
              </w:rPr>
              <w:t>153</w:t>
            </w:r>
            <w:r w:rsidRPr="001F5B11">
              <w:rPr>
                <w:color w:val="000000"/>
              </w:rPr>
              <w:br/>
              <w:t>(37.8%)</w:t>
            </w:r>
          </w:p>
        </w:tc>
        <w:tc>
          <w:tcPr>
            <w:tcW w:w="987" w:type="dxa"/>
            <w:tcBorders>
              <w:top w:val="single" w:sz="4" w:space="0" w:color="auto"/>
              <w:left w:val="nil"/>
              <w:bottom w:val="single" w:sz="4" w:space="0" w:color="auto"/>
              <w:right w:val="single" w:sz="4" w:space="0" w:color="auto"/>
            </w:tcBorders>
            <w:vAlign w:val="bottom"/>
          </w:tcPr>
          <w:p w14:paraId="33F0B064" w14:textId="77777777" w:rsidR="003A053D" w:rsidRPr="001F5B11" w:rsidRDefault="003A053D" w:rsidP="00205DEE">
            <w:pPr>
              <w:jc w:val="center"/>
              <w:rPr>
                <w:color w:val="000000"/>
              </w:rPr>
            </w:pPr>
            <w:r w:rsidRPr="001F5B11">
              <w:rPr>
                <w:color w:val="000000"/>
              </w:rPr>
              <w:t>33</w:t>
            </w:r>
            <w:r w:rsidRPr="001F5B11">
              <w:rPr>
                <w:color w:val="000000"/>
              </w:rPr>
              <w:br/>
              <w:t>(8.1%)</w:t>
            </w:r>
          </w:p>
        </w:tc>
        <w:tc>
          <w:tcPr>
            <w:tcW w:w="987" w:type="dxa"/>
            <w:tcBorders>
              <w:top w:val="single" w:sz="4" w:space="0" w:color="auto"/>
              <w:left w:val="nil"/>
              <w:bottom w:val="single" w:sz="4" w:space="0" w:color="auto"/>
              <w:right w:val="single" w:sz="4" w:space="0" w:color="auto"/>
            </w:tcBorders>
            <w:vAlign w:val="bottom"/>
          </w:tcPr>
          <w:p w14:paraId="33ABB216" w14:textId="77777777" w:rsidR="003A053D" w:rsidRPr="001F5B11" w:rsidRDefault="003A053D" w:rsidP="00205DEE">
            <w:pPr>
              <w:jc w:val="center"/>
              <w:rPr>
                <w:color w:val="000000"/>
              </w:rPr>
            </w:pPr>
            <w:r w:rsidRPr="001F5B11">
              <w:rPr>
                <w:color w:val="000000"/>
              </w:rPr>
              <w:t>5</w:t>
            </w:r>
            <w:r w:rsidRPr="001F5B11">
              <w:rPr>
                <w:color w:val="000000"/>
              </w:rPr>
              <w:br/>
              <w:t>(1.2%)</w:t>
            </w:r>
          </w:p>
        </w:tc>
      </w:tr>
    </w:tbl>
    <w:p w14:paraId="785F08EF" w14:textId="77777777" w:rsidR="003A053D" w:rsidRPr="00CB0B9A" w:rsidRDefault="003A053D" w:rsidP="003A053D">
      <w:pPr>
        <w:pStyle w:val="paragraph"/>
        <w:spacing w:before="0" w:beforeAutospacing="0" w:after="240" w:afterAutospacing="0"/>
        <w:textAlignment w:val="baseline"/>
        <w:rPr>
          <w:rFonts w:ascii="Arial" w:hAnsi="Arial" w:cs="Arial"/>
        </w:rPr>
      </w:pPr>
      <w:r w:rsidRPr="00CB0B9A">
        <w:rPr>
          <w:rStyle w:val="normaltextrun"/>
          <w:rFonts w:ascii="Arial" w:hAnsi="Arial" w:cs="Arial"/>
        </w:rPr>
        <w:t>*Total = Number of districts with 30 or more students at the district level and student group level; 15 for Foster Youth, Homeless, and Long-Term English Learner Student Groups.</w:t>
      </w:r>
    </w:p>
    <w:p w14:paraId="70E6BC19" w14:textId="77777777" w:rsidR="003A053D" w:rsidRPr="001E3656" w:rsidRDefault="003A053D" w:rsidP="003A053D">
      <w:pPr>
        <w:pStyle w:val="paragraph"/>
        <w:spacing w:before="0" w:beforeAutospacing="0" w:after="0" w:afterAutospacing="0"/>
        <w:textAlignment w:val="baseline"/>
        <w:rPr>
          <w:rFonts w:ascii="Arial" w:hAnsi="Arial" w:cs="Arial"/>
          <w:sz w:val="18"/>
          <w:szCs w:val="18"/>
        </w:rPr>
      </w:pPr>
      <w:r w:rsidRPr="001E3656">
        <w:rPr>
          <w:rStyle w:val="normaltextrun"/>
          <w:rFonts w:ascii="Arial" w:hAnsi="Arial" w:cs="Arial"/>
        </w:rPr>
        <w:t>Note: For all percentages calculated above, the total number of districts (</w:t>
      </w:r>
      <w:r w:rsidRPr="001E3656">
        <w:rPr>
          <w:rStyle w:val="normaltextrun"/>
          <w:rFonts w:ascii="Arial" w:hAnsi="Arial" w:cs="Arial"/>
          <w:b/>
        </w:rPr>
        <w:t>405</w:t>
      </w:r>
      <w:r w:rsidRPr="001E3656">
        <w:rPr>
          <w:rStyle w:val="normaltextrun"/>
          <w:rFonts w:ascii="Arial" w:hAnsi="Arial" w:cs="Arial"/>
        </w:rPr>
        <w:t>) was used for the denominator.</w:t>
      </w:r>
    </w:p>
    <w:p w14:paraId="5ECAEDE9" w14:textId="7D135114" w:rsidR="000A4CCC" w:rsidRDefault="000A4CCC">
      <w:pPr>
        <w:spacing w:after="160" w:line="259" w:lineRule="auto"/>
      </w:pPr>
      <w:r>
        <w:br w:type="page"/>
      </w:r>
    </w:p>
    <w:p w14:paraId="273D08EC" w14:textId="468E4B41" w:rsidR="003A053D" w:rsidRPr="008D55C9" w:rsidRDefault="003A053D" w:rsidP="00FA2D7D">
      <w:pPr>
        <w:pStyle w:val="Heading5"/>
      </w:pPr>
      <w:bookmarkStart w:id="13" w:name="_Toc216087491"/>
      <w:r w:rsidRPr="008D55C9">
        <w:lastRenderedPageBreak/>
        <w:t xml:space="preserve">Table </w:t>
      </w:r>
      <w:bookmarkStart w:id="14" w:name="_Toc149483610"/>
      <w:r>
        <w:t>5</w:t>
      </w:r>
      <w:r w:rsidRPr="008D55C9">
        <w:t>: 2025 Proportion of Schools and Districts that had an Increase o</w:t>
      </w:r>
      <w:r w:rsidR="002557F1">
        <w:t>r</w:t>
      </w:r>
      <w:r w:rsidRPr="008D55C9">
        <w:t xml:space="preserve"> Decrease in Change Levels</w:t>
      </w:r>
      <w:bookmarkEnd w:id="13"/>
      <w:bookmarkEnd w:id="14"/>
    </w:p>
    <w:tbl>
      <w:tblPr>
        <w:tblStyle w:val="GridTable3-Accent1"/>
        <w:tblW w:w="963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5: 2025 Proportion of Schools and Districts that had an Increase of Decrease in Change Levels"/>
      </w:tblPr>
      <w:tblGrid>
        <w:gridCol w:w="2880"/>
        <w:gridCol w:w="2541"/>
        <w:gridCol w:w="1828"/>
        <w:gridCol w:w="2381"/>
      </w:tblGrid>
      <w:tr w:rsidR="003A053D" w:rsidRPr="008D55C9" w14:paraId="29AA7790" w14:textId="77777777" w:rsidTr="00B41530">
        <w:trPr>
          <w:cnfStyle w:val="100000000000" w:firstRow="1" w:lastRow="0" w:firstColumn="0" w:lastColumn="0" w:oddVBand="0" w:evenVBand="0" w:oddHBand="0" w:evenHBand="0" w:firstRowFirstColumn="0" w:firstRowLastColumn="0" w:lastRowFirstColumn="0" w:lastRowLastColumn="0"/>
          <w:cantSplit/>
          <w:trHeight w:val="296"/>
          <w:tblHeader/>
        </w:trPr>
        <w:tc>
          <w:tcPr>
            <w:tcW w:w="2880" w:type="dxa"/>
            <w:tcBorders>
              <w:top w:val="none" w:sz="0" w:space="0" w:color="auto"/>
              <w:left w:val="none" w:sz="0" w:space="0" w:color="auto"/>
              <w:right w:val="none" w:sz="0" w:space="0" w:color="auto"/>
            </w:tcBorders>
            <w:noWrap/>
            <w:hideMark/>
          </w:tcPr>
          <w:p w14:paraId="6B8C166E" w14:textId="77777777" w:rsidR="003A053D" w:rsidRPr="008D55C9" w:rsidRDefault="003A053D" w:rsidP="00205DEE">
            <w:pPr>
              <w:rPr>
                <w:i/>
              </w:rPr>
            </w:pPr>
            <w:r w:rsidRPr="008D55C9">
              <w:rPr>
                <w:color w:val="000000"/>
              </w:rPr>
              <w:t>Change from 2024 to 2025</w:t>
            </w:r>
          </w:p>
        </w:tc>
        <w:tc>
          <w:tcPr>
            <w:tcW w:w="2541" w:type="dxa"/>
            <w:tcBorders>
              <w:top w:val="none" w:sz="0" w:space="0" w:color="auto"/>
              <w:left w:val="none" w:sz="0" w:space="0" w:color="auto"/>
              <w:right w:val="none" w:sz="0" w:space="0" w:color="auto"/>
            </w:tcBorders>
            <w:noWrap/>
            <w:vAlign w:val="bottom"/>
            <w:hideMark/>
          </w:tcPr>
          <w:p w14:paraId="78456BD9" w14:textId="77777777" w:rsidR="003A053D" w:rsidRPr="008D55C9" w:rsidRDefault="003A053D" w:rsidP="00205DEE">
            <w:pPr>
              <w:jc w:val="center"/>
              <w:rPr>
                <w:color w:val="000000"/>
              </w:rPr>
            </w:pPr>
            <w:r w:rsidRPr="008D55C9">
              <w:rPr>
                <w:color w:val="000000"/>
              </w:rPr>
              <w:t>Declined Change</w:t>
            </w:r>
          </w:p>
        </w:tc>
        <w:tc>
          <w:tcPr>
            <w:tcW w:w="1828" w:type="dxa"/>
            <w:tcBorders>
              <w:top w:val="none" w:sz="0" w:space="0" w:color="auto"/>
              <w:left w:val="none" w:sz="0" w:space="0" w:color="auto"/>
              <w:right w:val="none" w:sz="0" w:space="0" w:color="auto"/>
            </w:tcBorders>
            <w:noWrap/>
            <w:vAlign w:val="bottom"/>
            <w:hideMark/>
          </w:tcPr>
          <w:p w14:paraId="1A4767A2" w14:textId="77777777" w:rsidR="003A053D" w:rsidRPr="008D55C9" w:rsidRDefault="003A053D" w:rsidP="00205DEE">
            <w:pPr>
              <w:jc w:val="center"/>
              <w:rPr>
                <w:color w:val="000000"/>
              </w:rPr>
            </w:pPr>
            <w:r w:rsidRPr="008D55C9">
              <w:rPr>
                <w:color w:val="000000"/>
              </w:rPr>
              <w:t>Maintained</w:t>
            </w:r>
          </w:p>
        </w:tc>
        <w:tc>
          <w:tcPr>
            <w:tcW w:w="2381" w:type="dxa"/>
            <w:tcBorders>
              <w:top w:val="none" w:sz="0" w:space="0" w:color="auto"/>
              <w:left w:val="none" w:sz="0" w:space="0" w:color="auto"/>
              <w:right w:val="none" w:sz="0" w:space="0" w:color="auto"/>
            </w:tcBorders>
            <w:noWrap/>
            <w:vAlign w:val="bottom"/>
            <w:hideMark/>
          </w:tcPr>
          <w:p w14:paraId="405F78CF" w14:textId="77777777" w:rsidR="003A053D" w:rsidRPr="008D55C9" w:rsidRDefault="003A053D" w:rsidP="00205DEE">
            <w:pPr>
              <w:jc w:val="center"/>
              <w:rPr>
                <w:color w:val="000000"/>
              </w:rPr>
            </w:pPr>
            <w:r w:rsidRPr="008D55C9">
              <w:rPr>
                <w:color w:val="000000"/>
              </w:rPr>
              <w:t>Increased Change</w:t>
            </w:r>
          </w:p>
        </w:tc>
      </w:tr>
      <w:tr w:rsidR="003A053D" w:rsidRPr="001E3656" w14:paraId="0D32358E" w14:textId="77777777" w:rsidTr="00B41530">
        <w:trPr>
          <w:cantSplit/>
          <w:trHeight w:val="296"/>
        </w:trPr>
        <w:tc>
          <w:tcPr>
            <w:tcW w:w="2880" w:type="dxa"/>
            <w:noWrap/>
            <w:hideMark/>
          </w:tcPr>
          <w:p w14:paraId="0BB9AB67" w14:textId="77777777" w:rsidR="003A053D" w:rsidRPr="0027073C" w:rsidRDefault="003A053D" w:rsidP="00205DEE">
            <w:pPr>
              <w:rPr>
                <w:i/>
                <w:color w:val="000000"/>
              </w:rPr>
            </w:pPr>
            <w:r w:rsidRPr="0027073C">
              <w:rPr>
                <w:color w:val="000000"/>
              </w:rPr>
              <w:t>Districts</w:t>
            </w:r>
          </w:p>
        </w:tc>
        <w:tc>
          <w:tcPr>
            <w:tcW w:w="2541" w:type="dxa"/>
            <w:noWrap/>
            <w:vAlign w:val="bottom"/>
          </w:tcPr>
          <w:p w14:paraId="6CF14AF5" w14:textId="77777777" w:rsidR="003A053D" w:rsidRPr="00C649FA" w:rsidRDefault="003A053D" w:rsidP="00205DEE">
            <w:pPr>
              <w:jc w:val="center"/>
              <w:rPr>
                <w:color w:val="000000"/>
              </w:rPr>
            </w:pPr>
            <w:r w:rsidRPr="00C649FA">
              <w:rPr>
                <w:color w:val="000000"/>
              </w:rPr>
              <w:t>38</w:t>
            </w:r>
            <w:r w:rsidRPr="00C649FA">
              <w:rPr>
                <w:color w:val="000000"/>
              </w:rPr>
              <w:br/>
              <w:t>(9.4%)</w:t>
            </w:r>
          </w:p>
        </w:tc>
        <w:tc>
          <w:tcPr>
            <w:tcW w:w="1828" w:type="dxa"/>
            <w:noWrap/>
            <w:vAlign w:val="bottom"/>
          </w:tcPr>
          <w:p w14:paraId="7FD59036" w14:textId="77777777" w:rsidR="003A053D" w:rsidRPr="00C649FA" w:rsidRDefault="003A053D" w:rsidP="00205DEE">
            <w:pPr>
              <w:jc w:val="center"/>
              <w:rPr>
                <w:color w:val="000000"/>
              </w:rPr>
            </w:pPr>
            <w:r w:rsidRPr="00C649FA">
              <w:rPr>
                <w:color w:val="000000"/>
              </w:rPr>
              <w:t>114</w:t>
            </w:r>
            <w:r w:rsidRPr="00C649FA">
              <w:rPr>
                <w:color w:val="000000"/>
              </w:rPr>
              <w:br/>
              <w:t>(28.1%)</w:t>
            </w:r>
          </w:p>
        </w:tc>
        <w:tc>
          <w:tcPr>
            <w:tcW w:w="2381" w:type="dxa"/>
            <w:noWrap/>
            <w:vAlign w:val="bottom"/>
          </w:tcPr>
          <w:p w14:paraId="3F0A6785" w14:textId="77777777" w:rsidR="003A053D" w:rsidRPr="00C649FA" w:rsidRDefault="003A053D" w:rsidP="00205DEE">
            <w:pPr>
              <w:jc w:val="center"/>
              <w:rPr>
                <w:color w:val="000000"/>
              </w:rPr>
            </w:pPr>
            <w:r w:rsidRPr="00C649FA">
              <w:rPr>
                <w:color w:val="000000"/>
              </w:rPr>
              <w:t>253</w:t>
            </w:r>
            <w:r w:rsidRPr="00C649FA">
              <w:rPr>
                <w:color w:val="000000"/>
              </w:rPr>
              <w:br/>
              <w:t>(62.5%)</w:t>
            </w:r>
          </w:p>
        </w:tc>
      </w:tr>
      <w:tr w:rsidR="003A053D" w:rsidRPr="001E3656" w14:paraId="6C5F0E0A" w14:textId="77777777" w:rsidTr="00B41530">
        <w:trPr>
          <w:cantSplit/>
          <w:trHeight w:val="296"/>
        </w:trPr>
        <w:tc>
          <w:tcPr>
            <w:tcW w:w="2880" w:type="dxa"/>
            <w:noWrap/>
          </w:tcPr>
          <w:p w14:paraId="5A3D5310" w14:textId="77777777" w:rsidR="003A053D" w:rsidRPr="0027073C" w:rsidRDefault="003A053D" w:rsidP="00205DEE">
            <w:pPr>
              <w:rPr>
                <w:i/>
                <w:color w:val="000000"/>
              </w:rPr>
            </w:pPr>
            <w:r w:rsidRPr="0027073C">
              <w:rPr>
                <w:color w:val="000000"/>
              </w:rPr>
              <w:t>Schools</w:t>
            </w:r>
          </w:p>
        </w:tc>
        <w:tc>
          <w:tcPr>
            <w:tcW w:w="2541" w:type="dxa"/>
            <w:noWrap/>
            <w:vAlign w:val="bottom"/>
          </w:tcPr>
          <w:p w14:paraId="7DA87BC7" w14:textId="77777777" w:rsidR="003A053D" w:rsidRPr="00C649FA" w:rsidRDefault="003A053D" w:rsidP="00205DEE">
            <w:pPr>
              <w:jc w:val="center"/>
              <w:rPr>
                <w:color w:val="000000"/>
              </w:rPr>
            </w:pPr>
            <w:r w:rsidRPr="00C649FA">
              <w:rPr>
                <w:color w:val="000000"/>
              </w:rPr>
              <w:t>396</w:t>
            </w:r>
            <w:r w:rsidRPr="00C649FA">
              <w:rPr>
                <w:color w:val="000000"/>
              </w:rPr>
              <w:br/>
              <w:t>(20.7%)</w:t>
            </w:r>
          </w:p>
        </w:tc>
        <w:tc>
          <w:tcPr>
            <w:tcW w:w="1828" w:type="dxa"/>
            <w:noWrap/>
            <w:vAlign w:val="bottom"/>
          </w:tcPr>
          <w:p w14:paraId="43A181DF" w14:textId="77777777" w:rsidR="003A053D" w:rsidRPr="00C649FA" w:rsidRDefault="003A053D" w:rsidP="00205DEE">
            <w:pPr>
              <w:jc w:val="center"/>
              <w:rPr>
                <w:color w:val="000000"/>
              </w:rPr>
            </w:pPr>
            <w:r w:rsidRPr="00C649FA">
              <w:rPr>
                <w:color w:val="000000"/>
              </w:rPr>
              <w:t>571</w:t>
            </w:r>
            <w:r w:rsidRPr="00C649FA">
              <w:rPr>
                <w:color w:val="000000"/>
              </w:rPr>
              <w:br/>
              <w:t>(29.8%)</w:t>
            </w:r>
          </w:p>
        </w:tc>
        <w:tc>
          <w:tcPr>
            <w:tcW w:w="2381" w:type="dxa"/>
            <w:noWrap/>
            <w:vAlign w:val="bottom"/>
          </w:tcPr>
          <w:p w14:paraId="2600162A" w14:textId="77777777" w:rsidR="003A053D" w:rsidRPr="00C649FA" w:rsidRDefault="003A053D" w:rsidP="00205DEE">
            <w:pPr>
              <w:jc w:val="center"/>
              <w:rPr>
                <w:color w:val="000000"/>
              </w:rPr>
            </w:pPr>
            <w:r w:rsidRPr="00C649FA">
              <w:rPr>
                <w:color w:val="000000"/>
              </w:rPr>
              <w:t>949</w:t>
            </w:r>
            <w:r w:rsidRPr="00C649FA">
              <w:rPr>
                <w:color w:val="000000"/>
              </w:rPr>
              <w:br/>
              <w:t>(49.5%)</w:t>
            </w:r>
          </w:p>
        </w:tc>
      </w:tr>
    </w:tbl>
    <w:p w14:paraId="15AA8C19" w14:textId="77777777" w:rsidR="003A053D" w:rsidRPr="000F10B8" w:rsidRDefault="003A053D" w:rsidP="00FA2D7D">
      <w:pPr>
        <w:pStyle w:val="Heading4"/>
      </w:pPr>
      <w:r w:rsidRPr="000F10B8">
        <w:br w:type="page"/>
      </w:r>
      <w:bookmarkStart w:id="15" w:name="_Toc149483614"/>
      <w:bookmarkStart w:id="16" w:name="_Toc216087493"/>
      <w:r w:rsidRPr="000F10B8">
        <w:lastRenderedPageBreak/>
        <w:t>CCI School Results</w:t>
      </w:r>
      <w:bookmarkEnd w:id="15"/>
      <w:bookmarkEnd w:id="16"/>
    </w:p>
    <w:p w14:paraId="4ACD554D" w14:textId="77777777" w:rsidR="003A053D" w:rsidRPr="008D55C9" w:rsidRDefault="003A053D" w:rsidP="00FA2D7D">
      <w:pPr>
        <w:pStyle w:val="Heading5"/>
      </w:pPr>
      <w:bookmarkStart w:id="17" w:name="_Toc149483615"/>
      <w:bookmarkStart w:id="18" w:name="_Toc216087494"/>
      <w:r w:rsidRPr="008D55C9">
        <w:t xml:space="preserve">Table </w:t>
      </w:r>
      <w:r>
        <w:t>6:</w:t>
      </w:r>
      <w:r w:rsidRPr="008D55C9">
        <w:t xml:space="preserve"> 2024</w:t>
      </w:r>
      <w:r>
        <w:t>–</w:t>
      </w:r>
      <w:r w:rsidRPr="008D55C9">
        <w:t xml:space="preserve">25 CCI School Performance Level (Color) Results in Five-by-Five </w:t>
      </w:r>
      <w:bookmarkEnd w:id="17"/>
      <w:r w:rsidRPr="008D55C9">
        <w:t>Colored Table</w:t>
      </w:r>
      <w:bookmarkEnd w:id="18"/>
    </w:p>
    <w:tbl>
      <w:tblPr>
        <w:tblW w:w="10165" w:type="dxa"/>
        <w:tblLayout w:type="fixed"/>
        <w:tblLook w:val="0420" w:firstRow="1" w:lastRow="0" w:firstColumn="0" w:lastColumn="0" w:noHBand="0" w:noVBand="1"/>
        <w:tblDescription w:val="Table 6: 2024–25 CCI School Performance Level (Color) Results in Five-by-Five Colored Table"/>
      </w:tblPr>
      <w:tblGrid>
        <w:gridCol w:w="1525"/>
        <w:gridCol w:w="1890"/>
        <w:gridCol w:w="1595"/>
        <w:gridCol w:w="1825"/>
        <w:gridCol w:w="1534"/>
        <w:gridCol w:w="1796"/>
      </w:tblGrid>
      <w:tr w:rsidR="003A053D" w:rsidRPr="001E3656" w14:paraId="6A088B37" w14:textId="77777777" w:rsidTr="000650FE">
        <w:trPr>
          <w:cantSplit/>
          <w:trHeight w:val="1240"/>
          <w:tblHeader/>
        </w:trPr>
        <w:tc>
          <w:tcPr>
            <w:tcW w:w="1525" w:type="dxa"/>
            <w:tcBorders>
              <w:top w:val="single" w:sz="4" w:space="0" w:color="auto"/>
              <w:left w:val="single" w:sz="4" w:space="0" w:color="auto"/>
              <w:bottom w:val="single" w:sz="4" w:space="0" w:color="auto"/>
              <w:right w:val="single" w:sz="4" w:space="0" w:color="auto"/>
            </w:tcBorders>
            <w:vAlign w:val="center"/>
            <w:hideMark/>
          </w:tcPr>
          <w:p w14:paraId="424E49FB" w14:textId="77777777" w:rsidR="003A053D" w:rsidRPr="001E3656" w:rsidRDefault="003A053D" w:rsidP="00205DEE">
            <w:pPr>
              <w:jc w:val="center"/>
              <w:rPr>
                <w:b/>
              </w:rPr>
            </w:pPr>
            <w:r w:rsidRPr="001E3656">
              <w:rPr>
                <w:b/>
              </w:rPr>
              <w:t>Level</w:t>
            </w:r>
          </w:p>
        </w:tc>
        <w:tc>
          <w:tcPr>
            <w:tcW w:w="1890" w:type="dxa"/>
            <w:tcBorders>
              <w:top w:val="single" w:sz="4" w:space="0" w:color="auto"/>
              <w:left w:val="nil"/>
              <w:bottom w:val="single" w:sz="4" w:space="0" w:color="auto"/>
              <w:right w:val="single" w:sz="4" w:space="0" w:color="auto"/>
            </w:tcBorders>
            <w:vAlign w:val="center"/>
            <w:hideMark/>
          </w:tcPr>
          <w:p w14:paraId="5079084F" w14:textId="77777777" w:rsidR="003A053D" w:rsidRPr="001E3656" w:rsidRDefault="003A053D" w:rsidP="00205DEE">
            <w:pPr>
              <w:jc w:val="center"/>
              <w:rPr>
                <w:b/>
              </w:rPr>
            </w:pPr>
            <w:r w:rsidRPr="00C649FA">
              <w:rPr>
                <w:rStyle w:val="normaltextrun"/>
                <w:b/>
              </w:rPr>
              <w:t>Declined Significantly</w:t>
            </w:r>
          </w:p>
        </w:tc>
        <w:tc>
          <w:tcPr>
            <w:tcW w:w="1595" w:type="dxa"/>
            <w:tcBorders>
              <w:top w:val="single" w:sz="4" w:space="0" w:color="auto"/>
              <w:left w:val="nil"/>
              <w:bottom w:val="single" w:sz="4" w:space="0" w:color="auto"/>
              <w:right w:val="single" w:sz="4" w:space="0" w:color="auto"/>
            </w:tcBorders>
            <w:vAlign w:val="center"/>
            <w:hideMark/>
          </w:tcPr>
          <w:p w14:paraId="4E40AEA4" w14:textId="77777777" w:rsidR="003A053D" w:rsidRPr="001E3656" w:rsidRDefault="003A053D" w:rsidP="00205DEE">
            <w:pPr>
              <w:jc w:val="center"/>
              <w:rPr>
                <w:b/>
              </w:rPr>
            </w:pPr>
            <w:r w:rsidRPr="00C649FA">
              <w:rPr>
                <w:rStyle w:val="normaltextrun"/>
                <w:b/>
              </w:rPr>
              <w:t>Declined</w:t>
            </w:r>
          </w:p>
        </w:tc>
        <w:tc>
          <w:tcPr>
            <w:tcW w:w="1825" w:type="dxa"/>
            <w:tcBorders>
              <w:top w:val="single" w:sz="4" w:space="0" w:color="auto"/>
              <w:left w:val="nil"/>
              <w:bottom w:val="single" w:sz="4" w:space="0" w:color="auto"/>
              <w:right w:val="single" w:sz="4" w:space="0" w:color="auto"/>
            </w:tcBorders>
            <w:vAlign w:val="center"/>
            <w:hideMark/>
          </w:tcPr>
          <w:p w14:paraId="2278B1A8" w14:textId="77777777" w:rsidR="003A053D" w:rsidRPr="001E3656" w:rsidRDefault="003A053D" w:rsidP="00205DEE">
            <w:pPr>
              <w:jc w:val="center"/>
              <w:rPr>
                <w:b/>
              </w:rPr>
            </w:pPr>
            <w:r w:rsidRPr="00C649FA">
              <w:rPr>
                <w:rStyle w:val="normaltextrun"/>
                <w:b/>
              </w:rPr>
              <w:t>Maintained</w:t>
            </w:r>
          </w:p>
        </w:tc>
        <w:tc>
          <w:tcPr>
            <w:tcW w:w="1534" w:type="dxa"/>
            <w:tcBorders>
              <w:top w:val="single" w:sz="4" w:space="0" w:color="auto"/>
              <w:left w:val="nil"/>
              <w:bottom w:val="single" w:sz="4" w:space="0" w:color="auto"/>
              <w:right w:val="single" w:sz="4" w:space="0" w:color="auto"/>
            </w:tcBorders>
            <w:vAlign w:val="center"/>
            <w:hideMark/>
          </w:tcPr>
          <w:p w14:paraId="0B4438F9" w14:textId="77777777" w:rsidR="003A053D" w:rsidRPr="001E3656" w:rsidRDefault="003A053D" w:rsidP="00205DEE">
            <w:pPr>
              <w:jc w:val="center"/>
              <w:rPr>
                <w:b/>
              </w:rPr>
            </w:pPr>
            <w:r w:rsidRPr="00C649FA">
              <w:rPr>
                <w:rStyle w:val="normaltextrun"/>
                <w:b/>
              </w:rPr>
              <w:t>Increased</w:t>
            </w:r>
          </w:p>
        </w:tc>
        <w:tc>
          <w:tcPr>
            <w:tcW w:w="1796" w:type="dxa"/>
            <w:tcBorders>
              <w:top w:val="single" w:sz="4" w:space="0" w:color="auto"/>
              <w:left w:val="nil"/>
              <w:bottom w:val="single" w:sz="4" w:space="0" w:color="auto"/>
              <w:right w:val="single" w:sz="4" w:space="0" w:color="auto"/>
            </w:tcBorders>
            <w:vAlign w:val="center"/>
            <w:hideMark/>
          </w:tcPr>
          <w:p w14:paraId="534A721C" w14:textId="77777777" w:rsidR="003A053D" w:rsidRPr="001E3656" w:rsidRDefault="003A053D" w:rsidP="00205DEE">
            <w:pPr>
              <w:jc w:val="center"/>
              <w:rPr>
                <w:b/>
              </w:rPr>
            </w:pPr>
            <w:r w:rsidRPr="00C649FA">
              <w:rPr>
                <w:rStyle w:val="normaltextrun"/>
                <w:b/>
              </w:rPr>
              <w:t>Increased Significantly</w:t>
            </w:r>
          </w:p>
        </w:tc>
      </w:tr>
      <w:tr w:rsidR="003A053D" w:rsidRPr="001E3656" w14:paraId="1FE3D1C3"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64D19E29" w14:textId="77777777" w:rsidR="003A053D" w:rsidRPr="001E3656" w:rsidRDefault="003A053D" w:rsidP="00205DEE">
            <w:pPr>
              <w:jc w:val="center"/>
              <w:rPr>
                <w:b/>
              </w:rPr>
            </w:pPr>
            <w:r w:rsidRPr="00C649FA">
              <w:rPr>
                <w:rStyle w:val="normaltextrun"/>
                <w:b/>
              </w:rPr>
              <w:t>Very High</w:t>
            </w:r>
          </w:p>
        </w:tc>
        <w:tc>
          <w:tcPr>
            <w:tcW w:w="1890" w:type="dxa"/>
            <w:tcBorders>
              <w:top w:val="nil"/>
              <w:left w:val="nil"/>
              <w:bottom w:val="single" w:sz="4" w:space="0" w:color="auto"/>
              <w:right w:val="single" w:sz="4" w:space="0" w:color="auto"/>
            </w:tcBorders>
            <w:shd w:val="clear" w:color="auto" w:fill="FFFF00"/>
            <w:vAlign w:val="center"/>
          </w:tcPr>
          <w:p w14:paraId="58AD7B49" w14:textId="77777777" w:rsidR="003A053D" w:rsidRPr="00C649FA" w:rsidRDefault="003A053D" w:rsidP="00205DEE">
            <w:pPr>
              <w:jc w:val="center"/>
            </w:pPr>
            <w:r w:rsidRPr="00C649FA">
              <w:rPr>
                <w:color w:val="000000"/>
              </w:rPr>
              <w:t>1</w:t>
            </w:r>
            <w:r w:rsidRPr="00C649FA">
              <w:rPr>
                <w:color w:val="000000"/>
              </w:rPr>
              <w:br/>
              <w:t>(0.1%)</w:t>
            </w:r>
          </w:p>
        </w:tc>
        <w:tc>
          <w:tcPr>
            <w:tcW w:w="1595" w:type="dxa"/>
            <w:tcBorders>
              <w:top w:val="nil"/>
              <w:left w:val="nil"/>
              <w:bottom w:val="single" w:sz="4" w:space="0" w:color="auto"/>
              <w:right w:val="single" w:sz="4" w:space="0" w:color="auto"/>
            </w:tcBorders>
            <w:shd w:val="clear" w:color="000000" w:fill="006500"/>
            <w:vAlign w:val="center"/>
          </w:tcPr>
          <w:p w14:paraId="125F8B0B" w14:textId="77777777" w:rsidR="003A053D" w:rsidRPr="00C649FA" w:rsidRDefault="003A053D" w:rsidP="00205DEE">
            <w:pPr>
              <w:jc w:val="center"/>
              <w:rPr>
                <w:color w:val="FFFFFF"/>
              </w:rPr>
            </w:pPr>
            <w:r w:rsidRPr="00C649FA">
              <w:rPr>
                <w:color w:val="FFFFFF"/>
              </w:rPr>
              <w:t>69</w:t>
            </w:r>
            <w:r w:rsidRPr="00C649FA">
              <w:rPr>
                <w:color w:val="FFFFFF"/>
              </w:rPr>
              <w:br/>
              <w:t>(3.6%)</w:t>
            </w:r>
          </w:p>
        </w:tc>
        <w:tc>
          <w:tcPr>
            <w:tcW w:w="1825" w:type="dxa"/>
            <w:tcBorders>
              <w:top w:val="nil"/>
              <w:left w:val="nil"/>
              <w:bottom w:val="single" w:sz="4" w:space="0" w:color="auto"/>
              <w:right w:val="single" w:sz="4" w:space="0" w:color="auto"/>
            </w:tcBorders>
            <w:shd w:val="clear" w:color="000000" w:fill="0000FF"/>
            <w:vAlign w:val="center"/>
          </w:tcPr>
          <w:p w14:paraId="7665F192" w14:textId="77777777" w:rsidR="003A053D" w:rsidRPr="00C649FA" w:rsidRDefault="003A053D" w:rsidP="00205DEE">
            <w:pPr>
              <w:jc w:val="center"/>
              <w:rPr>
                <w:color w:val="FFFFFF"/>
              </w:rPr>
            </w:pPr>
            <w:r w:rsidRPr="00C649FA">
              <w:rPr>
                <w:color w:val="FFFFFF"/>
              </w:rPr>
              <w:t>128</w:t>
            </w:r>
            <w:r w:rsidRPr="00C649FA">
              <w:rPr>
                <w:color w:val="FFFFFF"/>
              </w:rPr>
              <w:br/>
              <w:t>(6.7%)</w:t>
            </w:r>
          </w:p>
        </w:tc>
        <w:tc>
          <w:tcPr>
            <w:tcW w:w="1534" w:type="dxa"/>
            <w:tcBorders>
              <w:top w:val="nil"/>
              <w:left w:val="nil"/>
              <w:bottom w:val="single" w:sz="4" w:space="0" w:color="auto"/>
              <w:right w:val="single" w:sz="4" w:space="0" w:color="auto"/>
            </w:tcBorders>
            <w:shd w:val="clear" w:color="000000" w:fill="0000FF"/>
            <w:vAlign w:val="center"/>
          </w:tcPr>
          <w:p w14:paraId="3FF1604E" w14:textId="77777777" w:rsidR="003A053D" w:rsidRPr="00C649FA" w:rsidRDefault="003A053D" w:rsidP="00205DEE">
            <w:pPr>
              <w:jc w:val="center"/>
              <w:rPr>
                <w:color w:val="FFFFFF"/>
              </w:rPr>
            </w:pPr>
            <w:r w:rsidRPr="00C649FA">
              <w:rPr>
                <w:color w:val="FFFFFF"/>
              </w:rPr>
              <w:t>198</w:t>
            </w:r>
            <w:r w:rsidRPr="00C649FA">
              <w:rPr>
                <w:color w:val="FFFFFF"/>
              </w:rPr>
              <w:br/>
              <w:t>(10.3%)</w:t>
            </w:r>
          </w:p>
        </w:tc>
        <w:tc>
          <w:tcPr>
            <w:tcW w:w="1796" w:type="dxa"/>
            <w:tcBorders>
              <w:top w:val="nil"/>
              <w:left w:val="nil"/>
              <w:bottom w:val="single" w:sz="4" w:space="0" w:color="auto"/>
              <w:right w:val="single" w:sz="4" w:space="0" w:color="auto"/>
            </w:tcBorders>
            <w:shd w:val="clear" w:color="000000" w:fill="0000FF"/>
            <w:vAlign w:val="center"/>
          </w:tcPr>
          <w:p w14:paraId="2A086A54" w14:textId="77777777" w:rsidR="003A053D" w:rsidRPr="00C649FA" w:rsidRDefault="003A053D" w:rsidP="00205DEE">
            <w:pPr>
              <w:jc w:val="center"/>
              <w:rPr>
                <w:color w:val="FFFFFF"/>
              </w:rPr>
            </w:pPr>
            <w:r w:rsidRPr="00C649FA">
              <w:rPr>
                <w:color w:val="FFFFFF"/>
              </w:rPr>
              <w:t>29</w:t>
            </w:r>
            <w:r w:rsidRPr="00C649FA">
              <w:rPr>
                <w:color w:val="FFFFFF"/>
              </w:rPr>
              <w:br/>
              <w:t>(1.5%)</w:t>
            </w:r>
          </w:p>
        </w:tc>
      </w:tr>
      <w:tr w:rsidR="003A053D" w:rsidRPr="001E3656" w14:paraId="6714E675"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01F2F6FE" w14:textId="77777777" w:rsidR="003A053D" w:rsidRPr="001E3656" w:rsidRDefault="003A053D" w:rsidP="00205DEE">
            <w:pPr>
              <w:jc w:val="center"/>
              <w:rPr>
                <w:b/>
              </w:rPr>
            </w:pPr>
            <w:r w:rsidRPr="00C649FA">
              <w:rPr>
                <w:rStyle w:val="normaltextrun"/>
                <w:b/>
              </w:rPr>
              <w:t>High</w:t>
            </w:r>
          </w:p>
        </w:tc>
        <w:tc>
          <w:tcPr>
            <w:tcW w:w="1890" w:type="dxa"/>
            <w:tcBorders>
              <w:top w:val="nil"/>
              <w:left w:val="nil"/>
              <w:bottom w:val="single" w:sz="4" w:space="0" w:color="auto"/>
              <w:right w:val="single" w:sz="4" w:space="0" w:color="auto"/>
            </w:tcBorders>
            <w:shd w:val="clear" w:color="auto" w:fill="FFA500"/>
            <w:vAlign w:val="center"/>
          </w:tcPr>
          <w:p w14:paraId="60FA16E2" w14:textId="77777777" w:rsidR="003A053D" w:rsidRPr="00C649FA" w:rsidRDefault="003A053D" w:rsidP="00205DEE">
            <w:pPr>
              <w:jc w:val="center"/>
            </w:pPr>
            <w:r w:rsidRPr="00C649FA">
              <w:rPr>
                <w:color w:val="000000"/>
              </w:rPr>
              <w:t>2</w:t>
            </w:r>
            <w:r w:rsidRPr="00C649FA">
              <w:rPr>
                <w:color w:val="000000"/>
              </w:rPr>
              <w:br/>
              <w:t>(0.1%)</w:t>
            </w:r>
          </w:p>
        </w:tc>
        <w:tc>
          <w:tcPr>
            <w:tcW w:w="1595" w:type="dxa"/>
            <w:tcBorders>
              <w:top w:val="nil"/>
              <w:left w:val="nil"/>
              <w:bottom w:val="single" w:sz="4" w:space="0" w:color="auto"/>
              <w:right w:val="single" w:sz="4" w:space="0" w:color="auto"/>
            </w:tcBorders>
            <w:shd w:val="clear" w:color="auto" w:fill="FFFF00"/>
            <w:vAlign w:val="center"/>
          </w:tcPr>
          <w:p w14:paraId="754CC72C" w14:textId="77777777" w:rsidR="003A053D" w:rsidRPr="00C649FA" w:rsidRDefault="003A053D" w:rsidP="00205DEE">
            <w:pPr>
              <w:jc w:val="center"/>
              <w:rPr>
                <w:color w:val="FFFFFF"/>
              </w:rPr>
            </w:pPr>
            <w:r w:rsidRPr="00C649FA">
              <w:rPr>
                <w:color w:val="000000"/>
              </w:rPr>
              <w:t>82</w:t>
            </w:r>
            <w:r w:rsidRPr="00C649FA">
              <w:rPr>
                <w:color w:val="000000"/>
              </w:rPr>
              <w:br/>
              <w:t>(4.3%)</w:t>
            </w:r>
          </w:p>
        </w:tc>
        <w:tc>
          <w:tcPr>
            <w:tcW w:w="1825" w:type="dxa"/>
            <w:tcBorders>
              <w:top w:val="nil"/>
              <w:left w:val="nil"/>
              <w:bottom w:val="single" w:sz="4" w:space="0" w:color="auto"/>
              <w:right w:val="single" w:sz="4" w:space="0" w:color="auto"/>
            </w:tcBorders>
            <w:shd w:val="clear" w:color="000000" w:fill="006500"/>
            <w:vAlign w:val="center"/>
          </w:tcPr>
          <w:p w14:paraId="1D81E97C" w14:textId="77777777" w:rsidR="003A053D" w:rsidRPr="00C649FA" w:rsidRDefault="003A053D" w:rsidP="00205DEE">
            <w:pPr>
              <w:jc w:val="center"/>
              <w:rPr>
                <w:color w:val="FFFFFF"/>
              </w:rPr>
            </w:pPr>
            <w:r w:rsidRPr="00C649FA">
              <w:rPr>
                <w:color w:val="FFFFFF"/>
              </w:rPr>
              <w:t>99</w:t>
            </w:r>
            <w:r w:rsidRPr="00C649FA">
              <w:rPr>
                <w:color w:val="FFFFFF"/>
              </w:rPr>
              <w:br/>
              <w:t>(5.2%)</w:t>
            </w:r>
          </w:p>
        </w:tc>
        <w:tc>
          <w:tcPr>
            <w:tcW w:w="1534" w:type="dxa"/>
            <w:tcBorders>
              <w:top w:val="nil"/>
              <w:left w:val="nil"/>
              <w:bottom w:val="single" w:sz="4" w:space="0" w:color="auto"/>
              <w:right w:val="single" w:sz="4" w:space="0" w:color="auto"/>
            </w:tcBorders>
            <w:shd w:val="clear" w:color="000000" w:fill="006500"/>
            <w:vAlign w:val="center"/>
          </w:tcPr>
          <w:p w14:paraId="1BE6EF53" w14:textId="77777777" w:rsidR="003A053D" w:rsidRPr="00C649FA" w:rsidRDefault="003A053D" w:rsidP="00205DEE">
            <w:pPr>
              <w:jc w:val="center"/>
              <w:rPr>
                <w:color w:val="FFFFFF"/>
              </w:rPr>
            </w:pPr>
            <w:r w:rsidRPr="00C649FA">
              <w:rPr>
                <w:color w:val="FFFFFF"/>
              </w:rPr>
              <w:t>189</w:t>
            </w:r>
            <w:r w:rsidRPr="00C649FA">
              <w:rPr>
                <w:color w:val="FFFFFF"/>
              </w:rPr>
              <w:br/>
              <w:t>(9.9%)</w:t>
            </w:r>
          </w:p>
        </w:tc>
        <w:tc>
          <w:tcPr>
            <w:tcW w:w="1796" w:type="dxa"/>
            <w:tcBorders>
              <w:top w:val="nil"/>
              <w:left w:val="nil"/>
              <w:bottom w:val="single" w:sz="4" w:space="0" w:color="auto"/>
              <w:right w:val="single" w:sz="4" w:space="0" w:color="auto"/>
            </w:tcBorders>
            <w:shd w:val="clear" w:color="000000" w:fill="0000FF"/>
            <w:vAlign w:val="center"/>
          </w:tcPr>
          <w:p w14:paraId="0577FC40" w14:textId="77777777" w:rsidR="003A053D" w:rsidRPr="00C649FA" w:rsidRDefault="003A053D" w:rsidP="00205DEE">
            <w:pPr>
              <w:jc w:val="center"/>
              <w:rPr>
                <w:color w:val="FFFFFF"/>
              </w:rPr>
            </w:pPr>
            <w:r w:rsidRPr="00C649FA">
              <w:rPr>
                <w:color w:val="FFFFFF"/>
              </w:rPr>
              <w:t>49</w:t>
            </w:r>
            <w:r w:rsidRPr="00C649FA">
              <w:rPr>
                <w:color w:val="FFFFFF"/>
              </w:rPr>
              <w:br/>
              <w:t>(2.6%)</w:t>
            </w:r>
          </w:p>
        </w:tc>
      </w:tr>
      <w:tr w:rsidR="003A053D" w:rsidRPr="001E3656" w14:paraId="7D5DAAEB"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27DA1416" w14:textId="77777777" w:rsidR="003A053D" w:rsidRPr="001E3656" w:rsidRDefault="003A053D" w:rsidP="00205DEE">
            <w:pPr>
              <w:jc w:val="center"/>
              <w:rPr>
                <w:b/>
              </w:rPr>
            </w:pPr>
            <w:r w:rsidRPr="00C649FA">
              <w:rPr>
                <w:rStyle w:val="normaltextrun"/>
                <w:b/>
              </w:rPr>
              <w:t>Medium</w:t>
            </w:r>
          </w:p>
        </w:tc>
        <w:tc>
          <w:tcPr>
            <w:tcW w:w="1890" w:type="dxa"/>
            <w:tcBorders>
              <w:top w:val="nil"/>
              <w:left w:val="nil"/>
              <w:bottom w:val="single" w:sz="4" w:space="0" w:color="auto"/>
              <w:right w:val="single" w:sz="4" w:space="0" w:color="auto"/>
            </w:tcBorders>
            <w:shd w:val="clear" w:color="auto" w:fill="FFA500"/>
            <w:vAlign w:val="center"/>
          </w:tcPr>
          <w:p w14:paraId="744153F3" w14:textId="77777777" w:rsidR="003A053D" w:rsidRPr="00C649FA" w:rsidRDefault="003A053D" w:rsidP="00205DEE">
            <w:pPr>
              <w:jc w:val="center"/>
            </w:pPr>
            <w:r w:rsidRPr="00C649FA">
              <w:t>7</w:t>
            </w:r>
            <w:r w:rsidRPr="00C649FA">
              <w:br/>
              <w:t>(0.4%)</w:t>
            </w:r>
          </w:p>
        </w:tc>
        <w:tc>
          <w:tcPr>
            <w:tcW w:w="1595" w:type="dxa"/>
            <w:tcBorders>
              <w:top w:val="nil"/>
              <w:left w:val="nil"/>
              <w:bottom w:val="single" w:sz="4" w:space="0" w:color="auto"/>
              <w:right w:val="single" w:sz="4" w:space="0" w:color="auto"/>
            </w:tcBorders>
            <w:shd w:val="clear" w:color="auto" w:fill="FFA500"/>
            <w:vAlign w:val="center"/>
          </w:tcPr>
          <w:p w14:paraId="093E87D1" w14:textId="77777777" w:rsidR="003A053D" w:rsidRPr="00C649FA" w:rsidRDefault="003A053D" w:rsidP="00205DEE">
            <w:pPr>
              <w:jc w:val="center"/>
            </w:pPr>
            <w:r w:rsidRPr="00C649FA">
              <w:t>94</w:t>
            </w:r>
            <w:r w:rsidRPr="00C649FA">
              <w:br/>
              <w:t>(4.9%)</w:t>
            </w:r>
          </w:p>
        </w:tc>
        <w:tc>
          <w:tcPr>
            <w:tcW w:w="1825" w:type="dxa"/>
            <w:tcBorders>
              <w:top w:val="nil"/>
              <w:left w:val="nil"/>
              <w:bottom w:val="single" w:sz="4" w:space="0" w:color="auto"/>
              <w:right w:val="single" w:sz="4" w:space="0" w:color="auto"/>
            </w:tcBorders>
            <w:shd w:val="clear" w:color="000000" w:fill="FFFF00"/>
            <w:vAlign w:val="center"/>
          </w:tcPr>
          <w:p w14:paraId="3EED1E30" w14:textId="77777777" w:rsidR="003A053D" w:rsidRPr="00C649FA" w:rsidRDefault="003A053D" w:rsidP="00205DEE">
            <w:pPr>
              <w:jc w:val="center"/>
            </w:pPr>
            <w:r w:rsidRPr="00C649FA">
              <w:t>88</w:t>
            </w:r>
            <w:r w:rsidRPr="00C649FA">
              <w:br/>
              <w:t>(4.6%)</w:t>
            </w:r>
          </w:p>
        </w:tc>
        <w:tc>
          <w:tcPr>
            <w:tcW w:w="1534" w:type="dxa"/>
            <w:tcBorders>
              <w:top w:val="nil"/>
              <w:left w:val="nil"/>
              <w:bottom w:val="single" w:sz="4" w:space="0" w:color="auto"/>
              <w:right w:val="single" w:sz="4" w:space="0" w:color="auto"/>
            </w:tcBorders>
            <w:shd w:val="clear" w:color="000000" w:fill="006500"/>
            <w:vAlign w:val="center"/>
          </w:tcPr>
          <w:p w14:paraId="29ABF94C" w14:textId="77777777" w:rsidR="003A053D" w:rsidRPr="00C649FA" w:rsidRDefault="003A053D" w:rsidP="00205DEE">
            <w:pPr>
              <w:jc w:val="center"/>
              <w:rPr>
                <w:color w:val="FFFFFF"/>
              </w:rPr>
            </w:pPr>
            <w:r w:rsidRPr="00C649FA">
              <w:rPr>
                <w:color w:val="FFFFFF"/>
              </w:rPr>
              <w:t>203</w:t>
            </w:r>
            <w:r w:rsidRPr="00C649FA">
              <w:rPr>
                <w:color w:val="FFFFFF"/>
              </w:rPr>
              <w:br/>
              <w:t>(10.6%)</w:t>
            </w:r>
          </w:p>
        </w:tc>
        <w:tc>
          <w:tcPr>
            <w:tcW w:w="1796" w:type="dxa"/>
            <w:tcBorders>
              <w:top w:val="nil"/>
              <w:left w:val="nil"/>
              <w:bottom w:val="single" w:sz="4" w:space="0" w:color="auto"/>
              <w:right w:val="single" w:sz="4" w:space="0" w:color="auto"/>
            </w:tcBorders>
            <w:shd w:val="clear" w:color="000000" w:fill="006500"/>
            <w:vAlign w:val="center"/>
          </w:tcPr>
          <w:p w14:paraId="458794A0" w14:textId="77777777" w:rsidR="003A053D" w:rsidRPr="00C649FA" w:rsidRDefault="003A053D" w:rsidP="00205DEE">
            <w:pPr>
              <w:jc w:val="center"/>
              <w:rPr>
                <w:color w:val="FFFFFF"/>
              </w:rPr>
            </w:pPr>
            <w:r w:rsidRPr="00C649FA">
              <w:rPr>
                <w:color w:val="FFFFFF"/>
              </w:rPr>
              <w:t>40</w:t>
            </w:r>
            <w:r w:rsidRPr="00C649FA">
              <w:rPr>
                <w:color w:val="FFFFFF"/>
              </w:rPr>
              <w:br/>
              <w:t>(2.1%)</w:t>
            </w:r>
          </w:p>
        </w:tc>
      </w:tr>
      <w:tr w:rsidR="003A053D" w:rsidRPr="001E3656" w14:paraId="742D7002"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0D72EFB0" w14:textId="77777777" w:rsidR="003A053D" w:rsidRPr="001E3656" w:rsidRDefault="003A053D" w:rsidP="00205DEE">
            <w:pPr>
              <w:jc w:val="center"/>
              <w:rPr>
                <w:b/>
              </w:rPr>
            </w:pPr>
            <w:r w:rsidRPr="00C649FA">
              <w:rPr>
                <w:rStyle w:val="normaltextrun"/>
                <w:b/>
              </w:rPr>
              <w:t>Low</w:t>
            </w:r>
          </w:p>
        </w:tc>
        <w:tc>
          <w:tcPr>
            <w:tcW w:w="1890" w:type="dxa"/>
            <w:tcBorders>
              <w:top w:val="nil"/>
              <w:left w:val="nil"/>
              <w:bottom w:val="single" w:sz="4" w:space="0" w:color="auto"/>
              <w:right w:val="single" w:sz="4" w:space="0" w:color="auto"/>
            </w:tcBorders>
            <w:shd w:val="clear" w:color="auto" w:fill="A20000"/>
            <w:vAlign w:val="bottom"/>
          </w:tcPr>
          <w:p w14:paraId="0D61DF39" w14:textId="77777777" w:rsidR="003A053D" w:rsidRPr="00C649FA" w:rsidRDefault="003A053D" w:rsidP="00205DEE">
            <w:pPr>
              <w:jc w:val="center"/>
              <w:rPr>
                <w:color w:val="FFFFFF" w:themeColor="background1"/>
              </w:rPr>
            </w:pPr>
            <w:r w:rsidRPr="00C649FA">
              <w:rPr>
                <w:color w:val="FFFFFF"/>
              </w:rPr>
              <w:t>4</w:t>
            </w:r>
            <w:r w:rsidRPr="00C649FA">
              <w:rPr>
                <w:color w:val="FFFFFF"/>
              </w:rPr>
              <w:br/>
              <w:t>(0.2%)</w:t>
            </w:r>
          </w:p>
        </w:tc>
        <w:tc>
          <w:tcPr>
            <w:tcW w:w="1595" w:type="dxa"/>
            <w:tcBorders>
              <w:top w:val="nil"/>
              <w:left w:val="nil"/>
              <w:bottom w:val="single" w:sz="4" w:space="0" w:color="auto"/>
              <w:right w:val="single" w:sz="4" w:space="0" w:color="auto"/>
            </w:tcBorders>
            <w:shd w:val="clear" w:color="auto" w:fill="FFA500"/>
            <w:vAlign w:val="bottom"/>
          </w:tcPr>
          <w:p w14:paraId="7EBD4E97" w14:textId="77777777" w:rsidR="003A053D" w:rsidRPr="00C649FA" w:rsidRDefault="003A053D" w:rsidP="00205DEE">
            <w:pPr>
              <w:jc w:val="center"/>
              <w:rPr>
                <w:color w:val="000000"/>
              </w:rPr>
            </w:pPr>
            <w:r w:rsidRPr="00C649FA">
              <w:rPr>
                <w:color w:val="000000"/>
              </w:rPr>
              <w:t>59</w:t>
            </w:r>
            <w:r w:rsidRPr="00C649FA">
              <w:rPr>
                <w:color w:val="000000"/>
              </w:rPr>
              <w:br/>
              <w:t>(3.1%)</w:t>
            </w:r>
          </w:p>
        </w:tc>
        <w:tc>
          <w:tcPr>
            <w:tcW w:w="1825" w:type="dxa"/>
            <w:tcBorders>
              <w:top w:val="nil"/>
              <w:left w:val="nil"/>
              <w:bottom w:val="single" w:sz="4" w:space="0" w:color="auto"/>
              <w:right w:val="single" w:sz="4" w:space="0" w:color="auto"/>
            </w:tcBorders>
            <w:shd w:val="clear" w:color="000000" w:fill="FFA500"/>
            <w:vAlign w:val="bottom"/>
          </w:tcPr>
          <w:p w14:paraId="3F7D0299" w14:textId="77777777" w:rsidR="003A053D" w:rsidRPr="00C649FA" w:rsidRDefault="003A053D" w:rsidP="00205DEE">
            <w:pPr>
              <w:jc w:val="center"/>
              <w:rPr>
                <w:color w:val="000000"/>
              </w:rPr>
            </w:pPr>
            <w:r w:rsidRPr="00C649FA">
              <w:rPr>
                <w:color w:val="000000"/>
              </w:rPr>
              <w:t>40</w:t>
            </w:r>
            <w:r w:rsidRPr="00C649FA">
              <w:rPr>
                <w:color w:val="000000"/>
              </w:rPr>
              <w:br/>
              <w:t>(2.1%)</w:t>
            </w:r>
          </w:p>
        </w:tc>
        <w:tc>
          <w:tcPr>
            <w:tcW w:w="1534" w:type="dxa"/>
            <w:tcBorders>
              <w:top w:val="nil"/>
              <w:left w:val="nil"/>
              <w:bottom w:val="single" w:sz="4" w:space="0" w:color="auto"/>
              <w:right w:val="single" w:sz="4" w:space="0" w:color="auto"/>
            </w:tcBorders>
            <w:shd w:val="clear" w:color="000000" w:fill="FFFF00"/>
            <w:vAlign w:val="bottom"/>
          </w:tcPr>
          <w:p w14:paraId="39D97848" w14:textId="77777777" w:rsidR="003A053D" w:rsidRPr="00C649FA" w:rsidRDefault="003A053D" w:rsidP="00205DEE">
            <w:pPr>
              <w:jc w:val="center"/>
              <w:rPr>
                <w:color w:val="000000"/>
              </w:rPr>
            </w:pPr>
            <w:r w:rsidRPr="00C649FA">
              <w:rPr>
                <w:color w:val="000000"/>
              </w:rPr>
              <w:t>133</w:t>
            </w:r>
            <w:r w:rsidRPr="00C649FA">
              <w:rPr>
                <w:color w:val="000000"/>
              </w:rPr>
              <w:br/>
              <w:t>(6.9%)</w:t>
            </w:r>
          </w:p>
        </w:tc>
        <w:tc>
          <w:tcPr>
            <w:tcW w:w="1796" w:type="dxa"/>
            <w:tcBorders>
              <w:top w:val="nil"/>
              <w:left w:val="nil"/>
              <w:bottom w:val="single" w:sz="4" w:space="0" w:color="auto"/>
              <w:right w:val="single" w:sz="4" w:space="0" w:color="auto"/>
            </w:tcBorders>
            <w:shd w:val="clear" w:color="000000" w:fill="FFFF00"/>
            <w:vAlign w:val="bottom"/>
          </w:tcPr>
          <w:p w14:paraId="66E82DAF" w14:textId="77777777" w:rsidR="003A053D" w:rsidRPr="00C649FA" w:rsidRDefault="003A053D" w:rsidP="00205DEE">
            <w:pPr>
              <w:jc w:val="center"/>
              <w:rPr>
                <w:color w:val="000000"/>
              </w:rPr>
            </w:pPr>
            <w:r w:rsidRPr="00C649FA">
              <w:rPr>
                <w:color w:val="000000"/>
              </w:rPr>
              <w:t>6</w:t>
            </w:r>
            <w:r w:rsidRPr="00C649FA">
              <w:rPr>
                <w:color w:val="000000"/>
              </w:rPr>
              <w:br/>
              <w:t>(0.3%)</w:t>
            </w:r>
          </w:p>
        </w:tc>
      </w:tr>
      <w:tr w:rsidR="003A053D" w:rsidRPr="001E3656" w14:paraId="38DBBA4C" w14:textId="77777777" w:rsidTr="000650FE">
        <w:trPr>
          <w:cantSplit/>
          <w:trHeight w:val="20"/>
        </w:trPr>
        <w:tc>
          <w:tcPr>
            <w:tcW w:w="1525" w:type="dxa"/>
            <w:tcBorders>
              <w:top w:val="nil"/>
              <w:left w:val="single" w:sz="4" w:space="0" w:color="auto"/>
              <w:bottom w:val="single" w:sz="4" w:space="0" w:color="auto"/>
              <w:right w:val="single" w:sz="4" w:space="0" w:color="auto"/>
            </w:tcBorders>
            <w:vAlign w:val="center"/>
            <w:hideMark/>
          </w:tcPr>
          <w:p w14:paraId="0E2EE9FA" w14:textId="77777777" w:rsidR="003A053D" w:rsidRPr="001E3656" w:rsidRDefault="003A053D" w:rsidP="00205DEE">
            <w:pPr>
              <w:jc w:val="center"/>
              <w:rPr>
                <w:b/>
              </w:rPr>
            </w:pPr>
            <w:r w:rsidRPr="00C649FA">
              <w:rPr>
                <w:rStyle w:val="normaltextrun"/>
                <w:b/>
              </w:rPr>
              <w:t>Very Low</w:t>
            </w:r>
          </w:p>
        </w:tc>
        <w:tc>
          <w:tcPr>
            <w:tcW w:w="1890" w:type="dxa"/>
            <w:tcBorders>
              <w:top w:val="nil"/>
              <w:left w:val="nil"/>
              <w:bottom w:val="single" w:sz="4" w:space="0" w:color="auto"/>
              <w:right w:val="single" w:sz="4" w:space="0" w:color="auto"/>
            </w:tcBorders>
            <w:shd w:val="clear" w:color="auto" w:fill="A20000"/>
            <w:vAlign w:val="center"/>
          </w:tcPr>
          <w:p w14:paraId="38D2C901" w14:textId="77777777" w:rsidR="003A053D" w:rsidRPr="00C649FA" w:rsidRDefault="003A053D" w:rsidP="00205DEE">
            <w:pPr>
              <w:jc w:val="center"/>
              <w:rPr>
                <w:color w:val="FFFFFF" w:themeColor="background1"/>
              </w:rPr>
            </w:pPr>
            <w:r w:rsidRPr="00C649FA">
              <w:rPr>
                <w:color w:val="FFFFFF"/>
              </w:rPr>
              <w:t>0</w:t>
            </w:r>
            <w:r w:rsidRPr="00C649FA">
              <w:rPr>
                <w:color w:val="FFFFFF"/>
              </w:rPr>
              <w:br/>
              <w:t>(0.0%)</w:t>
            </w:r>
          </w:p>
        </w:tc>
        <w:tc>
          <w:tcPr>
            <w:tcW w:w="1595" w:type="dxa"/>
            <w:tcBorders>
              <w:top w:val="nil"/>
              <w:left w:val="nil"/>
              <w:bottom w:val="single" w:sz="4" w:space="0" w:color="auto"/>
              <w:right w:val="single" w:sz="4" w:space="0" w:color="auto"/>
            </w:tcBorders>
            <w:shd w:val="clear" w:color="000000" w:fill="A20000"/>
            <w:vAlign w:val="center"/>
          </w:tcPr>
          <w:p w14:paraId="0975F326" w14:textId="77777777" w:rsidR="003A053D" w:rsidRPr="00C649FA" w:rsidRDefault="003A053D" w:rsidP="00205DEE">
            <w:pPr>
              <w:jc w:val="center"/>
              <w:rPr>
                <w:color w:val="FFFFFF"/>
              </w:rPr>
            </w:pPr>
            <w:r w:rsidRPr="00C649FA">
              <w:rPr>
                <w:color w:val="FFFFFF"/>
              </w:rPr>
              <w:t>78</w:t>
            </w:r>
            <w:r w:rsidRPr="00C649FA">
              <w:rPr>
                <w:color w:val="FFFFFF"/>
              </w:rPr>
              <w:br/>
              <w:t>(4.1%)</w:t>
            </w:r>
          </w:p>
        </w:tc>
        <w:tc>
          <w:tcPr>
            <w:tcW w:w="1825" w:type="dxa"/>
            <w:tcBorders>
              <w:top w:val="nil"/>
              <w:left w:val="nil"/>
              <w:bottom w:val="single" w:sz="4" w:space="0" w:color="auto"/>
              <w:right w:val="single" w:sz="4" w:space="0" w:color="auto"/>
            </w:tcBorders>
            <w:shd w:val="clear" w:color="000000" w:fill="A20000"/>
            <w:vAlign w:val="center"/>
          </w:tcPr>
          <w:p w14:paraId="0CFDACBC" w14:textId="77777777" w:rsidR="003A053D" w:rsidRPr="00C649FA" w:rsidRDefault="003A053D" w:rsidP="00205DEE">
            <w:pPr>
              <w:jc w:val="center"/>
              <w:rPr>
                <w:color w:val="FFFFFF"/>
              </w:rPr>
            </w:pPr>
            <w:r w:rsidRPr="00C649FA">
              <w:rPr>
                <w:color w:val="FFFFFF"/>
              </w:rPr>
              <w:t>216</w:t>
            </w:r>
            <w:r w:rsidRPr="00C649FA">
              <w:rPr>
                <w:color w:val="FFFFFF"/>
              </w:rPr>
              <w:br/>
              <w:t>(11.3%)</w:t>
            </w:r>
          </w:p>
        </w:tc>
        <w:tc>
          <w:tcPr>
            <w:tcW w:w="1534" w:type="dxa"/>
            <w:tcBorders>
              <w:top w:val="nil"/>
              <w:left w:val="nil"/>
              <w:bottom w:val="single" w:sz="4" w:space="0" w:color="auto"/>
              <w:right w:val="single" w:sz="4" w:space="0" w:color="auto"/>
            </w:tcBorders>
            <w:shd w:val="clear" w:color="000000" w:fill="FFA500"/>
            <w:vAlign w:val="center"/>
          </w:tcPr>
          <w:p w14:paraId="7AD8570D" w14:textId="77777777" w:rsidR="003A053D" w:rsidRPr="00C649FA" w:rsidRDefault="003A053D" w:rsidP="00205DEE">
            <w:pPr>
              <w:jc w:val="center"/>
              <w:rPr>
                <w:color w:val="000000"/>
              </w:rPr>
            </w:pPr>
            <w:r w:rsidRPr="00C649FA">
              <w:t>102</w:t>
            </w:r>
            <w:r w:rsidRPr="00C649FA">
              <w:br/>
              <w:t>(5.3%)</w:t>
            </w:r>
          </w:p>
        </w:tc>
        <w:tc>
          <w:tcPr>
            <w:tcW w:w="1796" w:type="dxa"/>
            <w:tcBorders>
              <w:top w:val="nil"/>
              <w:left w:val="nil"/>
              <w:bottom w:val="single" w:sz="4" w:space="0" w:color="auto"/>
              <w:right w:val="single" w:sz="4" w:space="0" w:color="auto"/>
            </w:tcBorders>
            <w:shd w:val="clear" w:color="auto" w:fill="FFFF00"/>
            <w:vAlign w:val="center"/>
          </w:tcPr>
          <w:p w14:paraId="589074BF" w14:textId="77777777" w:rsidR="003A053D" w:rsidRPr="00C649FA" w:rsidRDefault="003A053D" w:rsidP="00205DEE">
            <w:pPr>
              <w:jc w:val="center"/>
            </w:pPr>
            <w:r w:rsidRPr="00C649FA">
              <w:rPr>
                <w:color w:val="000000"/>
              </w:rPr>
              <w:t>0</w:t>
            </w:r>
            <w:r w:rsidRPr="00C649FA">
              <w:rPr>
                <w:color w:val="000000"/>
              </w:rPr>
              <w:br/>
              <w:t>(0.0%)</w:t>
            </w:r>
          </w:p>
        </w:tc>
      </w:tr>
    </w:tbl>
    <w:p w14:paraId="6086D990" w14:textId="77777777" w:rsidR="003A053D" w:rsidRPr="001E3656" w:rsidRDefault="003A053D" w:rsidP="003A053D"/>
    <w:p w14:paraId="30554EFE" w14:textId="77777777" w:rsidR="003A053D" w:rsidRPr="008D55C9" w:rsidRDefault="003A053D" w:rsidP="00FA2D7D">
      <w:pPr>
        <w:pStyle w:val="Heading5"/>
      </w:pPr>
      <w:bookmarkStart w:id="19" w:name="_Toc216087495"/>
      <w:r w:rsidRPr="008D55C9">
        <w:t xml:space="preserve">Table </w:t>
      </w:r>
      <w:r>
        <w:t>7:</w:t>
      </w:r>
      <w:r w:rsidRPr="008D55C9">
        <w:t xml:space="preserve"> 2024</w:t>
      </w:r>
      <w:r>
        <w:t>–</w:t>
      </w:r>
      <w:r w:rsidRPr="008D55C9">
        <w:t>25 CCI School Performance Level (Color) Results in Three-by-Five Colored Table</w:t>
      </w:r>
      <w:bookmarkEnd w:id="19"/>
    </w:p>
    <w:tbl>
      <w:tblPr>
        <w:tblW w:w="6479" w:type="dxa"/>
        <w:jc w:val="center"/>
        <w:tblLayout w:type="fixed"/>
        <w:tblLook w:val="0420" w:firstRow="1" w:lastRow="0" w:firstColumn="0" w:lastColumn="0" w:noHBand="0" w:noVBand="1"/>
        <w:tblDescription w:val="Table 7: 2024–25 CCI School Performance Level (Color) Results in Three-by-Five Colored Table"/>
      </w:tblPr>
      <w:tblGrid>
        <w:gridCol w:w="1525"/>
        <w:gridCol w:w="1595"/>
        <w:gridCol w:w="1825"/>
        <w:gridCol w:w="1534"/>
      </w:tblGrid>
      <w:tr w:rsidR="003A053D" w:rsidRPr="001E3656" w14:paraId="743B0F53" w14:textId="77777777" w:rsidTr="000650FE">
        <w:trPr>
          <w:cantSplit/>
          <w:trHeight w:val="1240"/>
          <w:tblHeader/>
          <w:jc w:val="center"/>
        </w:trPr>
        <w:tc>
          <w:tcPr>
            <w:tcW w:w="1525" w:type="dxa"/>
            <w:tcBorders>
              <w:top w:val="single" w:sz="4" w:space="0" w:color="auto"/>
              <w:left w:val="single" w:sz="4" w:space="0" w:color="auto"/>
              <w:bottom w:val="single" w:sz="4" w:space="0" w:color="auto"/>
              <w:right w:val="single" w:sz="4" w:space="0" w:color="auto"/>
            </w:tcBorders>
            <w:vAlign w:val="center"/>
            <w:hideMark/>
          </w:tcPr>
          <w:p w14:paraId="53C42C68" w14:textId="77777777" w:rsidR="003A053D" w:rsidRPr="001E3656" w:rsidRDefault="003A053D" w:rsidP="00205DEE">
            <w:pPr>
              <w:jc w:val="center"/>
              <w:rPr>
                <w:b/>
              </w:rPr>
            </w:pPr>
            <w:r w:rsidRPr="001E3656">
              <w:rPr>
                <w:b/>
              </w:rPr>
              <w:t>Level</w:t>
            </w:r>
          </w:p>
        </w:tc>
        <w:tc>
          <w:tcPr>
            <w:tcW w:w="1595" w:type="dxa"/>
            <w:tcBorders>
              <w:top w:val="single" w:sz="4" w:space="0" w:color="auto"/>
              <w:left w:val="nil"/>
              <w:bottom w:val="single" w:sz="4" w:space="0" w:color="auto"/>
              <w:right w:val="single" w:sz="4" w:space="0" w:color="auto"/>
            </w:tcBorders>
            <w:vAlign w:val="center"/>
            <w:hideMark/>
          </w:tcPr>
          <w:p w14:paraId="27E86C39" w14:textId="77777777" w:rsidR="003A053D" w:rsidRPr="001E3656" w:rsidRDefault="003A053D" w:rsidP="00205DEE">
            <w:pPr>
              <w:jc w:val="center"/>
              <w:rPr>
                <w:b/>
              </w:rPr>
            </w:pPr>
            <w:r w:rsidRPr="00C649FA">
              <w:rPr>
                <w:rStyle w:val="normaltextrun"/>
                <w:b/>
              </w:rPr>
              <w:t>Declined</w:t>
            </w:r>
          </w:p>
        </w:tc>
        <w:tc>
          <w:tcPr>
            <w:tcW w:w="1825" w:type="dxa"/>
            <w:tcBorders>
              <w:top w:val="single" w:sz="4" w:space="0" w:color="auto"/>
              <w:left w:val="nil"/>
              <w:bottom w:val="single" w:sz="4" w:space="0" w:color="auto"/>
              <w:right w:val="single" w:sz="4" w:space="0" w:color="auto"/>
            </w:tcBorders>
            <w:vAlign w:val="center"/>
            <w:hideMark/>
          </w:tcPr>
          <w:p w14:paraId="1A8C8367" w14:textId="77777777" w:rsidR="003A053D" w:rsidRPr="001E3656" w:rsidRDefault="003A053D" w:rsidP="00205DEE">
            <w:pPr>
              <w:jc w:val="center"/>
              <w:rPr>
                <w:b/>
              </w:rPr>
            </w:pPr>
            <w:r w:rsidRPr="00C649FA">
              <w:rPr>
                <w:rStyle w:val="normaltextrun"/>
                <w:b/>
              </w:rPr>
              <w:t>Maintained</w:t>
            </w:r>
          </w:p>
        </w:tc>
        <w:tc>
          <w:tcPr>
            <w:tcW w:w="1534" w:type="dxa"/>
            <w:tcBorders>
              <w:top w:val="single" w:sz="4" w:space="0" w:color="auto"/>
              <w:left w:val="nil"/>
              <w:bottom w:val="single" w:sz="4" w:space="0" w:color="auto"/>
              <w:right w:val="single" w:sz="4" w:space="0" w:color="auto"/>
            </w:tcBorders>
            <w:vAlign w:val="center"/>
            <w:hideMark/>
          </w:tcPr>
          <w:p w14:paraId="1B99BED7" w14:textId="77777777" w:rsidR="003A053D" w:rsidRPr="001E3656" w:rsidRDefault="003A053D" w:rsidP="00205DEE">
            <w:pPr>
              <w:jc w:val="center"/>
              <w:rPr>
                <w:b/>
              </w:rPr>
            </w:pPr>
            <w:r w:rsidRPr="00C649FA">
              <w:rPr>
                <w:rStyle w:val="normaltextrun"/>
                <w:b/>
              </w:rPr>
              <w:t>Increased</w:t>
            </w:r>
          </w:p>
        </w:tc>
      </w:tr>
      <w:tr w:rsidR="003A053D" w:rsidRPr="001E3656" w14:paraId="137F1A02" w14:textId="77777777" w:rsidTr="000650FE">
        <w:trPr>
          <w:cantSplit/>
          <w:trHeight w:val="20"/>
          <w:jc w:val="center"/>
        </w:trPr>
        <w:tc>
          <w:tcPr>
            <w:tcW w:w="1525" w:type="dxa"/>
            <w:tcBorders>
              <w:top w:val="nil"/>
              <w:left w:val="single" w:sz="4" w:space="0" w:color="auto"/>
              <w:bottom w:val="single" w:sz="4" w:space="0" w:color="auto"/>
              <w:right w:val="single" w:sz="4" w:space="0" w:color="auto"/>
            </w:tcBorders>
            <w:vAlign w:val="center"/>
            <w:hideMark/>
          </w:tcPr>
          <w:p w14:paraId="18C7DF76" w14:textId="77777777" w:rsidR="003A053D" w:rsidRPr="001E3656" w:rsidRDefault="003A053D" w:rsidP="00205DEE">
            <w:pPr>
              <w:jc w:val="center"/>
              <w:rPr>
                <w:b/>
              </w:rPr>
            </w:pPr>
            <w:r w:rsidRPr="00C649FA">
              <w:rPr>
                <w:rStyle w:val="normaltextrun"/>
                <w:b/>
              </w:rPr>
              <w:t>Very High</w:t>
            </w:r>
          </w:p>
        </w:tc>
        <w:tc>
          <w:tcPr>
            <w:tcW w:w="1595" w:type="dxa"/>
            <w:tcBorders>
              <w:top w:val="nil"/>
              <w:left w:val="nil"/>
              <w:bottom w:val="single" w:sz="4" w:space="0" w:color="auto"/>
              <w:right w:val="single" w:sz="4" w:space="0" w:color="auto"/>
            </w:tcBorders>
            <w:shd w:val="clear" w:color="000000" w:fill="006500"/>
            <w:vAlign w:val="center"/>
          </w:tcPr>
          <w:p w14:paraId="46D47288" w14:textId="77777777" w:rsidR="003A053D" w:rsidRPr="00C649FA" w:rsidRDefault="003A053D" w:rsidP="00205DEE">
            <w:pPr>
              <w:jc w:val="center"/>
              <w:rPr>
                <w:color w:val="FFFFFF"/>
              </w:rPr>
            </w:pPr>
            <w:r w:rsidRPr="00C649FA">
              <w:rPr>
                <w:color w:val="FFFFFF"/>
              </w:rPr>
              <w:t>38</w:t>
            </w:r>
            <w:r w:rsidRPr="00C649FA">
              <w:rPr>
                <w:color w:val="FFFFFF"/>
              </w:rPr>
              <w:br/>
              <w:t>(4.2%)</w:t>
            </w:r>
          </w:p>
        </w:tc>
        <w:tc>
          <w:tcPr>
            <w:tcW w:w="1825" w:type="dxa"/>
            <w:tcBorders>
              <w:top w:val="nil"/>
              <w:left w:val="nil"/>
              <w:bottom w:val="single" w:sz="4" w:space="0" w:color="auto"/>
              <w:right w:val="single" w:sz="4" w:space="0" w:color="auto"/>
            </w:tcBorders>
            <w:shd w:val="clear" w:color="000000" w:fill="0000FF"/>
            <w:vAlign w:val="center"/>
          </w:tcPr>
          <w:p w14:paraId="5F3A9BE1" w14:textId="77777777" w:rsidR="003A053D" w:rsidRPr="00C649FA" w:rsidRDefault="003A053D" w:rsidP="00205DEE">
            <w:pPr>
              <w:jc w:val="center"/>
              <w:rPr>
                <w:color w:val="FFFFFF"/>
              </w:rPr>
            </w:pPr>
            <w:r w:rsidRPr="00C649FA">
              <w:rPr>
                <w:color w:val="FFFFFF"/>
              </w:rPr>
              <w:t>47</w:t>
            </w:r>
            <w:r w:rsidRPr="00C649FA">
              <w:rPr>
                <w:color w:val="FFFFFF"/>
              </w:rPr>
              <w:br/>
              <w:t>(5.2%)</w:t>
            </w:r>
          </w:p>
        </w:tc>
        <w:tc>
          <w:tcPr>
            <w:tcW w:w="1534" w:type="dxa"/>
            <w:tcBorders>
              <w:top w:val="nil"/>
              <w:left w:val="nil"/>
              <w:bottom w:val="single" w:sz="4" w:space="0" w:color="auto"/>
              <w:right w:val="single" w:sz="4" w:space="0" w:color="auto"/>
            </w:tcBorders>
            <w:shd w:val="clear" w:color="000000" w:fill="0000FF"/>
            <w:vAlign w:val="center"/>
          </w:tcPr>
          <w:p w14:paraId="667AE3B9" w14:textId="77777777" w:rsidR="003A053D" w:rsidRPr="00C649FA" w:rsidRDefault="003A053D" w:rsidP="00205DEE">
            <w:pPr>
              <w:jc w:val="center"/>
              <w:rPr>
                <w:color w:val="FFFFFF"/>
              </w:rPr>
            </w:pPr>
            <w:r w:rsidRPr="00C649FA">
              <w:rPr>
                <w:color w:val="FFFFFF"/>
              </w:rPr>
              <w:t>106</w:t>
            </w:r>
            <w:r w:rsidRPr="00C649FA">
              <w:rPr>
                <w:color w:val="FFFFFF"/>
              </w:rPr>
              <w:br/>
              <w:t>(11.8%)</w:t>
            </w:r>
          </w:p>
        </w:tc>
      </w:tr>
      <w:tr w:rsidR="003A053D" w:rsidRPr="001E3656" w14:paraId="5296BD2F" w14:textId="77777777" w:rsidTr="000650FE">
        <w:trPr>
          <w:cantSplit/>
          <w:trHeight w:val="20"/>
          <w:jc w:val="center"/>
        </w:trPr>
        <w:tc>
          <w:tcPr>
            <w:tcW w:w="1525" w:type="dxa"/>
            <w:tcBorders>
              <w:top w:val="nil"/>
              <w:left w:val="single" w:sz="4" w:space="0" w:color="auto"/>
              <w:bottom w:val="single" w:sz="4" w:space="0" w:color="auto"/>
              <w:right w:val="single" w:sz="4" w:space="0" w:color="auto"/>
            </w:tcBorders>
            <w:vAlign w:val="center"/>
            <w:hideMark/>
          </w:tcPr>
          <w:p w14:paraId="0E15847D" w14:textId="77777777" w:rsidR="003A053D" w:rsidRPr="001E3656" w:rsidRDefault="003A053D" w:rsidP="00205DEE">
            <w:pPr>
              <w:jc w:val="center"/>
              <w:rPr>
                <w:b/>
              </w:rPr>
            </w:pPr>
            <w:r w:rsidRPr="00C649FA">
              <w:rPr>
                <w:rStyle w:val="normaltextrun"/>
                <w:b/>
              </w:rPr>
              <w:t>High</w:t>
            </w:r>
          </w:p>
        </w:tc>
        <w:tc>
          <w:tcPr>
            <w:tcW w:w="1595" w:type="dxa"/>
            <w:tcBorders>
              <w:top w:val="nil"/>
              <w:left w:val="nil"/>
              <w:bottom w:val="single" w:sz="4" w:space="0" w:color="auto"/>
              <w:right w:val="single" w:sz="4" w:space="0" w:color="auto"/>
            </w:tcBorders>
            <w:shd w:val="clear" w:color="auto" w:fill="FFFF00"/>
            <w:vAlign w:val="center"/>
          </w:tcPr>
          <w:p w14:paraId="6A886701" w14:textId="77777777" w:rsidR="003A053D" w:rsidRPr="00C649FA" w:rsidRDefault="003A053D" w:rsidP="00205DEE">
            <w:pPr>
              <w:jc w:val="center"/>
              <w:rPr>
                <w:color w:val="FFFFFF"/>
              </w:rPr>
            </w:pPr>
            <w:r w:rsidRPr="00C649FA">
              <w:rPr>
                <w:color w:val="000000"/>
              </w:rPr>
              <w:t>38</w:t>
            </w:r>
            <w:r w:rsidRPr="00C649FA">
              <w:rPr>
                <w:color w:val="000000"/>
              </w:rPr>
              <w:br/>
              <w:t>(4.2%)</w:t>
            </w:r>
          </w:p>
        </w:tc>
        <w:tc>
          <w:tcPr>
            <w:tcW w:w="1825" w:type="dxa"/>
            <w:tcBorders>
              <w:top w:val="nil"/>
              <w:left w:val="nil"/>
              <w:bottom w:val="single" w:sz="4" w:space="0" w:color="auto"/>
              <w:right w:val="single" w:sz="4" w:space="0" w:color="auto"/>
            </w:tcBorders>
            <w:shd w:val="clear" w:color="000000" w:fill="006500"/>
            <w:vAlign w:val="center"/>
          </w:tcPr>
          <w:p w14:paraId="0DE48907" w14:textId="77777777" w:rsidR="003A053D" w:rsidRPr="00C649FA" w:rsidRDefault="003A053D" w:rsidP="00205DEE">
            <w:pPr>
              <w:jc w:val="center"/>
              <w:rPr>
                <w:color w:val="FFFFFF"/>
              </w:rPr>
            </w:pPr>
            <w:r w:rsidRPr="00C649FA">
              <w:rPr>
                <w:color w:val="FFFFFF"/>
              </w:rPr>
              <w:t>15</w:t>
            </w:r>
            <w:r w:rsidRPr="00C649FA">
              <w:rPr>
                <w:color w:val="FFFFFF"/>
              </w:rPr>
              <w:br/>
              <w:t>(1.7%)</w:t>
            </w:r>
          </w:p>
        </w:tc>
        <w:tc>
          <w:tcPr>
            <w:tcW w:w="1534" w:type="dxa"/>
            <w:tcBorders>
              <w:top w:val="nil"/>
              <w:left w:val="nil"/>
              <w:bottom w:val="single" w:sz="4" w:space="0" w:color="auto"/>
              <w:right w:val="single" w:sz="4" w:space="0" w:color="auto"/>
            </w:tcBorders>
            <w:shd w:val="clear" w:color="000000" w:fill="006500"/>
            <w:vAlign w:val="center"/>
          </w:tcPr>
          <w:p w14:paraId="13698818" w14:textId="77777777" w:rsidR="003A053D" w:rsidRPr="00C649FA" w:rsidRDefault="003A053D" w:rsidP="00205DEE">
            <w:pPr>
              <w:jc w:val="center"/>
              <w:rPr>
                <w:color w:val="FFFFFF"/>
              </w:rPr>
            </w:pPr>
            <w:r w:rsidRPr="00C649FA">
              <w:rPr>
                <w:color w:val="FFFFFF"/>
              </w:rPr>
              <w:t>61</w:t>
            </w:r>
            <w:r w:rsidRPr="00C649FA">
              <w:rPr>
                <w:color w:val="FFFFFF"/>
              </w:rPr>
              <w:br/>
              <w:t>(6.8%)</w:t>
            </w:r>
          </w:p>
        </w:tc>
      </w:tr>
      <w:tr w:rsidR="003A053D" w:rsidRPr="001E3656" w14:paraId="096745F6" w14:textId="77777777" w:rsidTr="000650FE">
        <w:trPr>
          <w:cantSplit/>
          <w:trHeight w:val="20"/>
          <w:jc w:val="center"/>
        </w:trPr>
        <w:tc>
          <w:tcPr>
            <w:tcW w:w="1525" w:type="dxa"/>
            <w:tcBorders>
              <w:top w:val="nil"/>
              <w:left w:val="single" w:sz="4" w:space="0" w:color="auto"/>
              <w:bottom w:val="single" w:sz="4" w:space="0" w:color="auto"/>
              <w:right w:val="single" w:sz="4" w:space="0" w:color="auto"/>
            </w:tcBorders>
            <w:vAlign w:val="center"/>
            <w:hideMark/>
          </w:tcPr>
          <w:p w14:paraId="7BE4A450" w14:textId="77777777" w:rsidR="003A053D" w:rsidRPr="001E3656" w:rsidRDefault="003A053D" w:rsidP="00205DEE">
            <w:pPr>
              <w:jc w:val="center"/>
              <w:rPr>
                <w:b/>
              </w:rPr>
            </w:pPr>
            <w:r w:rsidRPr="00C649FA">
              <w:rPr>
                <w:rStyle w:val="normaltextrun"/>
                <w:b/>
              </w:rPr>
              <w:t>Medium</w:t>
            </w:r>
          </w:p>
        </w:tc>
        <w:tc>
          <w:tcPr>
            <w:tcW w:w="1595" w:type="dxa"/>
            <w:tcBorders>
              <w:top w:val="nil"/>
              <w:left w:val="nil"/>
              <w:bottom w:val="single" w:sz="4" w:space="0" w:color="auto"/>
              <w:right w:val="single" w:sz="4" w:space="0" w:color="auto"/>
            </w:tcBorders>
            <w:shd w:val="clear" w:color="auto" w:fill="FFA500"/>
            <w:vAlign w:val="center"/>
          </w:tcPr>
          <w:p w14:paraId="0D809504" w14:textId="77777777" w:rsidR="003A053D" w:rsidRPr="00C649FA" w:rsidRDefault="003A053D" w:rsidP="00205DEE">
            <w:pPr>
              <w:jc w:val="center"/>
            </w:pPr>
            <w:r w:rsidRPr="00C649FA">
              <w:rPr>
                <w:color w:val="000000"/>
              </w:rPr>
              <w:t>42</w:t>
            </w:r>
            <w:r w:rsidRPr="00C649FA">
              <w:rPr>
                <w:color w:val="000000"/>
              </w:rPr>
              <w:br/>
              <w:t>(4.7%)</w:t>
            </w:r>
          </w:p>
        </w:tc>
        <w:tc>
          <w:tcPr>
            <w:tcW w:w="1825" w:type="dxa"/>
            <w:tcBorders>
              <w:top w:val="nil"/>
              <w:left w:val="nil"/>
              <w:bottom w:val="single" w:sz="4" w:space="0" w:color="auto"/>
              <w:right w:val="single" w:sz="4" w:space="0" w:color="auto"/>
            </w:tcBorders>
            <w:shd w:val="clear" w:color="000000" w:fill="FFFF00"/>
            <w:vAlign w:val="center"/>
          </w:tcPr>
          <w:p w14:paraId="18E168FC" w14:textId="77777777" w:rsidR="003A053D" w:rsidRPr="00C649FA" w:rsidRDefault="003A053D" w:rsidP="00205DEE">
            <w:pPr>
              <w:jc w:val="center"/>
            </w:pPr>
            <w:r w:rsidRPr="00C649FA">
              <w:rPr>
                <w:color w:val="000000"/>
              </w:rPr>
              <w:t>13</w:t>
            </w:r>
            <w:r w:rsidRPr="00C649FA">
              <w:rPr>
                <w:color w:val="000000"/>
              </w:rPr>
              <w:br/>
              <w:t>(1.4%)</w:t>
            </w:r>
          </w:p>
        </w:tc>
        <w:tc>
          <w:tcPr>
            <w:tcW w:w="1534" w:type="dxa"/>
            <w:tcBorders>
              <w:top w:val="nil"/>
              <w:left w:val="nil"/>
              <w:bottom w:val="single" w:sz="4" w:space="0" w:color="auto"/>
              <w:right w:val="single" w:sz="4" w:space="0" w:color="auto"/>
            </w:tcBorders>
            <w:shd w:val="clear" w:color="000000" w:fill="006500"/>
            <w:vAlign w:val="center"/>
          </w:tcPr>
          <w:p w14:paraId="1A855DAC" w14:textId="77777777" w:rsidR="003A053D" w:rsidRPr="00C649FA" w:rsidRDefault="003A053D" w:rsidP="00205DEE">
            <w:pPr>
              <w:jc w:val="center"/>
              <w:rPr>
                <w:color w:val="FFFFFF"/>
              </w:rPr>
            </w:pPr>
            <w:r w:rsidRPr="00C649FA">
              <w:rPr>
                <w:color w:val="FFFFFF"/>
              </w:rPr>
              <w:t>67</w:t>
            </w:r>
            <w:r w:rsidRPr="00C649FA">
              <w:rPr>
                <w:color w:val="FFFFFF"/>
              </w:rPr>
              <w:br/>
              <w:t>(7.4%)</w:t>
            </w:r>
          </w:p>
        </w:tc>
      </w:tr>
      <w:tr w:rsidR="003A053D" w:rsidRPr="001E3656" w14:paraId="30500F15" w14:textId="77777777" w:rsidTr="000650FE">
        <w:trPr>
          <w:cantSplit/>
          <w:trHeight w:val="20"/>
          <w:jc w:val="center"/>
        </w:trPr>
        <w:tc>
          <w:tcPr>
            <w:tcW w:w="1525" w:type="dxa"/>
            <w:tcBorders>
              <w:top w:val="nil"/>
              <w:left w:val="single" w:sz="4" w:space="0" w:color="auto"/>
              <w:bottom w:val="single" w:sz="4" w:space="0" w:color="auto"/>
              <w:right w:val="single" w:sz="4" w:space="0" w:color="auto"/>
            </w:tcBorders>
            <w:vAlign w:val="center"/>
            <w:hideMark/>
          </w:tcPr>
          <w:p w14:paraId="59F3A3DD" w14:textId="77777777" w:rsidR="003A053D" w:rsidRPr="001E3656" w:rsidRDefault="003A053D" w:rsidP="00205DEE">
            <w:pPr>
              <w:jc w:val="center"/>
              <w:rPr>
                <w:b/>
              </w:rPr>
            </w:pPr>
            <w:r w:rsidRPr="00C649FA">
              <w:rPr>
                <w:rStyle w:val="normaltextrun"/>
                <w:b/>
              </w:rPr>
              <w:t>Low</w:t>
            </w:r>
          </w:p>
        </w:tc>
        <w:tc>
          <w:tcPr>
            <w:tcW w:w="1595" w:type="dxa"/>
            <w:tcBorders>
              <w:top w:val="nil"/>
              <w:left w:val="nil"/>
              <w:bottom w:val="single" w:sz="4" w:space="0" w:color="auto"/>
              <w:right w:val="single" w:sz="4" w:space="0" w:color="auto"/>
            </w:tcBorders>
            <w:shd w:val="clear" w:color="auto" w:fill="FFA500"/>
            <w:vAlign w:val="center"/>
          </w:tcPr>
          <w:p w14:paraId="72E249A5" w14:textId="77777777" w:rsidR="003A053D" w:rsidRPr="00C649FA" w:rsidRDefault="003A053D" w:rsidP="00205DEE">
            <w:pPr>
              <w:jc w:val="center"/>
              <w:rPr>
                <w:color w:val="000000"/>
              </w:rPr>
            </w:pPr>
            <w:r w:rsidRPr="00C649FA">
              <w:rPr>
                <w:color w:val="000000"/>
              </w:rPr>
              <w:t>45</w:t>
            </w:r>
            <w:r w:rsidRPr="00C649FA">
              <w:rPr>
                <w:color w:val="000000"/>
              </w:rPr>
              <w:br/>
              <w:t>(5.0%)</w:t>
            </w:r>
          </w:p>
        </w:tc>
        <w:tc>
          <w:tcPr>
            <w:tcW w:w="1825" w:type="dxa"/>
            <w:tcBorders>
              <w:top w:val="nil"/>
              <w:left w:val="nil"/>
              <w:bottom w:val="single" w:sz="4" w:space="0" w:color="auto"/>
              <w:right w:val="single" w:sz="4" w:space="0" w:color="auto"/>
            </w:tcBorders>
            <w:shd w:val="clear" w:color="000000" w:fill="FFA500"/>
            <w:vAlign w:val="center"/>
          </w:tcPr>
          <w:p w14:paraId="6E304283" w14:textId="77777777" w:rsidR="003A053D" w:rsidRPr="00C649FA" w:rsidRDefault="003A053D" w:rsidP="00205DEE">
            <w:pPr>
              <w:jc w:val="center"/>
              <w:rPr>
                <w:color w:val="000000"/>
              </w:rPr>
            </w:pPr>
            <w:r w:rsidRPr="00C649FA">
              <w:rPr>
                <w:color w:val="000000"/>
              </w:rPr>
              <w:t>23</w:t>
            </w:r>
            <w:r w:rsidRPr="00C649FA">
              <w:rPr>
                <w:color w:val="000000"/>
              </w:rPr>
              <w:br/>
              <w:t>(2.6%)</w:t>
            </w:r>
          </w:p>
        </w:tc>
        <w:tc>
          <w:tcPr>
            <w:tcW w:w="1534" w:type="dxa"/>
            <w:tcBorders>
              <w:top w:val="nil"/>
              <w:left w:val="nil"/>
              <w:bottom w:val="single" w:sz="4" w:space="0" w:color="auto"/>
              <w:right w:val="single" w:sz="4" w:space="0" w:color="auto"/>
            </w:tcBorders>
            <w:shd w:val="clear" w:color="000000" w:fill="FFFF00"/>
            <w:vAlign w:val="center"/>
          </w:tcPr>
          <w:p w14:paraId="4C749A4B" w14:textId="77777777" w:rsidR="003A053D" w:rsidRPr="00C649FA" w:rsidRDefault="003A053D" w:rsidP="00205DEE">
            <w:pPr>
              <w:jc w:val="center"/>
              <w:rPr>
                <w:color w:val="000000"/>
              </w:rPr>
            </w:pPr>
            <w:r w:rsidRPr="00C649FA">
              <w:rPr>
                <w:color w:val="000000"/>
              </w:rPr>
              <w:t>93</w:t>
            </w:r>
            <w:r w:rsidRPr="00C649FA">
              <w:rPr>
                <w:color w:val="000000"/>
              </w:rPr>
              <w:br/>
              <w:t>(10.3%)</w:t>
            </w:r>
          </w:p>
        </w:tc>
      </w:tr>
      <w:tr w:rsidR="003A053D" w:rsidRPr="001E3656" w14:paraId="41096EE3" w14:textId="77777777" w:rsidTr="000650FE">
        <w:trPr>
          <w:cantSplit/>
          <w:trHeight w:val="20"/>
          <w:jc w:val="center"/>
        </w:trPr>
        <w:tc>
          <w:tcPr>
            <w:tcW w:w="1525" w:type="dxa"/>
            <w:tcBorders>
              <w:top w:val="nil"/>
              <w:left w:val="single" w:sz="4" w:space="0" w:color="auto"/>
              <w:bottom w:val="single" w:sz="4" w:space="0" w:color="auto"/>
              <w:right w:val="single" w:sz="4" w:space="0" w:color="auto"/>
            </w:tcBorders>
            <w:vAlign w:val="center"/>
            <w:hideMark/>
          </w:tcPr>
          <w:p w14:paraId="0A5F5852" w14:textId="77777777" w:rsidR="003A053D" w:rsidRPr="001E3656" w:rsidRDefault="003A053D" w:rsidP="00205DEE">
            <w:pPr>
              <w:jc w:val="center"/>
              <w:rPr>
                <w:b/>
              </w:rPr>
            </w:pPr>
            <w:r w:rsidRPr="00C649FA">
              <w:rPr>
                <w:rStyle w:val="normaltextrun"/>
                <w:b/>
              </w:rPr>
              <w:t>Very Low</w:t>
            </w:r>
          </w:p>
        </w:tc>
        <w:tc>
          <w:tcPr>
            <w:tcW w:w="1595" w:type="dxa"/>
            <w:tcBorders>
              <w:top w:val="nil"/>
              <w:left w:val="nil"/>
              <w:bottom w:val="single" w:sz="4" w:space="0" w:color="auto"/>
              <w:right w:val="single" w:sz="4" w:space="0" w:color="auto"/>
            </w:tcBorders>
            <w:shd w:val="clear" w:color="000000" w:fill="A20000"/>
            <w:vAlign w:val="center"/>
          </w:tcPr>
          <w:p w14:paraId="06CC0467" w14:textId="77777777" w:rsidR="003A053D" w:rsidRPr="00C649FA" w:rsidRDefault="003A053D" w:rsidP="00205DEE">
            <w:pPr>
              <w:jc w:val="center"/>
              <w:rPr>
                <w:color w:val="FFFFFF"/>
              </w:rPr>
            </w:pPr>
            <w:r w:rsidRPr="00C649FA">
              <w:rPr>
                <w:color w:val="FFFFFF"/>
              </w:rPr>
              <w:t>68</w:t>
            </w:r>
            <w:r w:rsidRPr="00C649FA">
              <w:rPr>
                <w:color w:val="FFFFFF"/>
              </w:rPr>
              <w:br/>
              <w:t>(7.6%)</w:t>
            </w:r>
          </w:p>
        </w:tc>
        <w:tc>
          <w:tcPr>
            <w:tcW w:w="1825" w:type="dxa"/>
            <w:tcBorders>
              <w:top w:val="nil"/>
              <w:left w:val="nil"/>
              <w:bottom w:val="single" w:sz="4" w:space="0" w:color="auto"/>
              <w:right w:val="single" w:sz="4" w:space="0" w:color="auto"/>
            </w:tcBorders>
            <w:shd w:val="clear" w:color="000000" w:fill="A20000"/>
            <w:vAlign w:val="center"/>
          </w:tcPr>
          <w:p w14:paraId="5BD1A940" w14:textId="77777777" w:rsidR="003A053D" w:rsidRPr="00C649FA" w:rsidRDefault="003A053D" w:rsidP="00205DEE">
            <w:pPr>
              <w:jc w:val="center"/>
              <w:rPr>
                <w:color w:val="FFFFFF"/>
              </w:rPr>
            </w:pPr>
            <w:r w:rsidRPr="00C649FA">
              <w:rPr>
                <w:color w:val="FFFFFF"/>
              </w:rPr>
              <w:t>163</w:t>
            </w:r>
            <w:r w:rsidRPr="00C649FA">
              <w:rPr>
                <w:color w:val="FFFFFF"/>
              </w:rPr>
              <w:br/>
              <w:t>(18.1%)</w:t>
            </w:r>
          </w:p>
        </w:tc>
        <w:tc>
          <w:tcPr>
            <w:tcW w:w="1534" w:type="dxa"/>
            <w:tcBorders>
              <w:top w:val="nil"/>
              <w:left w:val="nil"/>
              <w:bottom w:val="single" w:sz="4" w:space="0" w:color="auto"/>
              <w:right w:val="single" w:sz="4" w:space="0" w:color="auto"/>
            </w:tcBorders>
            <w:shd w:val="clear" w:color="000000" w:fill="FFA500"/>
            <w:vAlign w:val="center"/>
          </w:tcPr>
          <w:p w14:paraId="1556E12E" w14:textId="77777777" w:rsidR="003A053D" w:rsidRPr="00C649FA" w:rsidRDefault="003A053D" w:rsidP="00205DEE">
            <w:pPr>
              <w:jc w:val="center"/>
            </w:pPr>
            <w:r w:rsidRPr="00C649FA">
              <w:t>81</w:t>
            </w:r>
            <w:r w:rsidRPr="00C649FA">
              <w:br/>
              <w:t>(9</w:t>
            </w:r>
            <w:r w:rsidRPr="00C649FA">
              <w:rPr>
                <w:color w:val="000000"/>
              </w:rPr>
              <w:t>.0</w:t>
            </w:r>
            <w:r w:rsidRPr="00C649FA">
              <w:t>%)</w:t>
            </w:r>
          </w:p>
        </w:tc>
      </w:tr>
    </w:tbl>
    <w:p w14:paraId="21EFD7C1" w14:textId="77777777" w:rsidR="003A053D" w:rsidRPr="001E3656" w:rsidRDefault="003A053D" w:rsidP="003A053D">
      <w:pPr>
        <w:rPr>
          <w:rFonts w:eastAsiaTheme="majorEastAsia"/>
          <w:color w:val="2E74B5" w:themeColor="accent1" w:themeShade="BF"/>
          <w:sz w:val="26"/>
          <w:szCs w:val="26"/>
        </w:rPr>
      </w:pPr>
      <w:bookmarkStart w:id="20" w:name="_Toc149483616"/>
      <w:r w:rsidRPr="001E3656">
        <w:br w:type="page"/>
      </w:r>
    </w:p>
    <w:p w14:paraId="0934C010" w14:textId="77777777" w:rsidR="003A053D" w:rsidRPr="008D55C9" w:rsidRDefault="003A053D" w:rsidP="00FA2D7D">
      <w:pPr>
        <w:pStyle w:val="Heading5"/>
      </w:pPr>
      <w:bookmarkStart w:id="21" w:name="_Toc216087496"/>
      <w:r w:rsidRPr="008D55C9">
        <w:lastRenderedPageBreak/>
        <w:t xml:space="preserve">Table </w:t>
      </w:r>
      <w:r>
        <w:t>8:</w:t>
      </w:r>
      <w:r w:rsidRPr="008D55C9">
        <w:t xml:space="preserve"> 2024</w:t>
      </w:r>
      <w:r>
        <w:t>–</w:t>
      </w:r>
      <w:r w:rsidRPr="008D55C9">
        <w:t>25 CCI School Performance Level (Color) Results by Student Group</w:t>
      </w:r>
      <w:bookmarkEnd w:id="20"/>
      <w:bookmarkEnd w:id="21"/>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able 8: 2024–25 CCI School Performance Level (Color) Results by Student Group"/>
      </w:tblPr>
      <w:tblGrid>
        <w:gridCol w:w="2425"/>
        <w:gridCol w:w="905"/>
        <w:gridCol w:w="1116"/>
        <w:gridCol w:w="1116"/>
        <w:gridCol w:w="1116"/>
        <w:gridCol w:w="1116"/>
        <w:gridCol w:w="1116"/>
      </w:tblGrid>
      <w:tr w:rsidR="003A053D" w:rsidRPr="001E3656" w14:paraId="4FA5CC5F" w14:textId="77777777" w:rsidTr="000650FE">
        <w:trPr>
          <w:cantSplit/>
          <w:trHeight w:val="630"/>
          <w:tblHeader/>
        </w:trPr>
        <w:tc>
          <w:tcPr>
            <w:tcW w:w="2425" w:type="dxa"/>
            <w:noWrap/>
            <w:vAlign w:val="bottom"/>
            <w:hideMark/>
          </w:tcPr>
          <w:p w14:paraId="47B8DB16" w14:textId="77777777" w:rsidR="003A053D" w:rsidRPr="001E3656" w:rsidRDefault="003A053D" w:rsidP="00205DEE">
            <w:pPr>
              <w:rPr>
                <w:b/>
                <w:color w:val="000000"/>
              </w:rPr>
            </w:pPr>
            <w:r w:rsidRPr="001E3656">
              <w:rPr>
                <w:b/>
                <w:color w:val="000000"/>
              </w:rPr>
              <w:t>Student Group</w:t>
            </w:r>
          </w:p>
        </w:tc>
        <w:tc>
          <w:tcPr>
            <w:tcW w:w="905" w:type="dxa"/>
            <w:vAlign w:val="center"/>
          </w:tcPr>
          <w:p w14:paraId="19B9BA74" w14:textId="77777777" w:rsidR="003A053D" w:rsidRPr="001E3656" w:rsidRDefault="003A053D" w:rsidP="00205DEE">
            <w:pPr>
              <w:jc w:val="center"/>
              <w:rPr>
                <w:b/>
                <w:color w:val="000000"/>
              </w:rPr>
            </w:pPr>
            <w:r w:rsidRPr="001E3656">
              <w:rPr>
                <w:b/>
                <w:color w:val="000000"/>
              </w:rPr>
              <w:t>Total*</w:t>
            </w:r>
          </w:p>
        </w:tc>
        <w:tc>
          <w:tcPr>
            <w:tcW w:w="1116" w:type="dxa"/>
            <w:shd w:val="clear" w:color="auto" w:fill="A20000"/>
            <w:vAlign w:val="center"/>
            <w:hideMark/>
          </w:tcPr>
          <w:p w14:paraId="0532B75B" w14:textId="77777777" w:rsidR="003A053D" w:rsidRPr="001E3656" w:rsidRDefault="003A053D" w:rsidP="00205DEE">
            <w:pPr>
              <w:jc w:val="center"/>
              <w:rPr>
                <w:b/>
                <w:color w:val="FFFFFF"/>
              </w:rPr>
            </w:pPr>
            <w:r w:rsidRPr="001E3656">
              <w:rPr>
                <w:b/>
                <w:color w:val="FFFFFF"/>
              </w:rPr>
              <w:t>Red</w:t>
            </w:r>
          </w:p>
        </w:tc>
        <w:tc>
          <w:tcPr>
            <w:tcW w:w="1116" w:type="dxa"/>
            <w:shd w:val="clear" w:color="auto" w:fill="FFA500"/>
            <w:vAlign w:val="center"/>
            <w:hideMark/>
          </w:tcPr>
          <w:p w14:paraId="05B0CEEA" w14:textId="77777777" w:rsidR="003A053D" w:rsidRPr="001E3656" w:rsidRDefault="003A053D" w:rsidP="00205DEE">
            <w:pPr>
              <w:jc w:val="center"/>
              <w:rPr>
                <w:b/>
                <w:color w:val="000000"/>
              </w:rPr>
            </w:pPr>
            <w:r w:rsidRPr="001E3656">
              <w:rPr>
                <w:b/>
                <w:color w:val="000000"/>
              </w:rPr>
              <w:t>Orange</w:t>
            </w:r>
          </w:p>
        </w:tc>
        <w:tc>
          <w:tcPr>
            <w:tcW w:w="1116" w:type="dxa"/>
            <w:shd w:val="clear" w:color="auto" w:fill="FFFF00"/>
            <w:vAlign w:val="center"/>
            <w:hideMark/>
          </w:tcPr>
          <w:p w14:paraId="6AFEAAF7" w14:textId="77777777" w:rsidR="003A053D" w:rsidRPr="001E3656" w:rsidRDefault="003A053D" w:rsidP="00205DEE">
            <w:pPr>
              <w:jc w:val="center"/>
              <w:rPr>
                <w:b/>
                <w:color w:val="000000"/>
              </w:rPr>
            </w:pPr>
            <w:r w:rsidRPr="001E3656">
              <w:rPr>
                <w:b/>
                <w:color w:val="000000"/>
              </w:rPr>
              <w:t>Yellow</w:t>
            </w:r>
          </w:p>
        </w:tc>
        <w:tc>
          <w:tcPr>
            <w:tcW w:w="1116" w:type="dxa"/>
            <w:shd w:val="clear" w:color="auto" w:fill="006500"/>
            <w:vAlign w:val="center"/>
            <w:hideMark/>
          </w:tcPr>
          <w:p w14:paraId="46F1BC44" w14:textId="77777777" w:rsidR="003A053D" w:rsidRPr="001E3656" w:rsidRDefault="003A053D" w:rsidP="00205DEE">
            <w:pPr>
              <w:jc w:val="center"/>
              <w:rPr>
                <w:b/>
                <w:color w:val="FFFFFF"/>
              </w:rPr>
            </w:pPr>
            <w:r w:rsidRPr="001E3656">
              <w:rPr>
                <w:b/>
                <w:color w:val="FFFFFF"/>
              </w:rPr>
              <w:t>Green</w:t>
            </w:r>
          </w:p>
        </w:tc>
        <w:tc>
          <w:tcPr>
            <w:tcW w:w="1116" w:type="dxa"/>
            <w:shd w:val="clear" w:color="auto" w:fill="0000FF"/>
            <w:vAlign w:val="center"/>
            <w:hideMark/>
          </w:tcPr>
          <w:p w14:paraId="42D06454" w14:textId="77777777" w:rsidR="003A053D" w:rsidRPr="001E3656" w:rsidRDefault="003A053D" w:rsidP="00205DEE">
            <w:pPr>
              <w:jc w:val="center"/>
              <w:rPr>
                <w:b/>
                <w:color w:val="FFFFFF"/>
              </w:rPr>
            </w:pPr>
            <w:r w:rsidRPr="001E3656">
              <w:rPr>
                <w:b/>
                <w:color w:val="FFFFFF"/>
              </w:rPr>
              <w:t>Blue</w:t>
            </w:r>
          </w:p>
        </w:tc>
      </w:tr>
      <w:tr w:rsidR="003A053D" w:rsidRPr="001E3656" w14:paraId="5A6F1605" w14:textId="77777777" w:rsidTr="000650FE">
        <w:trPr>
          <w:cantSplit/>
          <w:trHeight w:val="620"/>
        </w:trPr>
        <w:tc>
          <w:tcPr>
            <w:tcW w:w="2425" w:type="dxa"/>
            <w:vAlign w:val="bottom"/>
            <w:hideMark/>
          </w:tcPr>
          <w:p w14:paraId="269E3AE5" w14:textId="77777777" w:rsidR="003A053D" w:rsidRPr="001E3656" w:rsidRDefault="003A053D" w:rsidP="00205DEE">
            <w:pPr>
              <w:rPr>
                <w:color w:val="000000"/>
              </w:rPr>
            </w:pPr>
            <w:r w:rsidRPr="001E3656">
              <w:rPr>
                <w:color w:val="000000"/>
              </w:rPr>
              <w:t>All Students</w:t>
            </w:r>
          </w:p>
        </w:tc>
        <w:tc>
          <w:tcPr>
            <w:tcW w:w="905" w:type="dxa"/>
            <w:vAlign w:val="bottom"/>
          </w:tcPr>
          <w:p w14:paraId="1F4629A0" w14:textId="77777777" w:rsidR="003A053D" w:rsidRPr="001E3656" w:rsidRDefault="003A053D" w:rsidP="00205DEE">
            <w:pPr>
              <w:jc w:val="center"/>
              <w:rPr>
                <w:color w:val="000000"/>
              </w:rPr>
            </w:pPr>
            <w:r w:rsidRPr="00C649FA">
              <w:rPr>
                <w:color w:val="000000"/>
              </w:rPr>
              <w:t>1,916</w:t>
            </w:r>
          </w:p>
        </w:tc>
        <w:tc>
          <w:tcPr>
            <w:tcW w:w="1116" w:type="dxa"/>
            <w:vAlign w:val="bottom"/>
          </w:tcPr>
          <w:p w14:paraId="61B7AF12" w14:textId="77777777" w:rsidR="003A053D" w:rsidRPr="00C649FA" w:rsidRDefault="003A053D" w:rsidP="00205DEE">
            <w:pPr>
              <w:jc w:val="center"/>
              <w:rPr>
                <w:color w:val="000000"/>
              </w:rPr>
            </w:pPr>
            <w:r w:rsidRPr="00C649FA">
              <w:rPr>
                <w:color w:val="000000"/>
              </w:rPr>
              <w:t>298</w:t>
            </w:r>
            <w:r w:rsidRPr="00C649FA">
              <w:rPr>
                <w:color w:val="000000"/>
              </w:rPr>
              <w:br/>
              <w:t>(15.6%)</w:t>
            </w:r>
          </w:p>
        </w:tc>
        <w:tc>
          <w:tcPr>
            <w:tcW w:w="1116" w:type="dxa"/>
            <w:vAlign w:val="bottom"/>
          </w:tcPr>
          <w:p w14:paraId="5EC43E79" w14:textId="77777777" w:rsidR="003A053D" w:rsidRPr="00C649FA" w:rsidRDefault="003A053D" w:rsidP="00205DEE">
            <w:pPr>
              <w:jc w:val="center"/>
              <w:rPr>
                <w:color w:val="000000"/>
              </w:rPr>
            </w:pPr>
            <w:r w:rsidRPr="00C649FA">
              <w:rPr>
                <w:color w:val="000000"/>
              </w:rPr>
              <w:t>304</w:t>
            </w:r>
            <w:r w:rsidRPr="00C649FA">
              <w:rPr>
                <w:color w:val="000000"/>
              </w:rPr>
              <w:br/>
              <w:t>(15.9%)</w:t>
            </w:r>
          </w:p>
        </w:tc>
        <w:tc>
          <w:tcPr>
            <w:tcW w:w="1116" w:type="dxa"/>
            <w:vAlign w:val="bottom"/>
          </w:tcPr>
          <w:p w14:paraId="299D883E" w14:textId="77777777" w:rsidR="003A053D" w:rsidRPr="00C649FA" w:rsidRDefault="003A053D" w:rsidP="00205DEE">
            <w:pPr>
              <w:jc w:val="center"/>
              <w:rPr>
                <w:color w:val="000000"/>
              </w:rPr>
            </w:pPr>
            <w:r w:rsidRPr="00C649FA">
              <w:rPr>
                <w:color w:val="000000"/>
              </w:rPr>
              <w:t>310</w:t>
            </w:r>
            <w:r w:rsidRPr="00C649FA">
              <w:rPr>
                <w:color w:val="000000"/>
              </w:rPr>
              <w:br/>
              <w:t>(16.2%)</w:t>
            </w:r>
          </w:p>
        </w:tc>
        <w:tc>
          <w:tcPr>
            <w:tcW w:w="1116" w:type="dxa"/>
            <w:vAlign w:val="bottom"/>
          </w:tcPr>
          <w:p w14:paraId="1B8075A9" w14:textId="77777777" w:rsidR="003A053D" w:rsidRPr="00C649FA" w:rsidRDefault="003A053D" w:rsidP="00205DEE">
            <w:pPr>
              <w:jc w:val="center"/>
              <w:rPr>
                <w:color w:val="000000"/>
              </w:rPr>
            </w:pPr>
            <w:r w:rsidRPr="00C649FA">
              <w:rPr>
                <w:color w:val="000000"/>
              </w:rPr>
              <w:t>600</w:t>
            </w:r>
            <w:r w:rsidRPr="00C649FA">
              <w:rPr>
                <w:color w:val="000000"/>
              </w:rPr>
              <w:br/>
              <w:t>(31.3%)</w:t>
            </w:r>
          </w:p>
        </w:tc>
        <w:tc>
          <w:tcPr>
            <w:tcW w:w="1116" w:type="dxa"/>
            <w:vAlign w:val="bottom"/>
          </w:tcPr>
          <w:p w14:paraId="2A2EA4A5" w14:textId="77777777" w:rsidR="003A053D" w:rsidRPr="00C649FA" w:rsidRDefault="003A053D" w:rsidP="00205DEE">
            <w:pPr>
              <w:jc w:val="center"/>
              <w:rPr>
                <w:color w:val="000000"/>
              </w:rPr>
            </w:pPr>
            <w:r w:rsidRPr="00C649FA">
              <w:rPr>
                <w:color w:val="000000"/>
              </w:rPr>
              <w:t>404</w:t>
            </w:r>
            <w:r w:rsidRPr="00C649FA">
              <w:rPr>
                <w:color w:val="000000"/>
              </w:rPr>
              <w:br/>
              <w:t>(21.1%)</w:t>
            </w:r>
          </w:p>
        </w:tc>
      </w:tr>
      <w:tr w:rsidR="003A053D" w:rsidRPr="001E3656" w14:paraId="160AE220" w14:textId="77777777" w:rsidTr="000650FE">
        <w:trPr>
          <w:cantSplit/>
          <w:trHeight w:val="620"/>
        </w:trPr>
        <w:tc>
          <w:tcPr>
            <w:tcW w:w="2425" w:type="dxa"/>
            <w:vAlign w:val="bottom"/>
            <w:hideMark/>
          </w:tcPr>
          <w:p w14:paraId="72ACB3FA" w14:textId="77777777" w:rsidR="003A053D" w:rsidRPr="001E3656" w:rsidRDefault="003A053D" w:rsidP="00205DEE">
            <w:pPr>
              <w:rPr>
                <w:color w:val="000000"/>
              </w:rPr>
            </w:pPr>
            <w:r w:rsidRPr="00C649FA">
              <w:rPr>
                <w:color w:val="000000" w:themeColor="text1"/>
              </w:rPr>
              <w:t>African American</w:t>
            </w:r>
          </w:p>
        </w:tc>
        <w:tc>
          <w:tcPr>
            <w:tcW w:w="905" w:type="dxa"/>
            <w:vAlign w:val="bottom"/>
          </w:tcPr>
          <w:p w14:paraId="668168D1" w14:textId="77777777" w:rsidR="003A053D" w:rsidRPr="001E3656" w:rsidRDefault="003A053D" w:rsidP="00205DEE">
            <w:pPr>
              <w:jc w:val="center"/>
              <w:rPr>
                <w:color w:val="000000"/>
              </w:rPr>
            </w:pPr>
            <w:r w:rsidRPr="00C649FA">
              <w:rPr>
                <w:color w:val="000000"/>
              </w:rPr>
              <w:t>209</w:t>
            </w:r>
          </w:p>
        </w:tc>
        <w:tc>
          <w:tcPr>
            <w:tcW w:w="1116" w:type="dxa"/>
            <w:vAlign w:val="bottom"/>
          </w:tcPr>
          <w:p w14:paraId="0D9F0274" w14:textId="77777777" w:rsidR="003A053D" w:rsidRPr="00C649FA" w:rsidRDefault="003A053D" w:rsidP="00205DEE">
            <w:pPr>
              <w:jc w:val="center"/>
              <w:rPr>
                <w:color w:val="000000"/>
              </w:rPr>
            </w:pPr>
            <w:r w:rsidRPr="00C649FA">
              <w:rPr>
                <w:color w:val="000000"/>
              </w:rPr>
              <w:t>15</w:t>
            </w:r>
            <w:r w:rsidRPr="00C649FA">
              <w:rPr>
                <w:color w:val="000000"/>
              </w:rPr>
              <w:br/>
              <w:t>(0.8%)</w:t>
            </w:r>
          </w:p>
        </w:tc>
        <w:tc>
          <w:tcPr>
            <w:tcW w:w="1116" w:type="dxa"/>
            <w:vAlign w:val="bottom"/>
          </w:tcPr>
          <w:p w14:paraId="282DDE87" w14:textId="77777777" w:rsidR="003A053D" w:rsidRPr="00C649FA" w:rsidRDefault="003A053D" w:rsidP="00205DEE">
            <w:pPr>
              <w:jc w:val="center"/>
              <w:rPr>
                <w:color w:val="000000"/>
              </w:rPr>
            </w:pPr>
            <w:r w:rsidRPr="00C649FA">
              <w:rPr>
                <w:color w:val="000000"/>
              </w:rPr>
              <w:t>74</w:t>
            </w:r>
            <w:r w:rsidRPr="00C649FA">
              <w:rPr>
                <w:color w:val="000000"/>
              </w:rPr>
              <w:br/>
              <w:t>(3.9%)</w:t>
            </w:r>
          </w:p>
        </w:tc>
        <w:tc>
          <w:tcPr>
            <w:tcW w:w="1116" w:type="dxa"/>
            <w:vAlign w:val="bottom"/>
          </w:tcPr>
          <w:p w14:paraId="02BEB857" w14:textId="77777777" w:rsidR="003A053D" w:rsidRPr="00C649FA" w:rsidRDefault="003A053D" w:rsidP="00205DEE">
            <w:pPr>
              <w:jc w:val="center"/>
              <w:rPr>
                <w:color w:val="000000"/>
              </w:rPr>
            </w:pPr>
            <w:r w:rsidRPr="00C649FA">
              <w:rPr>
                <w:color w:val="000000"/>
              </w:rPr>
              <w:t>44</w:t>
            </w:r>
            <w:r w:rsidRPr="00C649FA">
              <w:rPr>
                <w:color w:val="000000"/>
              </w:rPr>
              <w:br/>
              <w:t>(2.3%)</w:t>
            </w:r>
          </w:p>
        </w:tc>
        <w:tc>
          <w:tcPr>
            <w:tcW w:w="1116" w:type="dxa"/>
            <w:vAlign w:val="bottom"/>
          </w:tcPr>
          <w:p w14:paraId="69B2862B" w14:textId="77777777" w:rsidR="003A053D" w:rsidRPr="00C649FA" w:rsidRDefault="003A053D" w:rsidP="00205DEE">
            <w:pPr>
              <w:jc w:val="center"/>
              <w:rPr>
                <w:color w:val="000000"/>
              </w:rPr>
            </w:pPr>
            <w:r w:rsidRPr="00C649FA">
              <w:rPr>
                <w:color w:val="000000"/>
              </w:rPr>
              <w:t>68</w:t>
            </w:r>
            <w:r w:rsidRPr="00C649FA">
              <w:rPr>
                <w:color w:val="000000"/>
              </w:rPr>
              <w:br/>
              <w:t>(3.5%)</w:t>
            </w:r>
          </w:p>
        </w:tc>
        <w:tc>
          <w:tcPr>
            <w:tcW w:w="1116" w:type="dxa"/>
            <w:vAlign w:val="bottom"/>
          </w:tcPr>
          <w:p w14:paraId="00D2120B" w14:textId="77777777" w:rsidR="003A053D" w:rsidRPr="00C649FA" w:rsidRDefault="003A053D" w:rsidP="00205DEE">
            <w:pPr>
              <w:jc w:val="center"/>
              <w:rPr>
                <w:color w:val="000000"/>
              </w:rPr>
            </w:pPr>
            <w:r w:rsidRPr="00C649FA">
              <w:rPr>
                <w:color w:val="000000"/>
              </w:rPr>
              <w:t>8</w:t>
            </w:r>
            <w:r w:rsidRPr="00C649FA">
              <w:rPr>
                <w:color w:val="000000"/>
              </w:rPr>
              <w:br/>
              <w:t>(0.4%)</w:t>
            </w:r>
          </w:p>
        </w:tc>
      </w:tr>
      <w:tr w:rsidR="003A053D" w:rsidRPr="001E3656" w14:paraId="2BC58341" w14:textId="77777777" w:rsidTr="000650FE">
        <w:trPr>
          <w:cantSplit/>
          <w:trHeight w:val="602"/>
        </w:trPr>
        <w:tc>
          <w:tcPr>
            <w:tcW w:w="2425" w:type="dxa"/>
            <w:vAlign w:val="bottom"/>
            <w:hideMark/>
          </w:tcPr>
          <w:p w14:paraId="3A91ACF5" w14:textId="77777777" w:rsidR="003A053D" w:rsidRPr="001E3656" w:rsidRDefault="003A053D" w:rsidP="00205DEE">
            <w:pPr>
              <w:rPr>
                <w:color w:val="000000"/>
              </w:rPr>
            </w:pPr>
            <w:r w:rsidRPr="00C649FA">
              <w:rPr>
                <w:color w:val="000000" w:themeColor="text1"/>
              </w:rPr>
              <w:t>American Indian</w:t>
            </w:r>
          </w:p>
        </w:tc>
        <w:tc>
          <w:tcPr>
            <w:tcW w:w="905" w:type="dxa"/>
            <w:vAlign w:val="bottom"/>
          </w:tcPr>
          <w:p w14:paraId="01A5155A" w14:textId="77777777" w:rsidR="003A053D" w:rsidRPr="001E3656" w:rsidRDefault="003A053D" w:rsidP="00205DEE">
            <w:pPr>
              <w:jc w:val="center"/>
              <w:rPr>
                <w:color w:val="000000"/>
              </w:rPr>
            </w:pPr>
            <w:r w:rsidRPr="00C649FA">
              <w:rPr>
                <w:color w:val="000000"/>
              </w:rPr>
              <w:t>2</w:t>
            </w:r>
          </w:p>
        </w:tc>
        <w:tc>
          <w:tcPr>
            <w:tcW w:w="1116" w:type="dxa"/>
            <w:vAlign w:val="bottom"/>
          </w:tcPr>
          <w:p w14:paraId="3530CD80" w14:textId="77777777" w:rsidR="003A053D" w:rsidRPr="00C649FA" w:rsidRDefault="003A053D" w:rsidP="00205DEE">
            <w:pPr>
              <w:jc w:val="center"/>
              <w:rPr>
                <w:color w:val="000000"/>
              </w:rPr>
            </w:pPr>
            <w:r w:rsidRPr="00C649FA">
              <w:rPr>
                <w:color w:val="000000"/>
              </w:rPr>
              <w:t>1</w:t>
            </w:r>
            <w:r w:rsidRPr="00C649FA">
              <w:rPr>
                <w:color w:val="000000"/>
              </w:rPr>
              <w:br/>
              <w:t>(0.1%)</w:t>
            </w:r>
          </w:p>
        </w:tc>
        <w:tc>
          <w:tcPr>
            <w:tcW w:w="1116" w:type="dxa"/>
            <w:vAlign w:val="bottom"/>
          </w:tcPr>
          <w:p w14:paraId="2C487CFF"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73F00B47"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5AED93AC" w14:textId="77777777" w:rsidR="003A053D" w:rsidRPr="00C649FA" w:rsidRDefault="003A053D" w:rsidP="00205DEE">
            <w:pPr>
              <w:jc w:val="center"/>
              <w:rPr>
                <w:color w:val="000000"/>
              </w:rPr>
            </w:pPr>
            <w:r w:rsidRPr="00C649FA">
              <w:rPr>
                <w:color w:val="000000"/>
              </w:rPr>
              <w:t>1</w:t>
            </w:r>
            <w:r w:rsidRPr="00C649FA">
              <w:rPr>
                <w:color w:val="000000"/>
              </w:rPr>
              <w:br/>
              <w:t>(0.1%)</w:t>
            </w:r>
          </w:p>
        </w:tc>
        <w:tc>
          <w:tcPr>
            <w:tcW w:w="1116" w:type="dxa"/>
            <w:vAlign w:val="bottom"/>
          </w:tcPr>
          <w:p w14:paraId="67470CDE" w14:textId="77777777" w:rsidR="003A053D" w:rsidRPr="00C649FA" w:rsidRDefault="003A053D" w:rsidP="00205DEE">
            <w:pPr>
              <w:jc w:val="center"/>
              <w:rPr>
                <w:color w:val="000000"/>
              </w:rPr>
            </w:pPr>
            <w:r w:rsidRPr="00C649FA">
              <w:rPr>
                <w:color w:val="000000"/>
              </w:rPr>
              <w:t>0</w:t>
            </w:r>
            <w:r w:rsidRPr="00C649FA">
              <w:rPr>
                <w:color w:val="000000"/>
              </w:rPr>
              <w:br/>
              <w:t>(0.0%)</w:t>
            </w:r>
          </w:p>
        </w:tc>
      </w:tr>
      <w:tr w:rsidR="003A053D" w:rsidRPr="001E3656" w14:paraId="6F860B1F" w14:textId="77777777" w:rsidTr="000650FE">
        <w:trPr>
          <w:cantSplit/>
          <w:trHeight w:val="620"/>
        </w:trPr>
        <w:tc>
          <w:tcPr>
            <w:tcW w:w="2425" w:type="dxa"/>
            <w:vAlign w:val="bottom"/>
            <w:hideMark/>
          </w:tcPr>
          <w:p w14:paraId="53492FF3" w14:textId="77777777" w:rsidR="003A053D" w:rsidRPr="001E3656" w:rsidRDefault="003A053D" w:rsidP="00205DEE">
            <w:pPr>
              <w:rPr>
                <w:color w:val="000000"/>
              </w:rPr>
            </w:pPr>
            <w:r w:rsidRPr="001E3656">
              <w:rPr>
                <w:color w:val="000000"/>
              </w:rPr>
              <w:t>Asian</w:t>
            </w:r>
          </w:p>
        </w:tc>
        <w:tc>
          <w:tcPr>
            <w:tcW w:w="905" w:type="dxa"/>
            <w:vAlign w:val="bottom"/>
          </w:tcPr>
          <w:p w14:paraId="39C1673A" w14:textId="77777777" w:rsidR="003A053D" w:rsidRPr="001E3656" w:rsidRDefault="003A053D" w:rsidP="00205DEE">
            <w:pPr>
              <w:jc w:val="center"/>
              <w:rPr>
                <w:color w:val="000000"/>
              </w:rPr>
            </w:pPr>
            <w:r w:rsidRPr="00C649FA">
              <w:rPr>
                <w:color w:val="000000"/>
              </w:rPr>
              <w:t>322</w:t>
            </w:r>
          </w:p>
        </w:tc>
        <w:tc>
          <w:tcPr>
            <w:tcW w:w="1116" w:type="dxa"/>
            <w:vAlign w:val="bottom"/>
          </w:tcPr>
          <w:p w14:paraId="4BA1EFC4" w14:textId="77777777" w:rsidR="003A053D" w:rsidRPr="00C649FA" w:rsidRDefault="003A053D" w:rsidP="00205DEE">
            <w:pPr>
              <w:jc w:val="center"/>
              <w:rPr>
                <w:color w:val="000000"/>
              </w:rPr>
            </w:pPr>
            <w:r w:rsidRPr="00C649FA">
              <w:rPr>
                <w:color w:val="000000"/>
              </w:rPr>
              <w:t>3</w:t>
            </w:r>
            <w:r w:rsidRPr="00C649FA">
              <w:rPr>
                <w:color w:val="000000"/>
              </w:rPr>
              <w:br/>
              <w:t>(0.2%)</w:t>
            </w:r>
          </w:p>
        </w:tc>
        <w:tc>
          <w:tcPr>
            <w:tcW w:w="1116" w:type="dxa"/>
            <w:vAlign w:val="bottom"/>
          </w:tcPr>
          <w:p w14:paraId="1E7807EC" w14:textId="77777777" w:rsidR="003A053D" w:rsidRPr="00C649FA" w:rsidRDefault="003A053D" w:rsidP="00205DEE">
            <w:pPr>
              <w:jc w:val="center"/>
              <w:rPr>
                <w:color w:val="000000"/>
              </w:rPr>
            </w:pPr>
            <w:r w:rsidRPr="00C649FA">
              <w:rPr>
                <w:color w:val="000000"/>
              </w:rPr>
              <w:t>16</w:t>
            </w:r>
            <w:r w:rsidRPr="00C649FA">
              <w:rPr>
                <w:color w:val="000000"/>
              </w:rPr>
              <w:br/>
              <w:t>(0.8%)</w:t>
            </w:r>
          </w:p>
        </w:tc>
        <w:tc>
          <w:tcPr>
            <w:tcW w:w="1116" w:type="dxa"/>
            <w:vAlign w:val="bottom"/>
          </w:tcPr>
          <w:p w14:paraId="7DD4BAC7" w14:textId="77777777" w:rsidR="003A053D" w:rsidRPr="00C649FA" w:rsidRDefault="003A053D" w:rsidP="00205DEE">
            <w:pPr>
              <w:jc w:val="center"/>
              <w:rPr>
                <w:color w:val="000000"/>
              </w:rPr>
            </w:pPr>
            <w:r w:rsidRPr="00C649FA">
              <w:rPr>
                <w:color w:val="000000"/>
              </w:rPr>
              <w:t>16</w:t>
            </w:r>
            <w:r w:rsidRPr="00C649FA">
              <w:rPr>
                <w:color w:val="000000"/>
              </w:rPr>
              <w:br/>
              <w:t>(0.8%)</w:t>
            </w:r>
          </w:p>
        </w:tc>
        <w:tc>
          <w:tcPr>
            <w:tcW w:w="1116" w:type="dxa"/>
            <w:vAlign w:val="bottom"/>
          </w:tcPr>
          <w:p w14:paraId="650E6086" w14:textId="77777777" w:rsidR="003A053D" w:rsidRPr="00C649FA" w:rsidRDefault="003A053D" w:rsidP="00205DEE">
            <w:pPr>
              <w:jc w:val="center"/>
              <w:rPr>
                <w:color w:val="000000"/>
              </w:rPr>
            </w:pPr>
            <w:r w:rsidRPr="00C649FA">
              <w:rPr>
                <w:color w:val="000000"/>
              </w:rPr>
              <w:t>108</w:t>
            </w:r>
            <w:r w:rsidRPr="00C649FA">
              <w:rPr>
                <w:color w:val="000000"/>
              </w:rPr>
              <w:br/>
              <w:t>(5.6%)</w:t>
            </w:r>
          </w:p>
        </w:tc>
        <w:tc>
          <w:tcPr>
            <w:tcW w:w="1116" w:type="dxa"/>
            <w:vAlign w:val="bottom"/>
          </w:tcPr>
          <w:p w14:paraId="7399D4CF" w14:textId="77777777" w:rsidR="003A053D" w:rsidRPr="00C649FA" w:rsidRDefault="003A053D" w:rsidP="00205DEE">
            <w:pPr>
              <w:jc w:val="center"/>
              <w:rPr>
                <w:color w:val="000000"/>
              </w:rPr>
            </w:pPr>
            <w:r w:rsidRPr="00C649FA">
              <w:rPr>
                <w:color w:val="000000"/>
              </w:rPr>
              <w:t>179</w:t>
            </w:r>
            <w:r w:rsidRPr="00C649FA">
              <w:rPr>
                <w:color w:val="000000"/>
              </w:rPr>
              <w:br/>
              <w:t>(9.3%)</w:t>
            </w:r>
          </w:p>
        </w:tc>
      </w:tr>
      <w:tr w:rsidR="003A053D" w:rsidRPr="001E3656" w14:paraId="2BEDA5C2" w14:textId="77777777" w:rsidTr="000650FE">
        <w:trPr>
          <w:cantSplit/>
          <w:trHeight w:val="580"/>
        </w:trPr>
        <w:tc>
          <w:tcPr>
            <w:tcW w:w="2425" w:type="dxa"/>
            <w:vAlign w:val="bottom"/>
            <w:hideMark/>
          </w:tcPr>
          <w:p w14:paraId="0465A345" w14:textId="77777777" w:rsidR="003A053D" w:rsidRPr="001E3656" w:rsidRDefault="003A053D" w:rsidP="00205DEE">
            <w:pPr>
              <w:rPr>
                <w:color w:val="000000"/>
              </w:rPr>
            </w:pPr>
            <w:r w:rsidRPr="001E3656">
              <w:rPr>
                <w:color w:val="000000"/>
              </w:rPr>
              <w:t>Filipino</w:t>
            </w:r>
          </w:p>
        </w:tc>
        <w:tc>
          <w:tcPr>
            <w:tcW w:w="905" w:type="dxa"/>
            <w:vAlign w:val="bottom"/>
          </w:tcPr>
          <w:p w14:paraId="4A353D0C" w14:textId="77777777" w:rsidR="003A053D" w:rsidRPr="001E3656" w:rsidRDefault="003A053D" w:rsidP="00205DEE">
            <w:pPr>
              <w:jc w:val="center"/>
              <w:rPr>
                <w:color w:val="000000"/>
              </w:rPr>
            </w:pPr>
            <w:r w:rsidRPr="00C649FA">
              <w:rPr>
                <w:color w:val="000000"/>
              </w:rPr>
              <w:t>86</w:t>
            </w:r>
          </w:p>
        </w:tc>
        <w:tc>
          <w:tcPr>
            <w:tcW w:w="1116" w:type="dxa"/>
            <w:vAlign w:val="bottom"/>
          </w:tcPr>
          <w:p w14:paraId="7773CAED" w14:textId="77777777" w:rsidR="003A053D" w:rsidRPr="00C649FA" w:rsidRDefault="003A053D" w:rsidP="00205DEE">
            <w:pPr>
              <w:jc w:val="center"/>
              <w:rPr>
                <w:color w:val="000000"/>
              </w:rPr>
            </w:pPr>
            <w:r w:rsidRPr="00C649FA">
              <w:rPr>
                <w:color w:val="000000"/>
              </w:rPr>
              <w:t>0</w:t>
            </w:r>
            <w:r w:rsidRPr="00C649FA">
              <w:rPr>
                <w:color w:val="000000"/>
              </w:rPr>
              <w:br/>
              <w:t>(0%)</w:t>
            </w:r>
          </w:p>
        </w:tc>
        <w:tc>
          <w:tcPr>
            <w:tcW w:w="1116" w:type="dxa"/>
            <w:vAlign w:val="bottom"/>
          </w:tcPr>
          <w:p w14:paraId="303CD092" w14:textId="77777777" w:rsidR="003A053D" w:rsidRPr="00C649FA" w:rsidRDefault="003A053D" w:rsidP="00205DEE">
            <w:pPr>
              <w:jc w:val="center"/>
              <w:rPr>
                <w:color w:val="000000"/>
              </w:rPr>
            </w:pPr>
            <w:r w:rsidRPr="00C649FA">
              <w:rPr>
                <w:color w:val="000000"/>
              </w:rPr>
              <w:t>2</w:t>
            </w:r>
            <w:r w:rsidRPr="00C649FA">
              <w:rPr>
                <w:color w:val="000000"/>
              </w:rPr>
              <w:br/>
              <w:t>(0.1%)</w:t>
            </w:r>
          </w:p>
        </w:tc>
        <w:tc>
          <w:tcPr>
            <w:tcW w:w="1116" w:type="dxa"/>
            <w:vAlign w:val="bottom"/>
          </w:tcPr>
          <w:p w14:paraId="281A4F3A" w14:textId="77777777" w:rsidR="003A053D" w:rsidRPr="00C649FA" w:rsidRDefault="003A053D" w:rsidP="00205DEE">
            <w:pPr>
              <w:jc w:val="center"/>
              <w:rPr>
                <w:color w:val="000000"/>
              </w:rPr>
            </w:pPr>
            <w:r w:rsidRPr="00C649FA">
              <w:rPr>
                <w:color w:val="000000"/>
              </w:rPr>
              <w:t>7</w:t>
            </w:r>
            <w:r w:rsidRPr="00C649FA">
              <w:rPr>
                <w:color w:val="000000"/>
              </w:rPr>
              <w:br/>
              <w:t>(0.4%)</w:t>
            </w:r>
          </w:p>
        </w:tc>
        <w:tc>
          <w:tcPr>
            <w:tcW w:w="1116" w:type="dxa"/>
            <w:vAlign w:val="bottom"/>
          </w:tcPr>
          <w:p w14:paraId="145E23EA" w14:textId="77777777" w:rsidR="003A053D" w:rsidRPr="00C649FA" w:rsidRDefault="003A053D" w:rsidP="00205DEE">
            <w:pPr>
              <w:jc w:val="center"/>
              <w:rPr>
                <w:color w:val="000000"/>
              </w:rPr>
            </w:pPr>
            <w:r w:rsidRPr="00C649FA">
              <w:rPr>
                <w:color w:val="000000"/>
              </w:rPr>
              <w:t>23</w:t>
            </w:r>
            <w:r w:rsidRPr="00C649FA">
              <w:rPr>
                <w:color w:val="000000"/>
              </w:rPr>
              <w:br/>
              <w:t>(1.2%)</w:t>
            </w:r>
          </w:p>
        </w:tc>
        <w:tc>
          <w:tcPr>
            <w:tcW w:w="1116" w:type="dxa"/>
            <w:vAlign w:val="bottom"/>
          </w:tcPr>
          <w:p w14:paraId="7A947230" w14:textId="77777777" w:rsidR="003A053D" w:rsidRPr="00C649FA" w:rsidRDefault="003A053D" w:rsidP="00205DEE">
            <w:pPr>
              <w:jc w:val="center"/>
              <w:rPr>
                <w:color w:val="000000"/>
              </w:rPr>
            </w:pPr>
            <w:r w:rsidRPr="00C649FA">
              <w:rPr>
                <w:color w:val="000000"/>
              </w:rPr>
              <w:t>54</w:t>
            </w:r>
            <w:r w:rsidRPr="00C649FA">
              <w:rPr>
                <w:color w:val="000000"/>
              </w:rPr>
              <w:br/>
              <w:t>(2.8%)</w:t>
            </w:r>
          </w:p>
        </w:tc>
      </w:tr>
      <w:tr w:rsidR="003A053D" w:rsidRPr="001E3656" w14:paraId="70EC8F1E" w14:textId="77777777" w:rsidTr="000650FE">
        <w:trPr>
          <w:cantSplit/>
          <w:trHeight w:val="580"/>
        </w:trPr>
        <w:tc>
          <w:tcPr>
            <w:tcW w:w="2425" w:type="dxa"/>
            <w:vAlign w:val="bottom"/>
            <w:hideMark/>
          </w:tcPr>
          <w:p w14:paraId="56FCC2F1" w14:textId="77777777" w:rsidR="003A053D" w:rsidRPr="001E3656" w:rsidRDefault="003A053D" w:rsidP="00205DEE">
            <w:pPr>
              <w:rPr>
                <w:color w:val="000000"/>
              </w:rPr>
            </w:pPr>
            <w:r w:rsidRPr="001E3656">
              <w:rPr>
                <w:color w:val="000000"/>
              </w:rPr>
              <w:t>Hispanic</w:t>
            </w:r>
          </w:p>
        </w:tc>
        <w:tc>
          <w:tcPr>
            <w:tcW w:w="905" w:type="dxa"/>
            <w:vAlign w:val="bottom"/>
          </w:tcPr>
          <w:p w14:paraId="39CF6B9F" w14:textId="77777777" w:rsidR="003A053D" w:rsidRPr="001E3656" w:rsidRDefault="003A053D" w:rsidP="00205DEE">
            <w:pPr>
              <w:jc w:val="center"/>
              <w:rPr>
                <w:color w:val="000000"/>
              </w:rPr>
            </w:pPr>
            <w:r w:rsidRPr="00C649FA">
              <w:rPr>
                <w:color w:val="000000"/>
              </w:rPr>
              <w:t>1,561</w:t>
            </w:r>
          </w:p>
        </w:tc>
        <w:tc>
          <w:tcPr>
            <w:tcW w:w="1116" w:type="dxa"/>
            <w:vAlign w:val="bottom"/>
          </w:tcPr>
          <w:p w14:paraId="656084F5" w14:textId="77777777" w:rsidR="003A053D" w:rsidRPr="00C649FA" w:rsidRDefault="003A053D" w:rsidP="00205DEE">
            <w:pPr>
              <w:jc w:val="center"/>
              <w:rPr>
                <w:color w:val="000000"/>
              </w:rPr>
            </w:pPr>
            <w:r w:rsidRPr="00C649FA">
              <w:rPr>
                <w:color w:val="000000"/>
              </w:rPr>
              <w:t>220</w:t>
            </w:r>
            <w:r w:rsidRPr="00C649FA">
              <w:rPr>
                <w:color w:val="000000"/>
              </w:rPr>
              <w:br/>
              <w:t>(11.5%)</w:t>
            </w:r>
          </w:p>
        </w:tc>
        <w:tc>
          <w:tcPr>
            <w:tcW w:w="1116" w:type="dxa"/>
            <w:vAlign w:val="bottom"/>
          </w:tcPr>
          <w:p w14:paraId="42D98ECF" w14:textId="77777777" w:rsidR="003A053D" w:rsidRPr="00C649FA" w:rsidRDefault="003A053D" w:rsidP="00205DEE">
            <w:pPr>
              <w:jc w:val="center"/>
              <w:rPr>
                <w:color w:val="000000"/>
              </w:rPr>
            </w:pPr>
            <w:r w:rsidRPr="00C649FA">
              <w:rPr>
                <w:color w:val="000000"/>
              </w:rPr>
              <w:t>308</w:t>
            </w:r>
            <w:r w:rsidRPr="00C649FA">
              <w:rPr>
                <w:color w:val="000000"/>
              </w:rPr>
              <w:br/>
              <w:t>(16.1%)</w:t>
            </w:r>
          </w:p>
        </w:tc>
        <w:tc>
          <w:tcPr>
            <w:tcW w:w="1116" w:type="dxa"/>
            <w:vAlign w:val="bottom"/>
          </w:tcPr>
          <w:p w14:paraId="2F4872F1" w14:textId="77777777" w:rsidR="003A053D" w:rsidRPr="00C649FA" w:rsidRDefault="003A053D" w:rsidP="00205DEE">
            <w:pPr>
              <w:jc w:val="center"/>
              <w:rPr>
                <w:color w:val="000000"/>
              </w:rPr>
            </w:pPr>
            <w:r w:rsidRPr="00C649FA">
              <w:rPr>
                <w:color w:val="000000"/>
              </w:rPr>
              <w:t>262</w:t>
            </w:r>
            <w:r w:rsidRPr="00C649FA">
              <w:rPr>
                <w:color w:val="000000"/>
              </w:rPr>
              <w:br/>
              <w:t>(13.7%)</w:t>
            </w:r>
          </w:p>
        </w:tc>
        <w:tc>
          <w:tcPr>
            <w:tcW w:w="1116" w:type="dxa"/>
            <w:vAlign w:val="bottom"/>
          </w:tcPr>
          <w:p w14:paraId="096E55EE" w14:textId="77777777" w:rsidR="003A053D" w:rsidRPr="00C649FA" w:rsidRDefault="003A053D" w:rsidP="00205DEE">
            <w:pPr>
              <w:jc w:val="center"/>
              <w:rPr>
                <w:color w:val="000000"/>
              </w:rPr>
            </w:pPr>
            <w:r w:rsidRPr="00C649FA">
              <w:rPr>
                <w:color w:val="000000"/>
              </w:rPr>
              <w:t>542</w:t>
            </w:r>
            <w:r w:rsidRPr="00C649FA">
              <w:rPr>
                <w:color w:val="000000"/>
              </w:rPr>
              <w:br/>
              <w:t>(28.3%)</w:t>
            </w:r>
          </w:p>
        </w:tc>
        <w:tc>
          <w:tcPr>
            <w:tcW w:w="1116" w:type="dxa"/>
            <w:vAlign w:val="bottom"/>
          </w:tcPr>
          <w:p w14:paraId="68E33EC9" w14:textId="77777777" w:rsidR="003A053D" w:rsidRPr="00C649FA" w:rsidRDefault="003A053D" w:rsidP="00205DEE">
            <w:pPr>
              <w:jc w:val="center"/>
              <w:rPr>
                <w:color w:val="000000"/>
              </w:rPr>
            </w:pPr>
            <w:r w:rsidRPr="00C649FA">
              <w:rPr>
                <w:color w:val="000000"/>
              </w:rPr>
              <w:t>229</w:t>
            </w:r>
            <w:r w:rsidRPr="00C649FA">
              <w:rPr>
                <w:color w:val="000000"/>
              </w:rPr>
              <w:br/>
              <w:t>(12%)</w:t>
            </w:r>
          </w:p>
        </w:tc>
      </w:tr>
      <w:tr w:rsidR="003A053D" w:rsidRPr="001E3656" w14:paraId="4FB27129" w14:textId="77777777" w:rsidTr="000650FE">
        <w:trPr>
          <w:cantSplit/>
          <w:trHeight w:val="580"/>
        </w:trPr>
        <w:tc>
          <w:tcPr>
            <w:tcW w:w="2425" w:type="dxa"/>
            <w:vAlign w:val="bottom"/>
            <w:hideMark/>
          </w:tcPr>
          <w:p w14:paraId="3E3B5388" w14:textId="77777777" w:rsidR="003A053D" w:rsidRPr="001E3656" w:rsidRDefault="003A053D" w:rsidP="00205DEE">
            <w:pPr>
              <w:rPr>
                <w:color w:val="000000"/>
              </w:rPr>
            </w:pPr>
            <w:r w:rsidRPr="001E3656">
              <w:rPr>
                <w:color w:val="000000"/>
              </w:rPr>
              <w:t>Pacific Islander</w:t>
            </w:r>
          </w:p>
        </w:tc>
        <w:tc>
          <w:tcPr>
            <w:tcW w:w="905" w:type="dxa"/>
            <w:vAlign w:val="bottom"/>
          </w:tcPr>
          <w:p w14:paraId="050055F6" w14:textId="77777777" w:rsidR="003A053D" w:rsidRPr="001E3656" w:rsidRDefault="003A053D" w:rsidP="00205DEE">
            <w:pPr>
              <w:jc w:val="center"/>
              <w:rPr>
                <w:color w:val="000000"/>
              </w:rPr>
            </w:pPr>
            <w:r w:rsidRPr="00C649FA">
              <w:rPr>
                <w:color w:val="000000"/>
              </w:rPr>
              <w:t>0</w:t>
            </w:r>
          </w:p>
        </w:tc>
        <w:tc>
          <w:tcPr>
            <w:tcW w:w="1116" w:type="dxa"/>
            <w:vAlign w:val="bottom"/>
          </w:tcPr>
          <w:p w14:paraId="78EE71C4"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6E8F5D44"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0CF9FDA8"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6D84C48F"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19759A70" w14:textId="77777777" w:rsidR="003A053D" w:rsidRPr="00C649FA" w:rsidRDefault="003A053D" w:rsidP="00205DEE">
            <w:pPr>
              <w:jc w:val="center"/>
              <w:rPr>
                <w:color w:val="000000"/>
              </w:rPr>
            </w:pPr>
            <w:r w:rsidRPr="00C649FA">
              <w:rPr>
                <w:color w:val="000000"/>
              </w:rPr>
              <w:t>0</w:t>
            </w:r>
            <w:r w:rsidRPr="00C649FA">
              <w:rPr>
                <w:color w:val="000000"/>
              </w:rPr>
              <w:br/>
              <w:t>(0.0%)</w:t>
            </w:r>
          </w:p>
        </w:tc>
      </w:tr>
      <w:tr w:rsidR="003A053D" w:rsidRPr="001E3656" w14:paraId="4B5364C0" w14:textId="77777777" w:rsidTr="000650FE">
        <w:trPr>
          <w:cantSplit/>
          <w:trHeight w:val="557"/>
        </w:trPr>
        <w:tc>
          <w:tcPr>
            <w:tcW w:w="2425" w:type="dxa"/>
            <w:vAlign w:val="bottom"/>
            <w:hideMark/>
          </w:tcPr>
          <w:p w14:paraId="0BAC0DC3" w14:textId="77777777" w:rsidR="003A053D" w:rsidRPr="001E3656" w:rsidRDefault="003A053D" w:rsidP="00205DEE">
            <w:pPr>
              <w:rPr>
                <w:color w:val="000000"/>
              </w:rPr>
            </w:pPr>
            <w:r w:rsidRPr="00C649FA">
              <w:rPr>
                <w:color w:val="000000" w:themeColor="text1"/>
              </w:rPr>
              <w:t>Two or More Races</w:t>
            </w:r>
          </w:p>
        </w:tc>
        <w:tc>
          <w:tcPr>
            <w:tcW w:w="905" w:type="dxa"/>
            <w:vAlign w:val="bottom"/>
          </w:tcPr>
          <w:p w14:paraId="6298997A" w14:textId="77777777" w:rsidR="003A053D" w:rsidRPr="001E3656" w:rsidRDefault="003A053D" w:rsidP="00205DEE">
            <w:pPr>
              <w:jc w:val="center"/>
              <w:rPr>
                <w:color w:val="000000"/>
              </w:rPr>
            </w:pPr>
            <w:r w:rsidRPr="00C649FA">
              <w:rPr>
                <w:color w:val="000000"/>
              </w:rPr>
              <w:t>143</w:t>
            </w:r>
          </w:p>
        </w:tc>
        <w:tc>
          <w:tcPr>
            <w:tcW w:w="1116" w:type="dxa"/>
            <w:vAlign w:val="bottom"/>
          </w:tcPr>
          <w:p w14:paraId="1344BA89" w14:textId="77777777" w:rsidR="003A053D" w:rsidRPr="00C649FA" w:rsidRDefault="003A053D" w:rsidP="00205DEE">
            <w:pPr>
              <w:jc w:val="center"/>
              <w:rPr>
                <w:color w:val="000000"/>
              </w:rPr>
            </w:pPr>
            <w:r w:rsidRPr="00C649FA">
              <w:rPr>
                <w:color w:val="000000"/>
              </w:rPr>
              <w:t>3</w:t>
            </w:r>
            <w:r w:rsidRPr="00C649FA">
              <w:rPr>
                <w:color w:val="000000"/>
              </w:rPr>
              <w:br/>
              <w:t>(0.2%)</w:t>
            </w:r>
          </w:p>
        </w:tc>
        <w:tc>
          <w:tcPr>
            <w:tcW w:w="1116" w:type="dxa"/>
            <w:vAlign w:val="bottom"/>
          </w:tcPr>
          <w:p w14:paraId="4EB4CBBF" w14:textId="77777777" w:rsidR="003A053D" w:rsidRPr="00C649FA" w:rsidRDefault="003A053D" w:rsidP="00205DEE">
            <w:pPr>
              <w:jc w:val="center"/>
              <w:rPr>
                <w:color w:val="000000"/>
              </w:rPr>
            </w:pPr>
            <w:r w:rsidRPr="00C649FA">
              <w:rPr>
                <w:color w:val="000000"/>
              </w:rPr>
              <w:t>11</w:t>
            </w:r>
            <w:r w:rsidRPr="00C649FA">
              <w:rPr>
                <w:color w:val="000000"/>
              </w:rPr>
              <w:br/>
              <w:t>(0.6%)</w:t>
            </w:r>
          </w:p>
        </w:tc>
        <w:tc>
          <w:tcPr>
            <w:tcW w:w="1116" w:type="dxa"/>
            <w:vAlign w:val="bottom"/>
          </w:tcPr>
          <w:p w14:paraId="08F93E26" w14:textId="77777777" w:rsidR="003A053D" w:rsidRPr="00C649FA" w:rsidRDefault="003A053D" w:rsidP="00205DEE">
            <w:pPr>
              <w:jc w:val="center"/>
              <w:rPr>
                <w:color w:val="000000"/>
              </w:rPr>
            </w:pPr>
            <w:r w:rsidRPr="00C649FA">
              <w:rPr>
                <w:color w:val="000000"/>
              </w:rPr>
              <w:t>14</w:t>
            </w:r>
            <w:r w:rsidRPr="00C649FA">
              <w:rPr>
                <w:color w:val="000000"/>
              </w:rPr>
              <w:br/>
              <w:t>(0.7%)</w:t>
            </w:r>
          </w:p>
        </w:tc>
        <w:tc>
          <w:tcPr>
            <w:tcW w:w="1116" w:type="dxa"/>
            <w:vAlign w:val="bottom"/>
          </w:tcPr>
          <w:p w14:paraId="5CD1F086" w14:textId="77777777" w:rsidR="003A053D" w:rsidRPr="00C649FA" w:rsidRDefault="003A053D" w:rsidP="00205DEE">
            <w:pPr>
              <w:jc w:val="center"/>
              <w:rPr>
                <w:color w:val="000000"/>
              </w:rPr>
            </w:pPr>
            <w:r w:rsidRPr="00C649FA">
              <w:rPr>
                <w:color w:val="000000"/>
              </w:rPr>
              <w:t>39</w:t>
            </w:r>
            <w:r w:rsidRPr="00C649FA">
              <w:rPr>
                <w:color w:val="000000"/>
              </w:rPr>
              <w:br/>
              <w:t>(2%)</w:t>
            </w:r>
          </w:p>
        </w:tc>
        <w:tc>
          <w:tcPr>
            <w:tcW w:w="1116" w:type="dxa"/>
            <w:vAlign w:val="bottom"/>
          </w:tcPr>
          <w:p w14:paraId="7D0531C6" w14:textId="77777777" w:rsidR="003A053D" w:rsidRPr="00C649FA" w:rsidRDefault="003A053D" w:rsidP="00205DEE">
            <w:pPr>
              <w:jc w:val="center"/>
              <w:rPr>
                <w:color w:val="000000"/>
              </w:rPr>
            </w:pPr>
            <w:r w:rsidRPr="00C649FA">
              <w:rPr>
                <w:color w:val="000000"/>
              </w:rPr>
              <w:t>76</w:t>
            </w:r>
            <w:r w:rsidRPr="00C649FA">
              <w:rPr>
                <w:color w:val="000000"/>
              </w:rPr>
              <w:br/>
              <w:t>(4%)</w:t>
            </w:r>
          </w:p>
        </w:tc>
      </w:tr>
      <w:tr w:rsidR="003A053D" w:rsidRPr="001E3656" w14:paraId="658FDDF5" w14:textId="77777777" w:rsidTr="000650FE">
        <w:trPr>
          <w:cantSplit/>
          <w:trHeight w:val="580"/>
        </w:trPr>
        <w:tc>
          <w:tcPr>
            <w:tcW w:w="2425" w:type="dxa"/>
            <w:vAlign w:val="bottom"/>
            <w:hideMark/>
          </w:tcPr>
          <w:p w14:paraId="594D0246" w14:textId="77777777" w:rsidR="003A053D" w:rsidRPr="001E3656" w:rsidRDefault="003A053D" w:rsidP="00205DEE">
            <w:pPr>
              <w:rPr>
                <w:color w:val="000000"/>
              </w:rPr>
            </w:pPr>
            <w:r w:rsidRPr="001E3656">
              <w:rPr>
                <w:color w:val="000000"/>
              </w:rPr>
              <w:t>White</w:t>
            </w:r>
          </w:p>
        </w:tc>
        <w:tc>
          <w:tcPr>
            <w:tcW w:w="905" w:type="dxa"/>
            <w:vAlign w:val="bottom"/>
          </w:tcPr>
          <w:p w14:paraId="7A5D202D" w14:textId="77777777" w:rsidR="003A053D" w:rsidRPr="001E3656" w:rsidRDefault="003A053D" w:rsidP="00205DEE">
            <w:pPr>
              <w:jc w:val="center"/>
              <w:rPr>
                <w:color w:val="000000"/>
              </w:rPr>
            </w:pPr>
            <w:r w:rsidRPr="00C649FA">
              <w:rPr>
                <w:color w:val="000000"/>
              </w:rPr>
              <w:t>742</w:t>
            </w:r>
          </w:p>
        </w:tc>
        <w:tc>
          <w:tcPr>
            <w:tcW w:w="1116" w:type="dxa"/>
            <w:vAlign w:val="bottom"/>
          </w:tcPr>
          <w:p w14:paraId="61A85C00" w14:textId="77777777" w:rsidR="003A053D" w:rsidRPr="00C649FA" w:rsidRDefault="003A053D" w:rsidP="00205DEE">
            <w:pPr>
              <w:jc w:val="center"/>
              <w:rPr>
                <w:color w:val="000000"/>
              </w:rPr>
            </w:pPr>
            <w:r w:rsidRPr="00C649FA">
              <w:rPr>
                <w:color w:val="000000"/>
              </w:rPr>
              <w:t>37</w:t>
            </w:r>
            <w:r w:rsidRPr="00C649FA">
              <w:rPr>
                <w:color w:val="000000"/>
              </w:rPr>
              <w:br/>
              <w:t>(1.9%)</w:t>
            </w:r>
          </w:p>
        </w:tc>
        <w:tc>
          <w:tcPr>
            <w:tcW w:w="1116" w:type="dxa"/>
            <w:vAlign w:val="bottom"/>
          </w:tcPr>
          <w:p w14:paraId="12DE5D5F" w14:textId="77777777" w:rsidR="003A053D" w:rsidRPr="00C649FA" w:rsidRDefault="003A053D" w:rsidP="00205DEE">
            <w:pPr>
              <w:jc w:val="center"/>
              <w:rPr>
                <w:color w:val="000000"/>
              </w:rPr>
            </w:pPr>
            <w:r w:rsidRPr="00C649FA">
              <w:rPr>
                <w:color w:val="000000"/>
              </w:rPr>
              <w:t>107</w:t>
            </w:r>
            <w:r w:rsidRPr="00C649FA">
              <w:rPr>
                <w:color w:val="000000"/>
              </w:rPr>
              <w:br/>
              <w:t>(5.6%)</w:t>
            </w:r>
          </w:p>
        </w:tc>
        <w:tc>
          <w:tcPr>
            <w:tcW w:w="1116" w:type="dxa"/>
            <w:vAlign w:val="bottom"/>
          </w:tcPr>
          <w:p w14:paraId="77B0B22A" w14:textId="77777777" w:rsidR="003A053D" w:rsidRPr="00C649FA" w:rsidRDefault="003A053D" w:rsidP="00205DEE">
            <w:pPr>
              <w:jc w:val="center"/>
              <w:rPr>
                <w:color w:val="000000"/>
              </w:rPr>
            </w:pPr>
            <w:r w:rsidRPr="00C649FA">
              <w:rPr>
                <w:color w:val="000000"/>
              </w:rPr>
              <w:t>104</w:t>
            </w:r>
            <w:r w:rsidRPr="00C649FA">
              <w:rPr>
                <w:color w:val="000000"/>
              </w:rPr>
              <w:br/>
              <w:t>(5.4%)</w:t>
            </w:r>
          </w:p>
        </w:tc>
        <w:tc>
          <w:tcPr>
            <w:tcW w:w="1116" w:type="dxa"/>
            <w:vAlign w:val="bottom"/>
          </w:tcPr>
          <w:p w14:paraId="50AFFF5A" w14:textId="77777777" w:rsidR="003A053D" w:rsidRPr="00C649FA" w:rsidRDefault="003A053D" w:rsidP="00205DEE">
            <w:pPr>
              <w:jc w:val="center"/>
              <w:rPr>
                <w:color w:val="000000"/>
              </w:rPr>
            </w:pPr>
            <w:r w:rsidRPr="00C649FA">
              <w:rPr>
                <w:color w:val="000000"/>
              </w:rPr>
              <w:t>247</w:t>
            </w:r>
            <w:r w:rsidRPr="00C649FA">
              <w:rPr>
                <w:color w:val="000000"/>
              </w:rPr>
              <w:br/>
              <w:t>(12.9%)</w:t>
            </w:r>
          </w:p>
        </w:tc>
        <w:tc>
          <w:tcPr>
            <w:tcW w:w="1116" w:type="dxa"/>
            <w:vAlign w:val="bottom"/>
          </w:tcPr>
          <w:p w14:paraId="0AE3F08C" w14:textId="77777777" w:rsidR="003A053D" w:rsidRPr="00C649FA" w:rsidRDefault="003A053D" w:rsidP="00205DEE">
            <w:pPr>
              <w:jc w:val="center"/>
              <w:rPr>
                <w:color w:val="000000"/>
              </w:rPr>
            </w:pPr>
            <w:r w:rsidRPr="00C649FA">
              <w:rPr>
                <w:color w:val="000000"/>
              </w:rPr>
              <w:t>247</w:t>
            </w:r>
            <w:r w:rsidRPr="00C649FA">
              <w:rPr>
                <w:color w:val="000000"/>
              </w:rPr>
              <w:br/>
              <w:t>(12.9%)</w:t>
            </w:r>
          </w:p>
        </w:tc>
      </w:tr>
      <w:tr w:rsidR="003A053D" w:rsidRPr="001E3656" w14:paraId="73CC4BEC" w14:textId="77777777" w:rsidTr="000650FE">
        <w:trPr>
          <w:cantSplit/>
          <w:trHeight w:val="580"/>
        </w:trPr>
        <w:tc>
          <w:tcPr>
            <w:tcW w:w="2425" w:type="dxa"/>
            <w:vAlign w:val="bottom"/>
            <w:hideMark/>
          </w:tcPr>
          <w:p w14:paraId="5B42FB8F" w14:textId="77777777" w:rsidR="003A053D" w:rsidRPr="001E3656" w:rsidRDefault="003A053D" w:rsidP="00205DEE">
            <w:pPr>
              <w:rPr>
                <w:color w:val="000000"/>
              </w:rPr>
            </w:pPr>
            <w:r w:rsidRPr="00C649FA">
              <w:rPr>
                <w:color w:val="000000" w:themeColor="text1"/>
              </w:rPr>
              <w:t>English Learners</w:t>
            </w:r>
          </w:p>
        </w:tc>
        <w:tc>
          <w:tcPr>
            <w:tcW w:w="905" w:type="dxa"/>
            <w:vAlign w:val="bottom"/>
          </w:tcPr>
          <w:p w14:paraId="33B98AF2" w14:textId="77777777" w:rsidR="003A053D" w:rsidRPr="001E3656" w:rsidRDefault="003A053D" w:rsidP="00205DEE">
            <w:pPr>
              <w:jc w:val="center"/>
              <w:rPr>
                <w:color w:val="000000"/>
              </w:rPr>
            </w:pPr>
            <w:r w:rsidRPr="00C649FA">
              <w:rPr>
                <w:color w:val="000000"/>
              </w:rPr>
              <w:t>767</w:t>
            </w:r>
          </w:p>
        </w:tc>
        <w:tc>
          <w:tcPr>
            <w:tcW w:w="1116" w:type="dxa"/>
            <w:vAlign w:val="bottom"/>
          </w:tcPr>
          <w:p w14:paraId="70143243" w14:textId="77777777" w:rsidR="003A053D" w:rsidRPr="00C649FA" w:rsidRDefault="003A053D" w:rsidP="00205DEE">
            <w:pPr>
              <w:jc w:val="center"/>
              <w:rPr>
                <w:color w:val="000000"/>
              </w:rPr>
            </w:pPr>
            <w:r w:rsidRPr="00C649FA">
              <w:rPr>
                <w:color w:val="000000"/>
              </w:rPr>
              <w:t>116</w:t>
            </w:r>
            <w:r w:rsidRPr="00C649FA">
              <w:rPr>
                <w:color w:val="000000"/>
              </w:rPr>
              <w:br/>
              <w:t>(6.1%)</w:t>
            </w:r>
          </w:p>
        </w:tc>
        <w:tc>
          <w:tcPr>
            <w:tcW w:w="1116" w:type="dxa"/>
            <w:vAlign w:val="bottom"/>
          </w:tcPr>
          <w:p w14:paraId="51D93810" w14:textId="77777777" w:rsidR="003A053D" w:rsidRPr="00C649FA" w:rsidRDefault="003A053D" w:rsidP="00205DEE">
            <w:pPr>
              <w:jc w:val="center"/>
              <w:rPr>
                <w:color w:val="000000"/>
              </w:rPr>
            </w:pPr>
            <w:r w:rsidRPr="00C649FA">
              <w:rPr>
                <w:color w:val="000000"/>
              </w:rPr>
              <w:t>256</w:t>
            </w:r>
            <w:r w:rsidRPr="00C649FA">
              <w:rPr>
                <w:color w:val="000000"/>
              </w:rPr>
              <w:br/>
              <w:t>(13.4%)</w:t>
            </w:r>
          </w:p>
        </w:tc>
        <w:tc>
          <w:tcPr>
            <w:tcW w:w="1116" w:type="dxa"/>
            <w:vAlign w:val="bottom"/>
          </w:tcPr>
          <w:p w14:paraId="1548A43E" w14:textId="77777777" w:rsidR="003A053D" w:rsidRPr="00C649FA" w:rsidRDefault="003A053D" w:rsidP="00205DEE">
            <w:pPr>
              <w:jc w:val="center"/>
              <w:rPr>
                <w:color w:val="000000"/>
              </w:rPr>
            </w:pPr>
            <w:r w:rsidRPr="00C649FA">
              <w:rPr>
                <w:color w:val="000000"/>
              </w:rPr>
              <w:t>281</w:t>
            </w:r>
            <w:r w:rsidRPr="00C649FA">
              <w:rPr>
                <w:color w:val="000000"/>
              </w:rPr>
              <w:br/>
              <w:t>(14.7%)</w:t>
            </w:r>
          </w:p>
        </w:tc>
        <w:tc>
          <w:tcPr>
            <w:tcW w:w="1116" w:type="dxa"/>
            <w:vAlign w:val="bottom"/>
          </w:tcPr>
          <w:p w14:paraId="1ED19D9E" w14:textId="77777777" w:rsidR="003A053D" w:rsidRPr="00C649FA" w:rsidRDefault="003A053D" w:rsidP="00205DEE">
            <w:pPr>
              <w:jc w:val="center"/>
              <w:rPr>
                <w:color w:val="000000"/>
              </w:rPr>
            </w:pPr>
            <w:r w:rsidRPr="00C649FA">
              <w:rPr>
                <w:color w:val="000000"/>
              </w:rPr>
              <w:t>103</w:t>
            </w:r>
            <w:r w:rsidRPr="00C649FA">
              <w:rPr>
                <w:color w:val="000000"/>
              </w:rPr>
              <w:br/>
              <w:t>(5.4%)</w:t>
            </w:r>
          </w:p>
        </w:tc>
        <w:tc>
          <w:tcPr>
            <w:tcW w:w="1116" w:type="dxa"/>
            <w:vAlign w:val="bottom"/>
          </w:tcPr>
          <w:p w14:paraId="6A9867A0" w14:textId="77777777" w:rsidR="003A053D" w:rsidRPr="00C649FA" w:rsidRDefault="003A053D" w:rsidP="00205DEE">
            <w:pPr>
              <w:jc w:val="center"/>
              <w:rPr>
                <w:color w:val="000000"/>
              </w:rPr>
            </w:pPr>
            <w:r w:rsidRPr="00C649FA">
              <w:rPr>
                <w:color w:val="000000"/>
              </w:rPr>
              <w:t>11</w:t>
            </w:r>
            <w:r w:rsidRPr="00C649FA">
              <w:rPr>
                <w:color w:val="000000"/>
              </w:rPr>
              <w:br/>
              <w:t>(0.6%)</w:t>
            </w:r>
          </w:p>
        </w:tc>
      </w:tr>
      <w:tr w:rsidR="003A053D" w:rsidRPr="001E3656" w14:paraId="1DC013DA" w14:textId="77777777" w:rsidTr="000650FE">
        <w:trPr>
          <w:cantSplit/>
          <w:trHeight w:val="580"/>
        </w:trPr>
        <w:tc>
          <w:tcPr>
            <w:tcW w:w="2425" w:type="dxa"/>
            <w:vAlign w:val="bottom"/>
            <w:hideMark/>
          </w:tcPr>
          <w:p w14:paraId="7F89A506" w14:textId="77777777" w:rsidR="003A053D" w:rsidRPr="001E3656" w:rsidRDefault="003A053D" w:rsidP="00205DEE">
            <w:pPr>
              <w:rPr>
                <w:color w:val="000000"/>
              </w:rPr>
            </w:pPr>
            <w:r w:rsidRPr="001E3656">
              <w:rPr>
                <w:color w:val="000000"/>
              </w:rPr>
              <w:t>Foster Youth</w:t>
            </w:r>
          </w:p>
        </w:tc>
        <w:tc>
          <w:tcPr>
            <w:tcW w:w="905" w:type="dxa"/>
            <w:vAlign w:val="bottom"/>
          </w:tcPr>
          <w:p w14:paraId="5E8CE6F7" w14:textId="77777777" w:rsidR="003A053D" w:rsidRPr="001E3656" w:rsidRDefault="003A053D" w:rsidP="00205DEE">
            <w:pPr>
              <w:jc w:val="center"/>
              <w:rPr>
                <w:color w:val="000000"/>
              </w:rPr>
            </w:pPr>
            <w:r w:rsidRPr="00C649FA">
              <w:rPr>
                <w:color w:val="000000"/>
              </w:rPr>
              <w:t>4</w:t>
            </w:r>
          </w:p>
        </w:tc>
        <w:tc>
          <w:tcPr>
            <w:tcW w:w="1116" w:type="dxa"/>
            <w:vAlign w:val="bottom"/>
          </w:tcPr>
          <w:p w14:paraId="5E858172" w14:textId="77777777" w:rsidR="003A053D" w:rsidRPr="00C649FA" w:rsidRDefault="003A053D" w:rsidP="00205DEE">
            <w:pPr>
              <w:jc w:val="center"/>
              <w:rPr>
                <w:color w:val="000000"/>
              </w:rPr>
            </w:pPr>
            <w:r w:rsidRPr="00C649FA">
              <w:rPr>
                <w:color w:val="000000"/>
              </w:rPr>
              <w:t>3</w:t>
            </w:r>
            <w:r w:rsidRPr="00C649FA">
              <w:rPr>
                <w:color w:val="000000"/>
              </w:rPr>
              <w:br/>
              <w:t>(0.2%)</w:t>
            </w:r>
          </w:p>
        </w:tc>
        <w:tc>
          <w:tcPr>
            <w:tcW w:w="1116" w:type="dxa"/>
            <w:vAlign w:val="bottom"/>
          </w:tcPr>
          <w:p w14:paraId="42C3EBF3" w14:textId="77777777" w:rsidR="003A053D" w:rsidRPr="00C649FA" w:rsidRDefault="003A053D" w:rsidP="00205DEE">
            <w:pPr>
              <w:jc w:val="center"/>
              <w:rPr>
                <w:color w:val="000000"/>
              </w:rPr>
            </w:pPr>
            <w:r w:rsidRPr="00C649FA">
              <w:rPr>
                <w:color w:val="000000"/>
              </w:rPr>
              <w:t>1</w:t>
            </w:r>
            <w:r w:rsidRPr="00C649FA">
              <w:rPr>
                <w:color w:val="000000"/>
              </w:rPr>
              <w:br/>
              <w:t>(0.1%)</w:t>
            </w:r>
          </w:p>
        </w:tc>
        <w:tc>
          <w:tcPr>
            <w:tcW w:w="1116" w:type="dxa"/>
            <w:vAlign w:val="bottom"/>
          </w:tcPr>
          <w:p w14:paraId="713F9494"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2F33E0A9" w14:textId="77777777" w:rsidR="003A053D" w:rsidRPr="00C649FA" w:rsidRDefault="003A053D" w:rsidP="00205DEE">
            <w:pPr>
              <w:jc w:val="center"/>
              <w:rPr>
                <w:color w:val="000000"/>
              </w:rPr>
            </w:pPr>
            <w:r w:rsidRPr="00C649FA">
              <w:rPr>
                <w:color w:val="000000"/>
              </w:rPr>
              <w:t>0</w:t>
            </w:r>
            <w:r w:rsidRPr="00C649FA">
              <w:rPr>
                <w:color w:val="000000"/>
              </w:rPr>
              <w:br/>
              <w:t>(0.0%)</w:t>
            </w:r>
          </w:p>
        </w:tc>
        <w:tc>
          <w:tcPr>
            <w:tcW w:w="1116" w:type="dxa"/>
            <w:vAlign w:val="bottom"/>
          </w:tcPr>
          <w:p w14:paraId="743E86A3" w14:textId="77777777" w:rsidR="003A053D" w:rsidRPr="00C649FA" w:rsidRDefault="003A053D" w:rsidP="00205DEE">
            <w:pPr>
              <w:jc w:val="center"/>
              <w:rPr>
                <w:color w:val="000000"/>
              </w:rPr>
            </w:pPr>
            <w:r w:rsidRPr="00C649FA">
              <w:rPr>
                <w:color w:val="000000"/>
              </w:rPr>
              <w:t>0</w:t>
            </w:r>
            <w:r w:rsidRPr="00C649FA">
              <w:rPr>
                <w:color w:val="000000"/>
              </w:rPr>
              <w:br/>
              <w:t>(0.0%)</w:t>
            </w:r>
          </w:p>
        </w:tc>
      </w:tr>
      <w:tr w:rsidR="003A053D" w:rsidRPr="001E3656" w14:paraId="427680CC" w14:textId="77777777" w:rsidTr="000650FE">
        <w:trPr>
          <w:cantSplit/>
          <w:trHeight w:val="580"/>
        </w:trPr>
        <w:tc>
          <w:tcPr>
            <w:tcW w:w="2425" w:type="dxa"/>
            <w:vAlign w:val="bottom"/>
            <w:hideMark/>
          </w:tcPr>
          <w:p w14:paraId="6CC656C1" w14:textId="77777777" w:rsidR="003A053D" w:rsidRPr="001E3656" w:rsidRDefault="003A053D" w:rsidP="00205DEE">
            <w:pPr>
              <w:rPr>
                <w:color w:val="000000"/>
              </w:rPr>
            </w:pPr>
            <w:r w:rsidRPr="001E3656">
              <w:rPr>
                <w:color w:val="000000"/>
              </w:rPr>
              <w:t>Homeless</w:t>
            </w:r>
          </w:p>
        </w:tc>
        <w:tc>
          <w:tcPr>
            <w:tcW w:w="905" w:type="dxa"/>
            <w:vAlign w:val="bottom"/>
          </w:tcPr>
          <w:p w14:paraId="0FFB0BAC" w14:textId="77777777" w:rsidR="003A053D" w:rsidRPr="001E3656" w:rsidRDefault="003A053D" w:rsidP="00205DEE">
            <w:pPr>
              <w:jc w:val="center"/>
              <w:rPr>
                <w:color w:val="000000"/>
              </w:rPr>
            </w:pPr>
            <w:r w:rsidRPr="00C649FA">
              <w:rPr>
                <w:color w:val="000000"/>
              </w:rPr>
              <w:t>314</w:t>
            </w:r>
          </w:p>
        </w:tc>
        <w:tc>
          <w:tcPr>
            <w:tcW w:w="1116" w:type="dxa"/>
            <w:vAlign w:val="bottom"/>
          </w:tcPr>
          <w:p w14:paraId="2CFB8C25" w14:textId="77777777" w:rsidR="003A053D" w:rsidRPr="00C649FA" w:rsidRDefault="003A053D" w:rsidP="00205DEE">
            <w:pPr>
              <w:jc w:val="center"/>
              <w:rPr>
                <w:color w:val="000000"/>
              </w:rPr>
            </w:pPr>
            <w:r w:rsidRPr="00C649FA">
              <w:rPr>
                <w:color w:val="000000"/>
              </w:rPr>
              <w:t>56</w:t>
            </w:r>
            <w:r w:rsidRPr="00C649FA">
              <w:rPr>
                <w:color w:val="000000"/>
              </w:rPr>
              <w:br/>
              <w:t>(2.9%)</w:t>
            </w:r>
          </w:p>
        </w:tc>
        <w:tc>
          <w:tcPr>
            <w:tcW w:w="1116" w:type="dxa"/>
            <w:vAlign w:val="bottom"/>
          </w:tcPr>
          <w:p w14:paraId="493C25EE" w14:textId="77777777" w:rsidR="003A053D" w:rsidRPr="00C649FA" w:rsidRDefault="003A053D" w:rsidP="00205DEE">
            <w:pPr>
              <w:jc w:val="center"/>
              <w:rPr>
                <w:color w:val="000000"/>
              </w:rPr>
            </w:pPr>
            <w:r w:rsidRPr="00C649FA">
              <w:rPr>
                <w:color w:val="000000"/>
              </w:rPr>
              <w:t>104</w:t>
            </w:r>
            <w:r w:rsidRPr="00C649FA">
              <w:rPr>
                <w:color w:val="000000"/>
              </w:rPr>
              <w:br/>
              <w:t>(5.4%)</w:t>
            </w:r>
          </w:p>
        </w:tc>
        <w:tc>
          <w:tcPr>
            <w:tcW w:w="1116" w:type="dxa"/>
            <w:vAlign w:val="bottom"/>
          </w:tcPr>
          <w:p w14:paraId="23880809" w14:textId="77777777" w:rsidR="003A053D" w:rsidRPr="00C649FA" w:rsidRDefault="003A053D" w:rsidP="00205DEE">
            <w:pPr>
              <w:jc w:val="center"/>
              <w:rPr>
                <w:color w:val="000000"/>
              </w:rPr>
            </w:pPr>
            <w:r w:rsidRPr="00C649FA">
              <w:rPr>
                <w:color w:val="000000"/>
              </w:rPr>
              <w:t>63</w:t>
            </w:r>
            <w:r w:rsidRPr="00C649FA">
              <w:rPr>
                <w:color w:val="000000"/>
              </w:rPr>
              <w:br/>
              <w:t>(3.3%)</w:t>
            </w:r>
          </w:p>
        </w:tc>
        <w:tc>
          <w:tcPr>
            <w:tcW w:w="1116" w:type="dxa"/>
            <w:vAlign w:val="bottom"/>
          </w:tcPr>
          <w:p w14:paraId="34A8FC50" w14:textId="77777777" w:rsidR="003A053D" w:rsidRPr="00C649FA" w:rsidRDefault="003A053D" w:rsidP="00205DEE">
            <w:pPr>
              <w:jc w:val="center"/>
              <w:rPr>
                <w:color w:val="000000"/>
              </w:rPr>
            </w:pPr>
            <w:r w:rsidRPr="00C649FA">
              <w:rPr>
                <w:color w:val="000000"/>
              </w:rPr>
              <w:t>85</w:t>
            </w:r>
            <w:r w:rsidRPr="00C649FA">
              <w:rPr>
                <w:color w:val="000000"/>
              </w:rPr>
              <w:br/>
              <w:t>(4.4%)</w:t>
            </w:r>
          </w:p>
        </w:tc>
        <w:tc>
          <w:tcPr>
            <w:tcW w:w="1116" w:type="dxa"/>
            <w:vAlign w:val="bottom"/>
          </w:tcPr>
          <w:p w14:paraId="51E467FF" w14:textId="77777777" w:rsidR="003A053D" w:rsidRPr="00C649FA" w:rsidRDefault="003A053D" w:rsidP="00205DEE">
            <w:pPr>
              <w:jc w:val="center"/>
              <w:rPr>
                <w:color w:val="000000"/>
              </w:rPr>
            </w:pPr>
            <w:r w:rsidRPr="00C649FA">
              <w:rPr>
                <w:color w:val="000000"/>
              </w:rPr>
              <w:t>6</w:t>
            </w:r>
            <w:r w:rsidRPr="00C649FA">
              <w:rPr>
                <w:color w:val="000000"/>
              </w:rPr>
              <w:br/>
              <w:t>(0.3%)</w:t>
            </w:r>
          </w:p>
        </w:tc>
      </w:tr>
      <w:tr w:rsidR="003A053D" w:rsidRPr="001E3656" w14:paraId="29A2E403" w14:textId="77777777" w:rsidTr="000650FE">
        <w:trPr>
          <w:cantSplit/>
          <w:trHeight w:val="602"/>
        </w:trPr>
        <w:tc>
          <w:tcPr>
            <w:tcW w:w="2425" w:type="dxa"/>
            <w:vAlign w:val="bottom"/>
            <w:hideMark/>
          </w:tcPr>
          <w:p w14:paraId="5737DFCF" w14:textId="77777777" w:rsidR="003A053D" w:rsidRPr="001E3656" w:rsidRDefault="003A053D" w:rsidP="00205DEE">
            <w:pPr>
              <w:rPr>
                <w:color w:val="000000"/>
              </w:rPr>
            </w:pPr>
            <w:r w:rsidRPr="001E3656">
              <w:rPr>
                <w:color w:val="000000"/>
              </w:rPr>
              <w:t>Socioeconomically Disadvantaged</w:t>
            </w:r>
          </w:p>
        </w:tc>
        <w:tc>
          <w:tcPr>
            <w:tcW w:w="905" w:type="dxa"/>
            <w:vAlign w:val="bottom"/>
          </w:tcPr>
          <w:p w14:paraId="1591EFE7" w14:textId="77777777" w:rsidR="003A053D" w:rsidRPr="001E3656" w:rsidRDefault="003A053D" w:rsidP="00205DEE">
            <w:pPr>
              <w:jc w:val="center"/>
              <w:rPr>
                <w:color w:val="000000"/>
              </w:rPr>
            </w:pPr>
            <w:r w:rsidRPr="00C649FA">
              <w:rPr>
                <w:color w:val="000000"/>
              </w:rPr>
              <w:t>1,797</w:t>
            </w:r>
          </w:p>
        </w:tc>
        <w:tc>
          <w:tcPr>
            <w:tcW w:w="1116" w:type="dxa"/>
            <w:vAlign w:val="bottom"/>
          </w:tcPr>
          <w:p w14:paraId="1AAD3362" w14:textId="77777777" w:rsidR="003A053D" w:rsidRPr="00C649FA" w:rsidRDefault="003A053D" w:rsidP="00205DEE">
            <w:pPr>
              <w:jc w:val="center"/>
              <w:rPr>
                <w:color w:val="000000"/>
              </w:rPr>
            </w:pPr>
            <w:r w:rsidRPr="00C649FA">
              <w:rPr>
                <w:color w:val="000000"/>
              </w:rPr>
              <w:t>296</w:t>
            </w:r>
            <w:r w:rsidRPr="00C649FA">
              <w:rPr>
                <w:color w:val="000000"/>
              </w:rPr>
              <w:br/>
              <w:t>(15.4%)</w:t>
            </w:r>
          </w:p>
        </w:tc>
        <w:tc>
          <w:tcPr>
            <w:tcW w:w="1116" w:type="dxa"/>
            <w:vAlign w:val="bottom"/>
          </w:tcPr>
          <w:p w14:paraId="0198EE81" w14:textId="77777777" w:rsidR="003A053D" w:rsidRPr="00C649FA" w:rsidRDefault="003A053D" w:rsidP="00205DEE">
            <w:pPr>
              <w:jc w:val="center"/>
              <w:rPr>
                <w:color w:val="000000"/>
              </w:rPr>
            </w:pPr>
            <w:r w:rsidRPr="00C649FA">
              <w:rPr>
                <w:color w:val="000000"/>
              </w:rPr>
              <w:t>303</w:t>
            </w:r>
            <w:r w:rsidRPr="00C649FA">
              <w:rPr>
                <w:color w:val="000000"/>
              </w:rPr>
              <w:br/>
              <w:t>(15.8%)</w:t>
            </w:r>
          </w:p>
        </w:tc>
        <w:tc>
          <w:tcPr>
            <w:tcW w:w="1116" w:type="dxa"/>
            <w:vAlign w:val="bottom"/>
          </w:tcPr>
          <w:p w14:paraId="63026B4E" w14:textId="77777777" w:rsidR="003A053D" w:rsidRPr="00C649FA" w:rsidRDefault="003A053D" w:rsidP="00205DEE">
            <w:pPr>
              <w:jc w:val="center"/>
              <w:rPr>
                <w:color w:val="000000"/>
              </w:rPr>
            </w:pPr>
            <w:r w:rsidRPr="00C649FA">
              <w:rPr>
                <w:color w:val="000000"/>
              </w:rPr>
              <w:t>311</w:t>
            </w:r>
            <w:r w:rsidRPr="00C649FA">
              <w:rPr>
                <w:color w:val="000000"/>
              </w:rPr>
              <w:br/>
              <w:t>(16.2%)</w:t>
            </w:r>
          </w:p>
        </w:tc>
        <w:tc>
          <w:tcPr>
            <w:tcW w:w="1116" w:type="dxa"/>
            <w:vAlign w:val="bottom"/>
          </w:tcPr>
          <w:p w14:paraId="6EDB8220" w14:textId="77777777" w:rsidR="003A053D" w:rsidRPr="00C649FA" w:rsidRDefault="003A053D" w:rsidP="00205DEE">
            <w:pPr>
              <w:jc w:val="center"/>
              <w:rPr>
                <w:color w:val="000000"/>
              </w:rPr>
            </w:pPr>
            <w:r w:rsidRPr="00C649FA">
              <w:rPr>
                <w:color w:val="000000"/>
              </w:rPr>
              <w:t>603</w:t>
            </w:r>
            <w:r w:rsidRPr="00C649FA">
              <w:rPr>
                <w:color w:val="000000"/>
              </w:rPr>
              <w:br/>
              <w:t>(31.5%)</w:t>
            </w:r>
          </w:p>
        </w:tc>
        <w:tc>
          <w:tcPr>
            <w:tcW w:w="1116" w:type="dxa"/>
            <w:vAlign w:val="bottom"/>
          </w:tcPr>
          <w:p w14:paraId="761BF56A" w14:textId="77777777" w:rsidR="003A053D" w:rsidRPr="00C649FA" w:rsidRDefault="003A053D" w:rsidP="00205DEE">
            <w:pPr>
              <w:jc w:val="center"/>
              <w:rPr>
                <w:color w:val="000000"/>
              </w:rPr>
            </w:pPr>
            <w:r w:rsidRPr="00C649FA">
              <w:rPr>
                <w:color w:val="000000"/>
              </w:rPr>
              <w:t>284</w:t>
            </w:r>
            <w:r w:rsidRPr="00C649FA">
              <w:rPr>
                <w:color w:val="000000"/>
              </w:rPr>
              <w:br/>
              <w:t>(14.8%)</w:t>
            </w:r>
          </w:p>
        </w:tc>
      </w:tr>
      <w:tr w:rsidR="003A053D" w:rsidRPr="001E3656" w14:paraId="7507A55E" w14:textId="77777777" w:rsidTr="000650FE">
        <w:trPr>
          <w:cantSplit/>
          <w:trHeight w:val="620"/>
        </w:trPr>
        <w:tc>
          <w:tcPr>
            <w:tcW w:w="2425" w:type="dxa"/>
            <w:vAlign w:val="bottom"/>
            <w:hideMark/>
          </w:tcPr>
          <w:p w14:paraId="69120E58" w14:textId="77777777" w:rsidR="003A053D" w:rsidRPr="001E3656" w:rsidRDefault="003A053D" w:rsidP="00205DEE">
            <w:pPr>
              <w:rPr>
                <w:color w:val="000000"/>
              </w:rPr>
            </w:pPr>
            <w:r w:rsidRPr="001E3656">
              <w:rPr>
                <w:color w:val="000000"/>
              </w:rPr>
              <w:t>Students with Disabilities</w:t>
            </w:r>
          </w:p>
        </w:tc>
        <w:tc>
          <w:tcPr>
            <w:tcW w:w="905" w:type="dxa"/>
            <w:vAlign w:val="bottom"/>
          </w:tcPr>
          <w:p w14:paraId="74BD3C34" w14:textId="77777777" w:rsidR="003A053D" w:rsidRPr="001E3656" w:rsidRDefault="003A053D" w:rsidP="00205DEE">
            <w:pPr>
              <w:jc w:val="center"/>
              <w:rPr>
                <w:color w:val="000000"/>
              </w:rPr>
            </w:pPr>
            <w:r w:rsidRPr="00C649FA">
              <w:rPr>
                <w:color w:val="000000"/>
              </w:rPr>
              <w:t>806</w:t>
            </w:r>
          </w:p>
        </w:tc>
        <w:tc>
          <w:tcPr>
            <w:tcW w:w="1116" w:type="dxa"/>
            <w:vAlign w:val="bottom"/>
          </w:tcPr>
          <w:p w14:paraId="1ABB88DC" w14:textId="77777777" w:rsidR="003A053D" w:rsidRPr="00C649FA" w:rsidRDefault="003A053D" w:rsidP="00205DEE">
            <w:pPr>
              <w:jc w:val="center"/>
              <w:rPr>
                <w:color w:val="000000"/>
              </w:rPr>
            </w:pPr>
            <w:r w:rsidRPr="00C649FA">
              <w:rPr>
                <w:color w:val="000000"/>
              </w:rPr>
              <w:t>167</w:t>
            </w:r>
            <w:r w:rsidRPr="00C649FA">
              <w:rPr>
                <w:color w:val="000000"/>
              </w:rPr>
              <w:br/>
              <w:t>(8.7%)</w:t>
            </w:r>
          </w:p>
        </w:tc>
        <w:tc>
          <w:tcPr>
            <w:tcW w:w="1116" w:type="dxa"/>
            <w:vAlign w:val="bottom"/>
          </w:tcPr>
          <w:p w14:paraId="277E1E0A" w14:textId="77777777" w:rsidR="003A053D" w:rsidRPr="00C649FA" w:rsidRDefault="003A053D" w:rsidP="00205DEE">
            <w:pPr>
              <w:jc w:val="center"/>
              <w:rPr>
                <w:color w:val="000000"/>
              </w:rPr>
            </w:pPr>
            <w:r w:rsidRPr="00C649FA">
              <w:rPr>
                <w:color w:val="000000"/>
              </w:rPr>
              <w:t>245</w:t>
            </w:r>
            <w:r w:rsidRPr="00C649FA">
              <w:rPr>
                <w:color w:val="000000"/>
              </w:rPr>
              <w:br/>
              <w:t>(12.8%)</w:t>
            </w:r>
          </w:p>
        </w:tc>
        <w:tc>
          <w:tcPr>
            <w:tcW w:w="1116" w:type="dxa"/>
            <w:vAlign w:val="bottom"/>
          </w:tcPr>
          <w:p w14:paraId="2C532F5D" w14:textId="77777777" w:rsidR="003A053D" w:rsidRPr="00C649FA" w:rsidRDefault="003A053D" w:rsidP="00205DEE">
            <w:pPr>
              <w:jc w:val="center"/>
              <w:rPr>
                <w:color w:val="000000"/>
              </w:rPr>
            </w:pPr>
            <w:r w:rsidRPr="00C649FA">
              <w:rPr>
                <w:color w:val="000000"/>
              </w:rPr>
              <w:t>316</w:t>
            </w:r>
            <w:r w:rsidRPr="00C649FA">
              <w:rPr>
                <w:color w:val="000000"/>
              </w:rPr>
              <w:br/>
              <w:t>(16.5%)</w:t>
            </w:r>
          </w:p>
        </w:tc>
        <w:tc>
          <w:tcPr>
            <w:tcW w:w="1116" w:type="dxa"/>
            <w:vAlign w:val="bottom"/>
          </w:tcPr>
          <w:p w14:paraId="0E4CD270" w14:textId="77777777" w:rsidR="003A053D" w:rsidRPr="00C649FA" w:rsidRDefault="003A053D" w:rsidP="00205DEE">
            <w:pPr>
              <w:jc w:val="center"/>
              <w:rPr>
                <w:color w:val="000000"/>
              </w:rPr>
            </w:pPr>
            <w:r w:rsidRPr="00C649FA">
              <w:rPr>
                <w:color w:val="000000"/>
              </w:rPr>
              <w:t>73</w:t>
            </w:r>
            <w:r w:rsidRPr="00C649FA">
              <w:rPr>
                <w:color w:val="000000"/>
              </w:rPr>
              <w:br/>
              <w:t>(3.8%)</w:t>
            </w:r>
          </w:p>
        </w:tc>
        <w:tc>
          <w:tcPr>
            <w:tcW w:w="1116" w:type="dxa"/>
            <w:vAlign w:val="bottom"/>
          </w:tcPr>
          <w:p w14:paraId="3431C963" w14:textId="77777777" w:rsidR="003A053D" w:rsidRPr="00C649FA" w:rsidRDefault="003A053D" w:rsidP="00205DEE">
            <w:pPr>
              <w:jc w:val="center"/>
              <w:rPr>
                <w:color w:val="000000"/>
              </w:rPr>
            </w:pPr>
            <w:r w:rsidRPr="00C649FA">
              <w:rPr>
                <w:color w:val="000000"/>
              </w:rPr>
              <w:t>5</w:t>
            </w:r>
            <w:r w:rsidRPr="00C649FA">
              <w:rPr>
                <w:color w:val="000000"/>
              </w:rPr>
              <w:br/>
              <w:t>(0.3%)</w:t>
            </w:r>
          </w:p>
        </w:tc>
      </w:tr>
      <w:tr w:rsidR="003A053D" w:rsidRPr="001E3656" w14:paraId="3B4E5FA0" w14:textId="77777777" w:rsidTr="000650FE">
        <w:trPr>
          <w:cantSplit/>
          <w:trHeight w:val="620"/>
        </w:trPr>
        <w:tc>
          <w:tcPr>
            <w:tcW w:w="2425" w:type="dxa"/>
            <w:vAlign w:val="bottom"/>
          </w:tcPr>
          <w:p w14:paraId="415FEF26" w14:textId="77777777" w:rsidR="003A053D" w:rsidRPr="001E3656" w:rsidRDefault="003A053D" w:rsidP="00205DEE">
            <w:pPr>
              <w:rPr>
                <w:color w:val="000000"/>
              </w:rPr>
            </w:pPr>
            <w:r w:rsidRPr="00C649FA">
              <w:rPr>
                <w:color w:val="000000" w:themeColor="text1"/>
              </w:rPr>
              <w:t>Long-Term English Learners</w:t>
            </w:r>
          </w:p>
        </w:tc>
        <w:tc>
          <w:tcPr>
            <w:tcW w:w="905" w:type="dxa"/>
            <w:vAlign w:val="bottom"/>
          </w:tcPr>
          <w:p w14:paraId="18666324" w14:textId="77777777" w:rsidR="003A053D" w:rsidRPr="00C649FA" w:rsidRDefault="003A053D" w:rsidP="00205DEE">
            <w:pPr>
              <w:jc w:val="center"/>
              <w:rPr>
                <w:color w:val="000000"/>
              </w:rPr>
            </w:pPr>
            <w:r w:rsidRPr="00C649FA">
              <w:rPr>
                <w:color w:val="000000"/>
              </w:rPr>
              <w:t>566</w:t>
            </w:r>
          </w:p>
        </w:tc>
        <w:tc>
          <w:tcPr>
            <w:tcW w:w="1116" w:type="dxa"/>
            <w:vAlign w:val="bottom"/>
          </w:tcPr>
          <w:p w14:paraId="2AF629DB" w14:textId="77777777" w:rsidR="003A053D" w:rsidRPr="00C649FA" w:rsidRDefault="003A053D" w:rsidP="00205DEE">
            <w:pPr>
              <w:jc w:val="center"/>
              <w:rPr>
                <w:color w:val="000000"/>
              </w:rPr>
            </w:pPr>
            <w:r w:rsidRPr="00C649FA">
              <w:rPr>
                <w:color w:val="000000"/>
              </w:rPr>
              <w:t>92</w:t>
            </w:r>
            <w:r w:rsidRPr="00C649FA">
              <w:rPr>
                <w:color w:val="000000"/>
              </w:rPr>
              <w:br/>
              <w:t>(4.8%)</w:t>
            </w:r>
          </w:p>
        </w:tc>
        <w:tc>
          <w:tcPr>
            <w:tcW w:w="1116" w:type="dxa"/>
            <w:vAlign w:val="bottom"/>
          </w:tcPr>
          <w:p w14:paraId="40B07EDD" w14:textId="77777777" w:rsidR="003A053D" w:rsidRPr="00C649FA" w:rsidRDefault="003A053D" w:rsidP="00205DEE">
            <w:pPr>
              <w:jc w:val="center"/>
              <w:rPr>
                <w:color w:val="000000"/>
              </w:rPr>
            </w:pPr>
            <w:r w:rsidRPr="00C649FA">
              <w:rPr>
                <w:color w:val="000000"/>
              </w:rPr>
              <w:t>172</w:t>
            </w:r>
            <w:r w:rsidRPr="00C649FA">
              <w:rPr>
                <w:color w:val="000000"/>
              </w:rPr>
              <w:br/>
              <w:t>(9.0%)</w:t>
            </w:r>
          </w:p>
        </w:tc>
        <w:tc>
          <w:tcPr>
            <w:tcW w:w="1116" w:type="dxa"/>
            <w:vAlign w:val="bottom"/>
          </w:tcPr>
          <w:p w14:paraId="4DFFC8FD" w14:textId="77777777" w:rsidR="003A053D" w:rsidRPr="00C649FA" w:rsidRDefault="003A053D" w:rsidP="00205DEE">
            <w:pPr>
              <w:jc w:val="center"/>
              <w:rPr>
                <w:color w:val="000000"/>
              </w:rPr>
            </w:pPr>
            <w:r w:rsidRPr="00C649FA">
              <w:rPr>
                <w:color w:val="000000"/>
              </w:rPr>
              <w:t>187</w:t>
            </w:r>
            <w:r w:rsidRPr="00C649FA">
              <w:rPr>
                <w:color w:val="000000"/>
              </w:rPr>
              <w:br/>
              <w:t>(9.8%)</w:t>
            </w:r>
          </w:p>
        </w:tc>
        <w:tc>
          <w:tcPr>
            <w:tcW w:w="1116" w:type="dxa"/>
            <w:vAlign w:val="bottom"/>
          </w:tcPr>
          <w:p w14:paraId="68CE708B" w14:textId="77777777" w:rsidR="003A053D" w:rsidRPr="00C649FA" w:rsidRDefault="003A053D" w:rsidP="00205DEE">
            <w:pPr>
              <w:jc w:val="center"/>
              <w:rPr>
                <w:color w:val="000000"/>
              </w:rPr>
            </w:pPr>
            <w:r w:rsidRPr="00C649FA">
              <w:rPr>
                <w:color w:val="000000"/>
              </w:rPr>
              <w:t>103</w:t>
            </w:r>
            <w:r w:rsidRPr="00C649FA">
              <w:rPr>
                <w:color w:val="000000"/>
              </w:rPr>
              <w:br/>
              <w:t>(5.4%)</w:t>
            </w:r>
          </w:p>
        </w:tc>
        <w:tc>
          <w:tcPr>
            <w:tcW w:w="1116" w:type="dxa"/>
            <w:vAlign w:val="bottom"/>
          </w:tcPr>
          <w:p w14:paraId="52C06E25" w14:textId="77777777" w:rsidR="003A053D" w:rsidRPr="00C649FA" w:rsidRDefault="003A053D" w:rsidP="00205DEE">
            <w:pPr>
              <w:jc w:val="center"/>
              <w:rPr>
                <w:color w:val="000000"/>
              </w:rPr>
            </w:pPr>
            <w:r w:rsidRPr="00C649FA">
              <w:rPr>
                <w:color w:val="000000"/>
              </w:rPr>
              <w:t>12</w:t>
            </w:r>
            <w:r w:rsidRPr="00C649FA">
              <w:rPr>
                <w:color w:val="000000"/>
              </w:rPr>
              <w:br/>
              <w:t>(0.6%)</w:t>
            </w:r>
          </w:p>
        </w:tc>
      </w:tr>
    </w:tbl>
    <w:p w14:paraId="48B76354" w14:textId="77777777" w:rsidR="003A053D" w:rsidRPr="00EB0D0C" w:rsidRDefault="003A053D" w:rsidP="003A053D">
      <w:pPr>
        <w:pStyle w:val="paragraph"/>
        <w:spacing w:before="0" w:beforeAutospacing="0" w:after="240" w:afterAutospacing="0"/>
        <w:textAlignment w:val="baseline"/>
        <w:rPr>
          <w:rFonts w:ascii="Arial" w:hAnsi="Arial" w:cs="Arial"/>
        </w:rPr>
      </w:pPr>
      <w:r w:rsidRPr="00EB0D0C">
        <w:rPr>
          <w:rStyle w:val="normaltextrun"/>
          <w:rFonts w:ascii="Arial" w:hAnsi="Arial" w:cs="Arial"/>
        </w:rPr>
        <w:t xml:space="preserve">*Total = Number of </w:t>
      </w:r>
      <w:r w:rsidRPr="00EB0D0C">
        <w:rPr>
          <w:rStyle w:val="normaltextrun"/>
          <w:rFonts w:ascii="Arial" w:eastAsia="Arial" w:hAnsi="Arial" w:cs="Arial"/>
        </w:rPr>
        <w:t>schools</w:t>
      </w:r>
      <w:r w:rsidRPr="00EB0D0C">
        <w:rPr>
          <w:rStyle w:val="normaltextrun"/>
          <w:rFonts w:ascii="Arial" w:hAnsi="Arial" w:cs="Arial"/>
        </w:rPr>
        <w:t xml:space="preserve"> with 30 or more students at the </w:t>
      </w:r>
      <w:r w:rsidRPr="00EB0D0C">
        <w:rPr>
          <w:rStyle w:val="normaltextrun"/>
          <w:rFonts w:ascii="Arial" w:eastAsia="Arial" w:hAnsi="Arial" w:cs="Arial"/>
        </w:rPr>
        <w:t>school</w:t>
      </w:r>
      <w:r w:rsidRPr="00EB0D0C">
        <w:rPr>
          <w:rStyle w:val="normaltextrun"/>
          <w:rFonts w:ascii="Arial" w:hAnsi="Arial" w:cs="Arial"/>
        </w:rPr>
        <w:t xml:space="preserve"> level and student group level</w:t>
      </w:r>
      <w:r w:rsidRPr="00EB0D0C">
        <w:rPr>
          <w:rStyle w:val="normaltextrun"/>
          <w:rFonts w:ascii="Arial" w:eastAsia="Arial" w:hAnsi="Arial" w:cs="Arial"/>
        </w:rPr>
        <w:t>.</w:t>
      </w:r>
    </w:p>
    <w:p w14:paraId="11A76FC5" w14:textId="2C6B4F04" w:rsidR="003A053D" w:rsidRPr="001E3656" w:rsidRDefault="003A053D" w:rsidP="00141594">
      <w:pPr>
        <w:pStyle w:val="paragraph"/>
        <w:spacing w:before="0" w:beforeAutospacing="0" w:after="0" w:afterAutospacing="0"/>
        <w:textAlignment w:val="baseline"/>
      </w:pPr>
      <w:r w:rsidRPr="001E3656">
        <w:rPr>
          <w:rStyle w:val="normaltextrun"/>
          <w:rFonts w:ascii="Arial" w:hAnsi="Arial" w:cs="Arial"/>
        </w:rPr>
        <w:t xml:space="preserve">Note: For all percentages calculated above, the total number of </w:t>
      </w:r>
      <w:r w:rsidRPr="001E3656">
        <w:rPr>
          <w:rStyle w:val="normaltextrun"/>
          <w:rFonts w:ascii="Arial" w:eastAsia="Arial" w:hAnsi="Arial" w:cs="Arial"/>
        </w:rPr>
        <w:t>schools</w:t>
      </w:r>
      <w:r w:rsidRPr="001E3656">
        <w:rPr>
          <w:rStyle w:val="normaltextrun"/>
          <w:rFonts w:ascii="Arial" w:hAnsi="Arial" w:cs="Arial"/>
        </w:rPr>
        <w:t xml:space="preserve"> (</w:t>
      </w:r>
      <w:r w:rsidRPr="001E3656">
        <w:rPr>
          <w:rFonts w:ascii="Arial" w:hAnsi="Arial" w:cs="Arial"/>
          <w:b/>
          <w:color w:val="000000"/>
          <w:sz w:val="22"/>
          <w:szCs w:val="22"/>
        </w:rPr>
        <w:t>1,</w:t>
      </w:r>
      <w:r w:rsidRPr="001E3656">
        <w:rPr>
          <w:rFonts w:ascii="Arial" w:hAnsi="Arial" w:cs="Arial"/>
          <w:b/>
          <w:bCs/>
          <w:color w:val="000000"/>
          <w:sz w:val="22"/>
          <w:szCs w:val="22"/>
        </w:rPr>
        <w:t>916</w:t>
      </w:r>
      <w:r w:rsidRPr="001E3656">
        <w:rPr>
          <w:rStyle w:val="normaltextrun"/>
          <w:rFonts w:ascii="Arial" w:hAnsi="Arial" w:cs="Arial"/>
        </w:rPr>
        <w:t>) was used for the denominator.</w:t>
      </w:r>
    </w:p>
    <w:p w14:paraId="32190316" w14:textId="77777777" w:rsidR="0060444B" w:rsidRDefault="00141594">
      <w:pPr>
        <w:spacing w:after="160" w:line="259" w:lineRule="auto"/>
        <w:rPr>
          <w:highlight w:val="yellow"/>
        </w:rPr>
        <w:sectPr w:rsidR="0060444B" w:rsidSect="002D549D">
          <w:headerReference w:type="default" r:id="rId59"/>
          <w:pgSz w:w="12240" w:h="15840"/>
          <w:pgMar w:top="1440" w:right="1080" w:bottom="1440" w:left="1440" w:header="720" w:footer="720" w:gutter="0"/>
          <w:pgNumType w:start="1"/>
          <w:cols w:space="720"/>
          <w:docGrid w:linePitch="360"/>
        </w:sectPr>
      </w:pPr>
      <w:bookmarkStart w:id="22" w:name="_Toc149483617"/>
      <w:r>
        <w:rPr>
          <w:highlight w:val="yellow"/>
        </w:rPr>
        <w:br w:type="page"/>
      </w:r>
    </w:p>
    <w:p w14:paraId="506AFCFB" w14:textId="2AA3E38C" w:rsidR="003A053D" w:rsidRPr="0027073C" w:rsidRDefault="003A053D" w:rsidP="00FA2D7D">
      <w:pPr>
        <w:pStyle w:val="Heading5"/>
      </w:pPr>
      <w:bookmarkStart w:id="23" w:name="_Toc216087498"/>
      <w:bookmarkEnd w:id="22"/>
      <w:r w:rsidRPr="0027073C">
        <w:lastRenderedPageBreak/>
        <w:t xml:space="preserve">Table </w:t>
      </w:r>
      <w:r w:rsidR="0047455F">
        <w:t>9</w:t>
      </w:r>
      <w:r w:rsidRPr="0027073C">
        <w:t>: 2025 CCI School Colors by School Designation</w:t>
      </w:r>
      <w:bookmarkEnd w:id="23"/>
    </w:p>
    <w:tbl>
      <w:tblPr>
        <w:tblStyle w:val="GridTable3-Accent1"/>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9: 2025 CCI School Colors by School Designation"/>
      </w:tblPr>
      <w:tblGrid>
        <w:gridCol w:w="2340"/>
        <w:gridCol w:w="1057"/>
        <w:gridCol w:w="1057"/>
        <w:gridCol w:w="1057"/>
        <w:gridCol w:w="1057"/>
        <w:gridCol w:w="1057"/>
        <w:gridCol w:w="960"/>
      </w:tblGrid>
      <w:tr w:rsidR="003A053D" w:rsidRPr="001E3656" w14:paraId="5CAC98BD" w14:textId="77777777" w:rsidTr="00B41530">
        <w:trPr>
          <w:cnfStyle w:val="100000000000" w:firstRow="1" w:lastRow="0" w:firstColumn="0" w:lastColumn="0" w:oddVBand="0" w:evenVBand="0" w:oddHBand="0" w:evenHBand="0" w:firstRowFirstColumn="0" w:firstRowLastColumn="0" w:lastRowFirstColumn="0" w:lastRowLastColumn="0"/>
          <w:cantSplit/>
          <w:trHeight w:val="288"/>
          <w:tblHeader/>
        </w:trPr>
        <w:tc>
          <w:tcPr>
            <w:tcW w:w="2340" w:type="dxa"/>
            <w:tcBorders>
              <w:top w:val="none" w:sz="0" w:space="0" w:color="auto"/>
              <w:left w:val="none" w:sz="0" w:space="0" w:color="auto"/>
              <w:right w:val="none" w:sz="0" w:space="0" w:color="auto"/>
            </w:tcBorders>
            <w:hideMark/>
          </w:tcPr>
          <w:p w14:paraId="3377FA68" w14:textId="77777777" w:rsidR="003A053D" w:rsidRPr="000F10B8" w:rsidRDefault="003A053D" w:rsidP="00205DEE">
            <w:pPr>
              <w:rPr>
                <w:i/>
                <w:color w:val="000000"/>
              </w:rPr>
            </w:pPr>
            <w:r w:rsidRPr="000F10B8">
              <w:rPr>
                <w:color w:val="000000"/>
              </w:rPr>
              <w:t>School Designation</w:t>
            </w:r>
          </w:p>
        </w:tc>
        <w:tc>
          <w:tcPr>
            <w:tcW w:w="1057" w:type="dxa"/>
            <w:tcBorders>
              <w:top w:val="none" w:sz="0" w:space="0" w:color="auto"/>
              <w:left w:val="none" w:sz="0" w:space="0" w:color="auto"/>
              <w:right w:val="none" w:sz="0" w:space="0" w:color="auto"/>
            </w:tcBorders>
            <w:shd w:val="clear" w:color="000000" w:fill="A20000"/>
            <w:vAlign w:val="center"/>
            <w:hideMark/>
          </w:tcPr>
          <w:p w14:paraId="1CCE3DBA" w14:textId="77777777" w:rsidR="003A053D" w:rsidRPr="001E3656" w:rsidRDefault="003A053D" w:rsidP="00205DEE">
            <w:pPr>
              <w:jc w:val="center"/>
              <w:rPr>
                <w:color w:val="000000"/>
              </w:rPr>
            </w:pPr>
            <w:r w:rsidRPr="001E3656">
              <w:rPr>
                <w:color w:val="FFFFFF"/>
              </w:rPr>
              <w:t>Red</w:t>
            </w:r>
          </w:p>
        </w:tc>
        <w:tc>
          <w:tcPr>
            <w:tcW w:w="1057" w:type="dxa"/>
            <w:tcBorders>
              <w:top w:val="none" w:sz="0" w:space="0" w:color="auto"/>
              <w:left w:val="none" w:sz="0" w:space="0" w:color="auto"/>
              <w:right w:val="none" w:sz="0" w:space="0" w:color="auto"/>
            </w:tcBorders>
            <w:shd w:val="clear" w:color="000000" w:fill="FFA500"/>
            <w:vAlign w:val="center"/>
            <w:hideMark/>
          </w:tcPr>
          <w:p w14:paraId="2F22C929" w14:textId="77777777" w:rsidR="003A053D" w:rsidRPr="001E3656" w:rsidRDefault="003A053D" w:rsidP="00205DEE">
            <w:pPr>
              <w:jc w:val="center"/>
              <w:rPr>
                <w:color w:val="000000"/>
              </w:rPr>
            </w:pPr>
            <w:r w:rsidRPr="001E3656">
              <w:rPr>
                <w:color w:val="000000"/>
              </w:rPr>
              <w:t>Orange</w:t>
            </w:r>
          </w:p>
        </w:tc>
        <w:tc>
          <w:tcPr>
            <w:tcW w:w="1057" w:type="dxa"/>
            <w:tcBorders>
              <w:top w:val="none" w:sz="0" w:space="0" w:color="auto"/>
              <w:left w:val="none" w:sz="0" w:space="0" w:color="auto"/>
              <w:right w:val="none" w:sz="0" w:space="0" w:color="auto"/>
            </w:tcBorders>
            <w:shd w:val="clear" w:color="000000" w:fill="FFFF00"/>
            <w:vAlign w:val="center"/>
            <w:hideMark/>
          </w:tcPr>
          <w:p w14:paraId="648BF366" w14:textId="77777777" w:rsidR="003A053D" w:rsidRPr="001E3656" w:rsidRDefault="003A053D" w:rsidP="00205DEE">
            <w:pPr>
              <w:jc w:val="center"/>
              <w:rPr>
                <w:color w:val="000000"/>
              </w:rPr>
            </w:pPr>
            <w:r w:rsidRPr="001E3656">
              <w:rPr>
                <w:color w:val="000000"/>
              </w:rPr>
              <w:t>Yellow</w:t>
            </w:r>
          </w:p>
        </w:tc>
        <w:tc>
          <w:tcPr>
            <w:tcW w:w="1057" w:type="dxa"/>
            <w:tcBorders>
              <w:top w:val="none" w:sz="0" w:space="0" w:color="auto"/>
              <w:left w:val="none" w:sz="0" w:space="0" w:color="auto"/>
              <w:right w:val="none" w:sz="0" w:space="0" w:color="auto"/>
            </w:tcBorders>
            <w:shd w:val="clear" w:color="000000" w:fill="006500"/>
            <w:vAlign w:val="center"/>
            <w:hideMark/>
          </w:tcPr>
          <w:p w14:paraId="68057129" w14:textId="77777777" w:rsidR="003A053D" w:rsidRPr="001E3656" w:rsidRDefault="003A053D" w:rsidP="00205DEE">
            <w:pPr>
              <w:jc w:val="center"/>
              <w:rPr>
                <w:color w:val="000000"/>
              </w:rPr>
            </w:pPr>
            <w:r w:rsidRPr="001E3656">
              <w:rPr>
                <w:color w:val="FFFFFF"/>
              </w:rPr>
              <w:t>Green</w:t>
            </w:r>
          </w:p>
        </w:tc>
        <w:tc>
          <w:tcPr>
            <w:tcW w:w="1057" w:type="dxa"/>
            <w:tcBorders>
              <w:top w:val="none" w:sz="0" w:space="0" w:color="auto"/>
              <w:left w:val="none" w:sz="0" w:space="0" w:color="auto"/>
              <w:right w:val="none" w:sz="0" w:space="0" w:color="auto"/>
            </w:tcBorders>
            <w:shd w:val="clear" w:color="000000" w:fill="0000FF"/>
            <w:vAlign w:val="center"/>
            <w:hideMark/>
          </w:tcPr>
          <w:p w14:paraId="33D31B52" w14:textId="77777777" w:rsidR="003A053D" w:rsidRPr="001E3656" w:rsidRDefault="003A053D" w:rsidP="00205DEE">
            <w:pPr>
              <w:jc w:val="center"/>
              <w:rPr>
                <w:color w:val="000000"/>
              </w:rPr>
            </w:pPr>
            <w:r w:rsidRPr="001E3656">
              <w:rPr>
                <w:color w:val="FFFFFF"/>
              </w:rPr>
              <w:t>Blue</w:t>
            </w:r>
          </w:p>
        </w:tc>
        <w:tc>
          <w:tcPr>
            <w:tcW w:w="960" w:type="dxa"/>
            <w:tcBorders>
              <w:top w:val="none" w:sz="0" w:space="0" w:color="auto"/>
              <w:left w:val="none" w:sz="0" w:space="0" w:color="auto"/>
              <w:right w:val="none" w:sz="0" w:space="0" w:color="auto"/>
            </w:tcBorders>
            <w:shd w:val="clear" w:color="auto" w:fill="E7E6E6" w:themeFill="background2"/>
            <w:vAlign w:val="center"/>
            <w:hideMark/>
          </w:tcPr>
          <w:p w14:paraId="44CBE212" w14:textId="77777777" w:rsidR="003A053D" w:rsidRPr="001E3656" w:rsidRDefault="003A053D" w:rsidP="00205DEE">
            <w:pPr>
              <w:jc w:val="center"/>
              <w:rPr>
                <w:color w:val="000000"/>
              </w:rPr>
            </w:pPr>
            <w:r w:rsidRPr="001E3656">
              <w:rPr>
                <w:color w:val="000000"/>
              </w:rPr>
              <w:t>Total</w:t>
            </w:r>
          </w:p>
        </w:tc>
      </w:tr>
      <w:tr w:rsidR="003A053D" w:rsidRPr="001E3656" w14:paraId="27AEE03A" w14:textId="77777777" w:rsidTr="00B41530">
        <w:trPr>
          <w:cantSplit/>
          <w:trHeight w:val="576"/>
        </w:trPr>
        <w:tc>
          <w:tcPr>
            <w:tcW w:w="2340" w:type="dxa"/>
            <w:vAlign w:val="center"/>
            <w:hideMark/>
          </w:tcPr>
          <w:p w14:paraId="646C8072" w14:textId="77777777" w:rsidR="003A053D" w:rsidRPr="000F10B8" w:rsidRDefault="003A053D" w:rsidP="00205DEE">
            <w:pPr>
              <w:rPr>
                <w:i/>
                <w:color w:val="000000"/>
              </w:rPr>
            </w:pPr>
            <w:r w:rsidRPr="000F10B8">
              <w:rPr>
                <w:color w:val="000000"/>
              </w:rPr>
              <w:t>Non-Charter Schools</w:t>
            </w:r>
          </w:p>
        </w:tc>
        <w:tc>
          <w:tcPr>
            <w:tcW w:w="1057" w:type="dxa"/>
            <w:vAlign w:val="bottom"/>
          </w:tcPr>
          <w:p w14:paraId="318883EF" w14:textId="77777777" w:rsidR="003A053D" w:rsidRPr="001E3656" w:rsidRDefault="003A053D" w:rsidP="00205DEE">
            <w:pPr>
              <w:jc w:val="center"/>
              <w:rPr>
                <w:color w:val="000000"/>
              </w:rPr>
            </w:pPr>
            <w:r w:rsidRPr="001F5B11">
              <w:rPr>
                <w:color w:val="000000"/>
              </w:rPr>
              <w:t>238</w:t>
            </w:r>
            <w:r w:rsidRPr="001F5B11">
              <w:rPr>
                <w:color w:val="000000"/>
              </w:rPr>
              <w:br/>
              <w:t>(16.2%)</w:t>
            </w:r>
          </w:p>
        </w:tc>
        <w:tc>
          <w:tcPr>
            <w:tcW w:w="1057" w:type="dxa"/>
            <w:vAlign w:val="bottom"/>
          </w:tcPr>
          <w:p w14:paraId="5D3A3E97" w14:textId="77777777" w:rsidR="003A053D" w:rsidRPr="001E3656" w:rsidRDefault="003A053D" w:rsidP="00205DEE">
            <w:pPr>
              <w:jc w:val="center"/>
              <w:rPr>
                <w:color w:val="000000"/>
              </w:rPr>
            </w:pPr>
            <w:r w:rsidRPr="001F5B11">
              <w:rPr>
                <w:color w:val="000000"/>
              </w:rPr>
              <w:t>217</w:t>
            </w:r>
            <w:r w:rsidRPr="001F5B11">
              <w:rPr>
                <w:color w:val="000000"/>
              </w:rPr>
              <w:br/>
              <w:t>(14.8%)</w:t>
            </w:r>
          </w:p>
        </w:tc>
        <w:tc>
          <w:tcPr>
            <w:tcW w:w="1057" w:type="dxa"/>
            <w:vAlign w:val="bottom"/>
          </w:tcPr>
          <w:p w14:paraId="1E800DBC" w14:textId="77777777" w:rsidR="003A053D" w:rsidRPr="001E3656" w:rsidRDefault="003A053D" w:rsidP="00205DEE">
            <w:pPr>
              <w:jc w:val="center"/>
              <w:rPr>
                <w:color w:val="000000"/>
              </w:rPr>
            </w:pPr>
            <w:r w:rsidRPr="001F5B11">
              <w:rPr>
                <w:color w:val="000000"/>
              </w:rPr>
              <w:t>226</w:t>
            </w:r>
            <w:r w:rsidRPr="001F5B11">
              <w:rPr>
                <w:color w:val="000000"/>
              </w:rPr>
              <w:br/>
              <w:t>(15.4%)</w:t>
            </w:r>
          </w:p>
        </w:tc>
        <w:tc>
          <w:tcPr>
            <w:tcW w:w="1057" w:type="dxa"/>
            <w:vAlign w:val="bottom"/>
          </w:tcPr>
          <w:p w14:paraId="319BA7D6" w14:textId="77777777" w:rsidR="003A053D" w:rsidRPr="001E3656" w:rsidRDefault="003A053D" w:rsidP="00205DEE">
            <w:pPr>
              <w:jc w:val="center"/>
              <w:rPr>
                <w:color w:val="000000"/>
              </w:rPr>
            </w:pPr>
            <w:r w:rsidRPr="001F5B11">
              <w:rPr>
                <w:color w:val="000000"/>
              </w:rPr>
              <w:t>499</w:t>
            </w:r>
            <w:r w:rsidRPr="001F5B11">
              <w:rPr>
                <w:color w:val="000000"/>
              </w:rPr>
              <w:br/>
              <w:t>(34</w:t>
            </w:r>
            <w:r>
              <w:rPr>
                <w:color w:val="000000"/>
              </w:rPr>
              <w:t>.0</w:t>
            </w:r>
            <w:r w:rsidRPr="001F5B11">
              <w:rPr>
                <w:color w:val="000000"/>
              </w:rPr>
              <w:t>%)</w:t>
            </w:r>
          </w:p>
        </w:tc>
        <w:tc>
          <w:tcPr>
            <w:tcW w:w="1057" w:type="dxa"/>
            <w:vAlign w:val="bottom"/>
          </w:tcPr>
          <w:p w14:paraId="3B827B9C" w14:textId="77777777" w:rsidR="003A053D" w:rsidRPr="001E3656" w:rsidRDefault="003A053D" w:rsidP="00205DEE">
            <w:pPr>
              <w:jc w:val="center"/>
              <w:rPr>
                <w:color w:val="000000"/>
              </w:rPr>
            </w:pPr>
            <w:r w:rsidRPr="001F5B11">
              <w:rPr>
                <w:color w:val="000000"/>
              </w:rPr>
              <w:t>287</w:t>
            </w:r>
            <w:r w:rsidRPr="001F5B11">
              <w:rPr>
                <w:color w:val="000000"/>
              </w:rPr>
              <w:br/>
              <w:t>(19.6%)</w:t>
            </w:r>
          </w:p>
        </w:tc>
        <w:tc>
          <w:tcPr>
            <w:tcW w:w="960" w:type="dxa"/>
            <w:noWrap/>
            <w:vAlign w:val="bottom"/>
          </w:tcPr>
          <w:p w14:paraId="17CCD25C" w14:textId="77777777" w:rsidR="003A053D" w:rsidRPr="001E3656" w:rsidRDefault="003A053D" w:rsidP="00205DEE">
            <w:pPr>
              <w:jc w:val="center"/>
              <w:rPr>
                <w:b/>
                <w:color w:val="000000"/>
              </w:rPr>
            </w:pPr>
            <w:r w:rsidRPr="001F5B11">
              <w:rPr>
                <w:color w:val="000000"/>
              </w:rPr>
              <w:t>1,467</w:t>
            </w:r>
          </w:p>
        </w:tc>
      </w:tr>
      <w:tr w:rsidR="003A053D" w:rsidRPr="001E3656" w14:paraId="3C11FF89" w14:textId="77777777" w:rsidTr="00B41530">
        <w:trPr>
          <w:cantSplit/>
          <w:trHeight w:val="576"/>
        </w:trPr>
        <w:tc>
          <w:tcPr>
            <w:tcW w:w="2340" w:type="dxa"/>
            <w:vAlign w:val="center"/>
            <w:hideMark/>
          </w:tcPr>
          <w:p w14:paraId="7ADCCB83" w14:textId="77777777" w:rsidR="003A053D" w:rsidRPr="000F10B8" w:rsidRDefault="003A053D" w:rsidP="00205DEE">
            <w:pPr>
              <w:rPr>
                <w:i/>
                <w:color w:val="000000"/>
              </w:rPr>
            </w:pPr>
            <w:r w:rsidRPr="000F10B8">
              <w:rPr>
                <w:color w:val="000000"/>
              </w:rPr>
              <w:t xml:space="preserve">Charter Schools </w:t>
            </w:r>
          </w:p>
        </w:tc>
        <w:tc>
          <w:tcPr>
            <w:tcW w:w="1057" w:type="dxa"/>
            <w:vAlign w:val="bottom"/>
          </w:tcPr>
          <w:p w14:paraId="03785482" w14:textId="77777777" w:rsidR="003A053D" w:rsidRPr="001E3656" w:rsidRDefault="003A053D" w:rsidP="00205DEE">
            <w:pPr>
              <w:jc w:val="center"/>
              <w:rPr>
                <w:color w:val="000000"/>
              </w:rPr>
            </w:pPr>
            <w:r w:rsidRPr="001F5B11">
              <w:rPr>
                <w:color w:val="000000"/>
              </w:rPr>
              <w:t>60</w:t>
            </w:r>
            <w:r w:rsidRPr="001F5B11">
              <w:rPr>
                <w:color w:val="000000"/>
              </w:rPr>
              <w:br/>
              <w:t>(13.4%)</w:t>
            </w:r>
          </w:p>
        </w:tc>
        <w:tc>
          <w:tcPr>
            <w:tcW w:w="1057" w:type="dxa"/>
            <w:vAlign w:val="bottom"/>
          </w:tcPr>
          <w:p w14:paraId="3A4EB2B4" w14:textId="77777777" w:rsidR="003A053D" w:rsidRPr="001E3656" w:rsidRDefault="003A053D" w:rsidP="00205DEE">
            <w:pPr>
              <w:jc w:val="center"/>
              <w:rPr>
                <w:color w:val="000000"/>
              </w:rPr>
            </w:pPr>
            <w:r w:rsidRPr="001F5B11">
              <w:rPr>
                <w:color w:val="000000"/>
              </w:rPr>
              <w:t>87</w:t>
            </w:r>
            <w:r w:rsidRPr="001F5B11">
              <w:rPr>
                <w:color w:val="000000"/>
              </w:rPr>
              <w:br/>
              <w:t>(19.4%)</w:t>
            </w:r>
          </w:p>
        </w:tc>
        <w:tc>
          <w:tcPr>
            <w:tcW w:w="1057" w:type="dxa"/>
            <w:vAlign w:val="bottom"/>
          </w:tcPr>
          <w:p w14:paraId="782A750F" w14:textId="77777777" w:rsidR="003A053D" w:rsidRPr="001E3656" w:rsidRDefault="003A053D" w:rsidP="00205DEE">
            <w:pPr>
              <w:jc w:val="center"/>
              <w:rPr>
                <w:color w:val="000000"/>
              </w:rPr>
            </w:pPr>
            <w:r w:rsidRPr="001F5B11">
              <w:rPr>
                <w:color w:val="000000"/>
              </w:rPr>
              <w:t>84</w:t>
            </w:r>
            <w:r w:rsidRPr="001F5B11">
              <w:rPr>
                <w:color w:val="000000"/>
              </w:rPr>
              <w:br/>
              <w:t>(18.7%)</w:t>
            </w:r>
          </w:p>
        </w:tc>
        <w:tc>
          <w:tcPr>
            <w:tcW w:w="1057" w:type="dxa"/>
            <w:vAlign w:val="bottom"/>
          </w:tcPr>
          <w:p w14:paraId="0FD9C035" w14:textId="77777777" w:rsidR="003A053D" w:rsidRPr="001E3656" w:rsidRDefault="003A053D" w:rsidP="00205DEE">
            <w:pPr>
              <w:jc w:val="center"/>
              <w:rPr>
                <w:color w:val="000000"/>
              </w:rPr>
            </w:pPr>
            <w:r w:rsidRPr="001F5B11">
              <w:rPr>
                <w:color w:val="000000"/>
              </w:rPr>
              <w:t>101</w:t>
            </w:r>
            <w:r w:rsidRPr="001F5B11">
              <w:rPr>
                <w:color w:val="000000"/>
              </w:rPr>
              <w:br/>
              <w:t>(22.5%)</w:t>
            </w:r>
          </w:p>
        </w:tc>
        <w:tc>
          <w:tcPr>
            <w:tcW w:w="1057" w:type="dxa"/>
            <w:vAlign w:val="bottom"/>
          </w:tcPr>
          <w:p w14:paraId="2FAF5931" w14:textId="77777777" w:rsidR="003A053D" w:rsidRPr="001E3656" w:rsidRDefault="003A053D" w:rsidP="00205DEE">
            <w:pPr>
              <w:jc w:val="center"/>
              <w:rPr>
                <w:color w:val="000000"/>
              </w:rPr>
            </w:pPr>
            <w:r w:rsidRPr="001F5B11">
              <w:rPr>
                <w:color w:val="000000"/>
              </w:rPr>
              <w:t>117</w:t>
            </w:r>
            <w:r w:rsidRPr="001F5B11">
              <w:rPr>
                <w:color w:val="000000"/>
              </w:rPr>
              <w:br/>
              <w:t>(26.1%)</w:t>
            </w:r>
          </w:p>
        </w:tc>
        <w:tc>
          <w:tcPr>
            <w:tcW w:w="960" w:type="dxa"/>
            <w:noWrap/>
            <w:vAlign w:val="bottom"/>
          </w:tcPr>
          <w:p w14:paraId="74FD7F85" w14:textId="77777777" w:rsidR="003A053D" w:rsidRPr="001E3656" w:rsidRDefault="003A053D" w:rsidP="00205DEE">
            <w:pPr>
              <w:jc w:val="center"/>
              <w:rPr>
                <w:b/>
                <w:color w:val="000000"/>
              </w:rPr>
            </w:pPr>
            <w:r w:rsidRPr="001F5B11">
              <w:rPr>
                <w:color w:val="000000"/>
              </w:rPr>
              <w:t>449</w:t>
            </w:r>
          </w:p>
        </w:tc>
      </w:tr>
      <w:tr w:rsidR="003A053D" w:rsidRPr="001E3656" w14:paraId="1A653E84" w14:textId="77777777" w:rsidTr="00B41530">
        <w:trPr>
          <w:cantSplit/>
          <w:trHeight w:val="576"/>
        </w:trPr>
        <w:tc>
          <w:tcPr>
            <w:tcW w:w="2340" w:type="dxa"/>
            <w:vAlign w:val="center"/>
            <w:hideMark/>
          </w:tcPr>
          <w:p w14:paraId="19850C1B" w14:textId="77777777" w:rsidR="003A053D" w:rsidRPr="000F10B8" w:rsidRDefault="003A053D" w:rsidP="00205DEE">
            <w:pPr>
              <w:rPr>
                <w:i/>
                <w:color w:val="000000"/>
              </w:rPr>
            </w:pPr>
            <w:r w:rsidRPr="000F10B8">
              <w:rPr>
                <w:color w:val="000000"/>
              </w:rPr>
              <w:t>Non-DASS Schools</w:t>
            </w:r>
          </w:p>
        </w:tc>
        <w:tc>
          <w:tcPr>
            <w:tcW w:w="1057" w:type="dxa"/>
            <w:vAlign w:val="bottom"/>
          </w:tcPr>
          <w:p w14:paraId="202E196A" w14:textId="77777777" w:rsidR="003A053D" w:rsidRPr="001E3656" w:rsidRDefault="003A053D" w:rsidP="00205DEE">
            <w:pPr>
              <w:jc w:val="center"/>
              <w:rPr>
                <w:color w:val="000000"/>
              </w:rPr>
            </w:pPr>
            <w:r w:rsidRPr="001F5B11">
              <w:rPr>
                <w:color w:val="000000"/>
              </w:rPr>
              <w:t>38</w:t>
            </w:r>
            <w:r w:rsidRPr="001F5B11">
              <w:rPr>
                <w:color w:val="000000"/>
              </w:rPr>
              <w:br/>
              <w:t>(2.6%)</w:t>
            </w:r>
          </w:p>
        </w:tc>
        <w:tc>
          <w:tcPr>
            <w:tcW w:w="1057" w:type="dxa"/>
            <w:vAlign w:val="bottom"/>
          </w:tcPr>
          <w:p w14:paraId="2391B46D" w14:textId="77777777" w:rsidR="003A053D" w:rsidRPr="001E3656" w:rsidRDefault="003A053D" w:rsidP="00205DEE">
            <w:pPr>
              <w:jc w:val="center"/>
              <w:rPr>
                <w:color w:val="000000"/>
              </w:rPr>
            </w:pPr>
            <w:r w:rsidRPr="001F5B11">
              <w:rPr>
                <w:color w:val="000000"/>
              </w:rPr>
              <w:t>199</w:t>
            </w:r>
            <w:r w:rsidRPr="001F5B11">
              <w:rPr>
                <w:color w:val="000000"/>
              </w:rPr>
              <w:br/>
              <w:t>(13.4%)</w:t>
            </w:r>
          </w:p>
        </w:tc>
        <w:tc>
          <w:tcPr>
            <w:tcW w:w="1057" w:type="dxa"/>
            <w:vAlign w:val="bottom"/>
          </w:tcPr>
          <w:p w14:paraId="27C386ED" w14:textId="77777777" w:rsidR="003A053D" w:rsidRPr="001E3656" w:rsidRDefault="003A053D" w:rsidP="00205DEE">
            <w:pPr>
              <w:jc w:val="center"/>
              <w:rPr>
                <w:color w:val="000000"/>
              </w:rPr>
            </w:pPr>
            <w:r w:rsidRPr="001F5B11">
              <w:rPr>
                <w:color w:val="000000"/>
              </w:rPr>
              <w:t>248</w:t>
            </w:r>
            <w:r w:rsidRPr="001F5B11">
              <w:rPr>
                <w:color w:val="000000"/>
              </w:rPr>
              <w:br/>
              <w:t>(16.7%)</w:t>
            </w:r>
          </w:p>
        </w:tc>
        <w:tc>
          <w:tcPr>
            <w:tcW w:w="1057" w:type="dxa"/>
            <w:vAlign w:val="bottom"/>
          </w:tcPr>
          <w:p w14:paraId="131BF6F6" w14:textId="77777777" w:rsidR="003A053D" w:rsidRPr="001E3656" w:rsidRDefault="003A053D" w:rsidP="00205DEE">
            <w:pPr>
              <w:jc w:val="center"/>
              <w:rPr>
                <w:color w:val="000000"/>
              </w:rPr>
            </w:pPr>
            <w:r w:rsidRPr="001F5B11">
              <w:rPr>
                <w:color w:val="000000"/>
              </w:rPr>
              <w:t>597</w:t>
            </w:r>
            <w:r w:rsidRPr="001F5B11">
              <w:rPr>
                <w:color w:val="000000"/>
              </w:rPr>
              <w:br/>
              <w:t>(40.3%)</w:t>
            </w:r>
          </w:p>
        </w:tc>
        <w:tc>
          <w:tcPr>
            <w:tcW w:w="1057" w:type="dxa"/>
            <w:vAlign w:val="bottom"/>
          </w:tcPr>
          <w:p w14:paraId="32DDEC12" w14:textId="77777777" w:rsidR="003A053D" w:rsidRPr="001E3656" w:rsidRDefault="003A053D" w:rsidP="00205DEE">
            <w:pPr>
              <w:jc w:val="center"/>
              <w:rPr>
                <w:color w:val="000000"/>
              </w:rPr>
            </w:pPr>
            <w:r w:rsidRPr="001F5B11">
              <w:rPr>
                <w:color w:val="000000"/>
              </w:rPr>
              <w:t>399</w:t>
            </w:r>
            <w:r w:rsidRPr="001F5B11">
              <w:rPr>
                <w:color w:val="000000"/>
              </w:rPr>
              <w:br/>
              <w:t>(26.9%)</w:t>
            </w:r>
          </w:p>
        </w:tc>
        <w:tc>
          <w:tcPr>
            <w:tcW w:w="960" w:type="dxa"/>
            <w:noWrap/>
            <w:vAlign w:val="bottom"/>
          </w:tcPr>
          <w:p w14:paraId="06B64AEE" w14:textId="77777777" w:rsidR="003A053D" w:rsidRPr="001E3656" w:rsidRDefault="003A053D" w:rsidP="00205DEE">
            <w:pPr>
              <w:jc w:val="center"/>
              <w:rPr>
                <w:b/>
                <w:color w:val="000000"/>
              </w:rPr>
            </w:pPr>
            <w:r w:rsidRPr="001F5B11">
              <w:rPr>
                <w:color w:val="000000"/>
              </w:rPr>
              <w:t>1,481</w:t>
            </w:r>
          </w:p>
        </w:tc>
      </w:tr>
      <w:tr w:rsidR="003A053D" w:rsidRPr="001E3656" w14:paraId="71356C33" w14:textId="77777777" w:rsidTr="00B41530">
        <w:trPr>
          <w:cantSplit/>
          <w:trHeight w:val="576"/>
        </w:trPr>
        <w:tc>
          <w:tcPr>
            <w:tcW w:w="2340" w:type="dxa"/>
            <w:vAlign w:val="center"/>
            <w:hideMark/>
          </w:tcPr>
          <w:p w14:paraId="391C0E51" w14:textId="77777777" w:rsidR="003A053D" w:rsidRPr="000F10B8" w:rsidRDefault="003A053D" w:rsidP="00205DEE">
            <w:pPr>
              <w:rPr>
                <w:i/>
                <w:color w:val="000000"/>
              </w:rPr>
            </w:pPr>
            <w:r w:rsidRPr="000F10B8">
              <w:rPr>
                <w:color w:val="000000"/>
              </w:rPr>
              <w:t>DASS Schools</w:t>
            </w:r>
          </w:p>
        </w:tc>
        <w:tc>
          <w:tcPr>
            <w:tcW w:w="1057" w:type="dxa"/>
            <w:vAlign w:val="bottom"/>
          </w:tcPr>
          <w:p w14:paraId="045E1465" w14:textId="77777777" w:rsidR="003A053D" w:rsidRPr="001E3656" w:rsidRDefault="003A053D" w:rsidP="00205DEE">
            <w:pPr>
              <w:jc w:val="center"/>
              <w:rPr>
                <w:color w:val="000000"/>
              </w:rPr>
            </w:pPr>
            <w:r w:rsidRPr="001F5B11">
              <w:rPr>
                <w:color w:val="000000"/>
              </w:rPr>
              <w:t>260</w:t>
            </w:r>
            <w:r w:rsidRPr="001F5B11">
              <w:rPr>
                <w:color w:val="000000"/>
              </w:rPr>
              <w:br/>
              <w:t>(59.8%)</w:t>
            </w:r>
          </w:p>
        </w:tc>
        <w:tc>
          <w:tcPr>
            <w:tcW w:w="1057" w:type="dxa"/>
            <w:vAlign w:val="bottom"/>
          </w:tcPr>
          <w:p w14:paraId="28410770" w14:textId="77777777" w:rsidR="003A053D" w:rsidRPr="001E3656" w:rsidRDefault="003A053D" w:rsidP="00205DEE">
            <w:pPr>
              <w:jc w:val="center"/>
              <w:rPr>
                <w:color w:val="000000"/>
              </w:rPr>
            </w:pPr>
            <w:r w:rsidRPr="001F5B11">
              <w:rPr>
                <w:color w:val="000000"/>
              </w:rPr>
              <w:t>105</w:t>
            </w:r>
            <w:r w:rsidRPr="001F5B11">
              <w:rPr>
                <w:color w:val="000000"/>
              </w:rPr>
              <w:br/>
              <w:t>(24.1%)</w:t>
            </w:r>
          </w:p>
        </w:tc>
        <w:tc>
          <w:tcPr>
            <w:tcW w:w="1057" w:type="dxa"/>
            <w:vAlign w:val="bottom"/>
          </w:tcPr>
          <w:p w14:paraId="61C7159F" w14:textId="77777777" w:rsidR="003A053D" w:rsidRPr="001E3656" w:rsidRDefault="003A053D" w:rsidP="00205DEE">
            <w:pPr>
              <w:jc w:val="center"/>
              <w:rPr>
                <w:color w:val="000000"/>
              </w:rPr>
            </w:pPr>
            <w:r w:rsidRPr="001F5B11">
              <w:rPr>
                <w:color w:val="000000"/>
              </w:rPr>
              <w:t>62</w:t>
            </w:r>
            <w:r w:rsidRPr="001F5B11">
              <w:rPr>
                <w:color w:val="000000"/>
              </w:rPr>
              <w:br/>
              <w:t>(14.3%)</w:t>
            </w:r>
          </w:p>
        </w:tc>
        <w:tc>
          <w:tcPr>
            <w:tcW w:w="1057" w:type="dxa"/>
            <w:vAlign w:val="bottom"/>
          </w:tcPr>
          <w:p w14:paraId="2D956EF9" w14:textId="77777777" w:rsidR="003A053D" w:rsidRPr="001E3656" w:rsidRDefault="003A053D" w:rsidP="00205DEE">
            <w:pPr>
              <w:jc w:val="center"/>
              <w:rPr>
                <w:color w:val="000000"/>
              </w:rPr>
            </w:pPr>
            <w:r w:rsidRPr="001F5B11">
              <w:rPr>
                <w:color w:val="000000"/>
              </w:rPr>
              <w:t>3</w:t>
            </w:r>
            <w:r w:rsidRPr="001F5B11">
              <w:rPr>
                <w:color w:val="000000"/>
              </w:rPr>
              <w:br/>
              <w:t>(0.7%)</w:t>
            </w:r>
          </w:p>
        </w:tc>
        <w:tc>
          <w:tcPr>
            <w:tcW w:w="1057" w:type="dxa"/>
            <w:vAlign w:val="bottom"/>
          </w:tcPr>
          <w:p w14:paraId="58CF03BF" w14:textId="77777777" w:rsidR="003A053D" w:rsidRPr="001E3656" w:rsidRDefault="003A053D" w:rsidP="00205DEE">
            <w:pPr>
              <w:jc w:val="center"/>
              <w:rPr>
                <w:color w:val="000000"/>
              </w:rPr>
            </w:pPr>
            <w:r w:rsidRPr="001F5B11">
              <w:rPr>
                <w:color w:val="000000"/>
              </w:rPr>
              <w:t>5</w:t>
            </w:r>
            <w:r w:rsidRPr="001F5B11">
              <w:rPr>
                <w:color w:val="000000"/>
              </w:rPr>
              <w:br/>
              <w:t>(1.1%)</w:t>
            </w:r>
          </w:p>
        </w:tc>
        <w:tc>
          <w:tcPr>
            <w:tcW w:w="960" w:type="dxa"/>
            <w:noWrap/>
            <w:vAlign w:val="bottom"/>
          </w:tcPr>
          <w:p w14:paraId="18CFA68F" w14:textId="77777777" w:rsidR="003A053D" w:rsidRPr="001E3656" w:rsidRDefault="003A053D" w:rsidP="00205DEE">
            <w:pPr>
              <w:jc w:val="center"/>
              <w:rPr>
                <w:b/>
                <w:color w:val="000000"/>
              </w:rPr>
            </w:pPr>
            <w:r w:rsidRPr="001F5B11">
              <w:rPr>
                <w:color w:val="000000"/>
              </w:rPr>
              <w:t>435</w:t>
            </w:r>
          </w:p>
        </w:tc>
      </w:tr>
      <w:tr w:rsidR="003A053D" w:rsidRPr="001E3656" w14:paraId="0A08F6D4" w14:textId="77777777" w:rsidTr="00B41530">
        <w:trPr>
          <w:cantSplit/>
          <w:trHeight w:val="576"/>
        </w:trPr>
        <w:tc>
          <w:tcPr>
            <w:tcW w:w="2340" w:type="dxa"/>
            <w:vAlign w:val="center"/>
            <w:hideMark/>
          </w:tcPr>
          <w:p w14:paraId="2984DFD5" w14:textId="77777777" w:rsidR="003A053D" w:rsidRPr="000F10B8" w:rsidRDefault="003A053D" w:rsidP="00205DEE">
            <w:pPr>
              <w:rPr>
                <w:i/>
                <w:color w:val="000000"/>
              </w:rPr>
            </w:pPr>
            <w:r w:rsidRPr="000F10B8">
              <w:rPr>
                <w:color w:val="000000"/>
              </w:rPr>
              <w:t>Non-Small School (150+ Students)</w:t>
            </w:r>
          </w:p>
        </w:tc>
        <w:tc>
          <w:tcPr>
            <w:tcW w:w="1057" w:type="dxa"/>
            <w:vAlign w:val="bottom"/>
          </w:tcPr>
          <w:p w14:paraId="698BB93B" w14:textId="77777777" w:rsidR="003A053D" w:rsidRPr="001E3656" w:rsidRDefault="003A053D" w:rsidP="00205DEE">
            <w:pPr>
              <w:jc w:val="center"/>
              <w:rPr>
                <w:color w:val="000000"/>
              </w:rPr>
            </w:pPr>
            <w:r w:rsidRPr="001F5B11">
              <w:rPr>
                <w:color w:val="000000"/>
              </w:rPr>
              <w:t>67</w:t>
            </w:r>
            <w:r w:rsidRPr="001F5B11">
              <w:rPr>
                <w:color w:val="000000"/>
              </w:rPr>
              <w:br/>
              <w:t>(6.6%)</w:t>
            </w:r>
          </w:p>
        </w:tc>
        <w:tc>
          <w:tcPr>
            <w:tcW w:w="1057" w:type="dxa"/>
            <w:vAlign w:val="bottom"/>
          </w:tcPr>
          <w:p w14:paraId="304DF7E2" w14:textId="77777777" w:rsidR="003A053D" w:rsidRPr="001E3656" w:rsidRDefault="003A053D" w:rsidP="00205DEE">
            <w:pPr>
              <w:jc w:val="center"/>
              <w:rPr>
                <w:color w:val="000000"/>
              </w:rPr>
            </w:pPr>
            <w:r w:rsidRPr="001F5B11">
              <w:rPr>
                <w:color w:val="000000"/>
              </w:rPr>
              <w:t>113</w:t>
            </w:r>
            <w:r w:rsidRPr="001F5B11">
              <w:rPr>
                <w:color w:val="000000"/>
              </w:rPr>
              <w:br/>
              <w:t>(11.1%)</w:t>
            </w:r>
          </w:p>
        </w:tc>
        <w:tc>
          <w:tcPr>
            <w:tcW w:w="1057" w:type="dxa"/>
            <w:vAlign w:val="bottom"/>
          </w:tcPr>
          <w:p w14:paraId="3A2B5EB6" w14:textId="77777777" w:rsidR="003A053D" w:rsidRPr="001E3656" w:rsidRDefault="003A053D" w:rsidP="00205DEE">
            <w:pPr>
              <w:jc w:val="center"/>
              <w:rPr>
                <w:color w:val="000000"/>
              </w:rPr>
            </w:pPr>
            <w:r w:rsidRPr="001F5B11">
              <w:rPr>
                <w:color w:val="000000"/>
              </w:rPr>
              <w:t>166</w:t>
            </w:r>
            <w:r w:rsidRPr="001F5B11">
              <w:rPr>
                <w:color w:val="000000"/>
              </w:rPr>
              <w:br/>
              <w:t>(16.3%)</w:t>
            </w:r>
          </w:p>
        </w:tc>
        <w:tc>
          <w:tcPr>
            <w:tcW w:w="1057" w:type="dxa"/>
            <w:vAlign w:val="bottom"/>
          </w:tcPr>
          <w:p w14:paraId="2CDD3C24" w14:textId="77777777" w:rsidR="003A053D" w:rsidRPr="001E3656" w:rsidRDefault="003A053D" w:rsidP="00205DEE">
            <w:pPr>
              <w:jc w:val="center"/>
              <w:rPr>
                <w:color w:val="000000"/>
              </w:rPr>
            </w:pPr>
            <w:r w:rsidRPr="001F5B11">
              <w:rPr>
                <w:color w:val="000000"/>
              </w:rPr>
              <w:t>419</w:t>
            </w:r>
            <w:r w:rsidRPr="001F5B11">
              <w:rPr>
                <w:color w:val="000000"/>
              </w:rPr>
              <w:br/>
              <w:t>(41.2%)</w:t>
            </w:r>
          </w:p>
        </w:tc>
        <w:tc>
          <w:tcPr>
            <w:tcW w:w="1057" w:type="dxa"/>
            <w:vAlign w:val="bottom"/>
          </w:tcPr>
          <w:p w14:paraId="3E590A9E" w14:textId="77777777" w:rsidR="003A053D" w:rsidRPr="001E3656" w:rsidRDefault="003A053D" w:rsidP="00205DEE">
            <w:pPr>
              <w:jc w:val="center"/>
              <w:rPr>
                <w:color w:val="000000"/>
              </w:rPr>
            </w:pPr>
            <w:r w:rsidRPr="001F5B11">
              <w:rPr>
                <w:color w:val="000000"/>
              </w:rPr>
              <w:t>251</w:t>
            </w:r>
            <w:r w:rsidRPr="001F5B11">
              <w:rPr>
                <w:color w:val="000000"/>
              </w:rPr>
              <w:br/>
              <w:t>(24.7%)</w:t>
            </w:r>
          </w:p>
        </w:tc>
        <w:tc>
          <w:tcPr>
            <w:tcW w:w="960" w:type="dxa"/>
            <w:noWrap/>
            <w:vAlign w:val="bottom"/>
          </w:tcPr>
          <w:p w14:paraId="78F92B8F" w14:textId="77777777" w:rsidR="003A053D" w:rsidRPr="001E3656" w:rsidRDefault="003A053D" w:rsidP="00205DEE">
            <w:pPr>
              <w:jc w:val="center"/>
              <w:rPr>
                <w:b/>
                <w:color w:val="000000"/>
              </w:rPr>
            </w:pPr>
            <w:r w:rsidRPr="001F5B11">
              <w:rPr>
                <w:color w:val="000000"/>
              </w:rPr>
              <w:t>1,016</w:t>
            </w:r>
          </w:p>
        </w:tc>
      </w:tr>
      <w:tr w:rsidR="003A053D" w:rsidRPr="001E3656" w14:paraId="1B501F33" w14:textId="77777777" w:rsidTr="00B41530">
        <w:trPr>
          <w:cantSplit/>
          <w:trHeight w:val="576"/>
        </w:trPr>
        <w:tc>
          <w:tcPr>
            <w:tcW w:w="2340" w:type="dxa"/>
            <w:vAlign w:val="center"/>
            <w:hideMark/>
          </w:tcPr>
          <w:p w14:paraId="14F1C975" w14:textId="77777777" w:rsidR="003A053D" w:rsidRPr="000F10B8" w:rsidRDefault="003A053D" w:rsidP="00205DEE">
            <w:pPr>
              <w:rPr>
                <w:i/>
                <w:color w:val="000000"/>
              </w:rPr>
            </w:pPr>
            <w:r w:rsidRPr="000F10B8">
              <w:rPr>
                <w:color w:val="000000"/>
              </w:rPr>
              <w:t>Small School (149 or less Students)</w:t>
            </w:r>
          </w:p>
        </w:tc>
        <w:tc>
          <w:tcPr>
            <w:tcW w:w="1057" w:type="dxa"/>
            <w:vAlign w:val="bottom"/>
          </w:tcPr>
          <w:p w14:paraId="1ACA47F3" w14:textId="77777777" w:rsidR="003A053D" w:rsidRPr="001E3656" w:rsidRDefault="003A053D" w:rsidP="00205DEE">
            <w:pPr>
              <w:jc w:val="center"/>
              <w:rPr>
                <w:color w:val="000000"/>
              </w:rPr>
            </w:pPr>
            <w:r w:rsidRPr="001F5B11">
              <w:rPr>
                <w:color w:val="000000"/>
              </w:rPr>
              <w:t>231</w:t>
            </w:r>
            <w:r w:rsidRPr="001F5B11">
              <w:rPr>
                <w:color w:val="000000"/>
              </w:rPr>
              <w:br/>
              <w:t>(25.7%)</w:t>
            </w:r>
          </w:p>
        </w:tc>
        <w:tc>
          <w:tcPr>
            <w:tcW w:w="1057" w:type="dxa"/>
            <w:vAlign w:val="bottom"/>
          </w:tcPr>
          <w:p w14:paraId="5D3702D4" w14:textId="77777777" w:rsidR="003A053D" w:rsidRPr="001E3656" w:rsidRDefault="003A053D" w:rsidP="00205DEE">
            <w:pPr>
              <w:jc w:val="center"/>
              <w:rPr>
                <w:color w:val="000000"/>
              </w:rPr>
            </w:pPr>
            <w:r w:rsidRPr="001F5B11">
              <w:rPr>
                <w:color w:val="000000"/>
              </w:rPr>
              <w:t>191</w:t>
            </w:r>
            <w:r w:rsidRPr="001F5B11">
              <w:rPr>
                <w:color w:val="000000"/>
              </w:rPr>
              <w:br/>
              <w:t>(21.2%)</w:t>
            </w:r>
          </w:p>
        </w:tc>
        <w:tc>
          <w:tcPr>
            <w:tcW w:w="1057" w:type="dxa"/>
            <w:vAlign w:val="bottom"/>
          </w:tcPr>
          <w:p w14:paraId="227458C8" w14:textId="77777777" w:rsidR="003A053D" w:rsidRPr="001E3656" w:rsidRDefault="003A053D" w:rsidP="00205DEE">
            <w:pPr>
              <w:jc w:val="center"/>
              <w:rPr>
                <w:color w:val="000000"/>
              </w:rPr>
            </w:pPr>
            <w:r w:rsidRPr="001F5B11">
              <w:rPr>
                <w:color w:val="000000"/>
              </w:rPr>
              <w:t>144</w:t>
            </w:r>
            <w:r w:rsidRPr="001F5B11">
              <w:rPr>
                <w:color w:val="000000"/>
              </w:rPr>
              <w:br/>
              <w:t>(16.0%)</w:t>
            </w:r>
          </w:p>
        </w:tc>
        <w:tc>
          <w:tcPr>
            <w:tcW w:w="1057" w:type="dxa"/>
            <w:vAlign w:val="bottom"/>
          </w:tcPr>
          <w:p w14:paraId="647EBB5C" w14:textId="77777777" w:rsidR="003A053D" w:rsidRPr="001E3656" w:rsidRDefault="003A053D" w:rsidP="00205DEE">
            <w:pPr>
              <w:jc w:val="center"/>
              <w:rPr>
                <w:color w:val="000000"/>
              </w:rPr>
            </w:pPr>
            <w:r w:rsidRPr="001F5B11">
              <w:rPr>
                <w:color w:val="000000"/>
              </w:rPr>
              <w:t>181</w:t>
            </w:r>
            <w:r w:rsidRPr="001F5B11">
              <w:rPr>
                <w:color w:val="000000"/>
              </w:rPr>
              <w:br/>
              <w:t>(20.1%)</w:t>
            </w:r>
          </w:p>
        </w:tc>
        <w:tc>
          <w:tcPr>
            <w:tcW w:w="1057" w:type="dxa"/>
            <w:vAlign w:val="bottom"/>
          </w:tcPr>
          <w:p w14:paraId="6CE695EE" w14:textId="77777777" w:rsidR="003A053D" w:rsidRPr="001E3656" w:rsidRDefault="003A053D" w:rsidP="00205DEE">
            <w:pPr>
              <w:jc w:val="center"/>
              <w:rPr>
                <w:color w:val="000000"/>
              </w:rPr>
            </w:pPr>
            <w:r w:rsidRPr="001F5B11">
              <w:rPr>
                <w:color w:val="000000"/>
              </w:rPr>
              <w:t>153</w:t>
            </w:r>
            <w:r w:rsidRPr="001F5B11">
              <w:rPr>
                <w:color w:val="000000"/>
              </w:rPr>
              <w:br/>
              <w:t>(17.0%)</w:t>
            </w:r>
          </w:p>
        </w:tc>
        <w:tc>
          <w:tcPr>
            <w:tcW w:w="960" w:type="dxa"/>
            <w:noWrap/>
            <w:vAlign w:val="bottom"/>
          </w:tcPr>
          <w:p w14:paraId="6512BFAC" w14:textId="77777777" w:rsidR="003A053D" w:rsidRPr="001E3656" w:rsidRDefault="003A053D" w:rsidP="00205DEE">
            <w:pPr>
              <w:jc w:val="center"/>
              <w:rPr>
                <w:b/>
                <w:color w:val="000000"/>
              </w:rPr>
            </w:pPr>
            <w:r w:rsidRPr="001F5B11">
              <w:rPr>
                <w:color w:val="000000"/>
              </w:rPr>
              <w:t>900</w:t>
            </w:r>
          </w:p>
        </w:tc>
      </w:tr>
      <w:tr w:rsidR="003A053D" w:rsidRPr="001E3656" w14:paraId="3A741D36" w14:textId="77777777" w:rsidTr="00B41530">
        <w:trPr>
          <w:cantSplit/>
          <w:trHeight w:val="576"/>
        </w:trPr>
        <w:tc>
          <w:tcPr>
            <w:tcW w:w="2340" w:type="dxa"/>
            <w:vAlign w:val="center"/>
          </w:tcPr>
          <w:p w14:paraId="6BC9A8B6" w14:textId="77777777" w:rsidR="003A053D" w:rsidRPr="000F10B8" w:rsidRDefault="003A053D" w:rsidP="00205DEE">
            <w:pPr>
              <w:rPr>
                <w:i/>
                <w:color w:val="000000"/>
              </w:rPr>
            </w:pPr>
            <w:r w:rsidRPr="000F10B8">
              <w:rPr>
                <w:color w:val="000000"/>
              </w:rPr>
              <w:t>Charter</w:t>
            </w:r>
          </w:p>
          <w:p w14:paraId="325A4F5F" w14:textId="77777777" w:rsidR="003A053D" w:rsidRPr="000F10B8" w:rsidRDefault="003A053D" w:rsidP="00205DEE">
            <w:pPr>
              <w:rPr>
                <w:i/>
                <w:color w:val="000000"/>
              </w:rPr>
            </w:pPr>
            <w:r w:rsidRPr="000F10B8">
              <w:rPr>
                <w:color w:val="000000"/>
              </w:rPr>
              <w:t xml:space="preserve"> (Non-DASS)</w:t>
            </w:r>
          </w:p>
        </w:tc>
        <w:tc>
          <w:tcPr>
            <w:tcW w:w="1057" w:type="dxa"/>
            <w:vAlign w:val="bottom"/>
          </w:tcPr>
          <w:p w14:paraId="4DA3AFBA" w14:textId="77777777" w:rsidR="003A053D" w:rsidRPr="001F5B11" w:rsidRDefault="003A053D" w:rsidP="00205DEE">
            <w:pPr>
              <w:jc w:val="center"/>
              <w:rPr>
                <w:color w:val="000000"/>
              </w:rPr>
            </w:pPr>
            <w:r w:rsidRPr="001F5B11">
              <w:rPr>
                <w:color w:val="000000"/>
              </w:rPr>
              <w:t>11</w:t>
            </w:r>
            <w:r w:rsidRPr="001F5B11">
              <w:rPr>
                <w:color w:val="000000"/>
              </w:rPr>
              <w:br/>
              <w:t>(3.2%)</w:t>
            </w:r>
          </w:p>
        </w:tc>
        <w:tc>
          <w:tcPr>
            <w:tcW w:w="1057" w:type="dxa"/>
            <w:vAlign w:val="bottom"/>
          </w:tcPr>
          <w:p w14:paraId="1B993F99" w14:textId="77777777" w:rsidR="003A053D" w:rsidRPr="001F5B11" w:rsidRDefault="003A053D" w:rsidP="00205DEE">
            <w:pPr>
              <w:jc w:val="center"/>
              <w:rPr>
                <w:color w:val="000000"/>
              </w:rPr>
            </w:pPr>
            <w:r w:rsidRPr="001F5B11">
              <w:rPr>
                <w:color w:val="000000"/>
              </w:rPr>
              <w:t>64</w:t>
            </w:r>
            <w:r w:rsidRPr="001F5B11">
              <w:rPr>
                <w:color w:val="000000"/>
              </w:rPr>
              <w:br/>
              <w:t>(18.3%)</w:t>
            </w:r>
          </w:p>
        </w:tc>
        <w:tc>
          <w:tcPr>
            <w:tcW w:w="1057" w:type="dxa"/>
            <w:vAlign w:val="bottom"/>
          </w:tcPr>
          <w:p w14:paraId="61299FEE" w14:textId="77777777" w:rsidR="003A053D" w:rsidRPr="001F5B11" w:rsidRDefault="003A053D" w:rsidP="00205DEE">
            <w:pPr>
              <w:jc w:val="center"/>
              <w:rPr>
                <w:color w:val="000000"/>
              </w:rPr>
            </w:pPr>
            <w:r w:rsidRPr="001F5B11">
              <w:rPr>
                <w:color w:val="000000"/>
              </w:rPr>
              <w:t>61</w:t>
            </w:r>
            <w:r w:rsidRPr="001F5B11">
              <w:rPr>
                <w:color w:val="000000"/>
              </w:rPr>
              <w:br/>
              <w:t>(17.5%)</w:t>
            </w:r>
          </w:p>
        </w:tc>
        <w:tc>
          <w:tcPr>
            <w:tcW w:w="1057" w:type="dxa"/>
            <w:vAlign w:val="bottom"/>
          </w:tcPr>
          <w:p w14:paraId="14E95504" w14:textId="77777777" w:rsidR="003A053D" w:rsidRPr="001F5B11" w:rsidRDefault="003A053D" w:rsidP="00205DEE">
            <w:pPr>
              <w:jc w:val="center"/>
              <w:rPr>
                <w:color w:val="000000"/>
              </w:rPr>
            </w:pPr>
            <w:r w:rsidRPr="001F5B11">
              <w:rPr>
                <w:color w:val="000000"/>
              </w:rPr>
              <w:t>99</w:t>
            </w:r>
            <w:r w:rsidRPr="001F5B11">
              <w:rPr>
                <w:color w:val="000000"/>
              </w:rPr>
              <w:br/>
              <w:t>(28.4%)</w:t>
            </w:r>
          </w:p>
        </w:tc>
        <w:tc>
          <w:tcPr>
            <w:tcW w:w="1057" w:type="dxa"/>
            <w:vAlign w:val="bottom"/>
          </w:tcPr>
          <w:p w14:paraId="566F2EFA" w14:textId="77777777" w:rsidR="003A053D" w:rsidRPr="001F5B11" w:rsidRDefault="003A053D" w:rsidP="00205DEE">
            <w:pPr>
              <w:jc w:val="center"/>
              <w:rPr>
                <w:color w:val="000000"/>
              </w:rPr>
            </w:pPr>
            <w:r w:rsidRPr="001F5B11">
              <w:rPr>
                <w:color w:val="000000"/>
              </w:rPr>
              <w:t>114</w:t>
            </w:r>
            <w:r w:rsidRPr="001F5B11">
              <w:rPr>
                <w:color w:val="000000"/>
              </w:rPr>
              <w:br/>
              <w:t>(32.7%)</w:t>
            </w:r>
          </w:p>
        </w:tc>
        <w:tc>
          <w:tcPr>
            <w:tcW w:w="960" w:type="dxa"/>
            <w:noWrap/>
            <w:vAlign w:val="bottom"/>
          </w:tcPr>
          <w:p w14:paraId="026A1354" w14:textId="77777777" w:rsidR="003A053D" w:rsidRPr="001F5B11" w:rsidRDefault="003A053D" w:rsidP="00205DEE">
            <w:pPr>
              <w:jc w:val="center"/>
              <w:rPr>
                <w:color w:val="000000"/>
              </w:rPr>
            </w:pPr>
            <w:r w:rsidRPr="001F5B11">
              <w:rPr>
                <w:color w:val="000000"/>
              </w:rPr>
              <w:t>349</w:t>
            </w:r>
          </w:p>
        </w:tc>
      </w:tr>
      <w:tr w:rsidR="003A053D" w:rsidRPr="001E3656" w14:paraId="6D1DC2D9" w14:textId="77777777" w:rsidTr="00B41530">
        <w:trPr>
          <w:cantSplit/>
          <w:trHeight w:val="576"/>
        </w:trPr>
        <w:tc>
          <w:tcPr>
            <w:tcW w:w="2340" w:type="dxa"/>
            <w:vAlign w:val="center"/>
          </w:tcPr>
          <w:p w14:paraId="13917418" w14:textId="77777777" w:rsidR="003A053D" w:rsidRPr="000F10B8" w:rsidRDefault="003A053D" w:rsidP="00205DEE">
            <w:pPr>
              <w:rPr>
                <w:i/>
                <w:color w:val="000000"/>
              </w:rPr>
            </w:pPr>
            <w:r w:rsidRPr="000F10B8">
              <w:rPr>
                <w:color w:val="000000"/>
              </w:rPr>
              <w:t>Charter (DASS)</w:t>
            </w:r>
          </w:p>
        </w:tc>
        <w:tc>
          <w:tcPr>
            <w:tcW w:w="1057" w:type="dxa"/>
            <w:vAlign w:val="bottom"/>
          </w:tcPr>
          <w:p w14:paraId="4E1F6E2C" w14:textId="77777777" w:rsidR="003A053D" w:rsidRPr="001F5B11" w:rsidRDefault="003A053D" w:rsidP="00205DEE">
            <w:pPr>
              <w:jc w:val="center"/>
              <w:rPr>
                <w:color w:val="000000"/>
              </w:rPr>
            </w:pPr>
            <w:r w:rsidRPr="001F5B11">
              <w:rPr>
                <w:color w:val="000000"/>
              </w:rPr>
              <w:t>49</w:t>
            </w:r>
            <w:r w:rsidRPr="001F5B11">
              <w:rPr>
                <w:color w:val="000000"/>
              </w:rPr>
              <w:br/>
              <w:t>(49</w:t>
            </w:r>
            <w:r>
              <w:rPr>
                <w:color w:val="000000"/>
              </w:rPr>
              <w:t>.0</w:t>
            </w:r>
            <w:r w:rsidRPr="001F5B11">
              <w:rPr>
                <w:color w:val="000000"/>
              </w:rPr>
              <w:t>%)</w:t>
            </w:r>
          </w:p>
        </w:tc>
        <w:tc>
          <w:tcPr>
            <w:tcW w:w="1057" w:type="dxa"/>
            <w:vAlign w:val="bottom"/>
          </w:tcPr>
          <w:p w14:paraId="26D26354" w14:textId="77777777" w:rsidR="003A053D" w:rsidRPr="001F5B11" w:rsidRDefault="003A053D" w:rsidP="00205DEE">
            <w:pPr>
              <w:jc w:val="center"/>
              <w:rPr>
                <w:color w:val="000000"/>
              </w:rPr>
            </w:pPr>
            <w:r w:rsidRPr="001F5B11">
              <w:rPr>
                <w:color w:val="000000"/>
              </w:rPr>
              <w:t>23</w:t>
            </w:r>
            <w:r w:rsidRPr="001F5B11">
              <w:rPr>
                <w:color w:val="000000"/>
              </w:rPr>
              <w:br/>
              <w:t>(23</w:t>
            </w:r>
            <w:r>
              <w:rPr>
                <w:color w:val="000000"/>
              </w:rPr>
              <w:t>.0</w:t>
            </w:r>
            <w:r w:rsidRPr="001F5B11">
              <w:rPr>
                <w:color w:val="000000"/>
              </w:rPr>
              <w:t>%)</w:t>
            </w:r>
          </w:p>
        </w:tc>
        <w:tc>
          <w:tcPr>
            <w:tcW w:w="1057" w:type="dxa"/>
            <w:vAlign w:val="bottom"/>
          </w:tcPr>
          <w:p w14:paraId="70396315" w14:textId="77777777" w:rsidR="003A053D" w:rsidRPr="001F5B11" w:rsidRDefault="003A053D" w:rsidP="00205DEE">
            <w:pPr>
              <w:jc w:val="center"/>
              <w:rPr>
                <w:color w:val="000000"/>
              </w:rPr>
            </w:pPr>
            <w:r w:rsidRPr="001F5B11">
              <w:rPr>
                <w:color w:val="000000"/>
              </w:rPr>
              <w:t>23</w:t>
            </w:r>
            <w:r w:rsidRPr="001F5B11">
              <w:rPr>
                <w:color w:val="000000"/>
              </w:rPr>
              <w:br/>
              <w:t>(23</w:t>
            </w:r>
            <w:r>
              <w:rPr>
                <w:color w:val="000000"/>
              </w:rPr>
              <w:t>.0</w:t>
            </w:r>
            <w:r w:rsidRPr="001F5B11">
              <w:rPr>
                <w:color w:val="000000"/>
              </w:rPr>
              <w:t>%)</w:t>
            </w:r>
          </w:p>
        </w:tc>
        <w:tc>
          <w:tcPr>
            <w:tcW w:w="1057" w:type="dxa"/>
            <w:vAlign w:val="bottom"/>
          </w:tcPr>
          <w:p w14:paraId="649B071A" w14:textId="77777777" w:rsidR="003A053D" w:rsidRPr="001F5B11" w:rsidRDefault="003A053D" w:rsidP="00205DEE">
            <w:pPr>
              <w:jc w:val="center"/>
              <w:rPr>
                <w:color w:val="000000"/>
              </w:rPr>
            </w:pPr>
            <w:r w:rsidRPr="001F5B11">
              <w:rPr>
                <w:color w:val="000000"/>
              </w:rPr>
              <w:t>2</w:t>
            </w:r>
            <w:r w:rsidRPr="001F5B11">
              <w:rPr>
                <w:color w:val="000000"/>
              </w:rPr>
              <w:br/>
              <w:t>(2.0%)</w:t>
            </w:r>
          </w:p>
        </w:tc>
        <w:tc>
          <w:tcPr>
            <w:tcW w:w="1057" w:type="dxa"/>
            <w:vAlign w:val="bottom"/>
          </w:tcPr>
          <w:p w14:paraId="2A6C4EA2" w14:textId="77777777" w:rsidR="003A053D" w:rsidRPr="001F5B11" w:rsidRDefault="003A053D" w:rsidP="00205DEE">
            <w:pPr>
              <w:jc w:val="center"/>
              <w:rPr>
                <w:color w:val="000000"/>
              </w:rPr>
            </w:pPr>
            <w:r w:rsidRPr="001F5B11">
              <w:rPr>
                <w:color w:val="000000"/>
              </w:rPr>
              <w:t>3</w:t>
            </w:r>
            <w:r w:rsidRPr="001F5B11">
              <w:rPr>
                <w:color w:val="000000"/>
              </w:rPr>
              <w:br/>
              <w:t>(3.0%)</w:t>
            </w:r>
          </w:p>
        </w:tc>
        <w:tc>
          <w:tcPr>
            <w:tcW w:w="960" w:type="dxa"/>
            <w:noWrap/>
            <w:vAlign w:val="bottom"/>
          </w:tcPr>
          <w:p w14:paraId="18115CB1" w14:textId="77777777" w:rsidR="003A053D" w:rsidRPr="001F5B11" w:rsidRDefault="003A053D" w:rsidP="00205DEE">
            <w:pPr>
              <w:jc w:val="center"/>
              <w:rPr>
                <w:color w:val="000000"/>
              </w:rPr>
            </w:pPr>
            <w:r w:rsidRPr="001F5B11">
              <w:rPr>
                <w:color w:val="000000"/>
              </w:rPr>
              <w:t>100</w:t>
            </w:r>
          </w:p>
        </w:tc>
      </w:tr>
    </w:tbl>
    <w:p w14:paraId="1E27F961" w14:textId="77777777" w:rsidR="008D5B81" w:rsidRDefault="008D5B81" w:rsidP="006F4552"/>
    <w:p w14:paraId="4D40E0F9" w14:textId="28AFB719" w:rsidR="001B778E" w:rsidRDefault="001B778E" w:rsidP="00FA2D7D">
      <w:pPr>
        <w:pStyle w:val="Heading5"/>
      </w:pPr>
      <w:r w:rsidRPr="00360205">
        <w:t>Table</w:t>
      </w:r>
      <w:r w:rsidR="009C0875">
        <w:t xml:space="preserve"> 10:</w:t>
      </w:r>
      <w:r w:rsidRPr="00360205">
        <w:t xml:space="preserve"> Students in </w:t>
      </w:r>
      <w:r w:rsidR="00475EDB">
        <w:t xml:space="preserve">the </w:t>
      </w:r>
      <w:r w:rsidRPr="00360205">
        <w:t>2024</w:t>
      </w:r>
      <w:r w:rsidR="005C0964">
        <w:rPr>
          <w:rFonts w:cs="Arial"/>
        </w:rPr>
        <w:t>–</w:t>
      </w:r>
      <w:r w:rsidRPr="00360205">
        <w:t xml:space="preserve">25 </w:t>
      </w:r>
      <w:r w:rsidR="0006678D">
        <w:t xml:space="preserve">Combined 4-Year and </w:t>
      </w:r>
      <w:r w:rsidRPr="00360205">
        <w:t>5</w:t>
      </w:r>
      <w:r w:rsidR="0006678D">
        <w:t>-Y</w:t>
      </w:r>
      <w:r w:rsidRPr="00360205">
        <w:t>ear Cohort</w:t>
      </w:r>
    </w:p>
    <w:tbl>
      <w:tblPr>
        <w:tblStyle w:val="TableGrid"/>
        <w:tblW w:w="0" w:type="auto"/>
        <w:tblLook w:val="0420" w:firstRow="1" w:lastRow="0" w:firstColumn="0" w:lastColumn="0" w:noHBand="0" w:noVBand="1"/>
        <w:tblDescription w:val="Table 10: Table of Students in 2024-25 4/5 Year Cohort"/>
      </w:tblPr>
      <w:tblGrid>
        <w:gridCol w:w="4704"/>
        <w:gridCol w:w="4646"/>
      </w:tblGrid>
      <w:tr w:rsidR="001B778E" w:rsidRPr="00057F8E" w14:paraId="58A1EBF6" w14:textId="77777777" w:rsidTr="00360205">
        <w:trPr>
          <w:cantSplit/>
          <w:tblHeader/>
        </w:trPr>
        <w:tc>
          <w:tcPr>
            <w:tcW w:w="8635" w:type="dxa"/>
          </w:tcPr>
          <w:p w14:paraId="4D037FBB" w14:textId="77777777" w:rsidR="001B778E" w:rsidRPr="00360205" w:rsidRDefault="001B778E" w:rsidP="00F2032F">
            <w:pPr>
              <w:spacing w:before="240" w:after="240"/>
              <w:rPr>
                <w:rFonts w:cs="Arial"/>
                <w:b/>
                <w:bCs/>
              </w:rPr>
            </w:pPr>
            <w:r w:rsidRPr="00360205">
              <w:rPr>
                <w:rFonts w:cs="Arial"/>
                <w:b/>
                <w:bCs/>
              </w:rPr>
              <w:t>Students</w:t>
            </w:r>
          </w:p>
        </w:tc>
        <w:tc>
          <w:tcPr>
            <w:tcW w:w="8635" w:type="dxa"/>
          </w:tcPr>
          <w:p w14:paraId="1A480985" w14:textId="77777777" w:rsidR="001B778E" w:rsidRPr="00360205" w:rsidRDefault="001B778E" w:rsidP="00F2032F">
            <w:pPr>
              <w:spacing w:before="240" w:after="240"/>
              <w:rPr>
                <w:rFonts w:cs="Arial"/>
                <w:b/>
                <w:bCs/>
              </w:rPr>
            </w:pPr>
            <w:r w:rsidRPr="00360205">
              <w:rPr>
                <w:rFonts w:cs="Arial"/>
                <w:b/>
                <w:bCs/>
              </w:rPr>
              <w:t>Number of Students</w:t>
            </w:r>
          </w:p>
        </w:tc>
      </w:tr>
      <w:tr w:rsidR="001B778E" w:rsidRPr="00057F8E" w14:paraId="2E87F38F" w14:textId="77777777" w:rsidTr="00360205">
        <w:trPr>
          <w:cantSplit/>
        </w:trPr>
        <w:tc>
          <w:tcPr>
            <w:tcW w:w="8635" w:type="dxa"/>
          </w:tcPr>
          <w:p w14:paraId="56E6227E" w14:textId="086B6C36" w:rsidR="001B778E" w:rsidRPr="00057F8E" w:rsidRDefault="001B778E" w:rsidP="00F2032F">
            <w:pPr>
              <w:spacing w:before="240" w:after="240"/>
              <w:rPr>
                <w:rFonts w:cs="Arial"/>
              </w:rPr>
            </w:pPr>
            <w:r w:rsidRPr="00057F8E">
              <w:rPr>
                <w:rFonts w:cs="Arial"/>
              </w:rPr>
              <w:t>Students in the 4</w:t>
            </w:r>
            <w:r w:rsidR="005C0964">
              <w:rPr>
                <w:rFonts w:cs="Arial"/>
              </w:rPr>
              <w:t>-year</w:t>
            </w:r>
            <w:r w:rsidRPr="00057F8E">
              <w:rPr>
                <w:rFonts w:cs="Arial"/>
              </w:rPr>
              <w:t xml:space="preserve"> or 5-year cohort in 2024</w:t>
            </w:r>
            <w:r w:rsidR="005C0964">
              <w:rPr>
                <w:rFonts w:cs="Arial"/>
              </w:rPr>
              <w:t>–</w:t>
            </w:r>
            <w:r w:rsidRPr="00057F8E">
              <w:rPr>
                <w:rFonts w:cs="Arial"/>
              </w:rPr>
              <w:t>25</w:t>
            </w:r>
          </w:p>
        </w:tc>
        <w:tc>
          <w:tcPr>
            <w:tcW w:w="8635" w:type="dxa"/>
          </w:tcPr>
          <w:p w14:paraId="55C62BB7" w14:textId="77777777" w:rsidR="001B778E" w:rsidRPr="00360205" w:rsidRDefault="001B778E" w:rsidP="00F2032F">
            <w:pPr>
              <w:rPr>
                <w:rFonts w:cs="Arial"/>
                <w:b/>
                <w:bCs/>
                <w:color w:val="000000"/>
              </w:rPr>
            </w:pPr>
            <w:r w:rsidRPr="00360205">
              <w:rPr>
                <w:rFonts w:cs="Arial"/>
                <w:b/>
                <w:bCs/>
                <w:color w:val="000000"/>
              </w:rPr>
              <w:t>506,177</w:t>
            </w:r>
          </w:p>
        </w:tc>
      </w:tr>
      <w:tr w:rsidR="001B778E" w:rsidRPr="00057F8E" w14:paraId="37364CBA" w14:textId="77777777" w:rsidTr="00360205">
        <w:trPr>
          <w:cantSplit/>
        </w:trPr>
        <w:tc>
          <w:tcPr>
            <w:tcW w:w="8635" w:type="dxa"/>
          </w:tcPr>
          <w:p w14:paraId="309773E4" w14:textId="77777777" w:rsidR="001B778E" w:rsidRPr="00057F8E" w:rsidRDefault="001B778E" w:rsidP="00F2032F">
            <w:pPr>
              <w:spacing w:before="240" w:after="240"/>
              <w:rPr>
                <w:rFonts w:cs="Arial"/>
              </w:rPr>
            </w:pPr>
            <w:r w:rsidRPr="00057F8E">
              <w:rPr>
                <w:rFonts w:cs="Arial"/>
              </w:rPr>
              <w:t>Students that Graduated in the Cohort</w:t>
            </w:r>
          </w:p>
        </w:tc>
        <w:tc>
          <w:tcPr>
            <w:tcW w:w="8635" w:type="dxa"/>
          </w:tcPr>
          <w:p w14:paraId="3D45BB7C" w14:textId="77777777" w:rsidR="001B778E" w:rsidRPr="00360205" w:rsidRDefault="001B778E" w:rsidP="00F2032F">
            <w:pPr>
              <w:rPr>
                <w:rFonts w:cs="Arial"/>
                <w:b/>
                <w:bCs/>
                <w:color w:val="000000"/>
              </w:rPr>
            </w:pPr>
            <w:r w:rsidRPr="00360205">
              <w:rPr>
                <w:rFonts w:cs="Arial"/>
                <w:b/>
                <w:bCs/>
                <w:color w:val="000000"/>
              </w:rPr>
              <w:t>444,346</w:t>
            </w:r>
          </w:p>
        </w:tc>
      </w:tr>
      <w:tr w:rsidR="001B778E" w:rsidRPr="00057F8E" w14:paraId="766BAA99" w14:textId="77777777" w:rsidTr="00360205">
        <w:trPr>
          <w:cantSplit/>
        </w:trPr>
        <w:tc>
          <w:tcPr>
            <w:tcW w:w="8635" w:type="dxa"/>
          </w:tcPr>
          <w:p w14:paraId="392A5CC1" w14:textId="77777777" w:rsidR="001B778E" w:rsidRPr="00057F8E" w:rsidRDefault="001B778E" w:rsidP="00F2032F">
            <w:pPr>
              <w:spacing w:before="240" w:after="240"/>
              <w:rPr>
                <w:rFonts w:cs="Arial"/>
              </w:rPr>
            </w:pPr>
            <w:r w:rsidRPr="00057F8E">
              <w:rPr>
                <w:rFonts w:cs="Arial"/>
              </w:rPr>
              <w:t>Students that Did not Graduate</w:t>
            </w:r>
          </w:p>
        </w:tc>
        <w:tc>
          <w:tcPr>
            <w:tcW w:w="8635" w:type="dxa"/>
          </w:tcPr>
          <w:p w14:paraId="29352225" w14:textId="77777777" w:rsidR="001B778E" w:rsidRPr="00ED4A10" w:rsidRDefault="001B778E" w:rsidP="00F2032F">
            <w:pPr>
              <w:rPr>
                <w:rFonts w:cs="Arial"/>
                <w:b/>
                <w:bCs/>
                <w:color w:val="000000"/>
              </w:rPr>
            </w:pPr>
            <w:r w:rsidRPr="00ED4A10">
              <w:rPr>
                <w:rFonts w:cs="Arial"/>
                <w:b/>
                <w:bCs/>
                <w:color w:val="000000"/>
              </w:rPr>
              <w:t>61,771</w:t>
            </w:r>
          </w:p>
        </w:tc>
      </w:tr>
    </w:tbl>
    <w:p w14:paraId="56CBBA2F" w14:textId="77777777" w:rsidR="00DA730D" w:rsidRDefault="00DA730D">
      <w:pPr>
        <w:spacing w:after="160" w:line="259" w:lineRule="auto"/>
        <w:sectPr w:rsidR="00DA730D" w:rsidSect="00DA730D">
          <w:headerReference w:type="default" r:id="rId60"/>
          <w:pgSz w:w="12240" w:h="15840"/>
          <w:pgMar w:top="1440" w:right="1440" w:bottom="1440" w:left="1440" w:header="720" w:footer="720" w:gutter="0"/>
          <w:cols w:space="720"/>
          <w:docGrid w:linePitch="360"/>
        </w:sectPr>
      </w:pPr>
    </w:p>
    <w:p w14:paraId="1773BABC" w14:textId="47CD9813" w:rsidR="001B778E" w:rsidRDefault="001B778E" w:rsidP="00FA2D7D">
      <w:pPr>
        <w:pStyle w:val="Heading5"/>
      </w:pPr>
      <w:r>
        <w:lastRenderedPageBreak/>
        <w:t>Table</w:t>
      </w:r>
      <w:r w:rsidR="009C0875">
        <w:t xml:space="preserve"> 11:</w:t>
      </w:r>
      <w:r>
        <w:t xml:space="preserve"> College/Career Indicator Measures Achieved by the 444,346 students in the 2024</w:t>
      </w:r>
      <w:r w:rsidR="005C0964">
        <w:rPr>
          <w:rFonts w:cs="Arial"/>
        </w:rPr>
        <w:t>–</w:t>
      </w:r>
      <w:r>
        <w:t xml:space="preserve">25 </w:t>
      </w:r>
      <w:r w:rsidR="00F05DFE">
        <w:t xml:space="preserve">Combined 4-Year and </w:t>
      </w:r>
      <w:r w:rsidR="00F05DFE" w:rsidRPr="00360205">
        <w:t>5</w:t>
      </w:r>
      <w:r w:rsidR="00F05DFE">
        <w:t>-Y</w:t>
      </w:r>
      <w:r w:rsidR="00F05DFE" w:rsidRPr="00360205">
        <w:t>ear Cohort</w:t>
      </w:r>
    </w:p>
    <w:tbl>
      <w:tblPr>
        <w:tblStyle w:val="TableGrid"/>
        <w:tblW w:w="14850" w:type="dxa"/>
        <w:tblInd w:w="-995" w:type="dxa"/>
        <w:tblLayout w:type="fixed"/>
        <w:tblLook w:val="0420" w:firstRow="1" w:lastRow="0" w:firstColumn="0" w:lastColumn="0" w:noHBand="0" w:noVBand="1"/>
        <w:tblDescription w:val="Table 11: College/Career Indicator Measures Achieved by the 444,346 students in the 2024-25 4/5 Year Cohort"/>
      </w:tblPr>
      <w:tblGrid>
        <w:gridCol w:w="2160"/>
        <w:gridCol w:w="1350"/>
        <w:gridCol w:w="1350"/>
        <w:gridCol w:w="1440"/>
        <w:gridCol w:w="1440"/>
        <w:gridCol w:w="1440"/>
        <w:gridCol w:w="1350"/>
        <w:gridCol w:w="1440"/>
        <w:gridCol w:w="1440"/>
        <w:gridCol w:w="1440"/>
      </w:tblGrid>
      <w:tr w:rsidR="003D7C50" w14:paraId="69C9EB32" w14:textId="77777777" w:rsidTr="00F05DFE">
        <w:trPr>
          <w:cantSplit/>
          <w:trHeight w:val="1308"/>
          <w:tblHeader/>
        </w:trPr>
        <w:tc>
          <w:tcPr>
            <w:tcW w:w="2160" w:type="dxa"/>
          </w:tcPr>
          <w:p w14:paraId="4DCF7FC9" w14:textId="6F2443B1" w:rsidR="001B778E" w:rsidRPr="0075173E" w:rsidRDefault="001B778E" w:rsidP="00F2032F">
            <w:pPr>
              <w:spacing w:before="240" w:after="240"/>
              <w:rPr>
                <w:rFonts w:cs="Arial"/>
                <w:b/>
                <w:bCs/>
              </w:rPr>
            </w:pPr>
            <w:r w:rsidRPr="0075173E">
              <w:rPr>
                <w:rFonts w:cs="Arial"/>
                <w:b/>
                <w:bCs/>
              </w:rPr>
              <w:t xml:space="preserve">CCI </w:t>
            </w:r>
            <w:r w:rsidR="001B5BE0" w:rsidRPr="0075173E">
              <w:rPr>
                <w:rFonts w:cs="Arial"/>
                <w:b/>
                <w:bCs/>
              </w:rPr>
              <w:t>Accomplishment</w:t>
            </w:r>
          </w:p>
        </w:tc>
        <w:tc>
          <w:tcPr>
            <w:tcW w:w="1350" w:type="dxa"/>
          </w:tcPr>
          <w:p w14:paraId="2C66126B" w14:textId="70D8EE86" w:rsidR="001B778E" w:rsidRPr="0075173E" w:rsidRDefault="001B778E" w:rsidP="00F2032F">
            <w:pPr>
              <w:spacing w:before="240" w:after="240"/>
              <w:rPr>
                <w:rFonts w:cs="Arial"/>
                <w:b/>
                <w:bCs/>
              </w:rPr>
            </w:pPr>
            <w:r w:rsidRPr="0075173E">
              <w:rPr>
                <w:rFonts w:cs="Arial"/>
                <w:b/>
                <w:bCs/>
              </w:rPr>
              <w:t xml:space="preserve">Met any </w:t>
            </w:r>
            <w:r w:rsidR="00F05DFE">
              <w:rPr>
                <w:rFonts w:cs="Arial"/>
                <w:b/>
                <w:bCs/>
              </w:rPr>
              <w:t>N</w:t>
            </w:r>
            <w:r w:rsidRPr="0075173E">
              <w:rPr>
                <w:rFonts w:cs="Arial"/>
                <w:b/>
                <w:bCs/>
              </w:rPr>
              <w:t xml:space="preserve">umber of </w:t>
            </w:r>
            <w:r w:rsidR="00F05DFE">
              <w:rPr>
                <w:rFonts w:cs="Arial"/>
                <w:b/>
                <w:bCs/>
              </w:rPr>
              <w:t>M</w:t>
            </w:r>
            <w:r w:rsidRPr="0075173E">
              <w:rPr>
                <w:rFonts w:cs="Arial"/>
                <w:b/>
                <w:bCs/>
              </w:rPr>
              <w:t>easures</w:t>
            </w:r>
          </w:p>
        </w:tc>
        <w:tc>
          <w:tcPr>
            <w:tcW w:w="1350" w:type="dxa"/>
          </w:tcPr>
          <w:p w14:paraId="62DD68E3" w14:textId="77777777" w:rsidR="001B778E" w:rsidRPr="0075173E" w:rsidRDefault="001B778E" w:rsidP="003D7C50">
            <w:pPr>
              <w:spacing w:before="240" w:after="240"/>
              <w:jc w:val="center"/>
              <w:rPr>
                <w:rFonts w:cs="Arial"/>
                <w:b/>
                <w:bCs/>
              </w:rPr>
            </w:pPr>
            <w:r w:rsidRPr="0075173E">
              <w:rPr>
                <w:rFonts w:cs="Arial"/>
                <w:b/>
                <w:bCs/>
              </w:rPr>
              <w:t>Only 1 Measure</w:t>
            </w:r>
          </w:p>
        </w:tc>
        <w:tc>
          <w:tcPr>
            <w:tcW w:w="1440" w:type="dxa"/>
          </w:tcPr>
          <w:p w14:paraId="630DBA62" w14:textId="77777777" w:rsidR="001B778E" w:rsidRPr="0075173E" w:rsidRDefault="001B778E" w:rsidP="003D7C50">
            <w:pPr>
              <w:spacing w:before="240" w:after="240"/>
              <w:jc w:val="center"/>
              <w:rPr>
                <w:rFonts w:cs="Arial"/>
                <w:b/>
                <w:bCs/>
              </w:rPr>
            </w:pPr>
            <w:r w:rsidRPr="0075173E">
              <w:rPr>
                <w:rFonts w:cs="Arial"/>
                <w:b/>
                <w:bCs/>
              </w:rPr>
              <w:t>2 Measures</w:t>
            </w:r>
          </w:p>
        </w:tc>
        <w:tc>
          <w:tcPr>
            <w:tcW w:w="1440" w:type="dxa"/>
          </w:tcPr>
          <w:p w14:paraId="20B42D5A" w14:textId="77777777" w:rsidR="001B778E" w:rsidRPr="0075173E" w:rsidRDefault="001B778E" w:rsidP="003D7C50">
            <w:pPr>
              <w:spacing w:before="240" w:after="240"/>
              <w:jc w:val="center"/>
              <w:rPr>
                <w:rFonts w:cs="Arial"/>
                <w:b/>
                <w:bCs/>
              </w:rPr>
            </w:pPr>
            <w:r w:rsidRPr="0075173E">
              <w:rPr>
                <w:rFonts w:cs="Arial"/>
                <w:b/>
                <w:bCs/>
              </w:rPr>
              <w:t>3 Measures</w:t>
            </w:r>
          </w:p>
        </w:tc>
        <w:tc>
          <w:tcPr>
            <w:tcW w:w="1440" w:type="dxa"/>
          </w:tcPr>
          <w:p w14:paraId="3B3C90D0" w14:textId="77777777" w:rsidR="001B778E" w:rsidRPr="0075173E" w:rsidRDefault="001B778E" w:rsidP="003D7C50">
            <w:pPr>
              <w:spacing w:before="240" w:after="240"/>
              <w:jc w:val="center"/>
              <w:rPr>
                <w:rFonts w:cs="Arial"/>
                <w:b/>
                <w:bCs/>
              </w:rPr>
            </w:pPr>
            <w:r w:rsidRPr="0075173E">
              <w:rPr>
                <w:rFonts w:cs="Arial"/>
                <w:b/>
                <w:bCs/>
              </w:rPr>
              <w:t>4 Measures</w:t>
            </w:r>
          </w:p>
        </w:tc>
        <w:tc>
          <w:tcPr>
            <w:tcW w:w="1350" w:type="dxa"/>
          </w:tcPr>
          <w:p w14:paraId="1D8C6178" w14:textId="77777777" w:rsidR="001B778E" w:rsidRPr="0075173E" w:rsidRDefault="001B778E" w:rsidP="003D7C50">
            <w:pPr>
              <w:spacing w:before="240" w:after="240"/>
              <w:jc w:val="center"/>
              <w:rPr>
                <w:rFonts w:cs="Arial"/>
                <w:b/>
                <w:bCs/>
              </w:rPr>
            </w:pPr>
            <w:r w:rsidRPr="0075173E">
              <w:rPr>
                <w:rFonts w:cs="Arial"/>
                <w:b/>
                <w:bCs/>
              </w:rPr>
              <w:t>5 Measures</w:t>
            </w:r>
          </w:p>
        </w:tc>
        <w:tc>
          <w:tcPr>
            <w:tcW w:w="1440" w:type="dxa"/>
          </w:tcPr>
          <w:p w14:paraId="2D83ED45" w14:textId="77777777" w:rsidR="001B778E" w:rsidRPr="0075173E" w:rsidRDefault="001B778E" w:rsidP="003D7C50">
            <w:pPr>
              <w:spacing w:before="240" w:after="240"/>
              <w:jc w:val="center"/>
              <w:rPr>
                <w:rFonts w:cs="Arial"/>
                <w:b/>
                <w:bCs/>
              </w:rPr>
            </w:pPr>
            <w:r w:rsidRPr="0075173E">
              <w:rPr>
                <w:rFonts w:cs="Arial"/>
                <w:b/>
                <w:bCs/>
              </w:rPr>
              <w:t>6 Measures</w:t>
            </w:r>
          </w:p>
        </w:tc>
        <w:tc>
          <w:tcPr>
            <w:tcW w:w="1440" w:type="dxa"/>
          </w:tcPr>
          <w:p w14:paraId="39323E24" w14:textId="77777777" w:rsidR="001B778E" w:rsidRPr="0075173E" w:rsidRDefault="001B778E" w:rsidP="003D7C50">
            <w:pPr>
              <w:spacing w:before="240" w:after="240"/>
              <w:jc w:val="center"/>
              <w:rPr>
                <w:rFonts w:cs="Arial"/>
                <w:b/>
                <w:bCs/>
              </w:rPr>
            </w:pPr>
            <w:r w:rsidRPr="0075173E">
              <w:rPr>
                <w:rFonts w:cs="Arial"/>
                <w:b/>
                <w:bCs/>
              </w:rPr>
              <w:t>7 Measures</w:t>
            </w:r>
          </w:p>
        </w:tc>
        <w:tc>
          <w:tcPr>
            <w:tcW w:w="1440" w:type="dxa"/>
          </w:tcPr>
          <w:p w14:paraId="5786CF42" w14:textId="77777777" w:rsidR="001B778E" w:rsidRPr="0075173E" w:rsidRDefault="001B778E" w:rsidP="003D7C50">
            <w:pPr>
              <w:spacing w:before="240" w:after="240"/>
              <w:jc w:val="center"/>
              <w:rPr>
                <w:rFonts w:cs="Arial"/>
                <w:b/>
                <w:bCs/>
              </w:rPr>
            </w:pPr>
            <w:r w:rsidRPr="0075173E">
              <w:rPr>
                <w:rFonts w:cs="Arial"/>
                <w:b/>
                <w:bCs/>
              </w:rPr>
              <w:t>8 Measures</w:t>
            </w:r>
          </w:p>
        </w:tc>
      </w:tr>
      <w:tr w:rsidR="003D7C50" w14:paraId="2C12F184" w14:textId="77777777" w:rsidTr="00F05DFE">
        <w:trPr>
          <w:cantSplit/>
          <w:trHeight w:val="1308"/>
        </w:trPr>
        <w:tc>
          <w:tcPr>
            <w:tcW w:w="2160" w:type="dxa"/>
          </w:tcPr>
          <w:p w14:paraId="0250BD4D" w14:textId="77777777" w:rsidR="001B778E" w:rsidRPr="00634426" w:rsidRDefault="001B778E" w:rsidP="00F2032F">
            <w:pPr>
              <w:spacing w:before="240" w:after="240"/>
              <w:rPr>
                <w:rFonts w:cs="Arial"/>
              </w:rPr>
            </w:pPr>
            <w:r w:rsidRPr="00634426">
              <w:rPr>
                <w:rFonts w:cs="Arial"/>
              </w:rPr>
              <w:t>Met Prepared</w:t>
            </w:r>
          </w:p>
        </w:tc>
        <w:tc>
          <w:tcPr>
            <w:tcW w:w="1350" w:type="dxa"/>
            <w:vAlign w:val="center"/>
          </w:tcPr>
          <w:p w14:paraId="6E7AE82B" w14:textId="3998DD75" w:rsidR="001B778E" w:rsidRPr="003D7C50" w:rsidRDefault="001B778E" w:rsidP="003D7C50">
            <w:pPr>
              <w:jc w:val="center"/>
              <w:rPr>
                <w:rFonts w:cs="Arial"/>
                <w:color w:val="000000"/>
              </w:rPr>
            </w:pPr>
            <w:r w:rsidRPr="003D7C50">
              <w:rPr>
                <w:rFonts w:cs="Arial"/>
                <w:color w:val="000000"/>
              </w:rPr>
              <w:t>256,821</w:t>
            </w:r>
          </w:p>
        </w:tc>
        <w:tc>
          <w:tcPr>
            <w:tcW w:w="1350" w:type="dxa"/>
            <w:vAlign w:val="center"/>
          </w:tcPr>
          <w:p w14:paraId="7C29B879" w14:textId="77777777" w:rsidR="001B778E" w:rsidRPr="00634426" w:rsidRDefault="001B778E" w:rsidP="003D7C50">
            <w:pPr>
              <w:spacing w:before="240" w:after="240"/>
              <w:jc w:val="center"/>
              <w:rPr>
                <w:rFonts w:cs="Arial"/>
              </w:rPr>
            </w:pPr>
            <w:r w:rsidRPr="003D7C50">
              <w:rPr>
                <w:rFonts w:cs="Arial"/>
                <w:color w:val="000000"/>
              </w:rPr>
              <w:t>63,297</w:t>
            </w:r>
          </w:p>
        </w:tc>
        <w:tc>
          <w:tcPr>
            <w:tcW w:w="1440" w:type="dxa"/>
            <w:vAlign w:val="center"/>
          </w:tcPr>
          <w:p w14:paraId="6796FEA7" w14:textId="77777777" w:rsidR="001B778E" w:rsidRPr="00634426" w:rsidRDefault="001B778E" w:rsidP="003D7C50">
            <w:pPr>
              <w:spacing w:before="240" w:after="240"/>
              <w:jc w:val="center"/>
              <w:rPr>
                <w:rFonts w:cs="Arial"/>
              </w:rPr>
            </w:pPr>
            <w:r w:rsidRPr="003D7C50">
              <w:rPr>
                <w:rFonts w:cs="Arial"/>
                <w:color w:val="000000"/>
              </w:rPr>
              <w:t>65,960</w:t>
            </w:r>
          </w:p>
        </w:tc>
        <w:tc>
          <w:tcPr>
            <w:tcW w:w="1440" w:type="dxa"/>
            <w:vAlign w:val="center"/>
          </w:tcPr>
          <w:p w14:paraId="26B440E2" w14:textId="77777777" w:rsidR="001B778E" w:rsidRPr="00634426" w:rsidRDefault="001B778E" w:rsidP="003D7C50">
            <w:pPr>
              <w:spacing w:before="240" w:after="240"/>
              <w:jc w:val="center"/>
              <w:rPr>
                <w:rFonts w:cs="Arial"/>
              </w:rPr>
            </w:pPr>
            <w:r w:rsidRPr="003D7C50">
              <w:rPr>
                <w:rFonts w:cs="Arial"/>
                <w:color w:val="000000"/>
              </w:rPr>
              <w:t>63,787</w:t>
            </w:r>
          </w:p>
        </w:tc>
        <w:tc>
          <w:tcPr>
            <w:tcW w:w="1440" w:type="dxa"/>
            <w:vAlign w:val="center"/>
          </w:tcPr>
          <w:p w14:paraId="6C29ED60" w14:textId="77777777" w:rsidR="001B778E" w:rsidRPr="00634426" w:rsidRDefault="001B778E" w:rsidP="003D7C50">
            <w:pPr>
              <w:jc w:val="center"/>
              <w:rPr>
                <w:rFonts w:cs="Arial"/>
              </w:rPr>
            </w:pPr>
            <w:r w:rsidRPr="003D7C50">
              <w:rPr>
                <w:rFonts w:cs="Arial"/>
                <w:color w:val="000000"/>
              </w:rPr>
              <w:t>45,170</w:t>
            </w:r>
          </w:p>
        </w:tc>
        <w:tc>
          <w:tcPr>
            <w:tcW w:w="1350" w:type="dxa"/>
            <w:vAlign w:val="center"/>
          </w:tcPr>
          <w:p w14:paraId="1F845C76" w14:textId="77777777" w:rsidR="001B778E" w:rsidRPr="00634426" w:rsidRDefault="001B778E" w:rsidP="003D7C50">
            <w:pPr>
              <w:spacing w:before="240" w:after="240"/>
              <w:jc w:val="center"/>
              <w:rPr>
                <w:rFonts w:cs="Arial"/>
              </w:rPr>
            </w:pPr>
            <w:r w:rsidRPr="003D7C50">
              <w:rPr>
                <w:rFonts w:cs="Arial"/>
                <w:color w:val="000000"/>
              </w:rPr>
              <w:t>15,889</w:t>
            </w:r>
          </w:p>
        </w:tc>
        <w:tc>
          <w:tcPr>
            <w:tcW w:w="1440" w:type="dxa"/>
            <w:vAlign w:val="center"/>
          </w:tcPr>
          <w:p w14:paraId="33DBD397" w14:textId="77777777" w:rsidR="001B778E" w:rsidRPr="00634426" w:rsidRDefault="001B778E" w:rsidP="003D7C50">
            <w:pPr>
              <w:spacing w:before="240" w:after="240"/>
              <w:jc w:val="center"/>
              <w:rPr>
                <w:rFonts w:cs="Arial"/>
              </w:rPr>
            </w:pPr>
            <w:r w:rsidRPr="003D7C50">
              <w:rPr>
                <w:rFonts w:cs="Arial"/>
                <w:color w:val="000000"/>
              </w:rPr>
              <w:t>2,651</w:t>
            </w:r>
          </w:p>
        </w:tc>
        <w:tc>
          <w:tcPr>
            <w:tcW w:w="1440" w:type="dxa"/>
            <w:vAlign w:val="center"/>
          </w:tcPr>
          <w:p w14:paraId="13510E97" w14:textId="77777777" w:rsidR="001B778E" w:rsidRPr="00634426" w:rsidRDefault="001B778E" w:rsidP="003D7C50">
            <w:pPr>
              <w:spacing w:before="240" w:after="240"/>
              <w:jc w:val="center"/>
              <w:rPr>
                <w:rFonts w:cs="Arial"/>
              </w:rPr>
            </w:pPr>
            <w:r w:rsidRPr="00634426">
              <w:rPr>
                <w:rFonts w:cs="Arial"/>
              </w:rPr>
              <w:t>64</w:t>
            </w:r>
          </w:p>
        </w:tc>
        <w:tc>
          <w:tcPr>
            <w:tcW w:w="1440" w:type="dxa"/>
            <w:vAlign w:val="center"/>
          </w:tcPr>
          <w:p w14:paraId="27A97C51" w14:textId="77777777" w:rsidR="001B778E" w:rsidRPr="00634426" w:rsidRDefault="001B778E" w:rsidP="003D7C50">
            <w:pPr>
              <w:spacing w:before="240" w:after="240"/>
              <w:jc w:val="center"/>
              <w:rPr>
                <w:rFonts w:cs="Arial"/>
              </w:rPr>
            </w:pPr>
            <w:r w:rsidRPr="00634426">
              <w:rPr>
                <w:rFonts w:cs="Arial"/>
              </w:rPr>
              <w:t>3</w:t>
            </w:r>
          </w:p>
        </w:tc>
      </w:tr>
      <w:tr w:rsidR="003D7C50" w14:paraId="7ED1B841" w14:textId="77777777" w:rsidTr="00F05DFE">
        <w:trPr>
          <w:cantSplit/>
          <w:trHeight w:val="1308"/>
        </w:trPr>
        <w:tc>
          <w:tcPr>
            <w:tcW w:w="2160" w:type="dxa"/>
          </w:tcPr>
          <w:p w14:paraId="6DC8105E" w14:textId="3F6AEE8C" w:rsidR="001B778E" w:rsidRPr="00634426" w:rsidRDefault="001B778E" w:rsidP="00F2032F">
            <w:pPr>
              <w:spacing w:before="240" w:after="240"/>
              <w:rPr>
                <w:rFonts w:cs="Arial"/>
              </w:rPr>
            </w:pPr>
            <w:r w:rsidRPr="00634426">
              <w:rPr>
                <w:rFonts w:cs="Arial"/>
              </w:rPr>
              <w:t>Met Approaching Prepared</w:t>
            </w:r>
          </w:p>
        </w:tc>
        <w:tc>
          <w:tcPr>
            <w:tcW w:w="1350" w:type="dxa"/>
            <w:vAlign w:val="center"/>
          </w:tcPr>
          <w:p w14:paraId="2F28E7ED" w14:textId="77777777" w:rsidR="001B778E" w:rsidRPr="003D7C50" w:rsidRDefault="001B778E" w:rsidP="003D7C50">
            <w:pPr>
              <w:jc w:val="center"/>
              <w:rPr>
                <w:rFonts w:cs="Arial"/>
                <w:color w:val="000000"/>
              </w:rPr>
            </w:pPr>
            <w:r w:rsidRPr="003D7C50">
              <w:rPr>
                <w:rFonts w:cs="Arial"/>
                <w:color w:val="000000"/>
              </w:rPr>
              <w:t>72,741</w:t>
            </w:r>
          </w:p>
        </w:tc>
        <w:tc>
          <w:tcPr>
            <w:tcW w:w="1350" w:type="dxa"/>
            <w:vAlign w:val="center"/>
          </w:tcPr>
          <w:p w14:paraId="4F5639A7" w14:textId="77777777" w:rsidR="001B778E" w:rsidRPr="00634426" w:rsidRDefault="001B778E" w:rsidP="003D7C50">
            <w:pPr>
              <w:spacing w:before="240" w:after="240"/>
              <w:jc w:val="center"/>
              <w:rPr>
                <w:rFonts w:cs="Arial"/>
              </w:rPr>
            </w:pPr>
            <w:r w:rsidRPr="00634426">
              <w:rPr>
                <w:rFonts w:cs="Arial"/>
              </w:rPr>
              <w:t>65,098</w:t>
            </w:r>
          </w:p>
        </w:tc>
        <w:tc>
          <w:tcPr>
            <w:tcW w:w="1440" w:type="dxa"/>
            <w:vAlign w:val="center"/>
          </w:tcPr>
          <w:p w14:paraId="39EE8B3E" w14:textId="77777777" w:rsidR="001B778E" w:rsidRPr="00634426" w:rsidRDefault="001B778E" w:rsidP="003D7C50">
            <w:pPr>
              <w:spacing w:before="240" w:after="240"/>
              <w:jc w:val="center"/>
              <w:rPr>
                <w:rFonts w:cs="Arial"/>
              </w:rPr>
            </w:pPr>
            <w:r w:rsidRPr="00634426">
              <w:rPr>
                <w:rFonts w:cs="Arial"/>
              </w:rPr>
              <w:t>7,450</w:t>
            </w:r>
          </w:p>
        </w:tc>
        <w:tc>
          <w:tcPr>
            <w:tcW w:w="1440" w:type="dxa"/>
            <w:vAlign w:val="center"/>
          </w:tcPr>
          <w:p w14:paraId="0F609F9F" w14:textId="77777777" w:rsidR="001B778E" w:rsidRPr="00634426" w:rsidRDefault="001B778E" w:rsidP="003D7C50">
            <w:pPr>
              <w:spacing w:before="240" w:after="240"/>
              <w:jc w:val="center"/>
              <w:rPr>
                <w:rFonts w:cs="Arial"/>
              </w:rPr>
            </w:pPr>
            <w:r w:rsidRPr="00634426">
              <w:rPr>
                <w:rFonts w:cs="Arial"/>
              </w:rPr>
              <w:t>190</w:t>
            </w:r>
          </w:p>
        </w:tc>
        <w:tc>
          <w:tcPr>
            <w:tcW w:w="1440" w:type="dxa"/>
            <w:vAlign w:val="center"/>
          </w:tcPr>
          <w:p w14:paraId="08D83EED" w14:textId="77777777" w:rsidR="001B778E" w:rsidRPr="00634426" w:rsidRDefault="001B778E" w:rsidP="003D7C50">
            <w:pPr>
              <w:spacing w:before="240" w:after="240"/>
              <w:jc w:val="center"/>
              <w:rPr>
                <w:rFonts w:cs="Arial"/>
              </w:rPr>
            </w:pPr>
            <w:r w:rsidRPr="00634426">
              <w:rPr>
                <w:rFonts w:cs="Arial"/>
              </w:rPr>
              <w:t>3</w:t>
            </w:r>
          </w:p>
        </w:tc>
        <w:tc>
          <w:tcPr>
            <w:tcW w:w="1350" w:type="dxa"/>
            <w:vAlign w:val="center"/>
          </w:tcPr>
          <w:p w14:paraId="6AF2CB5C" w14:textId="73901CD5" w:rsidR="001B778E" w:rsidRPr="00634426" w:rsidRDefault="00634426" w:rsidP="003D7C50">
            <w:pPr>
              <w:spacing w:before="240" w:after="240"/>
              <w:jc w:val="center"/>
              <w:rPr>
                <w:rFonts w:cs="Arial"/>
              </w:rPr>
            </w:pPr>
            <w:r>
              <w:rPr>
                <w:rFonts w:cs="Arial"/>
              </w:rPr>
              <w:t>0</w:t>
            </w:r>
          </w:p>
        </w:tc>
        <w:tc>
          <w:tcPr>
            <w:tcW w:w="1440" w:type="dxa"/>
            <w:vAlign w:val="center"/>
          </w:tcPr>
          <w:p w14:paraId="7F706A46" w14:textId="3607FCEB" w:rsidR="001B778E" w:rsidRPr="00634426" w:rsidRDefault="00634426" w:rsidP="003D7C50">
            <w:pPr>
              <w:spacing w:before="240" w:after="240"/>
              <w:jc w:val="center"/>
              <w:rPr>
                <w:rFonts w:cs="Arial"/>
              </w:rPr>
            </w:pPr>
            <w:r>
              <w:rPr>
                <w:rFonts w:cs="Arial"/>
              </w:rPr>
              <w:t>0</w:t>
            </w:r>
          </w:p>
        </w:tc>
        <w:tc>
          <w:tcPr>
            <w:tcW w:w="1440" w:type="dxa"/>
            <w:vAlign w:val="center"/>
          </w:tcPr>
          <w:p w14:paraId="16AA0854" w14:textId="36CE4B69" w:rsidR="001B778E" w:rsidRPr="00634426" w:rsidRDefault="00634426" w:rsidP="003D7C50">
            <w:pPr>
              <w:spacing w:before="240" w:after="240"/>
              <w:jc w:val="center"/>
              <w:rPr>
                <w:rFonts w:cs="Arial"/>
              </w:rPr>
            </w:pPr>
            <w:r>
              <w:rPr>
                <w:rFonts w:cs="Arial"/>
              </w:rPr>
              <w:t>0</w:t>
            </w:r>
          </w:p>
        </w:tc>
        <w:tc>
          <w:tcPr>
            <w:tcW w:w="1440" w:type="dxa"/>
            <w:vAlign w:val="center"/>
          </w:tcPr>
          <w:p w14:paraId="140E2C99" w14:textId="522DECDD" w:rsidR="001B778E" w:rsidRPr="00634426" w:rsidRDefault="00634426" w:rsidP="003D7C50">
            <w:pPr>
              <w:spacing w:before="240" w:after="240"/>
              <w:jc w:val="center"/>
              <w:rPr>
                <w:rFonts w:cs="Arial"/>
              </w:rPr>
            </w:pPr>
            <w:r>
              <w:rPr>
                <w:rFonts w:cs="Arial"/>
              </w:rPr>
              <w:t>0</w:t>
            </w:r>
          </w:p>
        </w:tc>
      </w:tr>
    </w:tbl>
    <w:p w14:paraId="24F2D84F" w14:textId="77777777" w:rsidR="00B41530" w:rsidRPr="005E499F" w:rsidRDefault="00B41530" w:rsidP="00B41530">
      <w:pPr>
        <w:spacing w:before="240"/>
        <w:rPr>
          <w:b/>
        </w:rPr>
      </w:pPr>
      <w:r>
        <w:t xml:space="preserve">Note: </w:t>
      </w:r>
      <w:r w:rsidRPr="005E499F">
        <w:t>114,784 students in the 2024–25 Combined 4-Year and 5-Year Cohort were not measured as prepared by their school/LEA.</w:t>
      </w:r>
    </w:p>
    <w:p w14:paraId="3CDA7CCF" w14:textId="77777777" w:rsidR="00B41530" w:rsidRPr="00B41530" w:rsidRDefault="00B41530" w:rsidP="00B41530"/>
    <w:sectPr w:rsidR="00B41530" w:rsidRPr="00B41530" w:rsidSect="005A0F5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BD89" w14:textId="77777777" w:rsidR="001D7401" w:rsidRDefault="001D7401" w:rsidP="000E09DC">
      <w:r>
        <w:separator/>
      </w:r>
    </w:p>
  </w:endnote>
  <w:endnote w:type="continuationSeparator" w:id="0">
    <w:p w14:paraId="295F402C" w14:textId="77777777" w:rsidR="001D7401" w:rsidRDefault="001D7401"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0BD0" w14:textId="77777777" w:rsidR="00B41530" w:rsidRDefault="00B4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D421" w14:textId="77777777" w:rsidR="00B41530" w:rsidRDefault="00B41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F2D1" w14:textId="77777777" w:rsidR="00B41530" w:rsidRDefault="00B4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9F38" w14:textId="77777777" w:rsidR="001D7401" w:rsidRDefault="001D7401" w:rsidP="000E09DC">
      <w:r>
        <w:separator/>
      </w:r>
    </w:p>
  </w:footnote>
  <w:footnote w:type="continuationSeparator" w:id="0">
    <w:p w14:paraId="39398B98" w14:textId="77777777" w:rsidR="001D7401" w:rsidRDefault="001D7401"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2C42" w14:textId="77777777" w:rsidR="00B41530" w:rsidRDefault="00B41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BCA8" w14:textId="77777777" w:rsidR="000E09DC" w:rsidRPr="000E09DC" w:rsidRDefault="00240B26" w:rsidP="000E09DC">
    <w:pPr>
      <w:tabs>
        <w:tab w:val="center" w:pos="4680"/>
        <w:tab w:val="right" w:pos="9360"/>
      </w:tabs>
      <w:autoSpaceDE w:val="0"/>
      <w:autoSpaceDN w:val="0"/>
      <w:adjustRightInd w:val="0"/>
      <w:jc w:val="right"/>
      <w:rPr>
        <w:rFonts w:eastAsia="Calibri" w:cs="Arial"/>
      </w:rPr>
    </w:pPr>
    <w:r>
      <w:rPr>
        <w:rFonts w:eastAsia="Calibri" w:cs="Arial"/>
      </w:rPr>
      <w:t>General Waiver</w:t>
    </w:r>
  </w:p>
  <w:p w14:paraId="6C55BCA9" w14:textId="77777777" w:rsidR="000E09DC" w:rsidRDefault="000E09DC"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47534A">
      <w:rPr>
        <w:rFonts w:cs="Arial"/>
        <w:noProof/>
      </w:rPr>
      <w:t>2</w:t>
    </w:r>
    <w:r w:rsidRPr="000E09DC">
      <w:rPr>
        <w:rFonts w:cs="Arial"/>
        <w:noProof/>
      </w:rPr>
      <w:fldChar w:fldCharType="end"/>
    </w:r>
    <w:r w:rsidRPr="000E09DC">
      <w:rPr>
        <w:rFonts w:cs="Arial"/>
      </w:rPr>
      <w:t xml:space="preserve"> of </w:t>
    </w:r>
    <w:r w:rsidR="00527B0E">
      <w:rPr>
        <w:rFonts w:cs="Arial"/>
      </w:rPr>
      <w:t>3</w:t>
    </w:r>
  </w:p>
  <w:p w14:paraId="6C55BCAA" w14:textId="77777777" w:rsidR="00527B0E" w:rsidRPr="00527B0E" w:rsidRDefault="00527B0E" w:rsidP="000E09DC">
    <w:pPr>
      <w:pStyle w:val="Header"/>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98F2" w14:textId="77777777" w:rsidR="00B41530" w:rsidRDefault="00B415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CE47" w14:textId="77777777" w:rsidR="00E45C37" w:rsidRDefault="00E45C37" w:rsidP="00E45C37">
    <w:pPr>
      <w:jc w:val="right"/>
    </w:pPr>
    <w:r>
      <w:t>itb</w:t>
    </w:r>
    <w:r w:rsidRPr="00945AD5">
      <w:t>-amard-</w:t>
    </w:r>
    <w:r>
      <w:t>jan26</w:t>
    </w:r>
    <w:r w:rsidRPr="00945AD5">
      <w:t>item0</w:t>
    </w:r>
    <w:r>
      <w:t>2</w:t>
    </w:r>
  </w:p>
  <w:p w14:paraId="6C55BCAC" w14:textId="3493D13A" w:rsidR="00223112" w:rsidRPr="00527B0E" w:rsidRDefault="009B04E1" w:rsidP="005247FC">
    <w:pPr>
      <w:pStyle w:val="Header"/>
      <w:spacing w:after="480"/>
      <w:jc w:val="right"/>
      <w:rPr>
        <w:rFonts w:cs="Arial"/>
      </w:rPr>
    </w:pPr>
    <w:r>
      <w:rPr>
        <w:rFonts w:cs="Arial"/>
      </w:rPr>
      <w:t xml:space="preserve">Page </w:t>
    </w:r>
    <w:r w:rsidR="00B96DB2" w:rsidRPr="00B96DB2">
      <w:rPr>
        <w:rFonts w:cs="Arial"/>
      </w:rPr>
      <w:fldChar w:fldCharType="begin"/>
    </w:r>
    <w:r w:rsidR="00B96DB2" w:rsidRPr="00B96DB2">
      <w:rPr>
        <w:rFonts w:cs="Arial"/>
      </w:rPr>
      <w:instrText xml:space="preserve"> PAGE   \* MERGEFORMAT </w:instrText>
    </w:r>
    <w:r w:rsidR="00B96DB2" w:rsidRPr="00B96DB2">
      <w:rPr>
        <w:rFonts w:cs="Arial"/>
      </w:rPr>
      <w:fldChar w:fldCharType="separate"/>
    </w:r>
    <w:r w:rsidR="00945AD5">
      <w:rPr>
        <w:rFonts w:cs="Arial"/>
        <w:noProof/>
      </w:rPr>
      <w:t>3</w:t>
    </w:r>
    <w:r w:rsidR="00B96DB2" w:rsidRPr="00B96DB2">
      <w:rPr>
        <w:rFonts w:cs="Arial"/>
        <w:noProof/>
      </w:rPr>
      <w:fldChar w:fldCharType="end"/>
    </w:r>
    <w:r>
      <w:rPr>
        <w:rFonts w:cs="Arial"/>
      </w:rPr>
      <w:t xml:space="preserve"> of </w:t>
    </w:r>
    <w:r w:rsidR="00A114E9">
      <w:rPr>
        <w:rFonts w:cs="Arial"/>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B7CD" w14:textId="77777777" w:rsidR="00EA5B24" w:rsidRDefault="00EA5B24" w:rsidP="00E45C37">
    <w:pPr>
      <w:jc w:val="right"/>
    </w:pPr>
    <w:r>
      <w:t>itb</w:t>
    </w:r>
    <w:r w:rsidRPr="00945AD5">
      <w:t>-amard-</w:t>
    </w:r>
    <w:r>
      <w:t>jan26</w:t>
    </w:r>
    <w:r w:rsidRPr="00945AD5">
      <w:t>item0</w:t>
    </w:r>
    <w:r>
      <w:t>2</w:t>
    </w:r>
  </w:p>
  <w:p w14:paraId="6ED2FE66" w14:textId="7253B064" w:rsidR="00EA5B24" w:rsidRPr="00945AD5" w:rsidRDefault="00EA5B24" w:rsidP="00E45C37">
    <w:pPr>
      <w:jc w:val="right"/>
    </w:pPr>
    <w:r>
      <w:t>Attachment 1</w:t>
    </w:r>
  </w:p>
  <w:p w14:paraId="2F768179" w14:textId="75455852" w:rsidR="00EA5B24" w:rsidRPr="00527B0E" w:rsidRDefault="00EA5B24" w:rsidP="005247FC">
    <w:pPr>
      <w:pStyle w:val="Header"/>
      <w:spacing w:after="480"/>
      <w:jc w:val="right"/>
      <w:rPr>
        <w:rFonts w:cs="Arial"/>
      </w:rPr>
    </w:pPr>
    <w:r>
      <w:rPr>
        <w:rFonts w:cs="Arial"/>
      </w:rPr>
      <w:t xml:space="preserve">Page </w:t>
    </w:r>
    <w:r w:rsidRPr="00B96DB2">
      <w:rPr>
        <w:rFonts w:cs="Arial"/>
      </w:rPr>
      <w:fldChar w:fldCharType="begin"/>
    </w:r>
    <w:r w:rsidRPr="00B96DB2">
      <w:rPr>
        <w:rFonts w:cs="Arial"/>
      </w:rPr>
      <w:instrText xml:space="preserve"> PAGE   \* MERGEFORMAT </w:instrText>
    </w:r>
    <w:r w:rsidRPr="00B96DB2">
      <w:rPr>
        <w:rFonts w:cs="Arial"/>
      </w:rPr>
      <w:fldChar w:fldCharType="separate"/>
    </w:r>
    <w:r>
      <w:rPr>
        <w:rFonts w:cs="Arial"/>
        <w:noProof/>
      </w:rPr>
      <w:t>3</w:t>
    </w:r>
    <w:r w:rsidRPr="00B96DB2">
      <w:rPr>
        <w:rFonts w:cs="Arial"/>
        <w:noProof/>
      </w:rPr>
      <w:fldChar w:fldCharType="end"/>
    </w:r>
    <w:r>
      <w:rPr>
        <w:rFonts w:cs="Arial"/>
      </w:rPr>
      <w:t xml:space="preserve"> of </w:t>
    </w:r>
    <w:r w:rsidR="009C34F8">
      <w:rPr>
        <w:rFonts w:cs="Arial"/>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99BC" w14:textId="77777777" w:rsidR="009C34F8" w:rsidRDefault="009C34F8" w:rsidP="00E45C37">
    <w:pPr>
      <w:jc w:val="right"/>
    </w:pPr>
    <w:r>
      <w:t>itb</w:t>
    </w:r>
    <w:r w:rsidRPr="00945AD5">
      <w:t>-amard-</w:t>
    </w:r>
    <w:r>
      <w:t>jan26</w:t>
    </w:r>
    <w:r w:rsidRPr="00945AD5">
      <w:t>item0</w:t>
    </w:r>
    <w:r>
      <w:t>2</w:t>
    </w:r>
  </w:p>
  <w:p w14:paraId="14B48D6D" w14:textId="1ABA4876" w:rsidR="009C34F8" w:rsidRPr="00945AD5" w:rsidRDefault="009C34F8" w:rsidP="00E45C37">
    <w:pPr>
      <w:jc w:val="right"/>
    </w:pPr>
    <w:r>
      <w:t>Attachment 2</w:t>
    </w:r>
  </w:p>
  <w:p w14:paraId="6DA2570D" w14:textId="7D334653" w:rsidR="009C34F8" w:rsidRPr="00527B0E" w:rsidRDefault="009C34F8" w:rsidP="005247FC">
    <w:pPr>
      <w:pStyle w:val="Header"/>
      <w:spacing w:after="480"/>
      <w:jc w:val="right"/>
      <w:rPr>
        <w:rFonts w:cs="Arial"/>
      </w:rPr>
    </w:pPr>
    <w:r>
      <w:rPr>
        <w:rFonts w:cs="Arial"/>
      </w:rPr>
      <w:t xml:space="preserve">Page </w:t>
    </w:r>
    <w:r w:rsidRPr="00B96DB2">
      <w:rPr>
        <w:rFonts w:cs="Arial"/>
      </w:rPr>
      <w:fldChar w:fldCharType="begin"/>
    </w:r>
    <w:r w:rsidRPr="00B96DB2">
      <w:rPr>
        <w:rFonts w:cs="Arial"/>
      </w:rPr>
      <w:instrText xml:space="preserve"> PAGE   \* MERGEFORMAT </w:instrText>
    </w:r>
    <w:r w:rsidRPr="00B96DB2">
      <w:rPr>
        <w:rFonts w:cs="Arial"/>
      </w:rPr>
      <w:fldChar w:fldCharType="separate"/>
    </w:r>
    <w:r>
      <w:rPr>
        <w:rFonts w:cs="Arial"/>
        <w:noProof/>
      </w:rPr>
      <w:t>3</w:t>
    </w:r>
    <w:r w:rsidRPr="00B96DB2">
      <w:rPr>
        <w:rFonts w:cs="Arial"/>
        <w:noProof/>
      </w:rPr>
      <w:fldChar w:fldCharType="end"/>
    </w:r>
    <w:r>
      <w:rPr>
        <w:rFonts w:cs="Arial"/>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49E5" w14:textId="77777777" w:rsidR="000F10B8" w:rsidRDefault="000F10B8" w:rsidP="00E45C37">
    <w:pPr>
      <w:jc w:val="right"/>
    </w:pPr>
    <w:r>
      <w:t>itb</w:t>
    </w:r>
    <w:r w:rsidRPr="00945AD5">
      <w:t>-amard-</w:t>
    </w:r>
    <w:r>
      <w:t>jan26</w:t>
    </w:r>
    <w:r w:rsidRPr="00945AD5">
      <w:t>item0</w:t>
    </w:r>
    <w:r>
      <w:t>2</w:t>
    </w:r>
  </w:p>
  <w:p w14:paraId="1592C011" w14:textId="48FB91C3" w:rsidR="000F10B8" w:rsidRPr="00945AD5" w:rsidRDefault="000F10B8" w:rsidP="00E45C37">
    <w:pPr>
      <w:jc w:val="right"/>
    </w:pPr>
    <w:r>
      <w:t>Attachment 3</w:t>
    </w:r>
  </w:p>
  <w:p w14:paraId="39DF18FA" w14:textId="65184DB2" w:rsidR="000F10B8" w:rsidRPr="00527B0E" w:rsidRDefault="000F10B8" w:rsidP="005247FC">
    <w:pPr>
      <w:pStyle w:val="Header"/>
      <w:spacing w:after="480"/>
      <w:jc w:val="right"/>
      <w:rPr>
        <w:rFonts w:cs="Arial"/>
      </w:rPr>
    </w:pPr>
    <w:r>
      <w:rPr>
        <w:rFonts w:cs="Arial"/>
      </w:rPr>
      <w:t xml:space="preserve">Page </w:t>
    </w:r>
    <w:r w:rsidRPr="00B96DB2">
      <w:rPr>
        <w:rFonts w:cs="Arial"/>
      </w:rPr>
      <w:fldChar w:fldCharType="begin"/>
    </w:r>
    <w:r w:rsidRPr="00B96DB2">
      <w:rPr>
        <w:rFonts w:cs="Arial"/>
      </w:rPr>
      <w:instrText xml:space="preserve"> PAGE   \* MERGEFORMAT </w:instrText>
    </w:r>
    <w:r w:rsidRPr="00B96DB2">
      <w:rPr>
        <w:rFonts w:cs="Arial"/>
      </w:rPr>
      <w:fldChar w:fldCharType="separate"/>
    </w:r>
    <w:r>
      <w:rPr>
        <w:rFonts w:cs="Arial"/>
        <w:noProof/>
      </w:rPr>
      <w:t>3</w:t>
    </w:r>
    <w:r w:rsidRPr="00B96DB2">
      <w:rPr>
        <w:rFonts w:cs="Arial"/>
        <w:noProof/>
      </w:rPr>
      <w:fldChar w:fldCharType="end"/>
    </w:r>
    <w:r>
      <w:rPr>
        <w:rFonts w:cs="Arial"/>
      </w:rPr>
      <w:t xml:space="preserve"> of </w:t>
    </w:r>
    <w:r w:rsidR="00897B8E">
      <w:rPr>
        <w:rFonts w:cs="Arial"/>
      </w:rPr>
      <w:t>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02E2" w14:textId="77777777" w:rsidR="007834EA" w:rsidRDefault="007834EA" w:rsidP="00E45C37">
    <w:pPr>
      <w:jc w:val="right"/>
    </w:pPr>
    <w:r>
      <w:t>itb</w:t>
    </w:r>
    <w:r w:rsidRPr="00945AD5">
      <w:t>-amard-</w:t>
    </w:r>
    <w:r>
      <w:t>jan26</w:t>
    </w:r>
    <w:r w:rsidRPr="00945AD5">
      <w:t>item0</w:t>
    </w:r>
    <w:r>
      <w:t>2</w:t>
    </w:r>
  </w:p>
  <w:p w14:paraId="7A829F6B" w14:textId="4250ECA2" w:rsidR="007834EA" w:rsidRPr="00945AD5" w:rsidRDefault="007834EA" w:rsidP="00E45C37">
    <w:pPr>
      <w:jc w:val="right"/>
    </w:pPr>
    <w:r>
      <w:t xml:space="preserve">Attachment </w:t>
    </w:r>
    <w:r w:rsidR="00897B8E">
      <w:t>3</w:t>
    </w:r>
  </w:p>
  <w:p w14:paraId="002ACDE0" w14:textId="38FE7F11" w:rsidR="007834EA" w:rsidRPr="00527B0E" w:rsidRDefault="007834EA" w:rsidP="005247FC">
    <w:pPr>
      <w:pStyle w:val="Header"/>
      <w:spacing w:after="480"/>
      <w:jc w:val="right"/>
      <w:rPr>
        <w:rFonts w:cs="Arial"/>
      </w:rPr>
    </w:pPr>
    <w:r>
      <w:rPr>
        <w:rFonts w:cs="Arial"/>
      </w:rPr>
      <w:t xml:space="preserve">Page </w:t>
    </w:r>
    <w:r w:rsidRPr="00B96DB2">
      <w:rPr>
        <w:rFonts w:cs="Arial"/>
      </w:rPr>
      <w:fldChar w:fldCharType="begin"/>
    </w:r>
    <w:r w:rsidRPr="00B96DB2">
      <w:rPr>
        <w:rFonts w:cs="Arial"/>
      </w:rPr>
      <w:instrText xml:space="preserve"> PAGE   \* MERGEFORMAT </w:instrText>
    </w:r>
    <w:r w:rsidRPr="00B96DB2">
      <w:rPr>
        <w:rFonts w:cs="Arial"/>
      </w:rPr>
      <w:fldChar w:fldCharType="separate"/>
    </w:r>
    <w:r>
      <w:rPr>
        <w:rFonts w:cs="Arial"/>
        <w:noProof/>
      </w:rPr>
      <w:t>3</w:t>
    </w:r>
    <w:r w:rsidRPr="00B96DB2">
      <w:rPr>
        <w:rFonts w:cs="Arial"/>
        <w:noProof/>
      </w:rPr>
      <w:fldChar w:fldCharType="end"/>
    </w:r>
    <w:r>
      <w:rPr>
        <w:rFonts w:cs="Arial"/>
      </w:rPr>
      <w:t xml:space="preserve"> of </w:t>
    </w:r>
    <w:r w:rsidR="00897B8E">
      <w:rPr>
        <w:rFonts w:cs="Aria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A5F33"/>
    <w:multiLevelType w:val="hybridMultilevel"/>
    <w:tmpl w:val="E2405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770195"/>
    <w:multiLevelType w:val="hybridMultilevel"/>
    <w:tmpl w:val="D3120D5A"/>
    <w:lvl w:ilvl="0" w:tplc="794CD716">
      <w:start w:val="1"/>
      <w:numFmt w:val="bullet"/>
      <w:lvlText w:val="·"/>
      <w:lvlJc w:val="left"/>
      <w:pPr>
        <w:ind w:left="720" w:hanging="360"/>
      </w:pPr>
      <w:rPr>
        <w:rFonts w:ascii="Symbol" w:hAnsi="Symbol" w:hint="default"/>
      </w:rPr>
    </w:lvl>
    <w:lvl w:ilvl="1" w:tplc="FA4833C2">
      <w:start w:val="1"/>
      <w:numFmt w:val="bullet"/>
      <w:lvlText w:val="o"/>
      <w:lvlJc w:val="left"/>
      <w:pPr>
        <w:ind w:left="1440" w:hanging="360"/>
      </w:pPr>
      <w:rPr>
        <w:rFonts w:ascii="Courier New" w:hAnsi="Courier New" w:hint="default"/>
      </w:rPr>
    </w:lvl>
    <w:lvl w:ilvl="2" w:tplc="E292B87C">
      <w:start w:val="1"/>
      <w:numFmt w:val="bullet"/>
      <w:lvlText w:val=""/>
      <w:lvlJc w:val="left"/>
      <w:pPr>
        <w:ind w:left="2160" w:hanging="360"/>
      </w:pPr>
      <w:rPr>
        <w:rFonts w:ascii="Wingdings" w:hAnsi="Wingdings" w:hint="default"/>
      </w:rPr>
    </w:lvl>
    <w:lvl w:ilvl="3" w:tplc="FD2C2F90">
      <w:start w:val="1"/>
      <w:numFmt w:val="bullet"/>
      <w:lvlText w:val=""/>
      <w:lvlJc w:val="left"/>
      <w:pPr>
        <w:ind w:left="2880" w:hanging="360"/>
      </w:pPr>
      <w:rPr>
        <w:rFonts w:ascii="Symbol" w:hAnsi="Symbol" w:hint="default"/>
      </w:rPr>
    </w:lvl>
    <w:lvl w:ilvl="4" w:tplc="F140B7D0">
      <w:start w:val="1"/>
      <w:numFmt w:val="bullet"/>
      <w:lvlText w:val="o"/>
      <w:lvlJc w:val="left"/>
      <w:pPr>
        <w:ind w:left="3600" w:hanging="360"/>
      </w:pPr>
      <w:rPr>
        <w:rFonts w:ascii="Courier New" w:hAnsi="Courier New" w:hint="default"/>
      </w:rPr>
    </w:lvl>
    <w:lvl w:ilvl="5" w:tplc="5FB63592">
      <w:start w:val="1"/>
      <w:numFmt w:val="bullet"/>
      <w:lvlText w:val=""/>
      <w:lvlJc w:val="left"/>
      <w:pPr>
        <w:ind w:left="4320" w:hanging="360"/>
      </w:pPr>
      <w:rPr>
        <w:rFonts w:ascii="Wingdings" w:hAnsi="Wingdings" w:hint="default"/>
      </w:rPr>
    </w:lvl>
    <w:lvl w:ilvl="6" w:tplc="81EEE7A0">
      <w:start w:val="1"/>
      <w:numFmt w:val="bullet"/>
      <w:lvlText w:val=""/>
      <w:lvlJc w:val="left"/>
      <w:pPr>
        <w:ind w:left="5040" w:hanging="360"/>
      </w:pPr>
      <w:rPr>
        <w:rFonts w:ascii="Symbol" w:hAnsi="Symbol" w:hint="default"/>
      </w:rPr>
    </w:lvl>
    <w:lvl w:ilvl="7" w:tplc="6D20051C">
      <w:start w:val="1"/>
      <w:numFmt w:val="bullet"/>
      <w:lvlText w:val="o"/>
      <w:lvlJc w:val="left"/>
      <w:pPr>
        <w:ind w:left="5760" w:hanging="360"/>
      </w:pPr>
      <w:rPr>
        <w:rFonts w:ascii="Courier New" w:hAnsi="Courier New" w:hint="default"/>
      </w:rPr>
    </w:lvl>
    <w:lvl w:ilvl="8" w:tplc="41CC8EDA">
      <w:start w:val="1"/>
      <w:numFmt w:val="bullet"/>
      <w:lvlText w:val=""/>
      <w:lvlJc w:val="left"/>
      <w:pPr>
        <w:ind w:left="6480" w:hanging="360"/>
      </w:pPr>
      <w:rPr>
        <w:rFonts w:ascii="Wingdings" w:hAnsi="Wingdings" w:hint="default"/>
      </w:rPr>
    </w:lvl>
  </w:abstractNum>
  <w:abstractNum w:abstractNumId="6" w15:restartNumberingAfterBreak="0">
    <w:nsid w:val="3C819D6C"/>
    <w:multiLevelType w:val="hybridMultilevel"/>
    <w:tmpl w:val="2654BE1A"/>
    <w:lvl w:ilvl="0" w:tplc="914803D6">
      <w:start w:val="1"/>
      <w:numFmt w:val="bullet"/>
      <w:lvlText w:val=""/>
      <w:lvlJc w:val="left"/>
      <w:pPr>
        <w:ind w:left="720" w:hanging="360"/>
      </w:pPr>
      <w:rPr>
        <w:rFonts w:ascii="Symbol" w:hAnsi="Symbol" w:hint="default"/>
      </w:rPr>
    </w:lvl>
    <w:lvl w:ilvl="1" w:tplc="8D44067C">
      <w:start w:val="1"/>
      <w:numFmt w:val="bullet"/>
      <w:lvlText w:val="o"/>
      <w:lvlJc w:val="left"/>
      <w:pPr>
        <w:ind w:left="1440" w:hanging="360"/>
      </w:pPr>
      <w:rPr>
        <w:rFonts w:ascii="Courier New" w:hAnsi="Courier New" w:hint="default"/>
      </w:rPr>
    </w:lvl>
    <w:lvl w:ilvl="2" w:tplc="113A3336">
      <w:start w:val="1"/>
      <w:numFmt w:val="bullet"/>
      <w:lvlText w:val=""/>
      <w:lvlJc w:val="left"/>
      <w:pPr>
        <w:ind w:left="2160" w:hanging="360"/>
      </w:pPr>
      <w:rPr>
        <w:rFonts w:ascii="Wingdings" w:hAnsi="Wingdings" w:hint="default"/>
      </w:rPr>
    </w:lvl>
    <w:lvl w:ilvl="3" w:tplc="065C33C8">
      <w:start w:val="1"/>
      <w:numFmt w:val="bullet"/>
      <w:lvlText w:val=""/>
      <w:lvlJc w:val="left"/>
      <w:pPr>
        <w:ind w:left="2880" w:hanging="360"/>
      </w:pPr>
      <w:rPr>
        <w:rFonts w:ascii="Symbol" w:hAnsi="Symbol" w:hint="default"/>
      </w:rPr>
    </w:lvl>
    <w:lvl w:ilvl="4" w:tplc="F0521FF2">
      <w:start w:val="1"/>
      <w:numFmt w:val="bullet"/>
      <w:lvlText w:val="o"/>
      <w:lvlJc w:val="left"/>
      <w:pPr>
        <w:ind w:left="3600" w:hanging="360"/>
      </w:pPr>
      <w:rPr>
        <w:rFonts w:ascii="Courier New" w:hAnsi="Courier New" w:hint="default"/>
      </w:rPr>
    </w:lvl>
    <w:lvl w:ilvl="5" w:tplc="F174756E">
      <w:start w:val="1"/>
      <w:numFmt w:val="bullet"/>
      <w:lvlText w:val=""/>
      <w:lvlJc w:val="left"/>
      <w:pPr>
        <w:ind w:left="4320" w:hanging="360"/>
      </w:pPr>
      <w:rPr>
        <w:rFonts w:ascii="Wingdings" w:hAnsi="Wingdings" w:hint="default"/>
      </w:rPr>
    </w:lvl>
    <w:lvl w:ilvl="6" w:tplc="8D765E48">
      <w:start w:val="1"/>
      <w:numFmt w:val="bullet"/>
      <w:lvlText w:val=""/>
      <w:lvlJc w:val="left"/>
      <w:pPr>
        <w:ind w:left="5040" w:hanging="360"/>
      </w:pPr>
      <w:rPr>
        <w:rFonts w:ascii="Symbol" w:hAnsi="Symbol" w:hint="default"/>
      </w:rPr>
    </w:lvl>
    <w:lvl w:ilvl="7" w:tplc="59FC82DE">
      <w:start w:val="1"/>
      <w:numFmt w:val="bullet"/>
      <w:lvlText w:val="o"/>
      <w:lvlJc w:val="left"/>
      <w:pPr>
        <w:ind w:left="5760" w:hanging="360"/>
      </w:pPr>
      <w:rPr>
        <w:rFonts w:ascii="Courier New" w:hAnsi="Courier New" w:hint="default"/>
      </w:rPr>
    </w:lvl>
    <w:lvl w:ilvl="8" w:tplc="1E16B9D4">
      <w:start w:val="1"/>
      <w:numFmt w:val="bullet"/>
      <w:lvlText w:val=""/>
      <w:lvlJc w:val="left"/>
      <w:pPr>
        <w:ind w:left="6480" w:hanging="360"/>
      </w:pPr>
      <w:rPr>
        <w:rFonts w:ascii="Wingdings" w:hAnsi="Wingdings" w:hint="default"/>
      </w:rPr>
    </w:lvl>
  </w:abstractNum>
  <w:abstractNum w:abstractNumId="7" w15:restartNumberingAfterBreak="0">
    <w:nsid w:val="3CE97EFD"/>
    <w:multiLevelType w:val="hybridMultilevel"/>
    <w:tmpl w:val="8136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7F659F"/>
    <w:multiLevelType w:val="hybridMultilevel"/>
    <w:tmpl w:val="B13C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93917"/>
    <w:multiLevelType w:val="hybridMultilevel"/>
    <w:tmpl w:val="2E1C6E26"/>
    <w:lvl w:ilvl="0" w:tplc="2D36EA0C">
      <w:start w:val="1"/>
      <w:numFmt w:val="bullet"/>
      <w:lvlText w:val="·"/>
      <w:lvlJc w:val="left"/>
      <w:pPr>
        <w:ind w:left="720" w:hanging="360"/>
      </w:pPr>
      <w:rPr>
        <w:rFonts w:ascii="Symbol" w:hAnsi="Symbol" w:hint="default"/>
      </w:rPr>
    </w:lvl>
    <w:lvl w:ilvl="1" w:tplc="65DE856C">
      <w:start w:val="1"/>
      <w:numFmt w:val="bullet"/>
      <w:lvlText w:val="o"/>
      <w:lvlJc w:val="left"/>
      <w:pPr>
        <w:ind w:left="1440" w:hanging="360"/>
      </w:pPr>
      <w:rPr>
        <w:rFonts w:ascii="Courier New" w:hAnsi="Courier New" w:hint="default"/>
      </w:rPr>
    </w:lvl>
    <w:lvl w:ilvl="2" w:tplc="20B048EC">
      <w:start w:val="1"/>
      <w:numFmt w:val="bullet"/>
      <w:lvlText w:val=""/>
      <w:lvlJc w:val="left"/>
      <w:pPr>
        <w:ind w:left="2160" w:hanging="360"/>
      </w:pPr>
      <w:rPr>
        <w:rFonts w:ascii="Wingdings" w:hAnsi="Wingdings" w:hint="default"/>
      </w:rPr>
    </w:lvl>
    <w:lvl w:ilvl="3" w:tplc="FC2E01B2">
      <w:start w:val="1"/>
      <w:numFmt w:val="bullet"/>
      <w:lvlText w:val=""/>
      <w:lvlJc w:val="left"/>
      <w:pPr>
        <w:ind w:left="2880" w:hanging="360"/>
      </w:pPr>
      <w:rPr>
        <w:rFonts w:ascii="Symbol" w:hAnsi="Symbol" w:hint="default"/>
      </w:rPr>
    </w:lvl>
    <w:lvl w:ilvl="4" w:tplc="7152B2DA">
      <w:start w:val="1"/>
      <w:numFmt w:val="bullet"/>
      <w:lvlText w:val="o"/>
      <w:lvlJc w:val="left"/>
      <w:pPr>
        <w:ind w:left="3600" w:hanging="360"/>
      </w:pPr>
      <w:rPr>
        <w:rFonts w:ascii="Courier New" w:hAnsi="Courier New" w:hint="default"/>
      </w:rPr>
    </w:lvl>
    <w:lvl w:ilvl="5" w:tplc="C66820CE">
      <w:start w:val="1"/>
      <w:numFmt w:val="bullet"/>
      <w:lvlText w:val=""/>
      <w:lvlJc w:val="left"/>
      <w:pPr>
        <w:ind w:left="4320" w:hanging="360"/>
      </w:pPr>
      <w:rPr>
        <w:rFonts w:ascii="Wingdings" w:hAnsi="Wingdings" w:hint="default"/>
      </w:rPr>
    </w:lvl>
    <w:lvl w:ilvl="6" w:tplc="04E052AA">
      <w:start w:val="1"/>
      <w:numFmt w:val="bullet"/>
      <w:lvlText w:val=""/>
      <w:lvlJc w:val="left"/>
      <w:pPr>
        <w:ind w:left="5040" w:hanging="360"/>
      </w:pPr>
      <w:rPr>
        <w:rFonts w:ascii="Symbol" w:hAnsi="Symbol" w:hint="default"/>
      </w:rPr>
    </w:lvl>
    <w:lvl w:ilvl="7" w:tplc="CCDE092A">
      <w:start w:val="1"/>
      <w:numFmt w:val="bullet"/>
      <w:lvlText w:val="o"/>
      <w:lvlJc w:val="left"/>
      <w:pPr>
        <w:ind w:left="5760" w:hanging="360"/>
      </w:pPr>
      <w:rPr>
        <w:rFonts w:ascii="Courier New" w:hAnsi="Courier New" w:hint="default"/>
      </w:rPr>
    </w:lvl>
    <w:lvl w:ilvl="8" w:tplc="F0D4913A">
      <w:start w:val="1"/>
      <w:numFmt w:val="bullet"/>
      <w:lvlText w:val=""/>
      <w:lvlJc w:val="left"/>
      <w:pPr>
        <w:ind w:left="6480" w:hanging="360"/>
      </w:pPr>
      <w:rPr>
        <w:rFonts w:ascii="Wingdings" w:hAnsi="Wingdings" w:hint="default"/>
      </w:rPr>
    </w:lvl>
  </w:abstractNum>
  <w:abstractNum w:abstractNumId="10" w15:restartNumberingAfterBreak="0">
    <w:nsid w:val="4CE82AAF"/>
    <w:multiLevelType w:val="hybridMultilevel"/>
    <w:tmpl w:val="72EE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E0A188"/>
    <w:multiLevelType w:val="hybridMultilevel"/>
    <w:tmpl w:val="1916BFE6"/>
    <w:lvl w:ilvl="0" w:tplc="84E27B40">
      <w:start w:val="1"/>
      <w:numFmt w:val="bullet"/>
      <w:lvlText w:val="·"/>
      <w:lvlJc w:val="left"/>
      <w:pPr>
        <w:ind w:left="720" w:hanging="360"/>
      </w:pPr>
      <w:rPr>
        <w:rFonts w:ascii="Symbol" w:hAnsi="Symbol" w:hint="default"/>
      </w:rPr>
    </w:lvl>
    <w:lvl w:ilvl="1" w:tplc="C0D07D02">
      <w:start w:val="1"/>
      <w:numFmt w:val="bullet"/>
      <w:lvlText w:val="o"/>
      <w:lvlJc w:val="left"/>
      <w:pPr>
        <w:ind w:left="1440" w:hanging="360"/>
      </w:pPr>
      <w:rPr>
        <w:rFonts w:ascii="Courier New" w:hAnsi="Courier New" w:hint="default"/>
      </w:rPr>
    </w:lvl>
    <w:lvl w:ilvl="2" w:tplc="31B8C250">
      <w:start w:val="1"/>
      <w:numFmt w:val="bullet"/>
      <w:lvlText w:val=""/>
      <w:lvlJc w:val="left"/>
      <w:pPr>
        <w:ind w:left="2160" w:hanging="360"/>
      </w:pPr>
      <w:rPr>
        <w:rFonts w:ascii="Wingdings" w:hAnsi="Wingdings" w:hint="default"/>
      </w:rPr>
    </w:lvl>
    <w:lvl w:ilvl="3" w:tplc="EF2E79D8">
      <w:start w:val="1"/>
      <w:numFmt w:val="bullet"/>
      <w:lvlText w:val=""/>
      <w:lvlJc w:val="left"/>
      <w:pPr>
        <w:ind w:left="2880" w:hanging="360"/>
      </w:pPr>
      <w:rPr>
        <w:rFonts w:ascii="Symbol" w:hAnsi="Symbol" w:hint="default"/>
      </w:rPr>
    </w:lvl>
    <w:lvl w:ilvl="4" w:tplc="B3F0979C">
      <w:start w:val="1"/>
      <w:numFmt w:val="bullet"/>
      <w:lvlText w:val="o"/>
      <w:lvlJc w:val="left"/>
      <w:pPr>
        <w:ind w:left="3600" w:hanging="360"/>
      </w:pPr>
      <w:rPr>
        <w:rFonts w:ascii="Courier New" w:hAnsi="Courier New" w:hint="default"/>
      </w:rPr>
    </w:lvl>
    <w:lvl w:ilvl="5" w:tplc="AF9A1800">
      <w:start w:val="1"/>
      <w:numFmt w:val="bullet"/>
      <w:lvlText w:val=""/>
      <w:lvlJc w:val="left"/>
      <w:pPr>
        <w:ind w:left="4320" w:hanging="360"/>
      </w:pPr>
      <w:rPr>
        <w:rFonts w:ascii="Wingdings" w:hAnsi="Wingdings" w:hint="default"/>
      </w:rPr>
    </w:lvl>
    <w:lvl w:ilvl="6" w:tplc="3B9056EC">
      <w:start w:val="1"/>
      <w:numFmt w:val="bullet"/>
      <w:lvlText w:val=""/>
      <w:lvlJc w:val="left"/>
      <w:pPr>
        <w:ind w:left="5040" w:hanging="360"/>
      </w:pPr>
      <w:rPr>
        <w:rFonts w:ascii="Symbol" w:hAnsi="Symbol" w:hint="default"/>
      </w:rPr>
    </w:lvl>
    <w:lvl w:ilvl="7" w:tplc="07F4998E">
      <w:start w:val="1"/>
      <w:numFmt w:val="bullet"/>
      <w:lvlText w:val="o"/>
      <w:lvlJc w:val="left"/>
      <w:pPr>
        <w:ind w:left="5760" w:hanging="360"/>
      </w:pPr>
      <w:rPr>
        <w:rFonts w:ascii="Courier New" w:hAnsi="Courier New" w:hint="default"/>
      </w:rPr>
    </w:lvl>
    <w:lvl w:ilvl="8" w:tplc="4E5A6C46">
      <w:start w:val="1"/>
      <w:numFmt w:val="bullet"/>
      <w:lvlText w:val=""/>
      <w:lvlJc w:val="left"/>
      <w:pPr>
        <w:ind w:left="6480" w:hanging="360"/>
      </w:pPr>
      <w:rPr>
        <w:rFonts w:ascii="Wingdings" w:hAnsi="Wingdings" w:hint="default"/>
      </w:rPr>
    </w:lvl>
  </w:abstractNum>
  <w:abstractNum w:abstractNumId="14" w15:restartNumberingAfterBreak="0">
    <w:nsid w:val="61652572"/>
    <w:multiLevelType w:val="hybridMultilevel"/>
    <w:tmpl w:val="D3D4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459C44"/>
    <w:multiLevelType w:val="hybridMultilevel"/>
    <w:tmpl w:val="92A2FC24"/>
    <w:lvl w:ilvl="0" w:tplc="B4D24BAE">
      <w:start w:val="1"/>
      <w:numFmt w:val="bullet"/>
      <w:lvlText w:val=""/>
      <w:lvlJc w:val="left"/>
      <w:pPr>
        <w:ind w:left="720" w:hanging="360"/>
      </w:pPr>
      <w:rPr>
        <w:rFonts w:ascii="Symbol" w:hAnsi="Symbol" w:hint="default"/>
      </w:rPr>
    </w:lvl>
    <w:lvl w:ilvl="1" w:tplc="CDA8421A">
      <w:start w:val="1"/>
      <w:numFmt w:val="bullet"/>
      <w:lvlText w:val="o"/>
      <w:lvlJc w:val="left"/>
      <w:pPr>
        <w:ind w:left="1440" w:hanging="360"/>
      </w:pPr>
      <w:rPr>
        <w:rFonts w:ascii="Courier New" w:hAnsi="Courier New" w:hint="default"/>
      </w:rPr>
    </w:lvl>
    <w:lvl w:ilvl="2" w:tplc="62FE27B4">
      <w:start w:val="1"/>
      <w:numFmt w:val="bullet"/>
      <w:lvlText w:val=""/>
      <w:lvlJc w:val="left"/>
      <w:pPr>
        <w:ind w:left="2160" w:hanging="360"/>
      </w:pPr>
      <w:rPr>
        <w:rFonts w:ascii="Wingdings" w:hAnsi="Wingdings" w:hint="default"/>
      </w:rPr>
    </w:lvl>
    <w:lvl w:ilvl="3" w:tplc="87E25916">
      <w:start w:val="1"/>
      <w:numFmt w:val="bullet"/>
      <w:lvlText w:val=""/>
      <w:lvlJc w:val="left"/>
      <w:pPr>
        <w:ind w:left="2880" w:hanging="360"/>
      </w:pPr>
      <w:rPr>
        <w:rFonts w:ascii="Symbol" w:hAnsi="Symbol" w:hint="default"/>
      </w:rPr>
    </w:lvl>
    <w:lvl w:ilvl="4" w:tplc="F600F564">
      <w:start w:val="1"/>
      <w:numFmt w:val="bullet"/>
      <w:lvlText w:val="o"/>
      <w:lvlJc w:val="left"/>
      <w:pPr>
        <w:ind w:left="3600" w:hanging="360"/>
      </w:pPr>
      <w:rPr>
        <w:rFonts w:ascii="Courier New" w:hAnsi="Courier New" w:hint="default"/>
      </w:rPr>
    </w:lvl>
    <w:lvl w:ilvl="5" w:tplc="943ADA6C">
      <w:start w:val="1"/>
      <w:numFmt w:val="bullet"/>
      <w:lvlText w:val=""/>
      <w:lvlJc w:val="left"/>
      <w:pPr>
        <w:ind w:left="4320" w:hanging="360"/>
      </w:pPr>
      <w:rPr>
        <w:rFonts w:ascii="Wingdings" w:hAnsi="Wingdings" w:hint="default"/>
      </w:rPr>
    </w:lvl>
    <w:lvl w:ilvl="6" w:tplc="E19CA9DE">
      <w:start w:val="1"/>
      <w:numFmt w:val="bullet"/>
      <w:lvlText w:val=""/>
      <w:lvlJc w:val="left"/>
      <w:pPr>
        <w:ind w:left="5040" w:hanging="360"/>
      </w:pPr>
      <w:rPr>
        <w:rFonts w:ascii="Symbol" w:hAnsi="Symbol" w:hint="default"/>
      </w:rPr>
    </w:lvl>
    <w:lvl w:ilvl="7" w:tplc="40BCC5EA">
      <w:start w:val="1"/>
      <w:numFmt w:val="bullet"/>
      <w:lvlText w:val="o"/>
      <w:lvlJc w:val="left"/>
      <w:pPr>
        <w:ind w:left="5760" w:hanging="360"/>
      </w:pPr>
      <w:rPr>
        <w:rFonts w:ascii="Courier New" w:hAnsi="Courier New" w:hint="default"/>
      </w:rPr>
    </w:lvl>
    <w:lvl w:ilvl="8" w:tplc="3C7492B8">
      <w:start w:val="1"/>
      <w:numFmt w:val="bullet"/>
      <w:lvlText w:val=""/>
      <w:lvlJc w:val="left"/>
      <w:pPr>
        <w:ind w:left="6480" w:hanging="360"/>
      </w:pPr>
      <w:rPr>
        <w:rFonts w:ascii="Wingdings" w:hAnsi="Wingdings" w:hint="default"/>
      </w:rPr>
    </w:lvl>
  </w:abstractNum>
  <w:abstractNum w:abstractNumId="17" w15:restartNumberingAfterBreak="0">
    <w:nsid w:val="6E764B8B"/>
    <w:multiLevelType w:val="hybridMultilevel"/>
    <w:tmpl w:val="4B50C2E0"/>
    <w:lvl w:ilvl="0" w:tplc="8EC0044E">
      <w:start w:val="1"/>
      <w:numFmt w:val="bullet"/>
      <w:lvlText w:val="·"/>
      <w:lvlJc w:val="left"/>
      <w:pPr>
        <w:ind w:left="720" w:hanging="360"/>
      </w:pPr>
      <w:rPr>
        <w:rFonts w:ascii="Symbol" w:hAnsi="Symbol" w:hint="default"/>
      </w:rPr>
    </w:lvl>
    <w:lvl w:ilvl="1" w:tplc="6B32E23C">
      <w:start w:val="1"/>
      <w:numFmt w:val="bullet"/>
      <w:lvlText w:val="o"/>
      <w:lvlJc w:val="left"/>
      <w:pPr>
        <w:ind w:left="1440" w:hanging="360"/>
      </w:pPr>
      <w:rPr>
        <w:rFonts w:ascii="Courier New" w:hAnsi="Courier New" w:hint="default"/>
      </w:rPr>
    </w:lvl>
    <w:lvl w:ilvl="2" w:tplc="B3A68AF6">
      <w:start w:val="1"/>
      <w:numFmt w:val="bullet"/>
      <w:lvlText w:val=""/>
      <w:lvlJc w:val="left"/>
      <w:pPr>
        <w:ind w:left="2160" w:hanging="360"/>
      </w:pPr>
      <w:rPr>
        <w:rFonts w:ascii="Wingdings" w:hAnsi="Wingdings" w:hint="default"/>
      </w:rPr>
    </w:lvl>
    <w:lvl w:ilvl="3" w:tplc="7B588122">
      <w:start w:val="1"/>
      <w:numFmt w:val="bullet"/>
      <w:lvlText w:val=""/>
      <w:lvlJc w:val="left"/>
      <w:pPr>
        <w:ind w:left="2880" w:hanging="360"/>
      </w:pPr>
      <w:rPr>
        <w:rFonts w:ascii="Symbol" w:hAnsi="Symbol" w:hint="default"/>
      </w:rPr>
    </w:lvl>
    <w:lvl w:ilvl="4" w:tplc="522E0D0C">
      <w:start w:val="1"/>
      <w:numFmt w:val="bullet"/>
      <w:lvlText w:val="o"/>
      <w:lvlJc w:val="left"/>
      <w:pPr>
        <w:ind w:left="3600" w:hanging="360"/>
      </w:pPr>
      <w:rPr>
        <w:rFonts w:ascii="Courier New" w:hAnsi="Courier New" w:hint="default"/>
      </w:rPr>
    </w:lvl>
    <w:lvl w:ilvl="5" w:tplc="D44E6B2A">
      <w:start w:val="1"/>
      <w:numFmt w:val="bullet"/>
      <w:lvlText w:val=""/>
      <w:lvlJc w:val="left"/>
      <w:pPr>
        <w:ind w:left="4320" w:hanging="360"/>
      </w:pPr>
      <w:rPr>
        <w:rFonts w:ascii="Wingdings" w:hAnsi="Wingdings" w:hint="default"/>
      </w:rPr>
    </w:lvl>
    <w:lvl w:ilvl="6" w:tplc="BAA4D6F6">
      <w:start w:val="1"/>
      <w:numFmt w:val="bullet"/>
      <w:lvlText w:val=""/>
      <w:lvlJc w:val="left"/>
      <w:pPr>
        <w:ind w:left="5040" w:hanging="360"/>
      </w:pPr>
      <w:rPr>
        <w:rFonts w:ascii="Symbol" w:hAnsi="Symbol" w:hint="default"/>
      </w:rPr>
    </w:lvl>
    <w:lvl w:ilvl="7" w:tplc="26D4EE70">
      <w:start w:val="1"/>
      <w:numFmt w:val="bullet"/>
      <w:lvlText w:val="o"/>
      <w:lvlJc w:val="left"/>
      <w:pPr>
        <w:ind w:left="5760" w:hanging="360"/>
      </w:pPr>
      <w:rPr>
        <w:rFonts w:ascii="Courier New" w:hAnsi="Courier New" w:hint="default"/>
      </w:rPr>
    </w:lvl>
    <w:lvl w:ilvl="8" w:tplc="CEDA0490">
      <w:start w:val="1"/>
      <w:numFmt w:val="bullet"/>
      <w:lvlText w:val=""/>
      <w:lvlJc w:val="left"/>
      <w:pPr>
        <w:ind w:left="6480" w:hanging="360"/>
      </w:pPr>
      <w:rPr>
        <w:rFonts w:ascii="Wingdings" w:hAnsi="Wingdings" w:hint="default"/>
      </w:rPr>
    </w:lvl>
  </w:abstractNum>
  <w:abstractNum w:abstractNumId="18" w15:restartNumberingAfterBreak="0">
    <w:nsid w:val="6F234315"/>
    <w:multiLevelType w:val="hybridMultilevel"/>
    <w:tmpl w:val="A3C420D8"/>
    <w:lvl w:ilvl="0" w:tplc="82AC9EF4">
      <w:start w:val="1"/>
      <w:numFmt w:val="bullet"/>
      <w:lvlText w:val=""/>
      <w:lvlJc w:val="left"/>
      <w:pPr>
        <w:ind w:left="720" w:hanging="360"/>
      </w:pPr>
      <w:rPr>
        <w:rFonts w:ascii="Symbol" w:hAnsi="Symbol" w:hint="default"/>
      </w:rPr>
    </w:lvl>
    <w:lvl w:ilvl="1" w:tplc="A89E5EF0">
      <w:start w:val="1"/>
      <w:numFmt w:val="bullet"/>
      <w:lvlText w:val="o"/>
      <w:lvlJc w:val="left"/>
      <w:pPr>
        <w:ind w:left="1440" w:hanging="360"/>
      </w:pPr>
      <w:rPr>
        <w:rFonts w:ascii="Courier New" w:hAnsi="Courier New" w:hint="default"/>
      </w:rPr>
    </w:lvl>
    <w:lvl w:ilvl="2" w:tplc="7A5A724A">
      <w:start w:val="1"/>
      <w:numFmt w:val="bullet"/>
      <w:lvlText w:val=""/>
      <w:lvlJc w:val="left"/>
      <w:pPr>
        <w:ind w:left="2160" w:hanging="360"/>
      </w:pPr>
      <w:rPr>
        <w:rFonts w:ascii="Wingdings" w:hAnsi="Wingdings" w:hint="default"/>
      </w:rPr>
    </w:lvl>
    <w:lvl w:ilvl="3" w:tplc="F4364ACC">
      <w:start w:val="1"/>
      <w:numFmt w:val="bullet"/>
      <w:lvlText w:val=""/>
      <w:lvlJc w:val="left"/>
      <w:pPr>
        <w:ind w:left="2880" w:hanging="360"/>
      </w:pPr>
      <w:rPr>
        <w:rFonts w:ascii="Symbol" w:hAnsi="Symbol" w:hint="default"/>
      </w:rPr>
    </w:lvl>
    <w:lvl w:ilvl="4" w:tplc="C5B8DC06">
      <w:start w:val="1"/>
      <w:numFmt w:val="bullet"/>
      <w:lvlText w:val="o"/>
      <w:lvlJc w:val="left"/>
      <w:pPr>
        <w:ind w:left="3600" w:hanging="360"/>
      </w:pPr>
      <w:rPr>
        <w:rFonts w:ascii="Courier New" w:hAnsi="Courier New" w:hint="default"/>
      </w:rPr>
    </w:lvl>
    <w:lvl w:ilvl="5" w:tplc="7810790C">
      <w:start w:val="1"/>
      <w:numFmt w:val="bullet"/>
      <w:lvlText w:val=""/>
      <w:lvlJc w:val="left"/>
      <w:pPr>
        <w:ind w:left="4320" w:hanging="360"/>
      </w:pPr>
      <w:rPr>
        <w:rFonts w:ascii="Wingdings" w:hAnsi="Wingdings" w:hint="default"/>
      </w:rPr>
    </w:lvl>
    <w:lvl w:ilvl="6" w:tplc="58A67582">
      <w:start w:val="1"/>
      <w:numFmt w:val="bullet"/>
      <w:lvlText w:val=""/>
      <w:lvlJc w:val="left"/>
      <w:pPr>
        <w:ind w:left="5040" w:hanging="360"/>
      </w:pPr>
      <w:rPr>
        <w:rFonts w:ascii="Symbol" w:hAnsi="Symbol" w:hint="default"/>
      </w:rPr>
    </w:lvl>
    <w:lvl w:ilvl="7" w:tplc="6EAEA2A8">
      <w:start w:val="1"/>
      <w:numFmt w:val="bullet"/>
      <w:lvlText w:val="o"/>
      <w:lvlJc w:val="left"/>
      <w:pPr>
        <w:ind w:left="5760" w:hanging="360"/>
      </w:pPr>
      <w:rPr>
        <w:rFonts w:ascii="Courier New" w:hAnsi="Courier New" w:hint="default"/>
      </w:rPr>
    </w:lvl>
    <w:lvl w:ilvl="8" w:tplc="72000CD0">
      <w:start w:val="1"/>
      <w:numFmt w:val="bullet"/>
      <w:lvlText w:val=""/>
      <w:lvlJc w:val="left"/>
      <w:pPr>
        <w:ind w:left="6480" w:hanging="360"/>
      </w:pPr>
      <w:rPr>
        <w:rFonts w:ascii="Wingdings" w:hAnsi="Wingdings" w:hint="default"/>
      </w:rPr>
    </w:lvl>
  </w:abstractNum>
  <w:abstractNum w:abstractNumId="19" w15:restartNumberingAfterBreak="0">
    <w:nsid w:val="7DD7F8DF"/>
    <w:multiLevelType w:val="hybridMultilevel"/>
    <w:tmpl w:val="9070C64C"/>
    <w:lvl w:ilvl="0" w:tplc="EF0C645E">
      <w:start w:val="1"/>
      <w:numFmt w:val="bullet"/>
      <w:lvlText w:val=""/>
      <w:lvlJc w:val="left"/>
      <w:pPr>
        <w:ind w:left="720" w:hanging="360"/>
      </w:pPr>
      <w:rPr>
        <w:rFonts w:ascii="Symbol" w:hAnsi="Symbol" w:hint="default"/>
      </w:rPr>
    </w:lvl>
    <w:lvl w:ilvl="1" w:tplc="E5E87936">
      <w:start w:val="1"/>
      <w:numFmt w:val="bullet"/>
      <w:lvlText w:val="o"/>
      <w:lvlJc w:val="left"/>
      <w:pPr>
        <w:ind w:left="1440" w:hanging="360"/>
      </w:pPr>
      <w:rPr>
        <w:rFonts w:ascii="Courier New" w:hAnsi="Courier New" w:hint="default"/>
      </w:rPr>
    </w:lvl>
    <w:lvl w:ilvl="2" w:tplc="86D2C344">
      <w:start w:val="1"/>
      <w:numFmt w:val="bullet"/>
      <w:lvlText w:val=""/>
      <w:lvlJc w:val="left"/>
      <w:pPr>
        <w:ind w:left="2160" w:hanging="360"/>
      </w:pPr>
      <w:rPr>
        <w:rFonts w:ascii="Wingdings" w:hAnsi="Wingdings" w:hint="default"/>
      </w:rPr>
    </w:lvl>
    <w:lvl w:ilvl="3" w:tplc="A154C3CA">
      <w:start w:val="1"/>
      <w:numFmt w:val="bullet"/>
      <w:lvlText w:val=""/>
      <w:lvlJc w:val="left"/>
      <w:pPr>
        <w:ind w:left="2880" w:hanging="360"/>
      </w:pPr>
      <w:rPr>
        <w:rFonts w:ascii="Symbol" w:hAnsi="Symbol" w:hint="default"/>
      </w:rPr>
    </w:lvl>
    <w:lvl w:ilvl="4" w:tplc="D1D6A88A">
      <w:start w:val="1"/>
      <w:numFmt w:val="bullet"/>
      <w:lvlText w:val="o"/>
      <w:lvlJc w:val="left"/>
      <w:pPr>
        <w:ind w:left="3600" w:hanging="360"/>
      </w:pPr>
      <w:rPr>
        <w:rFonts w:ascii="Courier New" w:hAnsi="Courier New" w:hint="default"/>
      </w:rPr>
    </w:lvl>
    <w:lvl w:ilvl="5" w:tplc="63F2D338">
      <w:start w:val="1"/>
      <w:numFmt w:val="bullet"/>
      <w:lvlText w:val=""/>
      <w:lvlJc w:val="left"/>
      <w:pPr>
        <w:ind w:left="4320" w:hanging="360"/>
      </w:pPr>
      <w:rPr>
        <w:rFonts w:ascii="Wingdings" w:hAnsi="Wingdings" w:hint="default"/>
      </w:rPr>
    </w:lvl>
    <w:lvl w:ilvl="6" w:tplc="C5F60408">
      <w:start w:val="1"/>
      <w:numFmt w:val="bullet"/>
      <w:lvlText w:val=""/>
      <w:lvlJc w:val="left"/>
      <w:pPr>
        <w:ind w:left="5040" w:hanging="360"/>
      </w:pPr>
      <w:rPr>
        <w:rFonts w:ascii="Symbol" w:hAnsi="Symbol" w:hint="default"/>
      </w:rPr>
    </w:lvl>
    <w:lvl w:ilvl="7" w:tplc="0D62B3CA">
      <w:start w:val="1"/>
      <w:numFmt w:val="bullet"/>
      <w:lvlText w:val="o"/>
      <w:lvlJc w:val="left"/>
      <w:pPr>
        <w:ind w:left="5760" w:hanging="360"/>
      </w:pPr>
      <w:rPr>
        <w:rFonts w:ascii="Courier New" w:hAnsi="Courier New" w:hint="default"/>
      </w:rPr>
    </w:lvl>
    <w:lvl w:ilvl="8" w:tplc="D1263C38">
      <w:start w:val="1"/>
      <w:numFmt w:val="bullet"/>
      <w:lvlText w:val=""/>
      <w:lvlJc w:val="left"/>
      <w:pPr>
        <w:ind w:left="6480" w:hanging="360"/>
      </w:pPr>
      <w:rPr>
        <w:rFonts w:ascii="Wingdings" w:hAnsi="Wingdings" w:hint="default"/>
      </w:rPr>
    </w:lvl>
  </w:abstractNum>
  <w:num w:numId="1" w16cid:durableId="772746232">
    <w:abstractNumId w:val="4"/>
  </w:num>
  <w:num w:numId="2" w16cid:durableId="1658534007">
    <w:abstractNumId w:val="15"/>
  </w:num>
  <w:num w:numId="3" w16cid:durableId="521672333">
    <w:abstractNumId w:val="2"/>
  </w:num>
  <w:num w:numId="4" w16cid:durableId="2052682031">
    <w:abstractNumId w:val="11"/>
  </w:num>
  <w:num w:numId="5" w16cid:durableId="1060444280">
    <w:abstractNumId w:val="12"/>
  </w:num>
  <w:num w:numId="6" w16cid:durableId="1593586041">
    <w:abstractNumId w:val="0"/>
  </w:num>
  <w:num w:numId="7" w16cid:durableId="1145972499">
    <w:abstractNumId w:val="3"/>
  </w:num>
  <w:num w:numId="8" w16cid:durableId="1750616424">
    <w:abstractNumId w:val="10"/>
  </w:num>
  <w:num w:numId="9" w16cid:durableId="570428562">
    <w:abstractNumId w:val="7"/>
  </w:num>
  <w:num w:numId="10" w16cid:durableId="808019098">
    <w:abstractNumId w:val="14"/>
  </w:num>
  <w:num w:numId="11" w16cid:durableId="1883055962">
    <w:abstractNumId w:val="13"/>
  </w:num>
  <w:num w:numId="12" w16cid:durableId="200820921">
    <w:abstractNumId w:val="9"/>
  </w:num>
  <w:num w:numId="13" w16cid:durableId="2082409067">
    <w:abstractNumId w:val="17"/>
  </w:num>
  <w:num w:numId="14" w16cid:durableId="285546573">
    <w:abstractNumId w:val="5"/>
  </w:num>
  <w:num w:numId="15" w16cid:durableId="1665549850">
    <w:abstractNumId w:val="1"/>
  </w:num>
  <w:num w:numId="16" w16cid:durableId="1478566123">
    <w:abstractNumId w:val="19"/>
  </w:num>
  <w:num w:numId="17" w16cid:durableId="1125199439">
    <w:abstractNumId w:val="18"/>
  </w:num>
  <w:num w:numId="18" w16cid:durableId="1678268691">
    <w:abstractNumId w:val="16"/>
  </w:num>
  <w:num w:numId="19" w16cid:durableId="1468279369">
    <w:abstractNumId w:val="6"/>
  </w:num>
  <w:num w:numId="20" w16cid:durableId="895816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04E9F"/>
    <w:rsid w:val="00007EFB"/>
    <w:rsid w:val="0001587E"/>
    <w:rsid w:val="000323C6"/>
    <w:rsid w:val="000324AD"/>
    <w:rsid w:val="000348F6"/>
    <w:rsid w:val="00042A27"/>
    <w:rsid w:val="0005391F"/>
    <w:rsid w:val="000542BA"/>
    <w:rsid w:val="000547F3"/>
    <w:rsid w:val="00057F8E"/>
    <w:rsid w:val="00060E71"/>
    <w:rsid w:val="000650FE"/>
    <w:rsid w:val="000666D0"/>
    <w:rsid w:val="0006678D"/>
    <w:rsid w:val="00067F77"/>
    <w:rsid w:val="00074A34"/>
    <w:rsid w:val="00083939"/>
    <w:rsid w:val="00093166"/>
    <w:rsid w:val="0009589F"/>
    <w:rsid w:val="0009621C"/>
    <w:rsid w:val="000963B3"/>
    <w:rsid w:val="000A2C7E"/>
    <w:rsid w:val="000A4CCC"/>
    <w:rsid w:val="000B56C1"/>
    <w:rsid w:val="000B7783"/>
    <w:rsid w:val="000C050E"/>
    <w:rsid w:val="000C466D"/>
    <w:rsid w:val="000C6E55"/>
    <w:rsid w:val="000E09DC"/>
    <w:rsid w:val="000E3085"/>
    <w:rsid w:val="000E4404"/>
    <w:rsid w:val="000E4CF0"/>
    <w:rsid w:val="000E6CC4"/>
    <w:rsid w:val="000F10B8"/>
    <w:rsid w:val="00102C42"/>
    <w:rsid w:val="00104000"/>
    <w:rsid w:val="001045A8"/>
    <w:rsid w:val="001048F3"/>
    <w:rsid w:val="00104D13"/>
    <w:rsid w:val="00107691"/>
    <w:rsid w:val="00107C66"/>
    <w:rsid w:val="00110F80"/>
    <w:rsid w:val="001243DB"/>
    <w:rsid w:val="0012462E"/>
    <w:rsid w:val="00125E5E"/>
    <w:rsid w:val="00130059"/>
    <w:rsid w:val="00130137"/>
    <w:rsid w:val="00132092"/>
    <w:rsid w:val="001322C4"/>
    <w:rsid w:val="00132F6C"/>
    <w:rsid w:val="0013660A"/>
    <w:rsid w:val="001410E1"/>
    <w:rsid w:val="00141594"/>
    <w:rsid w:val="00142BF9"/>
    <w:rsid w:val="0014417A"/>
    <w:rsid w:val="00146AB6"/>
    <w:rsid w:val="00150B34"/>
    <w:rsid w:val="00154EE7"/>
    <w:rsid w:val="00165A0D"/>
    <w:rsid w:val="00170B26"/>
    <w:rsid w:val="0017403F"/>
    <w:rsid w:val="0018148D"/>
    <w:rsid w:val="00182BD2"/>
    <w:rsid w:val="00183B7A"/>
    <w:rsid w:val="00183D56"/>
    <w:rsid w:val="001909CD"/>
    <w:rsid w:val="001926E6"/>
    <w:rsid w:val="00194019"/>
    <w:rsid w:val="00194476"/>
    <w:rsid w:val="001A07A2"/>
    <w:rsid w:val="001A0CA5"/>
    <w:rsid w:val="001A3D59"/>
    <w:rsid w:val="001A49A4"/>
    <w:rsid w:val="001A4FC0"/>
    <w:rsid w:val="001A6724"/>
    <w:rsid w:val="001B190E"/>
    <w:rsid w:val="001B2D99"/>
    <w:rsid w:val="001B3958"/>
    <w:rsid w:val="001B4E5B"/>
    <w:rsid w:val="001B5BE0"/>
    <w:rsid w:val="001B69F6"/>
    <w:rsid w:val="001B6FFD"/>
    <w:rsid w:val="001B778E"/>
    <w:rsid w:val="001C1206"/>
    <w:rsid w:val="001D0695"/>
    <w:rsid w:val="001D0994"/>
    <w:rsid w:val="001D1BBD"/>
    <w:rsid w:val="001D4E67"/>
    <w:rsid w:val="001D7401"/>
    <w:rsid w:val="001E1929"/>
    <w:rsid w:val="001E6A69"/>
    <w:rsid w:val="001F7334"/>
    <w:rsid w:val="00200347"/>
    <w:rsid w:val="00205FF7"/>
    <w:rsid w:val="0020794D"/>
    <w:rsid w:val="00212BDC"/>
    <w:rsid w:val="0021605C"/>
    <w:rsid w:val="002174B9"/>
    <w:rsid w:val="00220BA2"/>
    <w:rsid w:val="002224C5"/>
    <w:rsid w:val="00222654"/>
    <w:rsid w:val="00223112"/>
    <w:rsid w:val="00225A92"/>
    <w:rsid w:val="00226E91"/>
    <w:rsid w:val="00231276"/>
    <w:rsid w:val="00232DEA"/>
    <w:rsid w:val="00232F8F"/>
    <w:rsid w:val="00233D4C"/>
    <w:rsid w:val="00234176"/>
    <w:rsid w:val="0023549E"/>
    <w:rsid w:val="00240B26"/>
    <w:rsid w:val="00240B8A"/>
    <w:rsid w:val="00242F35"/>
    <w:rsid w:val="00243C60"/>
    <w:rsid w:val="0024462F"/>
    <w:rsid w:val="002511A1"/>
    <w:rsid w:val="002557F1"/>
    <w:rsid w:val="00257BC0"/>
    <w:rsid w:val="00257BF2"/>
    <w:rsid w:val="00261AC2"/>
    <w:rsid w:val="00264839"/>
    <w:rsid w:val="00270BB8"/>
    <w:rsid w:val="00274375"/>
    <w:rsid w:val="00280A9C"/>
    <w:rsid w:val="00284068"/>
    <w:rsid w:val="002842C8"/>
    <w:rsid w:val="002851BD"/>
    <w:rsid w:val="0028560A"/>
    <w:rsid w:val="00285CCC"/>
    <w:rsid w:val="0029031A"/>
    <w:rsid w:val="00293EFF"/>
    <w:rsid w:val="002A0D90"/>
    <w:rsid w:val="002A1A6F"/>
    <w:rsid w:val="002A3707"/>
    <w:rsid w:val="002A79C4"/>
    <w:rsid w:val="002A7CB0"/>
    <w:rsid w:val="002B29F5"/>
    <w:rsid w:val="002B4B14"/>
    <w:rsid w:val="002B4F79"/>
    <w:rsid w:val="002C5A60"/>
    <w:rsid w:val="002C5B81"/>
    <w:rsid w:val="002C68C1"/>
    <w:rsid w:val="002D1A82"/>
    <w:rsid w:val="002D1DFB"/>
    <w:rsid w:val="002D3295"/>
    <w:rsid w:val="002D549D"/>
    <w:rsid w:val="002E4CB5"/>
    <w:rsid w:val="002E5B58"/>
    <w:rsid w:val="002E6FCA"/>
    <w:rsid w:val="002F279B"/>
    <w:rsid w:val="002F6A8B"/>
    <w:rsid w:val="002F7844"/>
    <w:rsid w:val="002F7AB0"/>
    <w:rsid w:val="00300056"/>
    <w:rsid w:val="00300973"/>
    <w:rsid w:val="00302D2C"/>
    <w:rsid w:val="00303843"/>
    <w:rsid w:val="00305E0F"/>
    <w:rsid w:val="003074BC"/>
    <w:rsid w:val="00307FDB"/>
    <w:rsid w:val="003134F2"/>
    <w:rsid w:val="00315131"/>
    <w:rsid w:val="003211EE"/>
    <w:rsid w:val="00321BBF"/>
    <w:rsid w:val="003228DA"/>
    <w:rsid w:val="00325F87"/>
    <w:rsid w:val="00330C72"/>
    <w:rsid w:val="00345472"/>
    <w:rsid w:val="00346E06"/>
    <w:rsid w:val="00351210"/>
    <w:rsid w:val="003528A8"/>
    <w:rsid w:val="003547B4"/>
    <w:rsid w:val="00360205"/>
    <w:rsid w:val="0036250B"/>
    <w:rsid w:val="00363520"/>
    <w:rsid w:val="003705FC"/>
    <w:rsid w:val="00372FDF"/>
    <w:rsid w:val="00377C5A"/>
    <w:rsid w:val="00384ACF"/>
    <w:rsid w:val="00387572"/>
    <w:rsid w:val="00390F0A"/>
    <w:rsid w:val="00391AE9"/>
    <w:rsid w:val="00393E10"/>
    <w:rsid w:val="003A016F"/>
    <w:rsid w:val="003A053D"/>
    <w:rsid w:val="003A29C5"/>
    <w:rsid w:val="003A5BE6"/>
    <w:rsid w:val="003B464F"/>
    <w:rsid w:val="003B5D56"/>
    <w:rsid w:val="003B7E9D"/>
    <w:rsid w:val="003C12B1"/>
    <w:rsid w:val="003C1FD5"/>
    <w:rsid w:val="003C22DB"/>
    <w:rsid w:val="003C32E8"/>
    <w:rsid w:val="003C3679"/>
    <w:rsid w:val="003C69EB"/>
    <w:rsid w:val="003D174E"/>
    <w:rsid w:val="003D1ECD"/>
    <w:rsid w:val="003D45F1"/>
    <w:rsid w:val="003D7C50"/>
    <w:rsid w:val="003E1E8D"/>
    <w:rsid w:val="003E2203"/>
    <w:rsid w:val="003E4DF7"/>
    <w:rsid w:val="003E6C45"/>
    <w:rsid w:val="003F2327"/>
    <w:rsid w:val="003F4B34"/>
    <w:rsid w:val="003F7EA4"/>
    <w:rsid w:val="00401B81"/>
    <w:rsid w:val="00401DED"/>
    <w:rsid w:val="004048AB"/>
    <w:rsid w:val="00404D3D"/>
    <w:rsid w:val="004050AA"/>
    <w:rsid w:val="00406F50"/>
    <w:rsid w:val="004075D8"/>
    <w:rsid w:val="00407E9B"/>
    <w:rsid w:val="0041042C"/>
    <w:rsid w:val="004174A9"/>
    <w:rsid w:val="004203BC"/>
    <w:rsid w:val="00422627"/>
    <w:rsid w:val="004235AD"/>
    <w:rsid w:val="004279A8"/>
    <w:rsid w:val="00432C78"/>
    <w:rsid w:val="004350B6"/>
    <w:rsid w:val="004441C7"/>
    <w:rsid w:val="0044670C"/>
    <w:rsid w:val="0044737A"/>
    <w:rsid w:val="00450D59"/>
    <w:rsid w:val="00451396"/>
    <w:rsid w:val="00453524"/>
    <w:rsid w:val="00456533"/>
    <w:rsid w:val="004677C6"/>
    <w:rsid w:val="00471543"/>
    <w:rsid w:val="0047455F"/>
    <w:rsid w:val="0047534A"/>
    <w:rsid w:val="00475EDB"/>
    <w:rsid w:val="0047709F"/>
    <w:rsid w:val="0047714C"/>
    <w:rsid w:val="00480DFC"/>
    <w:rsid w:val="0048187B"/>
    <w:rsid w:val="00482BB5"/>
    <w:rsid w:val="004847AA"/>
    <w:rsid w:val="004A0765"/>
    <w:rsid w:val="004A446B"/>
    <w:rsid w:val="004A4D0E"/>
    <w:rsid w:val="004A6283"/>
    <w:rsid w:val="004B2473"/>
    <w:rsid w:val="004B3258"/>
    <w:rsid w:val="004B3728"/>
    <w:rsid w:val="004B4EC9"/>
    <w:rsid w:val="004C55DB"/>
    <w:rsid w:val="004C6AD9"/>
    <w:rsid w:val="004D0752"/>
    <w:rsid w:val="004D0AA9"/>
    <w:rsid w:val="004D0D9E"/>
    <w:rsid w:val="004D36A2"/>
    <w:rsid w:val="004D4809"/>
    <w:rsid w:val="004E018C"/>
    <w:rsid w:val="004E029B"/>
    <w:rsid w:val="004E4781"/>
    <w:rsid w:val="004E5305"/>
    <w:rsid w:val="004E5F9C"/>
    <w:rsid w:val="00511A5C"/>
    <w:rsid w:val="00512568"/>
    <w:rsid w:val="00513B3C"/>
    <w:rsid w:val="005154B2"/>
    <w:rsid w:val="00517C00"/>
    <w:rsid w:val="00520302"/>
    <w:rsid w:val="005247FC"/>
    <w:rsid w:val="00525309"/>
    <w:rsid w:val="0052656C"/>
    <w:rsid w:val="00527B0E"/>
    <w:rsid w:val="00532CB8"/>
    <w:rsid w:val="00532D4A"/>
    <w:rsid w:val="00534448"/>
    <w:rsid w:val="005419D3"/>
    <w:rsid w:val="005476B1"/>
    <w:rsid w:val="005512FA"/>
    <w:rsid w:val="00552DE5"/>
    <w:rsid w:val="00560104"/>
    <w:rsid w:val="00560C68"/>
    <w:rsid w:val="005674A3"/>
    <w:rsid w:val="005763B1"/>
    <w:rsid w:val="00576C4F"/>
    <w:rsid w:val="00580C4B"/>
    <w:rsid w:val="00581252"/>
    <w:rsid w:val="005833B8"/>
    <w:rsid w:val="0059010B"/>
    <w:rsid w:val="00591003"/>
    <w:rsid w:val="005911D3"/>
    <w:rsid w:val="0059137D"/>
    <w:rsid w:val="00594BF1"/>
    <w:rsid w:val="0059524E"/>
    <w:rsid w:val="00595692"/>
    <w:rsid w:val="005964F9"/>
    <w:rsid w:val="00596C39"/>
    <w:rsid w:val="005A0F57"/>
    <w:rsid w:val="005A24A6"/>
    <w:rsid w:val="005A701E"/>
    <w:rsid w:val="005B5ED1"/>
    <w:rsid w:val="005C0964"/>
    <w:rsid w:val="005D08DE"/>
    <w:rsid w:val="005D101A"/>
    <w:rsid w:val="005D1DBC"/>
    <w:rsid w:val="005D30AD"/>
    <w:rsid w:val="005D4EBD"/>
    <w:rsid w:val="005D5536"/>
    <w:rsid w:val="005D5C02"/>
    <w:rsid w:val="005E3427"/>
    <w:rsid w:val="005E499F"/>
    <w:rsid w:val="005F38D3"/>
    <w:rsid w:val="005F6958"/>
    <w:rsid w:val="0060444B"/>
    <w:rsid w:val="00606B1C"/>
    <w:rsid w:val="00607F92"/>
    <w:rsid w:val="00610FD8"/>
    <w:rsid w:val="00615098"/>
    <w:rsid w:val="00634426"/>
    <w:rsid w:val="006366D8"/>
    <w:rsid w:val="00641B93"/>
    <w:rsid w:val="00647469"/>
    <w:rsid w:val="00655531"/>
    <w:rsid w:val="00656AC3"/>
    <w:rsid w:val="00662551"/>
    <w:rsid w:val="0066258A"/>
    <w:rsid w:val="00672515"/>
    <w:rsid w:val="0068065F"/>
    <w:rsid w:val="006814D6"/>
    <w:rsid w:val="00690FF4"/>
    <w:rsid w:val="00692047"/>
    <w:rsid w:val="00692300"/>
    <w:rsid w:val="00693951"/>
    <w:rsid w:val="00693EB0"/>
    <w:rsid w:val="00694FD1"/>
    <w:rsid w:val="006A1B9A"/>
    <w:rsid w:val="006A3124"/>
    <w:rsid w:val="006A7231"/>
    <w:rsid w:val="006A7614"/>
    <w:rsid w:val="006B12A2"/>
    <w:rsid w:val="006B2111"/>
    <w:rsid w:val="006B54F7"/>
    <w:rsid w:val="006C45C9"/>
    <w:rsid w:val="006C6443"/>
    <w:rsid w:val="006C647B"/>
    <w:rsid w:val="006D0223"/>
    <w:rsid w:val="006D6443"/>
    <w:rsid w:val="006D7CB7"/>
    <w:rsid w:val="006E06C6"/>
    <w:rsid w:val="006E38F0"/>
    <w:rsid w:val="006E5A55"/>
    <w:rsid w:val="006F1DF2"/>
    <w:rsid w:val="006F4552"/>
    <w:rsid w:val="006F5514"/>
    <w:rsid w:val="007013F9"/>
    <w:rsid w:val="00704115"/>
    <w:rsid w:val="007102C4"/>
    <w:rsid w:val="00711543"/>
    <w:rsid w:val="00713306"/>
    <w:rsid w:val="00720A24"/>
    <w:rsid w:val="00723FFD"/>
    <w:rsid w:val="007247DF"/>
    <w:rsid w:val="00726EDA"/>
    <w:rsid w:val="007313A3"/>
    <w:rsid w:val="00734D1D"/>
    <w:rsid w:val="00736CE5"/>
    <w:rsid w:val="0074034B"/>
    <w:rsid w:val="007428B8"/>
    <w:rsid w:val="00746164"/>
    <w:rsid w:val="0075173E"/>
    <w:rsid w:val="00753DB8"/>
    <w:rsid w:val="00764F01"/>
    <w:rsid w:val="00766F18"/>
    <w:rsid w:val="007712CC"/>
    <w:rsid w:val="00771BA1"/>
    <w:rsid w:val="00774369"/>
    <w:rsid w:val="00775E0C"/>
    <w:rsid w:val="00780BB6"/>
    <w:rsid w:val="007834EA"/>
    <w:rsid w:val="00792154"/>
    <w:rsid w:val="0079402A"/>
    <w:rsid w:val="007941B3"/>
    <w:rsid w:val="0079443D"/>
    <w:rsid w:val="007954FD"/>
    <w:rsid w:val="007A4563"/>
    <w:rsid w:val="007B09B6"/>
    <w:rsid w:val="007B3664"/>
    <w:rsid w:val="007B3CD9"/>
    <w:rsid w:val="007C0BFB"/>
    <w:rsid w:val="007C5697"/>
    <w:rsid w:val="007C6692"/>
    <w:rsid w:val="007D0915"/>
    <w:rsid w:val="007D0D46"/>
    <w:rsid w:val="007D4557"/>
    <w:rsid w:val="007D6A8F"/>
    <w:rsid w:val="007E51E9"/>
    <w:rsid w:val="007F1653"/>
    <w:rsid w:val="007F6C81"/>
    <w:rsid w:val="00803507"/>
    <w:rsid w:val="00804F96"/>
    <w:rsid w:val="00806387"/>
    <w:rsid w:val="00812014"/>
    <w:rsid w:val="00815275"/>
    <w:rsid w:val="008173FE"/>
    <w:rsid w:val="008243E7"/>
    <w:rsid w:val="008264E9"/>
    <w:rsid w:val="00826B9B"/>
    <w:rsid w:val="00832E4D"/>
    <w:rsid w:val="00835A66"/>
    <w:rsid w:val="0083718C"/>
    <w:rsid w:val="008410F5"/>
    <w:rsid w:val="00843553"/>
    <w:rsid w:val="008515BB"/>
    <w:rsid w:val="008552DE"/>
    <w:rsid w:val="00856591"/>
    <w:rsid w:val="008647B6"/>
    <w:rsid w:val="0087600A"/>
    <w:rsid w:val="00882E65"/>
    <w:rsid w:val="00885277"/>
    <w:rsid w:val="00885A8F"/>
    <w:rsid w:val="008877B6"/>
    <w:rsid w:val="008909EE"/>
    <w:rsid w:val="008952E3"/>
    <w:rsid w:val="00897B8E"/>
    <w:rsid w:val="008C29E4"/>
    <w:rsid w:val="008C2B2A"/>
    <w:rsid w:val="008D0B69"/>
    <w:rsid w:val="008D5B81"/>
    <w:rsid w:val="008D6249"/>
    <w:rsid w:val="008D735B"/>
    <w:rsid w:val="008D7AA6"/>
    <w:rsid w:val="008D7E22"/>
    <w:rsid w:val="008E02AE"/>
    <w:rsid w:val="008E3CD1"/>
    <w:rsid w:val="008E7589"/>
    <w:rsid w:val="008F1B9E"/>
    <w:rsid w:val="008F1ECC"/>
    <w:rsid w:val="008F36AF"/>
    <w:rsid w:val="008F55EF"/>
    <w:rsid w:val="008F67A2"/>
    <w:rsid w:val="008F6846"/>
    <w:rsid w:val="008F7470"/>
    <w:rsid w:val="008F77C1"/>
    <w:rsid w:val="00904B05"/>
    <w:rsid w:val="00910F8A"/>
    <w:rsid w:val="0091117B"/>
    <w:rsid w:val="0091163E"/>
    <w:rsid w:val="0091273D"/>
    <w:rsid w:val="00914594"/>
    <w:rsid w:val="00920703"/>
    <w:rsid w:val="00931C6B"/>
    <w:rsid w:val="00933E18"/>
    <w:rsid w:val="00934D97"/>
    <w:rsid w:val="0093545B"/>
    <w:rsid w:val="0093688A"/>
    <w:rsid w:val="009415F1"/>
    <w:rsid w:val="009421E4"/>
    <w:rsid w:val="00945AD5"/>
    <w:rsid w:val="00945BE8"/>
    <w:rsid w:val="009469F5"/>
    <w:rsid w:val="00950BB5"/>
    <w:rsid w:val="00951450"/>
    <w:rsid w:val="009538AD"/>
    <w:rsid w:val="00953C83"/>
    <w:rsid w:val="00960CF4"/>
    <w:rsid w:val="00970504"/>
    <w:rsid w:val="009709DB"/>
    <w:rsid w:val="00974924"/>
    <w:rsid w:val="00980EA3"/>
    <w:rsid w:val="00994AAC"/>
    <w:rsid w:val="009A29AF"/>
    <w:rsid w:val="009A7655"/>
    <w:rsid w:val="009B04E1"/>
    <w:rsid w:val="009B2D11"/>
    <w:rsid w:val="009B705D"/>
    <w:rsid w:val="009C0875"/>
    <w:rsid w:val="009C2661"/>
    <w:rsid w:val="009C34F8"/>
    <w:rsid w:val="009C3AA4"/>
    <w:rsid w:val="009D1B3C"/>
    <w:rsid w:val="009D3997"/>
    <w:rsid w:val="009D5028"/>
    <w:rsid w:val="009D7DB1"/>
    <w:rsid w:val="009E4CB6"/>
    <w:rsid w:val="009F64F8"/>
    <w:rsid w:val="009F6EE9"/>
    <w:rsid w:val="00A01081"/>
    <w:rsid w:val="00A01911"/>
    <w:rsid w:val="00A02617"/>
    <w:rsid w:val="00A06863"/>
    <w:rsid w:val="00A07F42"/>
    <w:rsid w:val="00A10793"/>
    <w:rsid w:val="00A10DEA"/>
    <w:rsid w:val="00A114E9"/>
    <w:rsid w:val="00A139A7"/>
    <w:rsid w:val="00A14B1A"/>
    <w:rsid w:val="00A16315"/>
    <w:rsid w:val="00A16C6D"/>
    <w:rsid w:val="00A214DE"/>
    <w:rsid w:val="00A26A85"/>
    <w:rsid w:val="00A30B3C"/>
    <w:rsid w:val="00A31965"/>
    <w:rsid w:val="00A325B9"/>
    <w:rsid w:val="00A33F3B"/>
    <w:rsid w:val="00A36081"/>
    <w:rsid w:val="00A37A59"/>
    <w:rsid w:val="00A37B1B"/>
    <w:rsid w:val="00A463B5"/>
    <w:rsid w:val="00A47BEA"/>
    <w:rsid w:val="00A5169C"/>
    <w:rsid w:val="00A528C4"/>
    <w:rsid w:val="00A55973"/>
    <w:rsid w:val="00A71512"/>
    <w:rsid w:val="00A735E5"/>
    <w:rsid w:val="00A86D99"/>
    <w:rsid w:val="00A92423"/>
    <w:rsid w:val="00A93BAD"/>
    <w:rsid w:val="00AA0AF4"/>
    <w:rsid w:val="00AA1287"/>
    <w:rsid w:val="00AA1793"/>
    <w:rsid w:val="00AA2B17"/>
    <w:rsid w:val="00AB09EB"/>
    <w:rsid w:val="00AC1ADC"/>
    <w:rsid w:val="00AD0D7E"/>
    <w:rsid w:val="00AD654E"/>
    <w:rsid w:val="00AD6723"/>
    <w:rsid w:val="00AE0905"/>
    <w:rsid w:val="00AF0862"/>
    <w:rsid w:val="00AF31CB"/>
    <w:rsid w:val="00AF3898"/>
    <w:rsid w:val="00AF3D99"/>
    <w:rsid w:val="00AF4661"/>
    <w:rsid w:val="00AF534D"/>
    <w:rsid w:val="00B00904"/>
    <w:rsid w:val="00B0214B"/>
    <w:rsid w:val="00B06321"/>
    <w:rsid w:val="00B06555"/>
    <w:rsid w:val="00B07ABA"/>
    <w:rsid w:val="00B22D01"/>
    <w:rsid w:val="00B23AB8"/>
    <w:rsid w:val="00B247C1"/>
    <w:rsid w:val="00B25A45"/>
    <w:rsid w:val="00B32044"/>
    <w:rsid w:val="00B4069E"/>
    <w:rsid w:val="00B40756"/>
    <w:rsid w:val="00B41530"/>
    <w:rsid w:val="00B4728B"/>
    <w:rsid w:val="00B5186E"/>
    <w:rsid w:val="00B51948"/>
    <w:rsid w:val="00B51EA2"/>
    <w:rsid w:val="00B52050"/>
    <w:rsid w:val="00B52F1C"/>
    <w:rsid w:val="00B557D0"/>
    <w:rsid w:val="00B5634E"/>
    <w:rsid w:val="00B63020"/>
    <w:rsid w:val="00B66FDA"/>
    <w:rsid w:val="00B66FF9"/>
    <w:rsid w:val="00B70271"/>
    <w:rsid w:val="00B71A86"/>
    <w:rsid w:val="00B723BE"/>
    <w:rsid w:val="00B762D2"/>
    <w:rsid w:val="00B82705"/>
    <w:rsid w:val="00B8535F"/>
    <w:rsid w:val="00B90EF4"/>
    <w:rsid w:val="00B92B45"/>
    <w:rsid w:val="00B93505"/>
    <w:rsid w:val="00B96165"/>
    <w:rsid w:val="00B96DB2"/>
    <w:rsid w:val="00B976AC"/>
    <w:rsid w:val="00BA4CB2"/>
    <w:rsid w:val="00BA5582"/>
    <w:rsid w:val="00BA6543"/>
    <w:rsid w:val="00BB11CC"/>
    <w:rsid w:val="00BB1808"/>
    <w:rsid w:val="00BC4026"/>
    <w:rsid w:val="00BC4324"/>
    <w:rsid w:val="00BC61F0"/>
    <w:rsid w:val="00BE0DF0"/>
    <w:rsid w:val="00BE5123"/>
    <w:rsid w:val="00BE5A05"/>
    <w:rsid w:val="00BF4986"/>
    <w:rsid w:val="00BF7D9A"/>
    <w:rsid w:val="00C11220"/>
    <w:rsid w:val="00C122ED"/>
    <w:rsid w:val="00C14073"/>
    <w:rsid w:val="00C14467"/>
    <w:rsid w:val="00C14D43"/>
    <w:rsid w:val="00C173EB"/>
    <w:rsid w:val="00C17E33"/>
    <w:rsid w:val="00C21936"/>
    <w:rsid w:val="00C23696"/>
    <w:rsid w:val="00C27D57"/>
    <w:rsid w:val="00C32F1C"/>
    <w:rsid w:val="00C46904"/>
    <w:rsid w:val="00C52E37"/>
    <w:rsid w:val="00C54D1F"/>
    <w:rsid w:val="00C54F6B"/>
    <w:rsid w:val="00C557E1"/>
    <w:rsid w:val="00C61EB8"/>
    <w:rsid w:val="00C630DE"/>
    <w:rsid w:val="00C66C45"/>
    <w:rsid w:val="00C70D21"/>
    <w:rsid w:val="00C771EC"/>
    <w:rsid w:val="00C812D1"/>
    <w:rsid w:val="00C821DF"/>
    <w:rsid w:val="00C82CBA"/>
    <w:rsid w:val="00C94FAD"/>
    <w:rsid w:val="00CA3229"/>
    <w:rsid w:val="00CA79D6"/>
    <w:rsid w:val="00CB1576"/>
    <w:rsid w:val="00CB1BC3"/>
    <w:rsid w:val="00CB1D55"/>
    <w:rsid w:val="00CB349D"/>
    <w:rsid w:val="00CC3D02"/>
    <w:rsid w:val="00CD1C24"/>
    <w:rsid w:val="00CD2B89"/>
    <w:rsid w:val="00CD42A4"/>
    <w:rsid w:val="00CD751B"/>
    <w:rsid w:val="00CD7B7D"/>
    <w:rsid w:val="00CE08D2"/>
    <w:rsid w:val="00CE1C84"/>
    <w:rsid w:val="00CE5A46"/>
    <w:rsid w:val="00CE6AB1"/>
    <w:rsid w:val="00D02B83"/>
    <w:rsid w:val="00D041D6"/>
    <w:rsid w:val="00D061DF"/>
    <w:rsid w:val="00D11BAE"/>
    <w:rsid w:val="00D132D8"/>
    <w:rsid w:val="00D145D7"/>
    <w:rsid w:val="00D176E8"/>
    <w:rsid w:val="00D216B1"/>
    <w:rsid w:val="00D250EB"/>
    <w:rsid w:val="00D30293"/>
    <w:rsid w:val="00D40692"/>
    <w:rsid w:val="00D41420"/>
    <w:rsid w:val="00D42192"/>
    <w:rsid w:val="00D42681"/>
    <w:rsid w:val="00D44EB2"/>
    <w:rsid w:val="00D474D5"/>
    <w:rsid w:val="00D47DAB"/>
    <w:rsid w:val="00D5115F"/>
    <w:rsid w:val="00D540D3"/>
    <w:rsid w:val="00D57684"/>
    <w:rsid w:val="00D609F2"/>
    <w:rsid w:val="00D735E4"/>
    <w:rsid w:val="00D75948"/>
    <w:rsid w:val="00D764F1"/>
    <w:rsid w:val="00D83F22"/>
    <w:rsid w:val="00D8667C"/>
    <w:rsid w:val="00D86AB9"/>
    <w:rsid w:val="00D91224"/>
    <w:rsid w:val="00D92789"/>
    <w:rsid w:val="00D93CCF"/>
    <w:rsid w:val="00D93D46"/>
    <w:rsid w:val="00D9550F"/>
    <w:rsid w:val="00D96A33"/>
    <w:rsid w:val="00DA2D00"/>
    <w:rsid w:val="00DA3C66"/>
    <w:rsid w:val="00DA730D"/>
    <w:rsid w:val="00DB09C7"/>
    <w:rsid w:val="00DB11D6"/>
    <w:rsid w:val="00DB45E7"/>
    <w:rsid w:val="00DC0824"/>
    <w:rsid w:val="00DC1FD6"/>
    <w:rsid w:val="00DC51C1"/>
    <w:rsid w:val="00DC670B"/>
    <w:rsid w:val="00DD2003"/>
    <w:rsid w:val="00DD6C66"/>
    <w:rsid w:val="00DD7B21"/>
    <w:rsid w:val="00DE043A"/>
    <w:rsid w:val="00DE42D3"/>
    <w:rsid w:val="00DE6935"/>
    <w:rsid w:val="00DE7196"/>
    <w:rsid w:val="00DF03A0"/>
    <w:rsid w:val="00DF16A0"/>
    <w:rsid w:val="00DF5679"/>
    <w:rsid w:val="00E034E0"/>
    <w:rsid w:val="00E0709F"/>
    <w:rsid w:val="00E07677"/>
    <w:rsid w:val="00E15795"/>
    <w:rsid w:val="00E17709"/>
    <w:rsid w:val="00E21089"/>
    <w:rsid w:val="00E245BF"/>
    <w:rsid w:val="00E265E6"/>
    <w:rsid w:val="00E2683A"/>
    <w:rsid w:val="00E27DBB"/>
    <w:rsid w:val="00E30129"/>
    <w:rsid w:val="00E30F29"/>
    <w:rsid w:val="00E3226E"/>
    <w:rsid w:val="00E35BED"/>
    <w:rsid w:val="00E37F5E"/>
    <w:rsid w:val="00E45C37"/>
    <w:rsid w:val="00E5365C"/>
    <w:rsid w:val="00E54F77"/>
    <w:rsid w:val="00E55EC3"/>
    <w:rsid w:val="00E5677B"/>
    <w:rsid w:val="00E616EE"/>
    <w:rsid w:val="00E658A8"/>
    <w:rsid w:val="00E67270"/>
    <w:rsid w:val="00E71AE2"/>
    <w:rsid w:val="00E827BA"/>
    <w:rsid w:val="00E854D7"/>
    <w:rsid w:val="00EA16C6"/>
    <w:rsid w:val="00EA53E0"/>
    <w:rsid w:val="00EA5B24"/>
    <w:rsid w:val="00EA7D4F"/>
    <w:rsid w:val="00EB0DDB"/>
    <w:rsid w:val="00EB1655"/>
    <w:rsid w:val="00EB16F7"/>
    <w:rsid w:val="00EB1A6E"/>
    <w:rsid w:val="00EB1BC2"/>
    <w:rsid w:val="00EC504C"/>
    <w:rsid w:val="00EC7886"/>
    <w:rsid w:val="00ED35C3"/>
    <w:rsid w:val="00ED4A10"/>
    <w:rsid w:val="00ED4C3D"/>
    <w:rsid w:val="00EE1AE4"/>
    <w:rsid w:val="00EE262A"/>
    <w:rsid w:val="00EE618E"/>
    <w:rsid w:val="00EE790C"/>
    <w:rsid w:val="00EF3C9B"/>
    <w:rsid w:val="00EF5000"/>
    <w:rsid w:val="00EF562C"/>
    <w:rsid w:val="00F01F41"/>
    <w:rsid w:val="00F03C85"/>
    <w:rsid w:val="00F05BAA"/>
    <w:rsid w:val="00F05DFE"/>
    <w:rsid w:val="00F23DE1"/>
    <w:rsid w:val="00F24120"/>
    <w:rsid w:val="00F243CE"/>
    <w:rsid w:val="00F26847"/>
    <w:rsid w:val="00F328F7"/>
    <w:rsid w:val="00F32F57"/>
    <w:rsid w:val="00F3341F"/>
    <w:rsid w:val="00F339AC"/>
    <w:rsid w:val="00F35B35"/>
    <w:rsid w:val="00F40510"/>
    <w:rsid w:val="00F42927"/>
    <w:rsid w:val="00F568B4"/>
    <w:rsid w:val="00F61642"/>
    <w:rsid w:val="00F679D8"/>
    <w:rsid w:val="00F71F87"/>
    <w:rsid w:val="00F72071"/>
    <w:rsid w:val="00F8452D"/>
    <w:rsid w:val="00F90C18"/>
    <w:rsid w:val="00FA2D7D"/>
    <w:rsid w:val="00FA510B"/>
    <w:rsid w:val="00FA7DC4"/>
    <w:rsid w:val="00FA7F7D"/>
    <w:rsid w:val="00FB2408"/>
    <w:rsid w:val="00FB5423"/>
    <w:rsid w:val="00FC1FCE"/>
    <w:rsid w:val="00FC338D"/>
    <w:rsid w:val="00FC3A75"/>
    <w:rsid w:val="00FD0F9E"/>
    <w:rsid w:val="00FD1BE3"/>
    <w:rsid w:val="00FD2F0A"/>
    <w:rsid w:val="00FE3007"/>
    <w:rsid w:val="00FE3C7A"/>
    <w:rsid w:val="00FE4BD6"/>
    <w:rsid w:val="00FE64EF"/>
    <w:rsid w:val="00FF0E46"/>
    <w:rsid w:val="00FF197A"/>
    <w:rsid w:val="00FF277C"/>
    <w:rsid w:val="043142A5"/>
    <w:rsid w:val="0537BD52"/>
    <w:rsid w:val="0888C2C4"/>
    <w:rsid w:val="08FA376C"/>
    <w:rsid w:val="0D7721E1"/>
    <w:rsid w:val="13111A47"/>
    <w:rsid w:val="156D94A3"/>
    <w:rsid w:val="179AD326"/>
    <w:rsid w:val="17C9BD9E"/>
    <w:rsid w:val="23A334C5"/>
    <w:rsid w:val="2475C65D"/>
    <w:rsid w:val="295D7ED2"/>
    <w:rsid w:val="2E260F76"/>
    <w:rsid w:val="3DE350C9"/>
    <w:rsid w:val="4513CEAA"/>
    <w:rsid w:val="4859C046"/>
    <w:rsid w:val="4935363F"/>
    <w:rsid w:val="4B1F36A9"/>
    <w:rsid w:val="4E21ED63"/>
    <w:rsid w:val="5284238E"/>
    <w:rsid w:val="559B9633"/>
    <w:rsid w:val="584CE334"/>
    <w:rsid w:val="5997F211"/>
    <w:rsid w:val="5C30DF6F"/>
    <w:rsid w:val="5EBB86E4"/>
    <w:rsid w:val="616E4084"/>
    <w:rsid w:val="65FF2729"/>
    <w:rsid w:val="676DFBDE"/>
    <w:rsid w:val="6B6B7762"/>
    <w:rsid w:val="6D68B463"/>
    <w:rsid w:val="7516BBBA"/>
    <w:rsid w:val="797DA4CF"/>
    <w:rsid w:val="79BBA3DC"/>
    <w:rsid w:val="7AA69B63"/>
    <w:rsid w:val="7AD7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BC89"/>
  <w15:chartTrackingRefBased/>
  <w15:docId w15:val="{43FA2169-FAD2-4A4A-9E0E-4CB3550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0F10B8"/>
    <w:pPr>
      <w:keepNext/>
      <w:keepLines/>
      <w:spacing w:before="160" w:after="12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0F10B8"/>
    <w:pPr>
      <w:keepNext/>
      <w:keepLines/>
      <w:spacing w:before="160" w:after="120"/>
      <w:outlineLvl w:val="3"/>
    </w:pPr>
    <w:rPr>
      <w:rFonts w:eastAsiaTheme="majorEastAsia" w:cstheme="majorBid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0F10B8"/>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0F10B8"/>
    <w:rPr>
      <w:rFonts w:ascii="Arial" w:eastAsiaTheme="majorEastAsia" w:hAnsi="Arial" w:cstheme="majorBidi"/>
      <w:iCs/>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aliases w:val="list,Indented Paragraph,List1,List11,Step Paragraph"/>
    <w:basedOn w:val="Normal"/>
    <w:link w:val="ListParagraphChar"/>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3C66"/>
    <w:rPr>
      <w:sz w:val="16"/>
      <w:szCs w:val="16"/>
    </w:rPr>
  </w:style>
  <w:style w:type="paragraph" w:styleId="CommentText">
    <w:name w:val="annotation text"/>
    <w:basedOn w:val="Normal"/>
    <w:link w:val="CommentTextChar"/>
    <w:uiPriority w:val="99"/>
    <w:unhideWhenUsed/>
    <w:rsid w:val="00DA3C66"/>
    <w:rPr>
      <w:sz w:val="20"/>
      <w:szCs w:val="20"/>
    </w:rPr>
  </w:style>
  <w:style w:type="character" w:customStyle="1" w:styleId="CommentTextChar">
    <w:name w:val="Comment Text Char"/>
    <w:basedOn w:val="DefaultParagraphFont"/>
    <w:link w:val="CommentText"/>
    <w:uiPriority w:val="99"/>
    <w:rsid w:val="00DA3C6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A3C66"/>
    <w:rPr>
      <w:b/>
      <w:bCs/>
    </w:rPr>
  </w:style>
  <w:style w:type="character" w:customStyle="1" w:styleId="CommentSubjectChar">
    <w:name w:val="Comment Subject Char"/>
    <w:basedOn w:val="CommentTextChar"/>
    <w:link w:val="CommentSubject"/>
    <w:uiPriority w:val="99"/>
    <w:semiHidden/>
    <w:rsid w:val="00DA3C66"/>
    <w:rPr>
      <w:rFonts w:ascii="Arial" w:eastAsia="Times New Roman" w:hAnsi="Arial" w:cs="Times New Roman"/>
      <w:b/>
      <w:bCs/>
      <w:sz w:val="20"/>
      <w:szCs w:val="20"/>
    </w:rPr>
  </w:style>
  <w:style w:type="character" w:customStyle="1" w:styleId="ListParagraphChar">
    <w:name w:val="List Paragraph Char"/>
    <w:aliases w:val="list Char,Indented Paragraph Char,List1 Char,List11 Char,Step Paragraph Char"/>
    <w:basedOn w:val="DefaultParagraphFont"/>
    <w:link w:val="ListParagraph"/>
    <w:uiPriority w:val="1"/>
    <w:locked/>
    <w:rsid w:val="00A06863"/>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8173FE"/>
    <w:rPr>
      <w:color w:val="954F72" w:themeColor="followedHyperlink"/>
      <w:u w:val="single"/>
    </w:rPr>
  </w:style>
  <w:style w:type="character" w:styleId="UnresolvedMention">
    <w:name w:val="Unresolved Mention"/>
    <w:basedOn w:val="DefaultParagraphFont"/>
    <w:uiPriority w:val="99"/>
    <w:semiHidden/>
    <w:unhideWhenUsed/>
    <w:rsid w:val="00B92B45"/>
    <w:rPr>
      <w:color w:val="605E5C"/>
      <w:shd w:val="clear" w:color="auto" w:fill="E1DFDD"/>
    </w:rPr>
  </w:style>
  <w:style w:type="character" w:styleId="Mention">
    <w:name w:val="Mention"/>
    <w:basedOn w:val="DefaultParagraphFont"/>
    <w:uiPriority w:val="99"/>
    <w:unhideWhenUsed/>
    <w:rsid w:val="00532CB8"/>
    <w:rPr>
      <w:color w:val="2B579A"/>
      <w:shd w:val="clear" w:color="auto" w:fill="E1DFDD"/>
    </w:rPr>
  </w:style>
  <w:style w:type="table" w:styleId="TableGrid">
    <w:name w:val="Table Grid"/>
    <w:basedOn w:val="TableNormal"/>
    <w:uiPriority w:val="39"/>
    <w:rsid w:val="004075D8"/>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053D"/>
    <w:pPr>
      <w:spacing w:before="100" w:beforeAutospacing="1" w:after="100" w:afterAutospacing="1"/>
    </w:pPr>
    <w:rPr>
      <w:rFonts w:ascii="Times New Roman" w:hAnsi="Times New Roman"/>
    </w:rPr>
  </w:style>
  <w:style w:type="character" w:customStyle="1" w:styleId="normaltextrun">
    <w:name w:val="normaltextrun"/>
    <w:basedOn w:val="DefaultParagraphFont"/>
    <w:rsid w:val="003A053D"/>
  </w:style>
  <w:style w:type="table" w:styleId="GridTable3-Accent1">
    <w:name w:val="Grid Table 3 Accent 1"/>
    <w:basedOn w:val="TableNormal"/>
    <w:uiPriority w:val="48"/>
    <w:rsid w:val="003A053D"/>
    <w:pPr>
      <w:spacing w:after="0" w:line="240" w:lineRule="auto"/>
    </w:pPr>
    <w:rPr>
      <w:rFonts w:ascii="Arial" w:hAnsi="Arial" w:cs="Ari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Revision">
    <w:name w:val="Revision"/>
    <w:hidden/>
    <w:uiPriority w:val="99"/>
    <w:semiHidden/>
    <w:rsid w:val="00C812D1"/>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de.ca.gov/be/ag/ag/yr19/documents/may19item01studysession.docx" TargetMode="External"/><Relationship Id="rId26" Type="http://schemas.openxmlformats.org/officeDocument/2006/relationships/hyperlink" Target="https://www.cde.ca.gov/be/ag/ag/yr18/documents/may18item02slides.pdf" TargetMode="External"/><Relationship Id="rId39" Type="http://schemas.openxmlformats.org/officeDocument/2006/relationships/hyperlink" Target="https://www.cde.ca.gov/be/ag/ag/yr21/documents/may21item04.docx" TargetMode="External"/><Relationship Id="rId21" Type="http://schemas.openxmlformats.org/officeDocument/2006/relationships/hyperlink" Target="https://www.cde.ca.gov/be/ag/ag/yr16/documents/sep16item01.doc" TargetMode="External"/><Relationship Id="rId34" Type="http://schemas.openxmlformats.org/officeDocument/2006/relationships/hyperlink" Target="https://www.cde.ca.gov/be/ag/ag/yr20/documents/mar20item05.docx" TargetMode="External"/><Relationship Id="rId42" Type="http://schemas.openxmlformats.org/officeDocument/2006/relationships/hyperlink" Target="https://www.cde.ca.gov/be/ag/ag/yr23/documents/mar23item03.docx" TargetMode="External"/><Relationship Id="rId47" Type="http://schemas.openxmlformats.org/officeDocument/2006/relationships/hyperlink" Target="https://www.cde.ca.gov/be/pn/im/infomemoaug2025.asp" TargetMode="External"/><Relationship Id="rId50" Type="http://schemas.openxmlformats.org/officeDocument/2006/relationships/hyperlink" Target="http://www6.cde.ca.gov/californiamodel" TargetMode="External"/><Relationship Id="rId55" Type="http://schemas.openxmlformats.org/officeDocument/2006/relationships/hyperlink" Target="https://www.cde.ca.gov/ta/ac/cm/ccidatafiles.as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de.ca.gov/be/mt/ms/documents/finalminutes1314jul2016.doc" TargetMode="External"/><Relationship Id="rId29" Type="http://schemas.openxmlformats.org/officeDocument/2006/relationships/hyperlink" Target="https://www.cde.ca.gov/be/ag/ag/yr18/documents/nov18item04.docx" TargetMode="External"/><Relationship Id="rId41" Type="http://schemas.openxmlformats.org/officeDocument/2006/relationships/hyperlink" Target="https://www.cde.ca.gov/be/ag/ag/yr23/documents/sep23item08.docx" TargetMode="External"/><Relationship Id="rId54" Type="http://schemas.openxmlformats.org/officeDocument/2006/relationships/hyperlink" Target="https://www.cde.ca.gov/ta/ac/cm/documents/caldashhandbook25.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e.ca.gov/be/ag/ag/yr18/documents/mar18item01.docx" TargetMode="External"/><Relationship Id="rId32" Type="http://schemas.openxmlformats.org/officeDocument/2006/relationships/hyperlink" Target="https://www.cde.ca.gov/be/pn/im/documents/memo-pptb-amard-jun19item02.docx" TargetMode="External"/><Relationship Id="rId37" Type="http://schemas.openxmlformats.org/officeDocument/2006/relationships/hyperlink" Target="https://www.cde.ca.gov/be/ag/ag/yr20/documents/sep20item05rev.docx" TargetMode="External"/><Relationship Id="rId40" Type="http://schemas.openxmlformats.org/officeDocument/2006/relationships/hyperlink" Target="https://www.cde.ca.gov/be/ag/ag/yr22/documents/mar22item04.docx" TargetMode="External"/><Relationship Id="rId45" Type="http://schemas.openxmlformats.org/officeDocument/2006/relationships/hyperlink" Target="https://www.cde.ca.gov/be/ag/ag/yr25/documents/may25item02.docx" TargetMode="External"/><Relationship Id="rId53" Type="http://schemas.openxmlformats.org/officeDocument/2006/relationships/hyperlink" Target="https://www.cde.ca.gov/ta/ac/cm/dashboardguide.asp" TargetMode="External"/><Relationship Id="rId58"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de.ca.gov/be/pn/im/documents/memo-pptb-amard-feb18item02.docx" TargetMode="External"/><Relationship Id="rId28" Type="http://schemas.openxmlformats.org/officeDocument/2006/relationships/hyperlink" Target="https://www.cde.ca.gov/be/ag/ag/yr18/documents/sep18item01.docx" TargetMode="External"/><Relationship Id="rId36" Type="http://schemas.openxmlformats.org/officeDocument/2006/relationships/hyperlink" Target="https://www.cde.ca.gov/be/ag/ag/yr20/documents/sep20item02.docx" TargetMode="External"/><Relationship Id="rId49" Type="http://schemas.openxmlformats.org/officeDocument/2006/relationships/header" Target="header5.xml"/><Relationship Id="rId57" Type="http://schemas.openxmlformats.org/officeDocument/2006/relationships/header" Target="header6.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e.ca.gov/be/pn/im/documents/memo-pptb-amard-apr19item01.docx" TargetMode="External"/><Relationship Id="rId31" Type="http://schemas.openxmlformats.org/officeDocument/2006/relationships/hyperlink" Target="https://www.cde.ca.gov/be/ag/ag/yr19/documents/may19item01studysession.docx" TargetMode="External"/><Relationship Id="rId44" Type="http://schemas.openxmlformats.org/officeDocument/2006/relationships/hyperlink" Target="https://www.cde.ca.gov/be/ag/ag/yr25/documents/jan25item03.docx" TargetMode="External"/><Relationship Id="rId52" Type="http://schemas.openxmlformats.org/officeDocument/2006/relationships/hyperlink" Target="https://www.cde.ca.gov/ta/ac/cm/documents/ccicareer25.pdf" TargetMode="External"/><Relationship Id="rId60"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de.ca.gov/be/ag/ag/yr17/documents/sep17item02.doc" TargetMode="External"/><Relationship Id="rId27" Type="http://schemas.openxmlformats.org/officeDocument/2006/relationships/hyperlink" Target="https://www.cde.ca.gov/be/pn/im/documents/memo-pptb-amard-aug18item02.docx" TargetMode="External"/><Relationship Id="rId30" Type="http://schemas.openxmlformats.org/officeDocument/2006/relationships/hyperlink" Target="https://www.cde.ca.gov/be/pn/im/documents/memo-pptb-amard-apr19item01.docx" TargetMode="External"/><Relationship Id="rId35" Type="http://schemas.openxmlformats.org/officeDocument/2006/relationships/hyperlink" Target="https://www.cde.ca.gov/be/ag/ag/yr20/documents/may20item02.docx" TargetMode="External"/><Relationship Id="rId43" Type="http://schemas.openxmlformats.org/officeDocument/2006/relationships/hyperlink" Target="https://www.cde.ca.gov/be/ag/ag/yr24/documents/mar24item02.docx" TargetMode="External"/><Relationship Id="rId48" Type="http://schemas.openxmlformats.org/officeDocument/2006/relationships/header" Target="header4.xml"/><Relationship Id="rId56" Type="http://schemas.openxmlformats.org/officeDocument/2006/relationships/hyperlink" Target="https://www.cde.ca.gov/ta/ac/cm/dbccifaq.asp" TargetMode="External"/><Relationship Id="rId8" Type="http://schemas.openxmlformats.org/officeDocument/2006/relationships/webSettings" Target="webSettings.xml"/><Relationship Id="rId51" Type="http://schemas.openxmlformats.org/officeDocument/2006/relationships/hyperlink" Target="https://www.cde.ca.gov/ta/ac/cm/documents/ccicollege25.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de.ca.gov/be/pn/im/documents/memo-pptb-amard-apr18item02.docx" TargetMode="External"/><Relationship Id="rId33" Type="http://schemas.openxmlformats.org/officeDocument/2006/relationships/hyperlink" Target="https://www.cde.ca.gov/be/pn/im/documents/memo-branch-eeed-aug19item02.docx" TargetMode="External"/><Relationship Id="rId38" Type="http://schemas.openxmlformats.org/officeDocument/2006/relationships/hyperlink" Target="https://www.cde.ca.gov/be/ag/ag/yr21/documents/jan21item04.docx" TargetMode="External"/><Relationship Id="rId46" Type="http://schemas.openxmlformats.org/officeDocument/2006/relationships/hyperlink" Target="https://www.cde.ca.gov/be/ag/ag/yr25/documents/jul25item02.docx" TargetMode="External"/><Relationship Id="rId59" Type="http://schemas.openxmlformats.org/officeDocument/2006/relationships/header" Target="header7.xml"/></Relationships>
</file>

<file path=word/charts/_rels/chart1.xml.rels><?xml version="1.0" encoding="UTF-8" standalone="yes"?>
<Relationships xmlns="http://schemas.openxmlformats.org/package/2006/relationships"><Relationship Id="rId3" Type="http://schemas.openxmlformats.org/officeDocument/2006/relationships/oleObject" Target="https://caeducation.sharepoint.com/sites/DashboardWorkgroup/Shared%20Documents/Presentations/Dashboard%20Indicator%20Analysis/2025%20Analysis%20Reports/CCI%20Analysis%20for%20Dashboard/CCISup2025-calcula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[CCISup2025-calculations.xlsx]State!PivotTable6</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State!$K$47</c:f>
              <c:strCache>
                <c:ptCount val="1"/>
                <c:pt idx="0">
                  <c:v>Total</c:v>
                </c:pt>
              </c:strCache>
            </c:strRef>
          </c:tx>
          <c:spPr>
            <a:solidFill>
              <a:schemeClr val="accent1"/>
            </a:solidFill>
            <a:ln>
              <a:noFill/>
            </a:ln>
            <a:effectLst/>
          </c:spPr>
          <c:invertIfNegative val="0"/>
          <c:dPt>
            <c:idx val="10"/>
            <c:invertIfNegative val="0"/>
            <c:bubble3D val="0"/>
            <c:spPr>
              <a:solidFill>
                <a:schemeClr val="accent2"/>
              </a:solidFill>
              <a:ln>
                <a:noFill/>
              </a:ln>
              <a:effectLst/>
            </c:spPr>
            <c:extLst>
              <c:ext xmlns:c16="http://schemas.microsoft.com/office/drawing/2014/chart" uri="{C3380CC4-5D6E-409C-BE32-E72D297353CC}">
                <c16:uniqueId val="{00000001-4FA8-4E22-AE48-CFB64B17A12E}"/>
              </c:ext>
            </c:extLst>
          </c:dPt>
          <c:dPt>
            <c:idx val="11"/>
            <c:invertIfNegative val="0"/>
            <c:bubble3D val="0"/>
            <c:spPr>
              <a:solidFill>
                <a:srgbClr val="7030A0"/>
              </a:solidFill>
              <a:ln>
                <a:noFill/>
              </a:ln>
              <a:effectLst/>
            </c:spPr>
            <c:extLst>
              <c:ext xmlns:c16="http://schemas.microsoft.com/office/drawing/2014/chart" uri="{C3380CC4-5D6E-409C-BE32-E72D297353CC}">
                <c16:uniqueId val="{00000003-4FA8-4E22-AE48-CFB64B17A12E}"/>
              </c:ext>
            </c:extLst>
          </c:dPt>
          <c:dPt>
            <c:idx val="12"/>
            <c:invertIfNegative val="0"/>
            <c:bubble3D val="0"/>
            <c:spPr>
              <a:solidFill>
                <a:srgbClr val="7030A0"/>
              </a:solidFill>
              <a:ln>
                <a:noFill/>
              </a:ln>
              <a:effectLst/>
            </c:spPr>
            <c:extLst>
              <c:ext xmlns:c16="http://schemas.microsoft.com/office/drawing/2014/chart" uri="{C3380CC4-5D6E-409C-BE32-E72D297353CC}">
                <c16:uniqueId val="{00000005-4FA8-4E22-AE48-CFB64B17A12E}"/>
              </c:ext>
            </c:extLst>
          </c:dPt>
          <c:dPt>
            <c:idx val="13"/>
            <c:invertIfNegative val="0"/>
            <c:bubble3D val="0"/>
            <c:spPr>
              <a:solidFill>
                <a:srgbClr val="7030A0"/>
              </a:solidFill>
              <a:ln>
                <a:noFill/>
              </a:ln>
              <a:effectLst/>
            </c:spPr>
            <c:extLst>
              <c:ext xmlns:c16="http://schemas.microsoft.com/office/drawing/2014/chart" uri="{C3380CC4-5D6E-409C-BE32-E72D297353CC}">
                <c16:uniqueId val="{00000007-4FA8-4E22-AE48-CFB64B17A12E}"/>
              </c:ext>
            </c:extLst>
          </c:dPt>
          <c:dPt>
            <c:idx val="14"/>
            <c:invertIfNegative val="0"/>
            <c:bubble3D val="0"/>
            <c:spPr>
              <a:solidFill>
                <a:srgbClr val="7030A0"/>
              </a:solidFill>
              <a:ln>
                <a:noFill/>
              </a:ln>
              <a:effectLst/>
            </c:spPr>
            <c:extLst>
              <c:ext xmlns:c16="http://schemas.microsoft.com/office/drawing/2014/chart" uri="{C3380CC4-5D6E-409C-BE32-E72D297353CC}">
                <c16:uniqueId val="{00000009-4FA8-4E22-AE48-CFB64B17A12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State!$J$48:$J$63</c:f>
              <c:strCache>
                <c:ptCount val="15"/>
                <c:pt idx="0">
                  <c:v>Foster Youth</c:v>
                </c:pt>
                <c:pt idx="1">
                  <c:v>Students with Disabilities</c:v>
                </c:pt>
                <c:pt idx="2">
                  <c:v>English Learners</c:v>
                </c:pt>
                <c:pt idx="3">
                  <c:v>Long-Term English Learners</c:v>
                </c:pt>
                <c:pt idx="4">
                  <c:v>Homeless</c:v>
                </c:pt>
                <c:pt idx="5">
                  <c:v>American Indian</c:v>
                </c:pt>
                <c:pt idx="6">
                  <c:v>African American</c:v>
                </c:pt>
                <c:pt idx="7">
                  <c:v>Pacific Islander</c:v>
                </c:pt>
                <c:pt idx="8">
                  <c:v>Socioeconomically Disadvantaged</c:v>
                </c:pt>
                <c:pt idx="9">
                  <c:v>Hispanic</c:v>
                </c:pt>
                <c:pt idx="10">
                  <c:v>All Students</c:v>
                </c:pt>
                <c:pt idx="11">
                  <c:v>White</c:v>
                </c:pt>
                <c:pt idx="12">
                  <c:v>Two or More Races</c:v>
                </c:pt>
                <c:pt idx="13">
                  <c:v>Filipino</c:v>
                </c:pt>
                <c:pt idx="14">
                  <c:v>Asian</c:v>
                </c:pt>
              </c:strCache>
            </c:strRef>
          </c:cat>
          <c:val>
            <c:numRef>
              <c:f>State!$K$48:$K$63</c:f>
              <c:numCache>
                <c:formatCode>0.0%</c:formatCode>
                <c:ptCount val="15"/>
                <c:pt idx="0">
                  <c:v>0.17699999999999999</c:v>
                </c:pt>
                <c:pt idx="1">
                  <c:v>0.187</c:v>
                </c:pt>
                <c:pt idx="2">
                  <c:v>0.24299999999999999</c:v>
                </c:pt>
                <c:pt idx="3">
                  <c:v>0.249</c:v>
                </c:pt>
                <c:pt idx="4">
                  <c:v>0.26500000000000001</c:v>
                </c:pt>
                <c:pt idx="5">
                  <c:v>0.35299999999999998</c:v>
                </c:pt>
                <c:pt idx="6">
                  <c:v>0.35700000000000004</c:v>
                </c:pt>
                <c:pt idx="7">
                  <c:v>0.40200000000000002</c:v>
                </c:pt>
                <c:pt idx="8">
                  <c:v>0.44799999999999995</c:v>
                </c:pt>
                <c:pt idx="9">
                  <c:v>0.45100000000000001</c:v>
                </c:pt>
                <c:pt idx="10">
                  <c:v>0.51700000000000002</c:v>
                </c:pt>
                <c:pt idx="11">
                  <c:v>0.58599999999999997</c:v>
                </c:pt>
                <c:pt idx="12">
                  <c:v>0.58599999999999997</c:v>
                </c:pt>
                <c:pt idx="13">
                  <c:v>0.746</c:v>
                </c:pt>
                <c:pt idx="14">
                  <c:v>0.77900000000000003</c:v>
                </c:pt>
              </c:numCache>
            </c:numRef>
          </c:val>
          <c:extLst>
            <c:ext xmlns:c16="http://schemas.microsoft.com/office/drawing/2014/chart" uri="{C3380CC4-5D6E-409C-BE32-E72D297353CC}">
              <c16:uniqueId val="{0000000A-4FA8-4E22-AE48-CFB64B17A12E}"/>
            </c:ext>
          </c:extLst>
        </c:ser>
        <c:dLbls>
          <c:dLblPos val="outEnd"/>
          <c:showLegendKey val="0"/>
          <c:showVal val="1"/>
          <c:showCatName val="0"/>
          <c:showSerName val="0"/>
          <c:showPercent val="0"/>
          <c:showBubbleSize val="0"/>
        </c:dLbls>
        <c:gapWidth val="182"/>
        <c:axId val="475986184"/>
        <c:axId val="475978264"/>
      </c:barChart>
      <c:catAx>
        <c:axId val="475986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5978264"/>
        <c:crosses val="autoZero"/>
        <c:auto val="1"/>
        <c:lblAlgn val="ctr"/>
        <c:lblOffset val="100"/>
        <c:noMultiLvlLbl val="0"/>
      </c:catAx>
      <c:valAx>
        <c:axId val="475978264"/>
        <c:scaling>
          <c:orientation val="minMax"/>
        </c:scaling>
        <c:delete val="1"/>
        <c:axPos val="b"/>
        <c:numFmt formatCode="0.0%" sourceLinked="1"/>
        <c:majorTickMark val="none"/>
        <c:minorTickMark val="none"/>
        <c:tickLblPos val="nextTo"/>
        <c:crossAx val="475986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bc484d8bebec36d2011078a9214876a4">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3656426de713ed5f8e682dea44f87a0a"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4A3AF-5717-48B5-B8DD-3CEE901534C5}">
  <ds:schemaRefs>
    <ds:schemaRef ds:uri="http://purl.org/dc/dcmitype/"/>
    <ds:schemaRef ds:uri="http://schemas.microsoft.com/office/infopath/2007/PartnerControls"/>
    <ds:schemaRef ds:uri="http://purl.org/dc/elements/1.1/"/>
    <ds:schemaRef ds:uri="http://schemas.microsoft.com/office/2006/metadata/properties"/>
    <ds:schemaRef ds:uri="1aae30ff-d7bc-47e3-882e-cd3423d00d62"/>
    <ds:schemaRef ds:uri="http://schemas.openxmlformats.org/package/2006/metadata/core-properties"/>
    <ds:schemaRef ds:uri="http://schemas.microsoft.com/office/2006/documentManagement/types"/>
    <ds:schemaRef ds:uri="f89dec18-d0c2-45d2-8a15-31051f2519f8"/>
    <ds:schemaRef ds:uri="http://www.w3.org/XML/1998/namespace"/>
    <ds:schemaRef ds:uri="http://purl.org/dc/terms/"/>
  </ds:schemaRefs>
</ds:datastoreItem>
</file>

<file path=customXml/itemProps2.xml><?xml version="1.0" encoding="utf-8"?>
<ds:datastoreItem xmlns:ds="http://schemas.openxmlformats.org/officeDocument/2006/customXml" ds:itemID="{1634CB13-B910-4E68-BC1F-32C00ECFDB3B}">
  <ds:schemaRefs>
    <ds:schemaRef ds:uri="http://schemas.openxmlformats.org/officeDocument/2006/bibliography"/>
  </ds:schemaRefs>
</ds:datastoreItem>
</file>

<file path=customXml/itemProps3.xml><?xml version="1.0" encoding="utf-8"?>
<ds:datastoreItem xmlns:ds="http://schemas.openxmlformats.org/officeDocument/2006/customXml" ds:itemID="{42AFA6A4-E646-4E15-894D-54B3E5945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407CA-8858-463D-836F-5118B3069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3999</Words>
  <Characters>23443</Characters>
  <DocSecurity>0</DocSecurity>
  <Lines>1779</Lines>
  <Paragraphs>1064</Paragraphs>
  <ScaleCrop>false</ScaleCrop>
  <HeadingPairs>
    <vt:vector size="2" baseType="variant">
      <vt:variant>
        <vt:lpstr>Title</vt:lpstr>
      </vt:variant>
      <vt:variant>
        <vt:i4>1</vt:i4>
      </vt:variant>
    </vt:vector>
  </HeadingPairs>
  <TitlesOfParts>
    <vt:vector size="1" baseType="lpstr">
      <vt:lpstr>January 2026 Study Session Item 02 - Meeting Agendas (CA State Board of Education)</vt:lpstr>
    </vt:vector>
  </TitlesOfParts>
  <Company>CA State Board of Education</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2026 Agenda Item 02 - Meeting Agendas (CA State Board of Education)</dc:title>
  <dc:subject>Update on the Implementation of the Integrated Local, State, and Federal Accountability and Continuous Improvement System: Study Session on the College/Career Indicator.</dc:subject>
  <cp:keywords/>
  <dc:description/>
  <cp:lastPrinted>2019-04-09T19:53:00Z</cp:lastPrinted>
  <dcterms:created xsi:type="dcterms:W3CDTF">2025-12-18T18:33:00Z</dcterms:created>
  <dcterms:modified xsi:type="dcterms:W3CDTF">2025-12-19T22:02:00Z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docLang">
    <vt:lpwstr>en</vt:lpwstr>
  </property>
</Properties>
</file>