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23AB9" w:rsidRPr="00D55FA1" w:rsidRDefault="00423AB9" w:rsidP="00423AB9">
      <w:r w:rsidRPr="00D55FA1">
        <w:rPr>
          <w:noProof/>
        </w:rPr>
        <w:drawing>
          <wp:inline distT="0" distB="0" distL="0" distR="0" wp14:anchorId="33AE9D3A" wp14:editId="4CD277A9">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1731" cy="942975"/>
                    </a:xfrm>
                    <a:prstGeom prst="rect">
                      <a:avLst/>
                    </a:prstGeom>
                  </pic:spPr>
                </pic:pic>
              </a:graphicData>
            </a:graphic>
          </wp:inline>
        </w:drawing>
      </w:r>
    </w:p>
    <w:p w14:paraId="2C784A02" w14:textId="77777777" w:rsidR="00423AB9" w:rsidRPr="00D55FA1" w:rsidRDefault="00423AB9" w:rsidP="00423AB9">
      <w:pPr>
        <w:jc w:val="right"/>
      </w:pPr>
      <w:r w:rsidRPr="00D55FA1">
        <w:t>California Department of Education</w:t>
      </w:r>
    </w:p>
    <w:p w14:paraId="1CAF1CB7" w14:textId="77777777" w:rsidR="00423AB9" w:rsidRPr="00D55FA1" w:rsidRDefault="00423AB9" w:rsidP="00423AB9">
      <w:pPr>
        <w:jc w:val="right"/>
      </w:pPr>
      <w:r w:rsidRPr="00D55FA1">
        <w:t>Executive Office</w:t>
      </w:r>
    </w:p>
    <w:p w14:paraId="18A2FE91" w14:textId="77777777" w:rsidR="00423AB9" w:rsidRPr="00D55FA1" w:rsidRDefault="00423AB9" w:rsidP="00423AB9">
      <w:pPr>
        <w:jc w:val="right"/>
      </w:pPr>
      <w:r w:rsidRPr="00D55FA1">
        <w:t>SBE-003 (REV. 11/2017)</w:t>
      </w:r>
    </w:p>
    <w:p w14:paraId="783E8CC1" w14:textId="75662D2C" w:rsidR="00423AB9" w:rsidRPr="00D55FA1" w:rsidRDefault="00423AB9" w:rsidP="00423AB9">
      <w:pPr>
        <w:pStyle w:val="Header"/>
        <w:jc w:val="right"/>
        <w:rPr>
          <w:sz w:val="40"/>
          <w:szCs w:val="40"/>
        </w:rPr>
        <w:sectPr w:rsidR="00423AB9" w:rsidRPr="00D55FA1" w:rsidSect="00423AB9">
          <w:headerReference w:type="default" r:id="rId12"/>
          <w:pgSz w:w="12240" w:h="15840"/>
          <w:pgMar w:top="1440" w:right="1440" w:bottom="1440" w:left="1440" w:header="720" w:footer="720" w:gutter="0"/>
          <w:cols w:num="2" w:space="720"/>
          <w:titlePg/>
          <w:docGrid w:linePitch="360"/>
        </w:sectPr>
      </w:pPr>
      <w:r w:rsidRPr="00D55FA1">
        <w:t>ofab-sed-</w:t>
      </w:r>
      <w:r w:rsidR="002C2CBD" w:rsidRPr="00D55FA1">
        <w:t>jan2</w:t>
      </w:r>
      <w:r w:rsidR="00B55B09">
        <w:t>6</w:t>
      </w:r>
      <w:r w:rsidRPr="00D55FA1">
        <w:t>item</w:t>
      </w:r>
      <w:r w:rsidR="00084D4B">
        <w:t>01</w:t>
      </w:r>
      <w:bookmarkStart w:id="0" w:name="_Toc523909460"/>
      <w:bookmarkStart w:id="1" w:name="_Toc525654529"/>
      <w:bookmarkStart w:id="2" w:name="_Toc528222730"/>
      <w:bookmarkStart w:id="3" w:name="_Toc26532181"/>
      <w:bookmarkStart w:id="4" w:name="_Toc77599027"/>
    </w:p>
    <w:p w14:paraId="0A37501D" w14:textId="77777777" w:rsidR="00423AB9" w:rsidRPr="00D55FA1" w:rsidRDefault="00423AB9" w:rsidP="00423AB9">
      <w:pPr>
        <w:sectPr w:rsidR="00423AB9" w:rsidRPr="00D55FA1" w:rsidSect="00423AB9">
          <w:type w:val="continuous"/>
          <w:pgSz w:w="12240" w:h="15840"/>
          <w:pgMar w:top="1440" w:right="1440" w:bottom="1440" w:left="1440" w:header="720" w:footer="720" w:gutter="0"/>
          <w:cols w:space="720"/>
          <w:docGrid w:linePitch="360"/>
        </w:sectPr>
      </w:pPr>
    </w:p>
    <w:p w14:paraId="2FE9661F" w14:textId="7B05EDD3" w:rsidR="00423AB9" w:rsidRPr="00D55FA1" w:rsidRDefault="00423AB9" w:rsidP="00811E18">
      <w:pPr>
        <w:pStyle w:val="Heading1"/>
        <w:spacing w:line="240" w:lineRule="auto"/>
        <w:jc w:val="center"/>
      </w:pPr>
      <w:bookmarkStart w:id="5" w:name="_Toc88644518"/>
      <w:bookmarkStart w:id="6" w:name="_Toc212212848"/>
      <w:bookmarkStart w:id="7" w:name="_Toc212715884"/>
      <w:bookmarkStart w:id="8" w:name="_Toc212718017"/>
      <w:r w:rsidRPr="00D55FA1">
        <w:t>California State Board of Education</w:t>
      </w:r>
      <w:r w:rsidRPr="00D55FA1">
        <w:br/>
      </w:r>
      <w:r w:rsidR="00070D13" w:rsidRPr="00D55FA1">
        <w:t>January</w:t>
      </w:r>
      <w:r w:rsidRPr="00D55FA1">
        <w:t xml:space="preserve"> 202</w:t>
      </w:r>
      <w:r w:rsidR="00CA0FEE">
        <w:t>6</w:t>
      </w:r>
      <w:r w:rsidRPr="00D55FA1">
        <w:t xml:space="preserve"> Agenda</w:t>
      </w:r>
      <w:r w:rsidRPr="00D55FA1">
        <w:br/>
        <w:t xml:space="preserve">Item </w:t>
      </w:r>
      <w:bookmarkEnd w:id="0"/>
      <w:bookmarkEnd w:id="1"/>
      <w:bookmarkEnd w:id="2"/>
      <w:bookmarkEnd w:id="3"/>
      <w:bookmarkEnd w:id="4"/>
      <w:bookmarkEnd w:id="5"/>
      <w:r w:rsidR="00057AE5">
        <w:t>#</w:t>
      </w:r>
      <w:bookmarkEnd w:id="6"/>
      <w:bookmarkEnd w:id="7"/>
      <w:bookmarkEnd w:id="8"/>
      <w:r w:rsidR="007556E2">
        <w:t>15</w:t>
      </w:r>
    </w:p>
    <w:p w14:paraId="27B6226E" w14:textId="77777777" w:rsidR="00423AB9" w:rsidRPr="00D55FA1" w:rsidRDefault="00423AB9" w:rsidP="00423AB9">
      <w:pPr>
        <w:pStyle w:val="Heading2"/>
        <w:rPr>
          <w:szCs w:val="36"/>
        </w:rPr>
      </w:pPr>
      <w:bookmarkStart w:id="9" w:name="_Toc523909461"/>
      <w:bookmarkStart w:id="10" w:name="_Toc525654530"/>
      <w:bookmarkStart w:id="11" w:name="_Toc528222731"/>
      <w:bookmarkStart w:id="12" w:name="_Toc26532182"/>
      <w:bookmarkStart w:id="13" w:name="_Toc77599028"/>
      <w:bookmarkStart w:id="14" w:name="_Toc88644519"/>
      <w:bookmarkStart w:id="15" w:name="_Toc212212849"/>
      <w:bookmarkStart w:id="16" w:name="_Toc212715885"/>
      <w:bookmarkStart w:id="17" w:name="_Toc212718018"/>
      <w:r w:rsidRPr="00D55FA1">
        <w:rPr>
          <w:szCs w:val="36"/>
        </w:rPr>
        <w:t>Subject</w:t>
      </w:r>
      <w:bookmarkEnd w:id="9"/>
      <w:bookmarkEnd w:id="10"/>
      <w:bookmarkEnd w:id="11"/>
      <w:bookmarkEnd w:id="12"/>
      <w:bookmarkEnd w:id="13"/>
      <w:bookmarkEnd w:id="14"/>
      <w:bookmarkEnd w:id="15"/>
      <w:bookmarkEnd w:id="16"/>
      <w:bookmarkEnd w:id="17"/>
    </w:p>
    <w:p w14:paraId="4A47854B" w14:textId="539936BD" w:rsidR="00070D13" w:rsidRPr="00D55FA1" w:rsidRDefault="00070D13" w:rsidP="00070D13">
      <w:bookmarkStart w:id="18" w:name="_Hlk184748506"/>
      <w:bookmarkStart w:id="19" w:name="_Toc523909462"/>
      <w:bookmarkStart w:id="20" w:name="_Toc525654531"/>
      <w:bookmarkStart w:id="21" w:name="_Toc528222732"/>
      <w:bookmarkStart w:id="22" w:name="_Toc26532183"/>
      <w:bookmarkStart w:id="23" w:name="_Toc77599029"/>
      <w:r>
        <w:t>State Annual Performance Report for Part B of the Individuals with Disabilities Education Act of 2004 covering program year 202</w:t>
      </w:r>
      <w:r w:rsidR="009764F5">
        <w:t>4</w:t>
      </w:r>
      <w:r>
        <w:t>–2</w:t>
      </w:r>
      <w:r w:rsidR="009764F5">
        <w:t>5</w:t>
      </w:r>
      <w:r>
        <w:t>.</w:t>
      </w:r>
      <w:r w:rsidR="00846C1E">
        <w:t xml:space="preserve"> </w:t>
      </w:r>
    </w:p>
    <w:p w14:paraId="19FA46C3" w14:textId="77777777" w:rsidR="00423AB9" w:rsidRPr="00D55FA1" w:rsidRDefault="00423AB9" w:rsidP="00423AB9">
      <w:pPr>
        <w:pStyle w:val="Heading2"/>
        <w:rPr>
          <w:szCs w:val="36"/>
        </w:rPr>
      </w:pPr>
      <w:bookmarkStart w:id="24" w:name="_Toc88644520"/>
      <w:bookmarkStart w:id="25" w:name="_Toc212212850"/>
      <w:bookmarkStart w:id="26" w:name="_Toc212715886"/>
      <w:bookmarkStart w:id="27" w:name="_Toc212718019"/>
      <w:bookmarkEnd w:id="18"/>
      <w:r w:rsidRPr="00D55FA1">
        <w:rPr>
          <w:szCs w:val="36"/>
        </w:rPr>
        <w:t>Type of Action</w:t>
      </w:r>
      <w:bookmarkEnd w:id="19"/>
      <w:bookmarkEnd w:id="20"/>
      <w:bookmarkEnd w:id="21"/>
      <w:bookmarkEnd w:id="22"/>
      <w:bookmarkEnd w:id="23"/>
      <w:bookmarkEnd w:id="24"/>
      <w:bookmarkEnd w:id="25"/>
      <w:bookmarkEnd w:id="26"/>
      <w:bookmarkEnd w:id="27"/>
    </w:p>
    <w:p w14:paraId="05E60EE5" w14:textId="77777777" w:rsidR="00423AB9" w:rsidRPr="00D55FA1" w:rsidRDefault="0092690E" w:rsidP="00423AB9">
      <w:r w:rsidRPr="00D55FA1">
        <w:t xml:space="preserve">Action, </w:t>
      </w:r>
      <w:r w:rsidR="00423AB9" w:rsidRPr="00D55FA1">
        <w:t>Information</w:t>
      </w:r>
    </w:p>
    <w:p w14:paraId="2F54E36F" w14:textId="77777777" w:rsidR="00423AB9" w:rsidRPr="00D55FA1" w:rsidRDefault="00423AB9" w:rsidP="00423AB9">
      <w:pPr>
        <w:pStyle w:val="Heading2"/>
        <w:rPr>
          <w:szCs w:val="36"/>
        </w:rPr>
      </w:pPr>
      <w:bookmarkStart w:id="28" w:name="_Toc523909463"/>
      <w:bookmarkStart w:id="29" w:name="_Toc525654532"/>
      <w:bookmarkStart w:id="30" w:name="_Toc528222733"/>
      <w:bookmarkStart w:id="31" w:name="_Toc26532184"/>
      <w:bookmarkStart w:id="32" w:name="_Toc77599030"/>
      <w:bookmarkStart w:id="33" w:name="_Toc88644521"/>
      <w:bookmarkStart w:id="34" w:name="_Toc212212851"/>
      <w:bookmarkStart w:id="35" w:name="_Toc212715887"/>
      <w:bookmarkStart w:id="36" w:name="_Toc212718020"/>
      <w:r w:rsidRPr="00D55FA1">
        <w:rPr>
          <w:szCs w:val="36"/>
        </w:rPr>
        <w:t>Summary of the Issue(s)</w:t>
      </w:r>
      <w:bookmarkEnd w:id="28"/>
      <w:bookmarkEnd w:id="29"/>
      <w:bookmarkEnd w:id="30"/>
      <w:bookmarkEnd w:id="31"/>
      <w:bookmarkEnd w:id="32"/>
      <w:bookmarkEnd w:id="33"/>
      <w:bookmarkEnd w:id="34"/>
      <w:bookmarkEnd w:id="35"/>
      <w:bookmarkEnd w:id="36"/>
    </w:p>
    <w:p w14:paraId="2226A212" w14:textId="70652DB5" w:rsidR="00BB2A31" w:rsidRPr="00D55FA1" w:rsidRDefault="00876C1E" w:rsidP="5CEA6F8A">
      <w:pPr>
        <w:spacing w:after="240"/>
      </w:pPr>
      <w:bookmarkStart w:id="37" w:name="_Toc523909464"/>
      <w:bookmarkStart w:id="38" w:name="_Toc525654533"/>
      <w:bookmarkStart w:id="39" w:name="_Toc528222734"/>
      <w:bookmarkStart w:id="40" w:name="_Toc26532185"/>
      <w:bookmarkStart w:id="41" w:name="_Toc77599031"/>
      <w:r>
        <w:t xml:space="preserve">The </w:t>
      </w:r>
      <w:r w:rsidR="00251F5C">
        <w:t>I</w:t>
      </w:r>
      <w:r w:rsidR="6723080A">
        <w:t xml:space="preserve">ndividuals with </w:t>
      </w:r>
      <w:r w:rsidR="00251F5C">
        <w:t>D</w:t>
      </w:r>
      <w:r w:rsidR="3180638F">
        <w:t xml:space="preserve">isabilities </w:t>
      </w:r>
      <w:r w:rsidR="00251F5C">
        <w:t>E</w:t>
      </w:r>
      <w:r w:rsidR="633464BB">
        <w:t xml:space="preserve">ducation </w:t>
      </w:r>
      <w:r w:rsidR="00251F5C">
        <w:t>A</w:t>
      </w:r>
      <w:r w:rsidR="6280EB22">
        <w:t>ct (IDEA)</w:t>
      </w:r>
      <w:r>
        <w:t xml:space="preserve"> of 2004, Part B, requires </w:t>
      </w:r>
      <w:r w:rsidR="004833F3">
        <w:t xml:space="preserve">each state to develop a </w:t>
      </w:r>
      <w:r>
        <w:t>State Performance Plan (SPP)</w:t>
      </w:r>
      <w:r w:rsidR="004833F3">
        <w:t xml:space="preserve"> using the instructions </w:t>
      </w:r>
      <w:r w:rsidR="00F76034">
        <w:t>published</w:t>
      </w:r>
      <w:r w:rsidR="004833F3">
        <w:t xml:space="preserve"> by </w:t>
      </w:r>
      <w:r>
        <w:t>the US Department of Education (ED), Office of Special Education Programs (</w:t>
      </w:r>
      <w:r w:rsidR="004833F3">
        <w:t>OSEP</w:t>
      </w:r>
      <w:r>
        <w:t>).</w:t>
      </w:r>
      <w:r w:rsidR="002C437F">
        <w:t xml:space="preserve"> </w:t>
      </w:r>
      <w:r>
        <w:t xml:space="preserve">The OSEP requires states to work with educational partners to develop targets </w:t>
      </w:r>
      <w:r w:rsidR="00F76034">
        <w:t>for</w:t>
      </w:r>
      <w:r>
        <w:t xml:space="preserve"> </w:t>
      </w:r>
      <w:r w:rsidR="00F97003">
        <w:t xml:space="preserve">performance </w:t>
      </w:r>
      <w:r>
        <w:t>indicators for a six</w:t>
      </w:r>
      <w:r w:rsidR="003C5A29">
        <w:t>-</w:t>
      </w:r>
      <w:r>
        <w:t>year period covering Federal Fiscal Year (FFY) 2020</w:t>
      </w:r>
      <w:r w:rsidR="7DD82957" w:rsidRPr="0F2A0D03">
        <w:rPr>
          <w:rFonts w:eastAsiaTheme="minorEastAsia" w:cs="Arial"/>
        </w:rPr>
        <w:t>–</w:t>
      </w:r>
      <w:r>
        <w:t>21 through FFY 2025</w:t>
      </w:r>
      <w:r w:rsidR="672DCBD2" w:rsidRPr="0F2A0D03">
        <w:rPr>
          <w:rFonts w:eastAsiaTheme="minorEastAsia" w:cs="Arial"/>
        </w:rPr>
        <w:t>–</w:t>
      </w:r>
      <w:r>
        <w:t>26</w:t>
      </w:r>
      <w:r w:rsidR="004833F3">
        <w:t xml:space="preserve">. </w:t>
      </w:r>
      <w:r>
        <w:t xml:space="preserve">The process of setting targets is known as re-benching and ensures that </w:t>
      </w:r>
      <w:r w:rsidR="003C5A29">
        <w:t>states set rigorous, yet attainable targets</w:t>
      </w:r>
      <w:r w:rsidR="00F76034">
        <w:t xml:space="preserve"> to improve outcomes for students with disabilities</w:t>
      </w:r>
      <w:r w:rsidR="006F720D">
        <w:t xml:space="preserve"> (SWDs)</w:t>
      </w:r>
      <w:r w:rsidR="003C5A29">
        <w:t xml:space="preserve">. The State Board of Education (SBE) </w:t>
      </w:r>
      <w:r w:rsidR="003C360A">
        <w:t xml:space="preserve">approved the SPP performance targets </w:t>
      </w:r>
      <w:r w:rsidR="00F76034">
        <w:t>at</w:t>
      </w:r>
      <w:r w:rsidR="003C5A29">
        <w:t xml:space="preserve"> the November 2021 board meeting. </w:t>
      </w:r>
    </w:p>
    <w:p w14:paraId="142C30E5" w14:textId="2E6D61B5" w:rsidR="0000014F" w:rsidRDefault="004833F3" w:rsidP="00336737">
      <w:pPr>
        <w:widowControl w:val="0"/>
        <w:overflowPunct w:val="0"/>
        <w:autoSpaceDE w:val="0"/>
        <w:autoSpaceDN w:val="0"/>
        <w:adjustRightInd w:val="0"/>
        <w:spacing w:after="240"/>
        <w:rPr>
          <w:rFonts w:cs="Arial"/>
          <w:color w:val="000000"/>
          <w:kern w:val="28"/>
        </w:rPr>
      </w:pPr>
      <w:r w:rsidRPr="00D55FA1">
        <w:t xml:space="preserve">Additionally, each year, states must report on progress toward meeting the </w:t>
      </w:r>
      <w:bookmarkStart w:id="42" w:name="_Int_MTXvlgUD"/>
      <w:r w:rsidRPr="00D55FA1">
        <w:t>indicator</w:t>
      </w:r>
      <w:bookmarkEnd w:id="42"/>
      <w:r w:rsidRPr="00D55FA1">
        <w:t xml:space="preserve"> targets outlined in the SPP </w:t>
      </w:r>
      <w:r w:rsidR="009B77A4" w:rsidRPr="00D55FA1">
        <w:t>known as the</w:t>
      </w:r>
      <w:r w:rsidRPr="00D55FA1">
        <w:t xml:space="preserve"> </w:t>
      </w:r>
      <w:r w:rsidR="00F76034" w:rsidRPr="00D55FA1">
        <w:t>A</w:t>
      </w:r>
      <w:r w:rsidRPr="00D55FA1">
        <w:t xml:space="preserve">nnual </w:t>
      </w:r>
      <w:r w:rsidR="00F76034" w:rsidRPr="00D55FA1">
        <w:t>P</w:t>
      </w:r>
      <w:r w:rsidRPr="00D55FA1">
        <w:t xml:space="preserve">erformance </w:t>
      </w:r>
      <w:r w:rsidR="00F76034" w:rsidRPr="00D55FA1">
        <w:t>R</w:t>
      </w:r>
      <w:r w:rsidRPr="00D55FA1">
        <w:t>eport (APR).</w:t>
      </w:r>
      <w:r w:rsidRPr="00D55FA1">
        <w:rPr>
          <w:rFonts w:cs="Arial"/>
          <w:color w:val="000000"/>
          <w:kern w:val="28"/>
        </w:rPr>
        <w:t xml:space="preserve"> </w:t>
      </w:r>
      <w:r w:rsidRPr="00D55FA1">
        <w:t>The APR is developed pursuant to instructions from the OSEP</w:t>
      </w:r>
      <w:r w:rsidR="006B1ED3">
        <w:t>,</w:t>
      </w:r>
      <w:r w:rsidRPr="00D55FA1">
        <w:t xml:space="preserve"> detailing how states must measure, calculate, and report on each of the </w:t>
      </w:r>
      <w:r w:rsidR="00A35715">
        <w:t>eighteen</w:t>
      </w:r>
      <w:r w:rsidRPr="00D55FA1">
        <w:t xml:space="preserve"> SPP indicators. </w:t>
      </w:r>
      <w:r w:rsidRPr="00D55FA1">
        <w:rPr>
          <w:rFonts w:cs="Arial"/>
          <w:color w:val="000000"/>
          <w:kern w:val="28"/>
        </w:rPr>
        <w:t xml:space="preserve">The APR outlines the collective progress of </w:t>
      </w:r>
      <w:r w:rsidR="005C027F">
        <w:rPr>
          <w:rFonts w:cs="Arial"/>
          <w:color w:val="000000"/>
          <w:kern w:val="28"/>
        </w:rPr>
        <w:t>l</w:t>
      </w:r>
      <w:r w:rsidR="00B526F2">
        <w:rPr>
          <w:rFonts w:cs="Arial"/>
          <w:color w:val="000000"/>
          <w:kern w:val="28"/>
        </w:rPr>
        <w:t>o</w:t>
      </w:r>
      <w:r w:rsidR="005E41BD">
        <w:rPr>
          <w:rFonts w:cs="Arial"/>
          <w:color w:val="000000"/>
          <w:kern w:val="28"/>
        </w:rPr>
        <w:t xml:space="preserve">cal </w:t>
      </w:r>
      <w:r w:rsidR="005C027F">
        <w:rPr>
          <w:rFonts w:cs="Arial"/>
          <w:color w:val="000000"/>
          <w:kern w:val="28"/>
        </w:rPr>
        <w:t>e</w:t>
      </w:r>
      <w:r w:rsidR="005E41BD">
        <w:rPr>
          <w:rFonts w:cs="Arial"/>
          <w:color w:val="000000"/>
          <w:kern w:val="28"/>
        </w:rPr>
        <w:t>ducation</w:t>
      </w:r>
      <w:r w:rsidR="005C027F">
        <w:rPr>
          <w:rFonts w:cs="Arial"/>
          <w:color w:val="000000"/>
          <w:kern w:val="28"/>
        </w:rPr>
        <w:t>al</w:t>
      </w:r>
      <w:r w:rsidR="005E41BD">
        <w:rPr>
          <w:rFonts w:cs="Arial"/>
          <w:color w:val="000000"/>
          <w:kern w:val="28"/>
        </w:rPr>
        <w:t xml:space="preserve"> </w:t>
      </w:r>
      <w:r w:rsidR="005C027F">
        <w:rPr>
          <w:rFonts w:cs="Arial"/>
          <w:color w:val="000000"/>
          <w:kern w:val="28"/>
        </w:rPr>
        <w:t>a</w:t>
      </w:r>
      <w:r w:rsidR="005E41BD">
        <w:rPr>
          <w:rFonts w:cs="Arial"/>
          <w:color w:val="000000"/>
          <w:kern w:val="28"/>
        </w:rPr>
        <w:t>gencies (</w:t>
      </w:r>
      <w:r w:rsidR="00A6637F">
        <w:rPr>
          <w:rFonts w:cs="Arial"/>
          <w:color w:val="000000"/>
          <w:kern w:val="28"/>
        </w:rPr>
        <w:t>LEAs</w:t>
      </w:r>
      <w:r w:rsidR="005E41BD">
        <w:rPr>
          <w:rFonts w:cs="Arial"/>
          <w:color w:val="000000"/>
          <w:kern w:val="28"/>
        </w:rPr>
        <w:t>)</w:t>
      </w:r>
      <w:r w:rsidRPr="00D55FA1">
        <w:rPr>
          <w:rFonts w:cs="Arial"/>
          <w:color w:val="000000"/>
          <w:kern w:val="28"/>
        </w:rPr>
        <w:t xml:space="preserve"> in the state toward meeting yearly targets identified in the SPP for </w:t>
      </w:r>
      <w:r w:rsidR="00130CA1">
        <w:rPr>
          <w:rFonts w:cs="Arial"/>
          <w:color w:val="000000"/>
          <w:kern w:val="28"/>
        </w:rPr>
        <w:t>each</w:t>
      </w:r>
      <w:r w:rsidRPr="00D55FA1">
        <w:rPr>
          <w:rFonts w:cs="Arial"/>
          <w:color w:val="000000"/>
          <w:kern w:val="28"/>
        </w:rPr>
        <w:t xml:space="preserve"> indicator. </w:t>
      </w:r>
      <w:r w:rsidRPr="00D55FA1">
        <w:rPr>
          <w:rFonts w:cs="Arial"/>
          <w:color w:val="000000"/>
        </w:rPr>
        <w:t>Indicator 17 of the SPP/APR requires states to develop a State Systemic Improvement Plan (SSIP), which is a targeted plan</w:t>
      </w:r>
      <w:r w:rsidRPr="00D55FA1">
        <w:rPr>
          <w:rFonts w:cs="Arial"/>
          <w:color w:val="000000"/>
          <w:kern w:val="28"/>
        </w:rPr>
        <w:t xml:space="preserve"> to improve outcomes for </w:t>
      </w:r>
      <w:r w:rsidR="003C360A" w:rsidRPr="00D55FA1">
        <w:rPr>
          <w:rFonts w:cs="Arial"/>
          <w:color w:val="000000"/>
          <w:kern w:val="28"/>
        </w:rPr>
        <w:t>SWD</w:t>
      </w:r>
      <w:r w:rsidR="006F720D" w:rsidRPr="00D55FA1">
        <w:rPr>
          <w:rFonts w:cs="Arial"/>
          <w:color w:val="000000"/>
          <w:kern w:val="28"/>
        </w:rPr>
        <w:t>s</w:t>
      </w:r>
      <w:r w:rsidRPr="00D55FA1">
        <w:rPr>
          <w:rFonts w:cs="Arial"/>
          <w:color w:val="000000"/>
          <w:kern w:val="28"/>
        </w:rPr>
        <w:t>.</w:t>
      </w:r>
      <w:r w:rsidR="00876C1E" w:rsidRPr="00D55FA1">
        <w:rPr>
          <w:rFonts w:cs="Arial"/>
          <w:color w:val="000000"/>
          <w:kern w:val="28"/>
        </w:rPr>
        <w:t xml:space="preserve"> </w:t>
      </w:r>
      <w:r w:rsidR="00F76034" w:rsidRPr="00D55FA1">
        <w:rPr>
          <w:rFonts w:cs="Arial"/>
          <w:color w:val="000000"/>
          <w:kern w:val="28"/>
        </w:rPr>
        <w:t>The APR</w:t>
      </w:r>
      <w:r w:rsidR="0002552D" w:rsidRPr="00D55FA1">
        <w:rPr>
          <w:rFonts w:cs="Arial"/>
          <w:color w:val="000000"/>
          <w:kern w:val="28"/>
        </w:rPr>
        <w:t>, including the SSIP,</w:t>
      </w:r>
      <w:r w:rsidR="00F76034" w:rsidRPr="00D55FA1">
        <w:rPr>
          <w:rFonts w:cs="Arial"/>
          <w:color w:val="000000"/>
          <w:kern w:val="28"/>
        </w:rPr>
        <w:t xml:space="preserve"> is presented to the SBE for review and approval annually at the January SBE meeting.</w:t>
      </w:r>
      <w:r w:rsidR="002A67B6">
        <w:rPr>
          <w:rFonts w:cs="Arial"/>
          <w:color w:val="000000"/>
          <w:kern w:val="28"/>
        </w:rPr>
        <w:t xml:space="preserve"> </w:t>
      </w:r>
    </w:p>
    <w:p w14:paraId="0482E41B" w14:textId="6D353B1B" w:rsidR="00336737" w:rsidRPr="00D55FA1" w:rsidRDefault="00336737" w:rsidP="00336737">
      <w:pPr>
        <w:widowControl w:val="0"/>
        <w:overflowPunct w:val="0"/>
        <w:autoSpaceDE w:val="0"/>
        <w:autoSpaceDN w:val="0"/>
        <w:adjustRightInd w:val="0"/>
        <w:spacing w:after="240"/>
        <w:rPr>
          <w:rFonts w:cs="Arial"/>
          <w:color w:val="000000"/>
        </w:rPr>
      </w:pPr>
      <w:proofErr w:type="gramStart"/>
      <w:r w:rsidRPr="044BB71A">
        <w:rPr>
          <w:rFonts w:cs="Arial"/>
          <w:color w:val="000000" w:themeColor="text1"/>
        </w:rPr>
        <w:t>The OSEP</w:t>
      </w:r>
      <w:proofErr w:type="gramEnd"/>
      <w:r w:rsidRPr="044BB71A">
        <w:rPr>
          <w:rFonts w:cs="Arial"/>
          <w:color w:val="000000" w:themeColor="text1"/>
        </w:rPr>
        <w:t xml:space="preserve"> added Indicator 18 to the FFY 2023 submission of the SPP/APR</w:t>
      </w:r>
      <w:r w:rsidR="00130CA1">
        <w:rPr>
          <w:rFonts w:cs="Arial"/>
          <w:color w:val="000000" w:themeColor="text1"/>
        </w:rPr>
        <w:t>, establishing a new</w:t>
      </w:r>
      <w:r w:rsidRPr="044BB71A">
        <w:rPr>
          <w:rFonts w:cs="Arial"/>
          <w:color w:val="000000" w:themeColor="text1"/>
        </w:rPr>
        <w:t xml:space="preserve"> compliance indicator </w:t>
      </w:r>
      <w:r w:rsidR="00130CA1">
        <w:rPr>
          <w:rFonts w:cs="Arial"/>
          <w:color w:val="000000" w:themeColor="text1"/>
        </w:rPr>
        <w:t>that</w:t>
      </w:r>
      <w:r w:rsidR="00130CA1" w:rsidRPr="044BB71A">
        <w:rPr>
          <w:rFonts w:cs="Arial"/>
          <w:color w:val="000000" w:themeColor="text1"/>
        </w:rPr>
        <w:t xml:space="preserve"> </w:t>
      </w:r>
      <w:r w:rsidRPr="044BB71A">
        <w:rPr>
          <w:rFonts w:cs="Arial"/>
          <w:color w:val="000000" w:themeColor="text1"/>
        </w:rPr>
        <w:t xml:space="preserve">will </w:t>
      </w:r>
      <w:r w:rsidR="00130CA1">
        <w:rPr>
          <w:rFonts w:cs="Arial"/>
          <w:color w:val="000000" w:themeColor="text1"/>
        </w:rPr>
        <w:t>remain</w:t>
      </w:r>
      <w:r w:rsidR="00130CA1" w:rsidRPr="044BB71A">
        <w:rPr>
          <w:rFonts w:cs="Arial"/>
          <w:color w:val="000000" w:themeColor="text1"/>
        </w:rPr>
        <w:t xml:space="preserve"> </w:t>
      </w:r>
      <w:r w:rsidRPr="044BB71A">
        <w:rPr>
          <w:rFonts w:cs="Arial"/>
          <w:color w:val="000000" w:themeColor="text1"/>
        </w:rPr>
        <w:t xml:space="preserve">a permanent </w:t>
      </w:r>
      <w:r w:rsidR="00130CA1">
        <w:rPr>
          <w:rFonts w:cs="Arial"/>
          <w:color w:val="000000" w:themeColor="text1"/>
        </w:rPr>
        <w:t>component of</w:t>
      </w:r>
      <w:r w:rsidR="00130CA1" w:rsidRPr="044BB71A">
        <w:rPr>
          <w:rFonts w:cs="Arial"/>
          <w:color w:val="000000" w:themeColor="text1"/>
        </w:rPr>
        <w:t xml:space="preserve"> </w:t>
      </w:r>
      <w:r w:rsidRPr="044BB71A">
        <w:rPr>
          <w:rFonts w:cs="Arial"/>
          <w:color w:val="000000" w:themeColor="text1"/>
        </w:rPr>
        <w:t xml:space="preserve">the </w:t>
      </w:r>
      <w:r w:rsidR="00130CA1">
        <w:rPr>
          <w:rFonts w:cs="Arial"/>
          <w:color w:val="000000" w:themeColor="text1"/>
        </w:rPr>
        <w:lastRenderedPageBreak/>
        <w:t>SPP/APR.</w:t>
      </w:r>
      <w:r w:rsidRPr="044BB71A">
        <w:rPr>
          <w:rFonts w:cs="Arial"/>
          <w:color w:val="000000" w:themeColor="text1"/>
        </w:rPr>
        <w:t xml:space="preserve"> This indicator focuses on the states</w:t>
      </w:r>
      <w:r w:rsidR="7BADB5B9" w:rsidRPr="044BB71A">
        <w:rPr>
          <w:rFonts w:cs="Arial"/>
          <w:color w:val="000000" w:themeColor="text1"/>
        </w:rPr>
        <w:t>’</w:t>
      </w:r>
      <w:r w:rsidRPr="044BB71A">
        <w:rPr>
          <w:rFonts w:cs="Arial"/>
          <w:color w:val="000000" w:themeColor="text1"/>
        </w:rPr>
        <w:t xml:space="preserve"> exercise of its general supervision responsibility to monitor its LEAs for requirements under Part B of the IDEA through the reporting on timely correction of noncompliance. Since this is a compliance indicator, the target is set at 100</w:t>
      </w:r>
      <w:r w:rsidR="007F24A3" w:rsidRPr="044BB71A">
        <w:rPr>
          <w:rFonts w:cs="Arial"/>
          <w:color w:val="000000" w:themeColor="text1"/>
        </w:rPr>
        <w:t xml:space="preserve"> percent</w:t>
      </w:r>
      <w:r w:rsidRPr="044BB71A">
        <w:rPr>
          <w:rFonts w:cs="Arial"/>
          <w:color w:val="000000" w:themeColor="text1"/>
        </w:rPr>
        <w:t xml:space="preserve"> by OSEP and did not require SBE approval. </w:t>
      </w:r>
    </w:p>
    <w:p w14:paraId="69D7B482" w14:textId="489DD381" w:rsidR="00070D13" w:rsidRPr="00D55FA1" w:rsidRDefault="004833F3" w:rsidP="00A869FA">
      <w:pPr>
        <w:spacing w:after="240"/>
      </w:pPr>
      <w:r>
        <w:t>The</w:t>
      </w:r>
      <w:r w:rsidR="00FA0CBD">
        <w:t xml:space="preserve"> APR describe</w:t>
      </w:r>
      <w:r w:rsidR="00F76034">
        <w:t>s</w:t>
      </w:r>
      <w:r w:rsidR="00FA0CBD">
        <w:t xml:space="preserve"> </w:t>
      </w:r>
      <w:r w:rsidR="00070D13">
        <w:t xml:space="preserve">California’s progress on </w:t>
      </w:r>
      <w:r w:rsidR="00B7018A">
        <w:t>six</w:t>
      </w:r>
      <w:r w:rsidR="00070D13">
        <w:t xml:space="preserve"> compliance indicators, </w:t>
      </w:r>
      <w:r w:rsidR="003C360A">
        <w:t>eleven</w:t>
      </w:r>
      <w:r w:rsidR="00070D13">
        <w:t xml:space="preserve"> performance indicators, and </w:t>
      </w:r>
      <w:r w:rsidR="003C360A">
        <w:t>one</w:t>
      </w:r>
      <w:r w:rsidR="00070D13">
        <w:t xml:space="preserve"> indicator with both compliance and performance components. The attached report is for </w:t>
      </w:r>
      <w:bookmarkStart w:id="43" w:name="_Int_jhsM0tyG"/>
      <w:r w:rsidR="00070D13">
        <w:t>program</w:t>
      </w:r>
      <w:bookmarkEnd w:id="43"/>
      <w:r w:rsidR="00070D13">
        <w:t xml:space="preserve"> year </w:t>
      </w:r>
      <w:r w:rsidR="00752E82">
        <w:t>202</w:t>
      </w:r>
      <w:r w:rsidR="00B42834">
        <w:t>4</w:t>
      </w:r>
      <w:r w:rsidR="00752E82">
        <w:t>–2</w:t>
      </w:r>
      <w:r w:rsidR="00B42834">
        <w:t>5</w:t>
      </w:r>
      <w:r w:rsidR="00070D13">
        <w:t xml:space="preserve">. </w:t>
      </w:r>
    </w:p>
    <w:p w14:paraId="08BF9F4B" w14:textId="77777777" w:rsidR="00423AB9" w:rsidRPr="00D55FA1" w:rsidRDefault="00423AB9" w:rsidP="00423AB9">
      <w:pPr>
        <w:pStyle w:val="Heading2"/>
        <w:rPr>
          <w:szCs w:val="36"/>
        </w:rPr>
      </w:pPr>
      <w:bookmarkStart w:id="44" w:name="_Toc88644522"/>
      <w:bookmarkStart w:id="45" w:name="_Toc212212852"/>
      <w:bookmarkStart w:id="46" w:name="_Toc212715888"/>
      <w:bookmarkStart w:id="47" w:name="_Toc212718021"/>
      <w:r w:rsidRPr="00D55FA1">
        <w:rPr>
          <w:szCs w:val="36"/>
        </w:rPr>
        <w:t>Recommendation</w:t>
      </w:r>
      <w:bookmarkEnd w:id="37"/>
      <w:bookmarkEnd w:id="38"/>
      <w:bookmarkEnd w:id="39"/>
      <w:bookmarkEnd w:id="40"/>
      <w:bookmarkEnd w:id="41"/>
      <w:bookmarkEnd w:id="44"/>
      <w:bookmarkEnd w:id="45"/>
      <w:bookmarkEnd w:id="46"/>
      <w:bookmarkEnd w:id="47"/>
    </w:p>
    <w:p w14:paraId="6D30404D" w14:textId="467EDBEB" w:rsidR="00423AB9" w:rsidRPr="00D55FA1" w:rsidRDefault="00070D13" w:rsidP="00A869FA">
      <w:bookmarkStart w:id="48" w:name="_Hlk184748542"/>
      <w:bookmarkStart w:id="49" w:name="_Toc523909465"/>
      <w:bookmarkStart w:id="50" w:name="_Toc525654534"/>
      <w:bookmarkStart w:id="51" w:name="_Toc528222735"/>
      <w:bookmarkStart w:id="52" w:name="_Toc26532186"/>
      <w:bookmarkStart w:id="53" w:name="_Toc77599032"/>
      <w:r w:rsidRPr="00D55FA1">
        <w:t xml:space="preserve">The </w:t>
      </w:r>
      <w:r w:rsidR="001C43D6" w:rsidRPr="00D55FA1">
        <w:t>California Department of Education (</w:t>
      </w:r>
      <w:r w:rsidRPr="00D55FA1">
        <w:t>CDE</w:t>
      </w:r>
      <w:r w:rsidR="001C43D6" w:rsidRPr="00D55FA1">
        <w:t>)</w:t>
      </w:r>
      <w:r w:rsidRPr="00D55FA1">
        <w:t xml:space="preserve"> recommends the SBE review and </w:t>
      </w:r>
      <w:r w:rsidR="00A10B94" w:rsidRPr="00D55FA1">
        <w:t>approve</w:t>
      </w:r>
      <w:r w:rsidRPr="00D55FA1">
        <w:t xml:space="preserve"> the Executive Summary of the FFY 202</w:t>
      </w:r>
      <w:r w:rsidR="00B42834">
        <w:t>4</w:t>
      </w:r>
      <w:r w:rsidRPr="00D55FA1">
        <w:t xml:space="preserve"> APR for Part B of the IDEA covering program year </w:t>
      </w:r>
      <w:r w:rsidR="001F7698" w:rsidRPr="00D55FA1">
        <w:t>202</w:t>
      </w:r>
      <w:r w:rsidR="00B42834">
        <w:t>4</w:t>
      </w:r>
      <w:r w:rsidR="001F7698" w:rsidRPr="00D55FA1">
        <w:t>–2</w:t>
      </w:r>
      <w:r w:rsidR="00B42834">
        <w:t>5</w:t>
      </w:r>
      <w:r w:rsidR="001F7698" w:rsidRPr="00D55FA1">
        <w:t xml:space="preserve"> </w:t>
      </w:r>
      <w:r w:rsidRPr="00D55FA1">
        <w:t xml:space="preserve">as prepared by the </w:t>
      </w:r>
      <w:r w:rsidR="001C43D6" w:rsidRPr="00D55FA1">
        <w:t>Special Education Division (</w:t>
      </w:r>
      <w:r w:rsidRPr="00D55FA1">
        <w:t>SED</w:t>
      </w:r>
      <w:r w:rsidR="001C43D6" w:rsidRPr="00D55FA1">
        <w:t>)</w:t>
      </w:r>
      <w:r w:rsidRPr="00D55FA1">
        <w:t>.</w:t>
      </w:r>
    </w:p>
    <w:p w14:paraId="28788C28" w14:textId="77777777" w:rsidR="00423AB9" w:rsidRPr="00D55FA1" w:rsidRDefault="00423AB9" w:rsidP="00423AB9">
      <w:pPr>
        <w:pStyle w:val="Heading2"/>
        <w:rPr>
          <w:szCs w:val="36"/>
        </w:rPr>
      </w:pPr>
      <w:bookmarkStart w:id="54" w:name="_Toc88644523"/>
      <w:bookmarkStart w:id="55" w:name="_Toc212212853"/>
      <w:bookmarkStart w:id="56" w:name="_Toc212715889"/>
      <w:bookmarkStart w:id="57" w:name="_Toc212718022"/>
      <w:bookmarkEnd w:id="48"/>
      <w:r w:rsidRPr="00D55FA1">
        <w:rPr>
          <w:szCs w:val="36"/>
        </w:rPr>
        <w:t>Brief History of Key Issues</w:t>
      </w:r>
      <w:bookmarkEnd w:id="49"/>
      <w:bookmarkEnd w:id="50"/>
      <w:bookmarkEnd w:id="51"/>
      <w:bookmarkEnd w:id="52"/>
      <w:bookmarkEnd w:id="53"/>
      <w:bookmarkEnd w:id="54"/>
      <w:bookmarkEnd w:id="55"/>
      <w:bookmarkEnd w:id="56"/>
      <w:bookmarkEnd w:id="57"/>
    </w:p>
    <w:p w14:paraId="1D81285C" w14:textId="08631693" w:rsidR="00BB2A31" w:rsidRPr="00D55FA1" w:rsidRDefault="004A0D1D" w:rsidP="00BB2A31">
      <w:pPr>
        <w:widowControl w:val="0"/>
        <w:overflowPunct w:val="0"/>
        <w:autoSpaceDE w:val="0"/>
        <w:autoSpaceDN w:val="0"/>
        <w:adjustRightInd w:val="0"/>
        <w:spacing w:after="240"/>
        <w:rPr>
          <w:rFonts w:cs="Arial"/>
          <w:color w:val="000000"/>
          <w:kern w:val="28"/>
        </w:rPr>
      </w:pPr>
      <w:bookmarkStart w:id="58" w:name="_Hlk184748645"/>
      <w:r w:rsidRPr="00D55FA1">
        <w:rPr>
          <w:rFonts w:cs="Arial"/>
          <w:color w:val="000000"/>
          <w:kern w:val="28"/>
        </w:rPr>
        <w:t xml:space="preserve">The APR is presented to the SBE annually for review and approval as part of the CDE annual report to the public on the performance of its LEAs in serving </w:t>
      </w:r>
      <w:r w:rsidR="006F720D" w:rsidRPr="00D55FA1">
        <w:rPr>
          <w:rFonts w:cs="Arial"/>
          <w:color w:val="000000"/>
          <w:kern w:val="28"/>
        </w:rPr>
        <w:t>SWDs</w:t>
      </w:r>
      <w:r w:rsidRPr="00D55FA1">
        <w:rPr>
          <w:rFonts w:cs="Arial"/>
          <w:color w:val="000000"/>
          <w:kern w:val="28"/>
        </w:rPr>
        <w:t xml:space="preserve">. </w:t>
      </w:r>
      <w:r w:rsidR="00F04D37" w:rsidRPr="00D55FA1">
        <w:t>The APR is developed pursuant to instructions from the OSEP detailing how states must measure, calculate, and report on each of the 1</w:t>
      </w:r>
      <w:r w:rsidR="00F528BB">
        <w:t>8</w:t>
      </w:r>
      <w:r w:rsidR="00F04D37" w:rsidRPr="00D55FA1">
        <w:t xml:space="preserve"> SPP indicators. </w:t>
      </w:r>
      <w:r w:rsidR="00F04D37" w:rsidRPr="00D55FA1">
        <w:rPr>
          <w:rFonts w:cs="Arial"/>
          <w:color w:val="000000"/>
          <w:kern w:val="28"/>
        </w:rPr>
        <w:t>The APR outlines the collective progress of LEAs in the state toward meeting yearly targets identified in the SPP</w:t>
      </w:r>
      <w:r w:rsidR="00BB2A31" w:rsidRPr="00D55FA1">
        <w:rPr>
          <w:rFonts w:cs="Arial"/>
          <w:color w:val="000000"/>
          <w:kern w:val="28"/>
        </w:rPr>
        <w:t>.</w:t>
      </w:r>
    </w:p>
    <w:bookmarkEnd w:id="58"/>
    <w:p w14:paraId="39252D03" w14:textId="3E72A7EA" w:rsidR="00BB2A31" w:rsidRDefault="00BB2A31" w:rsidP="00C312D5">
      <w:pPr>
        <w:widowControl w:val="0"/>
        <w:overflowPunct w:val="0"/>
        <w:autoSpaceDE w:val="0"/>
        <w:autoSpaceDN w:val="0"/>
        <w:adjustRightInd w:val="0"/>
        <w:spacing w:after="240"/>
        <w:rPr>
          <w:rFonts w:cs="Arial"/>
          <w:color w:val="000000"/>
        </w:rPr>
      </w:pPr>
      <w:r w:rsidRPr="00D55FA1">
        <w:rPr>
          <w:rFonts w:cs="Arial"/>
          <w:color w:val="000000" w:themeColor="text1"/>
        </w:rPr>
        <w:t xml:space="preserve">Indicator 17, known as the SSIP, is a three-phase plan to address systemic improvement for </w:t>
      </w:r>
      <w:r w:rsidR="003C360A" w:rsidRPr="00D55FA1">
        <w:rPr>
          <w:rFonts w:cs="Arial"/>
          <w:color w:val="000000" w:themeColor="text1"/>
        </w:rPr>
        <w:t>SWD</w:t>
      </w:r>
      <w:r w:rsidR="00AA2424" w:rsidRPr="00D55FA1">
        <w:rPr>
          <w:rFonts w:cs="Arial"/>
          <w:color w:val="000000" w:themeColor="text1"/>
        </w:rPr>
        <w:t>s</w:t>
      </w:r>
      <w:r w:rsidRPr="00D55FA1">
        <w:rPr>
          <w:rFonts w:cs="Arial"/>
          <w:color w:val="000000" w:themeColor="text1"/>
        </w:rPr>
        <w:t xml:space="preserve"> in California. </w:t>
      </w:r>
      <w:r w:rsidRPr="00D55FA1">
        <w:rPr>
          <w:rFonts w:cs="Arial"/>
          <w:color w:val="000000"/>
        </w:rPr>
        <w:t xml:space="preserve">The SSIP describes California’s plan for improving outcomes for </w:t>
      </w:r>
      <w:r w:rsidR="003C360A" w:rsidRPr="00D55FA1">
        <w:rPr>
          <w:rFonts w:cs="Arial"/>
          <w:color w:val="000000"/>
        </w:rPr>
        <w:t>SWD</w:t>
      </w:r>
      <w:r w:rsidR="00AA2424" w:rsidRPr="00D55FA1">
        <w:rPr>
          <w:rFonts w:cs="Arial"/>
          <w:color w:val="000000"/>
        </w:rPr>
        <w:t>s</w:t>
      </w:r>
      <w:r w:rsidR="002A1925" w:rsidRPr="00D55FA1">
        <w:rPr>
          <w:rFonts w:cs="Arial"/>
          <w:color w:val="000000"/>
        </w:rPr>
        <w:t xml:space="preserve"> and it includes what is referred to as</w:t>
      </w:r>
      <w:r w:rsidRPr="00D55FA1">
        <w:rPr>
          <w:rFonts w:cs="Arial"/>
          <w:color w:val="000000"/>
        </w:rPr>
        <w:t xml:space="preserve"> The Theory of Action </w:t>
      </w:r>
      <w:r w:rsidR="002A1925" w:rsidRPr="00D55FA1">
        <w:rPr>
          <w:rFonts w:cs="Arial"/>
          <w:color w:val="000000"/>
        </w:rPr>
        <w:t xml:space="preserve">which </w:t>
      </w:r>
      <w:r w:rsidRPr="00D55FA1">
        <w:rPr>
          <w:rFonts w:cs="Arial"/>
          <w:color w:val="000000"/>
        </w:rPr>
        <w:t xml:space="preserve">posits that when accountability efforts and resources are aligned to ensure that evidence-based improvement strategies are included in comprehensive improvement plans to meaningfully address </w:t>
      </w:r>
      <w:r w:rsidR="003C360A" w:rsidRPr="00D55FA1">
        <w:rPr>
          <w:rFonts w:cs="Arial"/>
          <w:color w:val="000000"/>
        </w:rPr>
        <w:t>SWD</w:t>
      </w:r>
      <w:r w:rsidR="00AA2424" w:rsidRPr="00D55FA1">
        <w:rPr>
          <w:rFonts w:cs="Arial"/>
          <w:color w:val="000000"/>
        </w:rPr>
        <w:t>s</w:t>
      </w:r>
      <w:r w:rsidRPr="00D55FA1">
        <w:rPr>
          <w:rFonts w:cs="Arial"/>
          <w:color w:val="000000"/>
        </w:rPr>
        <w:t xml:space="preserve"> along with their peers, </w:t>
      </w:r>
      <w:r w:rsidR="003C360A" w:rsidRPr="00D55FA1">
        <w:rPr>
          <w:rFonts w:cs="Arial"/>
          <w:color w:val="000000"/>
        </w:rPr>
        <w:t>SWD</w:t>
      </w:r>
      <w:r w:rsidR="00AA2424" w:rsidRPr="00D55FA1">
        <w:rPr>
          <w:rFonts w:cs="Arial"/>
          <w:color w:val="000000"/>
        </w:rPr>
        <w:t>s</w:t>
      </w:r>
      <w:r w:rsidRPr="00D55FA1">
        <w:rPr>
          <w:rFonts w:cs="Arial"/>
          <w:color w:val="000000"/>
        </w:rPr>
        <w:t xml:space="preserve"> performance outcomes will improve.</w:t>
      </w:r>
    </w:p>
    <w:p w14:paraId="499445B4" w14:textId="6445EAF8" w:rsidR="00BB2A31" w:rsidRPr="00D55FA1" w:rsidRDefault="00BB2A31" w:rsidP="00BB2A31">
      <w:pPr>
        <w:spacing w:after="240"/>
      </w:pPr>
      <w:r w:rsidRPr="00D55FA1">
        <w:t xml:space="preserve">California’s SSIP continues to be a critical driver of change, resulting in special education and </w:t>
      </w:r>
      <w:r w:rsidR="003C360A" w:rsidRPr="00D55FA1">
        <w:t>SWDs</w:t>
      </w:r>
      <w:r w:rsidRPr="00D55FA1">
        <w:t xml:space="preserve"> being meaningfully represented and addressed in the overall S</w:t>
      </w:r>
      <w:r w:rsidR="00251F5C" w:rsidRPr="00D55FA1">
        <w:t xml:space="preserve">tatewide </w:t>
      </w:r>
      <w:r w:rsidRPr="00D55FA1">
        <w:t>S</w:t>
      </w:r>
      <w:r w:rsidR="00251F5C" w:rsidRPr="00D55FA1">
        <w:t xml:space="preserve">ystem of </w:t>
      </w:r>
      <w:r w:rsidRPr="00D55FA1">
        <w:t>S</w:t>
      </w:r>
      <w:r w:rsidR="00251F5C" w:rsidRPr="00D55FA1">
        <w:t>upport (SSOS)</w:t>
      </w:r>
      <w:r w:rsidRPr="00D55FA1">
        <w:t>. Developed in 2013, prior to the launch of the California School Dashboard and S</w:t>
      </w:r>
      <w:r w:rsidR="000E4075" w:rsidRPr="00D55FA1">
        <w:t>SOS</w:t>
      </w:r>
      <w:r w:rsidR="00251F5C" w:rsidRPr="00D55FA1">
        <w:t>,</w:t>
      </w:r>
      <w:r w:rsidR="000E4075" w:rsidRPr="00D55FA1">
        <w:t xml:space="preserve"> </w:t>
      </w:r>
      <w:r w:rsidRPr="00D55FA1">
        <w:t>the SSIP</w:t>
      </w:r>
      <w:r w:rsidR="003C360A" w:rsidRPr="00D55FA1">
        <w:t xml:space="preserve"> hypothesized</w:t>
      </w:r>
      <w:r w:rsidRPr="00D55FA1">
        <w:t xml:space="preserve"> that by drawing connections between the intersectionality of </w:t>
      </w:r>
      <w:r w:rsidR="006F720D" w:rsidRPr="00D55FA1">
        <w:t>SWDs</w:t>
      </w:r>
      <w:r w:rsidRPr="00D55FA1">
        <w:t xml:space="preserve"> and the new Local Control Funding Formula weighted student groups, all students would benefit. </w:t>
      </w:r>
      <w:r w:rsidR="003C360A" w:rsidRPr="00D55FA1">
        <w:t>A</w:t>
      </w:r>
      <w:r w:rsidRPr="00D55FA1">
        <w:t xml:space="preserve">ligning and integrating special </w:t>
      </w:r>
      <w:proofErr w:type="gramStart"/>
      <w:r w:rsidRPr="00D55FA1">
        <w:t>education</w:t>
      </w:r>
      <w:proofErr w:type="gramEnd"/>
      <w:r w:rsidRPr="00D55FA1">
        <w:t xml:space="preserve"> activities and </w:t>
      </w:r>
      <w:r w:rsidR="00251F5C" w:rsidRPr="00D55FA1">
        <w:t>technical assistance</w:t>
      </w:r>
      <w:r w:rsidR="008E51E8">
        <w:t xml:space="preserve"> </w:t>
      </w:r>
      <w:r w:rsidRPr="00D55FA1">
        <w:t xml:space="preserve">to the larger SSOS for </w:t>
      </w:r>
      <w:r w:rsidR="00A10B94" w:rsidRPr="00D55FA1">
        <w:t>LEAs</w:t>
      </w:r>
      <w:r w:rsidRPr="00D55FA1">
        <w:t xml:space="preserve"> would lead to coherenc</w:t>
      </w:r>
      <w:r w:rsidR="009A0251" w:rsidRPr="00D55FA1">
        <w:t>e</w:t>
      </w:r>
      <w:r w:rsidRPr="00D55FA1">
        <w:t xml:space="preserve"> among services and improve</w:t>
      </w:r>
      <w:r w:rsidR="00AA2424" w:rsidRPr="00D55FA1">
        <w:t>d</w:t>
      </w:r>
      <w:r w:rsidRPr="00D55FA1">
        <w:t xml:space="preserve"> outcomes</w:t>
      </w:r>
      <w:r w:rsidR="00AA2424" w:rsidRPr="00D55FA1">
        <w:t xml:space="preserve"> for SWDs</w:t>
      </w:r>
      <w:r w:rsidRPr="00D55FA1">
        <w:t>.</w:t>
      </w:r>
    </w:p>
    <w:p w14:paraId="5CFAE243" w14:textId="6FFA7ABB" w:rsidR="00BB2A31" w:rsidRPr="00D55FA1" w:rsidRDefault="00BB2A31" w:rsidP="00BB2A31">
      <w:pPr>
        <w:widowControl w:val="0"/>
        <w:overflowPunct w:val="0"/>
        <w:autoSpaceDE w:val="0"/>
        <w:autoSpaceDN w:val="0"/>
        <w:adjustRightInd w:val="0"/>
        <w:spacing w:after="240"/>
        <w:rPr>
          <w:rFonts w:cs="Arial"/>
          <w:color w:val="000000"/>
          <w:kern w:val="28"/>
        </w:rPr>
      </w:pPr>
      <w:r w:rsidRPr="4559D8E7">
        <w:rPr>
          <w:rFonts w:cs="Arial"/>
          <w:color w:val="000000" w:themeColor="text1"/>
        </w:rPr>
        <w:t>The</w:t>
      </w:r>
      <w:r w:rsidR="00F97003" w:rsidRPr="4559D8E7">
        <w:rPr>
          <w:rFonts w:cs="Arial"/>
          <w:color w:val="000000" w:themeColor="text1"/>
        </w:rPr>
        <w:t xml:space="preserve"> OSEP required states to develop the</w:t>
      </w:r>
      <w:r w:rsidRPr="4559D8E7">
        <w:rPr>
          <w:rFonts w:cs="Arial"/>
          <w:color w:val="000000" w:themeColor="text1"/>
        </w:rPr>
        <w:t xml:space="preserve"> SSIP in three phases, with specific sections required to be completed in each phase. </w:t>
      </w:r>
      <w:bookmarkStart w:id="59" w:name="_Int_l90LWsp2"/>
      <w:r w:rsidRPr="4559D8E7">
        <w:rPr>
          <w:rFonts w:cs="Arial"/>
          <w:color w:val="000000" w:themeColor="text1"/>
        </w:rPr>
        <w:t>The Phase</w:t>
      </w:r>
      <w:bookmarkEnd w:id="59"/>
      <w:r w:rsidRPr="4559D8E7">
        <w:rPr>
          <w:rFonts w:cs="Arial"/>
          <w:color w:val="000000" w:themeColor="text1"/>
        </w:rPr>
        <w:t xml:space="preserve"> I report included an overview and analysis of current state conditions and a description of the state’s general plan for improving academic performance</w:t>
      </w:r>
      <w:r w:rsidR="00AA2424" w:rsidRPr="4559D8E7">
        <w:rPr>
          <w:rFonts w:cs="Arial"/>
          <w:color w:val="000000" w:themeColor="text1"/>
        </w:rPr>
        <w:t xml:space="preserve"> for SWDs</w:t>
      </w:r>
      <w:r w:rsidRPr="4559D8E7">
        <w:rPr>
          <w:rFonts w:cs="Arial"/>
          <w:color w:val="000000" w:themeColor="text1"/>
        </w:rPr>
        <w:t xml:space="preserve">. </w:t>
      </w:r>
      <w:r w:rsidR="00AA2424" w:rsidRPr="4559D8E7">
        <w:rPr>
          <w:rFonts w:cs="Arial"/>
          <w:color w:val="000000" w:themeColor="text1"/>
        </w:rPr>
        <w:t>T</w:t>
      </w:r>
      <w:r w:rsidRPr="4559D8E7">
        <w:rPr>
          <w:rFonts w:cs="Arial"/>
          <w:color w:val="000000" w:themeColor="text1"/>
        </w:rPr>
        <w:t xml:space="preserve">he SBE </w:t>
      </w:r>
      <w:r w:rsidR="00AA2424" w:rsidRPr="4559D8E7">
        <w:rPr>
          <w:rFonts w:cs="Arial"/>
          <w:color w:val="000000" w:themeColor="text1"/>
        </w:rPr>
        <w:t xml:space="preserve">approved Phase I of the SSIP </w:t>
      </w:r>
      <w:r w:rsidRPr="4559D8E7">
        <w:rPr>
          <w:rFonts w:cs="Arial"/>
          <w:color w:val="000000" w:themeColor="text1"/>
        </w:rPr>
        <w:t xml:space="preserve">in March </w:t>
      </w:r>
      <w:r w:rsidR="00AA2424" w:rsidRPr="4559D8E7">
        <w:rPr>
          <w:rFonts w:cs="Arial"/>
          <w:color w:val="000000" w:themeColor="text1"/>
        </w:rPr>
        <w:t xml:space="preserve">of </w:t>
      </w:r>
      <w:r w:rsidRPr="4559D8E7">
        <w:rPr>
          <w:rFonts w:cs="Arial"/>
          <w:color w:val="000000" w:themeColor="text1"/>
        </w:rPr>
        <w:t xml:space="preserve">2015. </w:t>
      </w:r>
      <w:bookmarkStart w:id="60" w:name="_Int_RtwqduLa"/>
      <w:r w:rsidRPr="4559D8E7">
        <w:rPr>
          <w:rFonts w:cs="Arial"/>
        </w:rPr>
        <w:t>The Phase</w:t>
      </w:r>
      <w:bookmarkEnd w:id="60"/>
      <w:r w:rsidRPr="4559D8E7">
        <w:rPr>
          <w:rFonts w:cs="Arial"/>
        </w:rPr>
        <w:t xml:space="preserve"> II report established the structure and details of California’s </w:t>
      </w:r>
      <w:r w:rsidRPr="4559D8E7">
        <w:rPr>
          <w:rFonts w:cs="Arial"/>
        </w:rPr>
        <w:lastRenderedPageBreak/>
        <w:t>SSIP.</w:t>
      </w:r>
      <w:r w:rsidRPr="4559D8E7">
        <w:rPr>
          <w:rFonts w:cs="Arial"/>
          <w:color w:val="000000" w:themeColor="text1"/>
        </w:rPr>
        <w:t xml:space="preserve"> </w:t>
      </w:r>
      <w:r w:rsidR="00AA2424" w:rsidRPr="4559D8E7">
        <w:rPr>
          <w:rFonts w:cs="Arial"/>
          <w:color w:val="000000" w:themeColor="text1"/>
        </w:rPr>
        <w:t>The</w:t>
      </w:r>
      <w:r w:rsidRPr="4559D8E7">
        <w:rPr>
          <w:rFonts w:cs="Arial"/>
          <w:color w:val="000000" w:themeColor="text1"/>
        </w:rPr>
        <w:t xml:space="preserve"> SBE</w:t>
      </w:r>
      <w:r w:rsidR="00AA2424" w:rsidRPr="4559D8E7">
        <w:rPr>
          <w:rFonts w:cs="Arial"/>
          <w:color w:val="000000" w:themeColor="text1"/>
        </w:rPr>
        <w:t xml:space="preserve"> approved Phase II</w:t>
      </w:r>
      <w:r w:rsidRPr="4559D8E7">
        <w:rPr>
          <w:rFonts w:cs="Arial"/>
          <w:color w:val="000000" w:themeColor="text1"/>
        </w:rPr>
        <w:t xml:space="preserve"> in March 2016. </w:t>
      </w:r>
      <w:bookmarkStart w:id="61" w:name="_Int_pb9IfhBe"/>
      <w:r w:rsidR="00054099" w:rsidRPr="4559D8E7">
        <w:rPr>
          <w:rFonts w:cs="Arial"/>
          <w:color w:val="000000" w:themeColor="text1"/>
        </w:rPr>
        <w:t xml:space="preserve">The </w:t>
      </w:r>
      <w:r w:rsidRPr="4559D8E7">
        <w:rPr>
          <w:rFonts w:cs="Arial"/>
          <w:color w:val="000000" w:themeColor="text1"/>
        </w:rPr>
        <w:t>Phase</w:t>
      </w:r>
      <w:bookmarkEnd w:id="61"/>
      <w:r w:rsidRPr="4559D8E7">
        <w:rPr>
          <w:rFonts w:cs="Arial"/>
          <w:color w:val="000000" w:themeColor="text1"/>
        </w:rPr>
        <w:t xml:space="preserve"> III</w:t>
      </w:r>
      <w:r w:rsidR="00054099" w:rsidRPr="4559D8E7">
        <w:rPr>
          <w:rFonts w:cs="Arial"/>
          <w:color w:val="000000" w:themeColor="text1"/>
        </w:rPr>
        <w:t xml:space="preserve"> report</w:t>
      </w:r>
      <w:r w:rsidRPr="4559D8E7">
        <w:rPr>
          <w:rFonts w:cs="Arial"/>
          <w:color w:val="000000" w:themeColor="text1"/>
        </w:rPr>
        <w:t>, focuse</w:t>
      </w:r>
      <w:r w:rsidR="00054099" w:rsidRPr="4559D8E7">
        <w:rPr>
          <w:rFonts w:cs="Arial"/>
          <w:color w:val="000000" w:themeColor="text1"/>
        </w:rPr>
        <w:t>d</w:t>
      </w:r>
      <w:r w:rsidRPr="4559D8E7">
        <w:rPr>
          <w:rFonts w:cs="Arial"/>
          <w:color w:val="000000" w:themeColor="text1"/>
        </w:rPr>
        <w:t xml:space="preserve"> on evaluation and refinement of the SSIP, is submitted with updates to the OSEP each year.</w:t>
      </w:r>
      <w:r w:rsidR="00AA2424" w:rsidRPr="4559D8E7">
        <w:rPr>
          <w:rFonts w:cs="Arial"/>
          <w:color w:val="000000" w:themeColor="text1"/>
        </w:rPr>
        <w:t xml:space="preserve"> In this report</w:t>
      </w:r>
      <w:r w:rsidR="764311DB" w:rsidRPr="4559D8E7">
        <w:rPr>
          <w:rFonts w:cs="Arial"/>
          <w:color w:val="000000" w:themeColor="text1"/>
        </w:rPr>
        <w:t>,</w:t>
      </w:r>
      <w:r w:rsidR="00AA2424" w:rsidRPr="4559D8E7">
        <w:rPr>
          <w:rFonts w:cs="Arial"/>
          <w:color w:val="000000" w:themeColor="text1"/>
        </w:rPr>
        <w:t xml:space="preserve"> t</w:t>
      </w:r>
      <w:r w:rsidRPr="4559D8E7">
        <w:rPr>
          <w:rFonts w:cs="Arial"/>
          <w:color w:val="000000" w:themeColor="text1"/>
        </w:rPr>
        <w:t xml:space="preserve">he CDE will be presenting </w:t>
      </w:r>
      <w:r w:rsidR="00AA2424" w:rsidRPr="4559D8E7">
        <w:rPr>
          <w:rFonts w:cs="Arial"/>
          <w:color w:val="000000" w:themeColor="text1"/>
        </w:rPr>
        <w:t xml:space="preserve">only </w:t>
      </w:r>
      <w:r w:rsidRPr="4559D8E7">
        <w:rPr>
          <w:rFonts w:cs="Arial"/>
          <w:color w:val="000000" w:themeColor="text1"/>
        </w:rPr>
        <w:t>an update on Phase III of the SSIP</w:t>
      </w:r>
      <w:r w:rsidR="00C116ED" w:rsidRPr="4559D8E7">
        <w:rPr>
          <w:rFonts w:cs="Arial"/>
          <w:color w:val="000000" w:themeColor="text1"/>
        </w:rPr>
        <w:t>.</w:t>
      </w:r>
      <w:r w:rsidR="00E33EF8" w:rsidRPr="4559D8E7">
        <w:rPr>
          <w:rFonts w:cs="Arial"/>
          <w:color w:val="000000" w:themeColor="text1"/>
        </w:rPr>
        <w:t xml:space="preserve"> </w:t>
      </w:r>
      <w:r w:rsidRPr="4559D8E7">
        <w:rPr>
          <w:rFonts w:cs="Arial"/>
          <w:color w:val="000000" w:themeColor="text1"/>
        </w:rPr>
        <w:t xml:space="preserve">The SED has developed the SSIP Phase III report based on instructions provided by the OSEP and with input from a variety of educational partners. California’s SSIP addresses plans for increasing academic performance of </w:t>
      </w:r>
      <w:r w:rsidR="00AA2424" w:rsidRPr="4559D8E7">
        <w:rPr>
          <w:rFonts w:cs="Arial"/>
          <w:color w:val="000000" w:themeColor="text1"/>
        </w:rPr>
        <w:t>SWD</w:t>
      </w:r>
      <w:r w:rsidRPr="4559D8E7">
        <w:rPr>
          <w:rFonts w:cs="Arial"/>
          <w:color w:val="000000" w:themeColor="text1"/>
        </w:rPr>
        <w:t xml:space="preserve">s. </w:t>
      </w:r>
    </w:p>
    <w:p w14:paraId="3D47E909" w14:textId="77777777" w:rsidR="00423AB9" w:rsidRPr="00D55FA1" w:rsidRDefault="00423AB9" w:rsidP="00423AB9">
      <w:pPr>
        <w:pStyle w:val="Heading2"/>
        <w:spacing w:before="0"/>
        <w:rPr>
          <w:szCs w:val="36"/>
        </w:rPr>
      </w:pPr>
      <w:bookmarkStart w:id="62" w:name="_Toc523909466"/>
      <w:bookmarkStart w:id="63" w:name="_Toc525654535"/>
      <w:bookmarkStart w:id="64" w:name="_Toc528222736"/>
      <w:bookmarkStart w:id="65" w:name="_Toc26532187"/>
      <w:bookmarkStart w:id="66" w:name="_Toc77599033"/>
      <w:bookmarkStart w:id="67" w:name="_Toc88644524"/>
      <w:bookmarkStart w:id="68" w:name="_Toc212212854"/>
      <w:bookmarkStart w:id="69" w:name="_Toc212715890"/>
      <w:bookmarkStart w:id="70" w:name="_Toc212718023"/>
      <w:r w:rsidRPr="00D55FA1">
        <w:rPr>
          <w:szCs w:val="36"/>
        </w:rPr>
        <w:t>Summary of Previous State Board of Education Discussion and Action</w:t>
      </w:r>
      <w:bookmarkEnd w:id="62"/>
      <w:bookmarkEnd w:id="63"/>
      <w:bookmarkEnd w:id="64"/>
      <w:bookmarkEnd w:id="65"/>
      <w:bookmarkEnd w:id="66"/>
      <w:bookmarkEnd w:id="67"/>
      <w:bookmarkEnd w:id="68"/>
      <w:bookmarkEnd w:id="69"/>
      <w:bookmarkEnd w:id="70"/>
    </w:p>
    <w:p w14:paraId="77E8351C" w14:textId="4372BD6A" w:rsidR="00EB0A77" w:rsidRPr="00D55FA1" w:rsidRDefault="00341B2F" w:rsidP="00EB0A77">
      <w:pPr>
        <w:spacing w:after="240"/>
      </w:pPr>
      <w:r w:rsidRPr="00D55FA1">
        <w:t xml:space="preserve">In January </w:t>
      </w:r>
      <w:r w:rsidR="00EB0A77" w:rsidRPr="00D55FA1">
        <w:t>202</w:t>
      </w:r>
      <w:r w:rsidR="00EB0A77">
        <w:t>5</w:t>
      </w:r>
      <w:r w:rsidRPr="00D55FA1">
        <w:t xml:space="preserve">, the SBE approved the FFY </w:t>
      </w:r>
      <w:r w:rsidR="00EB0A77" w:rsidRPr="00D55FA1">
        <w:t>202</w:t>
      </w:r>
      <w:r w:rsidR="00EB0A77">
        <w:t>3</w:t>
      </w:r>
      <w:r w:rsidRPr="00D55FA1">
        <w:t xml:space="preserve"> APR Executive Summary which reported on the progress of the </w:t>
      </w:r>
      <w:r w:rsidR="00EB0A77" w:rsidRPr="00D55FA1">
        <w:t>202</w:t>
      </w:r>
      <w:r w:rsidR="00EB0A77">
        <w:t>3</w:t>
      </w:r>
      <w:r w:rsidR="00EB0A77" w:rsidRPr="00D55FA1">
        <w:t>–2</w:t>
      </w:r>
      <w:r w:rsidR="00EB0A77">
        <w:t>4</w:t>
      </w:r>
      <w:r w:rsidRPr="00D55FA1">
        <w:t xml:space="preserve"> compliance and performance indicators as required by the IDEA. The SBE also approved California’s SSIP Phase III report </w:t>
      </w:r>
      <w:r w:rsidR="00676813">
        <w:t>9</w:t>
      </w:r>
      <w:r w:rsidRPr="00D55FA1">
        <w:t>.</w:t>
      </w:r>
      <w:r w:rsidR="00F10335">
        <w:t xml:space="preserve"> The SSIP is a required part of the </w:t>
      </w:r>
      <w:r w:rsidR="00E369D9">
        <w:t xml:space="preserve">APR and the OSEP required that it was submitted in three phases. Over the last eight years, </w:t>
      </w:r>
      <w:r w:rsidR="00C0535B">
        <w:t xml:space="preserve">CDE </w:t>
      </w:r>
      <w:proofErr w:type="gramStart"/>
      <w:r w:rsidR="00C0535B">
        <w:t>is</w:t>
      </w:r>
      <w:proofErr w:type="gramEnd"/>
      <w:r w:rsidR="00C0535B">
        <w:t xml:space="preserve"> required to provide updated data on Phase III.</w:t>
      </w:r>
      <w:r w:rsidRPr="00D55FA1">
        <w:t xml:space="preserve"> </w:t>
      </w:r>
      <w:r w:rsidR="00EB0A77" w:rsidRPr="00D55FA1">
        <w:t xml:space="preserve">lease see item </w:t>
      </w:r>
      <w:r w:rsidR="00626C62">
        <w:t>14</w:t>
      </w:r>
      <w:r w:rsidR="00117D3C">
        <w:t xml:space="preserve"> on the CDE SBE web page</w:t>
      </w:r>
      <w:r w:rsidR="00190D77">
        <w:t xml:space="preserve"> at</w:t>
      </w:r>
      <w:r w:rsidR="00EB0A77" w:rsidRPr="00D55FA1">
        <w:t xml:space="preserve">: </w:t>
      </w:r>
      <w:hyperlink r:id="rId13" w:tooltip="SBE Agenda for January 2025" w:history="1">
        <w:r w:rsidR="00626C62" w:rsidRPr="00E83E5D">
          <w:rPr>
            <w:rStyle w:val="Hyperlink"/>
          </w:rPr>
          <w:t>https://www.cde.ca.gov/be/ag/ag/yr25/agenda202501.asp</w:t>
        </w:r>
      </w:hyperlink>
      <w:r w:rsidR="00EB0A77">
        <w:t>.</w:t>
      </w:r>
    </w:p>
    <w:p w14:paraId="2F781F47" w14:textId="2756B0EC" w:rsidR="00341B2F" w:rsidRPr="00D55FA1" w:rsidRDefault="00341B2F" w:rsidP="00341B2F">
      <w:pPr>
        <w:spacing w:after="240"/>
      </w:pPr>
      <w:r w:rsidRPr="00D55FA1">
        <w:t>In January 202</w:t>
      </w:r>
      <w:r>
        <w:t>4</w:t>
      </w:r>
      <w:r w:rsidRPr="00D55FA1">
        <w:t>, the SBE approved the FFY 202</w:t>
      </w:r>
      <w:r>
        <w:t>2</w:t>
      </w:r>
      <w:r w:rsidRPr="00D55FA1">
        <w:t xml:space="preserve"> APR Executive Summary which reported on the progress of the 202</w:t>
      </w:r>
      <w:r>
        <w:t>2</w:t>
      </w:r>
      <w:r w:rsidRPr="00D55FA1">
        <w:t>–2</w:t>
      </w:r>
      <w:r>
        <w:t>3</w:t>
      </w:r>
      <w:r w:rsidRPr="00D55FA1">
        <w:t xml:space="preserve"> compliance and performance indicators as required by the IDEA. The SBE also approved California’s SSIP Phase III report </w:t>
      </w:r>
      <w:r>
        <w:t>8</w:t>
      </w:r>
      <w:r w:rsidRPr="00D55FA1">
        <w:t xml:space="preserve">. Please see item </w:t>
      </w:r>
      <w:r>
        <w:t>05</w:t>
      </w:r>
      <w:r w:rsidR="00C0535B">
        <w:t xml:space="preserve"> on the CDE SBE web page at</w:t>
      </w:r>
      <w:r w:rsidRPr="00D55FA1">
        <w:t xml:space="preserve">: </w:t>
      </w:r>
      <w:hyperlink r:id="rId14" w:tooltip="SBE Agenda for January 2024" w:history="1">
        <w:r w:rsidRPr="00C01DC0">
          <w:rPr>
            <w:rStyle w:val="Hyperlink"/>
          </w:rPr>
          <w:t>https://www.cde.ca.gov/be/ag/ag/yr24/agenda202401.asp</w:t>
        </w:r>
      </w:hyperlink>
      <w:r>
        <w:t>.</w:t>
      </w:r>
    </w:p>
    <w:p w14:paraId="2411DBA2" w14:textId="75635D94" w:rsidR="00F43DA4" w:rsidRPr="00D55FA1" w:rsidRDefault="00F43DA4" w:rsidP="00A869FA">
      <w:pPr>
        <w:spacing w:after="240"/>
      </w:pPr>
      <w:r w:rsidRPr="00D55FA1">
        <w:t>In January 2023, the SBE approved the FFY 202</w:t>
      </w:r>
      <w:r w:rsidR="00341B2F">
        <w:t>1</w:t>
      </w:r>
      <w:r w:rsidRPr="00D55FA1">
        <w:t xml:space="preserve"> APR Executive Summary which reported on the progress of the 2021–22 compliance and performance indicators as required by the IDEA. The SBE also approved California’s SSIP Phase III report 7. Please see item 12</w:t>
      </w:r>
      <w:r w:rsidR="00C0535B">
        <w:t xml:space="preserve"> on the CDE SBE web page at</w:t>
      </w:r>
      <w:r w:rsidRPr="00D55FA1">
        <w:t xml:space="preserve">: </w:t>
      </w:r>
      <w:hyperlink r:id="rId15" w:tooltip="SBE Agenda for January 2023 web page" w:history="1">
        <w:r w:rsidRPr="00D55FA1">
          <w:rPr>
            <w:rStyle w:val="Hyperlink"/>
          </w:rPr>
          <w:t>https://www.cde.ca.gov/be/ag/ag/yr23/agenda202301.asp</w:t>
        </w:r>
      </w:hyperlink>
      <w:r w:rsidRPr="00D55FA1">
        <w:t>.</w:t>
      </w:r>
    </w:p>
    <w:p w14:paraId="19E4C680" w14:textId="1DF18F6F" w:rsidR="007958E0" w:rsidRPr="00D55FA1" w:rsidRDefault="007958E0" w:rsidP="00A869FA">
      <w:pPr>
        <w:spacing w:after="240"/>
      </w:pPr>
      <w:r w:rsidRPr="00D55FA1">
        <w:t xml:space="preserve">In January 2022, the SBE approved the FFY 2020 APR Executive Summary which reported on the progress of the 2020–21 compliance and performance indicators as required by the IDEA. The SBE also approved California’s SSIP Phase </w:t>
      </w:r>
      <w:r w:rsidR="00054099" w:rsidRPr="00D55FA1">
        <w:t xml:space="preserve">III </w:t>
      </w:r>
      <w:r w:rsidRPr="00D55FA1">
        <w:t xml:space="preserve">report 6. </w:t>
      </w:r>
      <w:r w:rsidR="007E262D" w:rsidRPr="00D55FA1">
        <w:t xml:space="preserve">Please see item </w:t>
      </w:r>
      <w:r w:rsidR="00341B2F">
        <w:t>0</w:t>
      </w:r>
      <w:r w:rsidR="007E262D" w:rsidRPr="00D55FA1">
        <w:t>4</w:t>
      </w:r>
      <w:r w:rsidR="00C0535B">
        <w:t xml:space="preserve"> on the CDE SBE web page at</w:t>
      </w:r>
      <w:r w:rsidR="007E262D" w:rsidRPr="00D55FA1">
        <w:t xml:space="preserve">: </w:t>
      </w:r>
      <w:hyperlink r:id="rId16" w:tooltip="SBE Agenda for January 2022 web page" w:history="1">
        <w:r w:rsidR="007E262D" w:rsidRPr="00D55FA1">
          <w:rPr>
            <w:rStyle w:val="Hyperlink"/>
          </w:rPr>
          <w:t>https://www.cde.ca.gov/be/ag/ag/yr22/agenda202201.asp</w:t>
        </w:r>
      </w:hyperlink>
      <w:r w:rsidR="007E262D" w:rsidRPr="00D55FA1">
        <w:t>.</w:t>
      </w:r>
    </w:p>
    <w:p w14:paraId="65630534" w14:textId="11A67436" w:rsidR="00195968" w:rsidRPr="00D55FA1" w:rsidRDefault="00195968" w:rsidP="00195968">
      <w:pPr>
        <w:spacing w:after="240"/>
      </w:pPr>
      <w:r w:rsidRPr="00D55FA1">
        <w:t>In January 2021, the SBE approved the FFY 2019 APR Executive Summary which reported on the progress of the 2019–20 compliance and performance indicators as required by the IDEA. Please see item 16</w:t>
      </w:r>
      <w:r w:rsidR="007F545E">
        <w:t xml:space="preserve"> on the CDE SBE web page at</w:t>
      </w:r>
      <w:r w:rsidRPr="00D55FA1">
        <w:t xml:space="preserve">: </w:t>
      </w:r>
      <w:hyperlink r:id="rId17" w:tooltip="SBE Agenda for January 2021 web page" w:history="1">
        <w:r w:rsidRPr="00D55FA1">
          <w:rPr>
            <w:rStyle w:val="Hyperlink"/>
          </w:rPr>
          <w:t>https://www.cde.ca.gov/be/ag/ag/yr21/agenda202101.asp</w:t>
        </w:r>
      </w:hyperlink>
      <w:r w:rsidRPr="00D55FA1">
        <w:t>.</w:t>
      </w:r>
    </w:p>
    <w:p w14:paraId="2B90C0D8" w14:textId="14056A0F" w:rsidR="00195968" w:rsidRPr="00D55FA1" w:rsidRDefault="00195968" w:rsidP="00195968">
      <w:pPr>
        <w:spacing w:after="240"/>
      </w:pPr>
      <w:r w:rsidRPr="00D55FA1">
        <w:t xml:space="preserve">In March 2021, the SBE approved California’s SSIP Phase III report 5. Please see item </w:t>
      </w:r>
      <w:r w:rsidR="00341B2F">
        <w:t>0</w:t>
      </w:r>
      <w:r w:rsidRPr="00D55FA1">
        <w:t>3</w:t>
      </w:r>
      <w:r w:rsidR="007F545E">
        <w:t xml:space="preserve"> on the CDE SBE web page at</w:t>
      </w:r>
      <w:r w:rsidRPr="00D55FA1">
        <w:t xml:space="preserve">: </w:t>
      </w:r>
      <w:hyperlink r:id="rId18" w:tooltip="SBE Agenda for March 2021 web page" w:history="1">
        <w:r w:rsidRPr="00D55FA1">
          <w:rPr>
            <w:rStyle w:val="Hyperlink"/>
          </w:rPr>
          <w:t>https://www.cde.ca.gov/be/ag/ag/yr21/agenda202103.asp</w:t>
        </w:r>
      </w:hyperlink>
      <w:r w:rsidRPr="00D55FA1">
        <w:t>.</w:t>
      </w:r>
    </w:p>
    <w:p w14:paraId="753158F2" w14:textId="3614D79C" w:rsidR="00195968" w:rsidRPr="00D55FA1" w:rsidRDefault="00195968" w:rsidP="00195968">
      <w:pPr>
        <w:spacing w:after="240"/>
      </w:pPr>
      <w:r w:rsidRPr="00D55FA1">
        <w:lastRenderedPageBreak/>
        <w:t>In November 2021, the SBE approved the new SPP targets covering program years 2020</w:t>
      </w:r>
      <w:r w:rsidRPr="00D55FA1">
        <w:rPr>
          <w:rFonts w:cs="Arial"/>
        </w:rPr>
        <w:t>–</w:t>
      </w:r>
      <w:r w:rsidRPr="00D55FA1">
        <w:t>21 through 2025</w:t>
      </w:r>
      <w:r w:rsidRPr="00D55FA1">
        <w:rPr>
          <w:rFonts w:cs="Arial"/>
        </w:rPr>
        <w:t>–</w:t>
      </w:r>
      <w:r w:rsidRPr="00D55FA1">
        <w:t>26. Please see item 18</w:t>
      </w:r>
      <w:r w:rsidR="007F545E">
        <w:t xml:space="preserve"> on the CDE SBE web page at</w:t>
      </w:r>
      <w:r w:rsidRPr="00D55FA1">
        <w:t xml:space="preserve">: </w:t>
      </w:r>
      <w:hyperlink r:id="rId19" w:tooltip="SBE Agenda for November 2021 web page" w:history="1">
        <w:r w:rsidRPr="00D55FA1">
          <w:rPr>
            <w:rStyle w:val="Hyperlink"/>
          </w:rPr>
          <w:t>https://www.cde.ca.gov/be/ag/ag/yr21/agenda202111.asp</w:t>
        </w:r>
      </w:hyperlink>
      <w:r w:rsidRPr="00D55FA1">
        <w:t>.</w:t>
      </w:r>
    </w:p>
    <w:p w14:paraId="5E6B385F" w14:textId="77777777" w:rsidR="00423AB9" w:rsidRPr="00D55FA1" w:rsidRDefault="00423AB9" w:rsidP="00423AB9">
      <w:pPr>
        <w:pStyle w:val="Heading2"/>
        <w:spacing w:before="0"/>
        <w:rPr>
          <w:szCs w:val="36"/>
        </w:rPr>
      </w:pPr>
      <w:bookmarkStart w:id="71" w:name="_Toc523909467"/>
      <w:bookmarkStart w:id="72" w:name="_Toc525654536"/>
      <w:bookmarkStart w:id="73" w:name="_Toc528222737"/>
      <w:bookmarkStart w:id="74" w:name="_Toc26532188"/>
      <w:bookmarkStart w:id="75" w:name="_Toc77599034"/>
      <w:bookmarkStart w:id="76" w:name="_Toc88644525"/>
      <w:bookmarkStart w:id="77" w:name="_Toc212212855"/>
      <w:bookmarkStart w:id="78" w:name="_Toc212715891"/>
      <w:bookmarkStart w:id="79" w:name="_Toc212718024"/>
      <w:r w:rsidRPr="00D55FA1">
        <w:rPr>
          <w:szCs w:val="36"/>
        </w:rPr>
        <w:t>Fiscal Analysis (as appropriate)</w:t>
      </w:r>
      <w:bookmarkEnd w:id="71"/>
      <w:bookmarkEnd w:id="72"/>
      <w:bookmarkEnd w:id="73"/>
      <w:bookmarkEnd w:id="74"/>
      <w:bookmarkEnd w:id="75"/>
      <w:bookmarkEnd w:id="76"/>
      <w:bookmarkEnd w:id="77"/>
      <w:bookmarkEnd w:id="78"/>
      <w:bookmarkEnd w:id="79"/>
    </w:p>
    <w:p w14:paraId="2F30ABDF" w14:textId="77777777" w:rsidR="00070D13" w:rsidRPr="00D55FA1" w:rsidRDefault="00070D13" w:rsidP="00070D13">
      <w:pPr>
        <w:spacing w:after="240"/>
        <w:rPr>
          <w:b/>
        </w:rPr>
      </w:pPr>
      <w:bookmarkStart w:id="80" w:name="_Toc523909468"/>
      <w:bookmarkStart w:id="81" w:name="_Toc525654537"/>
      <w:bookmarkStart w:id="82" w:name="_Toc528222738"/>
      <w:bookmarkStart w:id="83" w:name="_Toc26532189"/>
      <w:bookmarkStart w:id="84" w:name="_Toc77599035"/>
      <w:r w:rsidRPr="00D55FA1">
        <w:t>Absent approval, California’s approximately $1.</w:t>
      </w:r>
      <w:r w:rsidR="00705C42" w:rsidRPr="00D55FA1">
        <w:t>4</w:t>
      </w:r>
      <w:r w:rsidRPr="00D55FA1">
        <w:t xml:space="preserve"> billion federal IDEA funding could be jeopardized.</w:t>
      </w:r>
    </w:p>
    <w:p w14:paraId="679B1EC2" w14:textId="77777777" w:rsidR="00423AB9" w:rsidRPr="00D55FA1" w:rsidRDefault="00423AB9" w:rsidP="00423AB9">
      <w:pPr>
        <w:pStyle w:val="Heading2"/>
        <w:spacing w:before="0"/>
        <w:rPr>
          <w:szCs w:val="36"/>
        </w:rPr>
      </w:pPr>
      <w:bookmarkStart w:id="85" w:name="_Toc88644526"/>
      <w:bookmarkStart w:id="86" w:name="_Toc212212856"/>
      <w:bookmarkStart w:id="87" w:name="_Toc212715892"/>
      <w:bookmarkStart w:id="88" w:name="_Toc212718025"/>
      <w:r w:rsidRPr="00D55FA1">
        <w:rPr>
          <w:szCs w:val="36"/>
        </w:rPr>
        <w:t>Attachment(s)</w:t>
      </w:r>
      <w:bookmarkEnd w:id="80"/>
      <w:bookmarkEnd w:id="81"/>
      <w:bookmarkEnd w:id="82"/>
      <w:bookmarkEnd w:id="83"/>
      <w:bookmarkEnd w:id="84"/>
      <w:bookmarkEnd w:id="85"/>
      <w:bookmarkEnd w:id="86"/>
      <w:bookmarkEnd w:id="87"/>
      <w:bookmarkEnd w:id="88"/>
    </w:p>
    <w:p w14:paraId="6D41A21C" w14:textId="704083C8" w:rsidR="00EB1E42" w:rsidRPr="00D55FA1" w:rsidRDefault="00EB1E42" w:rsidP="00EB1E42">
      <w:pPr>
        <w:ind w:left="1530" w:hanging="1530"/>
      </w:pPr>
      <w:r w:rsidRPr="00D55FA1">
        <w:t xml:space="preserve">Attachment 1: </w:t>
      </w:r>
      <w:r w:rsidR="00070D13" w:rsidRPr="00D55FA1">
        <w:t>California Department of Education Special Education Division State Annual Performance Report Executive Summary Federal Fiscal Year 202</w:t>
      </w:r>
      <w:r w:rsidR="00D32B63">
        <w:t>4</w:t>
      </w:r>
      <w:r w:rsidR="00070D13" w:rsidRPr="00D55FA1">
        <w:t xml:space="preserve"> (Program Year 202</w:t>
      </w:r>
      <w:r w:rsidR="00D32B63">
        <w:t>4</w:t>
      </w:r>
      <w:r w:rsidR="00070D13" w:rsidRPr="00D55FA1">
        <w:t>–2</w:t>
      </w:r>
      <w:r w:rsidR="00D32B63">
        <w:t>5</w:t>
      </w:r>
      <w:r w:rsidR="00070D13" w:rsidRPr="00D55FA1">
        <w:t>) (</w:t>
      </w:r>
      <w:r w:rsidR="00B02514">
        <w:t>59</w:t>
      </w:r>
      <w:r w:rsidR="00723B27" w:rsidRPr="00D55FA1">
        <w:t xml:space="preserve"> </w:t>
      </w:r>
      <w:r w:rsidR="00070D13" w:rsidRPr="00D55FA1">
        <w:t>pages).</w:t>
      </w:r>
    </w:p>
    <w:p w14:paraId="5A39BBE3" w14:textId="77777777" w:rsidR="004A0D1D" w:rsidRPr="00D55FA1" w:rsidRDefault="004A0D1D" w:rsidP="00EB1E42">
      <w:pPr>
        <w:ind w:left="1530" w:hanging="1530"/>
      </w:pPr>
    </w:p>
    <w:p w14:paraId="0A6959E7" w14:textId="519C3CAB" w:rsidR="004A0D1D" w:rsidRPr="00D55FA1" w:rsidRDefault="004A0D1D" w:rsidP="00E975AA">
      <w:pPr>
        <w:sectPr w:rsidR="004A0D1D" w:rsidRPr="00D55FA1" w:rsidSect="00704E41">
          <w:headerReference w:type="default" r:id="rId20"/>
          <w:type w:val="continuous"/>
          <w:pgSz w:w="12240" w:h="15840"/>
          <w:pgMar w:top="720" w:right="1440" w:bottom="1440" w:left="1440" w:header="720" w:footer="720" w:gutter="0"/>
          <w:cols w:space="720"/>
          <w:docGrid w:linePitch="360"/>
        </w:sectPr>
      </w:pPr>
    </w:p>
    <w:p w14:paraId="41C8F396" w14:textId="238FCA2B" w:rsidR="00EB1E42" w:rsidRPr="00D55FA1" w:rsidRDefault="00EB1E42" w:rsidP="00EB1E42">
      <w:pPr>
        <w:ind w:left="1530" w:hanging="1530"/>
        <w:sectPr w:rsidR="00EB1E42" w:rsidRPr="00D55FA1" w:rsidSect="0015530D">
          <w:headerReference w:type="default" r:id="rId21"/>
          <w:pgSz w:w="12240" w:h="15840"/>
          <w:pgMar w:top="720" w:right="1440" w:bottom="1440" w:left="1440" w:header="720" w:footer="720" w:gutter="0"/>
          <w:pgNumType w:start="1"/>
          <w:cols w:space="720"/>
          <w:docGrid w:linePitch="360"/>
        </w:sectPr>
      </w:pPr>
    </w:p>
    <w:p w14:paraId="72A3D3EC" w14:textId="77777777" w:rsidR="00EB1E42" w:rsidRPr="00D55FA1" w:rsidRDefault="00EB1E42" w:rsidP="00EB1E42"/>
    <w:p w14:paraId="7D985487" w14:textId="77777777" w:rsidR="00EB1E42" w:rsidRPr="00D55FA1" w:rsidRDefault="00EB1E42" w:rsidP="00FF4E31">
      <w:pPr>
        <w:pStyle w:val="Heading1"/>
        <w:jc w:val="center"/>
      </w:pPr>
      <w:bookmarkStart w:id="89" w:name="_Toc523909469"/>
      <w:bookmarkStart w:id="90" w:name="_Toc525654538"/>
      <w:bookmarkStart w:id="91" w:name="_Toc26532190"/>
      <w:bookmarkStart w:id="92" w:name="_Toc212718026"/>
      <w:r w:rsidRPr="00D55FA1">
        <w:t>Attachment 1</w:t>
      </w:r>
      <w:bookmarkEnd w:id="89"/>
      <w:bookmarkEnd w:id="90"/>
      <w:bookmarkEnd w:id="91"/>
      <w:bookmarkEnd w:id="92"/>
    </w:p>
    <w:p w14:paraId="58DC9E85" w14:textId="77777777" w:rsidR="00EB1E42" w:rsidRPr="00D55FA1" w:rsidRDefault="00EB1E42" w:rsidP="7FD380BD">
      <w:pPr>
        <w:spacing w:line="480" w:lineRule="auto"/>
        <w:jc w:val="center"/>
      </w:pPr>
      <w:r w:rsidRPr="00D55FA1">
        <w:t>California Department of Education</w:t>
      </w:r>
    </w:p>
    <w:p w14:paraId="0A759960" w14:textId="77777777" w:rsidR="00EB1E42" w:rsidRPr="00D55FA1" w:rsidRDefault="00EB1E42" w:rsidP="7FD380BD">
      <w:pPr>
        <w:spacing w:line="480" w:lineRule="auto"/>
        <w:jc w:val="center"/>
      </w:pPr>
      <w:r w:rsidRPr="00D55FA1">
        <w:t>Special Education Division</w:t>
      </w:r>
    </w:p>
    <w:p w14:paraId="1685B121" w14:textId="77777777" w:rsidR="00633165" w:rsidRPr="00D55FA1" w:rsidRDefault="00633165" w:rsidP="7FD380BD">
      <w:pPr>
        <w:spacing w:line="480" w:lineRule="auto"/>
        <w:jc w:val="center"/>
      </w:pPr>
      <w:r w:rsidRPr="00D55FA1">
        <w:t>Individuals with Disabilities Education Act of 2004</w:t>
      </w:r>
    </w:p>
    <w:p w14:paraId="3ACFC68C" w14:textId="77777777" w:rsidR="00633165" w:rsidRPr="00D55FA1" w:rsidRDefault="00633165" w:rsidP="7FD380BD">
      <w:pPr>
        <w:spacing w:line="480" w:lineRule="auto"/>
        <w:jc w:val="center"/>
      </w:pPr>
      <w:r w:rsidRPr="00D55FA1">
        <w:t>State Annual Performance Report</w:t>
      </w:r>
    </w:p>
    <w:p w14:paraId="2664F4B3" w14:textId="77777777" w:rsidR="00633165" w:rsidRPr="00D55FA1" w:rsidRDefault="00633165" w:rsidP="7FD380BD">
      <w:pPr>
        <w:spacing w:line="480" w:lineRule="auto"/>
        <w:jc w:val="center"/>
      </w:pPr>
      <w:r w:rsidRPr="00D55FA1">
        <w:t>Executive Summary</w:t>
      </w:r>
    </w:p>
    <w:p w14:paraId="6DF8D2A9" w14:textId="6AAA9025" w:rsidR="00633165" w:rsidRPr="00D55FA1" w:rsidRDefault="00633165" w:rsidP="7FD380BD">
      <w:pPr>
        <w:spacing w:line="480" w:lineRule="auto"/>
        <w:jc w:val="center"/>
      </w:pPr>
      <w:r w:rsidRPr="00D55FA1">
        <w:t>Federal Fiscal Year 202</w:t>
      </w:r>
      <w:r w:rsidR="00D32B63">
        <w:t>4</w:t>
      </w:r>
      <w:r w:rsidRPr="00D55FA1">
        <w:t xml:space="preserve"> (Program Year 202</w:t>
      </w:r>
      <w:r w:rsidR="00D32B63">
        <w:t>4</w:t>
      </w:r>
      <w:r w:rsidRPr="00D55FA1">
        <w:t>–2</w:t>
      </w:r>
      <w:r w:rsidR="00D32B63">
        <w:t>5</w:t>
      </w:r>
      <w:r w:rsidRPr="00D55FA1">
        <w:t>)</w:t>
      </w:r>
    </w:p>
    <w:p w14:paraId="4B6B575A" w14:textId="4A4402B4" w:rsidR="00EB1E42" w:rsidRPr="00D55FA1" w:rsidRDefault="00633165" w:rsidP="7FD380BD">
      <w:pPr>
        <w:spacing w:line="480" w:lineRule="auto"/>
        <w:jc w:val="center"/>
      </w:pPr>
      <w:r w:rsidRPr="00D55FA1">
        <w:t>J</w:t>
      </w:r>
      <w:r w:rsidR="004F5573" w:rsidRPr="00D55FA1">
        <w:t>anuary 202</w:t>
      </w:r>
      <w:r w:rsidR="00D32B63">
        <w:t>6</w:t>
      </w:r>
      <w:r w:rsidR="00EB1E42" w:rsidRPr="00D55FA1">
        <w:br w:type="page"/>
      </w:r>
    </w:p>
    <w:sdt>
      <w:sdtPr>
        <w:rPr>
          <w:rFonts w:cs="Arial"/>
          <w:shd w:val="clear" w:color="auto" w:fill="E6E6E6"/>
        </w:rPr>
        <w:id w:val="1686324238"/>
        <w:docPartObj>
          <w:docPartGallery w:val="Table of Contents"/>
          <w:docPartUnique/>
        </w:docPartObj>
      </w:sdtPr>
      <w:sdtEndPr>
        <w:rPr>
          <w:b/>
          <w:bCs/>
          <w:noProof/>
        </w:rPr>
      </w:sdtEndPr>
      <w:sdtContent>
        <w:p w14:paraId="2D339DA0" w14:textId="77777777" w:rsidR="00271D3B" w:rsidRPr="005B72CA" w:rsidRDefault="00EB1E42" w:rsidP="00271D3B">
          <w:pPr>
            <w:pStyle w:val="TOC1"/>
            <w:rPr>
              <w:rFonts w:cs="Arial"/>
              <w:b/>
            </w:rPr>
          </w:pPr>
          <w:r w:rsidRPr="005B72CA">
            <w:rPr>
              <w:rFonts w:cs="Arial"/>
              <w:b/>
            </w:rPr>
            <w:t>Table of Contents</w:t>
          </w:r>
        </w:p>
        <w:p w14:paraId="1A513159" w14:textId="1D6E6BD5" w:rsidR="00191B43" w:rsidRPr="00811E18" w:rsidRDefault="00EB1E42" w:rsidP="00191B43">
          <w:pPr>
            <w:pStyle w:val="TOC1"/>
            <w:rPr>
              <w:rFonts w:eastAsiaTheme="minorEastAsia" w:cs="Arial"/>
              <w:noProof/>
              <w:kern w:val="2"/>
              <w14:ligatures w14:val="standardContextual"/>
            </w:rPr>
          </w:pPr>
          <w:r w:rsidRPr="00047360">
            <w:rPr>
              <w:rFonts w:eastAsiaTheme="majorEastAsia" w:cs="Arial"/>
              <w:color w:val="2B579A"/>
              <w:shd w:val="clear" w:color="auto" w:fill="E6E6E6"/>
            </w:rPr>
            <w:fldChar w:fldCharType="begin"/>
          </w:r>
          <w:r w:rsidRPr="00047360">
            <w:rPr>
              <w:rFonts w:cs="Arial"/>
            </w:rPr>
            <w:instrText xml:space="preserve"> TOC \o "1-3" \h \z \u </w:instrText>
          </w:r>
          <w:r w:rsidRPr="00047360">
            <w:rPr>
              <w:rFonts w:eastAsiaTheme="majorEastAsia" w:cs="Arial"/>
              <w:color w:val="2B579A"/>
              <w:shd w:val="clear" w:color="auto" w:fill="E6E6E6"/>
            </w:rPr>
            <w:fldChar w:fldCharType="separate"/>
          </w:r>
        </w:p>
        <w:p w14:paraId="37DEF455" w14:textId="2FC53771" w:rsidR="00191B43" w:rsidRPr="00811E18" w:rsidRDefault="00191B43">
          <w:pPr>
            <w:pStyle w:val="TOC1"/>
            <w:rPr>
              <w:rFonts w:eastAsiaTheme="minorEastAsia" w:cs="Arial"/>
              <w:noProof/>
              <w:kern w:val="2"/>
              <w14:ligatures w14:val="standardContextual"/>
            </w:rPr>
          </w:pPr>
          <w:hyperlink w:anchor="_Toc212718026" w:history="1">
            <w:r w:rsidRPr="00047360">
              <w:rPr>
                <w:rStyle w:val="Hyperlink"/>
                <w:rFonts w:eastAsiaTheme="majorEastAsia" w:cs="Arial"/>
                <w:noProof/>
              </w:rPr>
              <w:t>Attachment 1</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_Toc212718026 \h </w:instrText>
            </w:r>
            <w:r w:rsidRPr="00047360">
              <w:rPr>
                <w:rFonts w:cs="Arial"/>
                <w:noProof/>
                <w:webHidden/>
              </w:rPr>
            </w:r>
            <w:r w:rsidRPr="00047360">
              <w:rPr>
                <w:rFonts w:cs="Arial"/>
                <w:noProof/>
                <w:webHidden/>
              </w:rPr>
              <w:fldChar w:fldCharType="separate"/>
            </w:r>
            <w:r w:rsidR="000F39BA">
              <w:rPr>
                <w:rFonts w:cs="Arial"/>
                <w:noProof/>
                <w:webHidden/>
              </w:rPr>
              <w:t>1</w:t>
            </w:r>
            <w:r w:rsidRPr="00047360">
              <w:rPr>
                <w:rFonts w:cs="Arial"/>
                <w:noProof/>
                <w:webHidden/>
              </w:rPr>
              <w:fldChar w:fldCharType="end"/>
            </w:r>
          </w:hyperlink>
        </w:p>
        <w:p w14:paraId="7F5021EA" w14:textId="03802663" w:rsidR="00191B43" w:rsidRPr="00811E18" w:rsidRDefault="00191B43">
          <w:pPr>
            <w:pStyle w:val="TOC2"/>
            <w:rPr>
              <w:rFonts w:eastAsiaTheme="minorEastAsia" w:cs="Arial"/>
              <w:noProof/>
              <w:kern w:val="2"/>
              <w14:ligatures w14:val="standardContextual"/>
            </w:rPr>
          </w:pPr>
          <w:hyperlink w:anchor="_Toc212718027" w:history="1">
            <w:r w:rsidRPr="00047360">
              <w:rPr>
                <w:rStyle w:val="Hyperlink"/>
                <w:rFonts w:eastAsiaTheme="majorEastAsia" w:cs="Arial"/>
                <w:noProof/>
              </w:rPr>
              <w:t>Special Education in California</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_Toc212718027 \h </w:instrText>
            </w:r>
            <w:r w:rsidRPr="00047360">
              <w:rPr>
                <w:rFonts w:cs="Arial"/>
                <w:noProof/>
                <w:webHidden/>
              </w:rPr>
            </w:r>
            <w:r w:rsidRPr="00047360">
              <w:rPr>
                <w:rFonts w:cs="Arial"/>
                <w:noProof/>
                <w:webHidden/>
              </w:rPr>
              <w:fldChar w:fldCharType="separate"/>
            </w:r>
            <w:r w:rsidR="000F39BA">
              <w:rPr>
                <w:rFonts w:cs="Arial"/>
                <w:noProof/>
                <w:webHidden/>
              </w:rPr>
              <w:t>5</w:t>
            </w:r>
            <w:r w:rsidRPr="00047360">
              <w:rPr>
                <w:rFonts w:cs="Arial"/>
                <w:noProof/>
                <w:webHidden/>
              </w:rPr>
              <w:fldChar w:fldCharType="end"/>
            </w:r>
          </w:hyperlink>
        </w:p>
        <w:p w14:paraId="40320153" w14:textId="3E3D7173" w:rsidR="00191B43" w:rsidRPr="00811E18" w:rsidRDefault="00191B43">
          <w:pPr>
            <w:pStyle w:val="TOC2"/>
            <w:rPr>
              <w:rFonts w:eastAsiaTheme="minorEastAsia" w:cs="Arial"/>
              <w:noProof/>
              <w:kern w:val="2"/>
              <w14:ligatures w14:val="standardContextual"/>
            </w:rPr>
          </w:pPr>
          <w:hyperlink w:anchor="_Toc212718028" w:history="1">
            <w:r w:rsidRPr="00047360">
              <w:rPr>
                <w:rStyle w:val="Hyperlink"/>
                <w:rFonts w:eastAsiaTheme="majorEastAsia" w:cs="Arial"/>
                <w:noProof/>
              </w:rPr>
              <w:t>Accountability and Data Collection</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_Toc212718028 \h </w:instrText>
            </w:r>
            <w:r w:rsidRPr="00047360">
              <w:rPr>
                <w:rFonts w:cs="Arial"/>
                <w:noProof/>
                <w:webHidden/>
              </w:rPr>
            </w:r>
            <w:r w:rsidRPr="00047360">
              <w:rPr>
                <w:rFonts w:cs="Arial"/>
                <w:noProof/>
                <w:webHidden/>
              </w:rPr>
              <w:fldChar w:fldCharType="separate"/>
            </w:r>
            <w:r w:rsidR="000F39BA">
              <w:rPr>
                <w:rFonts w:cs="Arial"/>
                <w:noProof/>
                <w:webHidden/>
              </w:rPr>
              <w:t>5</w:t>
            </w:r>
            <w:r w:rsidRPr="00047360">
              <w:rPr>
                <w:rFonts w:cs="Arial"/>
                <w:noProof/>
                <w:webHidden/>
              </w:rPr>
              <w:fldChar w:fldCharType="end"/>
            </w:r>
          </w:hyperlink>
        </w:p>
        <w:p w14:paraId="5969959B" w14:textId="760E96BD" w:rsidR="00191B43" w:rsidRPr="00811E18" w:rsidRDefault="00191B43">
          <w:pPr>
            <w:pStyle w:val="TOC2"/>
            <w:rPr>
              <w:rFonts w:eastAsiaTheme="minorEastAsia" w:cs="Arial"/>
              <w:noProof/>
              <w:kern w:val="2"/>
              <w14:ligatures w14:val="standardContextual"/>
            </w:rPr>
          </w:pPr>
          <w:hyperlink w:anchor="_Toc212718029" w:history="1">
            <w:r w:rsidRPr="00047360">
              <w:rPr>
                <w:rStyle w:val="Hyperlink"/>
                <w:rFonts w:eastAsiaTheme="majorEastAsia" w:cs="Arial"/>
                <w:noProof/>
              </w:rPr>
              <w:t>Overview of Population and Services</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_Toc212718029 \h </w:instrText>
            </w:r>
            <w:r w:rsidRPr="00047360">
              <w:rPr>
                <w:rFonts w:cs="Arial"/>
                <w:noProof/>
                <w:webHidden/>
              </w:rPr>
            </w:r>
            <w:r w:rsidRPr="00047360">
              <w:rPr>
                <w:rFonts w:cs="Arial"/>
                <w:noProof/>
                <w:webHidden/>
              </w:rPr>
              <w:fldChar w:fldCharType="separate"/>
            </w:r>
            <w:r w:rsidR="000F39BA">
              <w:rPr>
                <w:rFonts w:cs="Arial"/>
                <w:noProof/>
                <w:webHidden/>
              </w:rPr>
              <w:t>7</w:t>
            </w:r>
            <w:r w:rsidRPr="00047360">
              <w:rPr>
                <w:rFonts w:cs="Arial"/>
                <w:noProof/>
                <w:webHidden/>
              </w:rPr>
              <w:fldChar w:fldCharType="end"/>
            </w:r>
          </w:hyperlink>
        </w:p>
        <w:p w14:paraId="429D4DF3" w14:textId="7BDEFC68" w:rsidR="00191B43" w:rsidRPr="00811E18" w:rsidRDefault="00191B43">
          <w:pPr>
            <w:pStyle w:val="TOC1"/>
            <w:rPr>
              <w:rFonts w:eastAsiaTheme="minorEastAsia" w:cs="Arial"/>
              <w:noProof/>
              <w:kern w:val="2"/>
              <w14:ligatures w14:val="standardContextual"/>
            </w:rPr>
          </w:pPr>
          <w:hyperlink w:anchor="_Toc212718030" w:history="1">
            <w:r w:rsidRPr="00047360">
              <w:rPr>
                <w:rStyle w:val="Hyperlink"/>
                <w:rFonts w:eastAsiaTheme="majorEastAsia" w:cs="Arial"/>
                <w:noProof/>
              </w:rPr>
              <w:t>2024–25 Annual Performance Report Indicators</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_Toc212718030 \h </w:instrText>
            </w:r>
            <w:r w:rsidRPr="00047360">
              <w:rPr>
                <w:rFonts w:cs="Arial"/>
                <w:noProof/>
                <w:webHidden/>
              </w:rPr>
            </w:r>
            <w:r w:rsidRPr="00047360">
              <w:rPr>
                <w:rFonts w:cs="Arial"/>
                <w:noProof/>
                <w:webHidden/>
              </w:rPr>
              <w:fldChar w:fldCharType="separate"/>
            </w:r>
            <w:r w:rsidR="000F39BA">
              <w:rPr>
                <w:rFonts w:cs="Arial"/>
                <w:noProof/>
                <w:webHidden/>
              </w:rPr>
              <w:t>8</w:t>
            </w:r>
            <w:r w:rsidRPr="00047360">
              <w:rPr>
                <w:rFonts w:cs="Arial"/>
                <w:noProof/>
                <w:webHidden/>
              </w:rPr>
              <w:fldChar w:fldCharType="end"/>
            </w:r>
          </w:hyperlink>
        </w:p>
        <w:p w14:paraId="27C439AC" w14:textId="19C127A3" w:rsidR="00191B43" w:rsidRPr="00811E18" w:rsidRDefault="00191B43">
          <w:pPr>
            <w:pStyle w:val="TOC2"/>
            <w:rPr>
              <w:rFonts w:eastAsiaTheme="minorEastAsia" w:cs="Arial"/>
              <w:noProof/>
              <w:kern w:val="2"/>
              <w14:ligatures w14:val="standardContextual"/>
            </w:rPr>
          </w:pPr>
          <w:hyperlink w:anchor="_Toc212718031" w:history="1">
            <w:r w:rsidRPr="00047360">
              <w:rPr>
                <w:rStyle w:val="Hyperlink"/>
                <w:rFonts w:eastAsiaTheme="majorEastAsia" w:cs="Arial"/>
                <w:noProof/>
              </w:rPr>
              <w:t>Indicator 1: Graduation Rate</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_Toc212718031 \h </w:instrText>
            </w:r>
            <w:r w:rsidRPr="00047360">
              <w:rPr>
                <w:rFonts w:cs="Arial"/>
                <w:noProof/>
                <w:webHidden/>
              </w:rPr>
            </w:r>
            <w:r w:rsidRPr="00047360">
              <w:rPr>
                <w:rFonts w:cs="Arial"/>
                <w:noProof/>
                <w:webHidden/>
              </w:rPr>
              <w:fldChar w:fldCharType="separate"/>
            </w:r>
            <w:r w:rsidR="000F39BA">
              <w:rPr>
                <w:rFonts w:cs="Arial"/>
                <w:noProof/>
                <w:webHidden/>
              </w:rPr>
              <w:t>11</w:t>
            </w:r>
            <w:r w:rsidRPr="00047360">
              <w:rPr>
                <w:rFonts w:cs="Arial"/>
                <w:noProof/>
                <w:webHidden/>
              </w:rPr>
              <w:fldChar w:fldCharType="end"/>
            </w:r>
          </w:hyperlink>
        </w:p>
        <w:p w14:paraId="2DE53F85" w14:textId="68579A21" w:rsidR="00191B43" w:rsidRPr="00811E18" w:rsidRDefault="00191B43">
          <w:pPr>
            <w:pStyle w:val="TOC3"/>
            <w:rPr>
              <w:rFonts w:ascii="Arial" w:hAnsi="Arial" w:cs="Arial"/>
              <w:noProof/>
              <w:kern w:val="2"/>
              <w:sz w:val="24"/>
              <w:szCs w:val="24"/>
              <w14:ligatures w14:val="standardContextual"/>
            </w:rPr>
          </w:pPr>
          <w:hyperlink w:anchor="_Toc212718032"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_Toc212718032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11</w:t>
            </w:r>
            <w:r w:rsidRPr="00811E18">
              <w:rPr>
                <w:rFonts w:ascii="Arial" w:hAnsi="Arial" w:cs="Arial"/>
                <w:noProof/>
                <w:webHidden/>
                <w:sz w:val="24"/>
                <w:szCs w:val="24"/>
              </w:rPr>
              <w:fldChar w:fldCharType="end"/>
            </w:r>
          </w:hyperlink>
        </w:p>
        <w:p w14:paraId="4EC2A875" w14:textId="1A2FDB47" w:rsidR="00191B43" w:rsidRPr="00811E18" w:rsidRDefault="00191B43">
          <w:pPr>
            <w:pStyle w:val="TOC3"/>
            <w:rPr>
              <w:rFonts w:ascii="Arial" w:hAnsi="Arial" w:cs="Arial"/>
              <w:noProof/>
              <w:kern w:val="2"/>
              <w:sz w:val="24"/>
              <w:szCs w:val="24"/>
              <w14:ligatures w14:val="standardContextual"/>
            </w:rPr>
          </w:pPr>
          <w:hyperlink w:anchor="_Toc212718033"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_Toc212718033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11</w:t>
            </w:r>
            <w:r w:rsidRPr="00811E18">
              <w:rPr>
                <w:rFonts w:ascii="Arial" w:hAnsi="Arial" w:cs="Arial"/>
                <w:noProof/>
                <w:webHidden/>
                <w:sz w:val="24"/>
                <w:szCs w:val="24"/>
              </w:rPr>
              <w:fldChar w:fldCharType="end"/>
            </w:r>
          </w:hyperlink>
        </w:p>
        <w:p w14:paraId="1CC573DC" w14:textId="33AC4C01" w:rsidR="00191B43" w:rsidRPr="00811E18" w:rsidRDefault="00191B43">
          <w:pPr>
            <w:pStyle w:val="TOC2"/>
            <w:rPr>
              <w:rFonts w:eastAsiaTheme="minorEastAsia" w:cs="Arial"/>
              <w:noProof/>
              <w:kern w:val="2"/>
              <w14:ligatures w14:val="standardContextual"/>
            </w:rPr>
          </w:pPr>
          <w:hyperlink w:anchor="_Toc212718034" w:history="1">
            <w:r w:rsidRPr="00047360">
              <w:rPr>
                <w:rStyle w:val="Hyperlink"/>
                <w:rFonts w:eastAsiaTheme="majorEastAsia" w:cs="Arial"/>
                <w:noProof/>
              </w:rPr>
              <w:t>Indicator 2: Dropout Rate</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_Toc212718034 \h </w:instrText>
            </w:r>
            <w:r w:rsidRPr="00047360">
              <w:rPr>
                <w:rFonts w:cs="Arial"/>
                <w:noProof/>
                <w:webHidden/>
              </w:rPr>
            </w:r>
            <w:r w:rsidRPr="00047360">
              <w:rPr>
                <w:rFonts w:cs="Arial"/>
                <w:noProof/>
                <w:webHidden/>
              </w:rPr>
              <w:fldChar w:fldCharType="separate"/>
            </w:r>
            <w:r w:rsidR="000F39BA">
              <w:rPr>
                <w:rFonts w:cs="Arial"/>
                <w:noProof/>
                <w:webHidden/>
              </w:rPr>
              <w:t>12</w:t>
            </w:r>
            <w:r w:rsidRPr="00047360">
              <w:rPr>
                <w:rFonts w:cs="Arial"/>
                <w:noProof/>
                <w:webHidden/>
              </w:rPr>
              <w:fldChar w:fldCharType="end"/>
            </w:r>
          </w:hyperlink>
        </w:p>
        <w:p w14:paraId="5DFA9337" w14:textId="579BA3C7" w:rsidR="00191B43" w:rsidRPr="00811E18" w:rsidRDefault="00191B43">
          <w:pPr>
            <w:pStyle w:val="TOC3"/>
            <w:rPr>
              <w:rFonts w:ascii="Arial" w:hAnsi="Arial" w:cs="Arial"/>
              <w:noProof/>
              <w:kern w:val="2"/>
              <w:sz w:val="24"/>
              <w:szCs w:val="24"/>
              <w14:ligatures w14:val="standardContextual"/>
            </w:rPr>
          </w:pPr>
          <w:hyperlink w:anchor="_Toc212718035"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_Toc212718035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12</w:t>
            </w:r>
            <w:r w:rsidRPr="00811E18">
              <w:rPr>
                <w:rFonts w:ascii="Arial" w:hAnsi="Arial" w:cs="Arial"/>
                <w:noProof/>
                <w:webHidden/>
                <w:sz w:val="24"/>
                <w:szCs w:val="24"/>
              </w:rPr>
              <w:fldChar w:fldCharType="end"/>
            </w:r>
          </w:hyperlink>
        </w:p>
        <w:p w14:paraId="70EE8C14" w14:textId="1CBB5FFE" w:rsidR="00191B43" w:rsidRPr="00811E18" w:rsidRDefault="00191B43">
          <w:pPr>
            <w:pStyle w:val="TOC3"/>
            <w:rPr>
              <w:rFonts w:ascii="Arial" w:hAnsi="Arial" w:cs="Arial"/>
              <w:noProof/>
              <w:kern w:val="2"/>
              <w:sz w:val="24"/>
              <w:szCs w:val="24"/>
              <w14:ligatures w14:val="standardContextual"/>
            </w:rPr>
          </w:pPr>
          <w:hyperlink w:anchor="_Toc212718036"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_Toc212718036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12</w:t>
            </w:r>
            <w:r w:rsidRPr="00811E18">
              <w:rPr>
                <w:rFonts w:ascii="Arial" w:hAnsi="Arial" w:cs="Arial"/>
                <w:noProof/>
                <w:webHidden/>
                <w:sz w:val="24"/>
                <w:szCs w:val="24"/>
              </w:rPr>
              <w:fldChar w:fldCharType="end"/>
            </w:r>
          </w:hyperlink>
        </w:p>
        <w:p w14:paraId="0A80D913" w14:textId="4B8ABCE3" w:rsidR="00191B43" w:rsidRPr="00811E18" w:rsidRDefault="00191B43">
          <w:pPr>
            <w:pStyle w:val="TOC2"/>
            <w:rPr>
              <w:rFonts w:eastAsiaTheme="minorEastAsia" w:cs="Arial"/>
              <w:noProof/>
              <w:kern w:val="2"/>
              <w14:ligatures w14:val="standardContextual"/>
            </w:rPr>
          </w:pPr>
          <w:hyperlink w:anchor="_Toc212718037" w:history="1">
            <w:r w:rsidRPr="00047360">
              <w:rPr>
                <w:rStyle w:val="Hyperlink"/>
                <w:rFonts w:eastAsiaTheme="majorEastAsia" w:cs="Arial"/>
                <w:noProof/>
              </w:rPr>
              <w:t>Indicator 3: Statewide Assessment</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_Toc212718037 \h </w:instrText>
            </w:r>
            <w:r w:rsidRPr="00047360">
              <w:rPr>
                <w:rFonts w:cs="Arial"/>
                <w:noProof/>
                <w:webHidden/>
              </w:rPr>
            </w:r>
            <w:r w:rsidRPr="00047360">
              <w:rPr>
                <w:rFonts w:cs="Arial"/>
                <w:noProof/>
                <w:webHidden/>
              </w:rPr>
              <w:fldChar w:fldCharType="separate"/>
            </w:r>
            <w:r w:rsidR="000F39BA">
              <w:rPr>
                <w:rFonts w:cs="Arial"/>
                <w:noProof/>
                <w:webHidden/>
              </w:rPr>
              <w:t>13</w:t>
            </w:r>
            <w:r w:rsidRPr="00047360">
              <w:rPr>
                <w:rFonts w:cs="Arial"/>
                <w:noProof/>
                <w:webHidden/>
              </w:rPr>
              <w:fldChar w:fldCharType="end"/>
            </w:r>
          </w:hyperlink>
        </w:p>
        <w:p w14:paraId="0C14607C" w14:textId="70374ABB" w:rsidR="00191B43" w:rsidRPr="00811E18" w:rsidRDefault="00191B43">
          <w:pPr>
            <w:pStyle w:val="TOC3"/>
            <w:rPr>
              <w:rFonts w:ascii="Arial" w:hAnsi="Arial" w:cs="Arial"/>
              <w:noProof/>
              <w:kern w:val="2"/>
              <w:sz w:val="24"/>
              <w:szCs w:val="24"/>
              <w14:ligatures w14:val="standardContextual"/>
            </w:rPr>
          </w:pPr>
          <w:hyperlink w:anchor="_Toc212718038" w:history="1">
            <w:r w:rsidRPr="00811E18">
              <w:rPr>
                <w:rStyle w:val="Hyperlink"/>
                <w:rFonts w:ascii="Arial" w:hAnsi="Arial" w:cs="Arial"/>
                <w:bCs/>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_Toc212718038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13</w:t>
            </w:r>
            <w:r w:rsidRPr="00811E18">
              <w:rPr>
                <w:rFonts w:ascii="Arial" w:hAnsi="Arial" w:cs="Arial"/>
                <w:noProof/>
                <w:webHidden/>
                <w:sz w:val="24"/>
                <w:szCs w:val="24"/>
              </w:rPr>
              <w:fldChar w:fldCharType="end"/>
            </w:r>
          </w:hyperlink>
        </w:p>
        <w:p w14:paraId="04C61977" w14:textId="3075B4A8" w:rsidR="00191B43" w:rsidRPr="00811E18" w:rsidRDefault="00191B43">
          <w:pPr>
            <w:pStyle w:val="TOC3"/>
            <w:rPr>
              <w:rFonts w:ascii="Arial" w:hAnsi="Arial" w:cs="Arial"/>
              <w:noProof/>
              <w:kern w:val="2"/>
              <w:sz w:val="24"/>
              <w:szCs w:val="24"/>
              <w14:ligatures w14:val="standardContextual"/>
            </w:rPr>
          </w:pPr>
          <w:hyperlink w:anchor="_Toc212718039"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_Toc212718039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13</w:t>
            </w:r>
            <w:r w:rsidRPr="00811E18">
              <w:rPr>
                <w:rFonts w:ascii="Arial" w:hAnsi="Arial" w:cs="Arial"/>
                <w:noProof/>
                <w:webHidden/>
                <w:sz w:val="24"/>
                <w:szCs w:val="24"/>
              </w:rPr>
              <w:fldChar w:fldCharType="end"/>
            </w:r>
          </w:hyperlink>
        </w:p>
        <w:p w14:paraId="3ECBA859" w14:textId="58D239F8" w:rsidR="00191B43" w:rsidRPr="00811E18" w:rsidRDefault="00191B43">
          <w:pPr>
            <w:pStyle w:val="TOC2"/>
            <w:rPr>
              <w:rFonts w:eastAsiaTheme="minorEastAsia" w:cs="Arial"/>
              <w:noProof/>
              <w:kern w:val="2"/>
              <w14:ligatures w14:val="standardContextual"/>
            </w:rPr>
          </w:pPr>
          <w:hyperlink w:anchor="_Toc212718040" w:history="1">
            <w:r w:rsidRPr="00047360">
              <w:rPr>
                <w:rStyle w:val="Hyperlink"/>
                <w:rFonts w:eastAsiaTheme="majorEastAsia" w:cs="Arial"/>
                <w:noProof/>
              </w:rPr>
              <w:t>Indicator 4A: Suspension and Expulsion Overall</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_Toc212718040 \h </w:instrText>
            </w:r>
            <w:r w:rsidRPr="00047360">
              <w:rPr>
                <w:rFonts w:cs="Arial"/>
                <w:noProof/>
                <w:webHidden/>
              </w:rPr>
            </w:r>
            <w:r w:rsidRPr="00047360">
              <w:rPr>
                <w:rFonts w:cs="Arial"/>
                <w:noProof/>
                <w:webHidden/>
              </w:rPr>
              <w:fldChar w:fldCharType="separate"/>
            </w:r>
            <w:r w:rsidR="000F39BA">
              <w:rPr>
                <w:rFonts w:cs="Arial"/>
                <w:noProof/>
                <w:webHidden/>
              </w:rPr>
              <w:t>17</w:t>
            </w:r>
            <w:r w:rsidRPr="00047360">
              <w:rPr>
                <w:rFonts w:cs="Arial"/>
                <w:noProof/>
                <w:webHidden/>
              </w:rPr>
              <w:fldChar w:fldCharType="end"/>
            </w:r>
          </w:hyperlink>
        </w:p>
        <w:p w14:paraId="26062810" w14:textId="64B46F2C" w:rsidR="00191B43" w:rsidRPr="00811E18" w:rsidRDefault="00191B43">
          <w:pPr>
            <w:pStyle w:val="TOC3"/>
            <w:rPr>
              <w:rFonts w:ascii="Arial" w:hAnsi="Arial" w:cs="Arial"/>
              <w:noProof/>
              <w:kern w:val="2"/>
              <w:sz w:val="24"/>
              <w:szCs w:val="24"/>
              <w14:ligatures w14:val="standardContextual"/>
            </w:rPr>
          </w:pPr>
          <w:hyperlink w:anchor="_Toc212718041"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_Toc212718041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17</w:t>
            </w:r>
            <w:r w:rsidRPr="00811E18">
              <w:rPr>
                <w:rFonts w:ascii="Arial" w:hAnsi="Arial" w:cs="Arial"/>
                <w:noProof/>
                <w:webHidden/>
                <w:sz w:val="24"/>
                <w:szCs w:val="24"/>
              </w:rPr>
              <w:fldChar w:fldCharType="end"/>
            </w:r>
          </w:hyperlink>
        </w:p>
        <w:p w14:paraId="553BBD76" w14:textId="6CA38431" w:rsidR="00191B43" w:rsidRPr="00811E18" w:rsidRDefault="00191B43">
          <w:pPr>
            <w:pStyle w:val="TOC3"/>
            <w:rPr>
              <w:rFonts w:ascii="Arial" w:hAnsi="Arial" w:cs="Arial"/>
              <w:noProof/>
              <w:kern w:val="2"/>
              <w:sz w:val="24"/>
              <w:szCs w:val="24"/>
              <w14:ligatures w14:val="standardContextual"/>
            </w:rPr>
          </w:pPr>
          <w:hyperlink w:anchor="_Toc212718042"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_Toc212718042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17</w:t>
            </w:r>
            <w:r w:rsidRPr="00811E18">
              <w:rPr>
                <w:rFonts w:ascii="Arial" w:hAnsi="Arial" w:cs="Arial"/>
                <w:noProof/>
                <w:webHidden/>
                <w:sz w:val="24"/>
                <w:szCs w:val="24"/>
              </w:rPr>
              <w:fldChar w:fldCharType="end"/>
            </w:r>
          </w:hyperlink>
        </w:p>
        <w:p w14:paraId="6FE034ED" w14:textId="76AB1BDE" w:rsidR="00191B43" w:rsidRPr="00811E18" w:rsidRDefault="00191B43">
          <w:pPr>
            <w:pStyle w:val="TOC2"/>
            <w:rPr>
              <w:rFonts w:eastAsiaTheme="minorEastAsia" w:cs="Arial"/>
              <w:noProof/>
              <w:kern w:val="2"/>
              <w14:ligatures w14:val="standardContextual"/>
            </w:rPr>
          </w:pPr>
          <w:hyperlink w:anchor="_Toc212718043" w:history="1">
            <w:r w:rsidRPr="00047360">
              <w:rPr>
                <w:rStyle w:val="Hyperlink"/>
                <w:rFonts w:eastAsiaTheme="majorEastAsia" w:cs="Arial"/>
                <w:noProof/>
              </w:rPr>
              <w:t>Indicator 4B: Suspension and Expulsion Rate by Race or Ethnicity</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_Toc212718043 \h </w:instrText>
            </w:r>
            <w:r w:rsidRPr="00047360">
              <w:rPr>
                <w:rFonts w:cs="Arial"/>
                <w:noProof/>
                <w:webHidden/>
              </w:rPr>
            </w:r>
            <w:r w:rsidRPr="00047360">
              <w:rPr>
                <w:rFonts w:cs="Arial"/>
                <w:noProof/>
                <w:webHidden/>
              </w:rPr>
              <w:fldChar w:fldCharType="separate"/>
            </w:r>
            <w:r w:rsidR="000F39BA">
              <w:rPr>
                <w:rFonts w:cs="Arial"/>
                <w:noProof/>
                <w:webHidden/>
              </w:rPr>
              <w:t>18</w:t>
            </w:r>
            <w:r w:rsidRPr="00047360">
              <w:rPr>
                <w:rFonts w:cs="Arial"/>
                <w:noProof/>
                <w:webHidden/>
              </w:rPr>
              <w:fldChar w:fldCharType="end"/>
            </w:r>
          </w:hyperlink>
        </w:p>
        <w:p w14:paraId="075B58DE" w14:textId="7B251D7E" w:rsidR="00191B43" w:rsidRPr="00811E18" w:rsidRDefault="00191B43">
          <w:pPr>
            <w:pStyle w:val="TOC3"/>
            <w:rPr>
              <w:rFonts w:ascii="Arial" w:hAnsi="Arial" w:cs="Arial"/>
              <w:noProof/>
              <w:kern w:val="2"/>
              <w:sz w:val="24"/>
              <w:szCs w:val="24"/>
              <w14:ligatures w14:val="standardContextual"/>
            </w:rPr>
          </w:pPr>
          <w:hyperlink w:anchor="_Toc212718044"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_Toc212718044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18</w:t>
            </w:r>
            <w:r w:rsidRPr="00811E18">
              <w:rPr>
                <w:rFonts w:ascii="Arial" w:hAnsi="Arial" w:cs="Arial"/>
                <w:noProof/>
                <w:webHidden/>
                <w:sz w:val="24"/>
                <w:szCs w:val="24"/>
              </w:rPr>
              <w:fldChar w:fldCharType="end"/>
            </w:r>
          </w:hyperlink>
        </w:p>
        <w:p w14:paraId="566CFE5C" w14:textId="67EE0AD8" w:rsidR="00191B43" w:rsidRPr="00811E18" w:rsidRDefault="00191B43">
          <w:pPr>
            <w:pStyle w:val="TOC3"/>
            <w:rPr>
              <w:rFonts w:ascii="Arial" w:hAnsi="Arial" w:cs="Arial"/>
              <w:noProof/>
              <w:kern w:val="2"/>
              <w:sz w:val="24"/>
              <w:szCs w:val="24"/>
              <w14:ligatures w14:val="standardContextual"/>
            </w:rPr>
          </w:pPr>
          <w:hyperlink w:anchor="_Toc212718045"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_Toc212718045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18</w:t>
            </w:r>
            <w:r w:rsidRPr="00811E18">
              <w:rPr>
                <w:rFonts w:ascii="Arial" w:hAnsi="Arial" w:cs="Arial"/>
                <w:noProof/>
                <w:webHidden/>
                <w:sz w:val="24"/>
                <w:szCs w:val="24"/>
              </w:rPr>
              <w:fldChar w:fldCharType="end"/>
            </w:r>
          </w:hyperlink>
        </w:p>
        <w:p w14:paraId="2E66F4BA" w14:textId="7EB073C6" w:rsidR="00191B43" w:rsidRPr="00811E18" w:rsidRDefault="00191B43">
          <w:pPr>
            <w:pStyle w:val="TOC2"/>
            <w:rPr>
              <w:rFonts w:eastAsiaTheme="minorEastAsia" w:cs="Arial"/>
              <w:noProof/>
              <w:kern w:val="2"/>
              <w14:ligatures w14:val="standardContextual"/>
            </w:rPr>
          </w:pPr>
          <w:hyperlink w:anchor="_Toc212718046" w:history="1">
            <w:r w:rsidRPr="00047360">
              <w:rPr>
                <w:rStyle w:val="Hyperlink"/>
                <w:rFonts w:eastAsiaTheme="majorEastAsia" w:cs="Arial"/>
                <w:noProof/>
              </w:rPr>
              <w:t>Indicator 5: Education Environments</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_Toc212718046 \h </w:instrText>
            </w:r>
            <w:r w:rsidRPr="00047360">
              <w:rPr>
                <w:rFonts w:cs="Arial"/>
                <w:noProof/>
                <w:webHidden/>
              </w:rPr>
            </w:r>
            <w:r w:rsidRPr="00047360">
              <w:rPr>
                <w:rFonts w:cs="Arial"/>
                <w:noProof/>
                <w:webHidden/>
              </w:rPr>
              <w:fldChar w:fldCharType="separate"/>
            </w:r>
            <w:r w:rsidR="000F39BA">
              <w:rPr>
                <w:rFonts w:cs="Arial"/>
                <w:noProof/>
                <w:webHidden/>
              </w:rPr>
              <w:t>19</w:t>
            </w:r>
            <w:r w:rsidRPr="00047360">
              <w:rPr>
                <w:rFonts w:cs="Arial"/>
                <w:noProof/>
                <w:webHidden/>
              </w:rPr>
              <w:fldChar w:fldCharType="end"/>
            </w:r>
          </w:hyperlink>
        </w:p>
        <w:p w14:paraId="3EC74D3A" w14:textId="56BA317C" w:rsidR="00191B43" w:rsidRPr="00811E18" w:rsidRDefault="00191B43">
          <w:pPr>
            <w:pStyle w:val="TOC3"/>
            <w:rPr>
              <w:rFonts w:ascii="Arial" w:hAnsi="Arial" w:cs="Arial"/>
              <w:noProof/>
              <w:kern w:val="2"/>
              <w:sz w:val="24"/>
              <w:szCs w:val="24"/>
              <w14:ligatures w14:val="standardContextual"/>
            </w:rPr>
          </w:pPr>
          <w:hyperlink w:anchor="_Toc212718047"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_Toc212718047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19</w:t>
            </w:r>
            <w:r w:rsidRPr="00811E18">
              <w:rPr>
                <w:rFonts w:ascii="Arial" w:hAnsi="Arial" w:cs="Arial"/>
                <w:noProof/>
                <w:webHidden/>
                <w:sz w:val="24"/>
                <w:szCs w:val="24"/>
              </w:rPr>
              <w:fldChar w:fldCharType="end"/>
            </w:r>
          </w:hyperlink>
        </w:p>
        <w:p w14:paraId="7EEA72BF" w14:textId="3D03685F" w:rsidR="00191B43" w:rsidRPr="00811E18" w:rsidRDefault="00191B43">
          <w:pPr>
            <w:pStyle w:val="TOC3"/>
            <w:rPr>
              <w:rFonts w:ascii="Arial" w:hAnsi="Arial" w:cs="Arial"/>
              <w:noProof/>
              <w:kern w:val="2"/>
              <w:sz w:val="24"/>
              <w:szCs w:val="24"/>
              <w14:ligatures w14:val="standardContextual"/>
            </w:rPr>
          </w:pPr>
          <w:hyperlink w:anchor="_Toc212718048"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_Toc212718048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19</w:t>
            </w:r>
            <w:r w:rsidRPr="00811E18">
              <w:rPr>
                <w:rFonts w:ascii="Arial" w:hAnsi="Arial" w:cs="Arial"/>
                <w:noProof/>
                <w:webHidden/>
                <w:sz w:val="24"/>
                <w:szCs w:val="24"/>
              </w:rPr>
              <w:fldChar w:fldCharType="end"/>
            </w:r>
          </w:hyperlink>
        </w:p>
        <w:p w14:paraId="034110F0" w14:textId="7AC9E9F6" w:rsidR="00191B43" w:rsidRPr="00811E18" w:rsidRDefault="00191B43">
          <w:pPr>
            <w:pStyle w:val="TOC2"/>
            <w:rPr>
              <w:rFonts w:eastAsiaTheme="minorEastAsia" w:cs="Arial"/>
              <w:noProof/>
              <w:kern w:val="2"/>
              <w14:ligatures w14:val="standardContextual"/>
            </w:rPr>
          </w:pPr>
          <w:hyperlink w:anchor="_Toc212718049" w:history="1">
            <w:r w:rsidRPr="00047360">
              <w:rPr>
                <w:rStyle w:val="Hyperlink"/>
                <w:rFonts w:eastAsiaTheme="majorEastAsia" w:cs="Arial"/>
                <w:noProof/>
              </w:rPr>
              <w:t>Indicator 6: Preschool Least Restrictive Environments</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_Toc212718049 \h </w:instrText>
            </w:r>
            <w:r w:rsidRPr="00047360">
              <w:rPr>
                <w:rFonts w:cs="Arial"/>
                <w:noProof/>
                <w:webHidden/>
              </w:rPr>
            </w:r>
            <w:r w:rsidRPr="00047360">
              <w:rPr>
                <w:rFonts w:cs="Arial"/>
                <w:noProof/>
                <w:webHidden/>
              </w:rPr>
              <w:fldChar w:fldCharType="separate"/>
            </w:r>
            <w:r w:rsidR="000F39BA">
              <w:rPr>
                <w:rFonts w:cs="Arial"/>
                <w:noProof/>
                <w:webHidden/>
              </w:rPr>
              <w:t>21</w:t>
            </w:r>
            <w:r w:rsidRPr="00047360">
              <w:rPr>
                <w:rFonts w:cs="Arial"/>
                <w:noProof/>
                <w:webHidden/>
              </w:rPr>
              <w:fldChar w:fldCharType="end"/>
            </w:r>
          </w:hyperlink>
        </w:p>
        <w:p w14:paraId="72336AED" w14:textId="333091A6" w:rsidR="00191B43" w:rsidRPr="00811E18" w:rsidRDefault="00191B43">
          <w:pPr>
            <w:pStyle w:val="TOC3"/>
            <w:rPr>
              <w:rFonts w:ascii="Arial" w:hAnsi="Arial" w:cs="Arial"/>
              <w:noProof/>
              <w:kern w:val="2"/>
              <w:sz w:val="24"/>
              <w:szCs w:val="24"/>
              <w14:ligatures w14:val="standardContextual"/>
            </w:rPr>
          </w:pPr>
          <w:hyperlink w:anchor="_Toc212718050"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_Toc212718050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21</w:t>
            </w:r>
            <w:r w:rsidRPr="00811E18">
              <w:rPr>
                <w:rFonts w:ascii="Arial" w:hAnsi="Arial" w:cs="Arial"/>
                <w:noProof/>
                <w:webHidden/>
                <w:sz w:val="24"/>
                <w:szCs w:val="24"/>
              </w:rPr>
              <w:fldChar w:fldCharType="end"/>
            </w:r>
          </w:hyperlink>
        </w:p>
        <w:p w14:paraId="3999F897" w14:textId="48B214BB" w:rsidR="00191B43" w:rsidRPr="00811E18" w:rsidRDefault="00191B43">
          <w:pPr>
            <w:pStyle w:val="TOC3"/>
            <w:rPr>
              <w:rFonts w:ascii="Arial" w:hAnsi="Arial" w:cs="Arial"/>
              <w:noProof/>
              <w:kern w:val="2"/>
              <w:sz w:val="24"/>
              <w:szCs w:val="24"/>
              <w14:ligatures w14:val="standardContextual"/>
            </w:rPr>
          </w:pPr>
          <w:hyperlink w:anchor="_Toc212718051"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_Toc212718051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21</w:t>
            </w:r>
            <w:r w:rsidRPr="00811E18">
              <w:rPr>
                <w:rFonts w:ascii="Arial" w:hAnsi="Arial" w:cs="Arial"/>
                <w:noProof/>
                <w:webHidden/>
                <w:sz w:val="24"/>
                <w:szCs w:val="24"/>
              </w:rPr>
              <w:fldChar w:fldCharType="end"/>
            </w:r>
          </w:hyperlink>
        </w:p>
        <w:p w14:paraId="62E29863" w14:textId="02FB115F" w:rsidR="00191B43" w:rsidRPr="00811E18" w:rsidRDefault="00191B43">
          <w:pPr>
            <w:pStyle w:val="TOC2"/>
            <w:rPr>
              <w:rFonts w:eastAsiaTheme="minorEastAsia" w:cs="Arial"/>
              <w:noProof/>
              <w:kern w:val="2"/>
              <w14:ligatures w14:val="standardContextual"/>
            </w:rPr>
          </w:pPr>
          <w:hyperlink w:anchor="_Toc212718052" w:history="1">
            <w:r w:rsidRPr="00047360">
              <w:rPr>
                <w:rStyle w:val="Hyperlink"/>
                <w:rFonts w:eastAsiaTheme="majorEastAsia" w:cs="Arial"/>
                <w:bCs/>
                <w:noProof/>
              </w:rPr>
              <w:t xml:space="preserve">Indicator 7A: </w:t>
            </w:r>
            <w:r w:rsidRPr="00047360">
              <w:rPr>
                <w:rStyle w:val="Hyperlink"/>
                <w:rFonts w:eastAsiaTheme="majorEastAsia" w:cs="Arial"/>
                <w:noProof/>
              </w:rPr>
              <w:t>Preschool Assessment–Positive Social-Emotional Skills</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_Toc212718052 \h </w:instrText>
            </w:r>
            <w:r w:rsidRPr="00047360">
              <w:rPr>
                <w:rFonts w:cs="Arial"/>
                <w:noProof/>
                <w:webHidden/>
              </w:rPr>
            </w:r>
            <w:r w:rsidRPr="00047360">
              <w:rPr>
                <w:rFonts w:cs="Arial"/>
                <w:noProof/>
                <w:webHidden/>
              </w:rPr>
              <w:fldChar w:fldCharType="separate"/>
            </w:r>
            <w:r w:rsidR="000F39BA">
              <w:rPr>
                <w:rFonts w:cs="Arial"/>
                <w:noProof/>
                <w:webHidden/>
              </w:rPr>
              <w:t>23</w:t>
            </w:r>
            <w:r w:rsidRPr="00047360">
              <w:rPr>
                <w:rFonts w:cs="Arial"/>
                <w:noProof/>
                <w:webHidden/>
              </w:rPr>
              <w:fldChar w:fldCharType="end"/>
            </w:r>
          </w:hyperlink>
        </w:p>
        <w:p w14:paraId="29FCFE82" w14:textId="56E35369" w:rsidR="00191B43" w:rsidRPr="00811E18" w:rsidRDefault="00191B43">
          <w:pPr>
            <w:pStyle w:val="TOC3"/>
            <w:rPr>
              <w:rFonts w:ascii="Arial" w:hAnsi="Arial" w:cs="Arial"/>
              <w:noProof/>
              <w:kern w:val="2"/>
              <w:sz w:val="24"/>
              <w:szCs w:val="24"/>
              <w14:ligatures w14:val="standardContextual"/>
            </w:rPr>
          </w:pPr>
          <w:hyperlink w:anchor="_Toc212718053"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_Toc212718053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23</w:t>
            </w:r>
            <w:r w:rsidRPr="00811E18">
              <w:rPr>
                <w:rFonts w:ascii="Arial" w:hAnsi="Arial" w:cs="Arial"/>
                <w:noProof/>
                <w:webHidden/>
                <w:sz w:val="24"/>
                <w:szCs w:val="24"/>
              </w:rPr>
              <w:fldChar w:fldCharType="end"/>
            </w:r>
          </w:hyperlink>
        </w:p>
        <w:p w14:paraId="69BC9452" w14:textId="2B7EAC58" w:rsidR="00191B43" w:rsidRPr="00811E18" w:rsidRDefault="00191B43">
          <w:pPr>
            <w:pStyle w:val="TOC3"/>
            <w:rPr>
              <w:rFonts w:ascii="Arial" w:hAnsi="Arial" w:cs="Arial"/>
              <w:noProof/>
              <w:kern w:val="2"/>
              <w:sz w:val="24"/>
              <w:szCs w:val="24"/>
              <w14:ligatures w14:val="standardContextual"/>
            </w:rPr>
          </w:pPr>
          <w:hyperlink w:anchor="_Toc212718054"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_Toc212718054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23</w:t>
            </w:r>
            <w:r w:rsidRPr="00811E18">
              <w:rPr>
                <w:rFonts w:ascii="Arial" w:hAnsi="Arial" w:cs="Arial"/>
                <w:noProof/>
                <w:webHidden/>
                <w:sz w:val="24"/>
                <w:szCs w:val="24"/>
              </w:rPr>
              <w:fldChar w:fldCharType="end"/>
            </w:r>
          </w:hyperlink>
        </w:p>
        <w:p w14:paraId="0292F87E" w14:textId="4BF5DB15" w:rsidR="00191B43" w:rsidRPr="00811E18" w:rsidRDefault="00191B43">
          <w:pPr>
            <w:pStyle w:val="TOC2"/>
            <w:rPr>
              <w:rFonts w:eastAsiaTheme="minorEastAsia" w:cs="Arial"/>
              <w:noProof/>
              <w:kern w:val="2"/>
              <w14:ligatures w14:val="standardContextual"/>
            </w:rPr>
          </w:pPr>
          <w:hyperlink w:anchor="_Toc212718055" w:history="1">
            <w:r w:rsidRPr="00047360">
              <w:rPr>
                <w:rStyle w:val="Hyperlink"/>
                <w:rFonts w:eastAsiaTheme="majorEastAsia" w:cs="Arial"/>
                <w:bCs/>
                <w:noProof/>
              </w:rPr>
              <w:t xml:space="preserve">Indicator 7B: </w:t>
            </w:r>
            <w:r w:rsidRPr="00047360">
              <w:rPr>
                <w:rStyle w:val="Hyperlink"/>
                <w:rFonts w:eastAsiaTheme="majorEastAsia" w:cs="Arial"/>
                <w:noProof/>
              </w:rPr>
              <w:t>Preschool Assessment–Acquisition and Use of Knowledge and Skills</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_Toc212718055 \h </w:instrText>
            </w:r>
            <w:r w:rsidRPr="00047360">
              <w:rPr>
                <w:rFonts w:cs="Arial"/>
                <w:noProof/>
                <w:webHidden/>
              </w:rPr>
            </w:r>
            <w:r w:rsidRPr="00047360">
              <w:rPr>
                <w:rFonts w:cs="Arial"/>
                <w:noProof/>
                <w:webHidden/>
              </w:rPr>
              <w:fldChar w:fldCharType="separate"/>
            </w:r>
            <w:r w:rsidR="000F39BA">
              <w:rPr>
                <w:rFonts w:cs="Arial"/>
                <w:noProof/>
                <w:webHidden/>
              </w:rPr>
              <w:t>25</w:t>
            </w:r>
            <w:r w:rsidRPr="00047360">
              <w:rPr>
                <w:rFonts w:cs="Arial"/>
                <w:noProof/>
                <w:webHidden/>
              </w:rPr>
              <w:fldChar w:fldCharType="end"/>
            </w:r>
          </w:hyperlink>
        </w:p>
        <w:p w14:paraId="5B53A00F" w14:textId="5E888059" w:rsidR="00191B43" w:rsidRPr="00811E18" w:rsidRDefault="00191B43">
          <w:pPr>
            <w:pStyle w:val="TOC3"/>
            <w:rPr>
              <w:rFonts w:ascii="Arial" w:hAnsi="Arial" w:cs="Arial"/>
              <w:noProof/>
              <w:kern w:val="2"/>
              <w:sz w:val="24"/>
              <w:szCs w:val="24"/>
              <w14:ligatures w14:val="standardContextual"/>
            </w:rPr>
          </w:pPr>
          <w:hyperlink w:anchor="_Toc212718056"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_Toc212718056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25</w:t>
            </w:r>
            <w:r w:rsidRPr="00811E18">
              <w:rPr>
                <w:rFonts w:ascii="Arial" w:hAnsi="Arial" w:cs="Arial"/>
                <w:noProof/>
                <w:webHidden/>
                <w:sz w:val="24"/>
                <w:szCs w:val="24"/>
              </w:rPr>
              <w:fldChar w:fldCharType="end"/>
            </w:r>
          </w:hyperlink>
        </w:p>
        <w:p w14:paraId="323058B0" w14:textId="564C5AB1" w:rsidR="00191B43" w:rsidRPr="00811E18" w:rsidRDefault="00191B43">
          <w:pPr>
            <w:pStyle w:val="TOC3"/>
            <w:rPr>
              <w:rFonts w:ascii="Arial" w:hAnsi="Arial" w:cs="Arial"/>
              <w:noProof/>
              <w:kern w:val="2"/>
              <w:sz w:val="24"/>
              <w:szCs w:val="24"/>
              <w14:ligatures w14:val="standardContextual"/>
            </w:rPr>
          </w:pPr>
          <w:hyperlink w:anchor="_Toc212718057"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_Toc212718057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25</w:t>
            </w:r>
            <w:r w:rsidRPr="00811E18">
              <w:rPr>
                <w:rFonts w:ascii="Arial" w:hAnsi="Arial" w:cs="Arial"/>
                <w:noProof/>
                <w:webHidden/>
                <w:sz w:val="24"/>
                <w:szCs w:val="24"/>
              </w:rPr>
              <w:fldChar w:fldCharType="end"/>
            </w:r>
          </w:hyperlink>
        </w:p>
        <w:p w14:paraId="03C71E60" w14:textId="16248AD7" w:rsidR="00191B43" w:rsidRPr="00811E18" w:rsidRDefault="00191B43">
          <w:pPr>
            <w:pStyle w:val="TOC2"/>
            <w:rPr>
              <w:rFonts w:eastAsiaTheme="minorEastAsia" w:cs="Arial"/>
              <w:noProof/>
              <w:kern w:val="2"/>
              <w14:ligatures w14:val="standardContextual"/>
            </w:rPr>
          </w:pPr>
          <w:hyperlink w:anchor="_Toc212718058" w:history="1">
            <w:r w:rsidRPr="00047360">
              <w:rPr>
                <w:rStyle w:val="Hyperlink"/>
                <w:rFonts w:eastAsiaTheme="majorEastAsia" w:cs="Arial"/>
                <w:bCs/>
                <w:noProof/>
              </w:rPr>
              <w:t xml:space="preserve">Indicator 7C: </w:t>
            </w:r>
            <w:r w:rsidRPr="00047360">
              <w:rPr>
                <w:rStyle w:val="Hyperlink"/>
                <w:rFonts w:eastAsiaTheme="majorEastAsia" w:cs="Arial"/>
                <w:noProof/>
              </w:rPr>
              <w:t>Preschool Assessment–Use of Appropriate Behaviors</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_Toc212718058 \h </w:instrText>
            </w:r>
            <w:r w:rsidRPr="00047360">
              <w:rPr>
                <w:rFonts w:cs="Arial"/>
                <w:noProof/>
                <w:webHidden/>
              </w:rPr>
            </w:r>
            <w:r w:rsidRPr="00047360">
              <w:rPr>
                <w:rFonts w:cs="Arial"/>
                <w:noProof/>
                <w:webHidden/>
              </w:rPr>
              <w:fldChar w:fldCharType="separate"/>
            </w:r>
            <w:r w:rsidR="000F39BA">
              <w:rPr>
                <w:rFonts w:cs="Arial"/>
                <w:noProof/>
                <w:webHidden/>
              </w:rPr>
              <w:t>27</w:t>
            </w:r>
            <w:r w:rsidRPr="00047360">
              <w:rPr>
                <w:rFonts w:cs="Arial"/>
                <w:noProof/>
                <w:webHidden/>
              </w:rPr>
              <w:fldChar w:fldCharType="end"/>
            </w:r>
          </w:hyperlink>
        </w:p>
        <w:p w14:paraId="08E4F277" w14:textId="7A05467C" w:rsidR="00191B43" w:rsidRPr="00811E18" w:rsidRDefault="00191B43">
          <w:pPr>
            <w:pStyle w:val="TOC3"/>
            <w:rPr>
              <w:rFonts w:ascii="Arial" w:hAnsi="Arial" w:cs="Arial"/>
              <w:noProof/>
              <w:kern w:val="2"/>
              <w:sz w:val="24"/>
              <w:szCs w:val="24"/>
              <w14:ligatures w14:val="standardContextual"/>
            </w:rPr>
          </w:pPr>
          <w:hyperlink w:anchor="_Toc212718059"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_Toc212718059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27</w:t>
            </w:r>
            <w:r w:rsidRPr="00811E18">
              <w:rPr>
                <w:rFonts w:ascii="Arial" w:hAnsi="Arial" w:cs="Arial"/>
                <w:noProof/>
                <w:webHidden/>
                <w:sz w:val="24"/>
                <w:szCs w:val="24"/>
              </w:rPr>
              <w:fldChar w:fldCharType="end"/>
            </w:r>
          </w:hyperlink>
        </w:p>
        <w:p w14:paraId="52366B70" w14:textId="114ECDB5" w:rsidR="00191B43" w:rsidRPr="00811E18" w:rsidRDefault="00191B43">
          <w:pPr>
            <w:pStyle w:val="TOC3"/>
            <w:rPr>
              <w:rFonts w:ascii="Arial" w:hAnsi="Arial" w:cs="Arial"/>
              <w:noProof/>
              <w:kern w:val="2"/>
              <w:sz w:val="24"/>
              <w:szCs w:val="24"/>
              <w14:ligatures w14:val="standardContextual"/>
            </w:rPr>
          </w:pPr>
          <w:hyperlink w:anchor="_Toc212718060"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_Toc212718060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27</w:t>
            </w:r>
            <w:r w:rsidRPr="00811E18">
              <w:rPr>
                <w:rFonts w:ascii="Arial" w:hAnsi="Arial" w:cs="Arial"/>
                <w:noProof/>
                <w:webHidden/>
                <w:sz w:val="24"/>
                <w:szCs w:val="24"/>
              </w:rPr>
              <w:fldChar w:fldCharType="end"/>
            </w:r>
          </w:hyperlink>
        </w:p>
        <w:p w14:paraId="0CC487F9" w14:textId="1C4A8040" w:rsidR="00191B43" w:rsidRPr="00811E18" w:rsidRDefault="00191B43">
          <w:pPr>
            <w:pStyle w:val="TOC2"/>
            <w:rPr>
              <w:rFonts w:eastAsiaTheme="minorEastAsia" w:cs="Arial"/>
              <w:noProof/>
              <w:kern w:val="2"/>
              <w14:ligatures w14:val="standardContextual"/>
            </w:rPr>
          </w:pPr>
          <w:hyperlink w:anchor="_Toc212718061" w:history="1">
            <w:r w:rsidRPr="00047360">
              <w:rPr>
                <w:rStyle w:val="Hyperlink"/>
                <w:rFonts w:eastAsiaTheme="majorEastAsia" w:cs="Arial"/>
                <w:noProof/>
              </w:rPr>
              <w:t>Indicator 8: Percent of Parents Reporting the Schools Facilitated Parental Involvement</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_Toc212718061 \h </w:instrText>
            </w:r>
            <w:r w:rsidRPr="00047360">
              <w:rPr>
                <w:rFonts w:cs="Arial"/>
                <w:noProof/>
                <w:webHidden/>
              </w:rPr>
            </w:r>
            <w:r w:rsidRPr="00047360">
              <w:rPr>
                <w:rFonts w:cs="Arial"/>
                <w:noProof/>
                <w:webHidden/>
              </w:rPr>
              <w:fldChar w:fldCharType="separate"/>
            </w:r>
            <w:r w:rsidR="000F39BA">
              <w:rPr>
                <w:rFonts w:cs="Arial"/>
                <w:noProof/>
                <w:webHidden/>
              </w:rPr>
              <w:t>29</w:t>
            </w:r>
            <w:r w:rsidRPr="00047360">
              <w:rPr>
                <w:rFonts w:cs="Arial"/>
                <w:noProof/>
                <w:webHidden/>
              </w:rPr>
              <w:fldChar w:fldCharType="end"/>
            </w:r>
          </w:hyperlink>
        </w:p>
        <w:p w14:paraId="6AA11E97" w14:textId="7A611A8A" w:rsidR="00191B43" w:rsidRPr="00811E18" w:rsidRDefault="00191B43">
          <w:pPr>
            <w:pStyle w:val="TOC3"/>
            <w:rPr>
              <w:rFonts w:ascii="Arial" w:hAnsi="Arial" w:cs="Arial"/>
              <w:noProof/>
              <w:kern w:val="2"/>
              <w:sz w:val="24"/>
              <w:szCs w:val="24"/>
              <w14:ligatures w14:val="standardContextual"/>
            </w:rPr>
          </w:pPr>
          <w:hyperlink w:anchor="_Toc212718062"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_Toc212718062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29</w:t>
            </w:r>
            <w:r w:rsidRPr="00811E18">
              <w:rPr>
                <w:rFonts w:ascii="Arial" w:hAnsi="Arial" w:cs="Arial"/>
                <w:noProof/>
                <w:webHidden/>
                <w:sz w:val="24"/>
                <w:szCs w:val="24"/>
              </w:rPr>
              <w:fldChar w:fldCharType="end"/>
            </w:r>
          </w:hyperlink>
        </w:p>
        <w:p w14:paraId="421F7D78" w14:textId="1F9137E9" w:rsidR="00191B43" w:rsidRPr="00811E18" w:rsidRDefault="00191B43">
          <w:pPr>
            <w:pStyle w:val="TOC3"/>
            <w:rPr>
              <w:rFonts w:ascii="Arial" w:hAnsi="Arial" w:cs="Arial"/>
              <w:noProof/>
              <w:kern w:val="2"/>
              <w:sz w:val="24"/>
              <w:szCs w:val="24"/>
              <w14:ligatures w14:val="standardContextual"/>
            </w:rPr>
          </w:pPr>
          <w:hyperlink w:anchor="_Toc212718063"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_Toc212718063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29</w:t>
            </w:r>
            <w:r w:rsidRPr="00811E18">
              <w:rPr>
                <w:rFonts w:ascii="Arial" w:hAnsi="Arial" w:cs="Arial"/>
                <w:noProof/>
                <w:webHidden/>
                <w:sz w:val="24"/>
                <w:szCs w:val="24"/>
              </w:rPr>
              <w:fldChar w:fldCharType="end"/>
            </w:r>
          </w:hyperlink>
        </w:p>
        <w:p w14:paraId="4D1D2CAD" w14:textId="1573C04C" w:rsidR="00191B43" w:rsidRPr="00811E18" w:rsidRDefault="00191B43">
          <w:pPr>
            <w:pStyle w:val="TOC2"/>
            <w:rPr>
              <w:rFonts w:eastAsiaTheme="minorEastAsia" w:cs="Arial"/>
              <w:noProof/>
              <w:kern w:val="2"/>
              <w14:ligatures w14:val="standardContextual"/>
            </w:rPr>
          </w:pPr>
          <w:hyperlink w:anchor="_Toc212718064" w:history="1">
            <w:r w:rsidRPr="00047360">
              <w:rPr>
                <w:rStyle w:val="Hyperlink"/>
                <w:rFonts w:eastAsiaTheme="majorEastAsia" w:cs="Arial"/>
                <w:noProof/>
              </w:rPr>
              <w:t xml:space="preserve">Indicator </w:t>
            </w:r>
            <w:r w:rsidRPr="00047360">
              <w:rPr>
                <w:rStyle w:val="Hyperlink"/>
                <w:rFonts w:eastAsiaTheme="majorEastAsia" w:cs="Arial"/>
                <w:bCs/>
                <w:noProof/>
              </w:rPr>
              <w:t xml:space="preserve">9: </w:t>
            </w:r>
            <w:r w:rsidRPr="00047360">
              <w:rPr>
                <w:rStyle w:val="Hyperlink"/>
                <w:rFonts w:eastAsiaTheme="majorEastAsia" w:cs="Arial"/>
                <w:noProof/>
              </w:rPr>
              <w:t>Disproportionate Representation</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_Toc212718064 \h </w:instrText>
            </w:r>
            <w:r w:rsidRPr="00047360">
              <w:rPr>
                <w:rFonts w:cs="Arial"/>
                <w:noProof/>
                <w:webHidden/>
              </w:rPr>
            </w:r>
            <w:r w:rsidRPr="00047360">
              <w:rPr>
                <w:rFonts w:cs="Arial"/>
                <w:noProof/>
                <w:webHidden/>
              </w:rPr>
              <w:fldChar w:fldCharType="separate"/>
            </w:r>
            <w:r w:rsidR="000F39BA">
              <w:rPr>
                <w:rFonts w:cs="Arial"/>
                <w:noProof/>
                <w:webHidden/>
              </w:rPr>
              <w:t>30</w:t>
            </w:r>
            <w:r w:rsidRPr="00047360">
              <w:rPr>
                <w:rFonts w:cs="Arial"/>
                <w:noProof/>
                <w:webHidden/>
              </w:rPr>
              <w:fldChar w:fldCharType="end"/>
            </w:r>
          </w:hyperlink>
        </w:p>
        <w:p w14:paraId="7347B8A5" w14:textId="14B3A375" w:rsidR="00191B43" w:rsidRPr="00811E18" w:rsidRDefault="00191B43">
          <w:pPr>
            <w:pStyle w:val="TOC3"/>
            <w:rPr>
              <w:rFonts w:ascii="Arial" w:hAnsi="Arial" w:cs="Arial"/>
              <w:noProof/>
              <w:kern w:val="2"/>
              <w:sz w:val="24"/>
              <w:szCs w:val="24"/>
              <w14:ligatures w14:val="standardContextual"/>
            </w:rPr>
          </w:pPr>
          <w:hyperlink w:anchor="_Toc212718065"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_Toc212718065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30</w:t>
            </w:r>
            <w:r w:rsidRPr="00811E18">
              <w:rPr>
                <w:rFonts w:ascii="Arial" w:hAnsi="Arial" w:cs="Arial"/>
                <w:noProof/>
                <w:webHidden/>
                <w:sz w:val="24"/>
                <w:szCs w:val="24"/>
              </w:rPr>
              <w:fldChar w:fldCharType="end"/>
            </w:r>
          </w:hyperlink>
        </w:p>
        <w:p w14:paraId="21837CF1" w14:textId="71740048" w:rsidR="00191B43" w:rsidRPr="00811E18" w:rsidRDefault="00191B43">
          <w:pPr>
            <w:pStyle w:val="TOC3"/>
            <w:rPr>
              <w:rFonts w:ascii="Arial" w:hAnsi="Arial" w:cs="Arial"/>
              <w:noProof/>
              <w:kern w:val="2"/>
              <w:sz w:val="24"/>
              <w:szCs w:val="24"/>
              <w14:ligatures w14:val="standardContextual"/>
            </w:rPr>
          </w:pPr>
          <w:hyperlink w:anchor="_Toc212718066"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_Toc212718066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30</w:t>
            </w:r>
            <w:r w:rsidRPr="00811E18">
              <w:rPr>
                <w:rFonts w:ascii="Arial" w:hAnsi="Arial" w:cs="Arial"/>
                <w:noProof/>
                <w:webHidden/>
                <w:sz w:val="24"/>
                <w:szCs w:val="24"/>
              </w:rPr>
              <w:fldChar w:fldCharType="end"/>
            </w:r>
          </w:hyperlink>
        </w:p>
        <w:p w14:paraId="4C5CEBB6" w14:textId="3062191B" w:rsidR="00191B43" w:rsidRPr="00811E18" w:rsidRDefault="00191B43">
          <w:pPr>
            <w:pStyle w:val="TOC2"/>
            <w:rPr>
              <w:rFonts w:eastAsiaTheme="minorEastAsia" w:cs="Arial"/>
              <w:noProof/>
              <w:kern w:val="2"/>
              <w14:ligatures w14:val="standardContextual"/>
            </w:rPr>
          </w:pPr>
          <w:hyperlink w:anchor="_Toc212718067" w:history="1">
            <w:r w:rsidRPr="00047360">
              <w:rPr>
                <w:rStyle w:val="Hyperlink"/>
                <w:rFonts w:eastAsiaTheme="majorEastAsia" w:cs="Arial"/>
                <w:bCs/>
                <w:noProof/>
              </w:rPr>
              <w:t xml:space="preserve">Indicator 10: </w:t>
            </w:r>
            <w:r w:rsidRPr="00047360">
              <w:rPr>
                <w:rStyle w:val="Hyperlink"/>
                <w:rFonts w:eastAsiaTheme="majorEastAsia" w:cs="Arial"/>
                <w:noProof/>
              </w:rPr>
              <w:t>Disproportionate Representation by Disability Categories</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_Toc212718067 \h </w:instrText>
            </w:r>
            <w:r w:rsidRPr="00047360">
              <w:rPr>
                <w:rFonts w:cs="Arial"/>
                <w:noProof/>
                <w:webHidden/>
              </w:rPr>
            </w:r>
            <w:r w:rsidRPr="00047360">
              <w:rPr>
                <w:rFonts w:cs="Arial"/>
                <w:noProof/>
                <w:webHidden/>
              </w:rPr>
              <w:fldChar w:fldCharType="separate"/>
            </w:r>
            <w:r w:rsidR="000F39BA">
              <w:rPr>
                <w:rFonts w:cs="Arial"/>
                <w:noProof/>
                <w:webHidden/>
              </w:rPr>
              <w:t>31</w:t>
            </w:r>
            <w:r w:rsidRPr="00047360">
              <w:rPr>
                <w:rFonts w:cs="Arial"/>
                <w:noProof/>
                <w:webHidden/>
              </w:rPr>
              <w:fldChar w:fldCharType="end"/>
            </w:r>
          </w:hyperlink>
        </w:p>
        <w:p w14:paraId="23CB8DDE" w14:textId="7F26CD7D" w:rsidR="00191B43" w:rsidRPr="00811E18" w:rsidRDefault="00191B43">
          <w:pPr>
            <w:pStyle w:val="TOC3"/>
            <w:rPr>
              <w:rFonts w:ascii="Arial" w:hAnsi="Arial" w:cs="Arial"/>
              <w:noProof/>
              <w:kern w:val="2"/>
              <w:sz w:val="24"/>
              <w:szCs w:val="24"/>
              <w14:ligatures w14:val="standardContextual"/>
            </w:rPr>
          </w:pPr>
          <w:hyperlink w:anchor="_Toc212718068"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_Toc212718068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31</w:t>
            </w:r>
            <w:r w:rsidRPr="00811E18">
              <w:rPr>
                <w:rFonts w:ascii="Arial" w:hAnsi="Arial" w:cs="Arial"/>
                <w:noProof/>
                <w:webHidden/>
                <w:sz w:val="24"/>
                <w:szCs w:val="24"/>
              </w:rPr>
              <w:fldChar w:fldCharType="end"/>
            </w:r>
          </w:hyperlink>
        </w:p>
        <w:p w14:paraId="530E54F0" w14:textId="16323FC2" w:rsidR="00191B43" w:rsidRPr="00811E18" w:rsidRDefault="00191B43">
          <w:pPr>
            <w:pStyle w:val="TOC3"/>
            <w:rPr>
              <w:rFonts w:ascii="Arial" w:hAnsi="Arial" w:cs="Arial"/>
              <w:noProof/>
              <w:kern w:val="2"/>
              <w:sz w:val="24"/>
              <w:szCs w:val="24"/>
              <w14:ligatures w14:val="standardContextual"/>
            </w:rPr>
          </w:pPr>
          <w:hyperlink w:anchor="_Toc212718069"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_Toc212718069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31</w:t>
            </w:r>
            <w:r w:rsidRPr="00811E18">
              <w:rPr>
                <w:rFonts w:ascii="Arial" w:hAnsi="Arial" w:cs="Arial"/>
                <w:noProof/>
                <w:webHidden/>
                <w:sz w:val="24"/>
                <w:szCs w:val="24"/>
              </w:rPr>
              <w:fldChar w:fldCharType="end"/>
            </w:r>
          </w:hyperlink>
        </w:p>
        <w:p w14:paraId="67DD6C7A" w14:textId="342503B8" w:rsidR="00191B43" w:rsidRPr="00811E18" w:rsidRDefault="00191B43">
          <w:pPr>
            <w:pStyle w:val="TOC2"/>
            <w:rPr>
              <w:rFonts w:eastAsiaTheme="minorEastAsia" w:cs="Arial"/>
              <w:noProof/>
              <w:kern w:val="2"/>
              <w14:ligatures w14:val="standardContextual"/>
            </w:rPr>
          </w:pPr>
          <w:hyperlink w:anchor="_Toc212718070" w:history="1">
            <w:r w:rsidRPr="00047360">
              <w:rPr>
                <w:rStyle w:val="Hyperlink"/>
                <w:rFonts w:eastAsiaTheme="majorEastAsia" w:cs="Arial"/>
                <w:noProof/>
              </w:rPr>
              <w:t>Indicator 11: Child Find</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_Toc212718070 \h </w:instrText>
            </w:r>
            <w:r w:rsidRPr="00047360">
              <w:rPr>
                <w:rFonts w:cs="Arial"/>
                <w:noProof/>
                <w:webHidden/>
              </w:rPr>
            </w:r>
            <w:r w:rsidRPr="00047360">
              <w:rPr>
                <w:rFonts w:cs="Arial"/>
                <w:noProof/>
                <w:webHidden/>
              </w:rPr>
              <w:fldChar w:fldCharType="separate"/>
            </w:r>
            <w:r w:rsidR="000F39BA">
              <w:rPr>
                <w:rFonts w:cs="Arial"/>
                <w:noProof/>
                <w:webHidden/>
              </w:rPr>
              <w:t>32</w:t>
            </w:r>
            <w:r w:rsidRPr="00047360">
              <w:rPr>
                <w:rFonts w:cs="Arial"/>
                <w:noProof/>
                <w:webHidden/>
              </w:rPr>
              <w:fldChar w:fldCharType="end"/>
            </w:r>
          </w:hyperlink>
        </w:p>
        <w:p w14:paraId="349776BD" w14:textId="775322B4" w:rsidR="00191B43" w:rsidRPr="00811E18" w:rsidRDefault="00191B43">
          <w:pPr>
            <w:pStyle w:val="TOC3"/>
            <w:rPr>
              <w:rFonts w:ascii="Arial" w:hAnsi="Arial" w:cs="Arial"/>
              <w:noProof/>
              <w:kern w:val="2"/>
              <w:sz w:val="24"/>
              <w:szCs w:val="24"/>
              <w14:ligatures w14:val="standardContextual"/>
            </w:rPr>
          </w:pPr>
          <w:hyperlink w:anchor="_Toc212718071"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_Toc212718071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32</w:t>
            </w:r>
            <w:r w:rsidRPr="00811E18">
              <w:rPr>
                <w:rFonts w:ascii="Arial" w:hAnsi="Arial" w:cs="Arial"/>
                <w:noProof/>
                <w:webHidden/>
                <w:sz w:val="24"/>
                <w:szCs w:val="24"/>
              </w:rPr>
              <w:fldChar w:fldCharType="end"/>
            </w:r>
          </w:hyperlink>
        </w:p>
        <w:p w14:paraId="31B2F226" w14:textId="55B6E346" w:rsidR="00191B43" w:rsidRPr="00811E18" w:rsidRDefault="00191B43">
          <w:pPr>
            <w:pStyle w:val="TOC3"/>
            <w:rPr>
              <w:rFonts w:ascii="Arial" w:hAnsi="Arial" w:cs="Arial"/>
              <w:noProof/>
              <w:kern w:val="2"/>
              <w:sz w:val="24"/>
              <w:szCs w:val="24"/>
              <w14:ligatures w14:val="standardContextual"/>
            </w:rPr>
          </w:pPr>
          <w:hyperlink w:anchor="_Toc212718072"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_Toc212718072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32</w:t>
            </w:r>
            <w:r w:rsidRPr="00811E18">
              <w:rPr>
                <w:rFonts w:ascii="Arial" w:hAnsi="Arial" w:cs="Arial"/>
                <w:noProof/>
                <w:webHidden/>
                <w:sz w:val="24"/>
                <w:szCs w:val="24"/>
              </w:rPr>
              <w:fldChar w:fldCharType="end"/>
            </w:r>
          </w:hyperlink>
        </w:p>
        <w:p w14:paraId="39006C34" w14:textId="18E19C49" w:rsidR="00191B43" w:rsidRPr="00811E18" w:rsidRDefault="00191B43">
          <w:pPr>
            <w:pStyle w:val="TOC2"/>
            <w:rPr>
              <w:rFonts w:eastAsiaTheme="minorEastAsia" w:cs="Arial"/>
              <w:noProof/>
              <w:kern w:val="2"/>
              <w14:ligatures w14:val="standardContextual"/>
            </w:rPr>
          </w:pPr>
          <w:hyperlink w:anchor="_Toc212718073" w:history="1">
            <w:r w:rsidRPr="00047360">
              <w:rPr>
                <w:rStyle w:val="Hyperlink"/>
                <w:rFonts w:eastAsiaTheme="majorEastAsia" w:cs="Arial"/>
                <w:noProof/>
              </w:rPr>
              <w:t>Indicator 12: Early Childhood Transition</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_Toc212718073 \h </w:instrText>
            </w:r>
            <w:r w:rsidRPr="00047360">
              <w:rPr>
                <w:rFonts w:cs="Arial"/>
                <w:noProof/>
                <w:webHidden/>
              </w:rPr>
            </w:r>
            <w:r w:rsidRPr="00047360">
              <w:rPr>
                <w:rFonts w:cs="Arial"/>
                <w:noProof/>
                <w:webHidden/>
              </w:rPr>
              <w:fldChar w:fldCharType="separate"/>
            </w:r>
            <w:r w:rsidR="000F39BA">
              <w:rPr>
                <w:rFonts w:cs="Arial"/>
                <w:noProof/>
                <w:webHidden/>
              </w:rPr>
              <w:t>33</w:t>
            </w:r>
            <w:r w:rsidRPr="00047360">
              <w:rPr>
                <w:rFonts w:cs="Arial"/>
                <w:noProof/>
                <w:webHidden/>
              </w:rPr>
              <w:fldChar w:fldCharType="end"/>
            </w:r>
          </w:hyperlink>
        </w:p>
        <w:p w14:paraId="6043DCE8" w14:textId="71FD1ECC" w:rsidR="00191B43" w:rsidRPr="00811E18" w:rsidRDefault="00191B43">
          <w:pPr>
            <w:pStyle w:val="TOC3"/>
            <w:rPr>
              <w:rFonts w:ascii="Arial" w:hAnsi="Arial" w:cs="Arial"/>
              <w:noProof/>
              <w:kern w:val="2"/>
              <w:sz w:val="24"/>
              <w:szCs w:val="24"/>
              <w14:ligatures w14:val="standardContextual"/>
            </w:rPr>
          </w:pPr>
          <w:hyperlink w:anchor="_Toc212718074"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_Toc212718074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33</w:t>
            </w:r>
            <w:r w:rsidRPr="00811E18">
              <w:rPr>
                <w:rFonts w:ascii="Arial" w:hAnsi="Arial" w:cs="Arial"/>
                <w:noProof/>
                <w:webHidden/>
                <w:sz w:val="24"/>
                <w:szCs w:val="24"/>
              </w:rPr>
              <w:fldChar w:fldCharType="end"/>
            </w:r>
          </w:hyperlink>
        </w:p>
        <w:p w14:paraId="267E9E34" w14:textId="31D78E42" w:rsidR="00191B43" w:rsidRPr="00811E18" w:rsidRDefault="00191B43">
          <w:pPr>
            <w:pStyle w:val="TOC3"/>
            <w:rPr>
              <w:rFonts w:ascii="Arial" w:hAnsi="Arial" w:cs="Arial"/>
              <w:noProof/>
              <w:kern w:val="2"/>
              <w:sz w:val="24"/>
              <w:szCs w:val="24"/>
              <w14:ligatures w14:val="standardContextual"/>
            </w:rPr>
          </w:pPr>
          <w:hyperlink w:anchor="_Toc212718075"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_Toc212718075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33</w:t>
            </w:r>
            <w:r w:rsidRPr="00811E18">
              <w:rPr>
                <w:rFonts w:ascii="Arial" w:hAnsi="Arial" w:cs="Arial"/>
                <w:noProof/>
                <w:webHidden/>
                <w:sz w:val="24"/>
                <w:szCs w:val="24"/>
              </w:rPr>
              <w:fldChar w:fldCharType="end"/>
            </w:r>
          </w:hyperlink>
        </w:p>
        <w:p w14:paraId="6287F646" w14:textId="078C0D64" w:rsidR="00191B43" w:rsidRPr="00811E18" w:rsidRDefault="00191B43">
          <w:pPr>
            <w:pStyle w:val="TOC2"/>
            <w:rPr>
              <w:rFonts w:eastAsiaTheme="minorEastAsia" w:cs="Arial"/>
              <w:noProof/>
              <w:kern w:val="2"/>
              <w14:ligatures w14:val="standardContextual"/>
            </w:rPr>
          </w:pPr>
          <w:hyperlink w:anchor="_Toc212718076" w:history="1">
            <w:r w:rsidRPr="00047360">
              <w:rPr>
                <w:rStyle w:val="Hyperlink"/>
                <w:rFonts w:eastAsiaTheme="majorEastAsia" w:cs="Arial"/>
                <w:noProof/>
              </w:rPr>
              <w:t>Indicator 13: Secondary Transition</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_Toc212718076 \h </w:instrText>
            </w:r>
            <w:r w:rsidRPr="00047360">
              <w:rPr>
                <w:rFonts w:cs="Arial"/>
                <w:noProof/>
                <w:webHidden/>
              </w:rPr>
            </w:r>
            <w:r w:rsidRPr="00047360">
              <w:rPr>
                <w:rFonts w:cs="Arial"/>
                <w:noProof/>
                <w:webHidden/>
              </w:rPr>
              <w:fldChar w:fldCharType="separate"/>
            </w:r>
            <w:r w:rsidR="000F39BA">
              <w:rPr>
                <w:rFonts w:cs="Arial"/>
                <w:noProof/>
                <w:webHidden/>
              </w:rPr>
              <w:t>34</w:t>
            </w:r>
            <w:r w:rsidRPr="00047360">
              <w:rPr>
                <w:rFonts w:cs="Arial"/>
                <w:noProof/>
                <w:webHidden/>
              </w:rPr>
              <w:fldChar w:fldCharType="end"/>
            </w:r>
          </w:hyperlink>
        </w:p>
        <w:p w14:paraId="14FFBCEA" w14:textId="1519E024" w:rsidR="00191B43" w:rsidRPr="00811E18" w:rsidRDefault="00191B43">
          <w:pPr>
            <w:pStyle w:val="TOC3"/>
            <w:rPr>
              <w:rFonts w:ascii="Arial" w:hAnsi="Arial" w:cs="Arial"/>
              <w:noProof/>
              <w:kern w:val="2"/>
              <w:sz w:val="24"/>
              <w:szCs w:val="24"/>
              <w14:ligatures w14:val="standardContextual"/>
            </w:rPr>
          </w:pPr>
          <w:hyperlink w:anchor="_Toc212718077"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_Toc212718077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34</w:t>
            </w:r>
            <w:r w:rsidRPr="00811E18">
              <w:rPr>
                <w:rFonts w:ascii="Arial" w:hAnsi="Arial" w:cs="Arial"/>
                <w:noProof/>
                <w:webHidden/>
                <w:sz w:val="24"/>
                <w:szCs w:val="24"/>
              </w:rPr>
              <w:fldChar w:fldCharType="end"/>
            </w:r>
          </w:hyperlink>
        </w:p>
        <w:p w14:paraId="31FF1C8C" w14:textId="6DD5BBA8" w:rsidR="00191B43" w:rsidRPr="00811E18" w:rsidRDefault="00191B43">
          <w:pPr>
            <w:pStyle w:val="TOC3"/>
            <w:rPr>
              <w:rFonts w:ascii="Arial" w:hAnsi="Arial" w:cs="Arial"/>
              <w:noProof/>
              <w:kern w:val="2"/>
              <w:sz w:val="24"/>
              <w:szCs w:val="24"/>
              <w14:ligatures w14:val="standardContextual"/>
            </w:rPr>
          </w:pPr>
          <w:hyperlink w:anchor="_Toc212718078"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_Toc212718078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34</w:t>
            </w:r>
            <w:r w:rsidRPr="00811E18">
              <w:rPr>
                <w:rFonts w:ascii="Arial" w:hAnsi="Arial" w:cs="Arial"/>
                <w:noProof/>
                <w:webHidden/>
                <w:sz w:val="24"/>
                <w:szCs w:val="24"/>
              </w:rPr>
              <w:fldChar w:fldCharType="end"/>
            </w:r>
          </w:hyperlink>
        </w:p>
        <w:p w14:paraId="22F701E6" w14:textId="2FC8D83D" w:rsidR="00191B43" w:rsidRPr="00811E18" w:rsidRDefault="00191B43">
          <w:pPr>
            <w:pStyle w:val="TOC2"/>
            <w:rPr>
              <w:rFonts w:eastAsiaTheme="minorEastAsia" w:cs="Arial"/>
              <w:noProof/>
              <w:kern w:val="2"/>
              <w14:ligatures w14:val="standardContextual"/>
            </w:rPr>
          </w:pPr>
          <w:hyperlink w:anchor="_Toc212718079" w:history="1">
            <w:r w:rsidRPr="00047360">
              <w:rPr>
                <w:rStyle w:val="Hyperlink"/>
                <w:rFonts w:eastAsiaTheme="majorEastAsia" w:cs="Arial"/>
                <w:noProof/>
              </w:rPr>
              <w:t>Indicator 14: Post-school Outcomes</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_Toc212718079 \h </w:instrText>
            </w:r>
            <w:r w:rsidRPr="00047360">
              <w:rPr>
                <w:rFonts w:cs="Arial"/>
                <w:noProof/>
                <w:webHidden/>
              </w:rPr>
            </w:r>
            <w:r w:rsidRPr="00047360">
              <w:rPr>
                <w:rFonts w:cs="Arial"/>
                <w:noProof/>
                <w:webHidden/>
              </w:rPr>
              <w:fldChar w:fldCharType="separate"/>
            </w:r>
            <w:r w:rsidR="000F39BA">
              <w:rPr>
                <w:rFonts w:cs="Arial"/>
                <w:noProof/>
                <w:webHidden/>
              </w:rPr>
              <w:t>35</w:t>
            </w:r>
            <w:r w:rsidRPr="00047360">
              <w:rPr>
                <w:rFonts w:cs="Arial"/>
                <w:noProof/>
                <w:webHidden/>
              </w:rPr>
              <w:fldChar w:fldCharType="end"/>
            </w:r>
          </w:hyperlink>
        </w:p>
        <w:p w14:paraId="7910A2A0" w14:textId="25E57DD8" w:rsidR="00191B43" w:rsidRPr="00811E18" w:rsidRDefault="00191B43">
          <w:pPr>
            <w:pStyle w:val="TOC3"/>
            <w:rPr>
              <w:rFonts w:ascii="Arial" w:hAnsi="Arial" w:cs="Arial"/>
              <w:noProof/>
              <w:kern w:val="2"/>
              <w:sz w:val="24"/>
              <w:szCs w:val="24"/>
              <w14:ligatures w14:val="standardContextual"/>
            </w:rPr>
          </w:pPr>
          <w:hyperlink w:anchor="_Toc212718080"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_Toc212718080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35</w:t>
            </w:r>
            <w:r w:rsidRPr="00811E18">
              <w:rPr>
                <w:rFonts w:ascii="Arial" w:hAnsi="Arial" w:cs="Arial"/>
                <w:noProof/>
                <w:webHidden/>
                <w:sz w:val="24"/>
                <w:szCs w:val="24"/>
              </w:rPr>
              <w:fldChar w:fldCharType="end"/>
            </w:r>
          </w:hyperlink>
        </w:p>
        <w:p w14:paraId="0E3BDEAC" w14:textId="1E7FB137" w:rsidR="00191B43" w:rsidRPr="00811E18" w:rsidRDefault="00191B43">
          <w:pPr>
            <w:pStyle w:val="TOC3"/>
            <w:rPr>
              <w:rFonts w:ascii="Arial" w:hAnsi="Arial" w:cs="Arial"/>
              <w:noProof/>
              <w:kern w:val="2"/>
              <w:sz w:val="24"/>
              <w:szCs w:val="24"/>
              <w14:ligatures w14:val="standardContextual"/>
            </w:rPr>
          </w:pPr>
          <w:hyperlink w:anchor="_Toc212718081"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_Toc212718081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35</w:t>
            </w:r>
            <w:r w:rsidRPr="00811E18">
              <w:rPr>
                <w:rFonts w:ascii="Arial" w:hAnsi="Arial" w:cs="Arial"/>
                <w:noProof/>
                <w:webHidden/>
                <w:sz w:val="24"/>
                <w:szCs w:val="24"/>
              </w:rPr>
              <w:fldChar w:fldCharType="end"/>
            </w:r>
          </w:hyperlink>
        </w:p>
        <w:p w14:paraId="29DA1A6B" w14:textId="56C4C546" w:rsidR="00191B43" w:rsidRPr="00811E18" w:rsidRDefault="00191B43">
          <w:pPr>
            <w:pStyle w:val="TOC2"/>
            <w:rPr>
              <w:rFonts w:eastAsiaTheme="minorEastAsia" w:cs="Arial"/>
              <w:noProof/>
              <w:kern w:val="2"/>
              <w14:ligatures w14:val="standardContextual"/>
            </w:rPr>
          </w:pPr>
          <w:hyperlink w:anchor="_Toc212718082" w:history="1">
            <w:r w:rsidRPr="00047360">
              <w:rPr>
                <w:rStyle w:val="Hyperlink"/>
                <w:rFonts w:eastAsiaTheme="majorEastAsia" w:cs="Arial"/>
                <w:noProof/>
              </w:rPr>
              <w:t>Indicator 15: Resolution Sessions</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_Toc212718082 \h </w:instrText>
            </w:r>
            <w:r w:rsidRPr="00047360">
              <w:rPr>
                <w:rFonts w:cs="Arial"/>
                <w:noProof/>
                <w:webHidden/>
              </w:rPr>
            </w:r>
            <w:r w:rsidRPr="00047360">
              <w:rPr>
                <w:rFonts w:cs="Arial"/>
                <w:noProof/>
                <w:webHidden/>
              </w:rPr>
              <w:fldChar w:fldCharType="separate"/>
            </w:r>
            <w:r w:rsidR="000F39BA">
              <w:rPr>
                <w:rFonts w:cs="Arial"/>
                <w:noProof/>
                <w:webHidden/>
              </w:rPr>
              <w:t>37</w:t>
            </w:r>
            <w:r w:rsidRPr="00047360">
              <w:rPr>
                <w:rFonts w:cs="Arial"/>
                <w:noProof/>
                <w:webHidden/>
              </w:rPr>
              <w:fldChar w:fldCharType="end"/>
            </w:r>
          </w:hyperlink>
        </w:p>
        <w:p w14:paraId="2F343B9C" w14:textId="4E20060F" w:rsidR="00191B43" w:rsidRPr="00811E18" w:rsidRDefault="00191B43">
          <w:pPr>
            <w:pStyle w:val="TOC3"/>
            <w:rPr>
              <w:rFonts w:ascii="Arial" w:hAnsi="Arial" w:cs="Arial"/>
              <w:noProof/>
              <w:kern w:val="2"/>
              <w:sz w:val="24"/>
              <w:szCs w:val="24"/>
              <w14:ligatures w14:val="standardContextual"/>
            </w:rPr>
          </w:pPr>
          <w:hyperlink w:anchor="_Toc212718083"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_Toc212718083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37</w:t>
            </w:r>
            <w:r w:rsidRPr="00811E18">
              <w:rPr>
                <w:rFonts w:ascii="Arial" w:hAnsi="Arial" w:cs="Arial"/>
                <w:noProof/>
                <w:webHidden/>
                <w:sz w:val="24"/>
                <w:szCs w:val="24"/>
              </w:rPr>
              <w:fldChar w:fldCharType="end"/>
            </w:r>
          </w:hyperlink>
        </w:p>
        <w:p w14:paraId="01DFA71E" w14:textId="25F60FDD" w:rsidR="00191B43" w:rsidRPr="00811E18" w:rsidRDefault="00191B43">
          <w:pPr>
            <w:pStyle w:val="TOC3"/>
            <w:rPr>
              <w:rFonts w:ascii="Arial" w:hAnsi="Arial" w:cs="Arial"/>
              <w:noProof/>
              <w:kern w:val="2"/>
              <w:sz w:val="24"/>
              <w:szCs w:val="24"/>
              <w14:ligatures w14:val="standardContextual"/>
            </w:rPr>
          </w:pPr>
          <w:hyperlink w:anchor="_Toc212718084"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_Toc212718084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37</w:t>
            </w:r>
            <w:r w:rsidRPr="00811E18">
              <w:rPr>
                <w:rFonts w:ascii="Arial" w:hAnsi="Arial" w:cs="Arial"/>
                <w:noProof/>
                <w:webHidden/>
                <w:sz w:val="24"/>
                <w:szCs w:val="24"/>
              </w:rPr>
              <w:fldChar w:fldCharType="end"/>
            </w:r>
          </w:hyperlink>
        </w:p>
        <w:p w14:paraId="7C1ADC66" w14:textId="720DE802" w:rsidR="00191B43" w:rsidRPr="00811E18" w:rsidRDefault="00191B43">
          <w:pPr>
            <w:pStyle w:val="TOC2"/>
            <w:rPr>
              <w:rFonts w:eastAsiaTheme="minorEastAsia" w:cs="Arial"/>
              <w:noProof/>
              <w:kern w:val="2"/>
              <w14:ligatures w14:val="standardContextual"/>
            </w:rPr>
          </w:pPr>
          <w:hyperlink w:anchor="_Toc212718085" w:history="1">
            <w:r w:rsidRPr="00047360">
              <w:rPr>
                <w:rStyle w:val="Hyperlink"/>
                <w:rFonts w:eastAsiaTheme="majorEastAsia" w:cs="Arial"/>
                <w:noProof/>
              </w:rPr>
              <w:t>Indicator 16: Mediation</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_Toc212718085 \h </w:instrText>
            </w:r>
            <w:r w:rsidRPr="00047360">
              <w:rPr>
                <w:rFonts w:cs="Arial"/>
                <w:noProof/>
                <w:webHidden/>
              </w:rPr>
            </w:r>
            <w:r w:rsidRPr="00047360">
              <w:rPr>
                <w:rFonts w:cs="Arial"/>
                <w:noProof/>
                <w:webHidden/>
              </w:rPr>
              <w:fldChar w:fldCharType="separate"/>
            </w:r>
            <w:r w:rsidR="000F39BA">
              <w:rPr>
                <w:rFonts w:cs="Arial"/>
                <w:noProof/>
                <w:webHidden/>
              </w:rPr>
              <w:t>38</w:t>
            </w:r>
            <w:r w:rsidRPr="00047360">
              <w:rPr>
                <w:rFonts w:cs="Arial"/>
                <w:noProof/>
                <w:webHidden/>
              </w:rPr>
              <w:fldChar w:fldCharType="end"/>
            </w:r>
          </w:hyperlink>
        </w:p>
        <w:p w14:paraId="2D861F3B" w14:textId="4D756EC4" w:rsidR="00191B43" w:rsidRPr="00811E18" w:rsidRDefault="00191B43">
          <w:pPr>
            <w:pStyle w:val="TOC3"/>
            <w:rPr>
              <w:rFonts w:ascii="Arial" w:hAnsi="Arial" w:cs="Arial"/>
              <w:noProof/>
              <w:kern w:val="2"/>
              <w:sz w:val="24"/>
              <w:szCs w:val="24"/>
              <w14:ligatures w14:val="standardContextual"/>
            </w:rPr>
          </w:pPr>
          <w:hyperlink w:anchor="_Toc212718086"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_Toc212718086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38</w:t>
            </w:r>
            <w:r w:rsidRPr="00811E18">
              <w:rPr>
                <w:rFonts w:ascii="Arial" w:hAnsi="Arial" w:cs="Arial"/>
                <w:noProof/>
                <w:webHidden/>
                <w:sz w:val="24"/>
                <w:szCs w:val="24"/>
              </w:rPr>
              <w:fldChar w:fldCharType="end"/>
            </w:r>
          </w:hyperlink>
        </w:p>
        <w:p w14:paraId="0D68F3AD" w14:textId="525BB524" w:rsidR="00191B43" w:rsidRPr="00811E18" w:rsidRDefault="00191B43">
          <w:pPr>
            <w:pStyle w:val="TOC3"/>
            <w:rPr>
              <w:rFonts w:ascii="Arial" w:hAnsi="Arial" w:cs="Arial"/>
              <w:noProof/>
              <w:kern w:val="2"/>
              <w:sz w:val="24"/>
              <w:szCs w:val="24"/>
              <w14:ligatures w14:val="standardContextual"/>
            </w:rPr>
          </w:pPr>
          <w:hyperlink w:anchor="_Toc212718087"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_Toc212718087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38</w:t>
            </w:r>
            <w:r w:rsidRPr="00811E18">
              <w:rPr>
                <w:rFonts w:ascii="Arial" w:hAnsi="Arial" w:cs="Arial"/>
                <w:noProof/>
                <w:webHidden/>
                <w:sz w:val="24"/>
                <w:szCs w:val="24"/>
              </w:rPr>
              <w:fldChar w:fldCharType="end"/>
            </w:r>
          </w:hyperlink>
        </w:p>
        <w:p w14:paraId="0E58F424" w14:textId="139D5E65" w:rsidR="00191B43" w:rsidRPr="00811E18" w:rsidRDefault="00191B43">
          <w:pPr>
            <w:pStyle w:val="TOC2"/>
            <w:rPr>
              <w:rFonts w:eastAsiaTheme="minorEastAsia" w:cs="Arial"/>
              <w:noProof/>
              <w:kern w:val="2"/>
              <w14:ligatures w14:val="standardContextual"/>
            </w:rPr>
          </w:pPr>
          <w:hyperlink w:anchor="_Toc212718088" w:history="1">
            <w:r w:rsidRPr="00047360">
              <w:rPr>
                <w:rStyle w:val="Hyperlink"/>
                <w:rFonts w:eastAsiaTheme="majorEastAsia" w:cs="Arial"/>
                <w:noProof/>
              </w:rPr>
              <w:t>Indicator 17: State Systemic Improvement Plan</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_Toc212718088 \h </w:instrText>
            </w:r>
            <w:r w:rsidRPr="00047360">
              <w:rPr>
                <w:rFonts w:cs="Arial"/>
                <w:noProof/>
                <w:webHidden/>
              </w:rPr>
            </w:r>
            <w:r w:rsidRPr="00047360">
              <w:rPr>
                <w:rFonts w:cs="Arial"/>
                <w:noProof/>
                <w:webHidden/>
              </w:rPr>
              <w:fldChar w:fldCharType="separate"/>
            </w:r>
            <w:r w:rsidR="000F39BA">
              <w:rPr>
                <w:rFonts w:cs="Arial"/>
                <w:noProof/>
                <w:webHidden/>
              </w:rPr>
              <w:t>39</w:t>
            </w:r>
            <w:r w:rsidRPr="00047360">
              <w:rPr>
                <w:rFonts w:cs="Arial"/>
                <w:noProof/>
                <w:webHidden/>
              </w:rPr>
              <w:fldChar w:fldCharType="end"/>
            </w:r>
          </w:hyperlink>
        </w:p>
        <w:p w14:paraId="059AB6B7" w14:textId="4D4D6AC4" w:rsidR="00191B43" w:rsidRPr="00811E18" w:rsidRDefault="00191B43">
          <w:pPr>
            <w:pStyle w:val="TOC3"/>
            <w:rPr>
              <w:rFonts w:ascii="Arial" w:hAnsi="Arial" w:cs="Arial"/>
              <w:noProof/>
              <w:kern w:val="2"/>
              <w:sz w:val="24"/>
              <w:szCs w:val="24"/>
              <w14:ligatures w14:val="standardContextual"/>
            </w:rPr>
          </w:pPr>
          <w:hyperlink w:anchor="_Toc212718089" w:history="1">
            <w:r w:rsidRPr="00811E18">
              <w:rPr>
                <w:rStyle w:val="Hyperlink"/>
                <w:rFonts w:ascii="Arial" w:hAnsi="Arial" w:cs="Arial"/>
                <w:noProof/>
                <w:sz w:val="24"/>
                <w:szCs w:val="24"/>
              </w:rPr>
              <w:t>Section A: Data Analysis</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_Toc212718089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39</w:t>
            </w:r>
            <w:r w:rsidRPr="00811E18">
              <w:rPr>
                <w:rFonts w:ascii="Arial" w:hAnsi="Arial" w:cs="Arial"/>
                <w:noProof/>
                <w:webHidden/>
                <w:sz w:val="24"/>
                <w:szCs w:val="24"/>
              </w:rPr>
              <w:fldChar w:fldCharType="end"/>
            </w:r>
          </w:hyperlink>
        </w:p>
        <w:p w14:paraId="1B602F59" w14:textId="2E35B78A" w:rsidR="00191B43" w:rsidRPr="00811E18" w:rsidRDefault="00191B43">
          <w:pPr>
            <w:pStyle w:val="TOC3"/>
            <w:rPr>
              <w:rFonts w:ascii="Arial" w:hAnsi="Arial" w:cs="Arial"/>
              <w:noProof/>
              <w:kern w:val="2"/>
              <w:sz w:val="24"/>
              <w:szCs w:val="24"/>
              <w14:ligatures w14:val="standardContextual"/>
            </w:rPr>
          </w:pPr>
          <w:hyperlink w:anchor="_Toc212718090" w:history="1">
            <w:r w:rsidRPr="00811E18">
              <w:rPr>
                <w:rStyle w:val="Hyperlink"/>
                <w:rFonts w:ascii="Arial" w:hAnsi="Arial" w:cs="Arial"/>
                <w:iCs/>
                <w:noProof/>
                <w:sz w:val="24"/>
                <w:szCs w:val="24"/>
              </w:rPr>
              <w:t>Section B: Implementation, Analysis, and Evaluation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_Toc212718090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40</w:t>
            </w:r>
            <w:r w:rsidRPr="00811E18">
              <w:rPr>
                <w:rFonts w:ascii="Arial" w:hAnsi="Arial" w:cs="Arial"/>
                <w:noProof/>
                <w:webHidden/>
                <w:sz w:val="24"/>
                <w:szCs w:val="24"/>
              </w:rPr>
              <w:fldChar w:fldCharType="end"/>
            </w:r>
          </w:hyperlink>
        </w:p>
        <w:p w14:paraId="54052AE5" w14:textId="665C2289" w:rsidR="00191B43" w:rsidRPr="00811E18" w:rsidRDefault="00191B43">
          <w:pPr>
            <w:pStyle w:val="TOC3"/>
            <w:rPr>
              <w:rFonts w:ascii="Arial" w:hAnsi="Arial" w:cs="Arial"/>
              <w:noProof/>
              <w:kern w:val="2"/>
              <w:sz w:val="24"/>
              <w:szCs w:val="24"/>
              <w14:ligatures w14:val="standardContextual"/>
            </w:rPr>
          </w:pPr>
          <w:hyperlink w:anchor="_Toc212718091" w:history="1">
            <w:r w:rsidRPr="00811E18">
              <w:rPr>
                <w:rStyle w:val="Hyperlink"/>
                <w:rFonts w:ascii="Arial" w:hAnsi="Arial" w:cs="Arial"/>
                <w:noProof/>
                <w:sz w:val="24"/>
                <w:szCs w:val="24"/>
              </w:rPr>
              <w:t>A Summary of Each Infrastructure Improvement Strategy and the Anticipated Outcomes</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_Toc212718091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47</w:t>
            </w:r>
            <w:r w:rsidRPr="00811E18">
              <w:rPr>
                <w:rFonts w:ascii="Arial" w:hAnsi="Arial" w:cs="Arial"/>
                <w:noProof/>
                <w:webHidden/>
                <w:sz w:val="24"/>
                <w:szCs w:val="24"/>
              </w:rPr>
              <w:fldChar w:fldCharType="end"/>
            </w:r>
          </w:hyperlink>
        </w:p>
        <w:p w14:paraId="654B6A8E" w14:textId="313CC63E" w:rsidR="00191B43" w:rsidRPr="00811E18" w:rsidRDefault="00191B43">
          <w:pPr>
            <w:pStyle w:val="TOC3"/>
            <w:rPr>
              <w:rFonts w:ascii="Arial" w:hAnsi="Arial" w:cs="Arial"/>
              <w:noProof/>
              <w:kern w:val="2"/>
              <w:sz w:val="24"/>
              <w:szCs w:val="24"/>
              <w14:ligatures w14:val="standardContextual"/>
            </w:rPr>
          </w:pPr>
          <w:hyperlink w:anchor="_Toc212718092" w:history="1">
            <w:r w:rsidRPr="00811E18">
              <w:rPr>
                <w:rStyle w:val="Hyperlink"/>
                <w:rFonts w:ascii="Arial" w:hAnsi="Arial" w:cs="Arial"/>
                <w:noProof/>
                <w:sz w:val="24"/>
                <w:szCs w:val="24"/>
              </w:rPr>
              <w:t>The Evidence-based Practices Implemented in the Reporting Period</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_Toc212718092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49</w:t>
            </w:r>
            <w:r w:rsidRPr="00811E18">
              <w:rPr>
                <w:rFonts w:ascii="Arial" w:hAnsi="Arial" w:cs="Arial"/>
                <w:noProof/>
                <w:webHidden/>
                <w:sz w:val="24"/>
                <w:szCs w:val="24"/>
              </w:rPr>
              <w:fldChar w:fldCharType="end"/>
            </w:r>
          </w:hyperlink>
        </w:p>
        <w:p w14:paraId="1943C1D9" w14:textId="7BCDD22E" w:rsidR="00191B43" w:rsidRPr="00811E18" w:rsidRDefault="00191B43">
          <w:pPr>
            <w:pStyle w:val="TOC3"/>
            <w:rPr>
              <w:rFonts w:ascii="Arial" w:hAnsi="Arial" w:cs="Arial"/>
              <w:noProof/>
              <w:kern w:val="2"/>
              <w:sz w:val="24"/>
              <w:szCs w:val="24"/>
              <w14:ligatures w14:val="standardContextual"/>
            </w:rPr>
          </w:pPr>
          <w:hyperlink w:anchor="_Toc212718093" w:history="1">
            <w:r w:rsidRPr="00811E18">
              <w:rPr>
                <w:rStyle w:val="Hyperlink"/>
                <w:rFonts w:ascii="Arial" w:hAnsi="Arial" w:cs="Arial"/>
                <w:noProof/>
                <w:sz w:val="24"/>
                <w:szCs w:val="24"/>
              </w:rPr>
              <w:t>A summary of each of the EBPs</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_Toc212718093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49</w:t>
            </w:r>
            <w:r w:rsidRPr="00811E18">
              <w:rPr>
                <w:rFonts w:ascii="Arial" w:hAnsi="Arial" w:cs="Arial"/>
                <w:noProof/>
                <w:webHidden/>
                <w:sz w:val="24"/>
                <w:szCs w:val="24"/>
              </w:rPr>
              <w:fldChar w:fldCharType="end"/>
            </w:r>
          </w:hyperlink>
        </w:p>
        <w:p w14:paraId="577069C3" w14:textId="3972F4F3" w:rsidR="00191B43" w:rsidRPr="00811E18" w:rsidRDefault="00191B43">
          <w:pPr>
            <w:pStyle w:val="TOC3"/>
            <w:rPr>
              <w:rFonts w:ascii="Arial" w:hAnsi="Arial" w:cs="Arial"/>
              <w:noProof/>
              <w:kern w:val="2"/>
              <w:sz w:val="24"/>
              <w:szCs w:val="24"/>
              <w14:ligatures w14:val="standardContextual"/>
            </w:rPr>
          </w:pPr>
          <w:hyperlink w:anchor="_Toc212718094" w:history="1">
            <w:r w:rsidRPr="00811E18">
              <w:rPr>
                <w:rStyle w:val="Hyperlink"/>
                <w:rFonts w:ascii="Arial" w:hAnsi="Arial" w:cs="Arial"/>
                <w:noProof/>
                <w:sz w:val="24"/>
                <w:szCs w:val="24"/>
              </w:rPr>
              <w:t>A Summary of Each of the Evidence-based Practices and Activities</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_Toc212718094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52</w:t>
            </w:r>
            <w:r w:rsidRPr="00811E18">
              <w:rPr>
                <w:rFonts w:ascii="Arial" w:hAnsi="Arial" w:cs="Arial"/>
                <w:noProof/>
                <w:webHidden/>
                <w:sz w:val="24"/>
                <w:szCs w:val="24"/>
              </w:rPr>
              <w:fldChar w:fldCharType="end"/>
            </w:r>
          </w:hyperlink>
        </w:p>
        <w:p w14:paraId="0E964612" w14:textId="4F1613DC" w:rsidR="00191B43" w:rsidRPr="00811E18" w:rsidRDefault="00191B43">
          <w:pPr>
            <w:pStyle w:val="TOC3"/>
            <w:rPr>
              <w:rFonts w:ascii="Arial" w:hAnsi="Arial" w:cs="Arial"/>
              <w:noProof/>
              <w:kern w:val="2"/>
              <w:sz w:val="24"/>
              <w:szCs w:val="24"/>
              <w14:ligatures w14:val="standardContextual"/>
            </w:rPr>
          </w:pPr>
          <w:hyperlink w:anchor="_Toc212718095" w:history="1">
            <w:r w:rsidRPr="00811E18">
              <w:rPr>
                <w:rStyle w:val="Hyperlink"/>
                <w:rFonts w:ascii="Arial" w:hAnsi="Arial" w:cs="Arial"/>
                <w:noProof/>
                <w:sz w:val="24"/>
                <w:szCs w:val="24"/>
              </w:rPr>
              <w:t>Data Collected to Monitor Fidelity of Implementation and to Assess Changes in Practice</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_Toc212718095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54</w:t>
            </w:r>
            <w:r w:rsidRPr="00811E18">
              <w:rPr>
                <w:rFonts w:ascii="Arial" w:hAnsi="Arial" w:cs="Arial"/>
                <w:noProof/>
                <w:webHidden/>
                <w:sz w:val="24"/>
                <w:szCs w:val="24"/>
              </w:rPr>
              <w:fldChar w:fldCharType="end"/>
            </w:r>
          </w:hyperlink>
        </w:p>
        <w:p w14:paraId="360AC70E" w14:textId="57341967" w:rsidR="00191B43" w:rsidRPr="00811E18" w:rsidRDefault="00191B43">
          <w:pPr>
            <w:pStyle w:val="TOC3"/>
            <w:rPr>
              <w:rFonts w:ascii="Arial" w:hAnsi="Arial" w:cs="Arial"/>
              <w:noProof/>
              <w:kern w:val="2"/>
              <w:sz w:val="24"/>
              <w:szCs w:val="24"/>
              <w14:ligatures w14:val="standardContextual"/>
            </w:rPr>
          </w:pPr>
          <w:hyperlink w:anchor="_Toc212718096" w:history="1">
            <w:r w:rsidRPr="00811E18">
              <w:rPr>
                <w:rStyle w:val="Hyperlink"/>
                <w:rFonts w:ascii="Arial" w:hAnsi="Arial" w:cs="Arial"/>
                <w:noProof/>
                <w:sz w:val="24"/>
                <w:szCs w:val="24"/>
              </w:rPr>
              <w:t>Next Steps for each Evidence-Based Practices and the Anticipated Outcomes to be Attained During the Next Reporting Period</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_Toc212718096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55</w:t>
            </w:r>
            <w:r w:rsidRPr="00811E18">
              <w:rPr>
                <w:rFonts w:ascii="Arial" w:hAnsi="Arial" w:cs="Arial"/>
                <w:noProof/>
                <w:webHidden/>
                <w:sz w:val="24"/>
                <w:szCs w:val="24"/>
              </w:rPr>
              <w:fldChar w:fldCharType="end"/>
            </w:r>
          </w:hyperlink>
        </w:p>
        <w:p w14:paraId="5683257F" w14:textId="3C92BB85" w:rsidR="00191B43" w:rsidRPr="00811E18" w:rsidRDefault="00191B43">
          <w:pPr>
            <w:pStyle w:val="TOC3"/>
            <w:rPr>
              <w:rFonts w:ascii="Arial" w:hAnsi="Arial" w:cs="Arial"/>
              <w:noProof/>
              <w:kern w:val="2"/>
              <w:sz w:val="24"/>
              <w:szCs w:val="24"/>
              <w14:ligatures w14:val="standardContextual"/>
            </w:rPr>
          </w:pPr>
          <w:hyperlink w:anchor="_Toc212718097" w:history="1">
            <w:r w:rsidRPr="00811E18">
              <w:rPr>
                <w:rStyle w:val="Hyperlink"/>
                <w:rFonts w:ascii="Arial" w:hAnsi="Arial" w:cs="Arial"/>
                <w:noProof/>
                <w:sz w:val="24"/>
                <w:szCs w:val="24"/>
              </w:rPr>
              <w:t>Section C: Interest Holder Engagement History</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_Toc212718097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57</w:t>
            </w:r>
            <w:r w:rsidRPr="00811E18">
              <w:rPr>
                <w:rFonts w:ascii="Arial" w:hAnsi="Arial" w:cs="Arial"/>
                <w:noProof/>
                <w:webHidden/>
                <w:sz w:val="24"/>
                <w:szCs w:val="24"/>
              </w:rPr>
              <w:fldChar w:fldCharType="end"/>
            </w:r>
          </w:hyperlink>
        </w:p>
        <w:p w14:paraId="004268EF" w14:textId="3B3FF318" w:rsidR="00191B43" w:rsidRPr="00811E18" w:rsidRDefault="00191B43">
          <w:pPr>
            <w:pStyle w:val="TOC2"/>
            <w:rPr>
              <w:rFonts w:eastAsiaTheme="minorEastAsia" w:cs="Arial"/>
              <w:noProof/>
              <w:kern w:val="2"/>
              <w14:ligatures w14:val="standardContextual"/>
            </w:rPr>
          </w:pPr>
          <w:hyperlink w:anchor="_Toc212718098" w:history="1">
            <w:r w:rsidRPr="00047360">
              <w:rPr>
                <w:rStyle w:val="Hyperlink"/>
                <w:rFonts w:eastAsiaTheme="majorEastAsia" w:cs="Arial"/>
                <w:noProof/>
              </w:rPr>
              <w:t>Indicator 18: General Supervision</w:t>
            </w:r>
            <w:r w:rsidRPr="00047360">
              <w:rPr>
                <w:rFonts w:cs="Arial"/>
                <w:noProof/>
                <w:webHidden/>
              </w:rPr>
              <w:tab/>
            </w:r>
            <w:r w:rsidRPr="00047360">
              <w:rPr>
                <w:rFonts w:cs="Arial"/>
                <w:noProof/>
                <w:webHidden/>
              </w:rPr>
              <w:fldChar w:fldCharType="begin"/>
            </w:r>
            <w:r w:rsidRPr="00047360">
              <w:rPr>
                <w:rFonts w:cs="Arial"/>
                <w:noProof/>
                <w:webHidden/>
              </w:rPr>
              <w:instrText xml:space="preserve"> PAGEREF _Toc212718098 \h </w:instrText>
            </w:r>
            <w:r w:rsidRPr="00047360">
              <w:rPr>
                <w:rFonts w:cs="Arial"/>
                <w:noProof/>
                <w:webHidden/>
              </w:rPr>
            </w:r>
            <w:r w:rsidRPr="00047360">
              <w:rPr>
                <w:rFonts w:cs="Arial"/>
                <w:noProof/>
                <w:webHidden/>
              </w:rPr>
              <w:fldChar w:fldCharType="separate"/>
            </w:r>
            <w:r w:rsidR="000F39BA">
              <w:rPr>
                <w:rFonts w:cs="Arial"/>
                <w:noProof/>
                <w:webHidden/>
              </w:rPr>
              <w:t>59</w:t>
            </w:r>
            <w:r w:rsidRPr="00047360">
              <w:rPr>
                <w:rFonts w:cs="Arial"/>
                <w:noProof/>
                <w:webHidden/>
              </w:rPr>
              <w:fldChar w:fldCharType="end"/>
            </w:r>
          </w:hyperlink>
        </w:p>
        <w:p w14:paraId="0EC04C9A" w14:textId="6700F303" w:rsidR="00191B43" w:rsidRPr="00811E18" w:rsidRDefault="00191B43">
          <w:pPr>
            <w:pStyle w:val="TOC3"/>
            <w:rPr>
              <w:rFonts w:ascii="Arial" w:hAnsi="Arial" w:cs="Arial"/>
              <w:noProof/>
              <w:kern w:val="2"/>
              <w:sz w:val="24"/>
              <w:szCs w:val="24"/>
              <w14:ligatures w14:val="standardContextual"/>
            </w:rPr>
          </w:pPr>
          <w:hyperlink w:anchor="_Toc212718099" w:history="1">
            <w:r w:rsidRPr="00811E18">
              <w:rPr>
                <w:rStyle w:val="Hyperlink"/>
                <w:rFonts w:ascii="Arial" w:hAnsi="Arial" w:cs="Arial"/>
                <w:noProof/>
                <w:sz w:val="24"/>
                <w:szCs w:val="24"/>
              </w:rPr>
              <w:t>Description</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_Toc212718099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59</w:t>
            </w:r>
            <w:r w:rsidRPr="00811E18">
              <w:rPr>
                <w:rFonts w:ascii="Arial" w:hAnsi="Arial" w:cs="Arial"/>
                <w:noProof/>
                <w:webHidden/>
                <w:sz w:val="24"/>
                <w:szCs w:val="24"/>
              </w:rPr>
              <w:fldChar w:fldCharType="end"/>
            </w:r>
          </w:hyperlink>
        </w:p>
        <w:p w14:paraId="02477722" w14:textId="49C8F3BE" w:rsidR="00191B43" w:rsidRPr="00811E18" w:rsidRDefault="00191B43">
          <w:pPr>
            <w:pStyle w:val="TOC3"/>
            <w:rPr>
              <w:rFonts w:ascii="Arial" w:hAnsi="Arial" w:cs="Arial"/>
              <w:noProof/>
              <w:kern w:val="2"/>
              <w:sz w:val="24"/>
              <w:szCs w:val="24"/>
              <w14:ligatures w14:val="standardContextual"/>
            </w:rPr>
          </w:pPr>
          <w:hyperlink w:anchor="_Toc212718100" w:history="1">
            <w:r w:rsidRPr="00811E18">
              <w:rPr>
                <w:rStyle w:val="Hyperlink"/>
                <w:rFonts w:ascii="Arial" w:hAnsi="Arial" w:cs="Arial"/>
                <w:noProof/>
                <w:sz w:val="24"/>
                <w:szCs w:val="24"/>
              </w:rPr>
              <w:t>Measurement</w:t>
            </w:r>
            <w:r w:rsidRPr="00811E18">
              <w:rPr>
                <w:rFonts w:ascii="Arial" w:hAnsi="Arial" w:cs="Arial"/>
                <w:noProof/>
                <w:webHidden/>
                <w:sz w:val="24"/>
                <w:szCs w:val="24"/>
              </w:rPr>
              <w:tab/>
            </w:r>
            <w:r w:rsidRPr="00811E18">
              <w:rPr>
                <w:rFonts w:ascii="Arial" w:hAnsi="Arial" w:cs="Arial"/>
                <w:noProof/>
                <w:webHidden/>
                <w:sz w:val="24"/>
                <w:szCs w:val="24"/>
              </w:rPr>
              <w:fldChar w:fldCharType="begin"/>
            </w:r>
            <w:r w:rsidRPr="00811E18">
              <w:rPr>
                <w:rFonts w:ascii="Arial" w:hAnsi="Arial" w:cs="Arial"/>
                <w:noProof/>
                <w:webHidden/>
                <w:sz w:val="24"/>
                <w:szCs w:val="24"/>
              </w:rPr>
              <w:instrText xml:space="preserve"> PAGEREF _Toc212718100 \h </w:instrText>
            </w:r>
            <w:r w:rsidRPr="00811E18">
              <w:rPr>
                <w:rFonts w:ascii="Arial" w:hAnsi="Arial" w:cs="Arial"/>
                <w:noProof/>
                <w:webHidden/>
                <w:sz w:val="24"/>
                <w:szCs w:val="24"/>
              </w:rPr>
            </w:r>
            <w:r w:rsidRPr="00811E18">
              <w:rPr>
                <w:rFonts w:ascii="Arial" w:hAnsi="Arial" w:cs="Arial"/>
                <w:noProof/>
                <w:webHidden/>
                <w:sz w:val="24"/>
                <w:szCs w:val="24"/>
              </w:rPr>
              <w:fldChar w:fldCharType="separate"/>
            </w:r>
            <w:r w:rsidR="000F39BA">
              <w:rPr>
                <w:rFonts w:ascii="Arial" w:hAnsi="Arial" w:cs="Arial"/>
                <w:noProof/>
                <w:webHidden/>
                <w:sz w:val="24"/>
                <w:szCs w:val="24"/>
              </w:rPr>
              <w:t>59</w:t>
            </w:r>
            <w:r w:rsidRPr="00811E18">
              <w:rPr>
                <w:rFonts w:ascii="Arial" w:hAnsi="Arial" w:cs="Arial"/>
                <w:noProof/>
                <w:webHidden/>
                <w:sz w:val="24"/>
                <w:szCs w:val="24"/>
              </w:rPr>
              <w:fldChar w:fldCharType="end"/>
            </w:r>
          </w:hyperlink>
        </w:p>
        <w:p w14:paraId="0E27B00A" w14:textId="0AB20444" w:rsidR="00EB1E42" w:rsidRPr="00D55FA1" w:rsidRDefault="00EB1E42" w:rsidP="00EB1E42">
          <w:pPr>
            <w:rPr>
              <w:rFonts w:cs="Arial"/>
            </w:rPr>
          </w:pPr>
          <w:r w:rsidRPr="00047360">
            <w:rPr>
              <w:rFonts w:cs="Arial"/>
              <w:b/>
              <w:bCs/>
              <w:noProof/>
              <w:color w:val="2B579A"/>
              <w:shd w:val="clear" w:color="auto" w:fill="E6E6E6"/>
            </w:rPr>
            <w:fldChar w:fldCharType="end"/>
          </w:r>
        </w:p>
      </w:sdtContent>
    </w:sdt>
    <w:p w14:paraId="60061E4C" w14:textId="77777777" w:rsidR="00EB1E42" w:rsidRPr="00D55FA1" w:rsidRDefault="00EB1E42" w:rsidP="005E62B2">
      <w:r w:rsidRPr="00D55FA1">
        <w:br w:type="page"/>
      </w:r>
    </w:p>
    <w:p w14:paraId="311CB772" w14:textId="77777777" w:rsidR="00EB1E42" w:rsidRPr="00D55FA1" w:rsidRDefault="00EB1E42" w:rsidP="00173299">
      <w:pPr>
        <w:pStyle w:val="Heading2"/>
      </w:pPr>
      <w:bookmarkStart w:id="93" w:name="_Toc57198990"/>
      <w:bookmarkStart w:id="94" w:name="_Toc212718027"/>
      <w:r w:rsidRPr="00D55FA1">
        <w:lastRenderedPageBreak/>
        <w:t>Special Education in California</w:t>
      </w:r>
      <w:bookmarkEnd w:id="93"/>
      <w:bookmarkEnd w:id="94"/>
    </w:p>
    <w:p w14:paraId="7EE00DA4" w14:textId="33A6A1D9" w:rsidR="00EB1E42" w:rsidRPr="00D55FA1" w:rsidRDefault="00EB1E42" w:rsidP="00A869FA">
      <w:pPr>
        <w:spacing w:after="240"/>
      </w:pPr>
      <w:r>
        <w:t>The</w:t>
      </w:r>
      <w:r w:rsidR="00D23A37">
        <w:t xml:space="preserve"> </w:t>
      </w:r>
      <w:r>
        <w:t>C</w:t>
      </w:r>
      <w:r w:rsidR="0028426C">
        <w:t xml:space="preserve">alifornia </w:t>
      </w:r>
      <w:r>
        <w:t>D</w:t>
      </w:r>
      <w:r w:rsidR="0028426C">
        <w:t xml:space="preserve">epartment of </w:t>
      </w:r>
      <w:r>
        <w:t>E</w:t>
      </w:r>
      <w:r w:rsidR="0028426C">
        <w:t>ducation</w:t>
      </w:r>
      <w:r>
        <w:t xml:space="preserve"> </w:t>
      </w:r>
      <w:r w:rsidR="0028426C">
        <w:t xml:space="preserve">(CDE) </w:t>
      </w:r>
      <w:r>
        <w:t xml:space="preserve">provides state leadership and policy guidance to </w:t>
      </w:r>
      <w:r w:rsidR="406B5CCD">
        <w:t>l</w:t>
      </w:r>
      <w:r w:rsidR="0028426C">
        <w:t xml:space="preserve">ocal </w:t>
      </w:r>
      <w:r w:rsidR="157D4367">
        <w:t>e</w:t>
      </w:r>
      <w:r w:rsidR="0028426C">
        <w:t xml:space="preserve">ducational </w:t>
      </w:r>
      <w:r w:rsidR="6BB2AA9C">
        <w:t>a</w:t>
      </w:r>
      <w:r w:rsidR="0028426C">
        <w:t>gencie</w:t>
      </w:r>
      <w:r>
        <w:t xml:space="preserve">s </w:t>
      </w:r>
      <w:r w:rsidR="0028426C">
        <w:t xml:space="preserve">(LEAs) </w:t>
      </w:r>
      <w:r>
        <w:t xml:space="preserve">for special education programs and services </w:t>
      </w:r>
      <w:r w:rsidR="63DCDF6E">
        <w:t>to</w:t>
      </w:r>
      <w:r>
        <w:t xml:space="preserve"> </w:t>
      </w:r>
      <w:r w:rsidR="0028426C">
        <w:t>s</w:t>
      </w:r>
      <w:r w:rsidR="00EF60BC">
        <w:t>t</w:t>
      </w:r>
      <w:r w:rsidR="0028426C">
        <w:t>udents with disabilities (S</w:t>
      </w:r>
      <w:r w:rsidR="1C2B12D2">
        <w:t>WDs</w:t>
      </w:r>
      <w:r w:rsidR="0028426C">
        <w:t>)</w:t>
      </w:r>
      <w:r w:rsidR="45B9746F">
        <w:t xml:space="preserve"> from </w:t>
      </w:r>
      <w:r>
        <w:t xml:space="preserve">birth to </w:t>
      </w:r>
      <w:r w:rsidR="007258AA">
        <w:t xml:space="preserve">age </w:t>
      </w:r>
      <w:r>
        <w:t xml:space="preserve">twenty-two. Special education is defined </w:t>
      </w:r>
      <w:r w:rsidR="00D22D68">
        <w:t xml:space="preserve">by Title 34 Code of Federal Regulations </w:t>
      </w:r>
      <w:r w:rsidR="00D22D68">
        <w:rPr>
          <w:rFonts w:cs="Arial"/>
        </w:rPr>
        <w:t>§</w:t>
      </w:r>
      <w:r w:rsidR="00D22D68">
        <w:t xml:space="preserve">300.39, </w:t>
      </w:r>
      <w:r>
        <w:t xml:space="preserve">as specially designed instruction and services, at no cost to parents, to meet the unique needs of </w:t>
      </w:r>
      <w:r w:rsidR="6720E096">
        <w:t>SWDs</w:t>
      </w:r>
      <w:r>
        <w:t>. Special education services are available in a variety of settings, including early learning and care, preschool, regular classrooms, classrooms that emphasize specially designed instruction, the community, and the work environment.</w:t>
      </w:r>
    </w:p>
    <w:p w14:paraId="0BFAFA31" w14:textId="20CB9D53" w:rsidR="00EB1E42" w:rsidRPr="00D55FA1" w:rsidRDefault="00EB1E42" w:rsidP="00A869FA">
      <w:pPr>
        <w:spacing w:after="240"/>
      </w:pPr>
      <w:r>
        <w:t xml:space="preserve">The CDE also provides families with information on the education of </w:t>
      </w:r>
      <w:r w:rsidR="00E34275">
        <w:t>SWD</w:t>
      </w:r>
      <w:r w:rsidR="5F67088F">
        <w:t>s</w:t>
      </w:r>
      <w:r w:rsidR="00E34275">
        <w:t xml:space="preserve"> </w:t>
      </w:r>
      <w:r>
        <w:t xml:space="preserve">and works cooperatively with other state agencies to provide a range of services from family-centered services for infant and preschool children with disabilities to planned steps for transition from high school to employment and quality adult life. The CDE responds to consumer complaints and administers programs related to the federal Individuals with Disabilities Education Act of 2004 (IDEA) and </w:t>
      </w:r>
      <w:proofErr w:type="gramStart"/>
      <w:r>
        <w:t>the Every</w:t>
      </w:r>
      <w:proofErr w:type="gramEnd"/>
      <w:r>
        <w:t xml:space="preserve"> Student Succeeds Act for </w:t>
      </w:r>
      <w:r w:rsidR="00E34275">
        <w:t xml:space="preserve">SWDs </w:t>
      </w:r>
      <w:r>
        <w:t>in California.</w:t>
      </w:r>
    </w:p>
    <w:p w14:paraId="1E05710A" w14:textId="77777777" w:rsidR="00EB1E42" w:rsidRPr="00D55FA1" w:rsidRDefault="00633165" w:rsidP="00173299">
      <w:pPr>
        <w:pStyle w:val="Heading2"/>
      </w:pPr>
      <w:bookmarkStart w:id="95" w:name="_Toc212718028"/>
      <w:r w:rsidRPr="00D55FA1">
        <w:t>Accountability and Data Collection</w:t>
      </w:r>
      <w:bookmarkEnd w:id="95"/>
    </w:p>
    <w:p w14:paraId="21578B4A" w14:textId="70A3774B" w:rsidR="00633165" w:rsidRPr="00D55FA1" w:rsidRDefault="00633165" w:rsidP="00A869FA">
      <w:pPr>
        <w:spacing w:after="240"/>
      </w:pPr>
      <w:r>
        <w:t xml:space="preserve">In accordance with the IDEA, California is required to report annually to </w:t>
      </w:r>
      <w:r w:rsidR="23DF54B7">
        <w:t xml:space="preserve">the </w:t>
      </w:r>
      <w:r w:rsidR="005F1A23">
        <w:t>US Department of Education (</w:t>
      </w:r>
      <w:r>
        <w:t>ED</w:t>
      </w:r>
      <w:r w:rsidR="005F1A23">
        <w:t>)</w:t>
      </w:r>
      <w:r>
        <w:t xml:space="preserve"> on California’s performance and progress meeting targets defined in the </w:t>
      </w:r>
      <w:r w:rsidR="00146046">
        <w:t>State Performance Plan (</w:t>
      </w:r>
      <w:r>
        <w:t>SPP</w:t>
      </w:r>
      <w:r w:rsidR="00146046">
        <w:t>)</w:t>
      </w:r>
      <w:r>
        <w:t>. This report is the State’s Annual Performance Report (APR). The APR requires the CDE to report on 1</w:t>
      </w:r>
      <w:r w:rsidR="00341B2F">
        <w:t>8</w:t>
      </w:r>
      <w:r>
        <w:t xml:space="preserve"> indicators (Table 1) that examine a comprehensive array of compliance and performance requirements relating to the provision of special education and related services. The California Longitudinal Pupil Achievement Data System (CALPADS) is the data reporting and retrieval systems used by the CDE for </w:t>
      </w:r>
      <w:r w:rsidR="5F2CFEBF">
        <w:t>SWDs</w:t>
      </w:r>
      <w:r>
        <w:t>.</w:t>
      </w:r>
      <w:r w:rsidR="5B202B0B">
        <w:t xml:space="preserve"> </w:t>
      </w:r>
      <w:r>
        <w:t>CALPADS provides LEAs a statewide standard for maintaining a core of special education data at the local level that is used for accountability reporting and to meet statutory and programmatic needs in special education.</w:t>
      </w:r>
    </w:p>
    <w:p w14:paraId="7B636255" w14:textId="71008EDD" w:rsidR="00EB1E42" w:rsidRPr="00D55FA1" w:rsidRDefault="00633165" w:rsidP="7E305038">
      <w:pPr>
        <w:spacing w:after="100" w:afterAutospacing="1"/>
      </w:pPr>
      <w:r>
        <w:t xml:space="preserve">The CDE is required to publish the APR for public review. The current APR reflects data collected during </w:t>
      </w:r>
      <w:r w:rsidR="008D4418">
        <w:t>Federal Fiscal Year (</w:t>
      </w:r>
      <w:r>
        <w:t>FFY</w:t>
      </w:r>
      <w:r w:rsidR="008D4418">
        <w:t>)</w:t>
      </w:r>
      <w:r>
        <w:t xml:space="preserve"> 202</w:t>
      </w:r>
      <w:r w:rsidR="00453161">
        <w:t>4</w:t>
      </w:r>
      <w:r>
        <w:t>, which is equivalent to California’s school year 202</w:t>
      </w:r>
      <w:r w:rsidR="00453161">
        <w:t>4</w:t>
      </w:r>
      <w:r>
        <w:t>–2</w:t>
      </w:r>
      <w:r w:rsidR="00453161">
        <w:t>5</w:t>
      </w:r>
      <w:r>
        <w:t xml:space="preserve">. Indicators 1, 2, and 4 </w:t>
      </w:r>
      <w:r w:rsidR="00F56D57">
        <w:t>(graduation, dropout</w:t>
      </w:r>
      <w:r w:rsidR="087CE6F2">
        <w:t>,</w:t>
      </w:r>
      <w:r w:rsidR="00F56D57">
        <w:t xml:space="preserve"> and expulsion/suspension rates, respectively) </w:t>
      </w:r>
      <w:r>
        <w:t>are reported in lag years using data from school year 20</w:t>
      </w:r>
      <w:r w:rsidR="009021A7">
        <w:t>2</w:t>
      </w:r>
      <w:r w:rsidR="00453161">
        <w:t>3</w:t>
      </w:r>
      <w:r>
        <w:t>–2</w:t>
      </w:r>
      <w:r w:rsidR="00453161">
        <w:t>4</w:t>
      </w:r>
      <w:r>
        <w:t>. The 1</w:t>
      </w:r>
      <w:r w:rsidR="00341B2F">
        <w:t>8</w:t>
      </w:r>
      <w:r>
        <w:t xml:space="preserve"> federal indicators include 11 performance indicators, </w:t>
      </w:r>
      <w:r w:rsidR="00341B2F">
        <w:t>6</w:t>
      </w:r>
      <w:r>
        <w:t xml:space="preserve"> compliance indicators, and 1 indicator with both performance and compliance components (Indicator 4). All compliance indicator targets are set by the ED at either 0 or 100 percent. Performance indicator targets were established based on recommendations </w:t>
      </w:r>
      <w:r w:rsidR="00F56D57">
        <w:t xml:space="preserve">from interested </w:t>
      </w:r>
      <w:r w:rsidR="00A10B94">
        <w:t>parties and</w:t>
      </w:r>
      <w:r>
        <w:t xml:space="preserve"> approved by the </w:t>
      </w:r>
      <w:r w:rsidR="00F3420C">
        <w:t>State Board of Education (</w:t>
      </w:r>
      <w:r>
        <w:t>SBE</w:t>
      </w:r>
      <w:r w:rsidR="00F3420C">
        <w:t>)</w:t>
      </w:r>
      <w:r>
        <w:t xml:space="preserve"> in November 2021 (Table </w:t>
      </w:r>
      <w:r w:rsidR="004C70F4">
        <w:t>4</w:t>
      </w:r>
      <w:r>
        <w:t>)</w:t>
      </w:r>
      <w:r w:rsidR="00D448D5">
        <w:t>.</w:t>
      </w:r>
      <w:r>
        <w:br/>
      </w:r>
    </w:p>
    <w:p w14:paraId="436F48A5" w14:textId="5DC63276" w:rsidR="008C485B" w:rsidRPr="00D55FA1" w:rsidRDefault="00EB1E42" w:rsidP="005E62B2">
      <w:pPr>
        <w:spacing w:after="240"/>
      </w:pPr>
      <w:r w:rsidRPr="008C485B">
        <w:rPr>
          <w:b/>
          <w:bCs/>
        </w:rPr>
        <w:lastRenderedPageBreak/>
        <w:t>Table 1: California State Indicators</w:t>
      </w:r>
    </w:p>
    <w:tbl>
      <w:tblPr>
        <w:tblStyle w:val="TableGrid"/>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A list of the California State Indicators"/>
      </w:tblPr>
      <w:tblGrid>
        <w:gridCol w:w="2093"/>
        <w:gridCol w:w="780"/>
        <w:gridCol w:w="7775"/>
      </w:tblGrid>
      <w:tr w:rsidR="00EB1E42" w:rsidRPr="00D55FA1" w14:paraId="3B616965" w14:textId="77777777" w:rsidTr="00F00D5D">
        <w:trPr>
          <w:cantSplit/>
          <w:trHeight w:val="353"/>
          <w:tblHeader/>
          <w:jc w:val="center"/>
        </w:trPr>
        <w:tc>
          <w:tcPr>
            <w:tcW w:w="2093" w:type="dxa"/>
            <w:hideMark/>
          </w:tcPr>
          <w:p w14:paraId="162E2F09" w14:textId="77777777" w:rsidR="00EB1E42" w:rsidRPr="00D55FA1" w:rsidRDefault="00EB1E42" w:rsidP="00704E41">
            <w:pPr>
              <w:jc w:val="center"/>
              <w:rPr>
                <w:rFonts w:cs="Arial"/>
                <w:b/>
              </w:rPr>
            </w:pPr>
            <w:r w:rsidRPr="00D55FA1">
              <w:rPr>
                <w:rFonts w:cs="Arial"/>
                <w:b/>
              </w:rPr>
              <w:t>Indicator Type</w:t>
            </w:r>
          </w:p>
        </w:tc>
        <w:tc>
          <w:tcPr>
            <w:tcW w:w="780" w:type="dxa"/>
            <w:hideMark/>
          </w:tcPr>
          <w:p w14:paraId="32AFB29E" w14:textId="77777777" w:rsidR="00EB1E42" w:rsidRPr="00D55FA1" w:rsidRDefault="00EB1E42" w:rsidP="00704E41">
            <w:pPr>
              <w:jc w:val="center"/>
              <w:rPr>
                <w:rFonts w:cs="Arial"/>
                <w:b/>
              </w:rPr>
            </w:pPr>
            <w:r w:rsidRPr="00D55FA1">
              <w:rPr>
                <w:rFonts w:cs="Arial"/>
                <w:b/>
              </w:rPr>
              <w:t>No.</w:t>
            </w:r>
          </w:p>
        </w:tc>
        <w:tc>
          <w:tcPr>
            <w:tcW w:w="7775" w:type="dxa"/>
            <w:hideMark/>
          </w:tcPr>
          <w:p w14:paraId="31FF54C8" w14:textId="77777777" w:rsidR="00EB1E42" w:rsidRPr="00D55FA1" w:rsidRDefault="00EB1E42" w:rsidP="00704E41">
            <w:pPr>
              <w:jc w:val="center"/>
              <w:rPr>
                <w:rFonts w:cs="Arial"/>
                <w:b/>
              </w:rPr>
            </w:pPr>
            <w:r w:rsidRPr="00D55FA1">
              <w:rPr>
                <w:rFonts w:cs="Arial"/>
                <w:b/>
              </w:rPr>
              <w:t>Description</w:t>
            </w:r>
          </w:p>
        </w:tc>
      </w:tr>
      <w:tr w:rsidR="00EB1E42" w:rsidRPr="00D55FA1" w14:paraId="65430FCD" w14:textId="77777777" w:rsidTr="00F00D5D">
        <w:trPr>
          <w:cantSplit/>
          <w:trHeight w:val="288"/>
          <w:jc w:val="center"/>
        </w:trPr>
        <w:tc>
          <w:tcPr>
            <w:tcW w:w="2093" w:type="dxa"/>
            <w:hideMark/>
          </w:tcPr>
          <w:p w14:paraId="75FBBD04" w14:textId="77777777" w:rsidR="00EB1E42" w:rsidRPr="00D55FA1" w:rsidRDefault="00EB1E42" w:rsidP="00704E41">
            <w:pPr>
              <w:rPr>
                <w:rFonts w:cs="Arial"/>
              </w:rPr>
            </w:pPr>
            <w:r w:rsidRPr="00D55FA1">
              <w:rPr>
                <w:rFonts w:cs="Arial"/>
              </w:rPr>
              <w:t>Performance</w:t>
            </w:r>
          </w:p>
        </w:tc>
        <w:tc>
          <w:tcPr>
            <w:tcW w:w="780" w:type="dxa"/>
            <w:hideMark/>
          </w:tcPr>
          <w:p w14:paraId="649841BE" w14:textId="77777777" w:rsidR="00EB1E42" w:rsidRPr="00D55FA1" w:rsidRDefault="00EB1E42" w:rsidP="00704E41">
            <w:pPr>
              <w:tabs>
                <w:tab w:val="right" w:pos="762"/>
              </w:tabs>
              <w:jc w:val="center"/>
              <w:rPr>
                <w:rFonts w:cs="Arial"/>
              </w:rPr>
            </w:pPr>
            <w:r w:rsidRPr="00D55FA1">
              <w:rPr>
                <w:rFonts w:cs="Arial"/>
              </w:rPr>
              <w:t>1</w:t>
            </w:r>
          </w:p>
        </w:tc>
        <w:tc>
          <w:tcPr>
            <w:tcW w:w="7775" w:type="dxa"/>
            <w:hideMark/>
          </w:tcPr>
          <w:p w14:paraId="59739A40" w14:textId="77777777" w:rsidR="00EB1E42" w:rsidRPr="00D55FA1" w:rsidRDefault="00EB1E42" w:rsidP="00704E41">
            <w:pPr>
              <w:tabs>
                <w:tab w:val="right" w:pos="762"/>
              </w:tabs>
              <w:rPr>
                <w:rFonts w:cs="Arial"/>
              </w:rPr>
            </w:pPr>
            <w:r w:rsidRPr="00D55FA1">
              <w:rPr>
                <w:rFonts w:cs="Arial"/>
              </w:rPr>
              <w:t>Graduation Rates</w:t>
            </w:r>
          </w:p>
        </w:tc>
      </w:tr>
      <w:tr w:rsidR="00EB1E42" w:rsidRPr="00D55FA1" w14:paraId="64BE0F88" w14:textId="77777777" w:rsidTr="00F00D5D">
        <w:trPr>
          <w:cantSplit/>
          <w:trHeight w:val="288"/>
          <w:jc w:val="center"/>
        </w:trPr>
        <w:tc>
          <w:tcPr>
            <w:tcW w:w="2093" w:type="dxa"/>
            <w:hideMark/>
          </w:tcPr>
          <w:p w14:paraId="2CE6F9BE" w14:textId="77777777" w:rsidR="00EB1E42" w:rsidRPr="00D55FA1" w:rsidRDefault="00EB1E42" w:rsidP="00704E41">
            <w:pPr>
              <w:rPr>
                <w:rFonts w:cs="Arial"/>
              </w:rPr>
            </w:pPr>
            <w:r w:rsidRPr="00D55FA1">
              <w:rPr>
                <w:rFonts w:cs="Arial"/>
              </w:rPr>
              <w:t>Performance</w:t>
            </w:r>
          </w:p>
        </w:tc>
        <w:tc>
          <w:tcPr>
            <w:tcW w:w="780" w:type="dxa"/>
            <w:hideMark/>
          </w:tcPr>
          <w:p w14:paraId="18F999B5" w14:textId="77777777" w:rsidR="00EB1E42" w:rsidRPr="00D55FA1" w:rsidRDefault="00EB1E42" w:rsidP="00704E41">
            <w:pPr>
              <w:tabs>
                <w:tab w:val="right" w:pos="762"/>
              </w:tabs>
              <w:jc w:val="center"/>
              <w:rPr>
                <w:rFonts w:cs="Arial"/>
              </w:rPr>
            </w:pPr>
            <w:r w:rsidRPr="00D55FA1">
              <w:rPr>
                <w:rFonts w:cs="Arial"/>
              </w:rPr>
              <w:t>2</w:t>
            </w:r>
          </w:p>
        </w:tc>
        <w:tc>
          <w:tcPr>
            <w:tcW w:w="7775" w:type="dxa"/>
            <w:hideMark/>
          </w:tcPr>
          <w:p w14:paraId="072830C6" w14:textId="77777777" w:rsidR="00EB1E42" w:rsidRPr="00D55FA1" w:rsidRDefault="00EB1E42" w:rsidP="00704E41">
            <w:pPr>
              <w:tabs>
                <w:tab w:val="right" w:pos="762"/>
              </w:tabs>
              <w:rPr>
                <w:rFonts w:cs="Arial"/>
              </w:rPr>
            </w:pPr>
            <w:r w:rsidRPr="00D55FA1">
              <w:rPr>
                <w:rFonts w:cs="Arial"/>
              </w:rPr>
              <w:t>Dropout Rates</w:t>
            </w:r>
          </w:p>
        </w:tc>
      </w:tr>
      <w:tr w:rsidR="00EB1E42" w:rsidRPr="00D55FA1" w14:paraId="2048DA78" w14:textId="77777777" w:rsidTr="00F00D5D">
        <w:trPr>
          <w:cantSplit/>
          <w:trHeight w:val="288"/>
          <w:jc w:val="center"/>
        </w:trPr>
        <w:tc>
          <w:tcPr>
            <w:tcW w:w="2093" w:type="dxa"/>
            <w:hideMark/>
          </w:tcPr>
          <w:p w14:paraId="631A2A21" w14:textId="77777777" w:rsidR="00EB1E42" w:rsidRPr="00D55FA1" w:rsidRDefault="00EB1E42" w:rsidP="00704E41">
            <w:pPr>
              <w:rPr>
                <w:rFonts w:cs="Arial"/>
              </w:rPr>
            </w:pPr>
            <w:r w:rsidRPr="00D55FA1">
              <w:rPr>
                <w:rFonts w:cs="Arial"/>
              </w:rPr>
              <w:t>Performance</w:t>
            </w:r>
          </w:p>
        </w:tc>
        <w:tc>
          <w:tcPr>
            <w:tcW w:w="780" w:type="dxa"/>
            <w:hideMark/>
          </w:tcPr>
          <w:p w14:paraId="5FCD5EC4" w14:textId="77777777" w:rsidR="00EB1E42" w:rsidRPr="00D55FA1" w:rsidRDefault="00EB1E42" w:rsidP="00704E41">
            <w:pPr>
              <w:tabs>
                <w:tab w:val="right" w:pos="762"/>
              </w:tabs>
              <w:jc w:val="center"/>
              <w:rPr>
                <w:rFonts w:cs="Arial"/>
              </w:rPr>
            </w:pPr>
            <w:r w:rsidRPr="00D55FA1">
              <w:rPr>
                <w:rFonts w:cs="Arial"/>
              </w:rPr>
              <w:t>3</w:t>
            </w:r>
          </w:p>
        </w:tc>
        <w:tc>
          <w:tcPr>
            <w:tcW w:w="7775" w:type="dxa"/>
            <w:hideMark/>
          </w:tcPr>
          <w:p w14:paraId="1CCC601F" w14:textId="77777777" w:rsidR="00EB1E42" w:rsidRPr="00D55FA1" w:rsidRDefault="00EB1E42" w:rsidP="00704E41">
            <w:pPr>
              <w:tabs>
                <w:tab w:val="right" w:pos="762"/>
              </w:tabs>
              <w:rPr>
                <w:rFonts w:cs="Arial"/>
              </w:rPr>
            </w:pPr>
            <w:r w:rsidRPr="00D55FA1">
              <w:rPr>
                <w:rFonts w:cs="Arial"/>
              </w:rPr>
              <w:t>Statewide Assessments</w:t>
            </w:r>
          </w:p>
        </w:tc>
      </w:tr>
      <w:tr w:rsidR="00EB1E42" w:rsidRPr="00D55FA1" w14:paraId="5BE8794E" w14:textId="77777777" w:rsidTr="00F00D5D">
        <w:trPr>
          <w:cantSplit/>
          <w:trHeight w:val="288"/>
          <w:jc w:val="center"/>
        </w:trPr>
        <w:tc>
          <w:tcPr>
            <w:tcW w:w="2093" w:type="dxa"/>
            <w:hideMark/>
          </w:tcPr>
          <w:p w14:paraId="6F956830" w14:textId="77777777" w:rsidR="00EB1E42" w:rsidRPr="00D55FA1" w:rsidRDefault="00EB1E42" w:rsidP="00704E41">
            <w:pPr>
              <w:rPr>
                <w:rFonts w:cs="Arial"/>
              </w:rPr>
            </w:pPr>
            <w:r w:rsidRPr="00D55FA1">
              <w:rPr>
                <w:rFonts w:cs="Arial"/>
              </w:rPr>
              <w:t>Performance</w:t>
            </w:r>
          </w:p>
        </w:tc>
        <w:tc>
          <w:tcPr>
            <w:tcW w:w="780" w:type="dxa"/>
            <w:hideMark/>
          </w:tcPr>
          <w:p w14:paraId="40CF0299" w14:textId="77777777" w:rsidR="00EB1E42" w:rsidRPr="00D55FA1" w:rsidRDefault="00EB1E42" w:rsidP="00704E41">
            <w:pPr>
              <w:tabs>
                <w:tab w:val="right" w:pos="762"/>
              </w:tabs>
              <w:jc w:val="center"/>
              <w:rPr>
                <w:rFonts w:cs="Arial"/>
              </w:rPr>
            </w:pPr>
            <w:r w:rsidRPr="00D55FA1">
              <w:rPr>
                <w:rFonts w:cs="Arial"/>
              </w:rPr>
              <w:t>3A</w:t>
            </w:r>
          </w:p>
        </w:tc>
        <w:tc>
          <w:tcPr>
            <w:tcW w:w="7775" w:type="dxa"/>
            <w:hideMark/>
          </w:tcPr>
          <w:p w14:paraId="2EBD84B8" w14:textId="77777777" w:rsidR="00EB1E42" w:rsidRPr="00D55FA1" w:rsidRDefault="00EB1E42" w:rsidP="00704E41">
            <w:pPr>
              <w:tabs>
                <w:tab w:val="right" w:pos="762"/>
              </w:tabs>
              <w:rPr>
                <w:rFonts w:cs="Arial"/>
              </w:rPr>
            </w:pPr>
            <w:r w:rsidRPr="00D55FA1">
              <w:rPr>
                <w:rFonts w:cs="Arial"/>
              </w:rPr>
              <w:t>Participation for Students with Disabilities</w:t>
            </w:r>
          </w:p>
        </w:tc>
      </w:tr>
      <w:tr w:rsidR="00EB1E42" w:rsidRPr="00D55FA1" w14:paraId="2484D1A1" w14:textId="77777777" w:rsidTr="00F00D5D">
        <w:trPr>
          <w:cantSplit/>
          <w:trHeight w:val="288"/>
          <w:jc w:val="center"/>
        </w:trPr>
        <w:tc>
          <w:tcPr>
            <w:tcW w:w="2093" w:type="dxa"/>
            <w:hideMark/>
          </w:tcPr>
          <w:p w14:paraId="43C01E9C" w14:textId="77777777" w:rsidR="00EB1E42" w:rsidRPr="00D55FA1" w:rsidRDefault="00EB1E42" w:rsidP="00704E41">
            <w:pPr>
              <w:rPr>
                <w:rFonts w:cs="Arial"/>
              </w:rPr>
            </w:pPr>
            <w:r w:rsidRPr="00D55FA1">
              <w:rPr>
                <w:rFonts w:cs="Arial"/>
              </w:rPr>
              <w:t>Performance</w:t>
            </w:r>
          </w:p>
        </w:tc>
        <w:tc>
          <w:tcPr>
            <w:tcW w:w="780" w:type="dxa"/>
            <w:hideMark/>
          </w:tcPr>
          <w:p w14:paraId="57C7C788" w14:textId="77777777" w:rsidR="00EB1E42" w:rsidRPr="00D55FA1" w:rsidRDefault="00EB1E42" w:rsidP="00704E41">
            <w:pPr>
              <w:tabs>
                <w:tab w:val="right" w:pos="762"/>
              </w:tabs>
              <w:jc w:val="center"/>
              <w:rPr>
                <w:rFonts w:cs="Arial"/>
                <w:b/>
              </w:rPr>
            </w:pPr>
            <w:r w:rsidRPr="00D55FA1">
              <w:rPr>
                <w:rFonts w:cs="Arial"/>
              </w:rPr>
              <w:t>3B</w:t>
            </w:r>
          </w:p>
        </w:tc>
        <w:tc>
          <w:tcPr>
            <w:tcW w:w="7775" w:type="dxa"/>
            <w:hideMark/>
          </w:tcPr>
          <w:p w14:paraId="473128C7" w14:textId="77777777" w:rsidR="00EB1E42" w:rsidRPr="00D55FA1" w:rsidRDefault="00EB1E42" w:rsidP="00704E41">
            <w:pPr>
              <w:tabs>
                <w:tab w:val="right" w:pos="762"/>
              </w:tabs>
              <w:rPr>
                <w:rFonts w:cs="Arial"/>
              </w:rPr>
            </w:pPr>
            <w:r w:rsidRPr="00D55FA1">
              <w:rPr>
                <w:rFonts w:cs="Arial"/>
              </w:rPr>
              <w:t>Proficiency for Students with Disabilities against grade level academic standards</w:t>
            </w:r>
          </w:p>
        </w:tc>
      </w:tr>
      <w:tr w:rsidR="00EB1E42" w:rsidRPr="00D55FA1" w14:paraId="2C441A56" w14:textId="77777777" w:rsidTr="00F00D5D">
        <w:trPr>
          <w:cantSplit/>
          <w:trHeight w:val="288"/>
          <w:jc w:val="center"/>
        </w:trPr>
        <w:tc>
          <w:tcPr>
            <w:tcW w:w="2093" w:type="dxa"/>
            <w:hideMark/>
          </w:tcPr>
          <w:p w14:paraId="6A1C3ED8" w14:textId="77777777" w:rsidR="00EB1E42" w:rsidRPr="00D55FA1" w:rsidRDefault="00EB1E42" w:rsidP="00704E41">
            <w:pPr>
              <w:rPr>
                <w:rFonts w:cs="Arial"/>
              </w:rPr>
            </w:pPr>
            <w:r w:rsidRPr="00D55FA1">
              <w:rPr>
                <w:rFonts w:cs="Arial"/>
              </w:rPr>
              <w:t>Performance</w:t>
            </w:r>
          </w:p>
        </w:tc>
        <w:tc>
          <w:tcPr>
            <w:tcW w:w="780" w:type="dxa"/>
            <w:hideMark/>
          </w:tcPr>
          <w:p w14:paraId="5C373217" w14:textId="77777777" w:rsidR="00EB1E42" w:rsidRPr="00D55FA1" w:rsidRDefault="00EB1E42" w:rsidP="00704E41">
            <w:pPr>
              <w:tabs>
                <w:tab w:val="right" w:pos="762"/>
              </w:tabs>
              <w:jc w:val="center"/>
              <w:rPr>
                <w:rFonts w:cs="Arial"/>
              </w:rPr>
            </w:pPr>
            <w:r w:rsidRPr="00D55FA1">
              <w:rPr>
                <w:rFonts w:cs="Arial"/>
              </w:rPr>
              <w:t>3C</w:t>
            </w:r>
          </w:p>
        </w:tc>
        <w:tc>
          <w:tcPr>
            <w:tcW w:w="7775" w:type="dxa"/>
            <w:hideMark/>
          </w:tcPr>
          <w:p w14:paraId="5C4BA0D1" w14:textId="77777777" w:rsidR="00EB1E42" w:rsidRPr="00D55FA1" w:rsidRDefault="00EB1E42" w:rsidP="00704E41">
            <w:pPr>
              <w:tabs>
                <w:tab w:val="right" w:pos="762"/>
              </w:tabs>
              <w:rPr>
                <w:rFonts w:cs="Arial"/>
              </w:rPr>
            </w:pPr>
            <w:r w:rsidRPr="00D55FA1">
              <w:rPr>
                <w:rFonts w:cs="Arial"/>
              </w:rPr>
              <w:t>Proficiency for Students with Disabilities against alternate academic standards</w:t>
            </w:r>
          </w:p>
        </w:tc>
      </w:tr>
      <w:tr w:rsidR="00EB1E42" w:rsidRPr="00D55FA1" w14:paraId="586F5DA5" w14:textId="77777777" w:rsidTr="00F00D5D">
        <w:trPr>
          <w:cantSplit/>
          <w:trHeight w:val="288"/>
          <w:jc w:val="center"/>
        </w:trPr>
        <w:tc>
          <w:tcPr>
            <w:tcW w:w="2093" w:type="dxa"/>
          </w:tcPr>
          <w:p w14:paraId="41C64996" w14:textId="77777777" w:rsidR="00EB1E42" w:rsidRPr="00D55FA1" w:rsidRDefault="00EB1E42" w:rsidP="00704E41">
            <w:pPr>
              <w:rPr>
                <w:rFonts w:cs="Arial"/>
              </w:rPr>
            </w:pPr>
            <w:r w:rsidRPr="00D55FA1">
              <w:rPr>
                <w:rFonts w:cs="Arial"/>
              </w:rPr>
              <w:t>Performance</w:t>
            </w:r>
          </w:p>
        </w:tc>
        <w:tc>
          <w:tcPr>
            <w:tcW w:w="780" w:type="dxa"/>
          </w:tcPr>
          <w:p w14:paraId="3ACC26A4" w14:textId="77777777" w:rsidR="00EB1E42" w:rsidRPr="00D55FA1" w:rsidRDefault="00EB1E42" w:rsidP="00704E41">
            <w:pPr>
              <w:tabs>
                <w:tab w:val="right" w:pos="762"/>
              </w:tabs>
              <w:jc w:val="center"/>
              <w:rPr>
                <w:rFonts w:cs="Arial"/>
              </w:rPr>
            </w:pPr>
            <w:r w:rsidRPr="00D55FA1">
              <w:rPr>
                <w:rFonts w:cs="Arial"/>
              </w:rPr>
              <w:t>3D</w:t>
            </w:r>
          </w:p>
        </w:tc>
        <w:tc>
          <w:tcPr>
            <w:tcW w:w="7775" w:type="dxa"/>
          </w:tcPr>
          <w:p w14:paraId="3A314363" w14:textId="77777777" w:rsidR="00EB1E42" w:rsidRPr="00D55FA1" w:rsidRDefault="00EB1E42" w:rsidP="00704E41">
            <w:pPr>
              <w:tabs>
                <w:tab w:val="right" w:pos="762"/>
              </w:tabs>
              <w:rPr>
                <w:rFonts w:cs="Arial"/>
              </w:rPr>
            </w:pPr>
            <w:r w:rsidRPr="00D55FA1">
              <w:rPr>
                <w:rFonts w:cs="Arial"/>
              </w:rPr>
              <w:t>Proficiency Gap Rates</w:t>
            </w:r>
          </w:p>
        </w:tc>
      </w:tr>
      <w:tr w:rsidR="00EB1E42" w:rsidRPr="00D55FA1" w14:paraId="647C1F93" w14:textId="77777777" w:rsidTr="00F00D5D">
        <w:trPr>
          <w:cantSplit/>
          <w:trHeight w:val="288"/>
          <w:jc w:val="center"/>
        </w:trPr>
        <w:tc>
          <w:tcPr>
            <w:tcW w:w="2093" w:type="dxa"/>
            <w:hideMark/>
          </w:tcPr>
          <w:p w14:paraId="1C027448" w14:textId="77777777" w:rsidR="00EB1E42" w:rsidRPr="00D55FA1" w:rsidRDefault="00EB1E42" w:rsidP="00704E41">
            <w:pPr>
              <w:rPr>
                <w:rFonts w:cs="Arial"/>
              </w:rPr>
            </w:pPr>
            <w:r w:rsidRPr="00D55FA1">
              <w:rPr>
                <w:rFonts w:cs="Arial"/>
              </w:rPr>
              <w:t>Combined</w:t>
            </w:r>
          </w:p>
        </w:tc>
        <w:tc>
          <w:tcPr>
            <w:tcW w:w="780" w:type="dxa"/>
            <w:hideMark/>
          </w:tcPr>
          <w:p w14:paraId="2598DEE6" w14:textId="77777777" w:rsidR="00EB1E42" w:rsidRPr="00D55FA1" w:rsidRDefault="00EB1E42" w:rsidP="00704E41">
            <w:pPr>
              <w:tabs>
                <w:tab w:val="right" w:pos="762"/>
              </w:tabs>
              <w:jc w:val="center"/>
              <w:rPr>
                <w:rFonts w:cs="Arial"/>
              </w:rPr>
            </w:pPr>
            <w:r w:rsidRPr="00D55FA1">
              <w:rPr>
                <w:rFonts w:cs="Arial"/>
              </w:rPr>
              <w:t>4</w:t>
            </w:r>
          </w:p>
        </w:tc>
        <w:tc>
          <w:tcPr>
            <w:tcW w:w="7775" w:type="dxa"/>
            <w:hideMark/>
          </w:tcPr>
          <w:p w14:paraId="7245A10F" w14:textId="77777777" w:rsidR="00EB1E42" w:rsidRPr="00D55FA1" w:rsidRDefault="00EB1E42" w:rsidP="00704E41">
            <w:pPr>
              <w:tabs>
                <w:tab w:val="right" w:pos="762"/>
              </w:tabs>
              <w:rPr>
                <w:rFonts w:cs="Arial"/>
              </w:rPr>
            </w:pPr>
            <w:r w:rsidRPr="00D55FA1">
              <w:rPr>
                <w:rFonts w:cs="Arial"/>
              </w:rPr>
              <w:t>Suspension and Expulsion</w:t>
            </w:r>
          </w:p>
        </w:tc>
      </w:tr>
      <w:tr w:rsidR="00EB1E42" w:rsidRPr="00D55FA1" w14:paraId="0A07F3CE" w14:textId="77777777" w:rsidTr="00F00D5D">
        <w:trPr>
          <w:cantSplit/>
          <w:trHeight w:val="288"/>
          <w:jc w:val="center"/>
        </w:trPr>
        <w:tc>
          <w:tcPr>
            <w:tcW w:w="2093" w:type="dxa"/>
            <w:hideMark/>
          </w:tcPr>
          <w:p w14:paraId="39E85670" w14:textId="77777777" w:rsidR="00EB1E42" w:rsidRPr="00D55FA1" w:rsidRDefault="00EB1E42" w:rsidP="00704E41">
            <w:pPr>
              <w:rPr>
                <w:rFonts w:cs="Arial"/>
              </w:rPr>
            </w:pPr>
            <w:r w:rsidRPr="00D55FA1">
              <w:rPr>
                <w:rFonts w:cs="Arial"/>
              </w:rPr>
              <w:t>Performance</w:t>
            </w:r>
          </w:p>
        </w:tc>
        <w:tc>
          <w:tcPr>
            <w:tcW w:w="780" w:type="dxa"/>
            <w:hideMark/>
          </w:tcPr>
          <w:p w14:paraId="539622F1" w14:textId="77777777" w:rsidR="00EB1E42" w:rsidRPr="00D55FA1" w:rsidRDefault="00EB1E42" w:rsidP="00704E41">
            <w:pPr>
              <w:tabs>
                <w:tab w:val="right" w:pos="612"/>
                <w:tab w:val="right" w:pos="762"/>
              </w:tabs>
              <w:jc w:val="center"/>
              <w:rPr>
                <w:rFonts w:cs="Arial"/>
              </w:rPr>
            </w:pPr>
            <w:r w:rsidRPr="00D55FA1">
              <w:rPr>
                <w:rFonts w:cs="Arial"/>
              </w:rPr>
              <w:t>4A</w:t>
            </w:r>
          </w:p>
        </w:tc>
        <w:tc>
          <w:tcPr>
            <w:tcW w:w="7775" w:type="dxa"/>
            <w:hideMark/>
          </w:tcPr>
          <w:p w14:paraId="59E4E487" w14:textId="77777777" w:rsidR="00EB1E42" w:rsidRPr="00D55FA1" w:rsidRDefault="00EB1E42" w:rsidP="00704E41">
            <w:pPr>
              <w:tabs>
                <w:tab w:val="right" w:pos="612"/>
                <w:tab w:val="right" w:pos="762"/>
              </w:tabs>
              <w:rPr>
                <w:rFonts w:cs="Arial"/>
              </w:rPr>
            </w:pPr>
            <w:r w:rsidRPr="00D55FA1">
              <w:rPr>
                <w:rFonts w:cs="Arial"/>
              </w:rPr>
              <w:t>Rates of Suspension and Expulsion</w:t>
            </w:r>
          </w:p>
        </w:tc>
      </w:tr>
      <w:tr w:rsidR="00EB1E42" w:rsidRPr="00D55FA1" w14:paraId="038AB75E" w14:textId="77777777" w:rsidTr="00F00D5D">
        <w:trPr>
          <w:cantSplit/>
          <w:trHeight w:val="288"/>
          <w:jc w:val="center"/>
        </w:trPr>
        <w:tc>
          <w:tcPr>
            <w:tcW w:w="2093" w:type="dxa"/>
            <w:hideMark/>
          </w:tcPr>
          <w:p w14:paraId="19760777" w14:textId="77777777" w:rsidR="00EB1E42" w:rsidRPr="00D55FA1" w:rsidRDefault="00EB1E42" w:rsidP="00704E41">
            <w:pPr>
              <w:rPr>
                <w:rFonts w:cs="Arial"/>
              </w:rPr>
            </w:pPr>
            <w:r w:rsidRPr="00D55FA1">
              <w:rPr>
                <w:rFonts w:cs="Arial"/>
              </w:rPr>
              <w:t>Compliance</w:t>
            </w:r>
          </w:p>
        </w:tc>
        <w:tc>
          <w:tcPr>
            <w:tcW w:w="780" w:type="dxa"/>
            <w:hideMark/>
          </w:tcPr>
          <w:p w14:paraId="71644F07" w14:textId="77777777" w:rsidR="00EB1E42" w:rsidRPr="00D55FA1" w:rsidRDefault="00EB1E42" w:rsidP="00704E41">
            <w:pPr>
              <w:tabs>
                <w:tab w:val="right" w:pos="762"/>
              </w:tabs>
              <w:jc w:val="center"/>
              <w:rPr>
                <w:rFonts w:cs="Arial"/>
              </w:rPr>
            </w:pPr>
            <w:r w:rsidRPr="00D55FA1">
              <w:rPr>
                <w:rFonts w:cs="Arial"/>
              </w:rPr>
              <w:t>4B</w:t>
            </w:r>
          </w:p>
        </w:tc>
        <w:tc>
          <w:tcPr>
            <w:tcW w:w="7775" w:type="dxa"/>
            <w:hideMark/>
          </w:tcPr>
          <w:p w14:paraId="2A0CC1E2" w14:textId="77777777" w:rsidR="00EB1E42" w:rsidRPr="00D55FA1" w:rsidRDefault="00EB1E42" w:rsidP="00704E41">
            <w:pPr>
              <w:tabs>
                <w:tab w:val="right" w:pos="762"/>
              </w:tabs>
              <w:rPr>
                <w:rFonts w:cs="Arial"/>
              </w:rPr>
            </w:pPr>
            <w:r w:rsidRPr="00D55FA1">
              <w:rPr>
                <w:rFonts w:cs="Arial"/>
              </w:rPr>
              <w:t>Rates of Suspension and Expulsion by Race or Ethnicity</w:t>
            </w:r>
          </w:p>
        </w:tc>
      </w:tr>
      <w:tr w:rsidR="00EB1E42" w:rsidRPr="00D55FA1" w14:paraId="470DA845" w14:textId="77777777" w:rsidTr="00F00D5D">
        <w:trPr>
          <w:cantSplit/>
          <w:trHeight w:val="288"/>
          <w:jc w:val="center"/>
        </w:trPr>
        <w:tc>
          <w:tcPr>
            <w:tcW w:w="2093" w:type="dxa"/>
            <w:hideMark/>
          </w:tcPr>
          <w:p w14:paraId="0947406A" w14:textId="77777777" w:rsidR="00EB1E42" w:rsidRPr="00D55FA1" w:rsidRDefault="00EB1E42" w:rsidP="00704E41">
            <w:pPr>
              <w:rPr>
                <w:rFonts w:cs="Arial"/>
              </w:rPr>
            </w:pPr>
            <w:r w:rsidRPr="00D55FA1">
              <w:rPr>
                <w:rFonts w:cs="Arial"/>
              </w:rPr>
              <w:t>Performance</w:t>
            </w:r>
          </w:p>
        </w:tc>
        <w:tc>
          <w:tcPr>
            <w:tcW w:w="780" w:type="dxa"/>
            <w:hideMark/>
          </w:tcPr>
          <w:p w14:paraId="78941E47" w14:textId="77777777" w:rsidR="00EB1E42" w:rsidRPr="00D55FA1" w:rsidRDefault="00EB1E42" w:rsidP="00704E41">
            <w:pPr>
              <w:tabs>
                <w:tab w:val="right" w:pos="762"/>
              </w:tabs>
              <w:jc w:val="center"/>
              <w:rPr>
                <w:rFonts w:cs="Arial"/>
              </w:rPr>
            </w:pPr>
            <w:r w:rsidRPr="00D55FA1">
              <w:rPr>
                <w:rFonts w:cs="Arial"/>
              </w:rPr>
              <w:t>5</w:t>
            </w:r>
          </w:p>
        </w:tc>
        <w:tc>
          <w:tcPr>
            <w:tcW w:w="7775" w:type="dxa"/>
            <w:hideMark/>
          </w:tcPr>
          <w:p w14:paraId="3112F5E1" w14:textId="77777777" w:rsidR="00EB1E42" w:rsidRPr="00D55FA1" w:rsidRDefault="00EB1E42" w:rsidP="00704E41">
            <w:pPr>
              <w:tabs>
                <w:tab w:val="right" w:pos="762"/>
              </w:tabs>
              <w:rPr>
                <w:rFonts w:cs="Arial"/>
              </w:rPr>
            </w:pPr>
            <w:r w:rsidRPr="00D55FA1">
              <w:rPr>
                <w:rFonts w:cs="Arial"/>
              </w:rPr>
              <w:t>Education Environments</w:t>
            </w:r>
          </w:p>
        </w:tc>
      </w:tr>
      <w:tr w:rsidR="00EB1E42" w:rsidRPr="00D55FA1" w14:paraId="089BF30F" w14:textId="77777777" w:rsidTr="00F00D5D">
        <w:trPr>
          <w:cantSplit/>
          <w:trHeight w:val="288"/>
          <w:jc w:val="center"/>
        </w:trPr>
        <w:tc>
          <w:tcPr>
            <w:tcW w:w="2093" w:type="dxa"/>
            <w:hideMark/>
          </w:tcPr>
          <w:p w14:paraId="7B454B49" w14:textId="77777777" w:rsidR="00EB1E42" w:rsidRPr="00D55FA1" w:rsidRDefault="00EB1E42" w:rsidP="00704E41">
            <w:pPr>
              <w:rPr>
                <w:rFonts w:cs="Arial"/>
              </w:rPr>
            </w:pPr>
            <w:r w:rsidRPr="00D55FA1">
              <w:rPr>
                <w:rFonts w:cs="Arial"/>
              </w:rPr>
              <w:t>Performance</w:t>
            </w:r>
          </w:p>
        </w:tc>
        <w:tc>
          <w:tcPr>
            <w:tcW w:w="780" w:type="dxa"/>
            <w:hideMark/>
          </w:tcPr>
          <w:p w14:paraId="1DDBFC70" w14:textId="77777777" w:rsidR="00EB1E42" w:rsidRPr="00D55FA1" w:rsidRDefault="00EB1E42" w:rsidP="00704E41">
            <w:pPr>
              <w:tabs>
                <w:tab w:val="right" w:pos="762"/>
              </w:tabs>
              <w:jc w:val="center"/>
              <w:rPr>
                <w:rFonts w:cs="Arial"/>
              </w:rPr>
            </w:pPr>
            <w:r w:rsidRPr="00D55FA1">
              <w:rPr>
                <w:rFonts w:cs="Arial"/>
              </w:rPr>
              <w:t>5A</w:t>
            </w:r>
          </w:p>
        </w:tc>
        <w:tc>
          <w:tcPr>
            <w:tcW w:w="7775" w:type="dxa"/>
            <w:hideMark/>
          </w:tcPr>
          <w:p w14:paraId="32241848" w14:textId="77777777" w:rsidR="00EB1E42" w:rsidRPr="00D55FA1" w:rsidRDefault="00EB1E42" w:rsidP="00704E41">
            <w:pPr>
              <w:tabs>
                <w:tab w:val="right" w:pos="762"/>
              </w:tabs>
              <w:rPr>
                <w:rFonts w:cs="Arial"/>
              </w:rPr>
            </w:pPr>
            <w:r w:rsidRPr="00D55FA1">
              <w:rPr>
                <w:rFonts w:cs="Arial"/>
              </w:rPr>
              <w:t>Education Environments</w:t>
            </w:r>
            <w:r w:rsidR="00FD185D" w:rsidRPr="00D55FA1">
              <w:rPr>
                <w:rFonts w:cs="Arial"/>
              </w:rPr>
              <w:t xml:space="preserve">: </w:t>
            </w:r>
            <w:r w:rsidRPr="00D55FA1">
              <w:rPr>
                <w:rFonts w:cs="Arial"/>
              </w:rPr>
              <w:t>In Regular Class ≥ 80% of day</w:t>
            </w:r>
          </w:p>
        </w:tc>
      </w:tr>
      <w:tr w:rsidR="00EB1E42" w:rsidRPr="00D55FA1" w14:paraId="695110CD" w14:textId="77777777" w:rsidTr="00F00D5D">
        <w:trPr>
          <w:cantSplit/>
          <w:trHeight w:val="288"/>
          <w:jc w:val="center"/>
        </w:trPr>
        <w:tc>
          <w:tcPr>
            <w:tcW w:w="2093" w:type="dxa"/>
            <w:hideMark/>
          </w:tcPr>
          <w:p w14:paraId="2D1C51A6" w14:textId="77777777" w:rsidR="00EB1E42" w:rsidRPr="00D55FA1" w:rsidRDefault="00EB1E42" w:rsidP="00704E41">
            <w:pPr>
              <w:rPr>
                <w:rFonts w:cs="Arial"/>
              </w:rPr>
            </w:pPr>
            <w:r w:rsidRPr="00D55FA1">
              <w:rPr>
                <w:rFonts w:cs="Arial"/>
              </w:rPr>
              <w:t>Performance</w:t>
            </w:r>
          </w:p>
        </w:tc>
        <w:tc>
          <w:tcPr>
            <w:tcW w:w="780" w:type="dxa"/>
            <w:hideMark/>
          </w:tcPr>
          <w:p w14:paraId="66B2F2B8" w14:textId="77777777" w:rsidR="00EB1E42" w:rsidRPr="00D55FA1" w:rsidRDefault="00EB1E42" w:rsidP="00704E41">
            <w:pPr>
              <w:tabs>
                <w:tab w:val="right" w:pos="762"/>
              </w:tabs>
              <w:jc w:val="center"/>
              <w:rPr>
                <w:rFonts w:cs="Arial"/>
              </w:rPr>
            </w:pPr>
            <w:r w:rsidRPr="00D55FA1">
              <w:rPr>
                <w:rFonts w:cs="Arial"/>
              </w:rPr>
              <w:t>5B</w:t>
            </w:r>
          </w:p>
        </w:tc>
        <w:tc>
          <w:tcPr>
            <w:tcW w:w="7775" w:type="dxa"/>
            <w:hideMark/>
          </w:tcPr>
          <w:p w14:paraId="5CCBDA8A" w14:textId="77777777" w:rsidR="00EB1E42" w:rsidRPr="00D55FA1" w:rsidRDefault="00EB1E42" w:rsidP="00704E41">
            <w:pPr>
              <w:tabs>
                <w:tab w:val="right" w:pos="762"/>
              </w:tabs>
              <w:rPr>
                <w:rFonts w:cs="Arial"/>
              </w:rPr>
            </w:pPr>
            <w:r w:rsidRPr="00D55FA1">
              <w:rPr>
                <w:rFonts w:cs="Arial"/>
              </w:rPr>
              <w:t>Education Environments</w:t>
            </w:r>
            <w:r w:rsidR="00FD185D" w:rsidRPr="00D55FA1">
              <w:rPr>
                <w:rFonts w:cs="Arial"/>
              </w:rPr>
              <w:t xml:space="preserve">: </w:t>
            </w:r>
            <w:r w:rsidRPr="00D55FA1">
              <w:rPr>
                <w:rFonts w:cs="Arial"/>
              </w:rPr>
              <w:t>In Regular Class &lt; 40% of day</w:t>
            </w:r>
          </w:p>
        </w:tc>
      </w:tr>
      <w:tr w:rsidR="00EB1E42" w:rsidRPr="00D55FA1" w14:paraId="4E8E32EE" w14:textId="77777777" w:rsidTr="00F00D5D">
        <w:trPr>
          <w:cantSplit/>
          <w:trHeight w:val="288"/>
          <w:jc w:val="center"/>
        </w:trPr>
        <w:tc>
          <w:tcPr>
            <w:tcW w:w="2093" w:type="dxa"/>
            <w:hideMark/>
          </w:tcPr>
          <w:p w14:paraId="4A291EF1" w14:textId="77777777" w:rsidR="00EB1E42" w:rsidRPr="00D55FA1" w:rsidRDefault="00EB1E42" w:rsidP="00704E41">
            <w:pPr>
              <w:rPr>
                <w:rFonts w:cs="Arial"/>
              </w:rPr>
            </w:pPr>
            <w:r w:rsidRPr="00D55FA1">
              <w:rPr>
                <w:rFonts w:cs="Arial"/>
              </w:rPr>
              <w:t>Performance</w:t>
            </w:r>
          </w:p>
        </w:tc>
        <w:tc>
          <w:tcPr>
            <w:tcW w:w="780" w:type="dxa"/>
            <w:hideMark/>
          </w:tcPr>
          <w:p w14:paraId="0EC4B46B" w14:textId="77777777" w:rsidR="00EB1E42" w:rsidRPr="00D55FA1" w:rsidRDefault="00EB1E42" w:rsidP="00704E41">
            <w:pPr>
              <w:tabs>
                <w:tab w:val="right" w:pos="762"/>
              </w:tabs>
              <w:jc w:val="center"/>
              <w:rPr>
                <w:rFonts w:cs="Arial"/>
              </w:rPr>
            </w:pPr>
            <w:r w:rsidRPr="00D55FA1">
              <w:rPr>
                <w:rFonts w:cs="Arial"/>
              </w:rPr>
              <w:t>5C</w:t>
            </w:r>
          </w:p>
        </w:tc>
        <w:tc>
          <w:tcPr>
            <w:tcW w:w="7775" w:type="dxa"/>
            <w:hideMark/>
          </w:tcPr>
          <w:p w14:paraId="24B5B76F" w14:textId="603111BF" w:rsidR="00EB1E42" w:rsidRPr="00D55FA1" w:rsidRDefault="00EB1E42" w:rsidP="00704E41">
            <w:pPr>
              <w:tabs>
                <w:tab w:val="right" w:pos="762"/>
              </w:tabs>
              <w:rPr>
                <w:rFonts w:cs="Arial"/>
              </w:rPr>
            </w:pPr>
            <w:r w:rsidRPr="00D55FA1">
              <w:rPr>
                <w:rFonts w:cs="Arial"/>
              </w:rPr>
              <w:t>Education Environments</w:t>
            </w:r>
            <w:r w:rsidR="00FD185D" w:rsidRPr="00D55FA1">
              <w:rPr>
                <w:rFonts w:cs="Arial"/>
              </w:rPr>
              <w:t xml:space="preserve">: </w:t>
            </w:r>
            <w:r w:rsidRPr="00D55FA1">
              <w:rPr>
                <w:rFonts w:cs="Arial"/>
              </w:rPr>
              <w:t xml:space="preserve">Served in </w:t>
            </w:r>
            <w:r w:rsidR="007E770D" w:rsidRPr="00D55FA1">
              <w:rPr>
                <w:rFonts w:cs="Arial"/>
              </w:rPr>
              <w:t>S</w:t>
            </w:r>
            <w:r w:rsidRPr="00D55FA1">
              <w:rPr>
                <w:rFonts w:cs="Arial"/>
              </w:rPr>
              <w:t xml:space="preserve">eparate </w:t>
            </w:r>
            <w:r w:rsidR="007E770D" w:rsidRPr="00D55FA1">
              <w:rPr>
                <w:rFonts w:cs="Arial"/>
              </w:rPr>
              <w:t xml:space="preserve">School </w:t>
            </w:r>
            <w:r w:rsidRPr="00D55FA1">
              <w:rPr>
                <w:rFonts w:cs="Arial"/>
              </w:rPr>
              <w:t xml:space="preserve">or </w:t>
            </w:r>
            <w:proofErr w:type="gramStart"/>
            <w:r w:rsidRPr="00D55FA1">
              <w:rPr>
                <w:rFonts w:cs="Arial"/>
              </w:rPr>
              <w:t>other</w:t>
            </w:r>
            <w:proofErr w:type="gramEnd"/>
            <w:r w:rsidRPr="00D55FA1">
              <w:rPr>
                <w:rFonts w:cs="Arial"/>
              </w:rPr>
              <w:t xml:space="preserve"> </w:t>
            </w:r>
            <w:r w:rsidR="007E770D" w:rsidRPr="00D55FA1">
              <w:rPr>
                <w:rFonts w:cs="Arial"/>
              </w:rPr>
              <w:t xml:space="preserve">Placement </w:t>
            </w:r>
          </w:p>
        </w:tc>
      </w:tr>
      <w:tr w:rsidR="00EB1E42" w:rsidRPr="00D55FA1" w14:paraId="098759E3" w14:textId="77777777" w:rsidTr="00F00D5D">
        <w:trPr>
          <w:cantSplit/>
          <w:trHeight w:val="288"/>
          <w:jc w:val="center"/>
        </w:trPr>
        <w:tc>
          <w:tcPr>
            <w:tcW w:w="2093" w:type="dxa"/>
            <w:hideMark/>
          </w:tcPr>
          <w:p w14:paraId="3744D588" w14:textId="77777777" w:rsidR="00EB1E42" w:rsidRPr="00D55FA1" w:rsidRDefault="00EB1E42" w:rsidP="00704E41">
            <w:pPr>
              <w:rPr>
                <w:rFonts w:cs="Arial"/>
              </w:rPr>
            </w:pPr>
            <w:r w:rsidRPr="00D55FA1">
              <w:rPr>
                <w:rFonts w:cs="Arial"/>
              </w:rPr>
              <w:t>Performance</w:t>
            </w:r>
          </w:p>
        </w:tc>
        <w:tc>
          <w:tcPr>
            <w:tcW w:w="780" w:type="dxa"/>
            <w:hideMark/>
          </w:tcPr>
          <w:p w14:paraId="29B4EA11" w14:textId="77777777" w:rsidR="00EB1E42" w:rsidRPr="00D55FA1" w:rsidRDefault="00EB1E42" w:rsidP="00704E41">
            <w:pPr>
              <w:tabs>
                <w:tab w:val="right" w:pos="762"/>
              </w:tabs>
              <w:jc w:val="center"/>
              <w:rPr>
                <w:rFonts w:cs="Arial"/>
              </w:rPr>
            </w:pPr>
            <w:r w:rsidRPr="00D55FA1">
              <w:rPr>
                <w:rFonts w:cs="Arial"/>
              </w:rPr>
              <w:t>6</w:t>
            </w:r>
          </w:p>
        </w:tc>
        <w:tc>
          <w:tcPr>
            <w:tcW w:w="7775" w:type="dxa"/>
            <w:hideMark/>
          </w:tcPr>
          <w:p w14:paraId="77EB9500" w14:textId="77777777" w:rsidR="00EB1E42" w:rsidRPr="00D55FA1" w:rsidRDefault="00EB1E42" w:rsidP="00704E41">
            <w:pPr>
              <w:tabs>
                <w:tab w:val="right" w:pos="762"/>
              </w:tabs>
              <w:rPr>
                <w:rFonts w:cs="Arial"/>
              </w:rPr>
            </w:pPr>
            <w:r w:rsidRPr="00D55FA1">
              <w:rPr>
                <w:rFonts w:cs="Arial"/>
              </w:rPr>
              <w:t>Preschool Environments</w:t>
            </w:r>
          </w:p>
        </w:tc>
      </w:tr>
      <w:tr w:rsidR="00EB1E42" w:rsidRPr="00D55FA1" w14:paraId="4CCEB584" w14:textId="77777777" w:rsidTr="00F00D5D">
        <w:trPr>
          <w:cantSplit/>
          <w:trHeight w:val="288"/>
          <w:jc w:val="center"/>
        </w:trPr>
        <w:tc>
          <w:tcPr>
            <w:tcW w:w="2093" w:type="dxa"/>
            <w:hideMark/>
          </w:tcPr>
          <w:p w14:paraId="7D966BAA" w14:textId="77777777" w:rsidR="00EB1E42" w:rsidRPr="00D55FA1" w:rsidRDefault="00EB1E42" w:rsidP="00704E41">
            <w:pPr>
              <w:rPr>
                <w:rFonts w:cs="Arial"/>
              </w:rPr>
            </w:pPr>
            <w:r w:rsidRPr="00D55FA1">
              <w:rPr>
                <w:rFonts w:cs="Arial"/>
              </w:rPr>
              <w:t>Performance</w:t>
            </w:r>
          </w:p>
        </w:tc>
        <w:tc>
          <w:tcPr>
            <w:tcW w:w="780" w:type="dxa"/>
          </w:tcPr>
          <w:p w14:paraId="62C318CB" w14:textId="77777777" w:rsidR="00EB1E42" w:rsidRPr="00D55FA1" w:rsidRDefault="00EB1E42" w:rsidP="00704E41">
            <w:pPr>
              <w:tabs>
                <w:tab w:val="right" w:pos="762"/>
              </w:tabs>
              <w:jc w:val="center"/>
              <w:rPr>
                <w:rFonts w:cs="Arial"/>
              </w:rPr>
            </w:pPr>
            <w:r w:rsidRPr="00D55FA1">
              <w:rPr>
                <w:rFonts w:cs="Arial"/>
              </w:rPr>
              <w:t>6A</w:t>
            </w:r>
          </w:p>
        </w:tc>
        <w:tc>
          <w:tcPr>
            <w:tcW w:w="7775" w:type="dxa"/>
            <w:hideMark/>
          </w:tcPr>
          <w:p w14:paraId="679BE13D" w14:textId="77777777" w:rsidR="00EB1E42" w:rsidRPr="00D55FA1" w:rsidRDefault="00EB1E42" w:rsidP="00704E41">
            <w:pPr>
              <w:tabs>
                <w:tab w:val="right" w:pos="762"/>
              </w:tabs>
              <w:rPr>
                <w:rFonts w:cs="Arial"/>
              </w:rPr>
            </w:pPr>
            <w:r w:rsidRPr="00D55FA1">
              <w:rPr>
                <w:rFonts w:cs="Arial"/>
              </w:rPr>
              <w:t>Preschool Environments: Services in the regular childhood program</w:t>
            </w:r>
          </w:p>
        </w:tc>
      </w:tr>
      <w:tr w:rsidR="00EB1E42" w:rsidRPr="00D55FA1" w14:paraId="333D0F13" w14:textId="77777777" w:rsidTr="00F00D5D">
        <w:trPr>
          <w:cantSplit/>
          <w:trHeight w:val="288"/>
          <w:jc w:val="center"/>
        </w:trPr>
        <w:tc>
          <w:tcPr>
            <w:tcW w:w="2093" w:type="dxa"/>
            <w:hideMark/>
          </w:tcPr>
          <w:p w14:paraId="388F3AF0" w14:textId="77777777" w:rsidR="00EB1E42" w:rsidRPr="00D55FA1" w:rsidRDefault="00EB1E42" w:rsidP="00704E41">
            <w:pPr>
              <w:rPr>
                <w:rFonts w:cs="Arial"/>
              </w:rPr>
            </w:pPr>
            <w:r w:rsidRPr="00D55FA1">
              <w:rPr>
                <w:rFonts w:cs="Arial"/>
              </w:rPr>
              <w:t>Performance</w:t>
            </w:r>
          </w:p>
        </w:tc>
        <w:tc>
          <w:tcPr>
            <w:tcW w:w="780" w:type="dxa"/>
          </w:tcPr>
          <w:p w14:paraId="57C843FC" w14:textId="77777777" w:rsidR="00EB1E42" w:rsidRPr="00D55FA1" w:rsidRDefault="00EB1E42" w:rsidP="00704E41">
            <w:pPr>
              <w:tabs>
                <w:tab w:val="right" w:pos="762"/>
              </w:tabs>
              <w:jc w:val="center"/>
              <w:rPr>
                <w:rFonts w:cs="Arial"/>
              </w:rPr>
            </w:pPr>
            <w:r w:rsidRPr="00D55FA1">
              <w:rPr>
                <w:rFonts w:cs="Arial"/>
              </w:rPr>
              <w:t>6B</w:t>
            </w:r>
          </w:p>
        </w:tc>
        <w:tc>
          <w:tcPr>
            <w:tcW w:w="7775" w:type="dxa"/>
            <w:hideMark/>
          </w:tcPr>
          <w:p w14:paraId="20260375" w14:textId="77777777" w:rsidR="00EB1E42" w:rsidRPr="00D55FA1" w:rsidRDefault="00EB1E42" w:rsidP="00704E41">
            <w:pPr>
              <w:tabs>
                <w:tab w:val="right" w:pos="762"/>
              </w:tabs>
              <w:rPr>
                <w:rFonts w:cs="Arial"/>
              </w:rPr>
            </w:pPr>
            <w:r w:rsidRPr="00D55FA1">
              <w:rPr>
                <w:rFonts w:cs="Arial"/>
              </w:rPr>
              <w:t>Preschool Environments: Separate special education class, school, or facility</w:t>
            </w:r>
          </w:p>
        </w:tc>
      </w:tr>
      <w:tr w:rsidR="00EB1E42" w:rsidRPr="00D55FA1" w14:paraId="756CF0AC" w14:textId="77777777" w:rsidTr="00F00D5D">
        <w:trPr>
          <w:cantSplit/>
          <w:trHeight w:val="288"/>
          <w:jc w:val="center"/>
        </w:trPr>
        <w:tc>
          <w:tcPr>
            <w:tcW w:w="2093" w:type="dxa"/>
          </w:tcPr>
          <w:p w14:paraId="3A99245D" w14:textId="77777777" w:rsidR="00EB1E42" w:rsidRPr="00D55FA1" w:rsidRDefault="00EB1E42" w:rsidP="00704E41">
            <w:pPr>
              <w:rPr>
                <w:rFonts w:cs="Arial"/>
              </w:rPr>
            </w:pPr>
            <w:r w:rsidRPr="00D55FA1">
              <w:rPr>
                <w:rFonts w:cs="Arial"/>
              </w:rPr>
              <w:t>Performance</w:t>
            </w:r>
          </w:p>
        </w:tc>
        <w:tc>
          <w:tcPr>
            <w:tcW w:w="780" w:type="dxa"/>
          </w:tcPr>
          <w:p w14:paraId="5B9572AC" w14:textId="77777777" w:rsidR="00EB1E42" w:rsidRPr="00D55FA1" w:rsidRDefault="00EB1E42" w:rsidP="00704E41">
            <w:pPr>
              <w:tabs>
                <w:tab w:val="right" w:pos="762"/>
              </w:tabs>
              <w:jc w:val="center"/>
              <w:rPr>
                <w:rFonts w:cs="Arial"/>
              </w:rPr>
            </w:pPr>
            <w:r w:rsidRPr="00D55FA1">
              <w:rPr>
                <w:rFonts w:cs="Arial"/>
              </w:rPr>
              <w:t>6C</w:t>
            </w:r>
          </w:p>
        </w:tc>
        <w:tc>
          <w:tcPr>
            <w:tcW w:w="7775" w:type="dxa"/>
          </w:tcPr>
          <w:p w14:paraId="3086A8AE" w14:textId="77777777" w:rsidR="00EB1E42" w:rsidRPr="00D55FA1" w:rsidRDefault="00EB1E42" w:rsidP="00704E41">
            <w:pPr>
              <w:tabs>
                <w:tab w:val="right" w:pos="762"/>
              </w:tabs>
              <w:rPr>
                <w:rFonts w:cs="Arial"/>
              </w:rPr>
            </w:pPr>
            <w:r w:rsidRPr="00D55FA1">
              <w:rPr>
                <w:rFonts w:cs="Arial"/>
              </w:rPr>
              <w:t>Preschool Environments: Home Setting</w:t>
            </w:r>
          </w:p>
        </w:tc>
      </w:tr>
      <w:tr w:rsidR="00EB1E42" w:rsidRPr="00D55FA1" w14:paraId="6AA5D76D" w14:textId="77777777" w:rsidTr="00F00D5D">
        <w:trPr>
          <w:cantSplit/>
          <w:trHeight w:val="288"/>
          <w:jc w:val="center"/>
        </w:trPr>
        <w:tc>
          <w:tcPr>
            <w:tcW w:w="2093" w:type="dxa"/>
            <w:hideMark/>
          </w:tcPr>
          <w:p w14:paraId="1637C711" w14:textId="77777777" w:rsidR="00EB1E42" w:rsidRPr="00D55FA1" w:rsidRDefault="00EB1E42" w:rsidP="00704E41">
            <w:pPr>
              <w:rPr>
                <w:rFonts w:cs="Arial"/>
              </w:rPr>
            </w:pPr>
            <w:r w:rsidRPr="00D55FA1">
              <w:rPr>
                <w:rFonts w:cs="Arial"/>
              </w:rPr>
              <w:t>Performance</w:t>
            </w:r>
          </w:p>
        </w:tc>
        <w:tc>
          <w:tcPr>
            <w:tcW w:w="780" w:type="dxa"/>
            <w:hideMark/>
          </w:tcPr>
          <w:p w14:paraId="75697EEC" w14:textId="77777777" w:rsidR="00EB1E42" w:rsidRPr="00D55FA1" w:rsidRDefault="00EB1E42" w:rsidP="00704E41">
            <w:pPr>
              <w:tabs>
                <w:tab w:val="right" w:pos="762"/>
              </w:tabs>
              <w:jc w:val="center"/>
              <w:rPr>
                <w:rFonts w:cs="Arial"/>
              </w:rPr>
            </w:pPr>
            <w:r w:rsidRPr="00D55FA1">
              <w:rPr>
                <w:rFonts w:cs="Arial"/>
              </w:rPr>
              <w:t>7</w:t>
            </w:r>
          </w:p>
        </w:tc>
        <w:tc>
          <w:tcPr>
            <w:tcW w:w="7775" w:type="dxa"/>
            <w:hideMark/>
          </w:tcPr>
          <w:p w14:paraId="2B9B47AF" w14:textId="77777777" w:rsidR="00EB1E42" w:rsidRPr="00D55FA1" w:rsidRDefault="00EB1E42" w:rsidP="00704E41">
            <w:pPr>
              <w:tabs>
                <w:tab w:val="right" w:pos="762"/>
              </w:tabs>
              <w:rPr>
                <w:rFonts w:cs="Arial"/>
              </w:rPr>
            </w:pPr>
            <w:r w:rsidRPr="00D55FA1">
              <w:rPr>
                <w:rFonts w:cs="Arial"/>
              </w:rPr>
              <w:t>Preschool Outcomes</w:t>
            </w:r>
          </w:p>
        </w:tc>
      </w:tr>
      <w:tr w:rsidR="00EB1E42" w:rsidRPr="00D55FA1" w14:paraId="0CDB4363" w14:textId="77777777" w:rsidTr="00F00D5D">
        <w:trPr>
          <w:cantSplit/>
          <w:trHeight w:val="288"/>
          <w:jc w:val="center"/>
        </w:trPr>
        <w:tc>
          <w:tcPr>
            <w:tcW w:w="2093" w:type="dxa"/>
            <w:hideMark/>
          </w:tcPr>
          <w:p w14:paraId="3E4C0602" w14:textId="77777777" w:rsidR="00EB1E42" w:rsidRPr="00D55FA1" w:rsidRDefault="00EB1E42" w:rsidP="00704E41">
            <w:pPr>
              <w:rPr>
                <w:rFonts w:cs="Arial"/>
              </w:rPr>
            </w:pPr>
            <w:r w:rsidRPr="00D55FA1">
              <w:rPr>
                <w:rFonts w:cs="Arial"/>
              </w:rPr>
              <w:t>Performance</w:t>
            </w:r>
          </w:p>
        </w:tc>
        <w:tc>
          <w:tcPr>
            <w:tcW w:w="780" w:type="dxa"/>
            <w:hideMark/>
          </w:tcPr>
          <w:p w14:paraId="46B39474" w14:textId="77777777" w:rsidR="00EB1E42" w:rsidRPr="00D55FA1" w:rsidRDefault="00EB1E42" w:rsidP="00704E41">
            <w:pPr>
              <w:jc w:val="center"/>
              <w:rPr>
                <w:rFonts w:cs="Arial"/>
              </w:rPr>
            </w:pPr>
            <w:r w:rsidRPr="00D55FA1">
              <w:rPr>
                <w:rFonts w:cs="Arial"/>
              </w:rPr>
              <w:t>7A</w:t>
            </w:r>
          </w:p>
        </w:tc>
        <w:tc>
          <w:tcPr>
            <w:tcW w:w="7775" w:type="dxa"/>
            <w:hideMark/>
          </w:tcPr>
          <w:p w14:paraId="2F875523" w14:textId="3DFABA34" w:rsidR="00EB1E42" w:rsidRPr="00D55FA1" w:rsidRDefault="00EB1E42" w:rsidP="00704E41">
            <w:pPr>
              <w:rPr>
                <w:rFonts w:cs="Arial"/>
              </w:rPr>
            </w:pPr>
            <w:r w:rsidRPr="00D55FA1">
              <w:rPr>
                <w:rFonts w:cs="Arial"/>
              </w:rPr>
              <w:t xml:space="preserve">Preschool Outcomes: Positive </w:t>
            </w:r>
            <w:r w:rsidR="007E770D" w:rsidRPr="00D55FA1">
              <w:rPr>
                <w:rFonts w:cs="Arial"/>
              </w:rPr>
              <w:t>S</w:t>
            </w:r>
            <w:r w:rsidRPr="00D55FA1">
              <w:rPr>
                <w:rFonts w:cs="Arial"/>
              </w:rPr>
              <w:t>ocial-</w:t>
            </w:r>
            <w:r w:rsidR="007E770D" w:rsidRPr="00D55FA1">
              <w:rPr>
                <w:rFonts w:cs="Arial"/>
              </w:rPr>
              <w:t>E</w:t>
            </w:r>
            <w:r w:rsidRPr="00D55FA1">
              <w:rPr>
                <w:rFonts w:cs="Arial"/>
              </w:rPr>
              <w:t xml:space="preserve">motional </w:t>
            </w:r>
            <w:r w:rsidR="007E770D" w:rsidRPr="00D55FA1">
              <w:rPr>
                <w:rFonts w:cs="Arial"/>
              </w:rPr>
              <w:t>S</w:t>
            </w:r>
            <w:r w:rsidRPr="00D55FA1">
              <w:rPr>
                <w:rFonts w:cs="Arial"/>
              </w:rPr>
              <w:t>kills</w:t>
            </w:r>
          </w:p>
        </w:tc>
      </w:tr>
      <w:tr w:rsidR="00EB1E42" w:rsidRPr="00D55FA1" w14:paraId="68E4406F" w14:textId="77777777" w:rsidTr="00F00D5D">
        <w:trPr>
          <w:cantSplit/>
          <w:trHeight w:val="288"/>
          <w:jc w:val="center"/>
        </w:trPr>
        <w:tc>
          <w:tcPr>
            <w:tcW w:w="2093" w:type="dxa"/>
            <w:hideMark/>
          </w:tcPr>
          <w:p w14:paraId="63422E92" w14:textId="77777777" w:rsidR="00EB1E42" w:rsidRPr="00D55FA1" w:rsidRDefault="00EB1E42" w:rsidP="00704E41">
            <w:pPr>
              <w:rPr>
                <w:rFonts w:cs="Arial"/>
              </w:rPr>
            </w:pPr>
            <w:r w:rsidRPr="00D55FA1">
              <w:rPr>
                <w:rFonts w:cs="Arial"/>
              </w:rPr>
              <w:t>Performance</w:t>
            </w:r>
          </w:p>
        </w:tc>
        <w:tc>
          <w:tcPr>
            <w:tcW w:w="780" w:type="dxa"/>
            <w:hideMark/>
          </w:tcPr>
          <w:p w14:paraId="6AA14F85" w14:textId="77777777" w:rsidR="00EB1E42" w:rsidRPr="00D55FA1" w:rsidRDefault="00EB1E42" w:rsidP="00704E41">
            <w:pPr>
              <w:jc w:val="center"/>
              <w:rPr>
                <w:rFonts w:cs="Arial"/>
              </w:rPr>
            </w:pPr>
            <w:r w:rsidRPr="00D55FA1">
              <w:rPr>
                <w:rFonts w:cs="Arial"/>
              </w:rPr>
              <w:t>7B</w:t>
            </w:r>
          </w:p>
        </w:tc>
        <w:tc>
          <w:tcPr>
            <w:tcW w:w="7775" w:type="dxa"/>
            <w:hideMark/>
          </w:tcPr>
          <w:p w14:paraId="17412858" w14:textId="7DC930A2" w:rsidR="00EB1E42" w:rsidRPr="00D55FA1" w:rsidRDefault="00EB1E42" w:rsidP="00704E41">
            <w:pPr>
              <w:rPr>
                <w:rFonts w:cs="Arial"/>
              </w:rPr>
            </w:pPr>
            <w:r w:rsidRPr="00D55FA1">
              <w:rPr>
                <w:rFonts w:cs="Arial"/>
              </w:rPr>
              <w:t xml:space="preserve">Preschool Outcomes: Acquisition/use of </w:t>
            </w:r>
            <w:r w:rsidR="007E770D" w:rsidRPr="00D55FA1">
              <w:rPr>
                <w:rFonts w:cs="Arial"/>
              </w:rPr>
              <w:t>K</w:t>
            </w:r>
            <w:r w:rsidRPr="00D55FA1">
              <w:rPr>
                <w:rFonts w:cs="Arial"/>
              </w:rPr>
              <w:t xml:space="preserve">nowledge and </w:t>
            </w:r>
            <w:r w:rsidR="007E770D" w:rsidRPr="00D55FA1">
              <w:rPr>
                <w:rFonts w:cs="Arial"/>
              </w:rPr>
              <w:t>S</w:t>
            </w:r>
            <w:r w:rsidRPr="00D55FA1">
              <w:rPr>
                <w:rFonts w:cs="Arial"/>
              </w:rPr>
              <w:t>kills</w:t>
            </w:r>
          </w:p>
        </w:tc>
      </w:tr>
      <w:tr w:rsidR="00EB1E42" w:rsidRPr="00D55FA1" w14:paraId="53832348" w14:textId="77777777" w:rsidTr="00F00D5D">
        <w:trPr>
          <w:cantSplit/>
          <w:trHeight w:val="288"/>
          <w:jc w:val="center"/>
        </w:trPr>
        <w:tc>
          <w:tcPr>
            <w:tcW w:w="2093" w:type="dxa"/>
          </w:tcPr>
          <w:p w14:paraId="793CFDA1" w14:textId="77777777" w:rsidR="00EB1E42" w:rsidRPr="00D55FA1" w:rsidRDefault="00EB1E42" w:rsidP="00704E41">
            <w:pPr>
              <w:rPr>
                <w:rFonts w:cs="Arial"/>
              </w:rPr>
            </w:pPr>
            <w:r w:rsidRPr="00D55FA1">
              <w:rPr>
                <w:rFonts w:cs="Arial"/>
              </w:rPr>
              <w:t>Performance</w:t>
            </w:r>
          </w:p>
        </w:tc>
        <w:tc>
          <w:tcPr>
            <w:tcW w:w="780" w:type="dxa"/>
            <w:hideMark/>
          </w:tcPr>
          <w:p w14:paraId="5F1F33A3" w14:textId="77777777" w:rsidR="00EB1E42" w:rsidRPr="00D55FA1" w:rsidRDefault="00EB1E42" w:rsidP="00704E41">
            <w:pPr>
              <w:jc w:val="center"/>
              <w:rPr>
                <w:rFonts w:cs="Arial"/>
              </w:rPr>
            </w:pPr>
            <w:r w:rsidRPr="00D55FA1">
              <w:rPr>
                <w:rFonts w:cs="Arial"/>
              </w:rPr>
              <w:t>7C</w:t>
            </w:r>
          </w:p>
        </w:tc>
        <w:tc>
          <w:tcPr>
            <w:tcW w:w="7775" w:type="dxa"/>
            <w:hideMark/>
          </w:tcPr>
          <w:p w14:paraId="214AE4BF" w14:textId="77777777" w:rsidR="00EB1E42" w:rsidRPr="00D55FA1" w:rsidRDefault="00EB1E42" w:rsidP="00704E41">
            <w:pPr>
              <w:rPr>
                <w:rFonts w:cs="Arial"/>
              </w:rPr>
            </w:pPr>
            <w:r w:rsidRPr="00D55FA1">
              <w:rPr>
                <w:rFonts w:cs="Arial"/>
              </w:rPr>
              <w:t>Preschool Outcomes: Use of Appropriate Behaviors</w:t>
            </w:r>
          </w:p>
        </w:tc>
      </w:tr>
      <w:tr w:rsidR="00EB1E42" w:rsidRPr="00D55FA1" w14:paraId="2D7CB91F" w14:textId="77777777" w:rsidTr="00F00D5D">
        <w:trPr>
          <w:cantSplit/>
          <w:trHeight w:val="288"/>
          <w:jc w:val="center"/>
        </w:trPr>
        <w:tc>
          <w:tcPr>
            <w:tcW w:w="2093" w:type="dxa"/>
            <w:hideMark/>
          </w:tcPr>
          <w:p w14:paraId="7EBE396F" w14:textId="77777777" w:rsidR="00EB1E42" w:rsidRPr="00D55FA1" w:rsidRDefault="00EB1E42" w:rsidP="00704E41">
            <w:pPr>
              <w:rPr>
                <w:rFonts w:cs="Arial"/>
              </w:rPr>
            </w:pPr>
            <w:r w:rsidRPr="00D55FA1">
              <w:rPr>
                <w:rFonts w:cs="Arial"/>
              </w:rPr>
              <w:t>Performance</w:t>
            </w:r>
          </w:p>
        </w:tc>
        <w:tc>
          <w:tcPr>
            <w:tcW w:w="780" w:type="dxa"/>
            <w:hideMark/>
          </w:tcPr>
          <w:p w14:paraId="44B0A208" w14:textId="77777777" w:rsidR="00EB1E42" w:rsidRPr="00D55FA1" w:rsidRDefault="00EB1E42" w:rsidP="00704E41">
            <w:pPr>
              <w:jc w:val="center"/>
              <w:rPr>
                <w:rFonts w:cs="Arial"/>
              </w:rPr>
            </w:pPr>
            <w:r w:rsidRPr="00D55FA1">
              <w:rPr>
                <w:rFonts w:cs="Arial"/>
              </w:rPr>
              <w:t>8</w:t>
            </w:r>
          </w:p>
        </w:tc>
        <w:tc>
          <w:tcPr>
            <w:tcW w:w="7775" w:type="dxa"/>
            <w:hideMark/>
          </w:tcPr>
          <w:p w14:paraId="39B0E220" w14:textId="77777777" w:rsidR="00EB1E42" w:rsidRPr="00D55FA1" w:rsidRDefault="00EB1E42" w:rsidP="00704E41">
            <w:pPr>
              <w:rPr>
                <w:rFonts w:cs="Arial"/>
              </w:rPr>
            </w:pPr>
            <w:r w:rsidRPr="00D55FA1">
              <w:rPr>
                <w:rFonts w:cs="Arial"/>
              </w:rPr>
              <w:t>Parent Involvement</w:t>
            </w:r>
          </w:p>
        </w:tc>
      </w:tr>
      <w:tr w:rsidR="00EB1E42" w:rsidRPr="00D55FA1" w14:paraId="652224D0" w14:textId="77777777" w:rsidTr="00F00D5D">
        <w:trPr>
          <w:cantSplit/>
          <w:trHeight w:val="288"/>
          <w:jc w:val="center"/>
        </w:trPr>
        <w:tc>
          <w:tcPr>
            <w:tcW w:w="2093" w:type="dxa"/>
            <w:hideMark/>
          </w:tcPr>
          <w:p w14:paraId="2A4813E9" w14:textId="77777777" w:rsidR="00EB1E42" w:rsidRPr="00D55FA1" w:rsidRDefault="00EB1E42" w:rsidP="00704E41">
            <w:pPr>
              <w:rPr>
                <w:rFonts w:cs="Arial"/>
              </w:rPr>
            </w:pPr>
            <w:r w:rsidRPr="00D55FA1">
              <w:rPr>
                <w:rFonts w:cs="Arial"/>
              </w:rPr>
              <w:t>Compliance</w:t>
            </w:r>
          </w:p>
        </w:tc>
        <w:tc>
          <w:tcPr>
            <w:tcW w:w="780" w:type="dxa"/>
            <w:hideMark/>
          </w:tcPr>
          <w:p w14:paraId="2B2B7304" w14:textId="77777777" w:rsidR="00EB1E42" w:rsidRPr="00D55FA1" w:rsidRDefault="00EB1E42" w:rsidP="00704E41">
            <w:pPr>
              <w:jc w:val="center"/>
              <w:rPr>
                <w:rFonts w:cs="Arial"/>
              </w:rPr>
            </w:pPr>
            <w:r w:rsidRPr="00D55FA1">
              <w:rPr>
                <w:rFonts w:cs="Arial"/>
              </w:rPr>
              <w:t>9</w:t>
            </w:r>
          </w:p>
        </w:tc>
        <w:tc>
          <w:tcPr>
            <w:tcW w:w="7775" w:type="dxa"/>
            <w:hideMark/>
          </w:tcPr>
          <w:p w14:paraId="4E2AEC67" w14:textId="77777777" w:rsidR="00EB1E42" w:rsidRPr="00D55FA1" w:rsidRDefault="00EB1E42" w:rsidP="00704E41">
            <w:pPr>
              <w:rPr>
                <w:rFonts w:cs="Arial"/>
              </w:rPr>
            </w:pPr>
            <w:r w:rsidRPr="00D55FA1">
              <w:rPr>
                <w:rFonts w:cs="Arial"/>
              </w:rPr>
              <w:t xml:space="preserve">Disproportionate Representation </w:t>
            </w:r>
          </w:p>
        </w:tc>
      </w:tr>
      <w:tr w:rsidR="00EB1E42" w:rsidRPr="00D55FA1" w14:paraId="082D71BC" w14:textId="77777777" w:rsidTr="00F00D5D">
        <w:trPr>
          <w:cantSplit/>
          <w:trHeight w:val="288"/>
          <w:jc w:val="center"/>
        </w:trPr>
        <w:tc>
          <w:tcPr>
            <w:tcW w:w="2093" w:type="dxa"/>
            <w:hideMark/>
          </w:tcPr>
          <w:p w14:paraId="4EABD64A" w14:textId="77777777" w:rsidR="00EB1E42" w:rsidRPr="00D55FA1" w:rsidRDefault="00EB1E42" w:rsidP="00704E41">
            <w:pPr>
              <w:rPr>
                <w:rFonts w:cs="Arial"/>
              </w:rPr>
            </w:pPr>
            <w:r w:rsidRPr="00D55FA1">
              <w:rPr>
                <w:rFonts w:cs="Arial"/>
              </w:rPr>
              <w:t>Compliance</w:t>
            </w:r>
          </w:p>
        </w:tc>
        <w:tc>
          <w:tcPr>
            <w:tcW w:w="780" w:type="dxa"/>
            <w:hideMark/>
          </w:tcPr>
          <w:p w14:paraId="5D369756" w14:textId="77777777" w:rsidR="00EB1E42" w:rsidRPr="00D55FA1" w:rsidRDefault="00EB1E42" w:rsidP="00704E41">
            <w:pPr>
              <w:jc w:val="center"/>
              <w:rPr>
                <w:rFonts w:cs="Arial"/>
              </w:rPr>
            </w:pPr>
            <w:r w:rsidRPr="00D55FA1">
              <w:rPr>
                <w:rFonts w:cs="Arial"/>
              </w:rPr>
              <w:t>10</w:t>
            </w:r>
          </w:p>
        </w:tc>
        <w:tc>
          <w:tcPr>
            <w:tcW w:w="7775" w:type="dxa"/>
            <w:hideMark/>
          </w:tcPr>
          <w:p w14:paraId="1D932EAA" w14:textId="77777777" w:rsidR="00EB1E42" w:rsidRPr="00D55FA1" w:rsidRDefault="00EB1E42" w:rsidP="00704E41">
            <w:pPr>
              <w:rPr>
                <w:rFonts w:cs="Arial"/>
              </w:rPr>
            </w:pPr>
            <w:r w:rsidRPr="00D55FA1">
              <w:rPr>
                <w:rFonts w:cs="Arial"/>
              </w:rPr>
              <w:t>Disproportionate Representation in Specific Disability Categories</w:t>
            </w:r>
          </w:p>
        </w:tc>
      </w:tr>
      <w:tr w:rsidR="00EB1E42" w:rsidRPr="00D55FA1" w14:paraId="59613F82" w14:textId="77777777" w:rsidTr="00F00D5D">
        <w:trPr>
          <w:cantSplit/>
          <w:trHeight w:val="288"/>
          <w:jc w:val="center"/>
        </w:trPr>
        <w:tc>
          <w:tcPr>
            <w:tcW w:w="2093" w:type="dxa"/>
            <w:hideMark/>
          </w:tcPr>
          <w:p w14:paraId="0BFE8299" w14:textId="77777777" w:rsidR="00EB1E42" w:rsidRPr="00D55FA1" w:rsidRDefault="00EB1E42" w:rsidP="00704E41">
            <w:pPr>
              <w:rPr>
                <w:rFonts w:cs="Arial"/>
              </w:rPr>
            </w:pPr>
            <w:r w:rsidRPr="00D55FA1">
              <w:rPr>
                <w:rFonts w:cs="Arial"/>
              </w:rPr>
              <w:t>Compliance</w:t>
            </w:r>
          </w:p>
        </w:tc>
        <w:tc>
          <w:tcPr>
            <w:tcW w:w="780" w:type="dxa"/>
            <w:hideMark/>
          </w:tcPr>
          <w:p w14:paraId="4737E36C" w14:textId="77777777" w:rsidR="00EB1E42" w:rsidRPr="00D55FA1" w:rsidRDefault="00EB1E42" w:rsidP="00704E41">
            <w:pPr>
              <w:jc w:val="center"/>
              <w:rPr>
                <w:rFonts w:cs="Arial"/>
              </w:rPr>
            </w:pPr>
            <w:r w:rsidRPr="00D55FA1">
              <w:rPr>
                <w:rFonts w:cs="Arial"/>
              </w:rPr>
              <w:t>11</w:t>
            </w:r>
          </w:p>
        </w:tc>
        <w:tc>
          <w:tcPr>
            <w:tcW w:w="7775" w:type="dxa"/>
            <w:hideMark/>
          </w:tcPr>
          <w:p w14:paraId="44B7AA0E" w14:textId="77777777" w:rsidR="00EB1E42" w:rsidRPr="00D55FA1" w:rsidRDefault="00EB1E42" w:rsidP="00704E41">
            <w:pPr>
              <w:rPr>
                <w:rFonts w:cs="Arial"/>
              </w:rPr>
            </w:pPr>
            <w:r w:rsidRPr="00D55FA1">
              <w:rPr>
                <w:rFonts w:cs="Arial"/>
              </w:rPr>
              <w:t>Child Find</w:t>
            </w:r>
          </w:p>
        </w:tc>
      </w:tr>
      <w:tr w:rsidR="00EB1E42" w:rsidRPr="00D55FA1" w14:paraId="1A0416FF" w14:textId="77777777" w:rsidTr="00F00D5D">
        <w:trPr>
          <w:cantSplit/>
          <w:trHeight w:val="288"/>
          <w:jc w:val="center"/>
        </w:trPr>
        <w:tc>
          <w:tcPr>
            <w:tcW w:w="2093" w:type="dxa"/>
            <w:hideMark/>
          </w:tcPr>
          <w:p w14:paraId="64BF4AC2" w14:textId="77777777" w:rsidR="00EB1E42" w:rsidRPr="00D55FA1" w:rsidRDefault="00EB1E42" w:rsidP="00704E41">
            <w:pPr>
              <w:rPr>
                <w:rFonts w:cs="Arial"/>
              </w:rPr>
            </w:pPr>
            <w:r w:rsidRPr="00D55FA1">
              <w:rPr>
                <w:rFonts w:cs="Arial"/>
              </w:rPr>
              <w:t>Compliance</w:t>
            </w:r>
          </w:p>
        </w:tc>
        <w:tc>
          <w:tcPr>
            <w:tcW w:w="780" w:type="dxa"/>
            <w:hideMark/>
          </w:tcPr>
          <w:p w14:paraId="4B73E586" w14:textId="77777777" w:rsidR="00EB1E42" w:rsidRPr="00D55FA1" w:rsidRDefault="00EB1E42" w:rsidP="00704E41">
            <w:pPr>
              <w:jc w:val="center"/>
              <w:rPr>
                <w:rFonts w:cs="Arial"/>
              </w:rPr>
            </w:pPr>
            <w:r w:rsidRPr="00D55FA1">
              <w:rPr>
                <w:rFonts w:cs="Arial"/>
              </w:rPr>
              <w:t>12</w:t>
            </w:r>
          </w:p>
        </w:tc>
        <w:tc>
          <w:tcPr>
            <w:tcW w:w="7775" w:type="dxa"/>
            <w:hideMark/>
          </w:tcPr>
          <w:p w14:paraId="0D1734B1" w14:textId="77777777" w:rsidR="00EB1E42" w:rsidRPr="00D55FA1" w:rsidRDefault="00EB1E42" w:rsidP="00704E41">
            <w:pPr>
              <w:rPr>
                <w:rFonts w:cs="Arial"/>
              </w:rPr>
            </w:pPr>
            <w:r w:rsidRPr="00D55FA1">
              <w:rPr>
                <w:rFonts w:cs="Arial"/>
              </w:rPr>
              <w:t>Early Childhood Transition</w:t>
            </w:r>
          </w:p>
        </w:tc>
      </w:tr>
      <w:tr w:rsidR="00EB1E42" w:rsidRPr="00D55FA1" w14:paraId="0501958D" w14:textId="77777777" w:rsidTr="00F00D5D">
        <w:trPr>
          <w:cantSplit/>
          <w:trHeight w:val="288"/>
          <w:jc w:val="center"/>
        </w:trPr>
        <w:tc>
          <w:tcPr>
            <w:tcW w:w="2093" w:type="dxa"/>
            <w:hideMark/>
          </w:tcPr>
          <w:p w14:paraId="34489E9A" w14:textId="77777777" w:rsidR="00EB1E42" w:rsidRPr="00D55FA1" w:rsidRDefault="00EB1E42" w:rsidP="00704E41">
            <w:pPr>
              <w:rPr>
                <w:rFonts w:cs="Arial"/>
              </w:rPr>
            </w:pPr>
            <w:r w:rsidRPr="00D55FA1">
              <w:rPr>
                <w:rFonts w:cs="Arial"/>
              </w:rPr>
              <w:t>Compliance</w:t>
            </w:r>
          </w:p>
        </w:tc>
        <w:tc>
          <w:tcPr>
            <w:tcW w:w="780" w:type="dxa"/>
            <w:hideMark/>
          </w:tcPr>
          <w:p w14:paraId="39F18D26" w14:textId="77777777" w:rsidR="00EB1E42" w:rsidRPr="00D55FA1" w:rsidRDefault="00EB1E42" w:rsidP="00704E41">
            <w:pPr>
              <w:jc w:val="center"/>
              <w:rPr>
                <w:rFonts w:cs="Arial"/>
              </w:rPr>
            </w:pPr>
            <w:r w:rsidRPr="00D55FA1">
              <w:rPr>
                <w:rFonts w:cs="Arial"/>
              </w:rPr>
              <w:t>13</w:t>
            </w:r>
          </w:p>
        </w:tc>
        <w:tc>
          <w:tcPr>
            <w:tcW w:w="7775" w:type="dxa"/>
            <w:hideMark/>
          </w:tcPr>
          <w:p w14:paraId="759BF825" w14:textId="77777777" w:rsidR="00EB1E42" w:rsidRPr="00D55FA1" w:rsidRDefault="00EB1E42" w:rsidP="00704E41">
            <w:pPr>
              <w:rPr>
                <w:rFonts w:cs="Arial"/>
              </w:rPr>
            </w:pPr>
            <w:r w:rsidRPr="00D55FA1">
              <w:rPr>
                <w:rFonts w:cs="Arial"/>
              </w:rPr>
              <w:t>Secondary Transition</w:t>
            </w:r>
          </w:p>
        </w:tc>
      </w:tr>
      <w:tr w:rsidR="00EB1E42" w:rsidRPr="00D55FA1" w14:paraId="5E695425" w14:textId="77777777" w:rsidTr="00F00D5D">
        <w:trPr>
          <w:cantSplit/>
          <w:trHeight w:val="288"/>
          <w:jc w:val="center"/>
        </w:trPr>
        <w:tc>
          <w:tcPr>
            <w:tcW w:w="2093" w:type="dxa"/>
            <w:hideMark/>
          </w:tcPr>
          <w:p w14:paraId="61DA6317" w14:textId="77777777" w:rsidR="00EB1E42" w:rsidRPr="00D55FA1" w:rsidRDefault="00EB1E42" w:rsidP="00704E41">
            <w:pPr>
              <w:rPr>
                <w:rFonts w:cs="Arial"/>
              </w:rPr>
            </w:pPr>
            <w:r w:rsidRPr="00D55FA1">
              <w:rPr>
                <w:rFonts w:cs="Arial"/>
              </w:rPr>
              <w:t>Performance</w:t>
            </w:r>
          </w:p>
        </w:tc>
        <w:tc>
          <w:tcPr>
            <w:tcW w:w="780" w:type="dxa"/>
            <w:hideMark/>
          </w:tcPr>
          <w:p w14:paraId="4E1E336A" w14:textId="77777777" w:rsidR="00EB1E42" w:rsidRPr="00D55FA1" w:rsidRDefault="00EB1E42" w:rsidP="00704E41">
            <w:pPr>
              <w:jc w:val="center"/>
              <w:rPr>
                <w:rFonts w:cs="Arial"/>
              </w:rPr>
            </w:pPr>
            <w:r w:rsidRPr="00D55FA1">
              <w:rPr>
                <w:rFonts w:cs="Arial"/>
              </w:rPr>
              <w:t>14</w:t>
            </w:r>
          </w:p>
        </w:tc>
        <w:tc>
          <w:tcPr>
            <w:tcW w:w="7775" w:type="dxa"/>
            <w:hideMark/>
          </w:tcPr>
          <w:p w14:paraId="3D9CDE4A" w14:textId="77777777" w:rsidR="00EB1E42" w:rsidRPr="00D55FA1" w:rsidRDefault="00EB1E42" w:rsidP="00704E41">
            <w:pPr>
              <w:rPr>
                <w:rFonts w:cs="Arial"/>
              </w:rPr>
            </w:pPr>
            <w:r w:rsidRPr="00D55FA1">
              <w:rPr>
                <w:rFonts w:cs="Arial"/>
              </w:rPr>
              <w:t>Post-school Outcomes</w:t>
            </w:r>
          </w:p>
        </w:tc>
      </w:tr>
      <w:tr w:rsidR="00EB1E42" w:rsidRPr="00D55FA1" w14:paraId="53164B6E" w14:textId="77777777" w:rsidTr="00F00D5D">
        <w:trPr>
          <w:cantSplit/>
          <w:trHeight w:val="288"/>
          <w:jc w:val="center"/>
        </w:trPr>
        <w:tc>
          <w:tcPr>
            <w:tcW w:w="2093" w:type="dxa"/>
            <w:hideMark/>
          </w:tcPr>
          <w:p w14:paraId="7CC7B7B0" w14:textId="77777777" w:rsidR="00EB1E42" w:rsidRPr="00D55FA1" w:rsidRDefault="00EB1E42" w:rsidP="00704E41">
            <w:pPr>
              <w:rPr>
                <w:rFonts w:cs="Arial"/>
              </w:rPr>
            </w:pPr>
            <w:r w:rsidRPr="00D55FA1">
              <w:rPr>
                <w:rFonts w:cs="Arial"/>
              </w:rPr>
              <w:t>Performance</w:t>
            </w:r>
          </w:p>
        </w:tc>
        <w:tc>
          <w:tcPr>
            <w:tcW w:w="780" w:type="dxa"/>
            <w:hideMark/>
          </w:tcPr>
          <w:p w14:paraId="7969F3C6" w14:textId="77777777" w:rsidR="00EB1E42" w:rsidRPr="00D55FA1" w:rsidRDefault="00EB1E42" w:rsidP="00704E41">
            <w:pPr>
              <w:jc w:val="center"/>
              <w:rPr>
                <w:rFonts w:cs="Arial"/>
              </w:rPr>
            </w:pPr>
            <w:r w:rsidRPr="00D55FA1">
              <w:rPr>
                <w:rFonts w:cs="Arial"/>
              </w:rPr>
              <w:t>14A</w:t>
            </w:r>
          </w:p>
        </w:tc>
        <w:tc>
          <w:tcPr>
            <w:tcW w:w="7775" w:type="dxa"/>
            <w:hideMark/>
          </w:tcPr>
          <w:p w14:paraId="37076DD9" w14:textId="77777777" w:rsidR="00EB1E42" w:rsidRPr="00D55FA1" w:rsidRDefault="00EB1E42" w:rsidP="00704E41">
            <w:pPr>
              <w:rPr>
                <w:rFonts w:cs="Arial"/>
              </w:rPr>
            </w:pPr>
            <w:r w:rsidRPr="00D55FA1">
              <w:rPr>
                <w:rFonts w:cs="Arial"/>
              </w:rPr>
              <w:t xml:space="preserve">Enrolled in higher education within one year of leaving high </w:t>
            </w:r>
            <w:r w:rsidRPr="00D55FA1">
              <w:rPr>
                <w:rFonts w:cs="Arial"/>
              </w:rPr>
              <w:br/>
              <w:t>school</w:t>
            </w:r>
          </w:p>
        </w:tc>
      </w:tr>
      <w:tr w:rsidR="00EB1E42" w:rsidRPr="00D55FA1" w14:paraId="094DBBEC" w14:textId="77777777" w:rsidTr="00F00D5D">
        <w:trPr>
          <w:cantSplit/>
          <w:trHeight w:val="288"/>
          <w:jc w:val="center"/>
        </w:trPr>
        <w:tc>
          <w:tcPr>
            <w:tcW w:w="2093" w:type="dxa"/>
            <w:hideMark/>
          </w:tcPr>
          <w:p w14:paraId="6B02F86F" w14:textId="77777777" w:rsidR="00EB1E42" w:rsidRPr="00D55FA1" w:rsidRDefault="00EB1E42" w:rsidP="00704E41">
            <w:pPr>
              <w:rPr>
                <w:rFonts w:cs="Arial"/>
              </w:rPr>
            </w:pPr>
            <w:r w:rsidRPr="00D55FA1">
              <w:rPr>
                <w:rFonts w:cs="Arial"/>
              </w:rPr>
              <w:t>Performance</w:t>
            </w:r>
          </w:p>
        </w:tc>
        <w:tc>
          <w:tcPr>
            <w:tcW w:w="780" w:type="dxa"/>
            <w:hideMark/>
          </w:tcPr>
          <w:p w14:paraId="1A47035E" w14:textId="77777777" w:rsidR="00EB1E42" w:rsidRPr="00D55FA1" w:rsidRDefault="00EB1E42" w:rsidP="00704E41">
            <w:pPr>
              <w:jc w:val="center"/>
              <w:rPr>
                <w:rFonts w:cs="Arial"/>
              </w:rPr>
            </w:pPr>
            <w:r w:rsidRPr="00D55FA1">
              <w:rPr>
                <w:rFonts w:cs="Arial"/>
              </w:rPr>
              <w:t>14B</w:t>
            </w:r>
          </w:p>
        </w:tc>
        <w:tc>
          <w:tcPr>
            <w:tcW w:w="7775" w:type="dxa"/>
            <w:hideMark/>
          </w:tcPr>
          <w:p w14:paraId="58DD8CD4" w14:textId="77777777" w:rsidR="00EB1E42" w:rsidRPr="00D55FA1" w:rsidRDefault="00EB1E42" w:rsidP="00704E41">
            <w:pPr>
              <w:rPr>
                <w:rFonts w:cs="Arial"/>
              </w:rPr>
            </w:pPr>
            <w:r w:rsidRPr="00D55FA1">
              <w:rPr>
                <w:rFonts w:cs="Arial"/>
              </w:rPr>
              <w:t>Enrolled in higher education or competitively employed within one year of leaving high school</w:t>
            </w:r>
          </w:p>
        </w:tc>
      </w:tr>
      <w:tr w:rsidR="00EB1E42" w:rsidRPr="00D55FA1" w14:paraId="45CE730E" w14:textId="77777777" w:rsidTr="00F00D5D">
        <w:trPr>
          <w:cantSplit/>
          <w:trHeight w:val="288"/>
          <w:jc w:val="center"/>
        </w:trPr>
        <w:tc>
          <w:tcPr>
            <w:tcW w:w="2093" w:type="dxa"/>
            <w:hideMark/>
          </w:tcPr>
          <w:p w14:paraId="40C74E9D" w14:textId="77777777" w:rsidR="00EB1E42" w:rsidRPr="00D55FA1" w:rsidRDefault="00EB1E42" w:rsidP="00704E41">
            <w:pPr>
              <w:rPr>
                <w:rFonts w:cs="Arial"/>
              </w:rPr>
            </w:pPr>
            <w:r w:rsidRPr="00D55FA1">
              <w:rPr>
                <w:rFonts w:cs="Arial"/>
              </w:rPr>
              <w:lastRenderedPageBreak/>
              <w:t>Performance</w:t>
            </w:r>
          </w:p>
        </w:tc>
        <w:tc>
          <w:tcPr>
            <w:tcW w:w="780" w:type="dxa"/>
            <w:hideMark/>
          </w:tcPr>
          <w:p w14:paraId="06C399DE" w14:textId="77777777" w:rsidR="00EB1E42" w:rsidRPr="00D55FA1" w:rsidRDefault="00EB1E42" w:rsidP="00704E41">
            <w:pPr>
              <w:jc w:val="center"/>
              <w:rPr>
                <w:rFonts w:cs="Arial"/>
              </w:rPr>
            </w:pPr>
            <w:r w:rsidRPr="00D55FA1">
              <w:rPr>
                <w:rFonts w:cs="Arial"/>
              </w:rPr>
              <w:t>14C</w:t>
            </w:r>
          </w:p>
        </w:tc>
        <w:tc>
          <w:tcPr>
            <w:tcW w:w="7775" w:type="dxa"/>
            <w:hideMark/>
          </w:tcPr>
          <w:p w14:paraId="28D35E37" w14:textId="7A68E503" w:rsidR="00EB1E42" w:rsidRPr="00D55FA1" w:rsidRDefault="00EB1E42" w:rsidP="00704E41">
            <w:pPr>
              <w:rPr>
                <w:rFonts w:cs="Arial"/>
              </w:rPr>
            </w:pPr>
            <w:r w:rsidRPr="00D55FA1">
              <w:rPr>
                <w:rFonts w:cs="Arial"/>
              </w:rPr>
              <w:t>Enrolled in higher education</w:t>
            </w:r>
            <w:r w:rsidR="00970860">
              <w:rPr>
                <w:rFonts w:cs="Arial"/>
              </w:rPr>
              <w:t xml:space="preserve">, </w:t>
            </w:r>
            <w:r w:rsidRPr="00D55FA1">
              <w:rPr>
                <w:rFonts w:cs="Arial"/>
              </w:rPr>
              <w:t xml:space="preserve">in </w:t>
            </w:r>
            <w:r w:rsidR="00B02103">
              <w:rPr>
                <w:rFonts w:cs="Arial"/>
              </w:rPr>
              <w:t>another</w:t>
            </w:r>
            <w:r w:rsidRPr="00D55FA1">
              <w:rPr>
                <w:rFonts w:cs="Arial"/>
              </w:rPr>
              <w:t xml:space="preserve"> </w:t>
            </w:r>
            <w:proofErr w:type="gramStart"/>
            <w:r w:rsidRPr="00D55FA1">
              <w:rPr>
                <w:rFonts w:cs="Arial"/>
              </w:rPr>
              <w:t>postsecondary</w:t>
            </w:r>
            <w:proofErr w:type="gramEnd"/>
            <w:r w:rsidRPr="00D55FA1">
              <w:rPr>
                <w:rFonts w:cs="Arial"/>
              </w:rPr>
              <w:t xml:space="preserve"> education</w:t>
            </w:r>
            <w:r w:rsidR="00235905">
              <w:rPr>
                <w:rFonts w:cs="Arial"/>
              </w:rPr>
              <w:t>/</w:t>
            </w:r>
            <w:r w:rsidRPr="00D55FA1">
              <w:rPr>
                <w:rFonts w:cs="Arial"/>
              </w:rPr>
              <w:t>training program</w:t>
            </w:r>
            <w:r w:rsidR="00B02103">
              <w:rPr>
                <w:rFonts w:cs="Arial"/>
              </w:rPr>
              <w:t>,</w:t>
            </w:r>
            <w:r w:rsidRPr="00D55FA1">
              <w:rPr>
                <w:rFonts w:cs="Arial"/>
              </w:rPr>
              <w:t xml:space="preserve"> competitively employed</w:t>
            </w:r>
            <w:r w:rsidR="00235905">
              <w:rPr>
                <w:rFonts w:cs="Arial"/>
              </w:rPr>
              <w:t>,</w:t>
            </w:r>
            <w:r w:rsidRPr="00D55FA1">
              <w:rPr>
                <w:rFonts w:cs="Arial"/>
              </w:rPr>
              <w:t xml:space="preserve"> or in some other employment within one year of leaving high school</w:t>
            </w:r>
          </w:p>
        </w:tc>
      </w:tr>
      <w:tr w:rsidR="00EB1E42" w:rsidRPr="00D55FA1" w14:paraId="0633A9BC" w14:textId="77777777" w:rsidTr="00F00D5D">
        <w:trPr>
          <w:cantSplit/>
          <w:trHeight w:val="288"/>
          <w:jc w:val="center"/>
        </w:trPr>
        <w:tc>
          <w:tcPr>
            <w:tcW w:w="2093" w:type="dxa"/>
            <w:hideMark/>
          </w:tcPr>
          <w:p w14:paraId="3BC20050" w14:textId="77777777" w:rsidR="00EB1E42" w:rsidRPr="00D55FA1" w:rsidRDefault="00EB1E42" w:rsidP="00704E41">
            <w:pPr>
              <w:rPr>
                <w:rFonts w:cs="Arial"/>
              </w:rPr>
            </w:pPr>
            <w:r w:rsidRPr="00D55FA1">
              <w:rPr>
                <w:rFonts w:cs="Arial"/>
              </w:rPr>
              <w:t>Performance</w:t>
            </w:r>
          </w:p>
        </w:tc>
        <w:tc>
          <w:tcPr>
            <w:tcW w:w="780" w:type="dxa"/>
            <w:hideMark/>
          </w:tcPr>
          <w:p w14:paraId="33CFEC6B" w14:textId="77777777" w:rsidR="00EB1E42" w:rsidRPr="00D55FA1" w:rsidRDefault="00EB1E42" w:rsidP="00704E41">
            <w:pPr>
              <w:jc w:val="center"/>
              <w:rPr>
                <w:rFonts w:cs="Arial"/>
              </w:rPr>
            </w:pPr>
            <w:r w:rsidRPr="00D55FA1">
              <w:rPr>
                <w:rFonts w:cs="Arial"/>
              </w:rPr>
              <w:t>15</w:t>
            </w:r>
          </w:p>
        </w:tc>
        <w:tc>
          <w:tcPr>
            <w:tcW w:w="7775" w:type="dxa"/>
            <w:hideMark/>
          </w:tcPr>
          <w:p w14:paraId="12D938EE" w14:textId="77777777" w:rsidR="00EB1E42" w:rsidRPr="00D55FA1" w:rsidRDefault="00EB1E42" w:rsidP="00704E41">
            <w:pPr>
              <w:rPr>
                <w:rFonts w:cs="Arial"/>
              </w:rPr>
            </w:pPr>
            <w:r w:rsidRPr="00D55FA1">
              <w:rPr>
                <w:rFonts w:cs="Arial"/>
              </w:rPr>
              <w:t>Resolution Sessions</w:t>
            </w:r>
          </w:p>
        </w:tc>
      </w:tr>
      <w:tr w:rsidR="00EB1E42" w:rsidRPr="00D55FA1" w14:paraId="36D051FC" w14:textId="77777777" w:rsidTr="00F00D5D">
        <w:trPr>
          <w:cantSplit/>
          <w:trHeight w:val="288"/>
          <w:jc w:val="center"/>
        </w:trPr>
        <w:tc>
          <w:tcPr>
            <w:tcW w:w="2093" w:type="dxa"/>
            <w:hideMark/>
          </w:tcPr>
          <w:p w14:paraId="263E7DBE" w14:textId="77777777" w:rsidR="00EB1E42" w:rsidRPr="00D55FA1" w:rsidRDefault="00EB1E42" w:rsidP="00704E41">
            <w:pPr>
              <w:rPr>
                <w:rFonts w:cs="Arial"/>
              </w:rPr>
            </w:pPr>
            <w:r w:rsidRPr="00D55FA1">
              <w:rPr>
                <w:rFonts w:cs="Arial"/>
              </w:rPr>
              <w:t>Performance</w:t>
            </w:r>
          </w:p>
        </w:tc>
        <w:tc>
          <w:tcPr>
            <w:tcW w:w="780" w:type="dxa"/>
            <w:hideMark/>
          </w:tcPr>
          <w:p w14:paraId="0EB5E791" w14:textId="77777777" w:rsidR="00EB1E42" w:rsidRPr="00D55FA1" w:rsidRDefault="00EB1E42" w:rsidP="00704E41">
            <w:pPr>
              <w:jc w:val="center"/>
              <w:rPr>
                <w:rFonts w:cs="Arial"/>
              </w:rPr>
            </w:pPr>
            <w:r w:rsidRPr="00D55FA1">
              <w:rPr>
                <w:rFonts w:cs="Arial"/>
              </w:rPr>
              <w:t>16</w:t>
            </w:r>
          </w:p>
        </w:tc>
        <w:tc>
          <w:tcPr>
            <w:tcW w:w="7775" w:type="dxa"/>
            <w:hideMark/>
          </w:tcPr>
          <w:p w14:paraId="57B241F8" w14:textId="77777777" w:rsidR="00EB1E42" w:rsidRPr="00D55FA1" w:rsidRDefault="00EB1E42" w:rsidP="00704E41">
            <w:pPr>
              <w:rPr>
                <w:rFonts w:cs="Arial"/>
              </w:rPr>
            </w:pPr>
            <w:r w:rsidRPr="00D55FA1">
              <w:rPr>
                <w:rFonts w:cs="Arial"/>
              </w:rPr>
              <w:t>Mediation</w:t>
            </w:r>
          </w:p>
        </w:tc>
      </w:tr>
      <w:tr w:rsidR="00EB1E42" w:rsidRPr="00D55FA1" w14:paraId="6C519C47" w14:textId="77777777" w:rsidTr="00F00D5D">
        <w:trPr>
          <w:cantSplit/>
          <w:trHeight w:val="560"/>
          <w:jc w:val="center"/>
        </w:trPr>
        <w:tc>
          <w:tcPr>
            <w:tcW w:w="2093" w:type="dxa"/>
            <w:hideMark/>
          </w:tcPr>
          <w:p w14:paraId="4DD7C4B5" w14:textId="77777777" w:rsidR="00EB1E42" w:rsidRPr="00D55FA1" w:rsidRDefault="00EB1E42" w:rsidP="00704E41">
            <w:pPr>
              <w:rPr>
                <w:rFonts w:cs="Arial"/>
              </w:rPr>
            </w:pPr>
            <w:r w:rsidRPr="00D55FA1">
              <w:rPr>
                <w:rFonts w:cs="Arial"/>
              </w:rPr>
              <w:t>Performance</w:t>
            </w:r>
          </w:p>
        </w:tc>
        <w:tc>
          <w:tcPr>
            <w:tcW w:w="780" w:type="dxa"/>
            <w:hideMark/>
          </w:tcPr>
          <w:p w14:paraId="111B77A1" w14:textId="77777777" w:rsidR="00EB1E42" w:rsidRPr="00D55FA1" w:rsidRDefault="00EB1E42" w:rsidP="00704E41">
            <w:pPr>
              <w:jc w:val="center"/>
              <w:rPr>
                <w:rFonts w:cs="Arial"/>
              </w:rPr>
            </w:pPr>
            <w:r w:rsidRPr="00D55FA1">
              <w:rPr>
                <w:rFonts w:cs="Arial"/>
              </w:rPr>
              <w:t>17</w:t>
            </w:r>
          </w:p>
        </w:tc>
        <w:tc>
          <w:tcPr>
            <w:tcW w:w="7775" w:type="dxa"/>
            <w:hideMark/>
          </w:tcPr>
          <w:p w14:paraId="6C86B9D6" w14:textId="77777777" w:rsidR="00EB1E42" w:rsidRPr="00D55FA1" w:rsidRDefault="00EB1E42" w:rsidP="00704E41">
            <w:pPr>
              <w:rPr>
                <w:rFonts w:cs="Arial"/>
              </w:rPr>
            </w:pPr>
            <w:r w:rsidRPr="00D55FA1">
              <w:rPr>
                <w:rFonts w:cs="Arial"/>
              </w:rPr>
              <w:t>State Systemic Improvement Plan</w:t>
            </w:r>
          </w:p>
        </w:tc>
      </w:tr>
      <w:tr w:rsidR="00341B2F" w:rsidRPr="00D55FA1" w14:paraId="05302555" w14:textId="77777777" w:rsidTr="00F00D5D">
        <w:trPr>
          <w:cantSplit/>
          <w:trHeight w:val="560"/>
          <w:jc w:val="center"/>
        </w:trPr>
        <w:tc>
          <w:tcPr>
            <w:tcW w:w="2093" w:type="dxa"/>
          </w:tcPr>
          <w:p w14:paraId="0C965A94" w14:textId="5E725CBC" w:rsidR="00341B2F" w:rsidRPr="00D55FA1" w:rsidRDefault="00341B2F" w:rsidP="00704E41">
            <w:pPr>
              <w:rPr>
                <w:rFonts w:cs="Arial"/>
              </w:rPr>
            </w:pPr>
            <w:r>
              <w:rPr>
                <w:rFonts w:cs="Arial"/>
              </w:rPr>
              <w:t>Compliance</w:t>
            </w:r>
          </w:p>
        </w:tc>
        <w:tc>
          <w:tcPr>
            <w:tcW w:w="780" w:type="dxa"/>
          </w:tcPr>
          <w:p w14:paraId="7F1D9004" w14:textId="4DDD88FC" w:rsidR="00341B2F" w:rsidRPr="00D55FA1" w:rsidRDefault="00341B2F" w:rsidP="00704E41">
            <w:pPr>
              <w:jc w:val="center"/>
              <w:rPr>
                <w:rFonts w:cs="Arial"/>
              </w:rPr>
            </w:pPr>
            <w:r>
              <w:rPr>
                <w:rFonts w:cs="Arial"/>
              </w:rPr>
              <w:t>18</w:t>
            </w:r>
          </w:p>
        </w:tc>
        <w:tc>
          <w:tcPr>
            <w:tcW w:w="7775" w:type="dxa"/>
          </w:tcPr>
          <w:p w14:paraId="2C2AE8C2" w14:textId="4F106CC1" w:rsidR="00341B2F" w:rsidRPr="00D55FA1" w:rsidRDefault="002E6305" w:rsidP="00704E41">
            <w:pPr>
              <w:rPr>
                <w:rFonts w:cs="Arial"/>
              </w:rPr>
            </w:pPr>
            <w:r>
              <w:rPr>
                <w:rFonts w:cs="Arial"/>
              </w:rPr>
              <w:t>General Supervision</w:t>
            </w:r>
          </w:p>
        </w:tc>
      </w:tr>
    </w:tbl>
    <w:p w14:paraId="677240AA" w14:textId="77777777" w:rsidR="00633165" w:rsidRPr="00D55FA1" w:rsidRDefault="00633165" w:rsidP="00173299">
      <w:pPr>
        <w:pStyle w:val="Heading2"/>
      </w:pPr>
      <w:bookmarkStart w:id="96" w:name="_Toc212718029"/>
      <w:r w:rsidRPr="00D55FA1">
        <w:t>Overview of Population and Services</w:t>
      </w:r>
      <w:bookmarkEnd w:id="96"/>
    </w:p>
    <w:p w14:paraId="498B3267" w14:textId="4DE4CDAC" w:rsidR="00230294" w:rsidRDefault="00633165" w:rsidP="00A869FA">
      <w:pPr>
        <w:spacing w:after="240"/>
      </w:pPr>
      <w:r>
        <w:t>During FFY 20</w:t>
      </w:r>
      <w:r w:rsidR="00844365">
        <w:t>2</w:t>
      </w:r>
      <w:r w:rsidR="00607A34">
        <w:t>4</w:t>
      </w:r>
      <w:r w:rsidR="28CFEFDE">
        <w:t>,</w:t>
      </w:r>
      <w:r>
        <w:t xml:space="preserve"> a total of </w:t>
      </w:r>
      <w:r w:rsidR="00C350C6">
        <w:t>8</w:t>
      </w:r>
      <w:r w:rsidR="00DF73C9">
        <w:t>76</w:t>
      </w:r>
      <w:r w:rsidR="00C350C6">
        <w:t>,</w:t>
      </w:r>
      <w:r w:rsidR="00DF73C9">
        <w:t>250</w:t>
      </w:r>
      <w:r>
        <w:t xml:space="preserve"> students from birth to twenty-two years received special education </w:t>
      </w:r>
      <w:r w:rsidR="001403D0">
        <w:t xml:space="preserve">services </w:t>
      </w:r>
      <w:r>
        <w:t xml:space="preserve">from LEAs. There are </w:t>
      </w:r>
      <w:r w:rsidR="00412455">
        <w:t>5,8</w:t>
      </w:r>
      <w:r w:rsidR="008645A7">
        <w:t>06,221</w:t>
      </w:r>
      <w:r>
        <w:t xml:space="preserve"> </w:t>
      </w:r>
      <w:r w:rsidR="004636D4">
        <w:t xml:space="preserve">transitional </w:t>
      </w:r>
      <w:proofErr w:type="gramStart"/>
      <w:r>
        <w:t>kindergarten</w:t>
      </w:r>
      <w:proofErr w:type="gramEnd"/>
      <w:r>
        <w:t xml:space="preserve"> </w:t>
      </w:r>
      <w:r w:rsidR="00731555">
        <w:t xml:space="preserve">(TK) </w:t>
      </w:r>
      <w:r>
        <w:t>through grade twelve students enrolled in California</w:t>
      </w:r>
      <w:r w:rsidR="00E15B06">
        <w:t xml:space="preserve"> LEAs</w:t>
      </w:r>
      <w:r>
        <w:t xml:space="preserve">; </w:t>
      </w:r>
      <w:r w:rsidR="009B3EDD">
        <w:t xml:space="preserve">of those </w:t>
      </w:r>
      <w:r w:rsidR="008B7613">
        <w:t>8</w:t>
      </w:r>
      <w:r w:rsidR="00F20AE1">
        <w:t>32,335</w:t>
      </w:r>
      <w:r w:rsidR="00C963F4">
        <w:t>,</w:t>
      </w:r>
      <w:r w:rsidR="009B3EDD">
        <w:t xml:space="preserve"> are </w:t>
      </w:r>
      <w:r w:rsidR="00E34275">
        <w:t xml:space="preserve">SWDs </w:t>
      </w:r>
      <w:r w:rsidR="7B2499EF">
        <w:t>who</w:t>
      </w:r>
      <w:r w:rsidR="009B3EDD">
        <w:t xml:space="preserve"> </w:t>
      </w:r>
      <w:r>
        <w:t xml:space="preserve">comprise </w:t>
      </w:r>
      <w:r w:rsidR="008B7613">
        <w:t>14</w:t>
      </w:r>
      <w:r w:rsidR="00F20AE1">
        <w:t>.3</w:t>
      </w:r>
      <w:r>
        <w:t xml:space="preserve"> percent of that population.</w:t>
      </w:r>
      <w:r w:rsidR="00D14459">
        <w:t xml:space="preserve"> </w:t>
      </w:r>
      <w:r w:rsidR="00230294">
        <w:t xml:space="preserve">Almost half of </w:t>
      </w:r>
      <w:r w:rsidR="001C5055">
        <w:t>all</w:t>
      </w:r>
      <w:r w:rsidR="00230294">
        <w:t xml:space="preserve"> SWDs in California (</w:t>
      </w:r>
      <w:r w:rsidR="00B64EA5">
        <w:t>49.</w:t>
      </w:r>
      <w:r w:rsidR="0061348B">
        <w:t>39</w:t>
      </w:r>
      <w:r w:rsidR="00230294">
        <w:t xml:space="preserve"> percent) are between six and twelve years of age; two-thirds of </w:t>
      </w:r>
      <w:r w:rsidR="00880586">
        <w:t xml:space="preserve">all </w:t>
      </w:r>
      <w:r w:rsidR="00230294">
        <w:t>SWDs are male (6</w:t>
      </w:r>
      <w:r w:rsidR="008941B1">
        <w:t>5.95</w:t>
      </w:r>
      <w:r w:rsidR="00230294">
        <w:t xml:space="preserve"> percent); and almost a quarter are English-language learners (2</w:t>
      </w:r>
      <w:r w:rsidR="00B10F8A">
        <w:t>0.23</w:t>
      </w:r>
      <w:r w:rsidR="00230294">
        <w:t xml:space="preserve"> percent). Of all students with disabilities, Hispanic/Latino students represent the greatest </w:t>
      </w:r>
      <w:r w:rsidR="00E15B06">
        <w:t xml:space="preserve">proportion </w:t>
      </w:r>
      <w:r w:rsidR="00230294">
        <w:t xml:space="preserve">of students </w:t>
      </w:r>
      <w:r w:rsidR="00E15B06">
        <w:t xml:space="preserve">receiving </w:t>
      </w:r>
      <w:r w:rsidR="00230294">
        <w:t>special education and related services (60</w:t>
      </w:r>
      <w:r w:rsidR="00F56255">
        <w:t>.5</w:t>
      </w:r>
      <w:r w:rsidR="00230294">
        <w:t xml:space="preserve"> percent) followed by white students (19</w:t>
      </w:r>
      <w:r w:rsidR="00F56255">
        <w:t>.11</w:t>
      </w:r>
      <w:r w:rsidR="00230294">
        <w:t xml:space="preserve"> percent). </w:t>
      </w:r>
    </w:p>
    <w:p w14:paraId="3EA03478" w14:textId="74D31089" w:rsidR="00633165" w:rsidRPr="00D55FA1" w:rsidRDefault="00011E05" w:rsidP="00A869FA">
      <w:pPr>
        <w:spacing w:after="240"/>
      </w:pPr>
      <w:r w:rsidRPr="00171A59">
        <w:t xml:space="preserve">Of the 876,250 SWDs </w:t>
      </w:r>
      <w:r w:rsidR="000749FF" w:rsidRPr="00171A59">
        <w:t>California serves</w:t>
      </w:r>
      <w:r w:rsidR="00490BCC" w:rsidRPr="00171A59">
        <w:t>,</w:t>
      </w:r>
      <w:r w:rsidR="000749FF" w:rsidRPr="00171A59">
        <w:t xml:space="preserve"> </w:t>
      </w:r>
      <w:proofErr w:type="gramStart"/>
      <w:r w:rsidR="00174A67" w:rsidRPr="00171A59">
        <w:t>100,296</w:t>
      </w:r>
      <w:r w:rsidR="00490BCC" w:rsidRPr="00171A59">
        <w:t>,</w:t>
      </w:r>
      <w:proofErr w:type="gramEnd"/>
      <w:r w:rsidR="00490BCC" w:rsidRPr="00171A59">
        <w:t xml:space="preserve"> are</w:t>
      </w:r>
      <w:r w:rsidR="00F70869" w:rsidRPr="00171A59">
        <w:t xml:space="preserve"> SWDs aged </w:t>
      </w:r>
      <w:r w:rsidR="00944862">
        <w:t>three</w:t>
      </w:r>
      <w:r w:rsidR="00F70869">
        <w:t xml:space="preserve"> to </w:t>
      </w:r>
      <w:r w:rsidR="00944862">
        <w:t>five</w:t>
      </w:r>
      <w:r w:rsidR="00F70869">
        <w:t xml:space="preserve"> </w:t>
      </w:r>
      <w:r w:rsidR="00F70869" w:rsidRPr="00171A59">
        <w:t xml:space="preserve">years old. </w:t>
      </w:r>
      <w:r w:rsidR="00880586" w:rsidRPr="00171A59">
        <w:t>Just over 40</w:t>
      </w:r>
      <w:r w:rsidR="002B1CB3" w:rsidRPr="00171A59">
        <w:t xml:space="preserve"> percent of those students attend preschool; </w:t>
      </w:r>
      <w:r w:rsidR="00617B5C" w:rsidRPr="00171A59">
        <w:t>almost half</w:t>
      </w:r>
      <w:r w:rsidR="004039AC" w:rsidRPr="00171A59">
        <w:t xml:space="preserve"> (4</w:t>
      </w:r>
      <w:r w:rsidR="00880586" w:rsidRPr="00171A59">
        <w:t>7</w:t>
      </w:r>
      <w:r w:rsidR="004039AC" w:rsidRPr="00171A59">
        <w:t xml:space="preserve"> percent)</w:t>
      </w:r>
      <w:r w:rsidR="00617B5C" w:rsidRPr="00171A59">
        <w:t xml:space="preserve"> </w:t>
      </w:r>
      <w:r w:rsidR="00A85345" w:rsidRPr="00171A59">
        <w:t xml:space="preserve">of </w:t>
      </w:r>
      <w:proofErr w:type="gramStart"/>
      <w:r w:rsidR="0064123A">
        <w:t>three</w:t>
      </w:r>
      <w:r w:rsidR="00A85345">
        <w:t xml:space="preserve"> to </w:t>
      </w:r>
      <w:r w:rsidR="0064123A">
        <w:t>five</w:t>
      </w:r>
      <w:r w:rsidR="00A85345">
        <w:t xml:space="preserve"> </w:t>
      </w:r>
      <w:r w:rsidR="00A85345" w:rsidRPr="00171A59">
        <w:t>year olds</w:t>
      </w:r>
      <w:proofErr w:type="gramEnd"/>
      <w:r w:rsidR="00A85345" w:rsidRPr="00171A59">
        <w:t xml:space="preserve"> </w:t>
      </w:r>
      <w:r w:rsidR="005773C3">
        <w:t xml:space="preserve">SWDs </w:t>
      </w:r>
      <w:r w:rsidR="00A85345" w:rsidRPr="00171A59">
        <w:t>have a primary disability of Speech or Language Impairment</w:t>
      </w:r>
      <w:r w:rsidR="00B85B33" w:rsidRPr="00171A59">
        <w:t xml:space="preserve"> followed by Autism</w:t>
      </w:r>
      <w:r w:rsidR="00376C34" w:rsidRPr="00171A59">
        <w:t xml:space="preserve"> (4</w:t>
      </w:r>
      <w:r w:rsidR="00AB1041" w:rsidRPr="00171A59">
        <w:t>2</w:t>
      </w:r>
      <w:r w:rsidR="00376C34" w:rsidRPr="00171A59">
        <w:t xml:space="preserve"> percent)</w:t>
      </w:r>
      <w:r w:rsidR="00B85B33" w:rsidRPr="00171A59">
        <w:t>.</w:t>
      </w:r>
      <w:r w:rsidR="0069317C" w:rsidRPr="00171A59">
        <w:t xml:space="preserve"> </w:t>
      </w:r>
      <w:r w:rsidR="00376C34" w:rsidRPr="00171A59">
        <w:t xml:space="preserve">Additionally, </w:t>
      </w:r>
      <w:r w:rsidR="00745E08" w:rsidRPr="00171A59">
        <w:t>t</w:t>
      </w:r>
      <w:r w:rsidR="00D14459" w:rsidRPr="00171A59">
        <w:t xml:space="preserve">here are </w:t>
      </w:r>
      <w:r w:rsidR="007204E6">
        <w:t xml:space="preserve">a total of </w:t>
      </w:r>
      <w:r w:rsidR="00017EC1" w:rsidRPr="00171A59">
        <w:t>5</w:t>
      </w:r>
      <w:r w:rsidR="00BA5807" w:rsidRPr="00171A59">
        <w:t>03,556</w:t>
      </w:r>
      <w:r w:rsidR="00D15586" w:rsidRPr="00171A59">
        <w:t xml:space="preserve"> students </w:t>
      </w:r>
      <w:r w:rsidR="007204E6">
        <w:t xml:space="preserve">enrolled </w:t>
      </w:r>
      <w:r w:rsidR="001D30AE" w:rsidRPr="00171A59">
        <w:t xml:space="preserve">in </w:t>
      </w:r>
      <w:r w:rsidR="007204E6">
        <w:t>\</w:t>
      </w:r>
      <w:r w:rsidR="007204E6" w:rsidRPr="00171A59">
        <w:t xml:space="preserve"> </w:t>
      </w:r>
      <w:r w:rsidR="00204BE6" w:rsidRPr="00171A59">
        <w:t>TK</w:t>
      </w:r>
      <w:r w:rsidR="001D30AE" w:rsidRPr="00171A59">
        <w:t xml:space="preserve"> and kindergarten</w:t>
      </w:r>
      <w:r w:rsidR="00DE1A8C" w:rsidRPr="00171A59">
        <w:t xml:space="preserve">; of those </w:t>
      </w:r>
      <w:r w:rsidR="00B7451A" w:rsidRPr="00171A59">
        <w:t>61,562</w:t>
      </w:r>
      <w:r w:rsidR="00DE1A8C" w:rsidRPr="00171A59">
        <w:t xml:space="preserve"> are SWDs</w:t>
      </w:r>
      <w:r w:rsidR="003E4A44" w:rsidRPr="00171A59">
        <w:t xml:space="preserve">. </w:t>
      </w:r>
      <w:r w:rsidR="007C0189" w:rsidRPr="00171A59">
        <w:t>This means 12.2</w:t>
      </w:r>
      <w:r w:rsidR="00256DD4" w:rsidRPr="00171A59">
        <w:t xml:space="preserve"> percent of students</w:t>
      </w:r>
      <w:r w:rsidR="001E5A49" w:rsidRPr="00171A59">
        <w:t xml:space="preserve"> in </w:t>
      </w:r>
      <w:r w:rsidR="00AD129B" w:rsidRPr="00171A59">
        <w:t>the two</w:t>
      </w:r>
      <w:r w:rsidR="0069317C" w:rsidRPr="00171A59">
        <w:t>-</w:t>
      </w:r>
      <w:r w:rsidR="00AD129B" w:rsidRPr="00171A59">
        <w:t>year kindergarten grades are SWDs.</w:t>
      </w:r>
      <w:r w:rsidR="00633165">
        <w:t xml:space="preserve"> </w:t>
      </w:r>
    </w:p>
    <w:p w14:paraId="713D703F" w14:textId="012E63CA" w:rsidR="00633165" w:rsidRPr="00D55FA1" w:rsidRDefault="00633165" w:rsidP="00A869FA">
      <w:pPr>
        <w:spacing w:after="240"/>
      </w:pPr>
      <w:r w:rsidRPr="00D55FA1">
        <w:t>California students identified as having at least one disability are eligible for individualized services to meet their unique needs. There are 14 disability categories, as displayed in Table 2. The most common primary disability category designation for students is Specific Learning Disability (</w:t>
      </w:r>
      <w:r w:rsidR="002C278C" w:rsidRPr="00D55FA1">
        <w:t>3</w:t>
      </w:r>
      <w:r w:rsidR="00940FDA">
        <w:t>1</w:t>
      </w:r>
      <w:r w:rsidR="001F5975">
        <w:t>.</w:t>
      </w:r>
      <w:r w:rsidR="00940FDA">
        <w:t>49</w:t>
      </w:r>
      <w:r w:rsidRPr="00D55FA1">
        <w:t xml:space="preserve"> percent), followed by </w:t>
      </w:r>
      <w:r w:rsidR="00E755F4">
        <w:t>Autism</w:t>
      </w:r>
      <w:r w:rsidRPr="00D55FA1">
        <w:t xml:space="preserve"> (2</w:t>
      </w:r>
      <w:r w:rsidR="00516614" w:rsidRPr="00D55FA1">
        <w:t>1.</w:t>
      </w:r>
      <w:r w:rsidR="003D7B9A">
        <w:t>5</w:t>
      </w:r>
      <w:r w:rsidR="001F5975">
        <w:t>1</w:t>
      </w:r>
      <w:r w:rsidRPr="00D55FA1">
        <w:t xml:space="preserve"> percent).</w:t>
      </w:r>
      <w:r w:rsidR="007F4779" w:rsidRPr="00D55FA1">
        <w:t xml:space="preserve"> </w:t>
      </w:r>
      <w:r w:rsidR="007204E6">
        <w:t>Tables 2 and 3 are based on SWDs birth to twenty-two years.</w:t>
      </w:r>
    </w:p>
    <w:p w14:paraId="338A6D0F" w14:textId="640E5569" w:rsidR="0023436D" w:rsidRPr="0023436D" w:rsidRDefault="00633165" w:rsidP="005E62B2">
      <w:pPr>
        <w:spacing w:after="240"/>
        <w:rPr>
          <w:b/>
          <w:bCs/>
        </w:rPr>
      </w:pPr>
      <w:bookmarkStart w:id="97" w:name="_Toc57198994"/>
      <w:r w:rsidRPr="0023436D">
        <w:rPr>
          <w:b/>
          <w:bCs/>
        </w:rPr>
        <w:t>Table 2: Enrollment of Students with Disabilities by</w:t>
      </w:r>
      <w:r w:rsidR="007F4779" w:rsidRPr="0023436D">
        <w:rPr>
          <w:b/>
          <w:bCs/>
        </w:rPr>
        <w:t xml:space="preserve"> Primary</w:t>
      </w:r>
      <w:r w:rsidRPr="0023436D">
        <w:rPr>
          <w:b/>
          <w:bCs/>
        </w:rPr>
        <w:t xml:space="preserve"> Disability Type</w:t>
      </w:r>
      <w:bookmarkEnd w:id="97"/>
    </w:p>
    <w:tbl>
      <w:tblPr>
        <w:tblStyle w:val="TableGrid"/>
        <w:tblW w:w="0" w:type="auto"/>
        <w:tblLook w:val="04A0" w:firstRow="1" w:lastRow="0" w:firstColumn="1" w:lastColumn="0" w:noHBand="0" w:noVBand="1"/>
        <w:tblDescription w:val="A table listing how many students are in each disability category."/>
      </w:tblPr>
      <w:tblGrid>
        <w:gridCol w:w="4405"/>
        <w:gridCol w:w="2520"/>
        <w:gridCol w:w="2425"/>
      </w:tblGrid>
      <w:tr w:rsidR="00633165" w:rsidRPr="00D55FA1" w14:paraId="52B0E7C2" w14:textId="77777777" w:rsidTr="7E305038">
        <w:trPr>
          <w:cantSplit/>
          <w:tblHeader/>
        </w:trPr>
        <w:tc>
          <w:tcPr>
            <w:tcW w:w="4405" w:type="dxa"/>
            <w:tcBorders>
              <w:top w:val="single" w:sz="4" w:space="0" w:color="auto"/>
              <w:left w:val="single" w:sz="4" w:space="0" w:color="auto"/>
              <w:bottom w:val="single" w:sz="4" w:space="0" w:color="auto"/>
              <w:right w:val="single" w:sz="4" w:space="0" w:color="auto"/>
            </w:tcBorders>
            <w:hideMark/>
          </w:tcPr>
          <w:p w14:paraId="3196EC1C" w14:textId="77777777" w:rsidR="00633165" w:rsidRPr="00D55FA1" w:rsidRDefault="00633165">
            <w:pPr>
              <w:rPr>
                <w:b/>
              </w:rPr>
            </w:pPr>
            <w:r w:rsidRPr="00D55FA1">
              <w:rPr>
                <w:b/>
              </w:rPr>
              <w:t>Disability</w:t>
            </w:r>
          </w:p>
        </w:tc>
        <w:tc>
          <w:tcPr>
            <w:tcW w:w="2520" w:type="dxa"/>
            <w:tcBorders>
              <w:top w:val="single" w:sz="4" w:space="0" w:color="auto"/>
              <w:left w:val="single" w:sz="4" w:space="0" w:color="auto"/>
              <w:bottom w:val="single" w:sz="4" w:space="0" w:color="auto"/>
              <w:right w:val="single" w:sz="4" w:space="0" w:color="auto"/>
            </w:tcBorders>
            <w:hideMark/>
          </w:tcPr>
          <w:p w14:paraId="7582ECA3" w14:textId="77777777" w:rsidR="00633165" w:rsidRPr="00D55FA1" w:rsidRDefault="00633165" w:rsidP="00BD20A7">
            <w:pPr>
              <w:jc w:val="center"/>
              <w:rPr>
                <w:b/>
              </w:rPr>
            </w:pPr>
            <w:r w:rsidRPr="00D55FA1">
              <w:rPr>
                <w:b/>
              </w:rPr>
              <w:t>Number of Students</w:t>
            </w:r>
          </w:p>
        </w:tc>
        <w:tc>
          <w:tcPr>
            <w:tcW w:w="2425" w:type="dxa"/>
            <w:tcBorders>
              <w:top w:val="single" w:sz="4" w:space="0" w:color="auto"/>
              <w:left w:val="single" w:sz="4" w:space="0" w:color="auto"/>
              <w:bottom w:val="single" w:sz="4" w:space="0" w:color="auto"/>
              <w:right w:val="single" w:sz="4" w:space="0" w:color="auto"/>
            </w:tcBorders>
            <w:hideMark/>
          </w:tcPr>
          <w:p w14:paraId="391D83BE" w14:textId="77777777" w:rsidR="00633165" w:rsidRPr="00D55FA1" w:rsidRDefault="00633165" w:rsidP="00BD20A7">
            <w:pPr>
              <w:jc w:val="center"/>
              <w:rPr>
                <w:b/>
              </w:rPr>
            </w:pPr>
            <w:r w:rsidRPr="00D55FA1">
              <w:rPr>
                <w:b/>
              </w:rPr>
              <w:t>Percentage</w:t>
            </w:r>
          </w:p>
        </w:tc>
      </w:tr>
      <w:tr w:rsidR="00633165" w:rsidRPr="00D55FA1" w14:paraId="5DCA99F8"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5A64C0D8" w14:textId="209E5759" w:rsidR="00633165" w:rsidRPr="00D55FA1" w:rsidRDefault="00633165">
            <w:r w:rsidRPr="00D55FA1">
              <w:t xml:space="preserve">Specific Learning Disability </w:t>
            </w:r>
          </w:p>
        </w:tc>
        <w:tc>
          <w:tcPr>
            <w:tcW w:w="2520" w:type="dxa"/>
            <w:tcBorders>
              <w:top w:val="single" w:sz="4" w:space="0" w:color="auto"/>
              <w:left w:val="single" w:sz="4" w:space="0" w:color="auto"/>
              <w:bottom w:val="single" w:sz="4" w:space="0" w:color="auto"/>
              <w:right w:val="single" w:sz="4" w:space="0" w:color="auto"/>
            </w:tcBorders>
            <w:hideMark/>
          </w:tcPr>
          <w:p w14:paraId="2D288BF6" w14:textId="77165B2D" w:rsidR="00633165" w:rsidRPr="00D55FA1" w:rsidRDefault="00B63CFE" w:rsidP="00BD20A7">
            <w:pPr>
              <w:jc w:val="center"/>
            </w:pPr>
            <w:r>
              <w:t>275</w:t>
            </w:r>
            <w:r w:rsidR="003A6C17">
              <w:t>,959</w:t>
            </w:r>
          </w:p>
        </w:tc>
        <w:tc>
          <w:tcPr>
            <w:tcW w:w="2425" w:type="dxa"/>
            <w:tcBorders>
              <w:top w:val="single" w:sz="4" w:space="0" w:color="auto"/>
              <w:left w:val="single" w:sz="4" w:space="0" w:color="auto"/>
              <w:bottom w:val="single" w:sz="4" w:space="0" w:color="auto"/>
              <w:right w:val="single" w:sz="4" w:space="0" w:color="auto"/>
            </w:tcBorders>
            <w:hideMark/>
          </w:tcPr>
          <w:p w14:paraId="4260EBF7" w14:textId="42BFAC16" w:rsidR="00633165" w:rsidRPr="00D55FA1" w:rsidRDefault="007C7B16" w:rsidP="00BD20A7">
            <w:pPr>
              <w:jc w:val="center"/>
            </w:pPr>
            <w:r>
              <w:t>31.49</w:t>
            </w:r>
          </w:p>
        </w:tc>
      </w:tr>
      <w:tr w:rsidR="00633165" w:rsidRPr="00D55FA1" w14:paraId="6968FD4A"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77C25564" w14:textId="7589C360" w:rsidR="00633165" w:rsidRPr="00D55FA1" w:rsidRDefault="00BB25AF">
            <w:r>
              <w:t xml:space="preserve">Autism </w:t>
            </w:r>
          </w:p>
        </w:tc>
        <w:tc>
          <w:tcPr>
            <w:tcW w:w="2520" w:type="dxa"/>
            <w:tcBorders>
              <w:top w:val="single" w:sz="4" w:space="0" w:color="auto"/>
              <w:left w:val="single" w:sz="4" w:space="0" w:color="auto"/>
              <w:bottom w:val="single" w:sz="4" w:space="0" w:color="auto"/>
              <w:right w:val="single" w:sz="4" w:space="0" w:color="auto"/>
            </w:tcBorders>
            <w:hideMark/>
          </w:tcPr>
          <w:p w14:paraId="1092487A" w14:textId="49E56A27" w:rsidR="00633165" w:rsidRPr="00D55FA1" w:rsidRDefault="003A6C17" w:rsidP="00BD20A7">
            <w:pPr>
              <w:jc w:val="center"/>
            </w:pPr>
            <w:r>
              <w:t>188,440</w:t>
            </w:r>
          </w:p>
        </w:tc>
        <w:tc>
          <w:tcPr>
            <w:tcW w:w="2425" w:type="dxa"/>
            <w:tcBorders>
              <w:top w:val="single" w:sz="4" w:space="0" w:color="auto"/>
              <w:left w:val="single" w:sz="4" w:space="0" w:color="auto"/>
              <w:bottom w:val="single" w:sz="4" w:space="0" w:color="auto"/>
              <w:right w:val="single" w:sz="4" w:space="0" w:color="auto"/>
            </w:tcBorders>
            <w:hideMark/>
          </w:tcPr>
          <w:p w14:paraId="54EDF0F9" w14:textId="14205614" w:rsidR="00633165" w:rsidRPr="00D55FA1" w:rsidRDefault="002C278C" w:rsidP="00BD20A7">
            <w:pPr>
              <w:jc w:val="center"/>
            </w:pPr>
            <w:r w:rsidRPr="00D55FA1">
              <w:t>21.</w:t>
            </w:r>
            <w:r w:rsidR="007C7B16">
              <w:t>51</w:t>
            </w:r>
          </w:p>
        </w:tc>
      </w:tr>
      <w:tr w:rsidR="00633165" w:rsidRPr="00D55FA1" w14:paraId="42871B37"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5EDBFE36" w14:textId="4119361B" w:rsidR="00633165" w:rsidRPr="00D55FA1" w:rsidRDefault="00BB25AF">
            <w:r w:rsidRPr="00D55FA1">
              <w:t xml:space="preserve">Speech or Language Impairment </w:t>
            </w:r>
          </w:p>
        </w:tc>
        <w:tc>
          <w:tcPr>
            <w:tcW w:w="2520" w:type="dxa"/>
            <w:tcBorders>
              <w:top w:val="single" w:sz="4" w:space="0" w:color="auto"/>
              <w:left w:val="single" w:sz="4" w:space="0" w:color="auto"/>
              <w:bottom w:val="single" w:sz="4" w:space="0" w:color="auto"/>
              <w:right w:val="single" w:sz="4" w:space="0" w:color="auto"/>
            </w:tcBorders>
            <w:hideMark/>
          </w:tcPr>
          <w:p w14:paraId="51D4A3D4" w14:textId="1169CAEC" w:rsidR="00633165" w:rsidRPr="00D55FA1" w:rsidRDefault="007C7B16" w:rsidP="00BD20A7">
            <w:pPr>
              <w:jc w:val="center"/>
            </w:pPr>
            <w:r>
              <w:t>185,435</w:t>
            </w:r>
          </w:p>
        </w:tc>
        <w:tc>
          <w:tcPr>
            <w:tcW w:w="2425" w:type="dxa"/>
            <w:tcBorders>
              <w:top w:val="single" w:sz="4" w:space="0" w:color="auto"/>
              <w:left w:val="single" w:sz="4" w:space="0" w:color="auto"/>
              <w:bottom w:val="single" w:sz="4" w:space="0" w:color="auto"/>
              <w:right w:val="single" w:sz="4" w:space="0" w:color="auto"/>
            </w:tcBorders>
            <w:hideMark/>
          </w:tcPr>
          <w:p w14:paraId="036BA6FC" w14:textId="393745AF" w:rsidR="00633165" w:rsidRPr="00D55FA1" w:rsidRDefault="007C7B16" w:rsidP="00BD20A7">
            <w:pPr>
              <w:jc w:val="center"/>
            </w:pPr>
            <w:r>
              <w:t>21.16</w:t>
            </w:r>
          </w:p>
        </w:tc>
      </w:tr>
      <w:tr w:rsidR="00633165" w:rsidRPr="00D55FA1" w14:paraId="1CEBE27D"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42DEFD81" w14:textId="7F3D89F0" w:rsidR="00633165" w:rsidRPr="00D55FA1" w:rsidRDefault="00633165">
            <w:r w:rsidRPr="00D55FA1">
              <w:t xml:space="preserve">Other Health Impairment </w:t>
            </w:r>
          </w:p>
        </w:tc>
        <w:tc>
          <w:tcPr>
            <w:tcW w:w="2520" w:type="dxa"/>
            <w:tcBorders>
              <w:top w:val="single" w:sz="4" w:space="0" w:color="auto"/>
              <w:left w:val="single" w:sz="4" w:space="0" w:color="auto"/>
              <w:bottom w:val="single" w:sz="4" w:space="0" w:color="auto"/>
              <w:right w:val="single" w:sz="4" w:space="0" w:color="auto"/>
            </w:tcBorders>
            <w:hideMark/>
          </w:tcPr>
          <w:p w14:paraId="450FA168" w14:textId="0B53399C" w:rsidR="00633165" w:rsidRPr="00D55FA1" w:rsidRDefault="007C7B16" w:rsidP="00BD20A7">
            <w:pPr>
              <w:jc w:val="center"/>
            </w:pPr>
            <w:r>
              <w:t>133,774</w:t>
            </w:r>
          </w:p>
        </w:tc>
        <w:tc>
          <w:tcPr>
            <w:tcW w:w="2425" w:type="dxa"/>
            <w:tcBorders>
              <w:top w:val="single" w:sz="4" w:space="0" w:color="auto"/>
              <w:left w:val="single" w:sz="4" w:space="0" w:color="auto"/>
              <w:bottom w:val="single" w:sz="4" w:space="0" w:color="auto"/>
              <w:right w:val="single" w:sz="4" w:space="0" w:color="auto"/>
            </w:tcBorders>
            <w:hideMark/>
          </w:tcPr>
          <w:p w14:paraId="06ECA66B" w14:textId="0EEAA11D" w:rsidR="00633165" w:rsidRPr="00D55FA1" w:rsidRDefault="007C7B16" w:rsidP="00BD20A7">
            <w:pPr>
              <w:jc w:val="center"/>
            </w:pPr>
            <w:r>
              <w:t>15.27</w:t>
            </w:r>
          </w:p>
        </w:tc>
      </w:tr>
      <w:tr w:rsidR="00633165" w:rsidRPr="00D55FA1" w14:paraId="5FD1E55F"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309A615D" w14:textId="76E1BE1C" w:rsidR="00633165" w:rsidRPr="00D55FA1" w:rsidRDefault="00633165">
            <w:r w:rsidRPr="00D55FA1">
              <w:t xml:space="preserve">Intellectual Disability </w:t>
            </w:r>
          </w:p>
        </w:tc>
        <w:tc>
          <w:tcPr>
            <w:tcW w:w="2520" w:type="dxa"/>
            <w:tcBorders>
              <w:top w:val="single" w:sz="4" w:space="0" w:color="auto"/>
              <w:left w:val="single" w:sz="4" w:space="0" w:color="auto"/>
              <w:bottom w:val="single" w:sz="4" w:space="0" w:color="auto"/>
              <w:right w:val="single" w:sz="4" w:space="0" w:color="auto"/>
            </w:tcBorders>
            <w:hideMark/>
          </w:tcPr>
          <w:p w14:paraId="47397B0E" w14:textId="50A5A5DA" w:rsidR="00633165" w:rsidRPr="00D55FA1" w:rsidRDefault="00516614" w:rsidP="00BD20A7">
            <w:pPr>
              <w:jc w:val="center"/>
            </w:pPr>
            <w:r w:rsidRPr="00D55FA1">
              <w:t>4</w:t>
            </w:r>
            <w:r w:rsidR="007C005B" w:rsidRPr="00D55FA1">
              <w:t>0</w:t>
            </w:r>
            <w:r w:rsidRPr="00D55FA1">
              <w:t>,</w:t>
            </w:r>
            <w:r w:rsidR="00672737">
              <w:t>474</w:t>
            </w:r>
          </w:p>
        </w:tc>
        <w:tc>
          <w:tcPr>
            <w:tcW w:w="2425" w:type="dxa"/>
            <w:tcBorders>
              <w:top w:val="single" w:sz="4" w:space="0" w:color="auto"/>
              <w:left w:val="single" w:sz="4" w:space="0" w:color="auto"/>
              <w:bottom w:val="single" w:sz="4" w:space="0" w:color="auto"/>
              <w:right w:val="single" w:sz="4" w:space="0" w:color="auto"/>
            </w:tcBorders>
            <w:hideMark/>
          </w:tcPr>
          <w:p w14:paraId="39DEEEF2" w14:textId="44A31407" w:rsidR="00633165" w:rsidRPr="00D55FA1" w:rsidRDefault="002C278C" w:rsidP="00BD20A7">
            <w:pPr>
              <w:jc w:val="center"/>
            </w:pPr>
            <w:r w:rsidRPr="00D55FA1">
              <w:t>4.</w:t>
            </w:r>
            <w:r w:rsidR="00672737">
              <w:t>62</w:t>
            </w:r>
          </w:p>
        </w:tc>
      </w:tr>
      <w:tr w:rsidR="00633165" w:rsidRPr="00D55FA1" w14:paraId="7BB63716"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2ADAF48F" w14:textId="4D47372D" w:rsidR="00633165" w:rsidRPr="00D55FA1" w:rsidRDefault="00633165">
            <w:r w:rsidRPr="00D55FA1">
              <w:lastRenderedPageBreak/>
              <w:t>Emotional Di</w:t>
            </w:r>
            <w:r w:rsidR="00BB25AF">
              <w:t>sability</w:t>
            </w:r>
            <w:r w:rsidRPr="00D55FA1">
              <w:t xml:space="preserve"> </w:t>
            </w:r>
          </w:p>
        </w:tc>
        <w:tc>
          <w:tcPr>
            <w:tcW w:w="2520" w:type="dxa"/>
            <w:tcBorders>
              <w:top w:val="single" w:sz="4" w:space="0" w:color="auto"/>
              <w:left w:val="single" w:sz="4" w:space="0" w:color="auto"/>
              <w:bottom w:val="single" w:sz="4" w:space="0" w:color="auto"/>
              <w:right w:val="single" w:sz="4" w:space="0" w:color="auto"/>
            </w:tcBorders>
            <w:hideMark/>
          </w:tcPr>
          <w:p w14:paraId="7A441757" w14:textId="0AC81B68" w:rsidR="00633165" w:rsidRPr="00D55FA1" w:rsidRDefault="00516614" w:rsidP="00BD20A7">
            <w:pPr>
              <w:jc w:val="center"/>
            </w:pPr>
            <w:r w:rsidRPr="00D55FA1">
              <w:t>2</w:t>
            </w:r>
            <w:r w:rsidR="002C278C" w:rsidRPr="00D55FA1">
              <w:t>1,</w:t>
            </w:r>
            <w:r w:rsidR="00672737">
              <w:t>206</w:t>
            </w:r>
          </w:p>
        </w:tc>
        <w:tc>
          <w:tcPr>
            <w:tcW w:w="2425" w:type="dxa"/>
            <w:tcBorders>
              <w:top w:val="single" w:sz="4" w:space="0" w:color="auto"/>
              <w:left w:val="single" w:sz="4" w:space="0" w:color="auto"/>
              <w:bottom w:val="single" w:sz="4" w:space="0" w:color="auto"/>
              <w:right w:val="single" w:sz="4" w:space="0" w:color="auto"/>
            </w:tcBorders>
            <w:hideMark/>
          </w:tcPr>
          <w:p w14:paraId="772F226C" w14:textId="44ECEA97" w:rsidR="00633165" w:rsidRPr="00D55FA1" w:rsidRDefault="002C278C" w:rsidP="00BD20A7">
            <w:pPr>
              <w:jc w:val="center"/>
            </w:pPr>
            <w:r w:rsidRPr="00D55FA1">
              <w:t>2.</w:t>
            </w:r>
            <w:r w:rsidR="00525E7F">
              <w:t>42</w:t>
            </w:r>
          </w:p>
        </w:tc>
      </w:tr>
      <w:tr w:rsidR="00633165" w:rsidRPr="00D55FA1" w14:paraId="0F97D3CB"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52476A5C" w14:textId="229AF1DF" w:rsidR="00633165" w:rsidRPr="00D55FA1" w:rsidRDefault="00633165">
            <w:r w:rsidRPr="00D55FA1">
              <w:t xml:space="preserve">Hearing </w:t>
            </w:r>
            <w:r w:rsidR="00395C86">
              <w:t xml:space="preserve">Impairment </w:t>
            </w:r>
          </w:p>
        </w:tc>
        <w:tc>
          <w:tcPr>
            <w:tcW w:w="2520" w:type="dxa"/>
            <w:tcBorders>
              <w:top w:val="single" w:sz="4" w:space="0" w:color="auto"/>
              <w:left w:val="single" w:sz="4" w:space="0" w:color="auto"/>
              <w:bottom w:val="single" w:sz="4" w:space="0" w:color="auto"/>
              <w:right w:val="single" w:sz="4" w:space="0" w:color="auto"/>
            </w:tcBorders>
            <w:hideMark/>
          </w:tcPr>
          <w:p w14:paraId="5FA1256C" w14:textId="1091026E" w:rsidR="00633165" w:rsidRPr="00D55FA1" w:rsidRDefault="00516614" w:rsidP="00BD20A7">
            <w:pPr>
              <w:jc w:val="center"/>
            </w:pPr>
            <w:r w:rsidRPr="00D55FA1">
              <w:t>9,</w:t>
            </w:r>
            <w:r w:rsidR="00D74033">
              <w:t>240</w:t>
            </w:r>
          </w:p>
        </w:tc>
        <w:tc>
          <w:tcPr>
            <w:tcW w:w="2425" w:type="dxa"/>
            <w:tcBorders>
              <w:top w:val="single" w:sz="4" w:space="0" w:color="auto"/>
              <w:left w:val="single" w:sz="4" w:space="0" w:color="auto"/>
              <w:bottom w:val="single" w:sz="4" w:space="0" w:color="auto"/>
              <w:right w:val="single" w:sz="4" w:space="0" w:color="auto"/>
            </w:tcBorders>
            <w:hideMark/>
          </w:tcPr>
          <w:p w14:paraId="3033B5CF" w14:textId="25706254" w:rsidR="00633165" w:rsidRPr="00D55FA1" w:rsidRDefault="002C278C" w:rsidP="00BD20A7">
            <w:pPr>
              <w:jc w:val="center"/>
            </w:pPr>
            <w:r w:rsidRPr="00D55FA1">
              <w:t>1.</w:t>
            </w:r>
            <w:r w:rsidR="00D74033">
              <w:t>05</w:t>
            </w:r>
          </w:p>
        </w:tc>
      </w:tr>
      <w:tr w:rsidR="002C278C" w:rsidRPr="00D55FA1" w14:paraId="1A1E7C90" w14:textId="77777777" w:rsidTr="7E305038">
        <w:trPr>
          <w:cantSplit/>
        </w:trPr>
        <w:tc>
          <w:tcPr>
            <w:tcW w:w="4405" w:type="dxa"/>
            <w:tcBorders>
              <w:top w:val="single" w:sz="4" w:space="0" w:color="auto"/>
              <w:left w:val="single" w:sz="4" w:space="0" w:color="auto"/>
              <w:bottom w:val="single" w:sz="4" w:space="0" w:color="auto"/>
              <w:right w:val="single" w:sz="4" w:space="0" w:color="auto"/>
            </w:tcBorders>
          </w:tcPr>
          <w:p w14:paraId="34D86DD7" w14:textId="2D3DBC1F" w:rsidR="002C278C" w:rsidRPr="00D55FA1" w:rsidRDefault="002C278C">
            <w:r w:rsidRPr="00D55FA1">
              <w:t xml:space="preserve">Multiple Disability </w:t>
            </w:r>
          </w:p>
        </w:tc>
        <w:tc>
          <w:tcPr>
            <w:tcW w:w="2520" w:type="dxa"/>
            <w:tcBorders>
              <w:top w:val="single" w:sz="4" w:space="0" w:color="auto"/>
              <w:left w:val="single" w:sz="4" w:space="0" w:color="auto"/>
              <w:bottom w:val="single" w:sz="4" w:space="0" w:color="auto"/>
              <w:right w:val="single" w:sz="4" w:space="0" w:color="auto"/>
            </w:tcBorders>
          </w:tcPr>
          <w:p w14:paraId="6DFA9EF4" w14:textId="3107D75A" w:rsidR="002C278C" w:rsidRPr="00D55FA1" w:rsidRDefault="00D74033" w:rsidP="00BD20A7">
            <w:pPr>
              <w:jc w:val="center"/>
            </w:pPr>
            <w:r>
              <w:t>9,058</w:t>
            </w:r>
          </w:p>
        </w:tc>
        <w:tc>
          <w:tcPr>
            <w:tcW w:w="2425" w:type="dxa"/>
            <w:tcBorders>
              <w:top w:val="single" w:sz="4" w:space="0" w:color="auto"/>
              <w:left w:val="single" w:sz="4" w:space="0" w:color="auto"/>
              <w:bottom w:val="single" w:sz="4" w:space="0" w:color="auto"/>
              <w:right w:val="single" w:sz="4" w:space="0" w:color="auto"/>
            </w:tcBorders>
          </w:tcPr>
          <w:p w14:paraId="42B0F7C8" w14:textId="0C0F00D4" w:rsidR="002C278C" w:rsidRPr="00D55FA1" w:rsidRDefault="002C278C" w:rsidP="00BD20A7">
            <w:pPr>
              <w:jc w:val="center"/>
            </w:pPr>
            <w:r w:rsidRPr="00D55FA1">
              <w:t>1.0</w:t>
            </w:r>
            <w:r w:rsidR="00D74033">
              <w:t>3</w:t>
            </w:r>
          </w:p>
        </w:tc>
      </w:tr>
      <w:tr w:rsidR="00633165" w:rsidRPr="00D55FA1" w14:paraId="210562DF"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3057BE65" w14:textId="3466CF5F" w:rsidR="00633165" w:rsidRPr="00D55FA1" w:rsidRDefault="00633165">
            <w:r w:rsidRPr="00D55FA1">
              <w:t xml:space="preserve">Orthopedic Impairment </w:t>
            </w:r>
          </w:p>
        </w:tc>
        <w:tc>
          <w:tcPr>
            <w:tcW w:w="2520" w:type="dxa"/>
            <w:tcBorders>
              <w:top w:val="single" w:sz="4" w:space="0" w:color="auto"/>
              <w:left w:val="single" w:sz="4" w:space="0" w:color="auto"/>
              <w:bottom w:val="single" w:sz="4" w:space="0" w:color="auto"/>
              <w:right w:val="single" w:sz="4" w:space="0" w:color="auto"/>
            </w:tcBorders>
            <w:hideMark/>
          </w:tcPr>
          <w:p w14:paraId="61DD4540" w14:textId="468DB937" w:rsidR="00633165" w:rsidRPr="00D55FA1" w:rsidRDefault="000337DF" w:rsidP="00BD20A7">
            <w:pPr>
              <w:jc w:val="center"/>
            </w:pPr>
            <w:r>
              <w:t>5,768</w:t>
            </w:r>
          </w:p>
        </w:tc>
        <w:tc>
          <w:tcPr>
            <w:tcW w:w="2425" w:type="dxa"/>
            <w:tcBorders>
              <w:top w:val="single" w:sz="4" w:space="0" w:color="auto"/>
              <w:left w:val="single" w:sz="4" w:space="0" w:color="auto"/>
              <w:bottom w:val="single" w:sz="4" w:space="0" w:color="auto"/>
              <w:right w:val="single" w:sz="4" w:space="0" w:color="auto"/>
            </w:tcBorders>
            <w:hideMark/>
          </w:tcPr>
          <w:p w14:paraId="4E560E6B" w14:textId="171295C0" w:rsidR="00633165" w:rsidRPr="00D55FA1" w:rsidRDefault="002C278C" w:rsidP="00BD20A7">
            <w:pPr>
              <w:jc w:val="center"/>
            </w:pPr>
            <w:r w:rsidRPr="00D55FA1">
              <w:t>0.</w:t>
            </w:r>
            <w:r w:rsidR="00E14E60">
              <w:t>66</w:t>
            </w:r>
          </w:p>
        </w:tc>
      </w:tr>
      <w:tr w:rsidR="00633165" w:rsidRPr="00D55FA1" w14:paraId="639B89A0"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160642AC" w14:textId="672E4EBE" w:rsidR="00633165" w:rsidRPr="00D55FA1" w:rsidRDefault="00633165">
            <w:r w:rsidRPr="00D55FA1">
              <w:t xml:space="preserve">Deafness </w:t>
            </w:r>
          </w:p>
        </w:tc>
        <w:tc>
          <w:tcPr>
            <w:tcW w:w="2520" w:type="dxa"/>
            <w:tcBorders>
              <w:top w:val="single" w:sz="4" w:space="0" w:color="auto"/>
              <w:left w:val="single" w:sz="4" w:space="0" w:color="auto"/>
              <w:bottom w:val="single" w:sz="4" w:space="0" w:color="auto"/>
              <w:right w:val="single" w:sz="4" w:space="0" w:color="auto"/>
            </w:tcBorders>
            <w:hideMark/>
          </w:tcPr>
          <w:p w14:paraId="7F3C1F9B" w14:textId="6E4C12C6" w:rsidR="00633165" w:rsidRPr="00D55FA1" w:rsidRDefault="00516614" w:rsidP="00BD20A7">
            <w:pPr>
              <w:jc w:val="center"/>
            </w:pPr>
            <w:r w:rsidRPr="00D55FA1">
              <w:t>2,</w:t>
            </w:r>
            <w:r w:rsidR="00072072">
              <w:t>754</w:t>
            </w:r>
          </w:p>
        </w:tc>
        <w:tc>
          <w:tcPr>
            <w:tcW w:w="2425" w:type="dxa"/>
            <w:tcBorders>
              <w:top w:val="single" w:sz="4" w:space="0" w:color="auto"/>
              <w:left w:val="single" w:sz="4" w:space="0" w:color="auto"/>
              <w:bottom w:val="single" w:sz="4" w:space="0" w:color="auto"/>
              <w:right w:val="single" w:sz="4" w:space="0" w:color="auto"/>
            </w:tcBorders>
            <w:hideMark/>
          </w:tcPr>
          <w:p w14:paraId="09B34CBE" w14:textId="7E3B9DD2" w:rsidR="00633165" w:rsidRPr="00D55FA1" w:rsidRDefault="002C278C" w:rsidP="00BD20A7">
            <w:pPr>
              <w:jc w:val="center"/>
            </w:pPr>
            <w:r w:rsidRPr="00D55FA1">
              <w:t>0.3</w:t>
            </w:r>
            <w:r w:rsidR="00072072">
              <w:t>1</w:t>
            </w:r>
          </w:p>
        </w:tc>
      </w:tr>
      <w:tr w:rsidR="00633165" w:rsidRPr="00D55FA1" w14:paraId="11520E26"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13057040" w14:textId="768FCA0D" w:rsidR="00633165" w:rsidRPr="00D55FA1" w:rsidRDefault="00633165">
            <w:r w:rsidRPr="00D55FA1">
              <w:t xml:space="preserve">Visual Impairment </w:t>
            </w:r>
          </w:p>
        </w:tc>
        <w:tc>
          <w:tcPr>
            <w:tcW w:w="2520" w:type="dxa"/>
            <w:tcBorders>
              <w:top w:val="single" w:sz="4" w:space="0" w:color="auto"/>
              <w:left w:val="single" w:sz="4" w:space="0" w:color="auto"/>
              <w:bottom w:val="single" w:sz="4" w:space="0" w:color="auto"/>
              <w:right w:val="single" w:sz="4" w:space="0" w:color="auto"/>
            </w:tcBorders>
            <w:hideMark/>
          </w:tcPr>
          <w:p w14:paraId="2EF7DF23" w14:textId="19687B8C" w:rsidR="00633165" w:rsidRPr="00D55FA1" w:rsidRDefault="00516614" w:rsidP="00BD20A7">
            <w:pPr>
              <w:jc w:val="center"/>
            </w:pPr>
            <w:r w:rsidRPr="00D55FA1">
              <w:t>2,</w:t>
            </w:r>
            <w:r w:rsidR="00072072">
              <w:t>455</w:t>
            </w:r>
          </w:p>
        </w:tc>
        <w:tc>
          <w:tcPr>
            <w:tcW w:w="2425" w:type="dxa"/>
            <w:tcBorders>
              <w:top w:val="single" w:sz="4" w:space="0" w:color="auto"/>
              <w:left w:val="single" w:sz="4" w:space="0" w:color="auto"/>
              <w:bottom w:val="single" w:sz="4" w:space="0" w:color="auto"/>
              <w:right w:val="single" w:sz="4" w:space="0" w:color="auto"/>
            </w:tcBorders>
            <w:hideMark/>
          </w:tcPr>
          <w:p w14:paraId="2EED3285" w14:textId="514ABA3E" w:rsidR="00633165" w:rsidRPr="00D55FA1" w:rsidRDefault="002C278C" w:rsidP="00BD20A7">
            <w:pPr>
              <w:jc w:val="center"/>
            </w:pPr>
            <w:r w:rsidRPr="00D55FA1">
              <w:t>0.</w:t>
            </w:r>
            <w:r w:rsidR="00072072">
              <w:t>28</w:t>
            </w:r>
          </w:p>
        </w:tc>
      </w:tr>
      <w:tr w:rsidR="00633165" w:rsidRPr="00D55FA1" w14:paraId="085E60DD"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5B126A1A" w14:textId="05475EAB" w:rsidR="00633165" w:rsidRPr="00D55FA1" w:rsidRDefault="00633165">
            <w:r w:rsidRPr="00D55FA1">
              <w:t xml:space="preserve">Traumatic Brain Injury </w:t>
            </w:r>
          </w:p>
        </w:tc>
        <w:tc>
          <w:tcPr>
            <w:tcW w:w="2520" w:type="dxa"/>
            <w:tcBorders>
              <w:top w:val="single" w:sz="4" w:space="0" w:color="auto"/>
              <w:left w:val="single" w:sz="4" w:space="0" w:color="auto"/>
              <w:bottom w:val="single" w:sz="4" w:space="0" w:color="auto"/>
              <w:right w:val="single" w:sz="4" w:space="0" w:color="auto"/>
            </w:tcBorders>
            <w:hideMark/>
          </w:tcPr>
          <w:p w14:paraId="100AFB36" w14:textId="30DB9B47" w:rsidR="00633165" w:rsidRPr="00D55FA1" w:rsidRDefault="00516614" w:rsidP="00BD20A7">
            <w:pPr>
              <w:jc w:val="center"/>
            </w:pPr>
            <w:r w:rsidRPr="00D55FA1">
              <w:t>1,</w:t>
            </w:r>
            <w:r w:rsidR="00072072">
              <w:t>2</w:t>
            </w:r>
            <w:r w:rsidR="00DC7AD9">
              <w:t>87</w:t>
            </w:r>
          </w:p>
        </w:tc>
        <w:tc>
          <w:tcPr>
            <w:tcW w:w="2425" w:type="dxa"/>
            <w:tcBorders>
              <w:top w:val="single" w:sz="4" w:space="0" w:color="auto"/>
              <w:left w:val="single" w:sz="4" w:space="0" w:color="auto"/>
              <w:bottom w:val="single" w:sz="4" w:space="0" w:color="auto"/>
              <w:right w:val="single" w:sz="4" w:space="0" w:color="auto"/>
            </w:tcBorders>
            <w:hideMark/>
          </w:tcPr>
          <w:p w14:paraId="609ED1D3" w14:textId="643F3E5E" w:rsidR="00633165" w:rsidRPr="00D55FA1" w:rsidRDefault="002C278C" w:rsidP="00BD20A7">
            <w:pPr>
              <w:jc w:val="center"/>
            </w:pPr>
            <w:r w:rsidRPr="00D55FA1">
              <w:t>0.1</w:t>
            </w:r>
            <w:r w:rsidR="00DC7AD9">
              <w:t>5</w:t>
            </w:r>
          </w:p>
        </w:tc>
      </w:tr>
      <w:tr w:rsidR="00633165" w:rsidRPr="00D55FA1" w14:paraId="4DC79AFA"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1889A25C" w14:textId="1E078909" w:rsidR="00633165" w:rsidRPr="00D55FA1" w:rsidRDefault="00633165">
            <w:r w:rsidRPr="00D55FA1">
              <w:t xml:space="preserve">Established Medical Disability </w:t>
            </w:r>
          </w:p>
        </w:tc>
        <w:tc>
          <w:tcPr>
            <w:tcW w:w="2520" w:type="dxa"/>
            <w:tcBorders>
              <w:top w:val="single" w:sz="4" w:space="0" w:color="auto"/>
              <w:left w:val="single" w:sz="4" w:space="0" w:color="auto"/>
              <w:bottom w:val="single" w:sz="4" w:space="0" w:color="auto"/>
              <w:right w:val="single" w:sz="4" w:space="0" w:color="auto"/>
            </w:tcBorders>
            <w:hideMark/>
          </w:tcPr>
          <w:p w14:paraId="3A493923" w14:textId="39CFCAB4" w:rsidR="00633165" w:rsidRPr="00D55FA1" w:rsidRDefault="002C278C" w:rsidP="00BD20A7">
            <w:pPr>
              <w:jc w:val="center"/>
            </w:pPr>
            <w:r w:rsidRPr="00D55FA1">
              <w:t>3</w:t>
            </w:r>
            <w:r w:rsidR="00DC7AD9">
              <w:t>17</w:t>
            </w:r>
          </w:p>
        </w:tc>
        <w:tc>
          <w:tcPr>
            <w:tcW w:w="2425" w:type="dxa"/>
            <w:tcBorders>
              <w:top w:val="single" w:sz="4" w:space="0" w:color="auto"/>
              <w:left w:val="single" w:sz="4" w:space="0" w:color="auto"/>
              <w:bottom w:val="single" w:sz="4" w:space="0" w:color="auto"/>
              <w:right w:val="single" w:sz="4" w:space="0" w:color="auto"/>
            </w:tcBorders>
            <w:hideMark/>
          </w:tcPr>
          <w:p w14:paraId="60BF6C43" w14:textId="3ADEFE33" w:rsidR="00633165" w:rsidRPr="00D55FA1" w:rsidRDefault="002C278C" w:rsidP="00BD20A7">
            <w:pPr>
              <w:jc w:val="center"/>
            </w:pPr>
            <w:r w:rsidRPr="00D55FA1">
              <w:t>0.0</w:t>
            </w:r>
            <w:r w:rsidR="001F5975">
              <w:t>4</w:t>
            </w:r>
          </w:p>
        </w:tc>
      </w:tr>
      <w:tr w:rsidR="00633165" w:rsidRPr="00D55FA1" w14:paraId="34E04C6B"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577691BF" w14:textId="2220D99D" w:rsidR="00633165" w:rsidRPr="00D55FA1" w:rsidRDefault="00633165">
            <w:r w:rsidRPr="00D55FA1">
              <w:t xml:space="preserve">Deaf Blindness </w:t>
            </w:r>
          </w:p>
        </w:tc>
        <w:tc>
          <w:tcPr>
            <w:tcW w:w="2520" w:type="dxa"/>
            <w:tcBorders>
              <w:top w:val="single" w:sz="4" w:space="0" w:color="auto"/>
              <w:left w:val="single" w:sz="4" w:space="0" w:color="auto"/>
              <w:bottom w:val="single" w:sz="4" w:space="0" w:color="auto"/>
              <w:right w:val="single" w:sz="4" w:space="0" w:color="auto"/>
            </w:tcBorders>
            <w:hideMark/>
          </w:tcPr>
          <w:p w14:paraId="299BFF4E" w14:textId="623BED6B" w:rsidR="00633165" w:rsidRPr="00D55FA1" w:rsidRDefault="00DC7AD9" w:rsidP="00BD20A7">
            <w:pPr>
              <w:jc w:val="center"/>
            </w:pPr>
            <w:r>
              <w:t>83</w:t>
            </w:r>
          </w:p>
        </w:tc>
        <w:tc>
          <w:tcPr>
            <w:tcW w:w="2425" w:type="dxa"/>
            <w:tcBorders>
              <w:top w:val="single" w:sz="4" w:space="0" w:color="auto"/>
              <w:left w:val="single" w:sz="4" w:space="0" w:color="auto"/>
              <w:bottom w:val="single" w:sz="4" w:space="0" w:color="auto"/>
              <w:right w:val="single" w:sz="4" w:space="0" w:color="auto"/>
            </w:tcBorders>
            <w:hideMark/>
          </w:tcPr>
          <w:p w14:paraId="62C87088" w14:textId="77777777" w:rsidR="00633165" w:rsidRPr="00D55FA1" w:rsidRDefault="00633165" w:rsidP="00BD20A7">
            <w:pPr>
              <w:jc w:val="center"/>
            </w:pPr>
            <w:r w:rsidRPr="00D55FA1">
              <w:t>0.01</w:t>
            </w:r>
          </w:p>
        </w:tc>
      </w:tr>
      <w:tr w:rsidR="00633165" w:rsidRPr="00D55FA1" w14:paraId="05E461F1" w14:textId="77777777" w:rsidTr="7E305038">
        <w:trPr>
          <w:cantSplit/>
        </w:trPr>
        <w:tc>
          <w:tcPr>
            <w:tcW w:w="4405" w:type="dxa"/>
            <w:tcBorders>
              <w:top w:val="single" w:sz="4" w:space="0" w:color="auto"/>
              <w:left w:val="single" w:sz="4" w:space="0" w:color="auto"/>
              <w:bottom w:val="single" w:sz="4" w:space="0" w:color="auto"/>
              <w:right w:val="single" w:sz="4" w:space="0" w:color="auto"/>
            </w:tcBorders>
            <w:hideMark/>
          </w:tcPr>
          <w:p w14:paraId="5C595F9A" w14:textId="4C236B90" w:rsidR="00633165" w:rsidRPr="00D55FA1" w:rsidRDefault="00633165">
            <w:r w:rsidRPr="00D55FA1">
              <w:t>Total</w:t>
            </w:r>
          </w:p>
        </w:tc>
        <w:tc>
          <w:tcPr>
            <w:tcW w:w="2520" w:type="dxa"/>
            <w:tcBorders>
              <w:top w:val="single" w:sz="4" w:space="0" w:color="auto"/>
              <w:left w:val="single" w:sz="4" w:space="0" w:color="auto"/>
              <w:bottom w:val="single" w:sz="4" w:space="0" w:color="auto"/>
              <w:right w:val="single" w:sz="4" w:space="0" w:color="auto"/>
            </w:tcBorders>
            <w:hideMark/>
          </w:tcPr>
          <w:p w14:paraId="296186D5" w14:textId="0BFB72B8" w:rsidR="00633165" w:rsidRPr="00D55FA1" w:rsidRDefault="002C278C" w:rsidP="00BD20A7">
            <w:pPr>
              <w:jc w:val="center"/>
            </w:pPr>
            <w:r w:rsidRPr="00D55FA1">
              <w:t>8</w:t>
            </w:r>
            <w:r w:rsidR="003016D5">
              <w:t>76,250</w:t>
            </w:r>
          </w:p>
        </w:tc>
        <w:tc>
          <w:tcPr>
            <w:tcW w:w="2425" w:type="dxa"/>
            <w:tcBorders>
              <w:top w:val="single" w:sz="4" w:space="0" w:color="auto"/>
              <w:left w:val="single" w:sz="4" w:space="0" w:color="auto"/>
              <w:bottom w:val="single" w:sz="4" w:space="0" w:color="auto"/>
              <w:right w:val="single" w:sz="4" w:space="0" w:color="auto"/>
            </w:tcBorders>
            <w:hideMark/>
          </w:tcPr>
          <w:p w14:paraId="01DF9590" w14:textId="77777777" w:rsidR="00633165" w:rsidRPr="00D55FA1" w:rsidRDefault="00633165" w:rsidP="00BD20A7">
            <w:pPr>
              <w:jc w:val="center"/>
            </w:pPr>
            <w:r w:rsidRPr="00D55FA1">
              <w:t>100.0</w:t>
            </w:r>
          </w:p>
        </w:tc>
      </w:tr>
    </w:tbl>
    <w:p w14:paraId="3C2C0BD9" w14:textId="0D110753" w:rsidR="00633165" w:rsidRPr="00D55FA1" w:rsidRDefault="32F34528" w:rsidP="00633165">
      <w:pPr>
        <w:spacing w:after="240"/>
      </w:pPr>
      <w:r w:rsidRPr="00D55FA1">
        <w:t xml:space="preserve">Source: </w:t>
      </w:r>
      <w:r w:rsidR="00633165" w:rsidRPr="00D55FA1">
        <w:t>CALPADS, Fall 202</w:t>
      </w:r>
      <w:r w:rsidR="003016D5">
        <w:t>4</w:t>
      </w:r>
    </w:p>
    <w:p w14:paraId="638DE5C2" w14:textId="71FBC5EC" w:rsidR="00633165" w:rsidRPr="00D55FA1" w:rsidRDefault="00E34275" w:rsidP="00A869FA">
      <w:pPr>
        <w:spacing w:after="240"/>
      </w:pPr>
      <w:r>
        <w:t xml:space="preserve">In California, SWDs </w:t>
      </w:r>
      <w:r w:rsidR="00633165">
        <w:t>receive a variety of services to address their unique needs. During FFY 20</w:t>
      </w:r>
      <w:r w:rsidR="00844365">
        <w:t>2</w:t>
      </w:r>
      <w:r w:rsidR="003016D5">
        <w:t>4</w:t>
      </w:r>
      <w:r w:rsidR="00633165">
        <w:t>–2</w:t>
      </w:r>
      <w:r w:rsidR="003016D5">
        <w:t>5</w:t>
      </w:r>
      <w:r w:rsidR="00633165">
        <w:t xml:space="preserve">, there were </w:t>
      </w:r>
      <w:r w:rsidR="006A5D20">
        <w:t>3,4</w:t>
      </w:r>
      <w:r w:rsidR="001F5975">
        <w:t>07,047</w:t>
      </w:r>
      <w:r w:rsidR="006A5D20">
        <w:t xml:space="preserve"> </w:t>
      </w:r>
      <w:r w:rsidR="00633165">
        <w:t xml:space="preserve">services provided to California’s </w:t>
      </w:r>
      <w:r w:rsidR="06305E20">
        <w:t>SWDs</w:t>
      </w:r>
      <w:r w:rsidR="00633165">
        <w:t xml:space="preserve">, many receiving multiple services. Table </w:t>
      </w:r>
      <w:r w:rsidR="00034AC3">
        <w:t>3</w:t>
      </w:r>
      <w:r w:rsidR="00633165">
        <w:t xml:space="preserve"> lists the </w:t>
      </w:r>
      <w:proofErr w:type="gramStart"/>
      <w:r w:rsidR="00633165">
        <w:t>most commonly provided</w:t>
      </w:r>
      <w:proofErr w:type="gramEnd"/>
      <w:r w:rsidR="00633165">
        <w:t xml:space="preserve"> services </w:t>
      </w:r>
      <w:proofErr w:type="gramStart"/>
      <w:r w:rsidR="00633165">
        <w:t>to</w:t>
      </w:r>
      <w:proofErr w:type="gramEnd"/>
      <w:r w:rsidR="00633165">
        <w:t xml:space="preserve"> students. The most common </w:t>
      </w:r>
      <w:r w:rsidR="001B09C3">
        <w:t xml:space="preserve">singular </w:t>
      </w:r>
      <w:r w:rsidR="00633165">
        <w:t>service provided was Specialized Academic Instruction (</w:t>
      </w:r>
      <w:r w:rsidR="001F5975">
        <w:t>33.7</w:t>
      </w:r>
      <w:r w:rsidR="00633165">
        <w:t xml:space="preserve"> percent) followed by Language and Speech (</w:t>
      </w:r>
      <w:r w:rsidR="001F5975">
        <w:t>22.8</w:t>
      </w:r>
      <w:r w:rsidR="00633165">
        <w:t xml:space="preserve"> percent).</w:t>
      </w:r>
    </w:p>
    <w:p w14:paraId="230A316A" w14:textId="06A87E05" w:rsidR="0023436D" w:rsidRPr="0023436D" w:rsidRDefault="00633165" w:rsidP="005E62B2">
      <w:pPr>
        <w:spacing w:after="240"/>
        <w:rPr>
          <w:b/>
          <w:bCs/>
        </w:rPr>
      </w:pPr>
      <w:bookmarkStart w:id="98" w:name="_Toc57198995"/>
      <w:r w:rsidRPr="0023436D">
        <w:rPr>
          <w:b/>
          <w:bCs/>
        </w:rPr>
        <w:t>Table 3: Services Provided to Students with Disabilities</w:t>
      </w:r>
      <w:bookmarkEnd w:id="98"/>
    </w:p>
    <w:tbl>
      <w:tblPr>
        <w:tblStyle w:val="TableGrid"/>
        <w:tblW w:w="0" w:type="auto"/>
        <w:tblLook w:val="04A0" w:firstRow="1" w:lastRow="0" w:firstColumn="1" w:lastColumn="0" w:noHBand="0" w:noVBand="1"/>
        <w:tblDescription w:val="Top 5 services provided to students with disabilities. "/>
      </w:tblPr>
      <w:tblGrid>
        <w:gridCol w:w="3775"/>
        <w:gridCol w:w="3150"/>
        <w:gridCol w:w="2425"/>
      </w:tblGrid>
      <w:tr w:rsidR="00633165" w:rsidRPr="00D55FA1" w14:paraId="0BF8D981" w14:textId="77777777" w:rsidTr="4559D8E7">
        <w:trPr>
          <w:cantSplit/>
          <w:tblHeader/>
        </w:trPr>
        <w:tc>
          <w:tcPr>
            <w:tcW w:w="3775" w:type="dxa"/>
            <w:tcBorders>
              <w:top w:val="single" w:sz="4" w:space="0" w:color="auto"/>
              <w:left w:val="single" w:sz="4" w:space="0" w:color="auto"/>
              <w:bottom w:val="single" w:sz="4" w:space="0" w:color="auto"/>
              <w:right w:val="single" w:sz="4" w:space="0" w:color="auto"/>
            </w:tcBorders>
            <w:hideMark/>
          </w:tcPr>
          <w:p w14:paraId="5B0E71A0" w14:textId="77777777" w:rsidR="00633165" w:rsidRPr="00D55FA1" w:rsidRDefault="00633165">
            <w:pPr>
              <w:jc w:val="both"/>
              <w:rPr>
                <w:b/>
              </w:rPr>
            </w:pPr>
            <w:r w:rsidRPr="00D55FA1">
              <w:rPr>
                <w:b/>
              </w:rPr>
              <w:t>Services</w:t>
            </w:r>
          </w:p>
        </w:tc>
        <w:tc>
          <w:tcPr>
            <w:tcW w:w="3150" w:type="dxa"/>
            <w:tcBorders>
              <w:top w:val="single" w:sz="4" w:space="0" w:color="auto"/>
              <w:left w:val="single" w:sz="4" w:space="0" w:color="auto"/>
              <w:bottom w:val="single" w:sz="4" w:space="0" w:color="auto"/>
              <w:right w:val="single" w:sz="4" w:space="0" w:color="auto"/>
            </w:tcBorders>
            <w:hideMark/>
          </w:tcPr>
          <w:p w14:paraId="2044523A" w14:textId="68C5549B" w:rsidR="00633165" w:rsidRPr="00D55FA1" w:rsidRDefault="00633165" w:rsidP="00BD20A7">
            <w:pPr>
              <w:jc w:val="center"/>
              <w:rPr>
                <w:b/>
              </w:rPr>
            </w:pPr>
            <w:r w:rsidRPr="00D55FA1">
              <w:rPr>
                <w:b/>
              </w:rPr>
              <w:t>Number of S</w:t>
            </w:r>
            <w:r w:rsidR="00F768B3" w:rsidRPr="00D55FA1">
              <w:rPr>
                <w:b/>
              </w:rPr>
              <w:t>ervices Provided</w:t>
            </w:r>
          </w:p>
        </w:tc>
        <w:tc>
          <w:tcPr>
            <w:tcW w:w="2425" w:type="dxa"/>
            <w:tcBorders>
              <w:top w:val="single" w:sz="4" w:space="0" w:color="auto"/>
              <w:left w:val="single" w:sz="4" w:space="0" w:color="auto"/>
              <w:bottom w:val="single" w:sz="4" w:space="0" w:color="auto"/>
              <w:right w:val="single" w:sz="4" w:space="0" w:color="auto"/>
            </w:tcBorders>
            <w:hideMark/>
          </w:tcPr>
          <w:p w14:paraId="4FA770A3" w14:textId="77777777" w:rsidR="00633165" w:rsidRPr="00D55FA1" w:rsidRDefault="00633165" w:rsidP="00BD20A7">
            <w:pPr>
              <w:jc w:val="center"/>
              <w:rPr>
                <w:b/>
              </w:rPr>
            </w:pPr>
            <w:r w:rsidRPr="00D55FA1">
              <w:rPr>
                <w:b/>
              </w:rPr>
              <w:t>Percentage</w:t>
            </w:r>
          </w:p>
        </w:tc>
      </w:tr>
      <w:tr w:rsidR="00633165" w:rsidRPr="00D55FA1" w14:paraId="2B7B9BBF" w14:textId="77777777" w:rsidTr="4559D8E7">
        <w:trPr>
          <w:cantSplit/>
        </w:trPr>
        <w:tc>
          <w:tcPr>
            <w:tcW w:w="3775" w:type="dxa"/>
            <w:tcBorders>
              <w:top w:val="single" w:sz="4" w:space="0" w:color="auto"/>
              <w:left w:val="single" w:sz="4" w:space="0" w:color="auto"/>
              <w:bottom w:val="single" w:sz="4" w:space="0" w:color="auto"/>
              <w:right w:val="single" w:sz="4" w:space="0" w:color="auto"/>
            </w:tcBorders>
            <w:hideMark/>
          </w:tcPr>
          <w:p w14:paraId="3EFA0AF0" w14:textId="66224E02" w:rsidR="00633165" w:rsidRPr="00D55FA1" w:rsidRDefault="00633165" w:rsidP="4559D8E7">
            <w:r>
              <w:t>Specialized</w:t>
            </w:r>
            <w:r w:rsidR="789E71C7">
              <w:t xml:space="preserve"> </w:t>
            </w:r>
            <w:r>
              <w:t>Academic Instruction</w:t>
            </w:r>
          </w:p>
        </w:tc>
        <w:tc>
          <w:tcPr>
            <w:tcW w:w="3150" w:type="dxa"/>
            <w:tcBorders>
              <w:top w:val="single" w:sz="4" w:space="0" w:color="auto"/>
              <w:left w:val="single" w:sz="4" w:space="0" w:color="auto"/>
              <w:bottom w:val="single" w:sz="4" w:space="0" w:color="auto"/>
              <w:right w:val="single" w:sz="4" w:space="0" w:color="auto"/>
            </w:tcBorders>
            <w:hideMark/>
          </w:tcPr>
          <w:p w14:paraId="5006E17D" w14:textId="5279877E" w:rsidR="00633165" w:rsidRPr="00D55FA1" w:rsidRDefault="00F92F06" w:rsidP="00BD20A7">
            <w:pPr>
              <w:jc w:val="center"/>
            </w:pPr>
            <w:r>
              <w:t>1,150,194</w:t>
            </w:r>
          </w:p>
        </w:tc>
        <w:tc>
          <w:tcPr>
            <w:tcW w:w="2425" w:type="dxa"/>
            <w:tcBorders>
              <w:top w:val="single" w:sz="4" w:space="0" w:color="auto"/>
              <w:left w:val="single" w:sz="4" w:space="0" w:color="auto"/>
              <w:bottom w:val="single" w:sz="4" w:space="0" w:color="auto"/>
              <w:right w:val="single" w:sz="4" w:space="0" w:color="auto"/>
            </w:tcBorders>
            <w:hideMark/>
          </w:tcPr>
          <w:p w14:paraId="44C0F8A0" w14:textId="2ED58EDD" w:rsidR="00633165" w:rsidRPr="00D55FA1" w:rsidRDefault="001F5975" w:rsidP="00BD20A7">
            <w:pPr>
              <w:jc w:val="center"/>
            </w:pPr>
            <w:r>
              <w:t>33.76</w:t>
            </w:r>
          </w:p>
        </w:tc>
      </w:tr>
      <w:tr w:rsidR="00633165" w:rsidRPr="00D55FA1" w14:paraId="47DCA8B3" w14:textId="77777777" w:rsidTr="4559D8E7">
        <w:trPr>
          <w:cantSplit/>
        </w:trPr>
        <w:tc>
          <w:tcPr>
            <w:tcW w:w="3775" w:type="dxa"/>
            <w:tcBorders>
              <w:top w:val="single" w:sz="4" w:space="0" w:color="auto"/>
              <w:left w:val="single" w:sz="4" w:space="0" w:color="auto"/>
              <w:bottom w:val="single" w:sz="4" w:space="0" w:color="auto"/>
              <w:right w:val="single" w:sz="4" w:space="0" w:color="auto"/>
            </w:tcBorders>
            <w:hideMark/>
          </w:tcPr>
          <w:p w14:paraId="443CA327" w14:textId="77777777" w:rsidR="00633165" w:rsidRPr="00D55FA1" w:rsidRDefault="00633165">
            <w:pPr>
              <w:jc w:val="both"/>
            </w:pPr>
            <w:r w:rsidRPr="00D55FA1">
              <w:t>Language and Speech</w:t>
            </w:r>
          </w:p>
        </w:tc>
        <w:tc>
          <w:tcPr>
            <w:tcW w:w="3150" w:type="dxa"/>
            <w:tcBorders>
              <w:top w:val="single" w:sz="4" w:space="0" w:color="auto"/>
              <w:left w:val="single" w:sz="4" w:space="0" w:color="auto"/>
              <w:bottom w:val="single" w:sz="4" w:space="0" w:color="auto"/>
              <w:right w:val="single" w:sz="4" w:space="0" w:color="auto"/>
            </w:tcBorders>
            <w:hideMark/>
          </w:tcPr>
          <w:p w14:paraId="737BFA01" w14:textId="7CABD62A" w:rsidR="00633165" w:rsidRPr="00D55FA1" w:rsidRDefault="005A43EE" w:rsidP="00BD20A7">
            <w:pPr>
              <w:jc w:val="center"/>
            </w:pPr>
            <w:r>
              <w:t>776,</w:t>
            </w:r>
            <w:r w:rsidR="00A43482">
              <w:t>962</w:t>
            </w:r>
          </w:p>
        </w:tc>
        <w:tc>
          <w:tcPr>
            <w:tcW w:w="2425" w:type="dxa"/>
            <w:tcBorders>
              <w:top w:val="single" w:sz="4" w:space="0" w:color="auto"/>
              <w:left w:val="single" w:sz="4" w:space="0" w:color="auto"/>
              <w:bottom w:val="single" w:sz="4" w:space="0" w:color="auto"/>
              <w:right w:val="single" w:sz="4" w:space="0" w:color="auto"/>
            </w:tcBorders>
            <w:hideMark/>
          </w:tcPr>
          <w:p w14:paraId="1A347085" w14:textId="6EE9AA28" w:rsidR="00633165" w:rsidRPr="00D55FA1" w:rsidRDefault="001F5975" w:rsidP="00BD20A7">
            <w:pPr>
              <w:jc w:val="center"/>
            </w:pPr>
            <w:r>
              <w:t>22.80</w:t>
            </w:r>
          </w:p>
        </w:tc>
      </w:tr>
      <w:tr w:rsidR="00633165" w:rsidRPr="00D55FA1" w14:paraId="4C541BFF" w14:textId="77777777" w:rsidTr="4559D8E7">
        <w:trPr>
          <w:cantSplit/>
        </w:trPr>
        <w:tc>
          <w:tcPr>
            <w:tcW w:w="3775" w:type="dxa"/>
            <w:tcBorders>
              <w:top w:val="single" w:sz="4" w:space="0" w:color="auto"/>
              <w:left w:val="single" w:sz="4" w:space="0" w:color="auto"/>
              <w:bottom w:val="single" w:sz="4" w:space="0" w:color="auto"/>
              <w:right w:val="single" w:sz="4" w:space="0" w:color="auto"/>
            </w:tcBorders>
            <w:hideMark/>
          </w:tcPr>
          <w:p w14:paraId="0BA0160F" w14:textId="64E7A143" w:rsidR="00633165" w:rsidRPr="00FB38DD" w:rsidRDefault="00633165">
            <w:pPr>
              <w:jc w:val="both"/>
            </w:pPr>
            <w:r w:rsidRPr="00FB38DD">
              <w:t>Vocational/Career</w:t>
            </w:r>
            <w:r w:rsidR="001B09C3" w:rsidRPr="00FB38DD">
              <w:t xml:space="preserve"> Services</w:t>
            </w:r>
          </w:p>
        </w:tc>
        <w:tc>
          <w:tcPr>
            <w:tcW w:w="3150" w:type="dxa"/>
            <w:tcBorders>
              <w:top w:val="single" w:sz="4" w:space="0" w:color="auto"/>
              <w:left w:val="single" w:sz="4" w:space="0" w:color="auto"/>
              <w:bottom w:val="single" w:sz="4" w:space="0" w:color="auto"/>
              <w:right w:val="single" w:sz="4" w:space="0" w:color="auto"/>
            </w:tcBorders>
            <w:hideMark/>
          </w:tcPr>
          <w:p w14:paraId="3350221C" w14:textId="2B6F0406" w:rsidR="00633165" w:rsidRPr="00FB38DD" w:rsidRDefault="000914D6" w:rsidP="00BD20A7">
            <w:pPr>
              <w:jc w:val="center"/>
            </w:pPr>
            <w:r w:rsidRPr="00FB38DD">
              <w:t>704</w:t>
            </w:r>
            <w:r w:rsidR="00790030" w:rsidRPr="00FB38DD">
              <w:t>,749</w:t>
            </w:r>
          </w:p>
        </w:tc>
        <w:tc>
          <w:tcPr>
            <w:tcW w:w="2425" w:type="dxa"/>
            <w:tcBorders>
              <w:top w:val="single" w:sz="4" w:space="0" w:color="auto"/>
              <w:left w:val="single" w:sz="4" w:space="0" w:color="auto"/>
              <w:bottom w:val="single" w:sz="4" w:space="0" w:color="auto"/>
              <w:right w:val="single" w:sz="4" w:space="0" w:color="auto"/>
            </w:tcBorders>
            <w:hideMark/>
          </w:tcPr>
          <w:p w14:paraId="21340C20" w14:textId="0E03D9A3" w:rsidR="00633165" w:rsidRPr="008273D9" w:rsidRDefault="00C656B7" w:rsidP="00BD20A7">
            <w:pPr>
              <w:jc w:val="center"/>
            </w:pPr>
            <w:r w:rsidRPr="008273D9">
              <w:t>20.68</w:t>
            </w:r>
          </w:p>
        </w:tc>
      </w:tr>
      <w:tr w:rsidR="00633165" w:rsidRPr="00D55FA1" w14:paraId="5324A91C" w14:textId="77777777" w:rsidTr="4559D8E7">
        <w:trPr>
          <w:cantSplit/>
        </w:trPr>
        <w:tc>
          <w:tcPr>
            <w:tcW w:w="3775" w:type="dxa"/>
            <w:tcBorders>
              <w:top w:val="single" w:sz="4" w:space="0" w:color="auto"/>
              <w:left w:val="single" w:sz="4" w:space="0" w:color="auto"/>
              <w:bottom w:val="single" w:sz="4" w:space="0" w:color="auto"/>
              <w:right w:val="single" w:sz="4" w:space="0" w:color="auto"/>
            </w:tcBorders>
            <w:hideMark/>
          </w:tcPr>
          <w:p w14:paraId="71726497" w14:textId="77777777" w:rsidR="00633165" w:rsidRPr="00FB38DD" w:rsidRDefault="00633165">
            <w:pPr>
              <w:jc w:val="both"/>
            </w:pPr>
            <w:r w:rsidRPr="00FB38DD">
              <w:t>Mental Health Services</w:t>
            </w:r>
          </w:p>
        </w:tc>
        <w:tc>
          <w:tcPr>
            <w:tcW w:w="3150" w:type="dxa"/>
            <w:tcBorders>
              <w:top w:val="single" w:sz="4" w:space="0" w:color="auto"/>
              <w:left w:val="single" w:sz="4" w:space="0" w:color="auto"/>
              <w:bottom w:val="single" w:sz="4" w:space="0" w:color="auto"/>
              <w:right w:val="single" w:sz="4" w:space="0" w:color="auto"/>
            </w:tcBorders>
            <w:hideMark/>
          </w:tcPr>
          <w:p w14:paraId="2431528E" w14:textId="27C08A83" w:rsidR="00633165" w:rsidRPr="00FB38DD" w:rsidRDefault="00FB38DD" w:rsidP="00BD20A7">
            <w:pPr>
              <w:jc w:val="center"/>
            </w:pPr>
            <w:r w:rsidRPr="00FB38DD">
              <w:t>275,023</w:t>
            </w:r>
          </w:p>
        </w:tc>
        <w:tc>
          <w:tcPr>
            <w:tcW w:w="2425" w:type="dxa"/>
            <w:tcBorders>
              <w:top w:val="single" w:sz="4" w:space="0" w:color="auto"/>
              <w:left w:val="single" w:sz="4" w:space="0" w:color="auto"/>
              <w:bottom w:val="single" w:sz="4" w:space="0" w:color="auto"/>
              <w:right w:val="single" w:sz="4" w:space="0" w:color="auto"/>
            </w:tcBorders>
            <w:hideMark/>
          </w:tcPr>
          <w:p w14:paraId="18570B91" w14:textId="651DC3CA" w:rsidR="00633165" w:rsidRPr="008273D9" w:rsidRDefault="001D786B" w:rsidP="00BD20A7">
            <w:pPr>
              <w:jc w:val="center"/>
            </w:pPr>
            <w:r w:rsidRPr="008273D9">
              <w:t>8.07</w:t>
            </w:r>
          </w:p>
        </w:tc>
      </w:tr>
      <w:tr w:rsidR="00633165" w:rsidRPr="00D55FA1" w14:paraId="4B75449C" w14:textId="77777777" w:rsidTr="4559D8E7">
        <w:trPr>
          <w:cantSplit/>
        </w:trPr>
        <w:tc>
          <w:tcPr>
            <w:tcW w:w="3775" w:type="dxa"/>
            <w:tcBorders>
              <w:top w:val="single" w:sz="4" w:space="0" w:color="auto"/>
              <w:left w:val="single" w:sz="4" w:space="0" w:color="auto"/>
              <w:bottom w:val="single" w:sz="4" w:space="0" w:color="auto"/>
              <w:right w:val="single" w:sz="4" w:space="0" w:color="auto"/>
            </w:tcBorders>
            <w:hideMark/>
          </w:tcPr>
          <w:p w14:paraId="5C2F0ECC" w14:textId="77777777" w:rsidR="00633165" w:rsidRPr="008273D9" w:rsidRDefault="00633165">
            <w:pPr>
              <w:jc w:val="both"/>
            </w:pPr>
            <w:r w:rsidRPr="008273D9">
              <w:t>All Other Services</w:t>
            </w:r>
          </w:p>
        </w:tc>
        <w:tc>
          <w:tcPr>
            <w:tcW w:w="3150" w:type="dxa"/>
            <w:tcBorders>
              <w:top w:val="single" w:sz="4" w:space="0" w:color="auto"/>
              <w:left w:val="single" w:sz="4" w:space="0" w:color="auto"/>
              <w:bottom w:val="single" w:sz="4" w:space="0" w:color="auto"/>
              <w:right w:val="single" w:sz="4" w:space="0" w:color="auto"/>
            </w:tcBorders>
            <w:hideMark/>
          </w:tcPr>
          <w:p w14:paraId="2275977F" w14:textId="532F605C" w:rsidR="00633165" w:rsidRPr="008273D9" w:rsidRDefault="00907A7C" w:rsidP="00BD20A7">
            <w:pPr>
              <w:jc w:val="center"/>
            </w:pPr>
            <w:r>
              <w:t>500,119</w:t>
            </w:r>
          </w:p>
        </w:tc>
        <w:tc>
          <w:tcPr>
            <w:tcW w:w="2425" w:type="dxa"/>
            <w:tcBorders>
              <w:top w:val="single" w:sz="4" w:space="0" w:color="auto"/>
              <w:left w:val="single" w:sz="4" w:space="0" w:color="auto"/>
              <w:bottom w:val="single" w:sz="4" w:space="0" w:color="auto"/>
              <w:right w:val="single" w:sz="4" w:space="0" w:color="auto"/>
            </w:tcBorders>
            <w:hideMark/>
          </w:tcPr>
          <w:p w14:paraId="7F1860AC" w14:textId="3E0D5B92" w:rsidR="00633165" w:rsidRPr="008273D9" w:rsidRDefault="00C6271B" w:rsidP="00BD20A7">
            <w:pPr>
              <w:jc w:val="center"/>
            </w:pPr>
            <w:r>
              <w:t>14.6</w:t>
            </w:r>
            <w:r w:rsidR="00A963B2">
              <w:t>9</w:t>
            </w:r>
          </w:p>
        </w:tc>
      </w:tr>
      <w:tr w:rsidR="00633165" w:rsidRPr="00D55FA1" w14:paraId="4636D225" w14:textId="77777777" w:rsidTr="4559D8E7">
        <w:trPr>
          <w:cantSplit/>
          <w:trHeight w:val="70"/>
        </w:trPr>
        <w:tc>
          <w:tcPr>
            <w:tcW w:w="3775" w:type="dxa"/>
            <w:tcBorders>
              <w:top w:val="single" w:sz="4" w:space="0" w:color="auto"/>
              <w:left w:val="single" w:sz="4" w:space="0" w:color="auto"/>
              <w:bottom w:val="single" w:sz="4" w:space="0" w:color="auto"/>
              <w:right w:val="single" w:sz="4" w:space="0" w:color="auto"/>
            </w:tcBorders>
            <w:hideMark/>
          </w:tcPr>
          <w:p w14:paraId="46FE0C09" w14:textId="77777777" w:rsidR="00633165" w:rsidRPr="00D55FA1" w:rsidRDefault="00633165">
            <w:pPr>
              <w:jc w:val="both"/>
            </w:pPr>
            <w:r w:rsidRPr="00D55FA1">
              <w:t>Total</w:t>
            </w:r>
          </w:p>
        </w:tc>
        <w:tc>
          <w:tcPr>
            <w:tcW w:w="3150" w:type="dxa"/>
            <w:tcBorders>
              <w:top w:val="single" w:sz="4" w:space="0" w:color="auto"/>
              <w:left w:val="single" w:sz="4" w:space="0" w:color="auto"/>
              <w:bottom w:val="single" w:sz="4" w:space="0" w:color="auto"/>
              <w:right w:val="single" w:sz="4" w:space="0" w:color="auto"/>
            </w:tcBorders>
            <w:hideMark/>
          </w:tcPr>
          <w:p w14:paraId="452C62B7" w14:textId="3B09E70C" w:rsidR="00633165" w:rsidRPr="00D55FA1" w:rsidRDefault="006A5D20" w:rsidP="00BD20A7">
            <w:pPr>
              <w:jc w:val="center"/>
            </w:pPr>
            <w:r w:rsidRPr="00D55FA1">
              <w:t>3,4</w:t>
            </w:r>
            <w:r w:rsidR="001F5975">
              <w:t>07,047</w:t>
            </w:r>
          </w:p>
        </w:tc>
        <w:tc>
          <w:tcPr>
            <w:tcW w:w="2425" w:type="dxa"/>
            <w:tcBorders>
              <w:top w:val="single" w:sz="4" w:space="0" w:color="auto"/>
              <w:left w:val="single" w:sz="4" w:space="0" w:color="auto"/>
              <w:bottom w:val="single" w:sz="4" w:space="0" w:color="auto"/>
              <w:right w:val="single" w:sz="4" w:space="0" w:color="auto"/>
            </w:tcBorders>
            <w:hideMark/>
          </w:tcPr>
          <w:p w14:paraId="6649AC86" w14:textId="77777777" w:rsidR="00633165" w:rsidRPr="00D55FA1" w:rsidRDefault="00633165" w:rsidP="00BD20A7">
            <w:pPr>
              <w:jc w:val="center"/>
            </w:pPr>
            <w:r w:rsidRPr="00D55FA1">
              <w:t>100.0</w:t>
            </w:r>
          </w:p>
        </w:tc>
      </w:tr>
    </w:tbl>
    <w:p w14:paraId="3382FC51" w14:textId="24428C58" w:rsidR="00633165" w:rsidRPr="00D55FA1" w:rsidRDefault="67E6D4E6" w:rsidP="00633165">
      <w:pPr>
        <w:spacing w:after="240"/>
      </w:pPr>
      <w:r w:rsidRPr="00D55FA1">
        <w:t xml:space="preserve">Source: </w:t>
      </w:r>
      <w:r w:rsidR="00633165" w:rsidRPr="00D55FA1">
        <w:t xml:space="preserve">CALPADS, </w:t>
      </w:r>
      <w:r w:rsidR="001B09C3" w:rsidRPr="00D55FA1">
        <w:t>Fall</w:t>
      </w:r>
      <w:r w:rsidR="00633165" w:rsidRPr="00D55FA1">
        <w:t xml:space="preserve"> 202</w:t>
      </w:r>
      <w:r w:rsidR="00C8519E">
        <w:t>4</w:t>
      </w:r>
    </w:p>
    <w:p w14:paraId="19D6A865" w14:textId="63B6316A" w:rsidR="00633165" w:rsidRPr="00D55FA1" w:rsidRDefault="00633165" w:rsidP="007266D8">
      <w:pPr>
        <w:pStyle w:val="Heading1"/>
      </w:pPr>
      <w:bookmarkStart w:id="99" w:name="_Toc57198996"/>
      <w:bookmarkStart w:id="100" w:name="_Toc212718030"/>
      <w:r w:rsidRPr="00D55FA1">
        <w:t>202</w:t>
      </w:r>
      <w:r w:rsidR="00C8519E">
        <w:t>4</w:t>
      </w:r>
      <w:r w:rsidRPr="00D55FA1">
        <w:t>–</w:t>
      </w:r>
      <w:r w:rsidR="00844365" w:rsidRPr="00D55FA1">
        <w:t>2</w:t>
      </w:r>
      <w:r w:rsidR="00C8519E">
        <w:t>5</w:t>
      </w:r>
      <w:r w:rsidRPr="00D55FA1">
        <w:t xml:space="preserve"> Annual Performance Report Indicators</w:t>
      </w:r>
      <w:bookmarkEnd w:id="99"/>
      <w:bookmarkEnd w:id="100"/>
    </w:p>
    <w:p w14:paraId="3DD3E710" w14:textId="0211BB6D" w:rsidR="00633165" w:rsidRPr="00D55FA1" w:rsidRDefault="00633165" w:rsidP="00A869FA">
      <w:pPr>
        <w:spacing w:after="480"/>
      </w:pPr>
      <w:r>
        <w:t>During FFY 20</w:t>
      </w:r>
      <w:r w:rsidR="00844365">
        <w:t>2</w:t>
      </w:r>
      <w:r w:rsidR="001C1BF8">
        <w:t>4</w:t>
      </w:r>
      <w:r>
        <w:t xml:space="preserve">, California </w:t>
      </w:r>
      <w:r w:rsidRPr="00C322C7">
        <w:t xml:space="preserve">met </w:t>
      </w:r>
      <w:r w:rsidR="005279FC">
        <w:t xml:space="preserve">or exceeded targets for </w:t>
      </w:r>
      <w:r w:rsidR="00272381" w:rsidRPr="00E17999">
        <w:t>9</w:t>
      </w:r>
      <w:r w:rsidRPr="00C322C7">
        <w:t xml:space="preserve"> of</w:t>
      </w:r>
      <w:r>
        <w:t xml:space="preserve"> the 1</w:t>
      </w:r>
      <w:r w:rsidR="00EE552A">
        <w:t>8</w:t>
      </w:r>
      <w:r>
        <w:t xml:space="preserve"> indicators. Table </w:t>
      </w:r>
      <w:r w:rsidR="004C70F4">
        <w:t>4</w:t>
      </w:r>
      <w:r>
        <w:t xml:space="preserve"> identifies each indicator, its target, the FFY 20</w:t>
      </w:r>
      <w:r w:rsidR="00844365">
        <w:t>2</w:t>
      </w:r>
      <w:r w:rsidR="001C1BF8">
        <w:t>4</w:t>
      </w:r>
      <w:r>
        <w:t xml:space="preserve"> state results, and </w:t>
      </w:r>
      <w:proofErr w:type="gramStart"/>
      <w:r>
        <w:t>whether or not</w:t>
      </w:r>
      <w:proofErr w:type="gramEnd"/>
      <w:r>
        <w:t xml:space="preserve"> the target was met. The pages following Table </w:t>
      </w:r>
      <w:r w:rsidR="00844365">
        <w:t>4</w:t>
      </w:r>
      <w:r>
        <w:t xml:space="preserve"> provide an overview of each individual indicator, including a description of the indicator, the target, the data collected, the results, and whether there was an increase or decrease in the results from </w:t>
      </w:r>
      <w:r w:rsidR="65D92383">
        <w:t>the prior</w:t>
      </w:r>
      <w:r>
        <w:t xml:space="preserve"> year.</w:t>
      </w:r>
    </w:p>
    <w:p w14:paraId="17C8B0FB" w14:textId="5ED8AB7F" w:rsidR="00633165" w:rsidRPr="0023436D" w:rsidRDefault="00633165" w:rsidP="0023436D">
      <w:pPr>
        <w:rPr>
          <w:b/>
          <w:bCs/>
        </w:rPr>
      </w:pPr>
      <w:bookmarkStart w:id="101" w:name="_Toc57198997"/>
      <w:r w:rsidRPr="0023436D">
        <w:rPr>
          <w:b/>
          <w:bCs/>
        </w:rPr>
        <w:t>Table 4: Indicators, Target, Results, and Change</w:t>
      </w:r>
      <w:bookmarkEnd w:id="101"/>
    </w:p>
    <w:tbl>
      <w:tblPr>
        <w:tblStyle w:val="TableGrid"/>
        <w:tblW w:w="9900" w:type="dxa"/>
        <w:tblLayout w:type="fixed"/>
        <w:tblLook w:val="04A0" w:firstRow="1" w:lastRow="0" w:firstColumn="1" w:lastColumn="0" w:noHBand="0" w:noVBand="1"/>
        <w:tblDescription w:val="A list of 18 indicators with the targets, results, and change from prior year."/>
      </w:tblPr>
      <w:tblGrid>
        <w:gridCol w:w="3416"/>
        <w:gridCol w:w="1981"/>
        <w:gridCol w:w="1711"/>
        <w:gridCol w:w="1077"/>
        <w:gridCol w:w="1715"/>
      </w:tblGrid>
      <w:tr w:rsidR="00633165" w:rsidRPr="00D55FA1" w14:paraId="1F2559A0" w14:textId="77777777" w:rsidTr="5E32A801">
        <w:trPr>
          <w:cantSplit/>
          <w:tblHeader/>
        </w:trPr>
        <w:tc>
          <w:tcPr>
            <w:tcW w:w="3416" w:type="dxa"/>
            <w:tcBorders>
              <w:top w:val="single" w:sz="4" w:space="0" w:color="auto"/>
              <w:left w:val="single" w:sz="4" w:space="0" w:color="auto"/>
              <w:bottom w:val="single" w:sz="4" w:space="0" w:color="auto"/>
              <w:right w:val="single" w:sz="4" w:space="0" w:color="auto"/>
            </w:tcBorders>
            <w:vAlign w:val="bottom"/>
            <w:hideMark/>
          </w:tcPr>
          <w:p w14:paraId="4E642A93" w14:textId="77777777" w:rsidR="00633165" w:rsidRPr="00D55FA1" w:rsidRDefault="00633165">
            <w:pPr>
              <w:jc w:val="center"/>
              <w:rPr>
                <w:b/>
              </w:rPr>
            </w:pPr>
            <w:r w:rsidRPr="00D55FA1">
              <w:rPr>
                <w:b/>
              </w:rPr>
              <w:lastRenderedPageBreak/>
              <w:t>Indicators</w:t>
            </w:r>
          </w:p>
        </w:tc>
        <w:tc>
          <w:tcPr>
            <w:tcW w:w="1981" w:type="dxa"/>
            <w:tcBorders>
              <w:top w:val="single" w:sz="4" w:space="0" w:color="auto"/>
              <w:left w:val="single" w:sz="4" w:space="0" w:color="auto"/>
              <w:bottom w:val="single" w:sz="4" w:space="0" w:color="auto"/>
              <w:right w:val="single" w:sz="4" w:space="0" w:color="auto"/>
            </w:tcBorders>
            <w:vAlign w:val="bottom"/>
            <w:hideMark/>
          </w:tcPr>
          <w:p w14:paraId="2F0BBBBA" w14:textId="77777777" w:rsidR="00633165" w:rsidRPr="00D55FA1" w:rsidRDefault="00633165">
            <w:pPr>
              <w:jc w:val="center"/>
              <w:rPr>
                <w:b/>
              </w:rPr>
            </w:pPr>
            <w:r w:rsidRPr="00D55FA1">
              <w:rPr>
                <w:b/>
              </w:rPr>
              <w:t>Targets</w:t>
            </w:r>
          </w:p>
        </w:tc>
        <w:tc>
          <w:tcPr>
            <w:tcW w:w="1711" w:type="dxa"/>
            <w:tcBorders>
              <w:top w:val="single" w:sz="4" w:space="0" w:color="auto"/>
              <w:left w:val="single" w:sz="4" w:space="0" w:color="auto"/>
              <w:bottom w:val="single" w:sz="4" w:space="0" w:color="auto"/>
              <w:right w:val="single" w:sz="4" w:space="0" w:color="auto"/>
            </w:tcBorders>
            <w:vAlign w:val="bottom"/>
            <w:hideMark/>
          </w:tcPr>
          <w:p w14:paraId="36704A0D" w14:textId="77777777" w:rsidR="00633165" w:rsidRPr="00D55FA1" w:rsidRDefault="00633165">
            <w:pPr>
              <w:jc w:val="center"/>
              <w:rPr>
                <w:b/>
              </w:rPr>
            </w:pPr>
            <w:r w:rsidRPr="00D55FA1">
              <w:rPr>
                <w:b/>
              </w:rPr>
              <w:t>Results</w:t>
            </w:r>
          </w:p>
        </w:tc>
        <w:tc>
          <w:tcPr>
            <w:tcW w:w="1077" w:type="dxa"/>
            <w:tcBorders>
              <w:top w:val="single" w:sz="4" w:space="0" w:color="auto"/>
              <w:left w:val="single" w:sz="4" w:space="0" w:color="auto"/>
              <w:bottom w:val="single" w:sz="4" w:space="0" w:color="auto"/>
              <w:right w:val="single" w:sz="4" w:space="0" w:color="auto"/>
            </w:tcBorders>
            <w:vAlign w:val="bottom"/>
            <w:hideMark/>
          </w:tcPr>
          <w:p w14:paraId="779B4990" w14:textId="77777777" w:rsidR="00633165" w:rsidRPr="00D55FA1" w:rsidRDefault="00633165">
            <w:pPr>
              <w:jc w:val="center"/>
              <w:rPr>
                <w:b/>
              </w:rPr>
            </w:pPr>
            <w:r w:rsidRPr="00D55FA1">
              <w:rPr>
                <w:b/>
              </w:rPr>
              <w:t>Met Target</w:t>
            </w:r>
          </w:p>
        </w:tc>
        <w:tc>
          <w:tcPr>
            <w:tcW w:w="1715" w:type="dxa"/>
            <w:tcBorders>
              <w:top w:val="single" w:sz="4" w:space="0" w:color="auto"/>
              <w:left w:val="single" w:sz="4" w:space="0" w:color="auto"/>
              <w:bottom w:val="single" w:sz="4" w:space="0" w:color="auto"/>
              <w:right w:val="single" w:sz="4" w:space="0" w:color="auto"/>
            </w:tcBorders>
            <w:vAlign w:val="bottom"/>
            <w:hideMark/>
          </w:tcPr>
          <w:p w14:paraId="7AF14C61" w14:textId="77777777" w:rsidR="00633165" w:rsidRPr="00D55FA1" w:rsidRDefault="00633165">
            <w:pPr>
              <w:jc w:val="center"/>
              <w:rPr>
                <w:b/>
              </w:rPr>
            </w:pPr>
            <w:r w:rsidRPr="00D55FA1">
              <w:rPr>
                <w:b/>
              </w:rPr>
              <w:t>Change from Prior Year</w:t>
            </w:r>
          </w:p>
        </w:tc>
      </w:tr>
      <w:tr w:rsidR="00633165" w:rsidRPr="00D55FA1" w14:paraId="29CF0A75"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700D0EE9" w14:textId="77777777" w:rsidR="00633165" w:rsidRPr="00D55FA1" w:rsidRDefault="00633165">
            <w:bookmarkStart w:id="102" w:name="_Hlk184749199"/>
            <w:r w:rsidRPr="00D55FA1">
              <w:t>1 Graduation</w:t>
            </w:r>
          </w:p>
        </w:tc>
        <w:tc>
          <w:tcPr>
            <w:tcW w:w="1981" w:type="dxa"/>
            <w:tcBorders>
              <w:top w:val="single" w:sz="4" w:space="0" w:color="auto"/>
              <w:left w:val="single" w:sz="4" w:space="0" w:color="auto"/>
              <w:bottom w:val="single" w:sz="4" w:space="0" w:color="auto"/>
              <w:right w:val="single" w:sz="4" w:space="0" w:color="auto"/>
            </w:tcBorders>
            <w:vAlign w:val="bottom"/>
            <w:hideMark/>
          </w:tcPr>
          <w:p w14:paraId="78DD41F2" w14:textId="041E9C0A" w:rsidR="00633165" w:rsidRPr="00D55FA1" w:rsidRDefault="00844365">
            <w:pPr>
              <w:jc w:val="center"/>
            </w:pPr>
            <w:r w:rsidRPr="00D55FA1">
              <w:t>7</w:t>
            </w:r>
            <w:r w:rsidR="00065C23">
              <w:t>8</w:t>
            </w:r>
            <w:r w:rsidR="00633165"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50448E0F" w14:textId="4FDDA0C0" w:rsidR="00633165" w:rsidRPr="00D55FA1" w:rsidRDefault="00065C23">
            <w:pPr>
              <w:jc w:val="center"/>
            </w:pPr>
            <w:r>
              <w:t>76.06</w:t>
            </w:r>
            <w:r w:rsidR="00633165"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5B7FDD25" w14:textId="7B4C7442" w:rsidR="00633165" w:rsidRPr="00D55FA1" w:rsidRDefault="00065C23">
            <w:pPr>
              <w:jc w:val="center"/>
            </w:pPr>
            <w:r>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77347F75" w14:textId="15F6ABF5" w:rsidR="00633165" w:rsidRPr="00D55FA1" w:rsidRDefault="00E33AD6">
            <w:pPr>
              <w:jc w:val="center"/>
            </w:pPr>
            <w:r>
              <w:t>-3.</w:t>
            </w:r>
            <w:r w:rsidR="00065C23">
              <w:t>2</w:t>
            </w:r>
            <w:r w:rsidR="00515462" w:rsidRPr="00D55FA1">
              <w:t>%</w:t>
            </w:r>
          </w:p>
        </w:tc>
      </w:tr>
      <w:tr w:rsidR="00633165" w:rsidRPr="00D55FA1" w14:paraId="08E2D64F"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10E7B1C0" w14:textId="77777777" w:rsidR="00633165" w:rsidRPr="00D55FA1" w:rsidRDefault="00633165">
            <w:bookmarkStart w:id="103" w:name="_Hlk184749290"/>
            <w:bookmarkEnd w:id="102"/>
            <w:r w:rsidRPr="00D55FA1">
              <w:t>2 Drop Out</w:t>
            </w:r>
          </w:p>
        </w:tc>
        <w:tc>
          <w:tcPr>
            <w:tcW w:w="1981" w:type="dxa"/>
            <w:tcBorders>
              <w:top w:val="single" w:sz="4" w:space="0" w:color="auto"/>
              <w:left w:val="single" w:sz="4" w:space="0" w:color="auto"/>
              <w:bottom w:val="single" w:sz="4" w:space="0" w:color="auto"/>
              <w:right w:val="single" w:sz="4" w:space="0" w:color="auto"/>
            </w:tcBorders>
            <w:vAlign w:val="bottom"/>
            <w:hideMark/>
          </w:tcPr>
          <w:p w14:paraId="3E5E850A" w14:textId="448E64C4" w:rsidR="00633165" w:rsidRPr="00D55FA1" w:rsidRDefault="00065C23">
            <w:pPr>
              <w:jc w:val="center"/>
            </w:pPr>
            <w:r>
              <w:rPr>
                <w:rFonts w:eastAsia="Calibri" w:cs="Arial"/>
              </w:rPr>
              <w:t>7</w:t>
            </w:r>
            <w:r w:rsidR="00633165" w:rsidRPr="00D55FA1">
              <w:rPr>
                <w:rFonts w:eastAsia="Calibri" w:cs="Arial"/>
              </w:rPr>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59B102A8" w14:textId="0C31A21F" w:rsidR="00633165" w:rsidRPr="00D55FA1" w:rsidRDefault="00065C23">
            <w:pPr>
              <w:jc w:val="center"/>
            </w:pPr>
            <w:r>
              <w:t>10.31</w:t>
            </w:r>
            <w:r w:rsidR="00633165"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55239733" w14:textId="1F360CD6" w:rsidR="00633165" w:rsidRPr="00D55FA1" w:rsidRDefault="00065C23">
            <w:pPr>
              <w:jc w:val="center"/>
            </w:pPr>
            <w:r>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0F75B1CE" w14:textId="2033E9A3" w:rsidR="00633165" w:rsidRPr="00D55FA1" w:rsidRDefault="00065C23">
            <w:pPr>
              <w:jc w:val="center"/>
            </w:pPr>
            <w:r>
              <w:t>+</w:t>
            </w:r>
            <w:r w:rsidR="009C6112" w:rsidRPr="00D55FA1">
              <w:t>2.</w:t>
            </w:r>
            <w:r>
              <w:t>71</w:t>
            </w:r>
            <w:r w:rsidR="00633165" w:rsidRPr="00D55FA1">
              <w:t>%</w:t>
            </w:r>
          </w:p>
        </w:tc>
      </w:tr>
      <w:bookmarkEnd w:id="103"/>
      <w:tr w:rsidR="00633165" w:rsidRPr="00D55FA1" w14:paraId="63458E95"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650A83D2" w14:textId="77777777" w:rsidR="00633165" w:rsidRPr="00D55FA1" w:rsidRDefault="00633165">
            <w:r w:rsidRPr="00D55FA1">
              <w:t>3 Statewide Assessment</w:t>
            </w:r>
          </w:p>
        </w:tc>
        <w:tc>
          <w:tcPr>
            <w:tcW w:w="1981" w:type="dxa"/>
            <w:tcBorders>
              <w:top w:val="single" w:sz="4" w:space="0" w:color="auto"/>
              <w:left w:val="single" w:sz="4" w:space="0" w:color="auto"/>
              <w:bottom w:val="single" w:sz="4" w:space="0" w:color="auto"/>
              <w:right w:val="single" w:sz="4" w:space="0" w:color="auto"/>
            </w:tcBorders>
            <w:vAlign w:val="bottom"/>
            <w:hideMark/>
          </w:tcPr>
          <w:p w14:paraId="629D792A" w14:textId="77777777" w:rsidR="00633165" w:rsidRPr="00D55FA1" w:rsidRDefault="00633165">
            <w:pPr>
              <w:jc w:val="center"/>
            </w:pPr>
            <w:r w:rsidRPr="00D55FA1">
              <w:t>N/A</w:t>
            </w:r>
          </w:p>
        </w:tc>
        <w:tc>
          <w:tcPr>
            <w:tcW w:w="1711" w:type="dxa"/>
            <w:tcBorders>
              <w:top w:val="single" w:sz="4" w:space="0" w:color="auto"/>
              <w:left w:val="single" w:sz="4" w:space="0" w:color="auto"/>
              <w:bottom w:val="single" w:sz="4" w:space="0" w:color="auto"/>
              <w:right w:val="single" w:sz="4" w:space="0" w:color="auto"/>
            </w:tcBorders>
            <w:vAlign w:val="bottom"/>
            <w:hideMark/>
          </w:tcPr>
          <w:p w14:paraId="34824FA9" w14:textId="77777777" w:rsidR="00633165" w:rsidRPr="00D55FA1" w:rsidRDefault="00633165">
            <w:pPr>
              <w:jc w:val="center"/>
            </w:pPr>
            <w:r w:rsidRPr="00D55FA1">
              <w:t>N/A</w:t>
            </w:r>
          </w:p>
        </w:tc>
        <w:tc>
          <w:tcPr>
            <w:tcW w:w="1077" w:type="dxa"/>
            <w:tcBorders>
              <w:top w:val="single" w:sz="4" w:space="0" w:color="auto"/>
              <w:left w:val="single" w:sz="4" w:space="0" w:color="auto"/>
              <w:bottom w:val="single" w:sz="4" w:space="0" w:color="auto"/>
              <w:right w:val="single" w:sz="4" w:space="0" w:color="auto"/>
            </w:tcBorders>
            <w:vAlign w:val="bottom"/>
            <w:hideMark/>
          </w:tcPr>
          <w:p w14:paraId="7546AC13" w14:textId="77777777" w:rsidR="00633165" w:rsidRPr="00D55FA1" w:rsidRDefault="00633165">
            <w:pPr>
              <w:jc w:val="center"/>
            </w:pPr>
            <w:r w:rsidRPr="00D55FA1">
              <w:t>N/A</w:t>
            </w:r>
          </w:p>
        </w:tc>
        <w:tc>
          <w:tcPr>
            <w:tcW w:w="1715" w:type="dxa"/>
            <w:tcBorders>
              <w:top w:val="single" w:sz="4" w:space="0" w:color="auto"/>
              <w:left w:val="single" w:sz="4" w:space="0" w:color="auto"/>
              <w:bottom w:val="single" w:sz="4" w:space="0" w:color="auto"/>
              <w:right w:val="single" w:sz="4" w:space="0" w:color="auto"/>
            </w:tcBorders>
            <w:vAlign w:val="bottom"/>
            <w:hideMark/>
          </w:tcPr>
          <w:p w14:paraId="7759889B" w14:textId="77777777" w:rsidR="00633165" w:rsidRPr="00D55FA1" w:rsidRDefault="00633165">
            <w:pPr>
              <w:jc w:val="center"/>
            </w:pPr>
            <w:r w:rsidRPr="00D55FA1">
              <w:t>N/A</w:t>
            </w:r>
          </w:p>
        </w:tc>
      </w:tr>
      <w:tr w:rsidR="00633165" w:rsidRPr="00D55FA1" w14:paraId="3003A89C"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3E5E7C0D" w14:textId="77777777" w:rsidR="00633165" w:rsidRPr="00D55FA1" w:rsidRDefault="00633165">
            <w:r w:rsidRPr="00D55FA1">
              <w:t>3</w:t>
            </w:r>
            <w:r w:rsidR="00844365" w:rsidRPr="00D55FA1">
              <w:t>A</w:t>
            </w:r>
            <w:r w:rsidRPr="00D55FA1">
              <w:t xml:space="preserve"> Participation</w:t>
            </w:r>
          </w:p>
        </w:tc>
        <w:tc>
          <w:tcPr>
            <w:tcW w:w="1981" w:type="dxa"/>
            <w:tcBorders>
              <w:top w:val="single" w:sz="4" w:space="0" w:color="auto"/>
              <w:left w:val="single" w:sz="4" w:space="0" w:color="auto"/>
              <w:bottom w:val="single" w:sz="4" w:space="0" w:color="auto"/>
              <w:right w:val="single" w:sz="4" w:space="0" w:color="auto"/>
            </w:tcBorders>
            <w:vAlign w:val="bottom"/>
            <w:hideMark/>
          </w:tcPr>
          <w:p w14:paraId="737F2C29" w14:textId="77777777" w:rsidR="00633165" w:rsidRPr="00D55FA1" w:rsidRDefault="00633165">
            <w:pPr>
              <w:jc w:val="center"/>
            </w:pPr>
            <w:r w:rsidRPr="00D55FA1">
              <w:t>95% ELA/Math</w:t>
            </w:r>
          </w:p>
        </w:tc>
        <w:tc>
          <w:tcPr>
            <w:tcW w:w="1711" w:type="dxa"/>
            <w:tcBorders>
              <w:top w:val="single" w:sz="4" w:space="0" w:color="auto"/>
              <w:left w:val="single" w:sz="4" w:space="0" w:color="auto"/>
              <w:bottom w:val="single" w:sz="4" w:space="0" w:color="auto"/>
              <w:right w:val="single" w:sz="4" w:space="0" w:color="auto"/>
            </w:tcBorders>
            <w:vAlign w:val="bottom"/>
            <w:hideMark/>
          </w:tcPr>
          <w:p w14:paraId="7AC43853" w14:textId="77777777" w:rsidR="00633165" w:rsidRPr="00D55FA1" w:rsidRDefault="00FC2FD0">
            <w:pPr>
              <w:jc w:val="center"/>
            </w:pPr>
            <w:r w:rsidRPr="00D55FA1">
              <w:t>Various</w:t>
            </w:r>
          </w:p>
        </w:tc>
        <w:tc>
          <w:tcPr>
            <w:tcW w:w="1077" w:type="dxa"/>
            <w:tcBorders>
              <w:top w:val="single" w:sz="4" w:space="0" w:color="auto"/>
              <w:left w:val="single" w:sz="4" w:space="0" w:color="auto"/>
              <w:bottom w:val="single" w:sz="4" w:space="0" w:color="auto"/>
              <w:right w:val="single" w:sz="4" w:space="0" w:color="auto"/>
            </w:tcBorders>
            <w:vAlign w:val="bottom"/>
            <w:hideMark/>
          </w:tcPr>
          <w:p w14:paraId="65804BD3" w14:textId="329D1C7B" w:rsidR="00633165" w:rsidRPr="00D55FA1" w:rsidRDefault="0083171F">
            <w:pPr>
              <w:jc w:val="center"/>
            </w:pPr>
            <w:r w:rsidRPr="00D55FA1">
              <w:t>Yes/</w:t>
            </w:r>
            <w:r w:rsidR="009C6112"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4C3940C2" w14:textId="5723C947" w:rsidR="00633165" w:rsidRPr="00D55FA1" w:rsidRDefault="00515462">
            <w:pPr>
              <w:jc w:val="center"/>
            </w:pPr>
            <w:r w:rsidRPr="00D55FA1">
              <w:t>Various</w:t>
            </w:r>
          </w:p>
        </w:tc>
      </w:tr>
      <w:tr w:rsidR="00633165" w:rsidRPr="00D55FA1" w14:paraId="05685710"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628C2E3D" w14:textId="77777777" w:rsidR="00633165" w:rsidRPr="00D55FA1" w:rsidRDefault="00633165">
            <w:r w:rsidRPr="00D55FA1">
              <w:t>3</w:t>
            </w:r>
            <w:r w:rsidR="00844365" w:rsidRPr="00D55FA1">
              <w:t>B Grade Level Assessments Proficiency</w:t>
            </w:r>
          </w:p>
        </w:tc>
        <w:tc>
          <w:tcPr>
            <w:tcW w:w="1981" w:type="dxa"/>
            <w:tcBorders>
              <w:top w:val="single" w:sz="4" w:space="0" w:color="auto"/>
              <w:left w:val="single" w:sz="4" w:space="0" w:color="auto"/>
              <w:bottom w:val="single" w:sz="4" w:space="0" w:color="auto"/>
              <w:right w:val="single" w:sz="4" w:space="0" w:color="auto"/>
            </w:tcBorders>
            <w:vAlign w:val="bottom"/>
            <w:hideMark/>
          </w:tcPr>
          <w:p w14:paraId="5715A8D9" w14:textId="77777777" w:rsidR="00633165" w:rsidRPr="00D55FA1" w:rsidRDefault="00844365">
            <w:pPr>
              <w:jc w:val="center"/>
            </w:pPr>
            <w:r w:rsidRPr="00D55FA1">
              <w:t>Various</w:t>
            </w:r>
          </w:p>
        </w:tc>
        <w:tc>
          <w:tcPr>
            <w:tcW w:w="1711" w:type="dxa"/>
            <w:tcBorders>
              <w:top w:val="single" w:sz="4" w:space="0" w:color="auto"/>
              <w:left w:val="single" w:sz="4" w:space="0" w:color="auto"/>
              <w:bottom w:val="single" w:sz="4" w:space="0" w:color="auto"/>
              <w:right w:val="single" w:sz="4" w:space="0" w:color="auto"/>
            </w:tcBorders>
            <w:vAlign w:val="bottom"/>
            <w:hideMark/>
          </w:tcPr>
          <w:p w14:paraId="39AD4B6F" w14:textId="77777777" w:rsidR="00633165" w:rsidRPr="00D55FA1" w:rsidRDefault="00844365">
            <w:pPr>
              <w:jc w:val="center"/>
            </w:pPr>
            <w:r w:rsidRPr="00D55FA1">
              <w:t>Various</w:t>
            </w:r>
          </w:p>
        </w:tc>
        <w:tc>
          <w:tcPr>
            <w:tcW w:w="1077" w:type="dxa"/>
            <w:tcBorders>
              <w:top w:val="single" w:sz="4" w:space="0" w:color="auto"/>
              <w:left w:val="single" w:sz="4" w:space="0" w:color="auto"/>
              <w:bottom w:val="single" w:sz="4" w:space="0" w:color="auto"/>
              <w:right w:val="single" w:sz="4" w:space="0" w:color="auto"/>
            </w:tcBorders>
            <w:vAlign w:val="bottom"/>
            <w:hideMark/>
          </w:tcPr>
          <w:p w14:paraId="2FE437C0" w14:textId="64DB4889" w:rsidR="00633165" w:rsidRPr="00D55FA1" w:rsidRDefault="009305BA">
            <w:pPr>
              <w:jc w:val="center"/>
            </w:pPr>
            <w:r w:rsidRPr="00D55FA1">
              <w:t>Yes/No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05102CEA" w14:textId="20AEBF65" w:rsidR="00633165" w:rsidRPr="00D55FA1" w:rsidRDefault="00515462">
            <w:pPr>
              <w:jc w:val="center"/>
            </w:pPr>
            <w:r w:rsidRPr="00D55FA1">
              <w:t>Various</w:t>
            </w:r>
          </w:p>
        </w:tc>
      </w:tr>
      <w:tr w:rsidR="00844365" w:rsidRPr="00D55FA1" w14:paraId="78BE2939" w14:textId="77777777" w:rsidTr="5E32A801">
        <w:trPr>
          <w:cantSplit/>
        </w:trPr>
        <w:tc>
          <w:tcPr>
            <w:tcW w:w="3416" w:type="dxa"/>
            <w:tcBorders>
              <w:top w:val="single" w:sz="4" w:space="0" w:color="auto"/>
              <w:left w:val="single" w:sz="4" w:space="0" w:color="auto"/>
              <w:bottom w:val="single" w:sz="4" w:space="0" w:color="auto"/>
              <w:right w:val="single" w:sz="4" w:space="0" w:color="auto"/>
            </w:tcBorders>
          </w:tcPr>
          <w:p w14:paraId="51A21B84" w14:textId="77777777" w:rsidR="00844365" w:rsidRPr="00D55FA1" w:rsidRDefault="00844365">
            <w:r w:rsidRPr="00D55FA1">
              <w:t>3C Alternate Assessment Proficiency</w:t>
            </w:r>
          </w:p>
        </w:tc>
        <w:tc>
          <w:tcPr>
            <w:tcW w:w="1981" w:type="dxa"/>
            <w:tcBorders>
              <w:top w:val="single" w:sz="4" w:space="0" w:color="auto"/>
              <w:left w:val="single" w:sz="4" w:space="0" w:color="auto"/>
              <w:bottom w:val="single" w:sz="4" w:space="0" w:color="auto"/>
              <w:right w:val="single" w:sz="4" w:space="0" w:color="auto"/>
            </w:tcBorders>
            <w:vAlign w:val="bottom"/>
          </w:tcPr>
          <w:p w14:paraId="3BA3FA27" w14:textId="77777777" w:rsidR="00844365" w:rsidRPr="00D55FA1" w:rsidRDefault="00844365">
            <w:pPr>
              <w:jc w:val="center"/>
            </w:pPr>
            <w:r w:rsidRPr="00D55FA1">
              <w:t>Various</w:t>
            </w:r>
          </w:p>
        </w:tc>
        <w:tc>
          <w:tcPr>
            <w:tcW w:w="1711" w:type="dxa"/>
            <w:tcBorders>
              <w:top w:val="single" w:sz="4" w:space="0" w:color="auto"/>
              <w:left w:val="single" w:sz="4" w:space="0" w:color="auto"/>
              <w:bottom w:val="single" w:sz="4" w:space="0" w:color="auto"/>
              <w:right w:val="single" w:sz="4" w:space="0" w:color="auto"/>
            </w:tcBorders>
            <w:vAlign w:val="bottom"/>
          </w:tcPr>
          <w:p w14:paraId="13E0C0A7" w14:textId="77777777" w:rsidR="00844365" w:rsidRPr="00D55FA1" w:rsidRDefault="00844365">
            <w:pPr>
              <w:jc w:val="center"/>
            </w:pPr>
            <w:r w:rsidRPr="00D55FA1">
              <w:t>Various</w:t>
            </w:r>
          </w:p>
        </w:tc>
        <w:tc>
          <w:tcPr>
            <w:tcW w:w="1077" w:type="dxa"/>
            <w:tcBorders>
              <w:top w:val="single" w:sz="4" w:space="0" w:color="auto"/>
              <w:left w:val="single" w:sz="4" w:space="0" w:color="auto"/>
              <w:bottom w:val="single" w:sz="4" w:space="0" w:color="auto"/>
              <w:right w:val="single" w:sz="4" w:space="0" w:color="auto"/>
            </w:tcBorders>
            <w:vAlign w:val="bottom"/>
          </w:tcPr>
          <w:p w14:paraId="35A1CCD2" w14:textId="64659825" w:rsidR="00844365" w:rsidRPr="00D55FA1" w:rsidRDefault="009305BA">
            <w:pPr>
              <w:jc w:val="center"/>
            </w:pPr>
            <w:r w:rsidRPr="00D55FA1">
              <w:t>Yes/No</w:t>
            </w:r>
          </w:p>
        </w:tc>
        <w:tc>
          <w:tcPr>
            <w:tcW w:w="1715" w:type="dxa"/>
            <w:tcBorders>
              <w:top w:val="single" w:sz="4" w:space="0" w:color="auto"/>
              <w:left w:val="single" w:sz="4" w:space="0" w:color="auto"/>
              <w:bottom w:val="single" w:sz="4" w:space="0" w:color="auto"/>
              <w:right w:val="single" w:sz="4" w:space="0" w:color="auto"/>
            </w:tcBorders>
            <w:vAlign w:val="bottom"/>
          </w:tcPr>
          <w:p w14:paraId="594E7E89" w14:textId="6AF14454" w:rsidR="00844365" w:rsidRPr="00D55FA1" w:rsidRDefault="00515462">
            <w:pPr>
              <w:jc w:val="center"/>
            </w:pPr>
            <w:r w:rsidRPr="00D55FA1">
              <w:t>Various</w:t>
            </w:r>
          </w:p>
        </w:tc>
      </w:tr>
      <w:tr w:rsidR="00844365" w:rsidRPr="00D55FA1" w14:paraId="1B5B17DF" w14:textId="77777777" w:rsidTr="5E32A801">
        <w:trPr>
          <w:cantSplit/>
        </w:trPr>
        <w:tc>
          <w:tcPr>
            <w:tcW w:w="3416" w:type="dxa"/>
            <w:tcBorders>
              <w:top w:val="single" w:sz="4" w:space="0" w:color="auto"/>
              <w:left w:val="single" w:sz="4" w:space="0" w:color="auto"/>
              <w:bottom w:val="single" w:sz="4" w:space="0" w:color="auto"/>
              <w:right w:val="single" w:sz="4" w:space="0" w:color="auto"/>
            </w:tcBorders>
          </w:tcPr>
          <w:p w14:paraId="02116796" w14:textId="77777777" w:rsidR="00844365" w:rsidRPr="00D55FA1" w:rsidRDefault="00844365">
            <w:r w:rsidRPr="00D55FA1">
              <w:t>3D Achievement Gap</w:t>
            </w:r>
          </w:p>
        </w:tc>
        <w:tc>
          <w:tcPr>
            <w:tcW w:w="1981" w:type="dxa"/>
            <w:tcBorders>
              <w:top w:val="single" w:sz="4" w:space="0" w:color="auto"/>
              <w:left w:val="single" w:sz="4" w:space="0" w:color="auto"/>
              <w:bottom w:val="single" w:sz="4" w:space="0" w:color="auto"/>
              <w:right w:val="single" w:sz="4" w:space="0" w:color="auto"/>
            </w:tcBorders>
            <w:vAlign w:val="bottom"/>
          </w:tcPr>
          <w:p w14:paraId="56669F85" w14:textId="77777777" w:rsidR="00844365" w:rsidRPr="00D55FA1" w:rsidRDefault="00844365">
            <w:pPr>
              <w:jc w:val="center"/>
            </w:pPr>
            <w:r w:rsidRPr="00D55FA1">
              <w:t>Various</w:t>
            </w:r>
          </w:p>
        </w:tc>
        <w:tc>
          <w:tcPr>
            <w:tcW w:w="1711" w:type="dxa"/>
            <w:tcBorders>
              <w:top w:val="single" w:sz="4" w:space="0" w:color="auto"/>
              <w:left w:val="single" w:sz="4" w:space="0" w:color="auto"/>
              <w:bottom w:val="single" w:sz="4" w:space="0" w:color="auto"/>
              <w:right w:val="single" w:sz="4" w:space="0" w:color="auto"/>
            </w:tcBorders>
            <w:vAlign w:val="bottom"/>
          </w:tcPr>
          <w:p w14:paraId="25FAB4AC" w14:textId="77777777" w:rsidR="00844365" w:rsidRPr="00D55FA1" w:rsidRDefault="00844365">
            <w:pPr>
              <w:jc w:val="center"/>
            </w:pPr>
            <w:r w:rsidRPr="00D55FA1">
              <w:t>Various</w:t>
            </w:r>
          </w:p>
        </w:tc>
        <w:tc>
          <w:tcPr>
            <w:tcW w:w="1077" w:type="dxa"/>
            <w:tcBorders>
              <w:top w:val="single" w:sz="4" w:space="0" w:color="auto"/>
              <w:left w:val="single" w:sz="4" w:space="0" w:color="auto"/>
              <w:bottom w:val="single" w:sz="4" w:space="0" w:color="auto"/>
              <w:right w:val="single" w:sz="4" w:space="0" w:color="auto"/>
            </w:tcBorders>
            <w:vAlign w:val="bottom"/>
          </w:tcPr>
          <w:p w14:paraId="798206FE" w14:textId="705CB701" w:rsidR="00844365" w:rsidRPr="00D55FA1" w:rsidRDefault="009305BA">
            <w:pPr>
              <w:jc w:val="center"/>
            </w:pPr>
            <w:r w:rsidRPr="00D55FA1">
              <w:t>Yes</w:t>
            </w:r>
          </w:p>
        </w:tc>
        <w:tc>
          <w:tcPr>
            <w:tcW w:w="1715" w:type="dxa"/>
            <w:tcBorders>
              <w:top w:val="single" w:sz="4" w:space="0" w:color="auto"/>
              <w:left w:val="single" w:sz="4" w:space="0" w:color="auto"/>
              <w:bottom w:val="single" w:sz="4" w:space="0" w:color="auto"/>
              <w:right w:val="single" w:sz="4" w:space="0" w:color="auto"/>
            </w:tcBorders>
            <w:vAlign w:val="bottom"/>
          </w:tcPr>
          <w:p w14:paraId="2F5090EE" w14:textId="44D74506" w:rsidR="00844365" w:rsidRPr="00D55FA1" w:rsidRDefault="00515462">
            <w:pPr>
              <w:jc w:val="center"/>
            </w:pPr>
            <w:r w:rsidRPr="00D55FA1">
              <w:t>Various</w:t>
            </w:r>
          </w:p>
        </w:tc>
      </w:tr>
      <w:tr w:rsidR="00633165" w:rsidRPr="00D55FA1" w14:paraId="52AE4E67"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1C9E5658" w14:textId="77777777" w:rsidR="00633165" w:rsidRPr="00D55FA1" w:rsidRDefault="00633165">
            <w:r w:rsidRPr="00D55FA1">
              <w:t>4 Suspension/Expulsion</w:t>
            </w:r>
          </w:p>
        </w:tc>
        <w:tc>
          <w:tcPr>
            <w:tcW w:w="1981" w:type="dxa"/>
            <w:tcBorders>
              <w:top w:val="single" w:sz="4" w:space="0" w:color="auto"/>
              <w:left w:val="single" w:sz="4" w:space="0" w:color="auto"/>
              <w:bottom w:val="single" w:sz="4" w:space="0" w:color="auto"/>
              <w:right w:val="single" w:sz="4" w:space="0" w:color="auto"/>
            </w:tcBorders>
            <w:vAlign w:val="bottom"/>
            <w:hideMark/>
          </w:tcPr>
          <w:p w14:paraId="0DAEB215" w14:textId="77777777" w:rsidR="00633165" w:rsidRPr="00D55FA1" w:rsidRDefault="00633165">
            <w:pPr>
              <w:jc w:val="center"/>
            </w:pPr>
            <w:r w:rsidRPr="00D55FA1">
              <w:t>N/A</w:t>
            </w:r>
          </w:p>
        </w:tc>
        <w:tc>
          <w:tcPr>
            <w:tcW w:w="1711" w:type="dxa"/>
            <w:tcBorders>
              <w:top w:val="single" w:sz="4" w:space="0" w:color="auto"/>
              <w:left w:val="single" w:sz="4" w:space="0" w:color="auto"/>
              <w:bottom w:val="single" w:sz="4" w:space="0" w:color="auto"/>
              <w:right w:val="single" w:sz="4" w:space="0" w:color="auto"/>
            </w:tcBorders>
            <w:vAlign w:val="bottom"/>
            <w:hideMark/>
          </w:tcPr>
          <w:p w14:paraId="7B0544C0" w14:textId="77777777" w:rsidR="00633165" w:rsidRPr="00D55FA1" w:rsidRDefault="00633165">
            <w:pPr>
              <w:jc w:val="center"/>
            </w:pPr>
            <w:r w:rsidRPr="00D55FA1">
              <w:t>N/A</w:t>
            </w:r>
          </w:p>
        </w:tc>
        <w:tc>
          <w:tcPr>
            <w:tcW w:w="1077" w:type="dxa"/>
            <w:tcBorders>
              <w:top w:val="single" w:sz="4" w:space="0" w:color="auto"/>
              <w:left w:val="single" w:sz="4" w:space="0" w:color="auto"/>
              <w:bottom w:val="single" w:sz="4" w:space="0" w:color="auto"/>
              <w:right w:val="single" w:sz="4" w:space="0" w:color="auto"/>
            </w:tcBorders>
            <w:vAlign w:val="bottom"/>
            <w:hideMark/>
          </w:tcPr>
          <w:p w14:paraId="7D318330" w14:textId="77777777" w:rsidR="00633165" w:rsidRPr="00D55FA1" w:rsidRDefault="00633165">
            <w:pPr>
              <w:jc w:val="center"/>
            </w:pPr>
            <w:r w:rsidRPr="00D55FA1">
              <w:t>N/A</w:t>
            </w:r>
          </w:p>
        </w:tc>
        <w:tc>
          <w:tcPr>
            <w:tcW w:w="1715" w:type="dxa"/>
            <w:tcBorders>
              <w:top w:val="single" w:sz="4" w:space="0" w:color="auto"/>
              <w:left w:val="single" w:sz="4" w:space="0" w:color="auto"/>
              <w:bottom w:val="single" w:sz="4" w:space="0" w:color="auto"/>
              <w:right w:val="single" w:sz="4" w:space="0" w:color="auto"/>
            </w:tcBorders>
            <w:vAlign w:val="bottom"/>
            <w:hideMark/>
          </w:tcPr>
          <w:p w14:paraId="13797044" w14:textId="77777777" w:rsidR="00633165" w:rsidRPr="00D55FA1" w:rsidRDefault="00633165">
            <w:pPr>
              <w:jc w:val="center"/>
            </w:pPr>
            <w:r w:rsidRPr="00D55FA1">
              <w:t>N/A</w:t>
            </w:r>
          </w:p>
        </w:tc>
      </w:tr>
      <w:tr w:rsidR="00633165" w:rsidRPr="00D55FA1" w14:paraId="051C7334"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1CD2F3FE" w14:textId="77777777" w:rsidR="00633165" w:rsidRPr="00D55FA1" w:rsidRDefault="00633165">
            <w:r w:rsidRPr="00D55FA1">
              <w:t>4A Suspension and Expulsion Rate Overall</w:t>
            </w:r>
          </w:p>
        </w:tc>
        <w:tc>
          <w:tcPr>
            <w:tcW w:w="1981" w:type="dxa"/>
            <w:tcBorders>
              <w:top w:val="single" w:sz="4" w:space="0" w:color="auto"/>
              <w:left w:val="single" w:sz="4" w:space="0" w:color="auto"/>
              <w:bottom w:val="single" w:sz="4" w:space="0" w:color="auto"/>
              <w:right w:val="single" w:sz="4" w:space="0" w:color="auto"/>
            </w:tcBorders>
            <w:vAlign w:val="bottom"/>
            <w:hideMark/>
          </w:tcPr>
          <w:p w14:paraId="5D231CA4" w14:textId="6DF1400C" w:rsidR="00633165" w:rsidRPr="00D55FA1" w:rsidRDefault="00A0068A">
            <w:pPr>
              <w:jc w:val="center"/>
            </w:pPr>
            <w:r w:rsidRPr="00D55FA1">
              <w:rPr>
                <w:rFonts w:cs="Arial"/>
              </w:rPr>
              <w:t>2.</w:t>
            </w:r>
            <w:r w:rsidR="00065C23">
              <w:rPr>
                <w:rFonts w:cs="Arial"/>
              </w:rPr>
              <w:t>2</w:t>
            </w:r>
            <w:r w:rsidR="00633165"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7C497605" w14:textId="7BB464BC" w:rsidR="00633165" w:rsidRPr="00D55FA1" w:rsidRDefault="00E33AD6">
            <w:pPr>
              <w:jc w:val="center"/>
            </w:pPr>
            <w:r>
              <w:t>1.</w:t>
            </w:r>
            <w:r w:rsidR="00065C23">
              <w:t>31</w:t>
            </w:r>
            <w:r w:rsidR="00633165"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55764F03" w14:textId="77777777" w:rsidR="00633165" w:rsidRPr="00D55FA1" w:rsidRDefault="00633165">
            <w:pPr>
              <w:jc w:val="center"/>
            </w:pPr>
            <w:r w:rsidRPr="00D55FA1">
              <w:t>Yes</w:t>
            </w:r>
          </w:p>
        </w:tc>
        <w:tc>
          <w:tcPr>
            <w:tcW w:w="1715" w:type="dxa"/>
            <w:tcBorders>
              <w:top w:val="single" w:sz="4" w:space="0" w:color="auto"/>
              <w:left w:val="single" w:sz="4" w:space="0" w:color="auto"/>
              <w:bottom w:val="single" w:sz="4" w:space="0" w:color="auto"/>
              <w:right w:val="single" w:sz="4" w:space="0" w:color="auto"/>
            </w:tcBorders>
            <w:vAlign w:val="bottom"/>
            <w:hideMark/>
          </w:tcPr>
          <w:p w14:paraId="32E1E1DA" w14:textId="5F668B17" w:rsidR="00633165" w:rsidRPr="00D55FA1" w:rsidRDefault="009C6112">
            <w:pPr>
              <w:jc w:val="center"/>
            </w:pPr>
            <w:r w:rsidRPr="00D55FA1">
              <w:t>+0.</w:t>
            </w:r>
            <w:r w:rsidR="00937856">
              <w:t>27</w:t>
            </w:r>
            <w:r w:rsidR="00633165" w:rsidRPr="00D55FA1">
              <w:t>%</w:t>
            </w:r>
          </w:p>
        </w:tc>
      </w:tr>
      <w:tr w:rsidR="00633165" w:rsidRPr="00D55FA1" w14:paraId="56926195"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1FF9CD36" w14:textId="77777777" w:rsidR="00633165" w:rsidRPr="00D55FA1" w:rsidRDefault="00633165">
            <w:r w:rsidRPr="00D55FA1">
              <w:t>4B Suspension and Expulsion Rate by Race/Ethnicity</w:t>
            </w:r>
          </w:p>
        </w:tc>
        <w:tc>
          <w:tcPr>
            <w:tcW w:w="1981" w:type="dxa"/>
            <w:tcBorders>
              <w:top w:val="single" w:sz="4" w:space="0" w:color="auto"/>
              <w:left w:val="single" w:sz="4" w:space="0" w:color="auto"/>
              <w:bottom w:val="single" w:sz="4" w:space="0" w:color="auto"/>
              <w:right w:val="single" w:sz="4" w:space="0" w:color="auto"/>
            </w:tcBorders>
            <w:vAlign w:val="bottom"/>
            <w:hideMark/>
          </w:tcPr>
          <w:p w14:paraId="6D414B93" w14:textId="77777777" w:rsidR="00633165" w:rsidRPr="00D55FA1" w:rsidRDefault="00633165">
            <w:pPr>
              <w:jc w:val="center"/>
            </w:pPr>
            <w:r w:rsidRPr="00D55FA1">
              <w:t>0%</w:t>
            </w:r>
          </w:p>
        </w:tc>
        <w:tc>
          <w:tcPr>
            <w:tcW w:w="1711" w:type="dxa"/>
            <w:tcBorders>
              <w:top w:val="single" w:sz="4" w:space="0" w:color="auto"/>
              <w:left w:val="single" w:sz="4" w:space="0" w:color="auto"/>
              <w:bottom w:val="single" w:sz="4" w:space="0" w:color="auto"/>
              <w:right w:val="single" w:sz="4" w:space="0" w:color="auto"/>
            </w:tcBorders>
            <w:vAlign w:val="bottom"/>
            <w:hideMark/>
          </w:tcPr>
          <w:p w14:paraId="304DB967" w14:textId="2BA1B95E" w:rsidR="00633165" w:rsidRPr="00D55FA1" w:rsidRDefault="00515462" w:rsidP="00515462">
            <w:pPr>
              <w:jc w:val="center"/>
            </w:pPr>
            <w:r w:rsidRPr="00D55FA1">
              <w:t>0</w:t>
            </w:r>
            <w:r w:rsidR="00E33AD6">
              <w:t>.</w:t>
            </w:r>
            <w:r w:rsidR="00937856">
              <w:t>55</w:t>
            </w:r>
            <w:r w:rsidR="00633165"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7C5AC6C2" w14:textId="5059897B" w:rsidR="00633165" w:rsidRPr="00D55FA1" w:rsidRDefault="00E33AD6">
            <w:pPr>
              <w:jc w:val="center"/>
            </w:pPr>
            <w:r>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67600AF3" w14:textId="365097A8" w:rsidR="00633165" w:rsidRPr="00D55FA1" w:rsidRDefault="00E33AD6">
            <w:pPr>
              <w:jc w:val="center"/>
            </w:pPr>
            <w:r>
              <w:t>+0.</w:t>
            </w:r>
            <w:r w:rsidR="00745499">
              <w:t>22</w:t>
            </w:r>
          </w:p>
        </w:tc>
      </w:tr>
      <w:tr w:rsidR="00633165" w:rsidRPr="00D55FA1" w14:paraId="6D5695FA"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292C0F93" w14:textId="77777777" w:rsidR="00633165" w:rsidRPr="00D55FA1" w:rsidRDefault="00633165">
            <w:r w:rsidRPr="00D55FA1">
              <w:t>5 Education Environments</w:t>
            </w:r>
          </w:p>
        </w:tc>
        <w:tc>
          <w:tcPr>
            <w:tcW w:w="1981" w:type="dxa"/>
            <w:tcBorders>
              <w:top w:val="single" w:sz="4" w:space="0" w:color="auto"/>
              <w:left w:val="single" w:sz="4" w:space="0" w:color="auto"/>
              <w:bottom w:val="single" w:sz="4" w:space="0" w:color="auto"/>
              <w:right w:val="single" w:sz="4" w:space="0" w:color="auto"/>
            </w:tcBorders>
            <w:vAlign w:val="bottom"/>
            <w:hideMark/>
          </w:tcPr>
          <w:p w14:paraId="28DD6438" w14:textId="77777777" w:rsidR="00633165" w:rsidRPr="00D55FA1" w:rsidRDefault="00633165">
            <w:pPr>
              <w:jc w:val="center"/>
            </w:pPr>
            <w:r w:rsidRPr="00D55FA1">
              <w:t>N/A</w:t>
            </w:r>
          </w:p>
        </w:tc>
        <w:tc>
          <w:tcPr>
            <w:tcW w:w="1711" w:type="dxa"/>
            <w:tcBorders>
              <w:top w:val="single" w:sz="4" w:space="0" w:color="auto"/>
              <w:left w:val="single" w:sz="4" w:space="0" w:color="auto"/>
              <w:bottom w:val="single" w:sz="4" w:space="0" w:color="auto"/>
              <w:right w:val="single" w:sz="4" w:space="0" w:color="auto"/>
            </w:tcBorders>
            <w:vAlign w:val="bottom"/>
            <w:hideMark/>
          </w:tcPr>
          <w:p w14:paraId="138C063B" w14:textId="77777777" w:rsidR="00633165" w:rsidRPr="00D55FA1" w:rsidRDefault="00633165">
            <w:pPr>
              <w:jc w:val="center"/>
            </w:pPr>
            <w:r w:rsidRPr="00D55FA1">
              <w:t>N/A</w:t>
            </w:r>
          </w:p>
        </w:tc>
        <w:tc>
          <w:tcPr>
            <w:tcW w:w="1077" w:type="dxa"/>
            <w:tcBorders>
              <w:top w:val="single" w:sz="4" w:space="0" w:color="auto"/>
              <w:left w:val="single" w:sz="4" w:space="0" w:color="auto"/>
              <w:bottom w:val="single" w:sz="4" w:space="0" w:color="auto"/>
              <w:right w:val="single" w:sz="4" w:space="0" w:color="auto"/>
            </w:tcBorders>
            <w:vAlign w:val="bottom"/>
            <w:hideMark/>
          </w:tcPr>
          <w:p w14:paraId="16125916" w14:textId="77777777" w:rsidR="00633165" w:rsidRPr="00D55FA1" w:rsidRDefault="00633165">
            <w:pPr>
              <w:jc w:val="center"/>
            </w:pPr>
            <w:r w:rsidRPr="00D55FA1">
              <w:t>N/A</w:t>
            </w:r>
          </w:p>
        </w:tc>
        <w:tc>
          <w:tcPr>
            <w:tcW w:w="1715" w:type="dxa"/>
            <w:tcBorders>
              <w:top w:val="single" w:sz="4" w:space="0" w:color="auto"/>
              <w:left w:val="single" w:sz="4" w:space="0" w:color="auto"/>
              <w:bottom w:val="single" w:sz="4" w:space="0" w:color="auto"/>
              <w:right w:val="single" w:sz="4" w:space="0" w:color="auto"/>
            </w:tcBorders>
            <w:vAlign w:val="bottom"/>
            <w:hideMark/>
          </w:tcPr>
          <w:p w14:paraId="65A1D9AA" w14:textId="77777777" w:rsidR="00633165" w:rsidRPr="00D55FA1" w:rsidRDefault="00633165">
            <w:pPr>
              <w:jc w:val="center"/>
            </w:pPr>
            <w:r w:rsidRPr="00D55FA1">
              <w:t>N/A</w:t>
            </w:r>
          </w:p>
        </w:tc>
      </w:tr>
      <w:tr w:rsidR="00633165" w:rsidRPr="00D55FA1" w14:paraId="199D8084"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338083CF" w14:textId="77777777" w:rsidR="00633165" w:rsidRPr="00D55FA1" w:rsidRDefault="00633165">
            <w:r w:rsidRPr="00D55FA1">
              <w:t>5A Regular Class 80 Percent or More</w:t>
            </w:r>
          </w:p>
        </w:tc>
        <w:tc>
          <w:tcPr>
            <w:tcW w:w="1981" w:type="dxa"/>
            <w:tcBorders>
              <w:top w:val="single" w:sz="4" w:space="0" w:color="auto"/>
              <w:left w:val="single" w:sz="4" w:space="0" w:color="auto"/>
              <w:bottom w:val="single" w:sz="4" w:space="0" w:color="auto"/>
              <w:right w:val="single" w:sz="4" w:space="0" w:color="auto"/>
            </w:tcBorders>
            <w:vAlign w:val="bottom"/>
            <w:hideMark/>
          </w:tcPr>
          <w:p w14:paraId="15AEF455" w14:textId="213B809E" w:rsidR="00633165" w:rsidRPr="00D55FA1" w:rsidRDefault="00A0068A">
            <w:pPr>
              <w:jc w:val="center"/>
            </w:pPr>
            <w:r w:rsidRPr="00D55FA1">
              <w:rPr>
                <w:rFonts w:cs="Arial"/>
                <w:szCs w:val="20"/>
              </w:rPr>
              <w:t>6</w:t>
            </w:r>
            <w:r w:rsidR="00745499">
              <w:rPr>
                <w:rFonts w:cs="Arial"/>
                <w:szCs w:val="20"/>
              </w:rPr>
              <w:t>7</w:t>
            </w:r>
            <w:r w:rsidR="00633165"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401BB35F" w14:textId="31FD42FE" w:rsidR="00633165" w:rsidRPr="00D55FA1" w:rsidRDefault="009C6112">
            <w:pPr>
              <w:jc w:val="center"/>
            </w:pPr>
            <w:r w:rsidRPr="00D55FA1">
              <w:t>6</w:t>
            </w:r>
            <w:r w:rsidR="00745499">
              <w:t>3.88</w:t>
            </w:r>
            <w:r w:rsidR="00633165"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1A09B756" w14:textId="2E2362C7" w:rsidR="00633165" w:rsidRPr="00D55FA1" w:rsidRDefault="009C6112">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7A6B3E4B" w14:textId="7F472796" w:rsidR="00633165" w:rsidRPr="00D55FA1" w:rsidRDefault="00515462">
            <w:pPr>
              <w:jc w:val="center"/>
            </w:pPr>
            <w:r w:rsidRPr="00D55FA1">
              <w:t>+</w:t>
            </w:r>
            <w:r w:rsidR="00E33AD6">
              <w:t>1.2</w:t>
            </w:r>
            <w:r w:rsidR="00745499">
              <w:t>2</w:t>
            </w:r>
            <w:r w:rsidR="00633165" w:rsidRPr="00D55FA1">
              <w:t>%</w:t>
            </w:r>
          </w:p>
        </w:tc>
      </w:tr>
      <w:tr w:rsidR="00633165" w:rsidRPr="00D55FA1" w14:paraId="273829B0"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48723E6F" w14:textId="77777777" w:rsidR="00633165" w:rsidRPr="00D55FA1" w:rsidRDefault="00633165">
            <w:r w:rsidRPr="00D55FA1">
              <w:t xml:space="preserve">5B Regular Class Less than 40 Percent </w:t>
            </w:r>
          </w:p>
        </w:tc>
        <w:tc>
          <w:tcPr>
            <w:tcW w:w="1981" w:type="dxa"/>
            <w:tcBorders>
              <w:top w:val="single" w:sz="4" w:space="0" w:color="auto"/>
              <w:left w:val="single" w:sz="4" w:space="0" w:color="auto"/>
              <w:bottom w:val="single" w:sz="4" w:space="0" w:color="auto"/>
              <w:right w:val="single" w:sz="4" w:space="0" w:color="auto"/>
            </w:tcBorders>
            <w:vAlign w:val="bottom"/>
            <w:hideMark/>
          </w:tcPr>
          <w:p w14:paraId="7E6974AB" w14:textId="28C9E53B" w:rsidR="00633165" w:rsidRPr="00D55FA1" w:rsidRDefault="00844365">
            <w:pPr>
              <w:jc w:val="center"/>
            </w:pPr>
            <w:r w:rsidRPr="00D55FA1">
              <w:rPr>
                <w:rFonts w:cs="Arial"/>
              </w:rPr>
              <w:t>1</w:t>
            </w:r>
            <w:r w:rsidR="00745499">
              <w:rPr>
                <w:rFonts w:cs="Arial"/>
              </w:rPr>
              <w:t>3.5</w:t>
            </w:r>
            <w:r w:rsidR="00633165"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32A07013" w14:textId="43DB86C3" w:rsidR="00633165" w:rsidRPr="00D55FA1" w:rsidRDefault="00745499">
            <w:pPr>
              <w:jc w:val="center"/>
            </w:pPr>
            <w:r>
              <w:t>17.79</w:t>
            </w:r>
            <w:r w:rsidR="00633165"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65F0DFC2" w14:textId="33E6393D" w:rsidR="00633165" w:rsidRPr="00D55FA1" w:rsidRDefault="00515462">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2B46B110" w14:textId="78B462D0" w:rsidR="00633165" w:rsidRPr="00D55FA1" w:rsidRDefault="009C6112">
            <w:pPr>
              <w:jc w:val="center"/>
            </w:pPr>
            <w:r w:rsidRPr="00D55FA1">
              <w:t>-0.</w:t>
            </w:r>
            <w:r w:rsidR="00E33AD6">
              <w:t>3</w:t>
            </w:r>
            <w:r w:rsidR="00745499">
              <w:t>2</w:t>
            </w:r>
            <w:r w:rsidR="00633165" w:rsidRPr="00D55FA1">
              <w:t>%</w:t>
            </w:r>
          </w:p>
        </w:tc>
      </w:tr>
      <w:tr w:rsidR="00633165" w:rsidRPr="00D55FA1" w14:paraId="76BAD94A"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0D9866B3" w14:textId="77777777" w:rsidR="00633165" w:rsidRPr="00D55FA1" w:rsidRDefault="00633165">
            <w:r w:rsidRPr="00D55FA1">
              <w:t>5C Separate Schools, Residential Facilitates, or Homebound/Hospital Placements</w:t>
            </w:r>
          </w:p>
        </w:tc>
        <w:tc>
          <w:tcPr>
            <w:tcW w:w="1981" w:type="dxa"/>
            <w:tcBorders>
              <w:top w:val="single" w:sz="4" w:space="0" w:color="auto"/>
              <w:left w:val="single" w:sz="4" w:space="0" w:color="auto"/>
              <w:bottom w:val="single" w:sz="4" w:space="0" w:color="auto"/>
              <w:right w:val="single" w:sz="4" w:space="0" w:color="auto"/>
            </w:tcBorders>
            <w:vAlign w:val="bottom"/>
            <w:hideMark/>
          </w:tcPr>
          <w:p w14:paraId="1BDFA2F7" w14:textId="1550DD18" w:rsidR="00633165" w:rsidRPr="00D55FA1" w:rsidRDefault="00E33AD6">
            <w:pPr>
              <w:jc w:val="center"/>
            </w:pPr>
            <w:r>
              <w:rPr>
                <w:rFonts w:cs="Arial"/>
              </w:rPr>
              <w:t>2.</w:t>
            </w:r>
            <w:r w:rsidR="00745499">
              <w:rPr>
                <w:rFonts w:cs="Arial"/>
              </w:rPr>
              <w:t>6</w:t>
            </w:r>
            <w:r w:rsidR="00633165"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1C69A6E5" w14:textId="734C1BEF" w:rsidR="00633165" w:rsidRPr="00D55FA1" w:rsidRDefault="00515462">
            <w:pPr>
              <w:jc w:val="center"/>
            </w:pPr>
            <w:r w:rsidRPr="00D55FA1">
              <w:t>2.</w:t>
            </w:r>
            <w:r w:rsidR="00EA3FA9">
              <w:t>49</w:t>
            </w:r>
            <w:r w:rsidR="00633165"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604D630B" w14:textId="77777777" w:rsidR="00633165" w:rsidRPr="00D55FA1" w:rsidRDefault="00633165">
            <w:pPr>
              <w:jc w:val="center"/>
            </w:pPr>
            <w:r w:rsidRPr="00D55FA1">
              <w:t>Yes</w:t>
            </w:r>
          </w:p>
        </w:tc>
        <w:tc>
          <w:tcPr>
            <w:tcW w:w="1715" w:type="dxa"/>
            <w:tcBorders>
              <w:top w:val="single" w:sz="4" w:space="0" w:color="auto"/>
              <w:left w:val="single" w:sz="4" w:space="0" w:color="auto"/>
              <w:bottom w:val="single" w:sz="4" w:space="0" w:color="auto"/>
              <w:right w:val="single" w:sz="4" w:space="0" w:color="auto"/>
            </w:tcBorders>
            <w:vAlign w:val="bottom"/>
            <w:hideMark/>
          </w:tcPr>
          <w:p w14:paraId="53B98E95" w14:textId="1238CFA4" w:rsidR="00633165" w:rsidRPr="00D55FA1" w:rsidRDefault="00844365">
            <w:pPr>
              <w:jc w:val="center"/>
            </w:pPr>
            <w:r w:rsidRPr="00D55FA1">
              <w:t>-0.</w:t>
            </w:r>
            <w:r w:rsidR="00EC27AA">
              <w:t>1</w:t>
            </w:r>
            <w:r w:rsidR="00EA3FA9">
              <w:t>3</w:t>
            </w:r>
            <w:r w:rsidR="00633165" w:rsidRPr="00D55FA1">
              <w:t>%</w:t>
            </w:r>
          </w:p>
        </w:tc>
      </w:tr>
      <w:tr w:rsidR="00633165" w:rsidRPr="00D55FA1" w14:paraId="3BCACCB0" w14:textId="77777777" w:rsidTr="5E32A801">
        <w:trPr>
          <w:cantSplit/>
          <w:trHeight w:val="836"/>
        </w:trPr>
        <w:tc>
          <w:tcPr>
            <w:tcW w:w="3416" w:type="dxa"/>
            <w:tcBorders>
              <w:top w:val="single" w:sz="4" w:space="0" w:color="auto"/>
              <w:left w:val="single" w:sz="4" w:space="0" w:color="auto"/>
              <w:bottom w:val="single" w:sz="4" w:space="0" w:color="auto"/>
              <w:right w:val="single" w:sz="4" w:space="0" w:color="auto"/>
            </w:tcBorders>
            <w:hideMark/>
          </w:tcPr>
          <w:p w14:paraId="1C57F6FE" w14:textId="77777777" w:rsidR="00633165" w:rsidRPr="00D55FA1" w:rsidRDefault="00633165">
            <w:r w:rsidRPr="00D55FA1">
              <w:t>6 Preschool Least Restrictive Environments</w:t>
            </w:r>
          </w:p>
        </w:tc>
        <w:tc>
          <w:tcPr>
            <w:tcW w:w="1981" w:type="dxa"/>
            <w:tcBorders>
              <w:top w:val="single" w:sz="4" w:space="0" w:color="auto"/>
              <w:left w:val="single" w:sz="4" w:space="0" w:color="auto"/>
              <w:bottom w:val="single" w:sz="4" w:space="0" w:color="auto"/>
              <w:right w:val="single" w:sz="4" w:space="0" w:color="auto"/>
            </w:tcBorders>
            <w:vAlign w:val="bottom"/>
            <w:hideMark/>
          </w:tcPr>
          <w:p w14:paraId="57A4FE86" w14:textId="77777777" w:rsidR="00633165" w:rsidRPr="00D55FA1" w:rsidRDefault="00633165">
            <w:pPr>
              <w:jc w:val="center"/>
            </w:pPr>
            <w:r w:rsidRPr="00D55FA1">
              <w:t>N/A</w:t>
            </w:r>
          </w:p>
        </w:tc>
        <w:tc>
          <w:tcPr>
            <w:tcW w:w="1711" w:type="dxa"/>
            <w:tcBorders>
              <w:top w:val="single" w:sz="4" w:space="0" w:color="auto"/>
              <w:left w:val="single" w:sz="4" w:space="0" w:color="auto"/>
              <w:bottom w:val="single" w:sz="4" w:space="0" w:color="auto"/>
              <w:right w:val="single" w:sz="4" w:space="0" w:color="auto"/>
            </w:tcBorders>
            <w:vAlign w:val="bottom"/>
            <w:hideMark/>
          </w:tcPr>
          <w:p w14:paraId="7A3CAF10" w14:textId="77777777" w:rsidR="00633165" w:rsidRPr="00D55FA1" w:rsidRDefault="00633165">
            <w:pPr>
              <w:jc w:val="center"/>
            </w:pPr>
            <w:r w:rsidRPr="00D55FA1">
              <w:t>N/A</w:t>
            </w:r>
          </w:p>
        </w:tc>
        <w:tc>
          <w:tcPr>
            <w:tcW w:w="1077" w:type="dxa"/>
            <w:tcBorders>
              <w:top w:val="single" w:sz="4" w:space="0" w:color="auto"/>
              <w:left w:val="single" w:sz="4" w:space="0" w:color="auto"/>
              <w:bottom w:val="single" w:sz="4" w:space="0" w:color="auto"/>
              <w:right w:val="single" w:sz="4" w:space="0" w:color="auto"/>
            </w:tcBorders>
            <w:vAlign w:val="bottom"/>
            <w:hideMark/>
          </w:tcPr>
          <w:p w14:paraId="7DCC023A" w14:textId="77777777" w:rsidR="00633165" w:rsidRPr="00D55FA1" w:rsidRDefault="00633165">
            <w:pPr>
              <w:jc w:val="center"/>
            </w:pPr>
            <w:r w:rsidRPr="00D55FA1">
              <w:t>N/A</w:t>
            </w:r>
          </w:p>
        </w:tc>
        <w:tc>
          <w:tcPr>
            <w:tcW w:w="1715" w:type="dxa"/>
            <w:tcBorders>
              <w:top w:val="single" w:sz="4" w:space="0" w:color="auto"/>
              <w:left w:val="single" w:sz="4" w:space="0" w:color="auto"/>
              <w:bottom w:val="single" w:sz="4" w:space="0" w:color="auto"/>
              <w:right w:val="single" w:sz="4" w:space="0" w:color="auto"/>
            </w:tcBorders>
            <w:vAlign w:val="bottom"/>
            <w:hideMark/>
          </w:tcPr>
          <w:p w14:paraId="245153FB" w14:textId="77777777" w:rsidR="00633165" w:rsidRPr="00D55FA1" w:rsidRDefault="00633165">
            <w:pPr>
              <w:jc w:val="center"/>
            </w:pPr>
            <w:r w:rsidRPr="00D55FA1">
              <w:t>N/A</w:t>
            </w:r>
          </w:p>
        </w:tc>
      </w:tr>
      <w:tr w:rsidR="00633165" w:rsidRPr="00D55FA1" w14:paraId="11DFD64E"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7AE27C46" w14:textId="77777777" w:rsidR="00633165" w:rsidRPr="00D55FA1" w:rsidRDefault="00633165">
            <w:r w:rsidRPr="00D55FA1">
              <w:t>6A Regular Preschool</w:t>
            </w:r>
          </w:p>
        </w:tc>
        <w:tc>
          <w:tcPr>
            <w:tcW w:w="1981" w:type="dxa"/>
            <w:tcBorders>
              <w:top w:val="single" w:sz="4" w:space="0" w:color="auto"/>
              <w:left w:val="single" w:sz="4" w:space="0" w:color="auto"/>
              <w:bottom w:val="single" w:sz="4" w:space="0" w:color="auto"/>
              <w:right w:val="single" w:sz="4" w:space="0" w:color="auto"/>
            </w:tcBorders>
            <w:vAlign w:val="bottom"/>
            <w:hideMark/>
          </w:tcPr>
          <w:p w14:paraId="3F8DEC0C" w14:textId="322C4A44" w:rsidR="00633165" w:rsidRPr="00D55FA1" w:rsidRDefault="00A0068A">
            <w:pPr>
              <w:jc w:val="center"/>
            </w:pPr>
            <w:r w:rsidRPr="00D55FA1">
              <w:rPr>
                <w:rFonts w:cs="Arial"/>
                <w:szCs w:val="20"/>
              </w:rPr>
              <w:t>4</w:t>
            </w:r>
            <w:r w:rsidR="00EA3FA9">
              <w:rPr>
                <w:rFonts w:cs="Arial"/>
                <w:szCs w:val="20"/>
              </w:rPr>
              <w:t>7</w:t>
            </w:r>
            <w:r w:rsidR="00633165"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0477B94F" w14:textId="6079C5B2" w:rsidR="00633165" w:rsidRPr="00D55FA1" w:rsidRDefault="00EA3FA9">
            <w:pPr>
              <w:jc w:val="center"/>
            </w:pPr>
            <w:r>
              <w:t>30.86</w:t>
            </w:r>
            <w:r w:rsidR="00633165"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749A7119" w14:textId="77777777" w:rsidR="00633165" w:rsidRPr="00D55FA1" w:rsidRDefault="00633165">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39C3093F" w14:textId="483F4771" w:rsidR="00633165" w:rsidRPr="00D55FA1" w:rsidRDefault="009C6112">
            <w:pPr>
              <w:jc w:val="center"/>
            </w:pPr>
            <w:bookmarkStart w:id="104" w:name="_Hlk184749070"/>
            <w:r w:rsidRPr="00D55FA1">
              <w:t>+</w:t>
            </w:r>
            <w:r w:rsidR="00EC27AA">
              <w:t>5.</w:t>
            </w:r>
            <w:r w:rsidR="00A967B5">
              <w:t>5</w:t>
            </w:r>
            <w:r w:rsidR="00633165" w:rsidRPr="00D55FA1">
              <w:t>%</w:t>
            </w:r>
            <w:bookmarkEnd w:id="104"/>
          </w:p>
        </w:tc>
      </w:tr>
      <w:tr w:rsidR="00633165" w:rsidRPr="00D55FA1" w14:paraId="1926A8B0"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0B77D9AF" w14:textId="77777777" w:rsidR="00633165" w:rsidRPr="00D55FA1" w:rsidRDefault="00633165">
            <w:r w:rsidRPr="00D55FA1">
              <w:t>6B Separate Schools or Classes</w:t>
            </w:r>
          </w:p>
        </w:tc>
        <w:tc>
          <w:tcPr>
            <w:tcW w:w="1981" w:type="dxa"/>
            <w:tcBorders>
              <w:top w:val="single" w:sz="4" w:space="0" w:color="auto"/>
              <w:left w:val="single" w:sz="4" w:space="0" w:color="auto"/>
              <w:bottom w:val="single" w:sz="4" w:space="0" w:color="auto"/>
              <w:right w:val="single" w:sz="4" w:space="0" w:color="auto"/>
            </w:tcBorders>
            <w:vAlign w:val="bottom"/>
            <w:hideMark/>
          </w:tcPr>
          <w:p w14:paraId="58FAD710" w14:textId="293F5ADF" w:rsidR="00633165" w:rsidRPr="00D55FA1" w:rsidRDefault="009C6112">
            <w:pPr>
              <w:jc w:val="center"/>
            </w:pPr>
            <w:r w:rsidRPr="00D55FA1">
              <w:rPr>
                <w:rFonts w:cs="Arial"/>
                <w:szCs w:val="20"/>
              </w:rPr>
              <w:t>2</w:t>
            </w:r>
            <w:r w:rsidR="00EA3FA9">
              <w:rPr>
                <w:rFonts w:cs="Arial"/>
                <w:szCs w:val="20"/>
              </w:rPr>
              <w:t>5</w:t>
            </w:r>
            <w:r w:rsidR="00633165"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3257A144" w14:textId="5FB27231" w:rsidR="00633165" w:rsidRPr="00D55FA1" w:rsidRDefault="00515462">
            <w:pPr>
              <w:jc w:val="center"/>
            </w:pPr>
            <w:r w:rsidRPr="00D55FA1">
              <w:t>4</w:t>
            </w:r>
            <w:r w:rsidR="00587F71">
              <w:t>2.52</w:t>
            </w:r>
            <w:r w:rsidR="00633165"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75FA64D4" w14:textId="77777777" w:rsidR="00633165" w:rsidRPr="00D55FA1" w:rsidRDefault="00633165">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68E43566" w14:textId="5DFB011C" w:rsidR="00633165" w:rsidRPr="00D55FA1" w:rsidRDefault="009C6112">
            <w:pPr>
              <w:jc w:val="center"/>
            </w:pPr>
            <w:r w:rsidRPr="00D55FA1">
              <w:t>-</w:t>
            </w:r>
            <w:r w:rsidR="00592A14">
              <w:t>3.28</w:t>
            </w:r>
            <w:r w:rsidR="00633165" w:rsidRPr="00D55FA1">
              <w:t>%</w:t>
            </w:r>
          </w:p>
        </w:tc>
      </w:tr>
      <w:tr w:rsidR="00844365" w:rsidRPr="00D55FA1" w14:paraId="048499F6" w14:textId="77777777" w:rsidTr="5E32A801">
        <w:trPr>
          <w:cantSplit/>
        </w:trPr>
        <w:tc>
          <w:tcPr>
            <w:tcW w:w="3416" w:type="dxa"/>
            <w:tcBorders>
              <w:top w:val="single" w:sz="4" w:space="0" w:color="auto"/>
              <w:left w:val="single" w:sz="4" w:space="0" w:color="auto"/>
              <w:bottom w:val="single" w:sz="4" w:space="0" w:color="auto"/>
              <w:right w:val="single" w:sz="4" w:space="0" w:color="auto"/>
            </w:tcBorders>
          </w:tcPr>
          <w:p w14:paraId="6EA45684" w14:textId="77777777" w:rsidR="00844365" w:rsidRPr="00D55FA1" w:rsidRDefault="00844365">
            <w:r w:rsidRPr="00D55FA1">
              <w:t>6C Home</w:t>
            </w:r>
          </w:p>
        </w:tc>
        <w:tc>
          <w:tcPr>
            <w:tcW w:w="1981" w:type="dxa"/>
            <w:tcBorders>
              <w:top w:val="single" w:sz="4" w:space="0" w:color="auto"/>
              <w:left w:val="single" w:sz="4" w:space="0" w:color="auto"/>
              <w:bottom w:val="single" w:sz="4" w:space="0" w:color="auto"/>
              <w:right w:val="single" w:sz="4" w:space="0" w:color="auto"/>
            </w:tcBorders>
            <w:vAlign w:val="bottom"/>
          </w:tcPr>
          <w:p w14:paraId="59BECEA2" w14:textId="77777777" w:rsidR="00844365" w:rsidRPr="00D55FA1" w:rsidRDefault="007A45AC">
            <w:pPr>
              <w:jc w:val="center"/>
              <w:rPr>
                <w:rFonts w:cs="Arial"/>
                <w:sz w:val="20"/>
                <w:szCs w:val="20"/>
              </w:rPr>
            </w:pPr>
            <w:r w:rsidRPr="00D55FA1">
              <w:rPr>
                <w:rFonts w:cs="Arial"/>
                <w:szCs w:val="20"/>
              </w:rPr>
              <w:t>3.5%</w:t>
            </w:r>
          </w:p>
        </w:tc>
        <w:tc>
          <w:tcPr>
            <w:tcW w:w="1711" w:type="dxa"/>
            <w:tcBorders>
              <w:top w:val="single" w:sz="4" w:space="0" w:color="auto"/>
              <w:left w:val="single" w:sz="4" w:space="0" w:color="auto"/>
              <w:bottom w:val="single" w:sz="4" w:space="0" w:color="auto"/>
              <w:right w:val="single" w:sz="4" w:space="0" w:color="auto"/>
            </w:tcBorders>
            <w:vAlign w:val="bottom"/>
          </w:tcPr>
          <w:p w14:paraId="4C1DFBDA" w14:textId="54DA77F1" w:rsidR="00844365" w:rsidRPr="00D55FA1" w:rsidRDefault="00E45E11">
            <w:pPr>
              <w:jc w:val="center"/>
            </w:pPr>
            <w:r>
              <w:t>2.36</w:t>
            </w:r>
            <w:r w:rsidR="007A45AC" w:rsidRPr="00D55FA1">
              <w:t>%</w:t>
            </w:r>
          </w:p>
        </w:tc>
        <w:tc>
          <w:tcPr>
            <w:tcW w:w="1077" w:type="dxa"/>
            <w:tcBorders>
              <w:top w:val="single" w:sz="4" w:space="0" w:color="auto"/>
              <w:left w:val="single" w:sz="4" w:space="0" w:color="auto"/>
              <w:bottom w:val="single" w:sz="4" w:space="0" w:color="auto"/>
              <w:right w:val="single" w:sz="4" w:space="0" w:color="auto"/>
            </w:tcBorders>
            <w:vAlign w:val="bottom"/>
          </w:tcPr>
          <w:p w14:paraId="443FD815" w14:textId="77777777" w:rsidR="00844365" w:rsidRPr="00D55FA1" w:rsidRDefault="007A45AC">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tcPr>
          <w:p w14:paraId="7FCE46C8" w14:textId="5DDB288A" w:rsidR="00844365" w:rsidRPr="00D55FA1" w:rsidRDefault="009C6112">
            <w:pPr>
              <w:jc w:val="center"/>
            </w:pPr>
            <w:r w:rsidRPr="00D55FA1">
              <w:t>-</w:t>
            </w:r>
            <w:r w:rsidR="00E45E11">
              <w:t>2.38</w:t>
            </w:r>
            <w:r w:rsidR="00EC27AA">
              <w:t>%</w:t>
            </w:r>
          </w:p>
        </w:tc>
      </w:tr>
      <w:tr w:rsidR="00633165" w:rsidRPr="00D55FA1" w14:paraId="56E9A448"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10F30C82" w14:textId="77777777" w:rsidR="00633165" w:rsidRPr="00D55FA1" w:rsidRDefault="00633165">
            <w:r w:rsidRPr="00D55FA1">
              <w:t>7 Preschool Assessment</w:t>
            </w:r>
          </w:p>
        </w:tc>
        <w:tc>
          <w:tcPr>
            <w:tcW w:w="1981" w:type="dxa"/>
            <w:tcBorders>
              <w:top w:val="single" w:sz="4" w:space="0" w:color="auto"/>
              <w:left w:val="single" w:sz="4" w:space="0" w:color="auto"/>
              <w:bottom w:val="single" w:sz="4" w:space="0" w:color="auto"/>
              <w:right w:val="single" w:sz="4" w:space="0" w:color="auto"/>
            </w:tcBorders>
            <w:vAlign w:val="bottom"/>
            <w:hideMark/>
          </w:tcPr>
          <w:p w14:paraId="702E1BE6" w14:textId="77777777" w:rsidR="00633165" w:rsidRPr="00D55FA1" w:rsidRDefault="00633165">
            <w:pPr>
              <w:jc w:val="center"/>
            </w:pPr>
            <w:r w:rsidRPr="00D55FA1">
              <w:t>N/A</w:t>
            </w:r>
          </w:p>
        </w:tc>
        <w:tc>
          <w:tcPr>
            <w:tcW w:w="1711" w:type="dxa"/>
            <w:tcBorders>
              <w:top w:val="single" w:sz="4" w:space="0" w:color="auto"/>
              <w:left w:val="single" w:sz="4" w:space="0" w:color="auto"/>
              <w:bottom w:val="single" w:sz="4" w:space="0" w:color="auto"/>
              <w:right w:val="single" w:sz="4" w:space="0" w:color="auto"/>
            </w:tcBorders>
            <w:vAlign w:val="bottom"/>
            <w:hideMark/>
          </w:tcPr>
          <w:p w14:paraId="0E4BD951" w14:textId="77777777" w:rsidR="00633165" w:rsidRPr="00D55FA1" w:rsidRDefault="00633165">
            <w:pPr>
              <w:jc w:val="center"/>
            </w:pPr>
            <w:r w:rsidRPr="00D55FA1">
              <w:t>N/A</w:t>
            </w:r>
          </w:p>
        </w:tc>
        <w:tc>
          <w:tcPr>
            <w:tcW w:w="1077" w:type="dxa"/>
            <w:tcBorders>
              <w:top w:val="single" w:sz="4" w:space="0" w:color="auto"/>
              <w:left w:val="single" w:sz="4" w:space="0" w:color="auto"/>
              <w:bottom w:val="single" w:sz="4" w:space="0" w:color="auto"/>
              <w:right w:val="single" w:sz="4" w:space="0" w:color="auto"/>
            </w:tcBorders>
            <w:vAlign w:val="bottom"/>
            <w:hideMark/>
          </w:tcPr>
          <w:p w14:paraId="144069BA" w14:textId="77777777" w:rsidR="00633165" w:rsidRPr="00D55FA1" w:rsidRDefault="00633165">
            <w:pPr>
              <w:jc w:val="center"/>
            </w:pPr>
            <w:r w:rsidRPr="00D55FA1">
              <w:t>N/A</w:t>
            </w:r>
          </w:p>
        </w:tc>
        <w:tc>
          <w:tcPr>
            <w:tcW w:w="1715" w:type="dxa"/>
            <w:tcBorders>
              <w:top w:val="single" w:sz="4" w:space="0" w:color="auto"/>
              <w:left w:val="single" w:sz="4" w:space="0" w:color="auto"/>
              <w:bottom w:val="single" w:sz="4" w:space="0" w:color="auto"/>
              <w:right w:val="single" w:sz="4" w:space="0" w:color="auto"/>
            </w:tcBorders>
            <w:vAlign w:val="bottom"/>
            <w:hideMark/>
          </w:tcPr>
          <w:p w14:paraId="0004D5A7" w14:textId="77777777" w:rsidR="00633165" w:rsidRPr="00D55FA1" w:rsidRDefault="00633165">
            <w:pPr>
              <w:jc w:val="center"/>
            </w:pPr>
            <w:r w:rsidRPr="00D55FA1">
              <w:t>N/A</w:t>
            </w:r>
          </w:p>
        </w:tc>
      </w:tr>
      <w:tr w:rsidR="00633165" w:rsidRPr="00D55FA1" w14:paraId="2DDDAA04"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3896D12D" w14:textId="77777777" w:rsidR="00633165" w:rsidRPr="00D55FA1" w:rsidRDefault="00633165">
            <w:r w:rsidRPr="00D55FA1">
              <w:t>7A Positive Social-Emotional Skills</w:t>
            </w:r>
          </w:p>
        </w:tc>
        <w:tc>
          <w:tcPr>
            <w:tcW w:w="1981" w:type="dxa"/>
            <w:tcBorders>
              <w:top w:val="single" w:sz="4" w:space="0" w:color="auto"/>
              <w:left w:val="single" w:sz="4" w:space="0" w:color="auto"/>
              <w:bottom w:val="single" w:sz="4" w:space="0" w:color="auto"/>
              <w:right w:val="single" w:sz="4" w:space="0" w:color="auto"/>
            </w:tcBorders>
            <w:vAlign w:val="bottom"/>
            <w:hideMark/>
          </w:tcPr>
          <w:p w14:paraId="5F0907EB" w14:textId="3B18DF88" w:rsidR="00633165" w:rsidRPr="00D55FA1" w:rsidRDefault="00E45E11">
            <w:pPr>
              <w:jc w:val="center"/>
            </w:pPr>
            <w:r>
              <w:rPr>
                <w:rFonts w:cs="Arial"/>
                <w:szCs w:val="20"/>
              </w:rPr>
              <w:t>80</w:t>
            </w:r>
            <w:r w:rsidR="007A45AC" w:rsidRPr="00D55FA1">
              <w:rPr>
                <w:rFonts w:cs="Arial"/>
                <w:szCs w:val="20"/>
              </w:rPr>
              <w:t>%/</w:t>
            </w:r>
            <w:r>
              <w:rPr>
                <w:rFonts w:cs="Arial"/>
                <w:szCs w:val="20"/>
              </w:rPr>
              <w:t>80</w:t>
            </w:r>
            <w:r w:rsidR="007A45AC" w:rsidRPr="00D55FA1">
              <w:rPr>
                <w:rFonts w:cs="Arial"/>
                <w:szCs w:val="20"/>
              </w:rPr>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2FB03D21" w14:textId="77777777" w:rsidR="00AF69D5" w:rsidRDefault="00AA7262">
            <w:pPr>
              <w:jc w:val="center"/>
              <w:rPr>
                <w:rFonts w:cs="Arial"/>
              </w:rPr>
            </w:pPr>
            <w:r w:rsidRPr="004A017F">
              <w:rPr>
                <w:rFonts w:cs="Arial"/>
              </w:rPr>
              <w:t>6</w:t>
            </w:r>
            <w:r w:rsidR="00E45E11">
              <w:rPr>
                <w:rFonts w:cs="Arial"/>
              </w:rPr>
              <w:t>4.</w:t>
            </w:r>
            <w:r w:rsidR="00EA4345">
              <w:rPr>
                <w:rFonts w:cs="Arial"/>
              </w:rPr>
              <w:t>05</w:t>
            </w:r>
            <w:r w:rsidR="00792E29">
              <w:rPr>
                <w:rFonts w:cs="Arial"/>
              </w:rPr>
              <w:t>%</w:t>
            </w:r>
          </w:p>
          <w:p w14:paraId="450B226C" w14:textId="7E4ECA35" w:rsidR="00633165" w:rsidRPr="00D55FA1" w:rsidRDefault="00792E29">
            <w:pPr>
              <w:jc w:val="center"/>
            </w:pPr>
            <w:r>
              <w:rPr>
                <w:rFonts w:cs="Arial"/>
              </w:rPr>
              <w:t>/</w:t>
            </w:r>
            <w:r w:rsidR="00592EBF">
              <w:rPr>
                <w:rFonts w:cs="Arial"/>
              </w:rPr>
              <w:t>79.9</w:t>
            </w:r>
            <w:r w:rsidR="00AA7262" w:rsidRPr="004A017F">
              <w:rPr>
                <w:rFonts w:cs="Arial"/>
              </w:rPr>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67228223" w14:textId="42FF763F" w:rsidR="00633165" w:rsidRPr="00D55FA1" w:rsidRDefault="004A017F">
            <w:pPr>
              <w:jc w:val="center"/>
            </w:pPr>
            <w:r>
              <w:t>No/</w:t>
            </w:r>
            <w:r w:rsidR="005852B8">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0DF74CAA" w14:textId="51C423FD" w:rsidR="00633165" w:rsidRPr="00D55FA1" w:rsidRDefault="001D5A79">
            <w:pPr>
              <w:jc w:val="center"/>
            </w:pPr>
            <w:r w:rsidRPr="0010386B">
              <w:rPr>
                <w:rFonts w:cs="Arial"/>
              </w:rPr>
              <w:t>-</w:t>
            </w:r>
            <w:r w:rsidR="007D31D0">
              <w:rPr>
                <w:rFonts w:cs="Arial"/>
              </w:rPr>
              <w:t>3.3</w:t>
            </w:r>
            <w:r w:rsidRPr="0010386B">
              <w:rPr>
                <w:rFonts w:cs="Arial"/>
              </w:rPr>
              <w:t>%/</w:t>
            </w:r>
            <w:r w:rsidR="002F7C08">
              <w:rPr>
                <w:rFonts w:cs="Arial"/>
              </w:rPr>
              <w:t>-</w:t>
            </w:r>
            <w:r w:rsidR="002F7C08" w:rsidRPr="002F7C08">
              <w:rPr>
                <w:rFonts w:cs="Arial"/>
              </w:rPr>
              <w:t>1</w:t>
            </w:r>
            <w:r w:rsidR="002F7C08">
              <w:rPr>
                <w:rFonts w:cs="Arial"/>
              </w:rPr>
              <w:t>.0</w:t>
            </w:r>
            <w:r w:rsidRPr="0010386B">
              <w:rPr>
                <w:rFonts w:cs="Arial"/>
              </w:rPr>
              <w:t>%</w:t>
            </w:r>
          </w:p>
        </w:tc>
      </w:tr>
      <w:tr w:rsidR="00FC2FD0" w:rsidRPr="00D55FA1" w14:paraId="7AD76AC3"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6DB5E4B6" w14:textId="77777777" w:rsidR="00FC2FD0" w:rsidRPr="00D55FA1" w:rsidRDefault="00FC2FD0" w:rsidP="00FC2FD0">
            <w:r w:rsidRPr="00D55FA1">
              <w:t>7B Use of Knowledge and Skills</w:t>
            </w:r>
          </w:p>
        </w:tc>
        <w:tc>
          <w:tcPr>
            <w:tcW w:w="1981" w:type="dxa"/>
            <w:tcBorders>
              <w:top w:val="single" w:sz="4" w:space="0" w:color="auto"/>
              <w:left w:val="single" w:sz="4" w:space="0" w:color="auto"/>
              <w:bottom w:val="single" w:sz="4" w:space="0" w:color="auto"/>
              <w:right w:val="single" w:sz="4" w:space="0" w:color="auto"/>
            </w:tcBorders>
            <w:vAlign w:val="bottom"/>
            <w:hideMark/>
          </w:tcPr>
          <w:p w14:paraId="52617058" w14:textId="6DCA7781" w:rsidR="00FC2FD0" w:rsidRPr="00D55FA1" w:rsidRDefault="00E45E11" w:rsidP="00FC2FD0">
            <w:pPr>
              <w:jc w:val="center"/>
            </w:pPr>
            <w:r>
              <w:rPr>
                <w:rFonts w:cs="Arial"/>
                <w:szCs w:val="20"/>
              </w:rPr>
              <w:t>80</w:t>
            </w:r>
            <w:r w:rsidRPr="00D55FA1">
              <w:rPr>
                <w:rFonts w:cs="Arial"/>
                <w:szCs w:val="20"/>
              </w:rPr>
              <w:t>%/</w:t>
            </w:r>
            <w:r>
              <w:rPr>
                <w:rFonts w:cs="Arial"/>
                <w:szCs w:val="20"/>
              </w:rPr>
              <w:t>80</w:t>
            </w:r>
            <w:r w:rsidRPr="00D55FA1">
              <w:rPr>
                <w:rFonts w:cs="Arial"/>
                <w:szCs w:val="20"/>
              </w:rPr>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599077CA" w14:textId="306D3BC8" w:rsidR="00FC2FD0" w:rsidRPr="00D55FA1" w:rsidRDefault="00181E05" w:rsidP="00FC2FD0">
            <w:pPr>
              <w:jc w:val="center"/>
            </w:pPr>
            <w:r>
              <w:rPr>
                <w:rFonts w:cs="Arial"/>
              </w:rPr>
              <w:t>67.4</w:t>
            </w:r>
            <w:r w:rsidR="006A0F6C" w:rsidRPr="004A017F">
              <w:rPr>
                <w:rFonts w:cs="Arial"/>
              </w:rPr>
              <w:t>%/8</w:t>
            </w:r>
            <w:r>
              <w:rPr>
                <w:rFonts w:cs="Arial"/>
              </w:rPr>
              <w:t>4</w:t>
            </w:r>
            <w:r w:rsidR="00913077">
              <w:rPr>
                <w:rFonts w:cs="Arial"/>
              </w:rPr>
              <w:t>.4</w:t>
            </w:r>
            <w:r w:rsidR="006A0F6C" w:rsidRPr="004A017F">
              <w:rPr>
                <w:rFonts w:cs="Arial"/>
              </w:rPr>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58B5B07B" w14:textId="55B4CC86" w:rsidR="00FC2FD0" w:rsidRPr="00D55FA1" w:rsidRDefault="004A017F" w:rsidP="00FC2FD0">
            <w:pPr>
              <w:jc w:val="center"/>
            </w:pPr>
            <w:r>
              <w:t>No/Yes</w:t>
            </w:r>
          </w:p>
        </w:tc>
        <w:tc>
          <w:tcPr>
            <w:tcW w:w="1715" w:type="dxa"/>
            <w:tcBorders>
              <w:top w:val="single" w:sz="4" w:space="0" w:color="auto"/>
              <w:left w:val="single" w:sz="4" w:space="0" w:color="auto"/>
              <w:bottom w:val="single" w:sz="4" w:space="0" w:color="auto"/>
              <w:right w:val="single" w:sz="4" w:space="0" w:color="auto"/>
            </w:tcBorders>
            <w:vAlign w:val="bottom"/>
            <w:hideMark/>
          </w:tcPr>
          <w:p w14:paraId="3CC7C67D" w14:textId="7F7FE0A7" w:rsidR="00FC2FD0" w:rsidRPr="00D55FA1" w:rsidRDefault="0018289F" w:rsidP="00FC2FD0">
            <w:pPr>
              <w:jc w:val="center"/>
            </w:pPr>
            <w:r w:rsidRPr="0010386B">
              <w:rPr>
                <w:rFonts w:cs="Arial"/>
              </w:rPr>
              <w:t>+</w:t>
            </w:r>
            <w:r w:rsidR="00913077">
              <w:rPr>
                <w:rFonts w:cs="Arial"/>
              </w:rPr>
              <w:t>4.8</w:t>
            </w:r>
            <w:r w:rsidRPr="0010386B">
              <w:rPr>
                <w:rFonts w:cs="Arial"/>
              </w:rPr>
              <w:t>%/</w:t>
            </w:r>
            <w:r w:rsidR="00913077">
              <w:rPr>
                <w:rFonts w:cs="Arial"/>
              </w:rPr>
              <w:t>-</w:t>
            </w:r>
            <w:r w:rsidRPr="0010386B">
              <w:rPr>
                <w:rFonts w:cs="Arial"/>
              </w:rPr>
              <w:t>1.</w:t>
            </w:r>
            <w:r w:rsidR="00913077">
              <w:rPr>
                <w:rFonts w:cs="Arial"/>
              </w:rPr>
              <w:t>4</w:t>
            </w:r>
            <w:r w:rsidRPr="0010386B">
              <w:rPr>
                <w:rFonts w:cs="Arial"/>
              </w:rPr>
              <w:t>%</w:t>
            </w:r>
          </w:p>
        </w:tc>
      </w:tr>
      <w:tr w:rsidR="00FC2FD0" w:rsidRPr="00D55FA1" w14:paraId="1A9E6378"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07F62B12" w14:textId="77777777" w:rsidR="00FC2FD0" w:rsidRPr="00D55FA1" w:rsidRDefault="00FC2FD0" w:rsidP="00FC2FD0">
            <w:r w:rsidRPr="00D55FA1">
              <w:t>7C Use of Appropriate Behaviors</w:t>
            </w:r>
          </w:p>
        </w:tc>
        <w:tc>
          <w:tcPr>
            <w:tcW w:w="1981" w:type="dxa"/>
            <w:tcBorders>
              <w:top w:val="single" w:sz="4" w:space="0" w:color="auto"/>
              <w:left w:val="single" w:sz="4" w:space="0" w:color="auto"/>
              <w:bottom w:val="single" w:sz="4" w:space="0" w:color="auto"/>
              <w:right w:val="single" w:sz="4" w:space="0" w:color="auto"/>
            </w:tcBorders>
            <w:vAlign w:val="bottom"/>
            <w:hideMark/>
          </w:tcPr>
          <w:p w14:paraId="59DAFB82" w14:textId="38083BE4" w:rsidR="00FC2FD0" w:rsidRPr="00D55FA1" w:rsidRDefault="00E45E11" w:rsidP="00FC2FD0">
            <w:pPr>
              <w:jc w:val="center"/>
            </w:pPr>
            <w:r>
              <w:rPr>
                <w:rFonts w:cs="Arial"/>
                <w:szCs w:val="20"/>
              </w:rPr>
              <w:t>80</w:t>
            </w:r>
            <w:r w:rsidRPr="00D55FA1">
              <w:rPr>
                <w:rFonts w:cs="Arial"/>
                <w:szCs w:val="20"/>
              </w:rPr>
              <w:t>%/</w:t>
            </w:r>
            <w:r>
              <w:rPr>
                <w:rFonts w:cs="Arial"/>
                <w:szCs w:val="20"/>
              </w:rPr>
              <w:t>80</w:t>
            </w:r>
            <w:r w:rsidRPr="00D55FA1">
              <w:rPr>
                <w:rFonts w:cs="Arial"/>
                <w:szCs w:val="20"/>
              </w:rPr>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75EC1AC0" w14:textId="1E819383" w:rsidR="00FC2FD0" w:rsidRPr="00D55FA1" w:rsidRDefault="004A017F" w:rsidP="00FC2FD0">
            <w:pPr>
              <w:jc w:val="center"/>
            </w:pPr>
            <w:r w:rsidRPr="004A017F">
              <w:rPr>
                <w:rFonts w:cs="Arial"/>
              </w:rPr>
              <w:t>6</w:t>
            </w:r>
            <w:r w:rsidR="00227A99">
              <w:rPr>
                <w:rFonts w:cs="Arial"/>
              </w:rPr>
              <w:t>5.3</w:t>
            </w:r>
            <w:r w:rsidRPr="004A017F">
              <w:rPr>
                <w:rFonts w:cs="Arial"/>
              </w:rPr>
              <w:t>%/85.</w:t>
            </w:r>
            <w:r w:rsidR="00663587">
              <w:rPr>
                <w:rFonts w:cs="Arial"/>
              </w:rPr>
              <w:t>3</w:t>
            </w:r>
            <w:r w:rsidRPr="004A017F">
              <w:rPr>
                <w:rFonts w:cs="Arial"/>
              </w:rPr>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14D1BC11" w14:textId="14170979" w:rsidR="00FC2FD0" w:rsidRPr="00D55FA1" w:rsidRDefault="004A017F" w:rsidP="00EC27AA">
            <w:r>
              <w:t>No/Yes</w:t>
            </w:r>
          </w:p>
        </w:tc>
        <w:tc>
          <w:tcPr>
            <w:tcW w:w="1715" w:type="dxa"/>
            <w:tcBorders>
              <w:top w:val="single" w:sz="4" w:space="0" w:color="auto"/>
              <w:left w:val="single" w:sz="4" w:space="0" w:color="auto"/>
              <w:bottom w:val="single" w:sz="4" w:space="0" w:color="auto"/>
              <w:right w:val="single" w:sz="4" w:space="0" w:color="auto"/>
            </w:tcBorders>
            <w:vAlign w:val="bottom"/>
            <w:hideMark/>
          </w:tcPr>
          <w:p w14:paraId="63A051E7" w14:textId="360B1387" w:rsidR="00FC2FD0" w:rsidRPr="00D55FA1" w:rsidRDefault="00474040" w:rsidP="00FC2FD0">
            <w:pPr>
              <w:jc w:val="center"/>
            </w:pPr>
            <w:r w:rsidRPr="0010386B">
              <w:rPr>
                <w:rFonts w:cs="Arial"/>
              </w:rPr>
              <w:t>-</w:t>
            </w:r>
            <w:r w:rsidR="00AF636A">
              <w:rPr>
                <w:rFonts w:cs="Arial"/>
              </w:rPr>
              <w:t>0</w:t>
            </w:r>
            <w:r w:rsidRPr="0010386B">
              <w:rPr>
                <w:rFonts w:cs="Arial"/>
              </w:rPr>
              <w:t>.9%/</w:t>
            </w:r>
            <w:r w:rsidR="00B90086">
              <w:rPr>
                <w:rFonts w:cs="Arial"/>
              </w:rPr>
              <w:t>+</w:t>
            </w:r>
            <w:r w:rsidRPr="0010386B">
              <w:rPr>
                <w:rFonts w:cs="Arial"/>
              </w:rPr>
              <w:t>0.1%</w:t>
            </w:r>
          </w:p>
        </w:tc>
      </w:tr>
      <w:tr w:rsidR="00FC2FD0" w:rsidRPr="00D55FA1" w14:paraId="007D1C1B"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435D0E0A" w14:textId="77777777" w:rsidR="00FC2FD0" w:rsidRPr="00D55FA1" w:rsidRDefault="00FC2FD0" w:rsidP="00FC2FD0">
            <w:r w:rsidRPr="00D55FA1">
              <w:t xml:space="preserve">8 Parent Involvement </w:t>
            </w:r>
          </w:p>
        </w:tc>
        <w:tc>
          <w:tcPr>
            <w:tcW w:w="1981" w:type="dxa"/>
            <w:tcBorders>
              <w:top w:val="single" w:sz="4" w:space="0" w:color="auto"/>
              <w:left w:val="single" w:sz="4" w:space="0" w:color="auto"/>
              <w:bottom w:val="single" w:sz="4" w:space="0" w:color="auto"/>
              <w:right w:val="single" w:sz="4" w:space="0" w:color="auto"/>
            </w:tcBorders>
            <w:vAlign w:val="bottom"/>
            <w:hideMark/>
          </w:tcPr>
          <w:p w14:paraId="24530B00" w14:textId="462B04BA" w:rsidR="00FC2FD0" w:rsidRPr="00D55FA1" w:rsidRDefault="00FC2FD0" w:rsidP="00FC2FD0">
            <w:pPr>
              <w:jc w:val="center"/>
            </w:pPr>
            <w:r w:rsidRPr="00D55FA1">
              <w:t>9</w:t>
            </w:r>
            <w:r w:rsidR="00B90086">
              <w:t>7</w:t>
            </w:r>
            <w:r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0FE1F82D" w14:textId="16AAB9ED" w:rsidR="00FC2FD0" w:rsidRPr="00D55FA1" w:rsidRDefault="00B40698" w:rsidP="00FC2FD0">
            <w:pPr>
              <w:jc w:val="center"/>
            </w:pPr>
            <w:r w:rsidRPr="00D55FA1">
              <w:t>99.</w:t>
            </w:r>
            <w:r w:rsidR="00D21FBA">
              <w:t>73</w:t>
            </w:r>
            <w:r w:rsidR="00FC2FD0"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3C1B5E46" w14:textId="77777777" w:rsidR="00FC2FD0" w:rsidRPr="00D55FA1" w:rsidRDefault="00FC2FD0" w:rsidP="00FC2FD0">
            <w:pPr>
              <w:jc w:val="center"/>
            </w:pPr>
            <w:r w:rsidRPr="00D55FA1">
              <w:t>Yes</w:t>
            </w:r>
          </w:p>
        </w:tc>
        <w:tc>
          <w:tcPr>
            <w:tcW w:w="1715" w:type="dxa"/>
            <w:tcBorders>
              <w:top w:val="single" w:sz="4" w:space="0" w:color="auto"/>
              <w:left w:val="single" w:sz="4" w:space="0" w:color="auto"/>
              <w:bottom w:val="single" w:sz="4" w:space="0" w:color="auto"/>
              <w:right w:val="single" w:sz="4" w:space="0" w:color="auto"/>
            </w:tcBorders>
            <w:vAlign w:val="bottom"/>
            <w:hideMark/>
          </w:tcPr>
          <w:p w14:paraId="2B860E01" w14:textId="02BBA635" w:rsidR="00FC2FD0" w:rsidRPr="00D55FA1" w:rsidRDefault="009C6112" w:rsidP="00FC2FD0">
            <w:pPr>
              <w:jc w:val="center"/>
            </w:pPr>
            <w:r w:rsidRPr="00D55FA1">
              <w:t>+</w:t>
            </w:r>
            <w:r w:rsidR="00FC2FD0" w:rsidRPr="00D55FA1">
              <w:t>0.0</w:t>
            </w:r>
            <w:r w:rsidR="00D21FBA">
              <w:t>4</w:t>
            </w:r>
            <w:r w:rsidR="00FC2FD0" w:rsidRPr="00D55FA1">
              <w:t>%</w:t>
            </w:r>
          </w:p>
        </w:tc>
      </w:tr>
      <w:tr w:rsidR="00FC2FD0" w:rsidRPr="00D55FA1" w14:paraId="52EFF3C1"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626EFC6A" w14:textId="77777777" w:rsidR="00FC2FD0" w:rsidRPr="00D55FA1" w:rsidRDefault="00FC2FD0" w:rsidP="00FC2FD0">
            <w:r w:rsidRPr="00D55FA1">
              <w:t>9 Disproportionate Representation</w:t>
            </w:r>
          </w:p>
        </w:tc>
        <w:tc>
          <w:tcPr>
            <w:tcW w:w="1981" w:type="dxa"/>
            <w:tcBorders>
              <w:top w:val="single" w:sz="4" w:space="0" w:color="auto"/>
              <w:left w:val="single" w:sz="4" w:space="0" w:color="auto"/>
              <w:bottom w:val="single" w:sz="4" w:space="0" w:color="auto"/>
              <w:right w:val="single" w:sz="4" w:space="0" w:color="auto"/>
            </w:tcBorders>
            <w:vAlign w:val="bottom"/>
            <w:hideMark/>
          </w:tcPr>
          <w:p w14:paraId="4018C83E" w14:textId="77777777" w:rsidR="00FC2FD0" w:rsidRPr="00D55FA1" w:rsidRDefault="00FC2FD0" w:rsidP="00FC2FD0">
            <w:pPr>
              <w:jc w:val="center"/>
            </w:pPr>
            <w:r w:rsidRPr="00D55FA1">
              <w:t>0%</w:t>
            </w:r>
          </w:p>
        </w:tc>
        <w:tc>
          <w:tcPr>
            <w:tcW w:w="1711" w:type="dxa"/>
            <w:tcBorders>
              <w:top w:val="single" w:sz="4" w:space="0" w:color="auto"/>
              <w:left w:val="single" w:sz="4" w:space="0" w:color="auto"/>
              <w:bottom w:val="single" w:sz="4" w:space="0" w:color="auto"/>
              <w:right w:val="single" w:sz="4" w:space="0" w:color="auto"/>
            </w:tcBorders>
            <w:vAlign w:val="bottom"/>
            <w:hideMark/>
          </w:tcPr>
          <w:p w14:paraId="12A51E1E" w14:textId="0C11E47B" w:rsidR="00FC2FD0" w:rsidRPr="00D55FA1" w:rsidRDefault="00672AF2" w:rsidP="00FC2FD0">
            <w:pPr>
              <w:jc w:val="center"/>
            </w:pPr>
            <w:r w:rsidRPr="00D55FA1">
              <w:t>0.</w:t>
            </w:r>
            <w:r w:rsidR="00D21FBA">
              <w:t>19</w:t>
            </w:r>
            <w:r w:rsidR="00FC2FD0"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5AF0D87B" w14:textId="77777777" w:rsidR="00FC2FD0" w:rsidRPr="00D55FA1" w:rsidRDefault="00FC2FD0" w:rsidP="00FC2FD0">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6EF46B9B" w14:textId="4C5A5B2F" w:rsidR="00FC2FD0" w:rsidRPr="00D55FA1" w:rsidRDefault="002D57B3" w:rsidP="00FC2FD0">
            <w:pPr>
              <w:jc w:val="center"/>
            </w:pPr>
            <w:r>
              <w:t>-</w:t>
            </w:r>
            <w:r w:rsidR="008C3EC5">
              <w:t>0.24</w:t>
            </w:r>
            <w:r w:rsidR="00FC2FD0" w:rsidRPr="00D55FA1">
              <w:t>%</w:t>
            </w:r>
          </w:p>
        </w:tc>
      </w:tr>
      <w:tr w:rsidR="00FC2FD0" w:rsidRPr="00D55FA1" w14:paraId="3D30D92F"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0BDA7159" w14:textId="77777777" w:rsidR="00FC2FD0" w:rsidRPr="00D55FA1" w:rsidRDefault="00FC2FD0" w:rsidP="00FC2FD0">
            <w:r w:rsidRPr="00D55FA1">
              <w:lastRenderedPageBreak/>
              <w:t>10 Disproportional Representation by Disability Category</w:t>
            </w:r>
          </w:p>
        </w:tc>
        <w:tc>
          <w:tcPr>
            <w:tcW w:w="1981" w:type="dxa"/>
            <w:tcBorders>
              <w:top w:val="single" w:sz="4" w:space="0" w:color="auto"/>
              <w:left w:val="single" w:sz="4" w:space="0" w:color="auto"/>
              <w:bottom w:val="single" w:sz="4" w:space="0" w:color="auto"/>
              <w:right w:val="single" w:sz="4" w:space="0" w:color="auto"/>
            </w:tcBorders>
            <w:vAlign w:val="bottom"/>
            <w:hideMark/>
          </w:tcPr>
          <w:p w14:paraId="0EEA4D56" w14:textId="77777777" w:rsidR="00FC2FD0" w:rsidRPr="00D55FA1" w:rsidRDefault="00FC2FD0" w:rsidP="00FC2FD0">
            <w:pPr>
              <w:jc w:val="center"/>
            </w:pPr>
            <w:r w:rsidRPr="00D55FA1">
              <w:t>0%</w:t>
            </w:r>
          </w:p>
        </w:tc>
        <w:tc>
          <w:tcPr>
            <w:tcW w:w="1711" w:type="dxa"/>
            <w:tcBorders>
              <w:top w:val="single" w:sz="4" w:space="0" w:color="auto"/>
              <w:left w:val="single" w:sz="4" w:space="0" w:color="auto"/>
              <w:bottom w:val="single" w:sz="4" w:space="0" w:color="auto"/>
              <w:right w:val="single" w:sz="4" w:space="0" w:color="auto"/>
            </w:tcBorders>
            <w:vAlign w:val="bottom"/>
            <w:hideMark/>
          </w:tcPr>
          <w:p w14:paraId="532F675D" w14:textId="761A6285" w:rsidR="00FC2FD0" w:rsidRPr="00D55FA1" w:rsidRDefault="008C3EC5" w:rsidP="00FC2FD0">
            <w:pPr>
              <w:jc w:val="center"/>
            </w:pPr>
            <w:r>
              <w:t>3.21</w:t>
            </w:r>
            <w:r w:rsidR="00FC2FD0"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195FACD3" w14:textId="77777777" w:rsidR="00FC2FD0" w:rsidRPr="00D55FA1" w:rsidRDefault="00FC2FD0" w:rsidP="00FC2FD0">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42D3AEFC" w14:textId="025BE8D3" w:rsidR="00FC2FD0" w:rsidRPr="00D55FA1" w:rsidRDefault="008C3EC5" w:rsidP="00FC2FD0">
            <w:pPr>
              <w:jc w:val="center"/>
            </w:pPr>
            <w:r>
              <w:t>+</w:t>
            </w:r>
            <w:r w:rsidR="00EC27AA">
              <w:t>0.</w:t>
            </w:r>
            <w:r w:rsidR="00E6432A">
              <w:t>71</w:t>
            </w:r>
            <w:r w:rsidR="00FC2FD0" w:rsidRPr="00D55FA1">
              <w:t>%</w:t>
            </w:r>
          </w:p>
        </w:tc>
      </w:tr>
      <w:tr w:rsidR="00FC2FD0" w:rsidRPr="00D55FA1" w14:paraId="60853A11"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15CC4BF0" w14:textId="77777777" w:rsidR="00FC2FD0" w:rsidRPr="00D55FA1" w:rsidRDefault="00FC2FD0" w:rsidP="00FC2FD0">
            <w:r w:rsidRPr="00D55FA1">
              <w:t>11 Child Find</w:t>
            </w:r>
          </w:p>
        </w:tc>
        <w:tc>
          <w:tcPr>
            <w:tcW w:w="1981" w:type="dxa"/>
            <w:tcBorders>
              <w:top w:val="single" w:sz="4" w:space="0" w:color="auto"/>
              <w:left w:val="single" w:sz="4" w:space="0" w:color="auto"/>
              <w:bottom w:val="single" w:sz="4" w:space="0" w:color="auto"/>
              <w:right w:val="single" w:sz="4" w:space="0" w:color="auto"/>
            </w:tcBorders>
            <w:vAlign w:val="bottom"/>
            <w:hideMark/>
          </w:tcPr>
          <w:p w14:paraId="135237C8" w14:textId="77777777" w:rsidR="00FC2FD0" w:rsidRPr="00D55FA1" w:rsidRDefault="00FC2FD0" w:rsidP="00FC2FD0">
            <w:pPr>
              <w:jc w:val="center"/>
            </w:pPr>
            <w:r w:rsidRPr="00D55FA1">
              <w:t>100%</w:t>
            </w:r>
          </w:p>
        </w:tc>
        <w:tc>
          <w:tcPr>
            <w:tcW w:w="1711" w:type="dxa"/>
            <w:tcBorders>
              <w:top w:val="single" w:sz="4" w:space="0" w:color="auto"/>
              <w:left w:val="single" w:sz="4" w:space="0" w:color="auto"/>
              <w:bottom w:val="single" w:sz="4" w:space="0" w:color="auto"/>
              <w:right w:val="single" w:sz="4" w:space="0" w:color="auto"/>
            </w:tcBorders>
            <w:vAlign w:val="bottom"/>
            <w:hideMark/>
          </w:tcPr>
          <w:p w14:paraId="06554955" w14:textId="7CA8FB76" w:rsidR="00FC2FD0" w:rsidRPr="00D55FA1" w:rsidRDefault="00B40698" w:rsidP="00FC2FD0">
            <w:pPr>
              <w:jc w:val="center"/>
            </w:pPr>
            <w:r w:rsidRPr="00D55FA1">
              <w:t>9</w:t>
            </w:r>
            <w:r w:rsidR="00FD5EF8">
              <w:t>3.</w:t>
            </w:r>
            <w:r w:rsidR="00D70062">
              <w:t>95</w:t>
            </w:r>
            <w:r w:rsidR="00FC2FD0"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086401A8" w14:textId="77777777" w:rsidR="00FC2FD0" w:rsidRPr="00D55FA1" w:rsidRDefault="00FC2FD0" w:rsidP="00FC2FD0">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342D9F3A" w14:textId="78F2BB47" w:rsidR="00FC2FD0" w:rsidRPr="00D55FA1" w:rsidRDefault="00B12670" w:rsidP="00FC2FD0">
            <w:pPr>
              <w:jc w:val="center"/>
            </w:pPr>
            <w:r>
              <w:t>-</w:t>
            </w:r>
            <w:r w:rsidR="009C6112" w:rsidRPr="00D55FA1">
              <w:t>0.</w:t>
            </w:r>
            <w:r>
              <w:t>11</w:t>
            </w:r>
            <w:r w:rsidR="00FC2FD0" w:rsidRPr="00D55FA1">
              <w:t>%</w:t>
            </w:r>
          </w:p>
        </w:tc>
      </w:tr>
      <w:tr w:rsidR="00FC2FD0" w:rsidRPr="00D55FA1" w14:paraId="13DB3E21"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0D8ADECD" w14:textId="77777777" w:rsidR="00FC2FD0" w:rsidRPr="00D55FA1" w:rsidRDefault="00FC2FD0" w:rsidP="00FC2FD0">
            <w:r w:rsidRPr="00D55FA1">
              <w:t>12 Early Childhood Transition</w:t>
            </w:r>
          </w:p>
        </w:tc>
        <w:tc>
          <w:tcPr>
            <w:tcW w:w="1981" w:type="dxa"/>
            <w:tcBorders>
              <w:top w:val="single" w:sz="4" w:space="0" w:color="auto"/>
              <w:left w:val="single" w:sz="4" w:space="0" w:color="auto"/>
              <w:bottom w:val="single" w:sz="4" w:space="0" w:color="auto"/>
              <w:right w:val="single" w:sz="4" w:space="0" w:color="auto"/>
            </w:tcBorders>
            <w:vAlign w:val="bottom"/>
            <w:hideMark/>
          </w:tcPr>
          <w:p w14:paraId="3F393A7F" w14:textId="77777777" w:rsidR="00FC2FD0" w:rsidRPr="00D55FA1" w:rsidRDefault="00FC2FD0" w:rsidP="00FC2FD0">
            <w:pPr>
              <w:jc w:val="center"/>
            </w:pPr>
            <w:r w:rsidRPr="00D55FA1">
              <w:t>100%</w:t>
            </w:r>
          </w:p>
        </w:tc>
        <w:tc>
          <w:tcPr>
            <w:tcW w:w="1711" w:type="dxa"/>
            <w:tcBorders>
              <w:top w:val="single" w:sz="4" w:space="0" w:color="auto"/>
              <w:left w:val="single" w:sz="4" w:space="0" w:color="auto"/>
              <w:bottom w:val="single" w:sz="4" w:space="0" w:color="auto"/>
              <w:right w:val="single" w:sz="4" w:space="0" w:color="auto"/>
            </w:tcBorders>
            <w:vAlign w:val="bottom"/>
            <w:hideMark/>
          </w:tcPr>
          <w:p w14:paraId="5C2FCE1B" w14:textId="56624FFE" w:rsidR="00FC2FD0" w:rsidRPr="00D55FA1" w:rsidRDefault="005C2005" w:rsidP="00FC2FD0">
            <w:pPr>
              <w:jc w:val="center"/>
            </w:pPr>
            <w:r>
              <w:t>85.47</w:t>
            </w:r>
            <w:r w:rsidR="008D105C">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0E6A06D7" w14:textId="2B967AEF" w:rsidR="00FC2FD0" w:rsidRPr="00D55FA1" w:rsidRDefault="008D105C" w:rsidP="00FC2FD0">
            <w:pPr>
              <w:jc w:val="center"/>
            </w:pPr>
            <w:r>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25B2BEB1" w14:textId="31F15F00" w:rsidR="00FC2FD0" w:rsidRPr="00D55FA1" w:rsidRDefault="001F6C56" w:rsidP="00FC2FD0">
            <w:pPr>
              <w:jc w:val="center"/>
            </w:pPr>
            <w:bookmarkStart w:id="105" w:name="_Hlk184749142"/>
            <w:r>
              <w:t>+</w:t>
            </w:r>
            <w:r w:rsidR="00FA4F37">
              <w:t>.42</w:t>
            </w:r>
            <w:r w:rsidR="008D105C">
              <w:t>%</w:t>
            </w:r>
            <w:bookmarkEnd w:id="105"/>
          </w:p>
        </w:tc>
      </w:tr>
      <w:tr w:rsidR="00FC2FD0" w:rsidRPr="00D55FA1" w14:paraId="5677BC2F"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2F0ECDEA" w14:textId="77777777" w:rsidR="00FC2FD0" w:rsidRPr="00D55FA1" w:rsidRDefault="00FC2FD0" w:rsidP="00FC2FD0">
            <w:r w:rsidRPr="00D55FA1">
              <w:t>13 Secondary Transition</w:t>
            </w:r>
          </w:p>
        </w:tc>
        <w:tc>
          <w:tcPr>
            <w:tcW w:w="1981" w:type="dxa"/>
            <w:tcBorders>
              <w:top w:val="single" w:sz="4" w:space="0" w:color="auto"/>
              <w:left w:val="single" w:sz="4" w:space="0" w:color="auto"/>
              <w:bottom w:val="single" w:sz="4" w:space="0" w:color="auto"/>
              <w:right w:val="single" w:sz="4" w:space="0" w:color="auto"/>
            </w:tcBorders>
            <w:vAlign w:val="bottom"/>
            <w:hideMark/>
          </w:tcPr>
          <w:p w14:paraId="0B7AE7F6" w14:textId="77777777" w:rsidR="00FC2FD0" w:rsidRPr="00D55FA1" w:rsidRDefault="00FC2FD0" w:rsidP="00FC2FD0">
            <w:pPr>
              <w:jc w:val="center"/>
            </w:pPr>
            <w:r w:rsidRPr="00D55FA1">
              <w:t>100%</w:t>
            </w:r>
          </w:p>
        </w:tc>
        <w:tc>
          <w:tcPr>
            <w:tcW w:w="1711" w:type="dxa"/>
            <w:tcBorders>
              <w:top w:val="single" w:sz="4" w:space="0" w:color="auto"/>
              <w:left w:val="single" w:sz="4" w:space="0" w:color="auto"/>
              <w:bottom w:val="single" w:sz="4" w:space="0" w:color="auto"/>
              <w:right w:val="single" w:sz="4" w:space="0" w:color="auto"/>
            </w:tcBorders>
            <w:vAlign w:val="bottom"/>
            <w:hideMark/>
          </w:tcPr>
          <w:p w14:paraId="25DBF18A" w14:textId="458E6AE2" w:rsidR="00FC2FD0" w:rsidRPr="00D55FA1" w:rsidRDefault="009C6112" w:rsidP="00FC2FD0">
            <w:pPr>
              <w:jc w:val="center"/>
            </w:pPr>
            <w:r w:rsidRPr="00D55FA1">
              <w:t>9</w:t>
            </w:r>
            <w:r w:rsidR="00F52C46">
              <w:t>6.14</w:t>
            </w:r>
            <w:r w:rsidR="00FC2FD0"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798799C9" w14:textId="77777777" w:rsidR="00FC2FD0" w:rsidRPr="00D55FA1" w:rsidRDefault="00FC2FD0" w:rsidP="00FC2FD0">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239088BA" w14:textId="399B1731" w:rsidR="00FC2FD0" w:rsidRPr="00D55FA1" w:rsidRDefault="00E23037" w:rsidP="00FC2FD0">
            <w:pPr>
              <w:jc w:val="center"/>
            </w:pPr>
            <w:r>
              <w:t>+1.66</w:t>
            </w:r>
            <w:r w:rsidR="00FC2FD0" w:rsidRPr="00D55FA1">
              <w:t>%</w:t>
            </w:r>
          </w:p>
        </w:tc>
      </w:tr>
      <w:tr w:rsidR="00FC2FD0" w:rsidRPr="00D55FA1" w14:paraId="060E8E1B"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1BD06FA1" w14:textId="77777777" w:rsidR="00FC2FD0" w:rsidRPr="00D55FA1" w:rsidRDefault="00FC2FD0" w:rsidP="00FC2FD0">
            <w:r w:rsidRPr="00D55FA1">
              <w:t>14 Post-school Outcomes</w:t>
            </w:r>
          </w:p>
        </w:tc>
        <w:tc>
          <w:tcPr>
            <w:tcW w:w="1981" w:type="dxa"/>
            <w:tcBorders>
              <w:top w:val="single" w:sz="4" w:space="0" w:color="auto"/>
              <w:left w:val="single" w:sz="4" w:space="0" w:color="auto"/>
              <w:bottom w:val="single" w:sz="4" w:space="0" w:color="auto"/>
              <w:right w:val="single" w:sz="4" w:space="0" w:color="auto"/>
            </w:tcBorders>
            <w:vAlign w:val="bottom"/>
            <w:hideMark/>
          </w:tcPr>
          <w:p w14:paraId="7CA14408" w14:textId="77777777" w:rsidR="00FC2FD0" w:rsidRPr="00D55FA1" w:rsidRDefault="00FC2FD0" w:rsidP="00FC2FD0">
            <w:pPr>
              <w:jc w:val="center"/>
            </w:pPr>
            <w:r w:rsidRPr="00D55FA1">
              <w:t>N/A</w:t>
            </w:r>
          </w:p>
        </w:tc>
        <w:tc>
          <w:tcPr>
            <w:tcW w:w="1711" w:type="dxa"/>
            <w:tcBorders>
              <w:top w:val="single" w:sz="4" w:space="0" w:color="auto"/>
              <w:left w:val="single" w:sz="4" w:space="0" w:color="auto"/>
              <w:bottom w:val="single" w:sz="4" w:space="0" w:color="auto"/>
              <w:right w:val="single" w:sz="4" w:space="0" w:color="auto"/>
            </w:tcBorders>
            <w:vAlign w:val="bottom"/>
            <w:hideMark/>
          </w:tcPr>
          <w:p w14:paraId="5202F53E" w14:textId="77777777" w:rsidR="00FC2FD0" w:rsidRPr="00D55FA1" w:rsidRDefault="00FC2FD0" w:rsidP="00FC2FD0">
            <w:pPr>
              <w:jc w:val="center"/>
            </w:pPr>
            <w:r w:rsidRPr="00D55FA1">
              <w:t>N/A</w:t>
            </w:r>
          </w:p>
        </w:tc>
        <w:tc>
          <w:tcPr>
            <w:tcW w:w="1077" w:type="dxa"/>
            <w:tcBorders>
              <w:top w:val="single" w:sz="4" w:space="0" w:color="auto"/>
              <w:left w:val="single" w:sz="4" w:space="0" w:color="auto"/>
              <w:bottom w:val="single" w:sz="4" w:space="0" w:color="auto"/>
              <w:right w:val="single" w:sz="4" w:space="0" w:color="auto"/>
            </w:tcBorders>
            <w:vAlign w:val="bottom"/>
            <w:hideMark/>
          </w:tcPr>
          <w:p w14:paraId="0E2DBE7B" w14:textId="77777777" w:rsidR="00FC2FD0" w:rsidRPr="00D55FA1" w:rsidRDefault="00FC2FD0" w:rsidP="00FC2FD0">
            <w:pPr>
              <w:jc w:val="center"/>
            </w:pPr>
            <w:r w:rsidRPr="00D55FA1">
              <w:t>N/A</w:t>
            </w:r>
          </w:p>
        </w:tc>
        <w:tc>
          <w:tcPr>
            <w:tcW w:w="1715" w:type="dxa"/>
            <w:tcBorders>
              <w:top w:val="single" w:sz="4" w:space="0" w:color="auto"/>
              <w:left w:val="single" w:sz="4" w:space="0" w:color="auto"/>
              <w:bottom w:val="single" w:sz="4" w:space="0" w:color="auto"/>
              <w:right w:val="single" w:sz="4" w:space="0" w:color="auto"/>
            </w:tcBorders>
            <w:vAlign w:val="bottom"/>
            <w:hideMark/>
          </w:tcPr>
          <w:p w14:paraId="6816AE4D" w14:textId="77777777" w:rsidR="00FC2FD0" w:rsidRPr="00D55FA1" w:rsidRDefault="00FC2FD0" w:rsidP="00FC2FD0">
            <w:pPr>
              <w:jc w:val="center"/>
            </w:pPr>
            <w:r w:rsidRPr="00D55FA1">
              <w:t>N/A</w:t>
            </w:r>
          </w:p>
        </w:tc>
      </w:tr>
      <w:tr w:rsidR="00FC2FD0" w:rsidRPr="00D55FA1" w14:paraId="2B47EB6B"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5F1A918E" w14:textId="77777777" w:rsidR="00FC2FD0" w:rsidRPr="00D55FA1" w:rsidRDefault="00FC2FD0" w:rsidP="00FC2FD0">
            <w:r w:rsidRPr="00D55FA1">
              <w:t>14A Enrolled in Higher Education</w:t>
            </w:r>
          </w:p>
        </w:tc>
        <w:tc>
          <w:tcPr>
            <w:tcW w:w="1981" w:type="dxa"/>
            <w:tcBorders>
              <w:top w:val="single" w:sz="4" w:space="0" w:color="auto"/>
              <w:left w:val="single" w:sz="4" w:space="0" w:color="auto"/>
              <w:bottom w:val="single" w:sz="4" w:space="0" w:color="auto"/>
              <w:right w:val="single" w:sz="4" w:space="0" w:color="auto"/>
            </w:tcBorders>
            <w:vAlign w:val="bottom"/>
            <w:hideMark/>
          </w:tcPr>
          <w:p w14:paraId="052A8AFF" w14:textId="533C6FDD" w:rsidR="00FC2FD0" w:rsidRPr="00D55FA1" w:rsidRDefault="00FC2FD0" w:rsidP="00FC2FD0">
            <w:pPr>
              <w:jc w:val="center"/>
            </w:pPr>
            <w:r w:rsidRPr="00D55FA1">
              <w:t>5</w:t>
            </w:r>
            <w:r w:rsidR="00E23037">
              <w:t>9</w:t>
            </w:r>
            <w:r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146059D8" w14:textId="4935216E" w:rsidR="00FC2FD0" w:rsidRPr="00D55FA1" w:rsidRDefault="00C3765C" w:rsidP="00FC2FD0">
            <w:pPr>
              <w:jc w:val="center"/>
            </w:pPr>
            <w:r>
              <w:t>55.6</w:t>
            </w:r>
            <w:r w:rsidR="00FC2FD0"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517EB9D0" w14:textId="77777777" w:rsidR="00FC2FD0" w:rsidRPr="00D55FA1" w:rsidRDefault="00FC2FD0" w:rsidP="00FC2FD0">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32761704" w14:textId="28B66262" w:rsidR="00FC2FD0" w:rsidRPr="00D55FA1" w:rsidRDefault="00672AF2" w:rsidP="00FC2FD0">
            <w:pPr>
              <w:jc w:val="center"/>
            </w:pPr>
            <w:r w:rsidRPr="00D55FA1">
              <w:t>+</w:t>
            </w:r>
            <w:r w:rsidR="009C6112" w:rsidRPr="00D55FA1">
              <w:t>2.</w:t>
            </w:r>
            <w:r w:rsidR="00EC27AA">
              <w:t>40</w:t>
            </w:r>
            <w:r w:rsidR="00FC2FD0" w:rsidRPr="00D55FA1">
              <w:t>%</w:t>
            </w:r>
          </w:p>
        </w:tc>
      </w:tr>
      <w:tr w:rsidR="00FC2FD0" w:rsidRPr="00D55FA1" w14:paraId="6AD6239E"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0E9055DE" w14:textId="77777777" w:rsidR="00FC2FD0" w:rsidRPr="00D55FA1" w:rsidRDefault="00FC2FD0" w:rsidP="00FC2FD0">
            <w:r w:rsidRPr="00D55FA1">
              <w:t>14B Enrolled in Higher Education or Competitively Employed within a Year</w:t>
            </w:r>
          </w:p>
        </w:tc>
        <w:tc>
          <w:tcPr>
            <w:tcW w:w="1981" w:type="dxa"/>
            <w:tcBorders>
              <w:top w:val="single" w:sz="4" w:space="0" w:color="auto"/>
              <w:left w:val="single" w:sz="4" w:space="0" w:color="auto"/>
              <w:bottom w:val="single" w:sz="4" w:space="0" w:color="auto"/>
              <w:right w:val="single" w:sz="4" w:space="0" w:color="auto"/>
            </w:tcBorders>
            <w:vAlign w:val="bottom"/>
            <w:hideMark/>
          </w:tcPr>
          <w:p w14:paraId="5D8D2F8D" w14:textId="56EFFE8C" w:rsidR="00FC2FD0" w:rsidRPr="00D55FA1" w:rsidRDefault="00E23037" w:rsidP="00FC2FD0">
            <w:pPr>
              <w:jc w:val="center"/>
            </w:pPr>
            <w:r>
              <w:t>81</w:t>
            </w:r>
            <w:r w:rsidR="00FC2FD0"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581C1967" w14:textId="523F1609" w:rsidR="00FC2FD0" w:rsidRPr="00D55FA1" w:rsidRDefault="009C6112" w:rsidP="00FC2FD0">
            <w:pPr>
              <w:jc w:val="center"/>
            </w:pPr>
            <w:r w:rsidRPr="00D55FA1">
              <w:t>7</w:t>
            </w:r>
            <w:r w:rsidR="00EC27AA">
              <w:t>4.</w:t>
            </w:r>
            <w:r w:rsidR="00C3765C">
              <w:t>0</w:t>
            </w:r>
            <w:r w:rsidR="00FC2FD0"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54ADFCF5" w14:textId="77777777" w:rsidR="00FC2FD0" w:rsidRPr="00D55FA1" w:rsidRDefault="00FC2FD0" w:rsidP="00FC2FD0">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3D1D8CD5" w14:textId="014FCDC8" w:rsidR="00FC2FD0" w:rsidRPr="00D55FA1" w:rsidRDefault="00EC27AA" w:rsidP="00FC2FD0">
            <w:pPr>
              <w:jc w:val="center"/>
            </w:pPr>
            <w:r>
              <w:t>-</w:t>
            </w:r>
            <w:r w:rsidR="009C6112" w:rsidRPr="00D55FA1">
              <w:t>0.5</w:t>
            </w:r>
            <w:r w:rsidR="00FC2FD0" w:rsidRPr="00D55FA1">
              <w:t>%</w:t>
            </w:r>
          </w:p>
        </w:tc>
      </w:tr>
      <w:tr w:rsidR="00FC2FD0" w:rsidRPr="00D55FA1" w14:paraId="7CF0BB6B"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63114BAD" w14:textId="77777777" w:rsidR="00FC2FD0" w:rsidRPr="00D55FA1" w:rsidRDefault="00FC2FD0" w:rsidP="00FC2FD0">
            <w:r w:rsidRPr="00D55FA1">
              <w:t>14C Enrolled in Higher Education, Postsecondary Education or Training or Competitively Employed</w:t>
            </w:r>
          </w:p>
        </w:tc>
        <w:tc>
          <w:tcPr>
            <w:tcW w:w="1981" w:type="dxa"/>
            <w:tcBorders>
              <w:top w:val="single" w:sz="4" w:space="0" w:color="auto"/>
              <w:left w:val="single" w:sz="4" w:space="0" w:color="auto"/>
              <w:bottom w:val="single" w:sz="4" w:space="0" w:color="auto"/>
              <w:right w:val="single" w:sz="4" w:space="0" w:color="auto"/>
            </w:tcBorders>
            <w:vAlign w:val="bottom"/>
            <w:hideMark/>
          </w:tcPr>
          <w:p w14:paraId="16B5B6EC" w14:textId="6C343021" w:rsidR="00FC2FD0" w:rsidRPr="00D55FA1" w:rsidRDefault="00FC2FD0" w:rsidP="00FC2FD0">
            <w:pPr>
              <w:jc w:val="center"/>
            </w:pPr>
            <w:r w:rsidRPr="00D55FA1">
              <w:t>8</w:t>
            </w:r>
            <w:r w:rsidR="00C3765C">
              <w:t>9</w:t>
            </w:r>
            <w:r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5A3578A9" w14:textId="20E992E0" w:rsidR="00FC2FD0" w:rsidRPr="00D55FA1" w:rsidRDefault="009C6112" w:rsidP="00FC2FD0">
            <w:pPr>
              <w:jc w:val="center"/>
            </w:pPr>
            <w:r w:rsidRPr="00D55FA1">
              <w:t>9</w:t>
            </w:r>
            <w:r w:rsidR="00C3765C">
              <w:t>1.4</w:t>
            </w:r>
            <w:r w:rsidR="00FC2FD0"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4482E6A6" w14:textId="77777777" w:rsidR="00FC2FD0" w:rsidRPr="00D55FA1" w:rsidRDefault="00FC2FD0" w:rsidP="00FC2FD0">
            <w:pPr>
              <w:jc w:val="center"/>
            </w:pPr>
            <w:r w:rsidRPr="00D55FA1">
              <w:t>Yes</w:t>
            </w:r>
          </w:p>
        </w:tc>
        <w:tc>
          <w:tcPr>
            <w:tcW w:w="1715" w:type="dxa"/>
            <w:tcBorders>
              <w:top w:val="single" w:sz="4" w:space="0" w:color="auto"/>
              <w:left w:val="single" w:sz="4" w:space="0" w:color="auto"/>
              <w:bottom w:val="single" w:sz="4" w:space="0" w:color="auto"/>
              <w:right w:val="single" w:sz="4" w:space="0" w:color="auto"/>
            </w:tcBorders>
            <w:vAlign w:val="bottom"/>
            <w:hideMark/>
          </w:tcPr>
          <w:p w14:paraId="620F37B1" w14:textId="70F68235" w:rsidR="00FC2FD0" w:rsidRPr="00D55FA1" w:rsidRDefault="004B038D" w:rsidP="00FC2FD0">
            <w:pPr>
              <w:jc w:val="center"/>
            </w:pPr>
            <w:r>
              <w:t>+1.1</w:t>
            </w:r>
            <w:r w:rsidR="00FC2FD0" w:rsidRPr="00D55FA1">
              <w:t>%</w:t>
            </w:r>
          </w:p>
        </w:tc>
      </w:tr>
      <w:tr w:rsidR="00FC2FD0" w:rsidRPr="00D55FA1" w14:paraId="6A18F1EE"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064D5CBD" w14:textId="77777777" w:rsidR="00FC2FD0" w:rsidRPr="00D55FA1" w:rsidRDefault="00FC2FD0" w:rsidP="00FC2FD0">
            <w:r w:rsidRPr="00D55FA1">
              <w:t>15 Resolution Sessions</w:t>
            </w:r>
          </w:p>
        </w:tc>
        <w:tc>
          <w:tcPr>
            <w:tcW w:w="1981" w:type="dxa"/>
            <w:tcBorders>
              <w:top w:val="single" w:sz="4" w:space="0" w:color="auto"/>
              <w:left w:val="single" w:sz="4" w:space="0" w:color="auto"/>
              <w:bottom w:val="single" w:sz="4" w:space="0" w:color="auto"/>
              <w:right w:val="single" w:sz="4" w:space="0" w:color="auto"/>
            </w:tcBorders>
            <w:vAlign w:val="bottom"/>
            <w:hideMark/>
          </w:tcPr>
          <w:p w14:paraId="263416A3" w14:textId="375723AC" w:rsidR="00FC2FD0" w:rsidRPr="00D55FA1" w:rsidRDefault="00FC2FD0" w:rsidP="00FC2FD0">
            <w:pPr>
              <w:jc w:val="center"/>
            </w:pPr>
            <w:r w:rsidRPr="00D55FA1">
              <w:t>4</w:t>
            </w:r>
            <w:r w:rsidR="004B038D">
              <w:t>4</w:t>
            </w:r>
            <w:r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1133E88F" w14:textId="0A620A62" w:rsidR="00FC2FD0" w:rsidRPr="00D55FA1" w:rsidRDefault="00EC27AA" w:rsidP="00FC2FD0">
            <w:pPr>
              <w:jc w:val="center"/>
            </w:pPr>
            <w:r>
              <w:t>4.</w:t>
            </w:r>
            <w:r w:rsidR="004B038D">
              <w:t>63</w:t>
            </w:r>
            <w:r w:rsidR="00FC2FD0"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2963C73B" w14:textId="72BC987D" w:rsidR="00FC2FD0" w:rsidRPr="00D55FA1" w:rsidRDefault="002114B3" w:rsidP="00FC2FD0">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43969BDA" w14:textId="3EEAD4BB" w:rsidR="00FC2FD0" w:rsidRPr="00D55FA1" w:rsidRDefault="00DE2F0A" w:rsidP="00FC2FD0">
            <w:pPr>
              <w:jc w:val="center"/>
            </w:pPr>
            <w:r>
              <w:t>+</w:t>
            </w:r>
            <w:r w:rsidR="00EC27AA">
              <w:t>0.</w:t>
            </w:r>
            <w:r>
              <w:t>13</w:t>
            </w:r>
            <w:r w:rsidR="00FC2FD0" w:rsidRPr="00D55FA1">
              <w:t>%</w:t>
            </w:r>
          </w:p>
        </w:tc>
      </w:tr>
      <w:tr w:rsidR="00FC2FD0" w:rsidRPr="00D55FA1" w14:paraId="2BF2E07C"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53A3A810" w14:textId="77777777" w:rsidR="00FC2FD0" w:rsidRPr="00D55FA1" w:rsidRDefault="00FC2FD0" w:rsidP="00FC2FD0">
            <w:r w:rsidRPr="00D55FA1">
              <w:t>16 Mediation</w:t>
            </w:r>
          </w:p>
        </w:tc>
        <w:tc>
          <w:tcPr>
            <w:tcW w:w="1981" w:type="dxa"/>
            <w:tcBorders>
              <w:top w:val="single" w:sz="4" w:space="0" w:color="auto"/>
              <w:left w:val="single" w:sz="4" w:space="0" w:color="auto"/>
              <w:bottom w:val="single" w:sz="4" w:space="0" w:color="auto"/>
              <w:right w:val="single" w:sz="4" w:space="0" w:color="auto"/>
            </w:tcBorders>
            <w:vAlign w:val="bottom"/>
            <w:hideMark/>
          </w:tcPr>
          <w:p w14:paraId="62B37E15" w14:textId="15B62445" w:rsidR="00FC2FD0" w:rsidRPr="00D55FA1" w:rsidRDefault="00FC2FD0" w:rsidP="00FC2FD0">
            <w:pPr>
              <w:jc w:val="center"/>
            </w:pPr>
            <w:r w:rsidRPr="00D55FA1">
              <w:t>6</w:t>
            </w:r>
            <w:r w:rsidR="004B038D">
              <w:t>9</w:t>
            </w:r>
            <w:r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328011AF" w14:textId="307B02B3" w:rsidR="00FC2FD0" w:rsidRPr="00D55FA1" w:rsidRDefault="00F563AC" w:rsidP="00FC2FD0">
            <w:pPr>
              <w:jc w:val="center"/>
            </w:pPr>
            <w:r>
              <w:t>7.0</w:t>
            </w:r>
            <w:r w:rsidR="002B01EB">
              <w:t>3</w:t>
            </w:r>
            <w:r w:rsidR="00FC2FD0" w:rsidRPr="00D55FA1">
              <w:t>%</w:t>
            </w:r>
          </w:p>
        </w:tc>
        <w:tc>
          <w:tcPr>
            <w:tcW w:w="1077" w:type="dxa"/>
            <w:tcBorders>
              <w:top w:val="single" w:sz="4" w:space="0" w:color="auto"/>
              <w:left w:val="single" w:sz="4" w:space="0" w:color="auto"/>
              <w:bottom w:val="single" w:sz="4" w:space="0" w:color="auto"/>
              <w:right w:val="single" w:sz="4" w:space="0" w:color="auto"/>
            </w:tcBorders>
            <w:vAlign w:val="bottom"/>
            <w:hideMark/>
          </w:tcPr>
          <w:p w14:paraId="16ACA867" w14:textId="1BB91AA5" w:rsidR="00FC2FD0" w:rsidRPr="00D55FA1" w:rsidRDefault="002114B3" w:rsidP="00FC2FD0">
            <w:pPr>
              <w:jc w:val="center"/>
            </w:pPr>
            <w:r w:rsidRPr="00D55FA1">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330DB9EB" w14:textId="4BDC8440" w:rsidR="00FC2FD0" w:rsidRPr="00D55FA1" w:rsidRDefault="002114B3" w:rsidP="00FC2FD0">
            <w:pPr>
              <w:jc w:val="center"/>
            </w:pPr>
            <w:r w:rsidRPr="00D55FA1">
              <w:t>-</w:t>
            </w:r>
            <w:r w:rsidR="002B01EB">
              <w:t>1.65</w:t>
            </w:r>
            <w:r w:rsidR="00FC2FD0" w:rsidRPr="00D55FA1">
              <w:t>%</w:t>
            </w:r>
          </w:p>
        </w:tc>
      </w:tr>
      <w:tr w:rsidR="00FC2FD0" w:rsidRPr="00D55FA1" w14:paraId="15BB77D0" w14:textId="77777777" w:rsidTr="5E32A801">
        <w:trPr>
          <w:cantSplit/>
        </w:trPr>
        <w:tc>
          <w:tcPr>
            <w:tcW w:w="3416" w:type="dxa"/>
            <w:tcBorders>
              <w:top w:val="single" w:sz="4" w:space="0" w:color="auto"/>
              <w:left w:val="single" w:sz="4" w:space="0" w:color="auto"/>
              <w:bottom w:val="single" w:sz="4" w:space="0" w:color="auto"/>
              <w:right w:val="single" w:sz="4" w:space="0" w:color="auto"/>
            </w:tcBorders>
            <w:hideMark/>
          </w:tcPr>
          <w:p w14:paraId="48675306" w14:textId="77777777" w:rsidR="00FC2FD0" w:rsidRPr="00D55FA1" w:rsidRDefault="00FC2FD0" w:rsidP="00FC2FD0">
            <w:r w:rsidRPr="007B7CEA">
              <w:t>17 State Systemic Improvement Plan</w:t>
            </w:r>
          </w:p>
        </w:tc>
        <w:tc>
          <w:tcPr>
            <w:tcW w:w="1981" w:type="dxa"/>
            <w:tcBorders>
              <w:top w:val="single" w:sz="4" w:space="0" w:color="auto"/>
              <w:left w:val="single" w:sz="4" w:space="0" w:color="auto"/>
              <w:bottom w:val="single" w:sz="4" w:space="0" w:color="auto"/>
              <w:right w:val="single" w:sz="4" w:space="0" w:color="auto"/>
            </w:tcBorders>
            <w:vAlign w:val="bottom"/>
            <w:hideMark/>
          </w:tcPr>
          <w:p w14:paraId="72D6F980" w14:textId="7E7DB87B" w:rsidR="00FC2FD0" w:rsidRPr="00D55FA1" w:rsidRDefault="004C1F14" w:rsidP="00FC2FD0">
            <w:pPr>
              <w:jc w:val="center"/>
            </w:pPr>
            <w:r w:rsidRPr="00D55FA1">
              <w:t>1</w:t>
            </w:r>
            <w:r w:rsidR="0019727E">
              <w:t>7</w:t>
            </w:r>
            <w:r w:rsidRPr="00D55FA1">
              <w:t>%</w:t>
            </w:r>
          </w:p>
        </w:tc>
        <w:tc>
          <w:tcPr>
            <w:tcW w:w="1711" w:type="dxa"/>
            <w:tcBorders>
              <w:top w:val="single" w:sz="4" w:space="0" w:color="auto"/>
              <w:left w:val="single" w:sz="4" w:space="0" w:color="auto"/>
              <w:bottom w:val="single" w:sz="4" w:space="0" w:color="auto"/>
              <w:right w:val="single" w:sz="4" w:space="0" w:color="auto"/>
            </w:tcBorders>
            <w:vAlign w:val="bottom"/>
            <w:hideMark/>
          </w:tcPr>
          <w:p w14:paraId="783CA6DF" w14:textId="322B2019" w:rsidR="00FC2FD0" w:rsidRPr="00C322C7" w:rsidRDefault="000B052C" w:rsidP="00FC2FD0">
            <w:pPr>
              <w:jc w:val="center"/>
            </w:pPr>
            <w:r>
              <w:t>15.80%</w:t>
            </w:r>
          </w:p>
        </w:tc>
        <w:tc>
          <w:tcPr>
            <w:tcW w:w="1077" w:type="dxa"/>
            <w:tcBorders>
              <w:top w:val="single" w:sz="4" w:space="0" w:color="auto"/>
              <w:left w:val="single" w:sz="4" w:space="0" w:color="auto"/>
              <w:bottom w:val="single" w:sz="4" w:space="0" w:color="auto"/>
              <w:right w:val="single" w:sz="4" w:space="0" w:color="auto"/>
            </w:tcBorders>
            <w:vAlign w:val="bottom"/>
            <w:hideMark/>
          </w:tcPr>
          <w:p w14:paraId="4B94D5A5" w14:textId="655E51E7" w:rsidR="00FC2FD0" w:rsidRPr="00C322C7" w:rsidRDefault="000B052C" w:rsidP="00FC2FD0">
            <w:pPr>
              <w:jc w:val="center"/>
            </w:pPr>
            <w:r>
              <w:t>No</w:t>
            </w:r>
          </w:p>
        </w:tc>
        <w:tc>
          <w:tcPr>
            <w:tcW w:w="1715" w:type="dxa"/>
            <w:tcBorders>
              <w:top w:val="single" w:sz="4" w:space="0" w:color="auto"/>
              <w:left w:val="single" w:sz="4" w:space="0" w:color="auto"/>
              <w:bottom w:val="single" w:sz="4" w:space="0" w:color="auto"/>
              <w:right w:val="single" w:sz="4" w:space="0" w:color="auto"/>
            </w:tcBorders>
            <w:vAlign w:val="bottom"/>
            <w:hideMark/>
          </w:tcPr>
          <w:p w14:paraId="03D9429D" w14:textId="22471F67" w:rsidR="00FC2FD0" w:rsidRPr="00C322C7" w:rsidRDefault="000B052C" w:rsidP="00FC2FD0">
            <w:pPr>
              <w:jc w:val="center"/>
            </w:pPr>
            <w:r>
              <w:t>+0.82%</w:t>
            </w:r>
          </w:p>
        </w:tc>
      </w:tr>
      <w:tr w:rsidR="00E33AD6" w:rsidRPr="00D55FA1" w14:paraId="4E4DA600" w14:textId="77777777" w:rsidTr="5E32A801">
        <w:trPr>
          <w:cantSplit/>
        </w:trPr>
        <w:tc>
          <w:tcPr>
            <w:tcW w:w="3416" w:type="dxa"/>
            <w:tcBorders>
              <w:top w:val="single" w:sz="4" w:space="0" w:color="auto"/>
              <w:left w:val="single" w:sz="4" w:space="0" w:color="auto"/>
              <w:bottom w:val="single" w:sz="4" w:space="0" w:color="auto"/>
              <w:right w:val="single" w:sz="4" w:space="0" w:color="auto"/>
            </w:tcBorders>
          </w:tcPr>
          <w:p w14:paraId="5EAE9613" w14:textId="08503391" w:rsidR="00E33AD6" w:rsidRPr="00D55FA1" w:rsidRDefault="00E33AD6" w:rsidP="00FC2FD0">
            <w:r>
              <w:t>18 General Supervision</w:t>
            </w:r>
          </w:p>
        </w:tc>
        <w:tc>
          <w:tcPr>
            <w:tcW w:w="1981" w:type="dxa"/>
            <w:tcBorders>
              <w:top w:val="single" w:sz="4" w:space="0" w:color="auto"/>
              <w:left w:val="single" w:sz="4" w:space="0" w:color="auto"/>
              <w:bottom w:val="single" w:sz="4" w:space="0" w:color="auto"/>
              <w:right w:val="single" w:sz="4" w:space="0" w:color="auto"/>
            </w:tcBorders>
            <w:vAlign w:val="bottom"/>
          </w:tcPr>
          <w:p w14:paraId="6AC04C03" w14:textId="081BB9C5" w:rsidR="00E33AD6" w:rsidRPr="00D55FA1" w:rsidRDefault="00E33AD6" w:rsidP="00FC2FD0">
            <w:pPr>
              <w:jc w:val="center"/>
            </w:pPr>
            <w:r>
              <w:t>100%</w:t>
            </w:r>
          </w:p>
        </w:tc>
        <w:tc>
          <w:tcPr>
            <w:tcW w:w="1711" w:type="dxa"/>
            <w:tcBorders>
              <w:top w:val="single" w:sz="4" w:space="0" w:color="auto"/>
              <w:left w:val="single" w:sz="4" w:space="0" w:color="auto"/>
              <w:bottom w:val="single" w:sz="4" w:space="0" w:color="auto"/>
              <w:right w:val="single" w:sz="4" w:space="0" w:color="auto"/>
            </w:tcBorders>
            <w:vAlign w:val="bottom"/>
          </w:tcPr>
          <w:p w14:paraId="6E310B9E" w14:textId="715BEEBC" w:rsidR="00E33AD6" w:rsidRPr="00D55FA1" w:rsidRDefault="00CD7C25" w:rsidP="00FC2FD0">
            <w:pPr>
              <w:jc w:val="center"/>
            </w:pPr>
            <w:r>
              <w:t>100%</w:t>
            </w:r>
          </w:p>
        </w:tc>
        <w:tc>
          <w:tcPr>
            <w:tcW w:w="1077" w:type="dxa"/>
            <w:tcBorders>
              <w:top w:val="single" w:sz="4" w:space="0" w:color="auto"/>
              <w:left w:val="single" w:sz="4" w:space="0" w:color="auto"/>
              <w:bottom w:val="single" w:sz="4" w:space="0" w:color="auto"/>
              <w:right w:val="single" w:sz="4" w:space="0" w:color="auto"/>
            </w:tcBorders>
            <w:vAlign w:val="bottom"/>
          </w:tcPr>
          <w:p w14:paraId="6A97A841" w14:textId="1CFEEC19" w:rsidR="00E33AD6" w:rsidRPr="00D55FA1" w:rsidRDefault="00CD7C25" w:rsidP="00FC2FD0">
            <w:pPr>
              <w:jc w:val="center"/>
            </w:pPr>
            <w:r>
              <w:t>Yes</w:t>
            </w:r>
          </w:p>
        </w:tc>
        <w:tc>
          <w:tcPr>
            <w:tcW w:w="1715" w:type="dxa"/>
            <w:tcBorders>
              <w:top w:val="single" w:sz="4" w:space="0" w:color="auto"/>
              <w:left w:val="single" w:sz="4" w:space="0" w:color="auto"/>
              <w:bottom w:val="single" w:sz="4" w:space="0" w:color="auto"/>
              <w:right w:val="single" w:sz="4" w:space="0" w:color="auto"/>
            </w:tcBorders>
            <w:vAlign w:val="bottom"/>
          </w:tcPr>
          <w:p w14:paraId="571EA931" w14:textId="09BD5B45" w:rsidR="00E33AD6" w:rsidRPr="00D55FA1" w:rsidRDefault="007076E6" w:rsidP="00FC2FD0">
            <w:pPr>
              <w:jc w:val="center"/>
            </w:pPr>
            <w:r>
              <w:t>No Change</w:t>
            </w:r>
          </w:p>
        </w:tc>
      </w:tr>
    </w:tbl>
    <w:p w14:paraId="3DEEC669" w14:textId="77777777" w:rsidR="0072109C" w:rsidRPr="00D55FA1" w:rsidRDefault="0072109C">
      <w:pPr>
        <w:spacing w:after="160" w:line="259" w:lineRule="auto"/>
      </w:pPr>
      <w:r w:rsidRPr="00D55FA1">
        <w:br w:type="page"/>
      </w:r>
    </w:p>
    <w:p w14:paraId="2258D6E9" w14:textId="77777777" w:rsidR="00EB1E42" w:rsidRPr="00D55FA1" w:rsidRDefault="00EB1E42" w:rsidP="002B392E">
      <w:pPr>
        <w:pStyle w:val="Heading2"/>
      </w:pPr>
      <w:bookmarkStart w:id="106" w:name="_Toc212718031"/>
      <w:r w:rsidRPr="00D55FA1">
        <w:lastRenderedPageBreak/>
        <w:t xml:space="preserve">Indicator 1: </w:t>
      </w:r>
      <w:r w:rsidRPr="007266D8">
        <w:t>Graduation</w:t>
      </w:r>
      <w:r w:rsidRPr="00D55FA1">
        <w:t xml:space="preserve"> Rate</w:t>
      </w:r>
      <w:bookmarkEnd w:id="106"/>
    </w:p>
    <w:p w14:paraId="6A712C68" w14:textId="77777777" w:rsidR="00EB1E42" w:rsidRPr="00D55FA1" w:rsidRDefault="004C70F4" w:rsidP="00EB1E42">
      <w:pPr>
        <w:pStyle w:val="Heading3"/>
        <w:spacing w:before="0"/>
      </w:pPr>
      <w:bookmarkStart w:id="107" w:name="_Toc212718032"/>
      <w:r w:rsidRPr="00D55FA1">
        <w:t>Description</w:t>
      </w:r>
      <w:bookmarkEnd w:id="107"/>
      <w:r w:rsidRPr="00D55FA1">
        <w:t xml:space="preserve"> </w:t>
      </w:r>
    </w:p>
    <w:p w14:paraId="152CC543" w14:textId="35ED4809" w:rsidR="00EB1E42" w:rsidRPr="00D55FA1" w:rsidRDefault="00EB1E42" w:rsidP="00A869FA">
      <w:r w:rsidRPr="00D55FA1">
        <w:t xml:space="preserve">Indicator 1 is a performance indicator that measures the </w:t>
      </w:r>
      <w:r w:rsidR="007C4E94" w:rsidRPr="00D55FA1">
        <w:t>percentage</w:t>
      </w:r>
      <w:r w:rsidRPr="00D55FA1">
        <w:t xml:space="preserve"> of youth with individualized education programs (IEPs) </w:t>
      </w:r>
      <w:r w:rsidR="004C70F4" w:rsidRPr="00D55FA1">
        <w:t xml:space="preserve">exiting special education due to graduating </w:t>
      </w:r>
      <w:r w:rsidRPr="00D55FA1">
        <w:t xml:space="preserve">with a regular </w:t>
      </w:r>
      <w:r w:rsidR="004C70F4" w:rsidRPr="00D55FA1">
        <w:t xml:space="preserve">high school </w:t>
      </w:r>
      <w:r w:rsidRPr="00D55FA1">
        <w:t>diploma.</w:t>
      </w:r>
    </w:p>
    <w:p w14:paraId="4FFAB06D" w14:textId="77777777" w:rsidR="00EB1E42" w:rsidRPr="00D55FA1" w:rsidRDefault="00833EFA" w:rsidP="00833EFA">
      <w:pPr>
        <w:pStyle w:val="Heading3"/>
      </w:pPr>
      <w:bookmarkStart w:id="108" w:name="_Toc212718033"/>
      <w:r w:rsidRPr="00D55FA1">
        <w:t>Measurement</w:t>
      </w:r>
      <w:bookmarkEnd w:id="108"/>
    </w:p>
    <w:p w14:paraId="6CFA73FC" w14:textId="6149307A" w:rsidR="00C7167F" w:rsidRPr="00D55FA1" w:rsidRDefault="00EB1E42" w:rsidP="00DF008C">
      <w:pPr>
        <w:spacing w:after="240"/>
      </w:pPr>
      <w:r>
        <w:t xml:space="preserve">Data </w:t>
      </w:r>
      <w:r w:rsidR="3F831243">
        <w:t>is</w:t>
      </w:r>
      <w:r>
        <w:t xml:space="preserve"> reported in lag years using data from CALPADS.</w:t>
      </w:r>
    </w:p>
    <w:p w14:paraId="049F31CB" w14:textId="264875DD" w:rsidR="00BC4F5F" w:rsidRPr="00D55FA1" w:rsidRDefault="00C7167F" w:rsidP="002B392E">
      <w:pPr>
        <w:spacing w:after="240"/>
      </w:pPr>
      <w:r>
        <w:t>Percent = [</w:t>
      </w:r>
      <w:r w:rsidR="00EB1E42">
        <w:t xml:space="preserve">the number of </w:t>
      </w:r>
      <w:proofErr w:type="gramStart"/>
      <w:r w:rsidR="00EB1E42">
        <w:t>youth</w:t>
      </w:r>
      <w:proofErr w:type="gramEnd"/>
      <w:r w:rsidR="00EB1E42">
        <w:t xml:space="preserve"> with IEPs (ages </w:t>
      </w:r>
      <w:r w:rsidR="00201813">
        <w:t>fourteen</w:t>
      </w:r>
      <w:r w:rsidR="004628AF">
        <w:t xml:space="preserve"> to </w:t>
      </w:r>
      <w:r w:rsidR="00201813">
        <w:t>twenty-one</w:t>
      </w:r>
      <w:r w:rsidR="00EB1E42">
        <w:t>) who exited special education due to graduating with a regular high school diploma</w:t>
      </w:r>
      <w:r>
        <w:t>] divided by [</w:t>
      </w:r>
      <w:r w:rsidR="00EB1E42">
        <w:t>the number of all youth with IEPs who left high school (</w:t>
      </w:r>
      <w:r w:rsidR="00765B34">
        <w:t>age</w:t>
      </w:r>
      <w:r w:rsidR="00B40D17">
        <w:t xml:space="preserve"> </w:t>
      </w:r>
      <w:r w:rsidR="00201813">
        <w:t>fourteen</w:t>
      </w:r>
      <w:r w:rsidR="004628AF">
        <w:t xml:space="preserve"> to </w:t>
      </w:r>
      <w:r w:rsidR="00201813">
        <w:t>twenty-one</w:t>
      </w:r>
      <w:r w:rsidR="00EB1E42">
        <w:t>)</w:t>
      </w:r>
      <w:r>
        <w:t>] times 100</w:t>
      </w:r>
      <w:r w:rsidR="00EB1E42">
        <w:t>.</w:t>
      </w:r>
    </w:p>
    <w:p w14:paraId="2D475BB1" w14:textId="77777777" w:rsidR="004C70F4" w:rsidRPr="002B392E" w:rsidRDefault="004C70F4" w:rsidP="002B392E">
      <w:pPr>
        <w:spacing w:after="240"/>
        <w:rPr>
          <w:b/>
          <w:bCs/>
        </w:rPr>
      </w:pPr>
      <w:r w:rsidRPr="002B392E">
        <w:rPr>
          <w:b/>
          <w:bCs/>
        </w:rPr>
        <w:t>Target Met: Yes</w:t>
      </w:r>
    </w:p>
    <w:p w14:paraId="2FE1F0B7" w14:textId="5D81C05E" w:rsidR="00EB1E42" w:rsidRPr="002B392E" w:rsidRDefault="00281ABB" w:rsidP="00281ABB">
      <w:pPr>
        <w:spacing w:after="240"/>
        <w:rPr>
          <w:b/>
          <w:bCs/>
        </w:rPr>
      </w:pPr>
      <w:r>
        <w:rPr>
          <w:b/>
          <w:bCs/>
        </w:rPr>
        <w:t xml:space="preserve">Table 5: </w:t>
      </w:r>
      <w:r w:rsidR="00EB1E42" w:rsidRPr="002B392E">
        <w:rPr>
          <w:b/>
          <w:bCs/>
        </w:rPr>
        <w:t xml:space="preserve">Graduation </w:t>
      </w:r>
      <w:r w:rsidR="004C70F4" w:rsidRPr="002B392E">
        <w:rPr>
          <w:b/>
          <w:bCs/>
        </w:rPr>
        <w:t>Rate Targets and Results for FFYs 20</w:t>
      </w:r>
      <w:r w:rsidR="0066332C" w:rsidRPr="002B392E">
        <w:rPr>
          <w:b/>
          <w:bCs/>
        </w:rPr>
        <w:t>20</w:t>
      </w:r>
      <w:r w:rsidR="0066332C" w:rsidRPr="002B392E">
        <w:rPr>
          <w:rFonts w:cs="Arial"/>
          <w:b/>
          <w:bCs/>
        </w:rPr>
        <w:t>–</w:t>
      </w:r>
      <w:r w:rsidR="004C70F4" w:rsidRPr="002B392E">
        <w:rPr>
          <w:rFonts w:cs="Arial"/>
          <w:b/>
          <w:bCs/>
        </w:rPr>
        <w:t>25</w:t>
      </w:r>
    </w:p>
    <w:tbl>
      <w:tblPr>
        <w:tblStyle w:val="TableGrid10"/>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dicator 1 Targets and Results"/>
      </w:tblPr>
      <w:tblGrid>
        <w:gridCol w:w="2200"/>
        <w:gridCol w:w="1223"/>
        <w:gridCol w:w="1223"/>
        <w:gridCol w:w="1223"/>
        <w:gridCol w:w="1223"/>
        <w:gridCol w:w="1223"/>
        <w:gridCol w:w="1223"/>
      </w:tblGrid>
      <w:tr w:rsidR="0066332C" w:rsidRPr="00D55FA1" w14:paraId="6B3E1494" w14:textId="77777777" w:rsidTr="002B392E">
        <w:trPr>
          <w:cantSplit/>
          <w:trHeight w:val="348"/>
          <w:tblHeader/>
        </w:trPr>
        <w:tc>
          <w:tcPr>
            <w:tcW w:w="2200" w:type="dxa"/>
            <w:vAlign w:val="center"/>
            <w:hideMark/>
          </w:tcPr>
          <w:p w14:paraId="341FFBE2" w14:textId="77777777" w:rsidR="0066332C" w:rsidRPr="00D55FA1" w:rsidRDefault="0066332C" w:rsidP="00961037">
            <w:pPr>
              <w:widowControl w:val="0"/>
              <w:overflowPunct w:val="0"/>
              <w:autoSpaceDE w:val="0"/>
              <w:autoSpaceDN w:val="0"/>
              <w:adjustRightInd w:val="0"/>
              <w:jc w:val="center"/>
              <w:rPr>
                <w:rFonts w:cs="Arial"/>
                <w:b/>
                <w:bCs/>
                <w:szCs w:val="22"/>
              </w:rPr>
            </w:pPr>
            <w:r w:rsidRPr="00D55FA1">
              <w:rPr>
                <w:rFonts w:cs="Arial"/>
                <w:b/>
                <w:bCs/>
              </w:rPr>
              <w:t>Indicator 1</w:t>
            </w:r>
          </w:p>
        </w:tc>
        <w:tc>
          <w:tcPr>
            <w:tcW w:w="1223" w:type="dxa"/>
            <w:vAlign w:val="center"/>
            <w:hideMark/>
          </w:tcPr>
          <w:p w14:paraId="42B71CCD" w14:textId="06FA9575"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2020</w:t>
            </w:r>
          </w:p>
        </w:tc>
        <w:tc>
          <w:tcPr>
            <w:tcW w:w="1223" w:type="dxa"/>
            <w:vAlign w:val="center"/>
            <w:hideMark/>
          </w:tcPr>
          <w:p w14:paraId="65B281B9"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2021</w:t>
            </w:r>
          </w:p>
        </w:tc>
        <w:tc>
          <w:tcPr>
            <w:tcW w:w="1223" w:type="dxa"/>
            <w:vAlign w:val="center"/>
            <w:hideMark/>
          </w:tcPr>
          <w:p w14:paraId="1FBE425F"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2022</w:t>
            </w:r>
          </w:p>
        </w:tc>
        <w:tc>
          <w:tcPr>
            <w:tcW w:w="1223" w:type="dxa"/>
            <w:vAlign w:val="center"/>
            <w:hideMark/>
          </w:tcPr>
          <w:p w14:paraId="73F56A6F"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2023</w:t>
            </w:r>
          </w:p>
        </w:tc>
        <w:tc>
          <w:tcPr>
            <w:tcW w:w="1223" w:type="dxa"/>
            <w:vAlign w:val="center"/>
            <w:hideMark/>
          </w:tcPr>
          <w:p w14:paraId="3C04FD3E"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2024</w:t>
            </w:r>
          </w:p>
        </w:tc>
        <w:tc>
          <w:tcPr>
            <w:tcW w:w="1223" w:type="dxa"/>
            <w:vAlign w:val="center"/>
            <w:hideMark/>
          </w:tcPr>
          <w:p w14:paraId="3C32F1D6"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0CA0E218" w14:textId="77777777" w:rsidTr="002B392E">
        <w:trPr>
          <w:cantSplit/>
          <w:trHeight w:val="348"/>
        </w:trPr>
        <w:tc>
          <w:tcPr>
            <w:tcW w:w="2200" w:type="dxa"/>
            <w:vAlign w:val="center"/>
            <w:hideMark/>
          </w:tcPr>
          <w:p w14:paraId="461A4C5F"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Target</w:t>
            </w:r>
          </w:p>
        </w:tc>
        <w:tc>
          <w:tcPr>
            <w:tcW w:w="1223" w:type="dxa"/>
            <w:vAlign w:val="center"/>
            <w:hideMark/>
          </w:tcPr>
          <w:p w14:paraId="0AF0AFD7"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75%</w:t>
            </w:r>
          </w:p>
        </w:tc>
        <w:tc>
          <w:tcPr>
            <w:tcW w:w="1223" w:type="dxa"/>
            <w:vAlign w:val="center"/>
            <w:hideMark/>
          </w:tcPr>
          <w:p w14:paraId="7733D201"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75.5%</w:t>
            </w:r>
          </w:p>
        </w:tc>
        <w:tc>
          <w:tcPr>
            <w:tcW w:w="1223" w:type="dxa"/>
            <w:vAlign w:val="center"/>
            <w:hideMark/>
          </w:tcPr>
          <w:p w14:paraId="4BD979E1"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76%</w:t>
            </w:r>
          </w:p>
        </w:tc>
        <w:tc>
          <w:tcPr>
            <w:tcW w:w="1223" w:type="dxa"/>
            <w:vAlign w:val="center"/>
            <w:hideMark/>
          </w:tcPr>
          <w:p w14:paraId="4CC1D0C0"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77%</w:t>
            </w:r>
          </w:p>
        </w:tc>
        <w:tc>
          <w:tcPr>
            <w:tcW w:w="1223" w:type="dxa"/>
            <w:vAlign w:val="center"/>
            <w:hideMark/>
          </w:tcPr>
          <w:p w14:paraId="035F0F82"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78%</w:t>
            </w:r>
          </w:p>
        </w:tc>
        <w:tc>
          <w:tcPr>
            <w:tcW w:w="1223" w:type="dxa"/>
            <w:vAlign w:val="center"/>
            <w:hideMark/>
          </w:tcPr>
          <w:p w14:paraId="7760324C"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79%</w:t>
            </w:r>
          </w:p>
        </w:tc>
      </w:tr>
      <w:tr w:rsidR="0066332C" w:rsidRPr="00D55FA1" w14:paraId="589DD55F" w14:textId="77777777" w:rsidTr="002B392E">
        <w:trPr>
          <w:cantSplit/>
          <w:trHeight w:val="348"/>
        </w:trPr>
        <w:tc>
          <w:tcPr>
            <w:tcW w:w="2200" w:type="dxa"/>
            <w:vAlign w:val="center"/>
          </w:tcPr>
          <w:p w14:paraId="1C181D25"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Result</w:t>
            </w:r>
          </w:p>
        </w:tc>
        <w:tc>
          <w:tcPr>
            <w:tcW w:w="1223" w:type="dxa"/>
            <w:vAlign w:val="center"/>
          </w:tcPr>
          <w:p w14:paraId="5D4DAFAA"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77.02%</w:t>
            </w:r>
          </w:p>
        </w:tc>
        <w:tc>
          <w:tcPr>
            <w:tcW w:w="1223" w:type="dxa"/>
            <w:vAlign w:val="center"/>
          </w:tcPr>
          <w:p w14:paraId="53128261" w14:textId="2FAC407C"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77.36%</w:t>
            </w:r>
          </w:p>
        </w:tc>
        <w:tc>
          <w:tcPr>
            <w:tcW w:w="1223" w:type="dxa"/>
            <w:vAlign w:val="center"/>
          </w:tcPr>
          <w:p w14:paraId="62486C05" w14:textId="3B949D04" w:rsidR="0066332C" w:rsidRPr="00D55FA1" w:rsidRDefault="00961037" w:rsidP="00961037">
            <w:pPr>
              <w:widowControl w:val="0"/>
              <w:overflowPunct w:val="0"/>
              <w:autoSpaceDE w:val="0"/>
              <w:autoSpaceDN w:val="0"/>
              <w:adjustRightInd w:val="0"/>
              <w:jc w:val="center"/>
              <w:rPr>
                <w:rFonts w:cs="Arial"/>
                <w:bCs/>
              </w:rPr>
            </w:pPr>
            <w:r w:rsidRPr="00D55FA1">
              <w:rPr>
                <w:rFonts w:cs="Arial"/>
                <w:bCs/>
              </w:rPr>
              <w:t>82.98%</w:t>
            </w:r>
          </w:p>
        </w:tc>
        <w:tc>
          <w:tcPr>
            <w:tcW w:w="1223" w:type="dxa"/>
            <w:vAlign w:val="center"/>
          </w:tcPr>
          <w:p w14:paraId="4101652C" w14:textId="5A5983E5" w:rsidR="0066332C" w:rsidRPr="00D55FA1" w:rsidRDefault="00EC27AA" w:rsidP="00961037">
            <w:pPr>
              <w:widowControl w:val="0"/>
              <w:overflowPunct w:val="0"/>
              <w:autoSpaceDE w:val="0"/>
              <w:autoSpaceDN w:val="0"/>
              <w:adjustRightInd w:val="0"/>
              <w:jc w:val="center"/>
              <w:rPr>
                <w:rFonts w:cs="Arial"/>
                <w:bCs/>
              </w:rPr>
            </w:pPr>
            <w:r>
              <w:rPr>
                <w:rFonts w:cs="Arial"/>
                <w:bCs/>
              </w:rPr>
              <w:t>79.26%</w:t>
            </w:r>
          </w:p>
        </w:tc>
        <w:tc>
          <w:tcPr>
            <w:tcW w:w="1223" w:type="dxa"/>
            <w:vAlign w:val="center"/>
          </w:tcPr>
          <w:p w14:paraId="4B99056E" w14:textId="626AA60E" w:rsidR="0066332C" w:rsidRPr="00D55FA1" w:rsidRDefault="008D7EB9" w:rsidP="00961037">
            <w:pPr>
              <w:widowControl w:val="0"/>
              <w:overflowPunct w:val="0"/>
              <w:autoSpaceDE w:val="0"/>
              <w:autoSpaceDN w:val="0"/>
              <w:adjustRightInd w:val="0"/>
              <w:jc w:val="center"/>
              <w:rPr>
                <w:rFonts w:cs="Arial"/>
                <w:bCs/>
              </w:rPr>
            </w:pPr>
            <w:r>
              <w:rPr>
                <w:rFonts w:cs="Arial"/>
                <w:bCs/>
              </w:rPr>
              <w:t>76</w:t>
            </w:r>
            <w:r w:rsidR="00EB53C7">
              <w:rPr>
                <w:rFonts w:cs="Arial"/>
                <w:bCs/>
              </w:rPr>
              <w:t>.06%</w:t>
            </w:r>
          </w:p>
        </w:tc>
        <w:tc>
          <w:tcPr>
            <w:tcW w:w="1223" w:type="dxa"/>
            <w:vAlign w:val="center"/>
          </w:tcPr>
          <w:p w14:paraId="1299C43A" w14:textId="03B217C4" w:rsidR="0066332C" w:rsidRPr="00D55FA1" w:rsidRDefault="00DF008C" w:rsidP="00961037">
            <w:pPr>
              <w:widowControl w:val="0"/>
              <w:overflowPunct w:val="0"/>
              <w:autoSpaceDE w:val="0"/>
              <w:autoSpaceDN w:val="0"/>
              <w:adjustRightInd w:val="0"/>
              <w:jc w:val="center"/>
              <w:rPr>
                <w:rFonts w:cs="Arial"/>
                <w:bCs/>
              </w:rPr>
            </w:pPr>
            <w:r w:rsidRPr="00D55FA1">
              <w:rPr>
                <w:rFonts w:cs="Arial"/>
                <w:bCs/>
              </w:rPr>
              <w:t>-</w:t>
            </w:r>
          </w:p>
        </w:tc>
      </w:tr>
      <w:tr w:rsidR="0066332C" w:rsidRPr="00D55FA1" w14:paraId="179F90B7" w14:textId="77777777" w:rsidTr="002B392E">
        <w:trPr>
          <w:cantSplit/>
          <w:trHeight w:val="348"/>
        </w:trPr>
        <w:tc>
          <w:tcPr>
            <w:tcW w:w="2200" w:type="dxa"/>
            <w:vAlign w:val="center"/>
          </w:tcPr>
          <w:p w14:paraId="3648B025"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Target Met</w:t>
            </w:r>
          </w:p>
        </w:tc>
        <w:tc>
          <w:tcPr>
            <w:tcW w:w="1223" w:type="dxa"/>
            <w:vAlign w:val="center"/>
          </w:tcPr>
          <w:p w14:paraId="0746FD2F"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Yes</w:t>
            </w:r>
          </w:p>
        </w:tc>
        <w:tc>
          <w:tcPr>
            <w:tcW w:w="1223" w:type="dxa"/>
            <w:vAlign w:val="center"/>
          </w:tcPr>
          <w:p w14:paraId="4DDBEF00" w14:textId="0A450801"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Yes</w:t>
            </w:r>
          </w:p>
        </w:tc>
        <w:tc>
          <w:tcPr>
            <w:tcW w:w="1223" w:type="dxa"/>
            <w:vAlign w:val="center"/>
          </w:tcPr>
          <w:p w14:paraId="3461D779" w14:textId="3F297288" w:rsidR="0066332C" w:rsidRPr="00D55FA1" w:rsidRDefault="00961037" w:rsidP="00961037">
            <w:pPr>
              <w:widowControl w:val="0"/>
              <w:overflowPunct w:val="0"/>
              <w:autoSpaceDE w:val="0"/>
              <w:autoSpaceDN w:val="0"/>
              <w:adjustRightInd w:val="0"/>
              <w:jc w:val="center"/>
              <w:rPr>
                <w:rFonts w:cs="Arial"/>
                <w:bCs/>
              </w:rPr>
            </w:pPr>
            <w:r w:rsidRPr="00D55FA1">
              <w:rPr>
                <w:rFonts w:cs="Arial"/>
                <w:bCs/>
              </w:rPr>
              <w:t>Yes</w:t>
            </w:r>
          </w:p>
        </w:tc>
        <w:tc>
          <w:tcPr>
            <w:tcW w:w="1223" w:type="dxa"/>
            <w:vAlign w:val="center"/>
          </w:tcPr>
          <w:p w14:paraId="3CF2D8B6" w14:textId="1E87FCF6" w:rsidR="0066332C" w:rsidRPr="00D55FA1" w:rsidRDefault="00EC27AA" w:rsidP="00961037">
            <w:pPr>
              <w:widowControl w:val="0"/>
              <w:overflowPunct w:val="0"/>
              <w:autoSpaceDE w:val="0"/>
              <w:autoSpaceDN w:val="0"/>
              <w:adjustRightInd w:val="0"/>
              <w:jc w:val="center"/>
              <w:rPr>
                <w:rFonts w:cs="Arial"/>
                <w:bCs/>
              </w:rPr>
            </w:pPr>
            <w:r>
              <w:rPr>
                <w:rFonts w:cs="Arial"/>
                <w:bCs/>
              </w:rPr>
              <w:t>Yes</w:t>
            </w:r>
          </w:p>
        </w:tc>
        <w:tc>
          <w:tcPr>
            <w:tcW w:w="1223" w:type="dxa"/>
            <w:vAlign w:val="center"/>
          </w:tcPr>
          <w:p w14:paraId="0FB78278" w14:textId="63BF1602" w:rsidR="0066332C" w:rsidRPr="00D55FA1" w:rsidRDefault="00EB53C7" w:rsidP="00961037">
            <w:pPr>
              <w:widowControl w:val="0"/>
              <w:overflowPunct w:val="0"/>
              <w:autoSpaceDE w:val="0"/>
              <w:autoSpaceDN w:val="0"/>
              <w:adjustRightInd w:val="0"/>
              <w:jc w:val="center"/>
              <w:rPr>
                <w:rFonts w:cs="Arial"/>
                <w:bCs/>
              </w:rPr>
            </w:pPr>
            <w:r>
              <w:rPr>
                <w:rFonts w:cs="Arial"/>
                <w:bCs/>
              </w:rPr>
              <w:t>No</w:t>
            </w:r>
          </w:p>
        </w:tc>
        <w:tc>
          <w:tcPr>
            <w:tcW w:w="1223" w:type="dxa"/>
            <w:vAlign w:val="center"/>
          </w:tcPr>
          <w:p w14:paraId="1FC39945" w14:textId="4BEE4582" w:rsidR="0066332C" w:rsidRPr="00D55FA1" w:rsidRDefault="00DF008C" w:rsidP="00961037">
            <w:pPr>
              <w:widowControl w:val="0"/>
              <w:overflowPunct w:val="0"/>
              <w:autoSpaceDE w:val="0"/>
              <w:autoSpaceDN w:val="0"/>
              <w:adjustRightInd w:val="0"/>
              <w:jc w:val="center"/>
              <w:rPr>
                <w:rFonts w:cs="Arial"/>
                <w:bCs/>
              </w:rPr>
            </w:pPr>
            <w:r w:rsidRPr="00D55FA1">
              <w:rPr>
                <w:rFonts w:cs="Arial"/>
                <w:bCs/>
              </w:rPr>
              <w:t>-</w:t>
            </w:r>
          </w:p>
        </w:tc>
      </w:tr>
    </w:tbl>
    <w:p w14:paraId="62EBF3C5" w14:textId="77777777" w:rsidR="00EB1E42" w:rsidRPr="00D55FA1" w:rsidRDefault="00EB1E42" w:rsidP="00EB1E42">
      <w:pPr>
        <w:spacing w:before="840"/>
      </w:pPr>
      <w:r w:rsidRPr="00D55FA1">
        <w:br w:type="page"/>
      </w:r>
    </w:p>
    <w:p w14:paraId="5B938E8B" w14:textId="77777777" w:rsidR="00EB1E42" w:rsidRPr="00D55FA1" w:rsidRDefault="00EB1E42" w:rsidP="00EB1E42">
      <w:pPr>
        <w:pStyle w:val="Heading2"/>
        <w:tabs>
          <w:tab w:val="center" w:pos="4680"/>
          <w:tab w:val="left" w:pos="8570"/>
        </w:tabs>
        <w:spacing w:before="1440"/>
        <w:jc w:val="center"/>
      </w:pPr>
      <w:bookmarkStart w:id="109" w:name="_Toc212718034"/>
      <w:r w:rsidRPr="00D55FA1">
        <w:lastRenderedPageBreak/>
        <w:t>Indicator 2: Dropout Rate</w:t>
      </w:r>
      <w:bookmarkEnd w:id="109"/>
    </w:p>
    <w:p w14:paraId="02F99ED9" w14:textId="77777777" w:rsidR="00EB1E42" w:rsidRPr="00D55FA1" w:rsidRDefault="00833EFA" w:rsidP="00EB1E42">
      <w:pPr>
        <w:pStyle w:val="Heading3"/>
        <w:spacing w:before="0"/>
      </w:pPr>
      <w:bookmarkStart w:id="110" w:name="_Toc212718035"/>
      <w:r w:rsidRPr="00D55FA1">
        <w:t>Description</w:t>
      </w:r>
      <w:bookmarkEnd w:id="110"/>
    </w:p>
    <w:p w14:paraId="1F255083" w14:textId="2AF5653E" w:rsidR="00EB1E42" w:rsidRPr="00D55FA1" w:rsidRDefault="00EB1E42" w:rsidP="00A869FA">
      <w:pPr>
        <w:spacing w:after="240"/>
        <w:rPr>
          <w:rFonts w:cs="Arial"/>
        </w:rPr>
      </w:pPr>
      <w:r w:rsidRPr="00D55FA1">
        <w:rPr>
          <w:rFonts w:cs="Arial"/>
        </w:rPr>
        <w:t xml:space="preserve">Indicator 2 is a performance indicator that measures the </w:t>
      </w:r>
      <w:r w:rsidR="67FC43CE" w:rsidRPr="00D55FA1">
        <w:rPr>
          <w:rFonts w:cs="Arial"/>
        </w:rPr>
        <w:t>percentage</w:t>
      </w:r>
      <w:r w:rsidRPr="00D55FA1">
        <w:rPr>
          <w:rFonts w:cs="Arial"/>
        </w:rPr>
        <w:t xml:space="preserve"> of students with </w:t>
      </w:r>
      <w:r w:rsidR="00833EFA" w:rsidRPr="00D55FA1">
        <w:rPr>
          <w:rFonts w:cs="Arial"/>
        </w:rPr>
        <w:t>IEPs who exited special education due to</w:t>
      </w:r>
      <w:r w:rsidRPr="00D55FA1">
        <w:rPr>
          <w:rFonts w:cs="Arial"/>
        </w:rPr>
        <w:t xml:space="preserve"> dropping out. </w:t>
      </w:r>
    </w:p>
    <w:p w14:paraId="79854120" w14:textId="77777777" w:rsidR="00833EFA" w:rsidRPr="00D55FA1" w:rsidRDefault="00833EFA" w:rsidP="00833EFA">
      <w:pPr>
        <w:pStyle w:val="Heading3"/>
      </w:pPr>
      <w:bookmarkStart w:id="111" w:name="_Toc212718036"/>
      <w:r w:rsidRPr="00D55FA1">
        <w:t>Measurement</w:t>
      </w:r>
      <w:bookmarkEnd w:id="111"/>
    </w:p>
    <w:p w14:paraId="4BF68F2E" w14:textId="77777777" w:rsidR="00C7167F" w:rsidRPr="00D55FA1" w:rsidRDefault="00EB1E42" w:rsidP="00EB1E42">
      <w:pPr>
        <w:spacing w:after="240"/>
        <w:rPr>
          <w:rFonts w:cs="Arial"/>
        </w:rPr>
      </w:pPr>
      <w:r w:rsidRPr="00D55FA1">
        <w:t xml:space="preserve">Data </w:t>
      </w:r>
      <w:proofErr w:type="gramStart"/>
      <w:r w:rsidRPr="00D55FA1">
        <w:t>are</w:t>
      </w:r>
      <w:proofErr w:type="gramEnd"/>
      <w:r w:rsidRPr="00D55FA1">
        <w:t xml:space="preserve"> reported in lag years using data from CALPADS</w:t>
      </w:r>
      <w:r w:rsidRPr="00D55FA1">
        <w:rPr>
          <w:rFonts w:cs="Arial"/>
        </w:rPr>
        <w:t xml:space="preserve">. </w:t>
      </w:r>
    </w:p>
    <w:p w14:paraId="09F5A1C8" w14:textId="68BD135D" w:rsidR="00EB1E42" w:rsidRPr="00D55FA1" w:rsidRDefault="00C7167F" w:rsidP="00EB1E42">
      <w:pPr>
        <w:spacing w:after="240"/>
        <w:rPr>
          <w:rFonts w:cs="Arial"/>
        </w:rPr>
      </w:pPr>
      <w:r w:rsidRPr="00D55FA1">
        <w:rPr>
          <w:rFonts w:cs="Arial"/>
        </w:rPr>
        <w:t>Percent = [</w:t>
      </w:r>
      <w:r w:rsidR="00EB1E42" w:rsidRPr="00D55FA1">
        <w:rPr>
          <w:rFonts w:cs="Arial"/>
        </w:rPr>
        <w:t xml:space="preserve">the number of </w:t>
      </w:r>
      <w:proofErr w:type="gramStart"/>
      <w:r w:rsidR="00EB1E42" w:rsidRPr="00D55FA1">
        <w:rPr>
          <w:rFonts w:cs="Arial"/>
        </w:rPr>
        <w:t>youth</w:t>
      </w:r>
      <w:proofErr w:type="gramEnd"/>
      <w:r w:rsidR="00EB1E42" w:rsidRPr="00D55FA1">
        <w:rPr>
          <w:rFonts w:cs="Arial"/>
        </w:rPr>
        <w:t xml:space="preserve"> with IEPs (ages </w:t>
      </w:r>
      <w:r w:rsidR="00285100">
        <w:rPr>
          <w:rFonts w:cs="Arial"/>
        </w:rPr>
        <w:t>fourteen</w:t>
      </w:r>
      <w:r w:rsidR="008B12A7">
        <w:rPr>
          <w:rFonts w:cs="Arial"/>
        </w:rPr>
        <w:t xml:space="preserve"> to </w:t>
      </w:r>
      <w:r w:rsidR="00285100">
        <w:rPr>
          <w:rFonts w:cs="Arial"/>
        </w:rPr>
        <w:t>twenty-one</w:t>
      </w:r>
      <w:r w:rsidR="00EB1E42" w:rsidRPr="00D55FA1">
        <w:rPr>
          <w:rFonts w:cs="Arial"/>
        </w:rPr>
        <w:t>) who exited special education due to dropping out</w:t>
      </w:r>
      <w:r w:rsidRPr="00D55FA1">
        <w:rPr>
          <w:rFonts w:cs="Arial"/>
        </w:rPr>
        <w:t>] divided by [</w:t>
      </w:r>
      <w:r w:rsidR="00EB1E42" w:rsidRPr="00D55FA1">
        <w:rPr>
          <w:rFonts w:cs="Arial"/>
        </w:rPr>
        <w:t xml:space="preserve">the number of all youth with IEPs who left high school (ages </w:t>
      </w:r>
      <w:r w:rsidR="00285100">
        <w:rPr>
          <w:rFonts w:cs="Arial"/>
        </w:rPr>
        <w:t>fourteen</w:t>
      </w:r>
      <w:r w:rsidR="008B12A7">
        <w:rPr>
          <w:rFonts w:cs="Arial"/>
        </w:rPr>
        <w:t xml:space="preserve"> to </w:t>
      </w:r>
      <w:r w:rsidR="00285100">
        <w:rPr>
          <w:rFonts w:cs="Arial"/>
        </w:rPr>
        <w:t>twenty-one</w:t>
      </w:r>
      <w:r w:rsidR="00EB1E42" w:rsidRPr="00D55FA1">
        <w:rPr>
          <w:rFonts w:cs="Arial"/>
        </w:rPr>
        <w:t>) in the denominator</w:t>
      </w:r>
      <w:r w:rsidRPr="00D55FA1">
        <w:rPr>
          <w:rFonts w:cs="Arial"/>
        </w:rPr>
        <w:t>] times 100</w:t>
      </w:r>
      <w:r w:rsidR="00EB1E42" w:rsidRPr="00D55FA1">
        <w:rPr>
          <w:rFonts w:cs="Arial"/>
        </w:rPr>
        <w:t xml:space="preserve">. </w:t>
      </w:r>
    </w:p>
    <w:p w14:paraId="7487F9EA" w14:textId="783F6E06" w:rsidR="00EB1E42" w:rsidRPr="00201813" w:rsidRDefault="00833EFA" w:rsidP="00201813">
      <w:pPr>
        <w:spacing w:after="240"/>
        <w:rPr>
          <w:b/>
          <w:bCs/>
        </w:rPr>
      </w:pPr>
      <w:r w:rsidRPr="00201813">
        <w:rPr>
          <w:b/>
          <w:bCs/>
        </w:rPr>
        <w:t xml:space="preserve">Target Met: </w:t>
      </w:r>
      <w:r w:rsidR="00EC27AA" w:rsidRPr="00201813">
        <w:rPr>
          <w:b/>
          <w:bCs/>
        </w:rPr>
        <w:t>Yes</w:t>
      </w:r>
    </w:p>
    <w:p w14:paraId="388B608B" w14:textId="2BC9262A" w:rsidR="00447754" w:rsidRPr="00201813" w:rsidRDefault="00201813" w:rsidP="00201813">
      <w:pPr>
        <w:spacing w:after="240"/>
        <w:rPr>
          <w:b/>
          <w:bCs/>
        </w:rPr>
      </w:pPr>
      <w:r w:rsidRPr="00201813">
        <w:rPr>
          <w:b/>
          <w:bCs/>
        </w:rPr>
        <w:t xml:space="preserve">Table 6: </w:t>
      </w:r>
      <w:r w:rsidR="00447754" w:rsidRPr="00201813">
        <w:rPr>
          <w:b/>
          <w:bCs/>
        </w:rPr>
        <w:t xml:space="preserve">Dropout Rate Targets and Results for FFYs </w:t>
      </w:r>
      <w:r w:rsidR="0066332C" w:rsidRPr="00201813">
        <w:rPr>
          <w:b/>
          <w:bCs/>
        </w:rPr>
        <w:t>2020</w:t>
      </w:r>
      <w:r w:rsidR="0066332C" w:rsidRPr="00201813">
        <w:rPr>
          <w:rFonts w:cs="Arial"/>
          <w:b/>
          <w:bCs/>
        </w:rPr>
        <w:t>–25</w:t>
      </w:r>
    </w:p>
    <w:tbl>
      <w:tblPr>
        <w:tblStyle w:val="TableGrid1"/>
        <w:tblW w:w="9402" w:type="dxa"/>
        <w:tblLook w:val="04A0" w:firstRow="1" w:lastRow="0" w:firstColumn="1" w:lastColumn="0" w:noHBand="0" w:noVBand="1"/>
        <w:tblDescription w:val="Indicator 2 Targets and Results"/>
      </w:tblPr>
      <w:tblGrid>
        <w:gridCol w:w="2166"/>
        <w:gridCol w:w="1206"/>
        <w:gridCol w:w="1206"/>
        <w:gridCol w:w="1206"/>
        <w:gridCol w:w="1206"/>
        <w:gridCol w:w="1206"/>
        <w:gridCol w:w="1206"/>
      </w:tblGrid>
      <w:tr w:rsidR="0066332C" w:rsidRPr="00D55FA1" w14:paraId="4A19F62A" w14:textId="77777777" w:rsidTr="00961037">
        <w:trPr>
          <w:cantSplit/>
          <w:trHeight w:val="367"/>
          <w:tblHeader/>
        </w:trPr>
        <w:tc>
          <w:tcPr>
            <w:tcW w:w="2166" w:type="dxa"/>
            <w:tcBorders>
              <w:top w:val="single" w:sz="4" w:space="0" w:color="auto"/>
              <w:left w:val="single" w:sz="4" w:space="0" w:color="auto"/>
              <w:bottom w:val="single" w:sz="4" w:space="0" w:color="auto"/>
              <w:right w:val="single" w:sz="4" w:space="0" w:color="auto"/>
            </w:tcBorders>
            <w:vAlign w:val="center"/>
            <w:hideMark/>
          </w:tcPr>
          <w:p w14:paraId="2E7105E9" w14:textId="77777777" w:rsidR="0066332C" w:rsidRPr="00D55FA1" w:rsidRDefault="0066332C" w:rsidP="00961037">
            <w:pPr>
              <w:widowControl w:val="0"/>
              <w:overflowPunct w:val="0"/>
              <w:autoSpaceDE w:val="0"/>
              <w:autoSpaceDN w:val="0"/>
              <w:adjustRightInd w:val="0"/>
              <w:jc w:val="center"/>
              <w:rPr>
                <w:rFonts w:cs="Arial"/>
                <w:b/>
                <w:bCs/>
                <w:szCs w:val="22"/>
              </w:rPr>
            </w:pPr>
            <w:r w:rsidRPr="00D55FA1">
              <w:rPr>
                <w:rFonts w:cs="Arial"/>
                <w:b/>
                <w:bCs/>
              </w:rPr>
              <w:t>Indicator 2</w:t>
            </w:r>
          </w:p>
        </w:tc>
        <w:tc>
          <w:tcPr>
            <w:tcW w:w="1206" w:type="dxa"/>
            <w:tcBorders>
              <w:top w:val="single" w:sz="4" w:space="0" w:color="auto"/>
              <w:left w:val="single" w:sz="4" w:space="0" w:color="auto"/>
              <w:bottom w:val="single" w:sz="4" w:space="0" w:color="auto"/>
              <w:right w:val="single" w:sz="4" w:space="0" w:color="auto"/>
            </w:tcBorders>
            <w:vAlign w:val="center"/>
            <w:hideMark/>
          </w:tcPr>
          <w:p w14:paraId="77F781D2"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2020</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897C7B7"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2021</w:t>
            </w:r>
          </w:p>
        </w:tc>
        <w:tc>
          <w:tcPr>
            <w:tcW w:w="1206" w:type="dxa"/>
            <w:tcBorders>
              <w:top w:val="single" w:sz="4" w:space="0" w:color="auto"/>
              <w:left w:val="single" w:sz="4" w:space="0" w:color="auto"/>
              <w:bottom w:val="single" w:sz="4" w:space="0" w:color="auto"/>
              <w:right w:val="single" w:sz="4" w:space="0" w:color="auto"/>
            </w:tcBorders>
            <w:vAlign w:val="center"/>
            <w:hideMark/>
          </w:tcPr>
          <w:p w14:paraId="78066D58"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2022</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C623E38"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2023</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6C646BA"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2024</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9F96DD5"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68401C57" w14:textId="77777777" w:rsidTr="00961037">
        <w:trPr>
          <w:cantSplit/>
          <w:trHeight w:val="367"/>
        </w:trPr>
        <w:tc>
          <w:tcPr>
            <w:tcW w:w="2166" w:type="dxa"/>
            <w:tcBorders>
              <w:top w:val="single" w:sz="4" w:space="0" w:color="auto"/>
              <w:left w:val="single" w:sz="4" w:space="0" w:color="auto"/>
              <w:bottom w:val="single" w:sz="4" w:space="0" w:color="auto"/>
              <w:right w:val="single" w:sz="4" w:space="0" w:color="auto"/>
            </w:tcBorders>
            <w:vAlign w:val="center"/>
            <w:hideMark/>
          </w:tcPr>
          <w:p w14:paraId="759A125A"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Target</w:t>
            </w:r>
          </w:p>
        </w:tc>
        <w:tc>
          <w:tcPr>
            <w:tcW w:w="1206" w:type="dxa"/>
            <w:tcBorders>
              <w:top w:val="single" w:sz="4" w:space="0" w:color="auto"/>
              <w:left w:val="single" w:sz="4" w:space="0" w:color="auto"/>
              <w:bottom w:val="single" w:sz="4" w:space="0" w:color="auto"/>
              <w:right w:val="single" w:sz="4" w:space="0" w:color="auto"/>
            </w:tcBorders>
            <w:vAlign w:val="center"/>
            <w:hideMark/>
          </w:tcPr>
          <w:p w14:paraId="6C4828D0"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11%</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34B6B21"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10%</w:t>
            </w:r>
          </w:p>
        </w:tc>
        <w:tc>
          <w:tcPr>
            <w:tcW w:w="1206" w:type="dxa"/>
            <w:tcBorders>
              <w:top w:val="single" w:sz="4" w:space="0" w:color="auto"/>
              <w:left w:val="single" w:sz="4" w:space="0" w:color="auto"/>
              <w:bottom w:val="single" w:sz="4" w:space="0" w:color="auto"/>
              <w:right w:val="single" w:sz="4" w:space="0" w:color="auto"/>
            </w:tcBorders>
            <w:vAlign w:val="center"/>
            <w:hideMark/>
          </w:tcPr>
          <w:p w14:paraId="06B8EE5E"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9%</w:t>
            </w:r>
          </w:p>
        </w:tc>
        <w:tc>
          <w:tcPr>
            <w:tcW w:w="1206" w:type="dxa"/>
            <w:tcBorders>
              <w:top w:val="single" w:sz="4" w:space="0" w:color="auto"/>
              <w:left w:val="single" w:sz="4" w:space="0" w:color="auto"/>
              <w:bottom w:val="single" w:sz="4" w:space="0" w:color="auto"/>
              <w:right w:val="single" w:sz="4" w:space="0" w:color="auto"/>
            </w:tcBorders>
            <w:vAlign w:val="center"/>
            <w:hideMark/>
          </w:tcPr>
          <w:p w14:paraId="5579621B"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8%</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A22563F"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7%</w:t>
            </w:r>
          </w:p>
        </w:tc>
        <w:tc>
          <w:tcPr>
            <w:tcW w:w="1206" w:type="dxa"/>
            <w:tcBorders>
              <w:top w:val="single" w:sz="4" w:space="0" w:color="auto"/>
              <w:left w:val="single" w:sz="4" w:space="0" w:color="auto"/>
              <w:bottom w:val="single" w:sz="4" w:space="0" w:color="auto"/>
              <w:right w:val="single" w:sz="4" w:space="0" w:color="auto"/>
            </w:tcBorders>
            <w:vAlign w:val="center"/>
            <w:hideMark/>
          </w:tcPr>
          <w:p w14:paraId="31E91FA6"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6%</w:t>
            </w:r>
          </w:p>
        </w:tc>
      </w:tr>
      <w:tr w:rsidR="0066332C" w:rsidRPr="00D55FA1" w14:paraId="25A94911" w14:textId="77777777" w:rsidTr="00961037">
        <w:trPr>
          <w:cantSplit/>
          <w:trHeight w:val="367"/>
        </w:trPr>
        <w:tc>
          <w:tcPr>
            <w:tcW w:w="2166" w:type="dxa"/>
            <w:tcBorders>
              <w:top w:val="single" w:sz="4" w:space="0" w:color="auto"/>
              <w:left w:val="single" w:sz="4" w:space="0" w:color="auto"/>
              <w:bottom w:val="single" w:sz="4" w:space="0" w:color="auto"/>
              <w:right w:val="single" w:sz="4" w:space="0" w:color="auto"/>
            </w:tcBorders>
            <w:vAlign w:val="center"/>
          </w:tcPr>
          <w:p w14:paraId="26F75261"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Result</w:t>
            </w:r>
          </w:p>
        </w:tc>
        <w:tc>
          <w:tcPr>
            <w:tcW w:w="1206" w:type="dxa"/>
            <w:tcBorders>
              <w:top w:val="single" w:sz="4" w:space="0" w:color="auto"/>
              <w:left w:val="single" w:sz="4" w:space="0" w:color="auto"/>
              <w:bottom w:val="single" w:sz="4" w:space="0" w:color="auto"/>
              <w:right w:val="single" w:sz="4" w:space="0" w:color="auto"/>
            </w:tcBorders>
            <w:vAlign w:val="center"/>
          </w:tcPr>
          <w:p w14:paraId="1478B3A3"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10.38%</w:t>
            </w:r>
          </w:p>
        </w:tc>
        <w:tc>
          <w:tcPr>
            <w:tcW w:w="1206" w:type="dxa"/>
            <w:tcBorders>
              <w:top w:val="single" w:sz="4" w:space="0" w:color="auto"/>
              <w:left w:val="single" w:sz="4" w:space="0" w:color="auto"/>
              <w:bottom w:val="single" w:sz="4" w:space="0" w:color="auto"/>
              <w:right w:val="single" w:sz="4" w:space="0" w:color="auto"/>
            </w:tcBorders>
            <w:vAlign w:val="center"/>
          </w:tcPr>
          <w:p w14:paraId="6D98A12B" w14:textId="5933D904"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12.87%</w:t>
            </w:r>
          </w:p>
        </w:tc>
        <w:tc>
          <w:tcPr>
            <w:tcW w:w="1206" w:type="dxa"/>
            <w:tcBorders>
              <w:top w:val="single" w:sz="4" w:space="0" w:color="auto"/>
              <w:left w:val="single" w:sz="4" w:space="0" w:color="auto"/>
              <w:bottom w:val="single" w:sz="4" w:space="0" w:color="auto"/>
              <w:right w:val="single" w:sz="4" w:space="0" w:color="auto"/>
            </w:tcBorders>
            <w:vAlign w:val="center"/>
          </w:tcPr>
          <w:p w14:paraId="2946DB82" w14:textId="1C7A16D1" w:rsidR="0066332C" w:rsidRPr="00D55FA1" w:rsidRDefault="00961037" w:rsidP="00961037">
            <w:pPr>
              <w:widowControl w:val="0"/>
              <w:overflowPunct w:val="0"/>
              <w:autoSpaceDE w:val="0"/>
              <w:autoSpaceDN w:val="0"/>
              <w:adjustRightInd w:val="0"/>
              <w:jc w:val="center"/>
              <w:rPr>
                <w:rFonts w:cs="Arial"/>
                <w:bCs/>
              </w:rPr>
            </w:pPr>
            <w:r w:rsidRPr="00D55FA1">
              <w:rPr>
                <w:rFonts w:cs="Arial"/>
                <w:bCs/>
              </w:rPr>
              <w:t>10.04%</w:t>
            </w:r>
          </w:p>
        </w:tc>
        <w:tc>
          <w:tcPr>
            <w:tcW w:w="1206" w:type="dxa"/>
            <w:tcBorders>
              <w:top w:val="single" w:sz="4" w:space="0" w:color="auto"/>
              <w:left w:val="single" w:sz="4" w:space="0" w:color="auto"/>
              <w:bottom w:val="single" w:sz="4" w:space="0" w:color="auto"/>
              <w:right w:val="single" w:sz="4" w:space="0" w:color="auto"/>
            </w:tcBorders>
            <w:vAlign w:val="center"/>
          </w:tcPr>
          <w:p w14:paraId="5997CC1D" w14:textId="6C1D180C" w:rsidR="0066332C" w:rsidRPr="00D55FA1" w:rsidRDefault="00EC27AA" w:rsidP="00961037">
            <w:pPr>
              <w:widowControl w:val="0"/>
              <w:overflowPunct w:val="0"/>
              <w:autoSpaceDE w:val="0"/>
              <w:autoSpaceDN w:val="0"/>
              <w:adjustRightInd w:val="0"/>
              <w:jc w:val="center"/>
              <w:rPr>
                <w:rFonts w:cs="Arial"/>
                <w:bCs/>
              </w:rPr>
            </w:pPr>
            <w:r>
              <w:rPr>
                <w:rFonts w:cs="Arial"/>
                <w:bCs/>
              </w:rPr>
              <w:t>7.60%</w:t>
            </w:r>
          </w:p>
        </w:tc>
        <w:tc>
          <w:tcPr>
            <w:tcW w:w="1206" w:type="dxa"/>
            <w:tcBorders>
              <w:top w:val="single" w:sz="4" w:space="0" w:color="auto"/>
              <w:left w:val="single" w:sz="4" w:space="0" w:color="auto"/>
              <w:bottom w:val="single" w:sz="4" w:space="0" w:color="auto"/>
              <w:right w:val="single" w:sz="4" w:space="0" w:color="auto"/>
            </w:tcBorders>
            <w:vAlign w:val="center"/>
          </w:tcPr>
          <w:p w14:paraId="110FFD37" w14:textId="01EEAC84" w:rsidR="0066332C" w:rsidRPr="00D55FA1" w:rsidRDefault="00EB53C7" w:rsidP="00961037">
            <w:pPr>
              <w:widowControl w:val="0"/>
              <w:overflowPunct w:val="0"/>
              <w:autoSpaceDE w:val="0"/>
              <w:autoSpaceDN w:val="0"/>
              <w:adjustRightInd w:val="0"/>
              <w:jc w:val="center"/>
              <w:rPr>
                <w:rFonts w:cs="Arial"/>
                <w:bCs/>
              </w:rPr>
            </w:pPr>
            <w:r>
              <w:rPr>
                <w:rFonts w:cs="Arial"/>
                <w:bCs/>
              </w:rPr>
              <w:t>10.31%</w:t>
            </w:r>
          </w:p>
        </w:tc>
        <w:tc>
          <w:tcPr>
            <w:tcW w:w="1206" w:type="dxa"/>
            <w:tcBorders>
              <w:top w:val="single" w:sz="4" w:space="0" w:color="auto"/>
              <w:left w:val="single" w:sz="4" w:space="0" w:color="auto"/>
              <w:bottom w:val="single" w:sz="4" w:space="0" w:color="auto"/>
              <w:right w:val="single" w:sz="4" w:space="0" w:color="auto"/>
            </w:tcBorders>
            <w:vAlign w:val="center"/>
          </w:tcPr>
          <w:p w14:paraId="6B699379" w14:textId="0C5C4C64" w:rsidR="0066332C" w:rsidRPr="00D55FA1" w:rsidRDefault="00DF008C" w:rsidP="00961037">
            <w:pPr>
              <w:widowControl w:val="0"/>
              <w:overflowPunct w:val="0"/>
              <w:autoSpaceDE w:val="0"/>
              <w:autoSpaceDN w:val="0"/>
              <w:adjustRightInd w:val="0"/>
              <w:jc w:val="center"/>
              <w:rPr>
                <w:rFonts w:cs="Arial"/>
                <w:bCs/>
              </w:rPr>
            </w:pPr>
            <w:r w:rsidRPr="00D55FA1">
              <w:rPr>
                <w:rFonts w:cs="Arial"/>
                <w:bCs/>
              </w:rPr>
              <w:t>-</w:t>
            </w:r>
          </w:p>
        </w:tc>
      </w:tr>
      <w:tr w:rsidR="0066332C" w:rsidRPr="00D55FA1" w14:paraId="42E25B7C" w14:textId="77777777" w:rsidTr="00961037">
        <w:trPr>
          <w:cantSplit/>
          <w:trHeight w:val="367"/>
        </w:trPr>
        <w:tc>
          <w:tcPr>
            <w:tcW w:w="2166" w:type="dxa"/>
            <w:tcBorders>
              <w:top w:val="single" w:sz="4" w:space="0" w:color="auto"/>
              <w:left w:val="single" w:sz="4" w:space="0" w:color="auto"/>
              <w:bottom w:val="single" w:sz="4" w:space="0" w:color="auto"/>
              <w:right w:val="single" w:sz="4" w:space="0" w:color="auto"/>
            </w:tcBorders>
            <w:vAlign w:val="center"/>
          </w:tcPr>
          <w:p w14:paraId="33B03A34"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Target Met</w:t>
            </w:r>
          </w:p>
        </w:tc>
        <w:tc>
          <w:tcPr>
            <w:tcW w:w="1206" w:type="dxa"/>
            <w:tcBorders>
              <w:top w:val="single" w:sz="4" w:space="0" w:color="auto"/>
              <w:left w:val="single" w:sz="4" w:space="0" w:color="auto"/>
              <w:bottom w:val="single" w:sz="4" w:space="0" w:color="auto"/>
              <w:right w:val="single" w:sz="4" w:space="0" w:color="auto"/>
            </w:tcBorders>
            <w:vAlign w:val="center"/>
          </w:tcPr>
          <w:p w14:paraId="1CBDFED2"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Yes</w:t>
            </w:r>
          </w:p>
        </w:tc>
        <w:tc>
          <w:tcPr>
            <w:tcW w:w="1206" w:type="dxa"/>
            <w:tcBorders>
              <w:top w:val="single" w:sz="4" w:space="0" w:color="auto"/>
              <w:left w:val="single" w:sz="4" w:space="0" w:color="auto"/>
              <w:bottom w:val="single" w:sz="4" w:space="0" w:color="auto"/>
              <w:right w:val="single" w:sz="4" w:space="0" w:color="auto"/>
            </w:tcBorders>
            <w:vAlign w:val="center"/>
          </w:tcPr>
          <w:p w14:paraId="3FE9F23F" w14:textId="18D0E260"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No</w:t>
            </w:r>
          </w:p>
        </w:tc>
        <w:tc>
          <w:tcPr>
            <w:tcW w:w="1206" w:type="dxa"/>
            <w:tcBorders>
              <w:top w:val="single" w:sz="4" w:space="0" w:color="auto"/>
              <w:left w:val="single" w:sz="4" w:space="0" w:color="auto"/>
              <w:bottom w:val="single" w:sz="4" w:space="0" w:color="auto"/>
              <w:right w:val="single" w:sz="4" w:space="0" w:color="auto"/>
            </w:tcBorders>
            <w:vAlign w:val="center"/>
          </w:tcPr>
          <w:p w14:paraId="1F72F646" w14:textId="6DCB773D" w:rsidR="0066332C" w:rsidRPr="00D55FA1" w:rsidRDefault="00961037" w:rsidP="00961037">
            <w:pPr>
              <w:widowControl w:val="0"/>
              <w:overflowPunct w:val="0"/>
              <w:autoSpaceDE w:val="0"/>
              <w:autoSpaceDN w:val="0"/>
              <w:adjustRightInd w:val="0"/>
              <w:jc w:val="center"/>
              <w:rPr>
                <w:rFonts w:cs="Arial"/>
                <w:bCs/>
              </w:rPr>
            </w:pPr>
            <w:r w:rsidRPr="00D55FA1">
              <w:rPr>
                <w:rFonts w:cs="Arial"/>
                <w:bCs/>
              </w:rPr>
              <w:t>No</w:t>
            </w:r>
          </w:p>
        </w:tc>
        <w:tc>
          <w:tcPr>
            <w:tcW w:w="1206" w:type="dxa"/>
            <w:tcBorders>
              <w:top w:val="single" w:sz="4" w:space="0" w:color="auto"/>
              <w:left w:val="single" w:sz="4" w:space="0" w:color="auto"/>
              <w:bottom w:val="single" w:sz="4" w:space="0" w:color="auto"/>
              <w:right w:val="single" w:sz="4" w:space="0" w:color="auto"/>
            </w:tcBorders>
            <w:vAlign w:val="center"/>
          </w:tcPr>
          <w:p w14:paraId="08CE6F91" w14:textId="71FC6DE6" w:rsidR="0066332C" w:rsidRPr="00D55FA1" w:rsidRDefault="00EC27AA" w:rsidP="00961037">
            <w:pPr>
              <w:widowControl w:val="0"/>
              <w:overflowPunct w:val="0"/>
              <w:autoSpaceDE w:val="0"/>
              <w:autoSpaceDN w:val="0"/>
              <w:adjustRightInd w:val="0"/>
              <w:jc w:val="center"/>
              <w:rPr>
                <w:rFonts w:cs="Arial"/>
                <w:bCs/>
              </w:rPr>
            </w:pPr>
            <w:r>
              <w:rPr>
                <w:rFonts w:cs="Arial"/>
                <w:bCs/>
              </w:rPr>
              <w:t>Yes</w:t>
            </w:r>
          </w:p>
        </w:tc>
        <w:tc>
          <w:tcPr>
            <w:tcW w:w="1206" w:type="dxa"/>
            <w:tcBorders>
              <w:top w:val="single" w:sz="4" w:space="0" w:color="auto"/>
              <w:left w:val="single" w:sz="4" w:space="0" w:color="auto"/>
              <w:bottom w:val="single" w:sz="4" w:space="0" w:color="auto"/>
              <w:right w:val="single" w:sz="4" w:space="0" w:color="auto"/>
            </w:tcBorders>
            <w:vAlign w:val="center"/>
          </w:tcPr>
          <w:p w14:paraId="61CDCEAD" w14:textId="5F2739F4" w:rsidR="0066332C" w:rsidRPr="00D55FA1" w:rsidRDefault="00EB53C7" w:rsidP="00961037">
            <w:pPr>
              <w:widowControl w:val="0"/>
              <w:overflowPunct w:val="0"/>
              <w:autoSpaceDE w:val="0"/>
              <w:autoSpaceDN w:val="0"/>
              <w:adjustRightInd w:val="0"/>
              <w:jc w:val="center"/>
              <w:rPr>
                <w:rFonts w:cs="Arial"/>
                <w:bCs/>
              </w:rPr>
            </w:pPr>
            <w:r>
              <w:rPr>
                <w:rFonts w:cs="Arial"/>
                <w:bCs/>
              </w:rPr>
              <w:t>No</w:t>
            </w:r>
          </w:p>
        </w:tc>
        <w:tc>
          <w:tcPr>
            <w:tcW w:w="1206" w:type="dxa"/>
            <w:tcBorders>
              <w:top w:val="single" w:sz="4" w:space="0" w:color="auto"/>
              <w:left w:val="single" w:sz="4" w:space="0" w:color="auto"/>
              <w:bottom w:val="single" w:sz="4" w:space="0" w:color="auto"/>
              <w:right w:val="single" w:sz="4" w:space="0" w:color="auto"/>
            </w:tcBorders>
            <w:vAlign w:val="center"/>
          </w:tcPr>
          <w:p w14:paraId="6BB9E253" w14:textId="611BAFB3" w:rsidR="0066332C" w:rsidRPr="00D55FA1" w:rsidRDefault="00DF008C" w:rsidP="00961037">
            <w:pPr>
              <w:widowControl w:val="0"/>
              <w:overflowPunct w:val="0"/>
              <w:autoSpaceDE w:val="0"/>
              <w:autoSpaceDN w:val="0"/>
              <w:adjustRightInd w:val="0"/>
              <w:jc w:val="center"/>
              <w:rPr>
                <w:rFonts w:cs="Arial"/>
                <w:bCs/>
              </w:rPr>
            </w:pPr>
            <w:r w:rsidRPr="00D55FA1">
              <w:rPr>
                <w:rFonts w:cs="Arial"/>
                <w:bCs/>
              </w:rPr>
              <w:t>-</w:t>
            </w:r>
          </w:p>
        </w:tc>
      </w:tr>
    </w:tbl>
    <w:p w14:paraId="07547A01" w14:textId="77777777" w:rsidR="00EB1E42" w:rsidRPr="00D55FA1" w:rsidRDefault="00EB1E42" w:rsidP="00EB1E42">
      <w:r w:rsidRPr="00D55FA1">
        <w:br w:type="page"/>
      </w:r>
    </w:p>
    <w:p w14:paraId="779F63CD" w14:textId="77777777" w:rsidR="00EB1E42" w:rsidRPr="00D55FA1" w:rsidRDefault="00EB1E42" w:rsidP="00EB1E42">
      <w:pPr>
        <w:pStyle w:val="Heading2"/>
        <w:jc w:val="center"/>
      </w:pPr>
      <w:bookmarkStart w:id="112" w:name="_Toc212718037"/>
      <w:bookmarkStart w:id="113" w:name="_Hlk184656369"/>
      <w:r w:rsidRPr="00D55FA1">
        <w:lastRenderedPageBreak/>
        <w:t>Indicator 3: Statewide Assessment</w:t>
      </w:r>
      <w:bookmarkEnd w:id="112"/>
    </w:p>
    <w:p w14:paraId="513D93E2" w14:textId="0FE02BCA" w:rsidR="00EB1E42" w:rsidRPr="00D55FA1" w:rsidRDefault="00833EFA" w:rsidP="00EB1E42">
      <w:pPr>
        <w:pStyle w:val="Heading3"/>
        <w:spacing w:before="0"/>
        <w:rPr>
          <w:rFonts w:cs="Arial"/>
          <w:bCs/>
        </w:rPr>
      </w:pPr>
      <w:bookmarkStart w:id="114" w:name="i3"/>
      <w:bookmarkStart w:id="115" w:name="_Toc212718038"/>
      <w:bookmarkEnd w:id="114"/>
      <w:r w:rsidRPr="00D55FA1">
        <w:rPr>
          <w:rFonts w:cs="Arial"/>
          <w:bCs/>
        </w:rPr>
        <w:t>Description</w:t>
      </w:r>
      <w:bookmarkEnd w:id="115"/>
    </w:p>
    <w:p w14:paraId="66B7EC6D" w14:textId="0B1164CB" w:rsidR="00EB1E42" w:rsidRPr="00D55FA1" w:rsidRDefault="00EB1E42" w:rsidP="00DF008C">
      <w:pPr>
        <w:spacing w:after="240"/>
      </w:pPr>
      <w:r w:rsidRPr="00D55FA1">
        <w:t xml:space="preserve">Indicator 3 is a performance indicator that measures the participation and performance of </w:t>
      </w:r>
      <w:r w:rsidR="00E34275" w:rsidRPr="00D55FA1">
        <w:t xml:space="preserve">SWDs </w:t>
      </w:r>
      <w:r w:rsidRPr="00D55FA1">
        <w:t>on statewide assessments including:</w:t>
      </w:r>
    </w:p>
    <w:p w14:paraId="049FED87" w14:textId="7CBFF6E0" w:rsidR="00EB1E42" w:rsidRPr="00D55FA1" w:rsidRDefault="00EB1E42" w:rsidP="00DF008C">
      <w:pPr>
        <w:pStyle w:val="ListParagraph"/>
        <w:numPr>
          <w:ilvl w:val="0"/>
          <w:numId w:val="5"/>
        </w:numPr>
        <w:spacing w:after="240"/>
        <w:contextualSpacing w:val="0"/>
      </w:pPr>
      <w:r w:rsidRPr="00D55FA1">
        <w:t>Participation rate for children with IEPs</w:t>
      </w:r>
    </w:p>
    <w:p w14:paraId="275204E5" w14:textId="1B9BDF10" w:rsidR="00EB1E42" w:rsidRPr="00D55FA1" w:rsidRDefault="00EB1E42" w:rsidP="00DF008C">
      <w:pPr>
        <w:pStyle w:val="ListParagraph"/>
        <w:numPr>
          <w:ilvl w:val="0"/>
          <w:numId w:val="5"/>
        </w:numPr>
        <w:spacing w:after="240"/>
        <w:contextualSpacing w:val="0"/>
      </w:pPr>
      <w:r w:rsidRPr="00D55FA1">
        <w:t>Proficiency rate for children with IEPs against grade level academic achievement standards.</w:t>
      </w:r>
    </w:p>
    <w:p w14:paraId="7F4B9E49" w14:textId="35546F40" w:rsidR="00EB1E42" w:rsidRPr="00D55FA1" w:rsidRDefault="00EB1E42" w:rsidP="00DF008C">
      <w:pPr>
        <w:pStyle w:val="ListParagraph"/>
        <w:numPr>
          <w:ilvl w:val="0"/>
          <w:numId w:val="5"/>
        </w:numPr>
        <w:spacing w:after="240"/>
        <w:contextualSpacing w:val="0"/>
      </w:pPr>
      <w:r w:rsidRPr="00D55FA1">
        <w:t>Proficiency rate for children with IEPs against alternate academic achievement standards.</w:t>
      </w:r>
    </w:p>
    <w:p w14:paraId="5043CB0F" w14:textId="4E272D6C" w:rsidR="00EB1E42" w:rsidRPr="00D55FA1" w:rsidRDefault="00EB1E42" w:rsidP="00DF008C">
      <w:pPr>
        <w:pStyle w:val="ListParagraph"/>
        <w:numPr>
          <w:ilvl w:val="0"/>
          <w:numId w:val="5"/>
        </w:numPr>
        <w:spacing w:after="240"/>
        <w:contextualSpacing w:val="0"/>
      </w:pPr>
      <w:r w:rsidRPr="00D55FA1">
        <w:t>Gap in proficiency rates for children with IEPs and all students against grade level academic achievement standards.</w:t>
      </w:r>
    </w:p>
    <w:p w14:paraId="585B3E1D" w14:textId="77777777" w:rsidR="00EB1E42" w:rsidRPr="00D55FA1" w:rsidRDefault="00833EFA" w:rsidP="00EB1E42">
      <w:pPr>
        <w:pStyle w:val="Heading3"/>
        <w:spacing w:before="0"/>
      </w:pPr>
      <w:bookmarkStart w:id="116" w:name="_Toc212718039"/>
      <w:r w:rsidRPr="00D55FA1">
        <w:t>Measurement</w:t>
      </w:r>
      <w:bookmarkEnd w:id="116"/>
    </w:p>
    <w:p w14:paraId="68229045" w14:textId="02205DE3" w:rsidR="0019441F" w:rsidRPr="00D55FA1" w:rsidRDefault="0019441F" w:rsidP="00DF008C">
      <w:pPr>
        <w:pStyle w:val="ListParagraph"/>
        <w:numPr>
          <w:ilvl w:val="0"/>
          <w:numId w:val="9"/>
        </w:numPr>
        <w:spacing w:after="240"/>
        <w:contextualSpacing w:val="0"/>
      </w:pPr>
      <w:r w:rsidRPr="00D55FA1">
        <w:t>Participation rate percent = [(</w:t>
      </w:r>
      <w:r w:rsidR="00C7167F" w:rsidRPr="00D55FA1">
        <w:t>number</w:t>
      </w:r>
      <w:r w:rsidRPr="00D55FA1">
        <w:t xml:space="preserve"> of children with IEPs participating in an assessment) divided by the (total </w:t>
      </w:r>
      <w:r w:rsidR="00C7167F" w:rsidRPr="00D55FA1">
        <w:t>number</w:t>
      </w:r>
      <w:r w:rsidRPr="00D55FA1">
        <w:t xml:space="preserve"> of children with IEPs enrolled during the testing window)]. Calculate separately for reading and math. Calculate separately for grades </w:t>
      </w:r>
      <w:r w:rsidR="00F378FD">
        <w:t>four</w:t>
      </w:r>
      <w:r w:rsidRPr="00D55FA1">
        <w:t xml:space="preserve">, </w:t>
      </w:r>
      <w:r w:rsidR="00F378FD">
        <w:t>eight</w:t>
      </w:r>
      <w:r w:rsidRPr="00D55FA1">
        <w:t>, and high school. The participation rate is based on all children with IEPs, including both children with IEPs enrolled for a full academic year and those not enrolled for a full academic year.</w:t>
      </w:r>
    </w:p>
    <w:p w14:paraId="4F900260" w14:textId="5CB8F6FC" w:rsidR="00F768B3" w:rsidRPr="00D55FA1" w:rsidRDefault="0019441F" w:rsidP="00DF008C">
      <w:pPr>
        <w:pStyle w:val="ListParagraph"/>
        <w:numPr>
          <w:ilvl w:val="0"/>
          <w:numId w:val="9"/>
        </w:numPr>
        <w:spacing w:after="240"/>
        <w:contextualSpacing w:val="0"/>
      </w:pPr>
      <w:r w:rsidRPr="00D55FA1">
        <w:t>Proficiency rate percent = [(</w:t>
      </w:r>
      <w:r w:rsidR="00C7167F" w:rsidRPr="00D55FA1">
        <w:t>number</w:t>
      </w:r>
      <w:r w:rsidRPr="00D55FA1">
        <w:t xml:space="preserve"> of children with IEPs scoring at or above proficient against grade level academic achievement standards) divided by the (total </w:t>
      </w:r>
      <w:r w:rsidR="00C7167F" w:rsidRPr="00D55FA1">
        <w:t>number</w:t>
      </w:r>
      <w:r w:rsidRPr="00D55FA1">
        <w:t xml:space="preserve"> of children with IEPs who received a valid score and for whom a proficiency level was assigned for the regular assessment)]. Calculate separately for reading and math</w:t>
      </w:r>
      <w:r w:rsidR="00772FB8" w:rsidRPr="00D55FA1">
        <w:t>.</w:t>
      </w:r>
      <w:r w:rsidRPr="00D55FA1">
        <w:t xml:space="preserve"> Calculate separately for grades </w:t>
      </w:r>
      <w:r w:rsidR="00F378FD">
        <w:t>four</w:t>
      </w:r>
      <w:r w:rsidRPr="00D55FA1">
        <w:t xml:space="preserve">, </w:t>
      </w:r>
      <w:r w:rsidR="00F378FD">
        <w:t>eight</w:t>
      </w:r>
      <w:r w:rsidRPr="00D55FA1">
        <w:t>, and high school. The proficiency rate includes both children with IEPs enrolled for a full academic year and those not enrolled for a full academic year.</w:t>
      </w:r>
    </w:p>
    <w:p w14:paraId="62B7F284" w14:textId="64D4B470" w:rsidR="00F768B3" w:rsidRPr="00D55FA1" w:rsidRDefault="0019441F" w:rsidP="00DF008C">
      <w:pPr>
        <w:pStyle w:val="ListParagraph"/>
        <w:numPr>
          <w:ilvl w:val="0"/>
          <w:numId w:val="9"/>
        </w:numPr>
        <w:spacing w:after="240"/>
        <w:contextualSpacing w:val="0"/>
      </w:pPr>
      <w:r w:rsidRPr="00D55FA1">
        <w:t>Proficiency rate percent = [(</w:t>
      </w:r>
      <w:r w:rsidR="00C7167F" w:rsidRPr="00D55FA1">
        <w:t>number</w:t>
      </w:r>
      <w:r w:rsidRPr="00D55FA1">
        <w:t xml:space="preserve"> of children with IEPs scoring at or above proficient against alternate academic achievement standards) divided by the (total </w:t>
      </w:r>
      <w:r w:rsidR="00C7167F" w:rsidRPr="00D55FA1">
        <w:t>number</w:t>
      </w:r>
      <w:r w:rsidRPr="00D55FA1">
        <w:t xml:space="preserve"> of children with IEPs who received a valid score and for whom a proficiency level was assigned for the alternate assessment)]. Calculate separately for reading and math. Calculate separately for grades </w:t>
      </w:r>
      <w:r w:rsidR="00F378FD">
        <w:t>four</w:t>
      </w:r>
      <w:r w:rsidRPr="00D55FA1">
        <w:t xml:space="preserve">, </w:t>
      </w:r>
      <w:r w:rsidR="00F378FD">
        <w:t>eight</w:t>
      </w:r>
      <w:r w:rsidRPr="00D55FA1">
        <w:t>, and high school. The proficiency rate includes both children with IEPs enrolled for a full academic year and those not enrolled for a full academic year</w:t>
      </w:r>
      <w:r w:rsidR="00772FB8" w:rsidRPr="00D55FA1">
        <w:t>.</w:t>
      </w:r>
    </w:p>
    <w:p w14:paraId="45F415FA" w14:textId="5BC4CFFB" w:rsidR="00203086" w:rsidRPr="00D55FA1" w:rsidRDefault="0019441F" w:rsidP="00DF008C">
      <w:pPr>
        <w:pStyle w:val="ListParagraph"/>
        <w:numPr>
          <w:ilvl w:val="0"/>
          <w:numId w:val="9"/>
        </w:numPr>
        <w:spacing w:after="240"/>
        <w:contextualSpacing w:val="0"/>
        <w:rPr>
          <w:rFonts w:asciiTheme="minorHAnsi" w:eastAsiaTheme="minorEastAsia" w:hAnsiTheme="minorHAnsi" w:cstheme="minorBidi"/>
        </w:rPr>
      </w:pPr>
      <w:r w:rsidRPr="00D55FA1">
        <w:t xml:space="preserve">Proficiency rate gap = [(proficiency rate for children with IEPs scoring at or above proficient against grade level academic achievement standards for the school </w:t>
      </w:r>
      <w:r w:rsidRPr="00D55FA1">
        <w:lastRenderedPageBreak/>
        <w:t xml:space="preserve">year) subtracted from the (proficiency rate for all students scoring at or above proficient against grade level academic achievement standards for the school year)]. Calculate separately for reading and math. Calculate separately for grades </w:t>
      </w:r>
      <w:r w:rsidR="00F378FD">
        <w:t>four</w:t>
      </w:r>
      <w:r w:rsidRPr="00D55FA1">
        <w:t xml:space="preserve">, </w:t>
      </w:r>
      <w:r w:rsidR="00F378FD">
        <w:t>eight</w:t>
      </w:r>
      <w:r w:rsidRPr="00D55FA1">
        <w:t>, and high school. The proficiency rate includes all children enrolled for a full academic year and those not enrolled for a full academic year.</w:t>
      </w:r>
    </w:p>
    <w:bookmarkEnd w:id="113"/>
    <w:p w14:paraId="3D036E87" w14:textId="77777777" w:rsidR="00EB1E42" w:rsidRPr="00740E7A" w:rsidRDefault="00833EFA" w:rsidP="00740E7A">
      <w:pPr>
        <w:spacing w:after="240"/>
        <w:rPr>
          <w:b/>
          <w:bCs/>
        </w:rPr>
      </w:pPr>
      <w:r w:rsidRPr="00740E7A">
        <w:rPr>
          <w:b/>
          <w:bCs/>
        </w:rPr>
        <w:t xml:space="preserve">Target Met: </w:t>
      </w:r>
    </w:p>
    <w:p w14:paraId="572F710E" w14:textId="37075EDF" w:rsidR="0019441F" w:rsidRPr="00D55FA1" w:rsidRDefault="0083171F" w:rsidP="00664876">
      <w:pPr>
        <w:pStyle w:val="ListParagraph"/>
        <w:numPr>
          <w:ilvl w:val="0"/>
          <w:numId w:val="10"/>
        </w:numPr>
      </w:pPr>
      <w:r w:rsidRPr="00D55FA1">
        <w:t>Yes/</w:t>
      </w:r>
      <w:r w:rsidR="003C2014" w:rsidRPr="00D55FA1">
        <w:t>No</w:t>
      </w:r>
    </w:p>
    <w:p w14:paraId="21595319" w14:textId="3DCBEF50" w:rsidR="0019441F" w:rsidRPr="00D55FA1" w:rsidRDefault="00595679" w:rsidP="00664876">
      <w:pPr>
        <w:pStyle w:val="ListParagraph"/>
        <w:numPr>
          <w:ilvl w:val="0"/>
          <w:numId w:val="10"/>
        </w:numPr>
      </w:pPr>
      <w:r w:rsidRPr="00D55FA1">
        <w:t>Yes</w:t>
      </w:r>
      <w:r w:rsidR="001C7F13" w:rsidRPr="00D55FA1">
        <w:t>/No</w:t>
      </w:r>
    </w:p>
    <w:p w14:paraId="53D432F2" w14:textId="77777777" w:rsidR="00595679" w:rsidRPr="00D55FA1" w:rsidRDefault="00595679" w:rsidP="00595679">
      <w:pPr>
        <w:pStyle w:val="ListParagraph"/>
        <w:numPr>
          <w:ilvl w:val="0"/>
          <w:numId w:val="10"/>
        </w:numPr>
      </w:pPr>
      <w:r w:rsidRPr="00D55FA1">
        <w:t>Yes/No</w:t>
      </w:r>
    </w:p>
    <w:p w14:paraId="3C1B9DB9" w14:textId="01DAEB7A" w:rsidR="00595679" w:rsidRPr="00D55FA1" w:rsidRDefault="00595679" w:rsidP="00DF008C">
      <w:pPr>
        <w:pStyle w:val="ListParagraph"/>
        <w:numPr>
          <w:ilvl w:val="0"/>
          <w:numId w:val="10"/>
        </w:numPr>
        <w:spacing w:after="240"/>
        <w:contextualSpacing w:val="0"/>
      </w:pPr>
      <w:r w:rsidRPr="00D55FA1">
        <w:t>Yes</w:t>
      </w:r>
    </w:p>
    <w:p w14:paraId="3A61AC18" w14:textId="5D0E2F28" w:rsidR="00274565" w:rsidRPr="00740E7A" w:rsidRDefault="00BB37DF" w:rsidP="00740E7A">
      <w:pPr>
        <w:spacing w:after="240"/>
        <w:rPr>
          <w:rFonts w:cs="Arial"/>
          <w:b/>
          <w:bCs/>
        </w:rPr>
      </w:pPr>
      <w:bookmarkStart w:id="117" w:name="_Hlk155103682"/>
      <w:r>
        <w:rPr>
          <w:b/>
          <w:bCs/>
        </w:rPr>
        <w:t xml:space="preserve">Table 7: </w:t>
      </w:r>
      <w:r w:rsidR="00EB1E42" w:rsidRPr="00740E7A">
        <w:rPr>
          <w:b/>
          <w:bCs/>
        </w:rPr>
        <w:t>Assessment Targets</w:t>
      </w:r>
      <w:r w:rsidR="00833EFA" w:rsidRPr="00740E7A">
        <w:rPr>
          <w:b/>
          <w:bCs/>
        </w:rPr>
        <w:t xml:space="preserve"> and Results for FFYs </w:t>
      </w:r>
      <w:r w:rsidR="0066332C" w:rsidRPr="00740E7A">
        <w:rPr>
          <w:b/>
          <w:bCs/>
        </w:rPr>
        <w:t>2020</w:t>
      </w:r>
      <w:r w:rsidR="0066332C" w:rsidRPr="00740E7A">
        <w:rPr>
          <w:rFonts w:cs="Arial"/>
          <w:b/>
          <w:bCs/>
        </w:rPr>
        <w:t>–25</w:t>
      </w:r>
    </w:p>
    <w:tbl>
      <w:tblPr>
        <w:tblStyle w:val="TableGrid1"/>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Indicator 3A ELA targets and results"/>
      </w:tblPr>
      <w:tblGrid>
        <w:gridCol w:w="2900"/>
        <w:gridCol w:w="1043"/>
        <w:gridCol w:w="1105"/>
        <w:gridCol w:w="1067"/>
        <w:gridCol w:w="1053"/>
        <w:gridCol w:w="1030"/>
        <w:gridCol w:w="1144"/>
      </w:tblGrid>
      <w:tr w:rsidR="0066332C" w:rsidRPr="00D55FA1" w14:paraId="262375FA" w14:textId="77777777" w:rsidTr="00CD2A6F">
        <w:trPr>
          <w:cantSplit/>
          <w:trHeight w:val="288"/>
          <w:tblHeader/>
        </w:trPr>
        <w:tc>
          <w:tcPr>
            <w:tcW w:w="2965" w:type="dxa"/>
            <w:vAlign w:val="center"/>
            <w:hideMark/>
          </w:tcPr>
          <w:p w14:paraId="2CEACC8D" w14:textId="77777777" w:rsidR="0066332C" w:rsidRPr="00D55FA1" w:rsidRDefault="0066332C" w:rsidP="00961037">
            <w:pPr>
              <w:jc w:val="center"/>
              <w:rPr>
                <w:rFonts w:cs="Arial"/>
                <w:b/>
              </w:rPr>
            </w:pPr>
            <w:bookmarkStart w:id="118" w:name="_Hlk155103713"/>
            <w:bookmarkStart w:id="119" w:name="_Hlk74653739"/>
            <w:bookmarkEnd w:id="117"/>
            <w:r w:rsidRPr="00D55FA1">
              <w:rPr>
                <w:rFonts w:cs="Arial"/>
                <w:b/>
              </w:rPr>
              <w:t>Indicator 3a ELA</w:t>
            </w:r>
            <w:bookmarkEnd w:id="118"/>
          </w:p>
        </w:tc>
        <w:tc>
          <w:tcPr>
            <w:tcW w:w="1054" w:type="dxa"/>
            <w:vAlign w:val="center"/>
            <w:hideMark/>
          </w:tcPr>
          <w:p w14:paraId="30C877E0" w14:textId="77777777" w:rsidR="0066332C" w:rsidRPr="00D55FA1" w:rsidRDefault="0066332C" w:rsidP="00961037">
            <w:pPr>
              <w:jc w:val="center"/>
              <w:rPr>
                <w:rFonts w:cs="Arial"/>
              </w:rPr>
            </w:pPr>
            <w:r w:rsidRPr="00D55FA1">
              <w:rPr>
                <w:rFonts w:cs="Arial"/>
                <w:b/>
                <w:bCs/>
                <w:kern w:val="24"/>
              </w:rPr>
              <w:t>2020</w:t>
            </w:r>
          </w:p>
        </w:tc>
        <w:tc>
          <w:tcPr>
            <w:tcW w:w="1108" w:type="dxa"/>
            <w:vAlign w:val="center"/>
            <w:hideMark/>
          </w:tcPr>
          <w:p w14:paraId="6EC9CF6B" w14:textId="77777777" w:rsidR="0066332C" w:rsidRPr="00D55FA1" w:rsidRDefault="0066332C" w:rsidP="00961037">
            <w:pPr>
              <w:jc w:val="center"/>
              <w:rPr>
                <w:rFonts w:cs="Arial"/>
              </w:rPr>
            </w:pPr>
            <w:r w:rsidRPr="00D55FA1">
              <w:rPr>
                <w:rFonts w:cs="Arial"/>
                <w:b/>
                <w:bCs/>
                <w:kern w:val="24"/>
              </w:rPr>
              <w:t>2021</w:t>
            </w:r>
          </w:p>
        </w:tc>
        <w:tc>
          <w:tcPr>
            <w:tcW w:w="1068" w:type="dxa"/>
            <w:vAlign w:val="center"/>
            <w:hideMark/>
          </w:tcPr>
          <w:p w14:paraId="69D64232" w14:textId="77777777" w:rsidR="0066332C" w:rsidRPr="00D55FA1" w:rsidRDefault="0066332C" w:rsidP="00961037">
            <w:pPr>
              <w:jc w:val="center"/>
              <w:rPr>
                <w:rFonts w:cs="Arial"/>
              </w:rPr>
            </w:pPr>
            <w:r w:rsidRPr="00D55FA1">
              <w:rPr>
                <w:rFonts w:cs="Arial"/>
                <w:b/>
                <w:bCs/>
                <w:kern w:val="24"/>
              </w:rPr>
              <w:t>2022</w:t>
            </w:r>
          </w:p>
        </w:tc>
        <w:tc>
          <w:tcPr>
            <w:tcW w:w="1054" w:type="dxa"/>
            <w:vAlign w:val="center"/>
            <w:hideMark/>
          </w:tcPr>
          <w:p w14:paraId="4A5E6086" w14:textId="77777777" w:rsidR="0066332C" w:rsidRPr="00D55FA1" w:rsidRDefault="0066332C" w:rsidP="00961037">
            <w:pPr>
              <w:jc w:val="center"/>
              <w:rPr>
                <w:rFonts w:cs="Arial"/>
              </w:rPr>
            </w:pPr>
            <w:r w:rsidRPr="00D55FA1">
              <w:rPr>
                <w:rFonts w:cs="Arial"/>
                <w:b/>
                <w:bCs/>
                <w:kern w:val="24"/>
              </w:rPr>
              <w:t>2023</w:t>
            </w:r>
          </w:p>
        </w:tc>
        <w:tc>
          <w:tcPr>
            <w:tcW w:w="934" w:type="dxa"/>
            <w:vAlign w:val="center"/>
            <w:hideMark/>
          </w:tcPr>
          <w:p w14:paraId="560B5D26" w14:textId="77777777" w:rsidR="0066332C" w:rsidRPr="00D55FA1" w:rsidRDefault="0066332C" w:rsidP="00961037">
            <w:pPr>
              <w:jc w:val="center"/>
              <w:rPr>
                <w:rFonts w:cs="Arial"/>
              </w:rPr>
            </w:pPr>
            <w:r w:rsidRPr="00D55FA1">
              <w:rPr>
                <w:rFonts w:cs="Arial"/>
                <w:b/>
                <w:bCs/>
                <w:kern w:val="24"/>
              </w:rPr>
              <w:t>2024</w:t>
            </w:r>
          </w:p>
        </w:tc>
        <w:tc>
          <w:tcPr>
            <w:tcW w:w="1159" w:type="dxa"/>
            <w:vAlign w:val="center"/>
            <w:hideMark/>
          </w:tcPr>
          <w:p w14:paraId="1FE49A7A" w14:textId="77777777" w:rsidR="0066332C" w:rsidRPr="00D55FA1" w:rsidRDefault="0066332C" w:rsidP="00961037">
            <w:pPr>
              <w:jc w:val="center"/>
              <w:rPr>
                <w:rFonts w:cs="Arial"/>
              </w:rPr>
            </w:pPr>
            <w:r w:rsidRPr="00D55FA1">
              <w:rPr>
                <w:rFonts w:cs="Arial"/>
                <w:b/>
                <w:bCs/>
                <w:kern w:val="24"/>
              </w:rPr>
              <w:t>2025</w:t>
            </w:r>
          </w:p>
        </w:tc>
      </w:tr>
      <w:tr w:rsidR="0066332C" w:rsidRPr="00D55FA1" w14:paraId="6BEFE013" w14:textId="77777777" w:rsidTr="00CD2A6F">
        <w:trPr>
          <w:cantSplit/>
          <w:trHeight w:val="288"/>
        </w:trPr>
        <w:tc>
          <w:tcPr>
            <w:tcW w:w="2965" w:type="dxa"/>
            <w:vAlign w:val="center"/>
            <w:hideMark/>
          </w:tcPr>
          <w:p w14:paraId="0E9C497D" w14:textId="77777777" w:rsidR="0066332C" w:rsidRPr="00D55FA1" w:rsidRDefault="0066332C" w:rsidP="00961037">
            <w:pPr>
              <w:jc w:val="center"/>
              <w:rPr>
                <w:rFonts w:cs="Arial"/>
              </w:rPr>
            </w:pPr>
            <w:r w:rsidRPr="00D55FA1">
              <w:rPr>
                <w:rFonts w:cs="Arial"/>
                <w:color w:val="000000" w:themeColor="dark1"/>
                <w:kern w:val="24"/>
              </w:rPr>
              <w:t>Grade 4 Target</w:t>
            </w:r>
          </w:p>
        </w:tc>
        <w:tc>
          <w:tcPr>
            <w:tcW w:w="1054" w:type="dxa"/>
            <w:vAlign w:val="center"/>
            <w:hideMark/>
          </w:tcPr>
          <w:p w14:paraId="7C14BD82" w14:textId="77777777" w:rsidR="0066332C" w:rsidRPr="00D55FA1" w:rsidRDefault="0066332C" w:rsidP="00961037">
            <w:pPr>
              <w:jc w:val="center"/>
              <w:rPr>
                <w:rFonts w:cs="Arial"/>
              </w:rPr>
            </w:pPr>
            <w:r w:rsidRPr="00D55FA1">
              <w:rPr>
                <w:rFonts w:cs="Arial"/>
                <w:color w:val="000000" w:themeColor="dark1"/>
                <w:kern w:val="24"/>
              </w:rPr>
              <w:t>95%</w:t>
            </w:r>
          </w:p>
        </w:tc>
        <w:tc>
          <w:tcPr>
            <w:tcW w:w="1108" w:type="dxa"/>
            <w:vAlign w:val="center"/>
            <w:hideMark/>
          </w:tcPr>
          <w:p w14:paraId="74DD7425" w14:textId="77777777" w:rsidR="0066332C" w:rsidRPr="00D55FA1" w:rsidRDefault="0066332C" w:rsidP="00961037">
            <w:pPr>
              <w:jc w:val="center"/>
              <w:rPr>
                <w:rFonts w:cs="Arial"/>
              </w:rPr>
            </w:pPr>
            <w:r w:rsidRPr="00D55FA1">
              <w:rPr>
                <w:rFonts w:cs="Arial"/>
                <w:color w:val="000000" w:themeColor="dark1"/>
                <w:kern w:val="24"/>
              </w:rPr>
              <w:t>95%</w:t>
            </w:r>
          </w:p>
        </w:tc>
        <w:tc>
          <w:tcPr>
            <w:tcW w:w="1068" w:type="dxa"/>
            <w:vAlign w:val="center"/>
            <w:hideMark/>
          </w:tcPr>
          <w:p w14:paraId="372AD8B7" w14:textId="77777777" w:rsidR="0066332C" w:rsidRPr="00D55FA1" w:rsidRDefault="0066332C" w:rsidP="00961037">
            <w:pPr>
              <w:jc w:val="center"/>
              <w:rPr>
                <w:rFonts w:cs="Arial"/>
              </w:rPr>
            </w:pPr>
            <w:r w:rsidRPr="00D55FA1">
              <w:rPr>
                <w:rFonts w:cs="Arial"/>
                <w:color w:val="000000" w:themeColor="dark1"/>
                <w:kern w:val="24"/>
              </w:rPr>
              <w:t>95%</w:t>
            </w:r>
          </w:p>
        </w:tc>
        <w:tc>
          <w:tcPr>
            <w:tcW w:w="1054" w:type="dxa"/>
            <w:vAlign w:val="center"/>
            <w:hideMark/>
          </w:tcPr>
          <w:p w14:paraId="71DCAFF9" w14:textId="77777777" w:rsidR="0066332C" w:rsidRPr="00D55FA1" w:rsidRDefault="0066332C" w:rsidP="00961037">
            <w:pPr>
              <w:jc w:val="center"/>
              <w:rPr>
                <w:rFonts w:cs="Arial"/>
              </w:rPr>
            </w:pPr>
            <w:r w:rsidRPr="00D55FA1">
              <w:rPr>
                <w:rFonts w:cs="Arial"/>
                <w:color w:val="000000" w:themeColor="dark1"/>
                <w:kern w:val="24"/>
              </w:rPr>
              <w:t>95%</w:t>
            </w:r>
          </w:p>
        </w:tc>
        <w:tc>
          <w:tcPr>
            <w:tcW w:w="934" w:type="dxa"/>
            <w:vAlign w:val="center"/>
            <w:hideMark/>
          </w:tcPr>
          <w:p w14:paraId="4BC50CF3" w14:textId="77777777" w:rsidR="0066332C" w:rsidRPr="00D55FA1" w:rsidRDefault="0066332C" w:rsidP="00961037">
            <w:pPr>
              <w:jc w:val="center"/>
              <w:rPr>
                <w:rFonts w:cs="Arial"/>
              </w:rPr>
            </w:pPr>
            <w:r w:rsidRPr="00D55FA1">
              <w:rPr>
                <w:rFonts w:cs="Arial"/>
                <w:color w:val="000000" w:themeColor="dark1"/>
                <w:kern w:val="24"/>
              </w:rPr>
              <w:t>95%</w:t>
            </w:r>
          </w:p>
        </w:tc>
        <w:tc>
          <w:tcPr>
            <w:tcW w:w="1159" w:type="dxa"/>
            <w:vAlign w:val="center"/>
            <w:hideMark/>
          </w:tcPr>
          <w:p w14:paraId="67D4E575" w14:textId="77777777" w:rsidR="0066332C" w:rsidRPr="00D55FA1" w:rsidRDefault="0066332C" w:rsidP="00961037">
            <w:pPr>
              <w:jc w:val="center"/>
              <w:rPr>
                <w:rFonts w:cs="Arial"/>
              </w:rPr>
            </w:pPr>
            <w:r w:rsidRPr="00D55FA1">
              <w:rPr>
                <w:rFonts w:cs="Arial"/>
                <w:color w:val="000000" w:themeColor="dark1"/>
                <w:kern w:val="24"/>
              </w:rPr>
              <w:t>95%</w:t>
            </w:r>
          </w:p>
        </w:tc>
      </w:tr>
      <w:tr w:rsidR="0066332C" w:rsidRPr="00D55FA1" w14:paraId="10984B12" w14:textId="77777777" w:rsidTr="00CD2A6F">
        <w:trPr>
          <w:cantSplit/>
          <w:trHeight w:val="288"/>
        </w:trPr>
        <w:tc>
          <w:tcPr>
            <w:tcW w:w="2965" w:type="dxa"/>
            <w:vAlign w:val="center"/>
          </w:tcPr>
          <w:p w14:paraId="39C7ED39"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Result</w:t>
            </w:r>
          </w:p>
        </w:tc>
        <w:tc>
          <w:tcPr>
            <w:tcW w:w="1054" w:type="dxa"/>
            <w:vAlign w:val="center"/>
          </w:tcPr>
          <w:p w14:paraId="43CFE7DB"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19%</w:t>
            </w:r>
          </w:p>
        </w:tc>
        <w:tc>
          <w:tcPr>
            <w:tcW w:w="1108" w:type="dxa"/>
            <w:vAlign w:val="center"/>
          </w:tcPr>
          <w:p w14:paraId="6537F28F" w14:textId="5868D8FD" w:rsidR="0066332C" w:rsidRPr="00D55FA1" w:rsidRDefault="0066332C" w:rsidP="00961037">
            <w:pPr>
              <w:jc w:val="center"/>
              <w:rPr>
                <w:rFonts w:cs="Arial"/>
                <w:color w:val="000000" w:themeColor="dark1"/>
                <w:kern w:val="24"/>
              </w:rPr>
            </w:pPr>
            <w:r w:rsidRPr="00D55FA1">
              <w:rPr>
                <w:rFonts w:cs="Arial"/>
                <w:color w:val="000000" w:themeColor="dark1"/>
                <w:kern w:val="24"/>
              </w:rPr>
              <w:t>94.66%</w:t>
            </w:r>
          </w:p>
        </w:tc>
        <w:tc>
          <w:tcPr>
            <w:tcW w:w="1068" w:type="dxa"/>
            <w:vAlign w:val="center"/>
          </w:tcPr>
          <w:p w14:paraId="6DFB9E20" w14:textId="083E4AC8" w:rsidR="0066332C" w:rsidRPr="00D55FA1" w:rsidRDefault="0083171F" w:rsidP="00961037">
            <w:pPr>
              <w:jc w:val="center"/>
              <w:rPr>
                <w:rFonts w:cs="Arial"/>
                <w:color w:val="000000" w:themeColor="dark1"/>
                <w:kern w:val="24"/>
              </w:rPr>
            </w:pPr>
            <w:r w:rsidRPr="00D55FA1">
              <w:rPr>
                <w:rFonts w:cs="Arial"/>
                <w:color w:val="000000" w:themeColor="dark1"/>
                <w:kern w:val="24"/>
              </w:rPr>
              <w:t>96.10%</w:t>
            </w:r>
          </w:p>
        </w:tc>
        <w:tc>
          <w:tcPr>
            <w:tcW w:w="1054" w:type="dxa"/>
            <w:vAlign w:val="center"/>
          </w:tcPr>
          <w:p w14:paraId="70DF9E56" w14:textId="7E27315E" w:rsidR="0066332C" w:rsidRPr="00D55FA1" w:rsidRDefault="006C44F8" w:rsidP="00961037">
            <w:pPr>
              <w:jc w:val="center"/>
              <w:rPr>
                <w:rFonts w:cs="Arial"/>
                <w:color w:val="000000" w:themeColor="dark1"/>
                <w:kern w:val="24"/>
              </w:rPr>
            </w:pPr>
            <w:r>
              <w:rPr>
                <w:rFonts w:cs="Arial"/>
                <w:bCs/>
              </w:rPr>
              <w:t>96.06%</w:t>
            </w:r>
          </w:p>
        </w:tc>
        <w:tc>
          <w:tcPr>
            <w:tcW w:w="934" w:type="dxa"/>
            <w:vAlign w:val="center"/>
          </w:tcPr>
          <w:p w14:paraId="44E871BC" w14:textId="5A62B8E3" w:rsidR="0066332C" w:rsidRPr="00D55FA1" w:rsidRDefault="00DE7835" w:rsidP="00961037">
            <w:pPr>
              <w:jc w:val="center"/>
              <w:rPr>
                <w:rFonts w:cs="Arial"/>
                <w:color w:val="000000" w:themeColor="dark1"/>
                <w:kern w:val="24"/>
              </w:rPr>
            </w:pPr>
            <w:r>
              <w:rPr>
                <w:rFonts w:cs="Arial"/>
                <w:bCs/>
              </w:rPr>
              <w:t>96.45%</w:t>
            </w:r>
          </w:p>
        </w:tc>
        <w:tc>
          <w:tcPr>
            <w:tcW w:w="1159" w:type="dxa"/>
            <w:vAlign w:val="center"/>
          </w:tcPr>
          <w:p w14:paraId="144A5D23" w14:textId="63911C38"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62FF55D4" w14:textId="77777777" w:rsidTr="00CD2A6F">
        <w:trPr>
          <w:cantSplit/>
          <w:trHeight w:val="288"/>
        </w:trPr>
        <w:tc>
          <w:tcPr>
            <w:tcW w:w="2965" w:type="dxa"/>
            <w:vAlign w:val="center"/>
          </w:tcPr>
          <w:p w14:paraId="1513B038"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Target Met</w:t>
            </w:r>
          </w:p>
        </w:tc>
        <w:tc>
          <w:tcPr>
            <w:tcW w:w="1054" w:type="dxa"/>
            <w:vAlign w:val="center"/>
          </w:tcPr>
          <w:p w14:paraId="4FC8EFD2"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08" w:type="dxa"/>
            <w:vAlign w:val="center"/>
          </w:tcPr>
          <w:p w14:paraId="738610EB" w14:textId="3E9CDDA0"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068" w:type="dxa"/>
            <w:vAlign w:val="center"/>
          </w:tcPr>
          <w:p w14:paraId="637805D2" w14:textId="116B8AFA"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54" w:type="dxa"/>
            <w:vAlign w:val="center"/>
          </w:tcPr>
          <w:p w14:paraId="463F29E8" w14:textId="6D05FDFF" w:rsidR="0066332C" w:rsidRPr="00D55FA1" w:rsidRDefault="006C25D7" w:rsidP="00961037">
            <w:pPr>
              <w:jc w:val="center"/>
              <w:rPr>
                <w:rFonts w:cs="Arial"/>
                <w:color w:val="000000" w:themeColor="dark1"/>
                <w:kern w:val="24"/>
              </w:rPr>
            </w:pPr>
            <w:r>
              <w:rPr>
                <w:rFonts w:cs="Arial"/>
                <w:bCs/>
              </w:rPr>
              <w:t>Yes</w:t>
            </w:r>
          </w:p>
        </w:tc>
        <w:tc>
          <w:tcPr>
            <w:tcW w:w="934" w:type="dxa"/>
            <w:vAlign w:val="center"/>
          </w:tcPr>
          <w:p w14:paraId="3B7B4B86" w14:textId="75ADCE02" w:rsidR="0066332C" w:rsidRPr="00D55FA1" w:rsidRDefault="00DE7835" w:rsidP="00961037">
            <w:pPr>
              <w:jc w:val="center"/>
              <w:rPr>
                <w:rFonts w:cs="Arial"/>
                <w:color w:val="000000" w:themeColor="dark1"/>
                <w:kern w:val="24"/>
              </w:rPr>
            </w:pPr>
            <w:r>
              <w:rPr>
                <w:rFonts w:cs="Arial"/>
                <w:bCs/>
              </w:rPr>
              <w:t>Yes</w:t>
            </w:r>
          </w:p>
        </w:tc>
        <w:tc>
          <w:tcPr>
            <w:tcW w:w="1159" w:type="dxa"/>
            <w:vAlign w:val="center"/>
          </w:tcPr>
          <w:p w14:paraId="3A0FF5F2" w14:textId="2CC0FD6C"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689E6B82" w14:textId="77777777" w:rsidTr="00CD2A6F">
        <w:trPr>
          <w:cantSplit/>
          <w:trHeight w:val="288"/>
        </w:trPr>
        <w:tc>
          <w:tcPr>
            <w:tcW w:w="2965" w:type="dxa"/>
            <w:vAlign w:val="center"/>
            <w:hideMark/>
          </w:tcPr>
          <w:p w14:paraId="245DAAB8" w14:textId="77777777" w:rsidR="0066332C" w:rsidRPr="00D55FA1" w:rsidRDefault="0066332C" w:rsidP="00961037">
            <w:pPr>
              <w:jc w:val="center"/>
              <w:rPr>
                <w:rFonts w:cs="Arial"/>
              </w:rPr>
            </w:pPr>
            <w:r w:rsidRPr="00D55FA1">
              <w:rPr>
                <w:rFonts w:cs="Arial"/>
                <w:color w:val="000000" w:themeColor="dark1"/>
                <w:kern w:val="24"/>
              </w:rPr>
              <w:t>Grade 8 Target</w:t>
            </w:r>
          </w:p>
        </w:tc>
        <w:tc>
          <w:tcPr>
            <w:tcW w:w="1054" w:type="dxa"/>
            <w:vAlign w:val="center"/>
            <w:hideMark/>
          </w:tcPr>
          <w:p w14:paraId="705BD860" w14:textId="77777777" w:rsidR="0066332C" w:rsidRPr="00D55FA1" w:rsidRDefault="0066332C" w:rsidP="00961037">
            <w:pPr>
              <w:jc w:val="center"/>
              <w:rPr>
                <w:rFonts w:cs="Arial"/>
              </w:rPr>
            </w:pPr>
            <w:r w:rsidRPr="00D55FA1">
              <w:rPr>
                <w:rFonts w:cs="Arial"/>
                <w:color w:val="000000" w:themeColor="dark1"/>
                <w:kern w:val="24"/>
              </w:rPr>
              <w:t>95%</w:t>
            </w:r>
          </w:p>
        </w:tc>
        <w:tc>
          <w:tcPr>
            <w:tcW w:w="1108" w:type="dxa"/>
            <w:vAlign w:val="center"/>
            <w:hideMark/>
          </w:tcPr>
          <w:p w14:paraId="7CC30C38" w14:textId="77777777" w:rsidR="0066332C" w:rsidRPr="00D55FA1" w:rsidRDefault="0066332C" w:rsidP="00961037">
            <w:pPr>
              <w:jc w:val="center"/>
              <w:rPr>
                <w:rFonts w:cs="Arial"/>
              </w:rPr>
            </w:pPr>
            <w:r w:rsidRPr="00D55FA1">
              <w:rPr>
                <w:rFonts w:cs="Arial"/>
                <w:color w:val="000000" w:themeColor="dark1"/>
                <w:kern w:val="24"/>
              </w:rPr>
              <w:t>95%</w:t>
            </w:r>
          </w:p>
        </w:tc>
        <w:tc>
          <w:tcPr>
            <w:tcW w:w="1068" w:type="dxa"/>
            <w:vAlign w:val="center"/>
            <w:hideMark/>
          </w:tcPr>
          <w:p w14:paraId="30F42CAC" w14:textId="77777777" w:rsidR="0066332C" w:rsidRPr="00D55FA1" w:rsidRDefault="0066332C" w:rsidP="00961037">
            <w:pPr>
              <w:jc w:val="center"/>
              <w:rPr>
                <w:rFonts w:cs="Arial"/>
              </w:rPr>
            </w:pPr>
            <w:r w:rsidRPr="00D55FA1">
              <w:rPr>
                <w:rFonts w:cs="Arial"/>
                <w:color w:val="000000" w:themeColor="dark1"/>
                <w:kern w:val="24"/>
              </w:rPr>
              <w:t>95%</w:t>
            </w:r>
          </w:p>
        </w:tc>
        <w:tc>
          <w:tcPr>
            <w:tcW w:w="1054" w:type="dxa"/>
            <w:vAlign w:val="center"/>
            <w:hideMark/>
          </w:tcPr>
          <w:p w14:paraId="4AC10703" w14:textId="77777777" w:rsidR="0066332C" w:rsidRPr="00D55FA1" w:rsidRDefault="0066332C" w:rsidP="00961037">
            <w:pPr>
              <w:jc w:val="center"/>
              <w:rPr>
                <w:rFonts w:cs="Arial"/>
              </w:rPr>
            </w:pPr>
            <w:r w:rsidRPr="00D55FA1">
              <w:rPr>
                <w:rFonts w:cs="Arial"/>
                <w:color w:val="000000" w:themeColor="dark1"/>
                <w:kern w:val="24"/>
              </w:rPr>
              <w:t>95%</w:t>
            </w:r>
          </w:p>
        </w:tc>
        <w:tc>
          <w:tcPr>
            <w:tcW w:w="934" w:type="dxa"/>
            <w:vAlign w:val="center"/>
            <w:hideMark/>
          </w:tcPr>
          <w:p w14:paraId="52D74C2E" w14:textId="77777777" w:rsidR="0066332C" w:rsidRPr="00D55FA1" w:rsidRDefault="0066332C" w:rsidP="00961037">
            <w:pPr>
              <w:jc w:val="center"/>
              <w:rPr>
                <w:rFonts w:cs="Arial"/>
              </w:rPr>
            </w:pPr>
            <w:r w:rsidRPr="00D55FA1">
              <w:rPr>
                <w:rFonts w:cs="Arial"/>
                <w:color w:val="000000" w:themeColor="dark1"/>
                <w:kern w:val="24"/>
              </w:rPr>
              <w:t>95%</w:t>
            </w:r>
          </w:p>
        </w:tc>
        <w:tc>
          <w:tcPr>
            <w:tcW w:w="1159" w:type="dxa"/>
            <w:vAlign w:val="center"/>
            <w:hideMark/>
          </w:tcPr>
          <w:p w14:paraId="18B6D244" w14:textId="77777777" w:rsidR="0066332C" w:rsidRPr="00D55FA1" w:rsidRDefault="0066332C" w:rsidP="00961037">
            <w:pPr>
              <w:jc w:val="center"/>
              <w:rPr>
                <w:rFonts w:cs="Arial"/>
              </w:rPr>
            </w:pPr>
            <w:r w:rsidRPr="00D55FA1">
              <w:rPr>
                <w:rFonts w:cs="Arial"/>
                <w:color w:val="000000" w:themeColor="dark1"/>
                <w:kern w:val="24"/>
              </w:rPr>
              <w:t>95%</w:t>
            </w:r>
          </w:p>
        </w:tc>
      </w:tr>
      <w:tr w:rsidR="0066332C" w:rsidRPr="00D55FA1" w14:paraId="09046DDA" w14:textId="77777777" w:rsidTr="00CD2A6F">
        <w:trPr>
          <w:cantSplit/>
          <w:trHeight w:val="288"/>
        </w:trPr>
        <w:tc>
          <w:tcPr>
            <w:tcW w:w="2965" w:type="dxa"/>
            <w:vAlign w:val="center"/>
          </w:tcPr>
          <w:p w14:paraId="61E5A634"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Result</w:t>
            </w:r>
          </w:p>
        </w:tc>
        <w:tc>
          <w:tcPr>
            <w:tcW w:w="1054" w:type="dxa"/>
            <w:vAlign w:val="center"/>
          </w:tcPr>
          <w:p w14:paraId="17DCED26"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20%</w:t>
            </w:r>
          </w:p>
        </w:tc>
        <w:tc>
          <w:tcPr>
            <w:tcW w:w="1108" w:type="dxa"/>
            <w:vAlign w:val="center"/>
          </w:tcPr>
          <w:p w14:paraId="5630AD66" w14:textId="286C28E0" w:rsidR="0066332C" w:rsidRPr="00D55FA1" w:rsidRDefault="0066332C" w:rsidP="00961037">
            <w:pPr>
              <w:jc w:val="center"/>
              <w:rPr>
                <w:rFonts w:cs="Arial"/>
                <w:color w:val="000000" w:themeColor="dark1"/>
                <w:kern w:val="24"/>
              </w:rPr>
            </w:pPr>
            <w:r w:rsidRPr="00D55FA1">
              <w:rPr>
                <w:rFonts w:cs="Arial"/>
                <w:color w:val="000000" w:themeColor="dark1"/>
                <w:kern w:val="24"/>
              </w:rPr>
              <w:t>91.68%</w:t>
            </w:r>
          </w:p>
        </w:tc>
        <w:tc>
          <w:tcPr>
            <w:tcW w:w="1068" w:type="dxa"/>
            <w:vAlign w:val="center"/>
          </w:tcPr>
          <w:p w14:paraId="61829076" w14:textId="112209DE" w:rsidR="0066332C" w:rsidRPr="00D55FA1" w:rsidRDefault="0083171F" w:rsidP="00961037">
            <w:pPr>
              <w:jc w:val="center"/>
              <w:rPr>
                <w:rFonts w:cs="Arial"/>
                <w:color w:val="000000" w:themeColor="dark1"/>
                <w:kern w:val="24"/>
              </w:rPr>
            </w:pPr>
            <w:r w:rsidRPr="00D55FA1">
              <w:rPr>
                <w:rFonts w:cs="Arial"/>
                <w:color w:val="000000" w:themeColor="dark1"/>
                <w:kern w:val="24"/>
              </w:rPr>
              <w:t>93.02%</w:t>
            </w:r>
          </w:p>
        </w:tc>
        <w:tc>
          <w:tcPr>
            <w:tcW w:w="1054" w:type="dxa"/>
            <w:vAlign w:val="center"/>
          </w:tcPr>
          <w:p w14:paraId="2BA226A1" w14:textId="19EE1B7F" w:rsidR="0066332C" w:rsidRPr="00D55FA1" w:rsidRDefault="006C25D7" w:rsidP="00961037">
            <w:pPr>
              <w:jc w:val="center"/>
              <w:rPr>
                <w:rFonts w:cs="Arial"/>
                <w:color w:val="000000" w:themeColor="dark1"/>
                <w:kern w:val="24"/>
              </w:rPr>
            </w:pPr>
            <w:r>
              <w:rPr>
                <w:rFonts w:cs="Arial"/>
                <w:bCs/>
              </w:rPr>
              <w:t>92.79%</w:t>
            </w:r>
          </w:p>
        </w:tc>
        <w:tc>
          <w:tcPr>
            <w:tcW w:w="934" w:type="dxa"/>
            <w:vAlign w:val="center"/>
          </w:tcPr>
          <w:p w14:paraId="17AD93B2" w14:textId="699D7CC1" w:rsidR="0066332C" w:rsidRPr="00D55FA1" w:rsidRDefault="00DE7835" w:rsidP="00961037">
            <w:pPr>
              <w:jc w:val="center"/>
              <w:rPr>
                <w:rFonts w:cs="Arial"/>
                <w:color w:val="000000" w:themeColor="dark1"/>
                <w:kern w:val="24"/>
              </w:rPr>
            </w:pPr>
            <w:r>
              <w:rPr>
                <w:rFonts w:cs="Arial"/>
                <w:bCs/>
              </w:rPr>
              <w:t>93.57%</w:t>
            </w:r>
          </w:p>
        </w:tc>
        <w:tc>
          <w:tcPr>
            <w:tcW w:w="1159" w:type="dxa"/>
            <w:vAlign w:val="center"/>
          </w:tcPr>
          <w:p w14:paraId="0DE4B5B7" w14:textId="35DE48DD"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337F4C85" w14:textId="77777777" w:rsidTr="00CD2A6F">
        <w:trPr>
          <w:cantSplit/>
          <w:trHeight w:val="288"/>
        </w:trPr>
        <w:tc>
          <w:tcPr>
            <w:tcW w:w="2965" w:type="dxa"/>
            <w:vAlign w:val="center"/>
          </w:tcPr>
          <w:p w14:paraId="64D4BB57"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Target Met</w:t>
            </w:r>
          </w:p>
        </w:tc>
        <w:tc>
          <w:tcPr>
            <w:tcW w:w="1054" w:type="dxa"/>
            <w:vAlign w:val="center"/>
          </w:tcPr>
          <w:p w14:paraId="0E4CD604"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08" w:type="dxa"/>
            <w:vAlign w:val="center"/>
          </w:tcPr>
          <w:p w14:paraId="66204FF1" w14:textId="008F5854"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068" w:type="dxa"/>
            <w:vAlign w:val="center"/>
          </w:tcPr>
          <w:p w14:paraId="2DBF0D7D" w14:textId="1667D02F" w:rsidR="0066332C" w:rsidRPr="00D55FA1" w:rsidRDefault="0083171F" w:rsidP="00961037">
            <w:pPr>
              <w:jc w:val="center"/>
              <w:rPr>
                <w:rFonts w:cs="Arial"/>
                <w:color w:val="000000" w:themeColor="dark1"/>
                <w:kern w:val="24"/>
              </w:rPr>
            </w:pPr>
            <w:r w:rsidRPr="00D55FA1">
              <w:rPr>
                <w:rFonts w:cs="Arial"/>
                <w:color w:val="000000" w:themeColor="dark1"/>
                <w:kern w:val="24"/>
              </w:rPr>
              <w:t>No</w:t>
            </w:r>
          </w:p>
        </w:tc>
        <w:tc>
          <w:tcPr>
            <w:tcW w:w="1054" w:type="dxa"/>
            <w:vAlign w:val="center"/>
          </w:tcPr>
          <w:p w14:paraId="6B62F1B3" w14:textId="4DA005DC" w:rsidR="0066332C" w:rsidRPr="00D55FA1" w:rsidRDefault="006C25D7" w:rsidP="00961037">
            <w:pPr>
              <w:jc w:val="center"/>
              <w:rPr>
                <w:rFonts w:cs="Arial"/>
                <w:color w:val="000000" w:themeColor="dark1"/>
                <w:kern w:val="24"/>
              </w:rPr>
            </w:pPr>
            <w:r>
              <w:rPr>
                <w:rFonts w:cs="Arial"/>
                <w:bCs/>
              </w:rPr>
              <w:t>No</w:t>
            </w:r>
          </w:p>
        </w:tc>
        <w:tc>
          <w:tcPr>
            <w:tcW w:w="934" w:type="dxa"/>
            <w:vAlign w:val="center"/>
          </w:tcPr>
          <w:p w14:paraId="02F2C34E" w14:textId="62B85EAA" w:rsidR="0066332C" w:rsidRPr="00D55FA1" w:rsidRDefault="00DE7835" w:rsidP="00961037">
            <w:pPr>
              <w:jc w:val="center"/>
              <w:rPr>
                <w:rFonts w:cs="Arial"/>
                <w:color w:val="000000" w:themeColor="dark1"/>
                <w:kern w:val="24"/>
              </w:rPr>
            </w:pPr>
            <w:r>
              <w:rPr>
                <w:rFonts w:cs="Arial"/>
                <w:bCs/>
              </w:rPr>
              <w:t>No</w:t>
            </w:r>
          </w:p>
        </w:tc>
        <w:tc>
          <w:tcPr>
            <w:tcW w:w="1159" w:type="dxa"/>
            <w:vAlign w:val="center"/>
          </w:tcPr>
          <w:p w14:paraId="680A4E5D" w14:textId="6D63FAE6"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17FA1DB9" w14:textId="77777777" w:rsidTr="00CD2A6F">
        <w:trPr>
          <w:cantSplit/>
          <w:trHeight w:val="288"/>
        </w:trPr>
        <w:tc>
          <w:tcPr>
            <w:tcW w:w="2965" w:type="dxa"/>
            <w:vAlign w:val="center"/>
            <w:hideMark/>
          </w:tcPr>
          <w:p w14:paraId="7ADD1555" w14:textId="77777777" w:rsidR="0066332C" w:rsidRPr="00D55FA1" w:rsidRDefault="0066332C" w:rsidP="00961037">
            <w:pPr>
              <w:jc w:val="center"/>
              <w:rPr>
                <w:rFonts w:cs="Arial"/>
              </w:rPr>
            </w:pPr>
            <w:r w:rsidRPr="00D55FA1">
              <w:rPr>
                <w:rFonts w:cs="Arial"/>
                <w:color w:val="000000" w:themeColor="dark1"/>
                <w:kern w:val="24"/>
              </w:rPr>
              <w:t>Grade 11 Target</w:t>
            </w:r>
          </w:p>
        </w:tc>
        <w:tc>
          <w:tcPr>
            <w:tcW w:w="1054" w:type="dxa"/>
            <w:vAlign w:val="center"/>
            <w:hideMark/>
          </w:tcPr>
          <w:p w14:paraId="63E2D1B2" w14:textId="77777777" w:rsidR="0066332C" w:rsidRPr="00D55FA1" w:rsidRDefault="0066332C" w:rsidP="00961037">
            <w:pPr>
              <w:jc w:val="center"/>
              <w:rPr>
                <w:rFonts w:cs="Arial"/>
              </w:rPr>
            </w:pPr>
            <w:r w:rsidRPr="00D55FA1">
              <w:rPr>
                <w:rFonts w:cs="Arial"/>
                <w:color w:val="000000" w:themeColor="dark1"/>
                <w:kern w:val="24"/>
              </w:rPr>
              <w:t>95%</w:t>
            </w:r>
          </w:p>
        </w:tc>
        <w:tc>
          <w:tcPr>
            <w:tcW w:w="1108" w:type="dxa"/>
            <w:vAlign w:val="center"/>
            <w:hideMark/>
          </w:tcPr>
          <w:p w14:paraId="13F3B779" w14:textId="77777777" w:rsidR="0066332C" w:rsidRPr="00D55FA1" w:rsidRDefault="0066332C" w:rsidP="00961037">
            <w:pPr>
              <w:jc w:val="center"/>
              <w:rPr>
                <w:rFonts w:cs="Arial"/>
              </w:rPr>
            </w:pPr>
            <w:r w:rsidRPr="00D55FA1">
              <w:rPr>
                <w:rFonts w:cs="Arial"/>
                <w:color w:val="000000" w:themeColor="dark1"/>
                <w:kern w:val="24"/>
              </w:rPr>
              <w:t>95%</w:t>
            </w:r>
          </w:p>
        </w:tc>
        <w:tc>
          <w:tcPr>
            <w:tcW w:w="1068" w:type="dxa"/>
            <w:vAlign w:val="center"/>
            <w:hideMark/>
          </w:tcPr>
          <w:p w14:paraId="7C35C51B" w14:textId="77777777" w:rsidR="0066332C" w:rsidRPr="00D55FA1" w:rsidRDefault="0066332C" w:rsidP="00961037">
            <w:pPr>
              <w:jc w:val="center"/>
              <w:rPr>
                <w:rFonts w:cs="Arial"/>
              </w:rPr>
            </w:pPr>
            <w:r w:rsidRPr="00D55FA1">
              <w:rPr>
                <w:rFonts w:cs="Arial"/>
                <w:color w:val="000000" w:themeColor="dark1"/>
                <w:kern w:val="24"/>
              </w:rPr>
              <w:t>95%</w:t>
            </w:r>
          </w:p>
        </w:tc>
        <w:tc>
          <w:tcPr>
            <w:tcW w:w="1054" w:type="dxa"/>
            <w:vAlign w:val="center"/>
            <w:hideMark/>
          </w:tcPr>
          <w:p w14:paraId="33480182" w14:textId="77777777" w:rsidR="0066332C" w:rsidRPr="00D55FA1" w:rsidRDefault="0066332C" w:rsidP="00961037">
            <w:pPr>
              <w:jc w:val="center"/>
              <w:rPr>
                <w:rFonts w:cs="Arial"/>
              </w:rPr>
            </w:pPr>
            <w:r w:rsidRPr="00D55FA1">
              <w:rPr>
                <w:rFonts w:cs="Arial"/>
                <w:color w:val="000000" w:themeColor="dark1"/>
                <w:kern w:val="24"/>
              </w:rPr>
              <w:t>95%</w:t>
            </w:r>
          </w:p>
        </w:tc>
        <w:tc>
          <w:tcPr>
            <w:tcW w:w="934" w:type="dxa"/>
            <w:vAlign w:val="center"/>
            <w:hideMark/>
          </w:tcPr>
          <w:p w14:paraId="425787D4" w14:textId="77777777" w:rsidR="0066332C" w:rsidRPr="00D55FA1" w:rsidRDefault="0066332C" w:rsidP="00961037">
            <w:pPr>
              <w:jc w:val="center"/>
              <w:rPr>
                <w:rFonts w:cs="Arial"/>
              </w:rPr>
            </w:pPr>
            <w:r w:rsidRPr="00D55FA1">
              <w:rPr>
                <w:rFonts w:cs="Arial"/>
                <w:color w:val="000000" w:themeColor="dark1"/>
                <w:kern w:val="24"/>
              </w:rPr>
              <w:t>95%</w:t>
            </w:r>
          </w:p>
        </w:tc>
        <w:tc>
          <w:tcPr>
            <w:tcW w:w="1159" w:type="dxa"/>
            <w:vAlign w:val="center"/>
            <w:hideMark/>
          </w:tcPr>
          <w:p w14:paraId="41E7A841" w14:textId="77777777" w:rsidR="0066332C" w:rsidRPr="00D55FA1" w:rsidRDefault="0066332C" w:rsidP="00961037">
            <w:pPr>
              <w:jc w:val="center"/>
              <w:rPr>
                <w:rFonts w:cs="Arial"/>
              </w:rPr>
            </w:pPr>
            <w:r w:rsidRPr="00D55FA1">
              <w:rPr>
                <w:rFonts w:cs="Arial"/>
                <w:color w:val="000000" w:themeColor="dark1"/>
                <w:kern w:val="24"/>
              </w:rPr>
              <w:t>95%</w:t>
            </w:r>
          </w:p>
        </w:tc>
      </w:tr>
      <w:tr w:rsidR="0066332C" w:rsidRPr="00D55FA1" w14:paraId="21551CB3" w14:textId="77777777" w:rsidTr="00CD2A6F">
        <w:trPr>
          <w:cantSplit/>
          <w:trHeight w:val="288"/>
        </w:trPr>
        <w:tc>
          <w:tcPr>
            <w:tcW w:w="2965" w:type="dxa"/>
            <w:vAlign w:val="center"/>
          </w:tcPr>
          <w:p w14:paraId="7247E289"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Result</w:t>
            </w:r>
          </w:p>
        </w:tc>
        <w:tc>
          <w:tcPr>
            <w:tcW w:w="1054" w:type="dxa"/>
            <w:vAlign w:val="center"/>
          </w:tcPr>
          <w:p w14:paraId="5A34C260"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33%</w:t>
            </w:r>
          </w:p>
        </w:tc>
        <w:tc>
          <w:tcPr>
            <w:tcW w:w="1108" w:type="dxa"/>
            <w:vAlign w:val="center"/>
          </w:tcPr>
          <w:p w14:paraId="19219836" w14:textId="37A10BF0" w:rsidR="0066332C" w:rsidRPr="00D55FA1" w:rsidRDefault="0066332C" w:rsidP="00961037">
            <w:pPr>
              <w:jc w:val="center"/>
              <w:rPr>
                <w:rFonts w:cs="Arial"/>
                <w:color w:val="000000" w:themeColor="dark1"/>
                <w:kern w:val="24"/>
              </w:rPr>
            </w:pPr>
            <w:r w:rsidRPr="00D55FA1">
              <w:rPr>
                <w:rFonts w:cs="Arial"/>
                <w:color w:val="000000" w:themeColor="dark1"/>
                <w:kern w:val="24"/>
              </w:rPr>
              <w:t>82.36%</w:t>
            </w:r>
          </w:p>
        </w:tc>
        <w:tc>
          <w:tcPr>
            <w:tcW w:w="1068" w:type="dxa"/>
            <w:vAlign w:val="center"/>
          </w:tcPr>
          <w:p w14:paraId="296FEF7D" w14:textId="322BF27D" w:rsidR="0066332C" w:rsidRPr="00D55FA1" w:rsidRDefault="0083171F" w:rsidP="00961037">
            <w:pPr>
              <w:jc w:val="center"/>
              <w:rPr>
                <w:rFonts w:cs="Arial"/>
                <w:color w:val="000000" w:themeColor="dark1"/>
                <w:kern w:val="24"/>
              </w:rPr>
            </w:pPr>
            <w:r w:rsidRPr="00D55FA1">
              <w:rPr>
                <w:rFonts w:cs="Arial"/>
                <w:color w:val="000000" w:themeColor="dark1"/>
                <w:kern w:val="24"/>
              </w:rPr>
              <w:t>86.47%</w:t>
            </w:r>
          </w:p>
        </w:tc>
        <w:tc>
          <w:tcPr>
            <w:tcW w:w="1054" w:type="dxa"/>
            <w:vAlign w:val="center"/>
          </w:tcPr>
          <w:p w14:paraId="7194DBDC" w14:textId="0F0DA6A9" w:rsidR="0066332C" w:rsidRPr="00D55FA1" w:rsidRDefault="006C25D7" w:rsidP="00961037">
            <w:pPr>
              <w:jc w:val="center"/>
              <w:rPr>
                <w:rFonts w:cs="Arial"/>
                <w:color w:val="000000" w:themeColor="dark1"/>
                <w:kern w:val="24"/>
              </w:rPr>
            </w:pPr>
            <w:r>
              <w:rPr>
                <w:rFonts w:cs="Arial"/>
                <w:bCs/>
              </w:rPr>
              <w:t>87.46%</w:t>
            </w:r>
          </w:p>
        </w:tc>
        <w:tc>
          <w:tcPr>
            <w:tcW w:w="934" w:type="dxa"/>
            <w:vAlign w:val="center"/>
          </w:tcPr>
          <w:p w14:paraId="769D0D3C" w14:textId="675D7CBC" w:rsidR="0066332C" w:rsidRPr="00D55FA1" w:rsidRDefault="00DE7835" w:rsidP="00961037">
            <w:pPr>
              <w:jc w:val="center"/>
              <w:rPr>
                <w:rFonts w:cs="Arial"/>
                <w:color w:val="000000" w:themeColor="dark1"/>
                <w:kern w:val="24"/>
              </w:rPr>
            </w:pPr>
            <w:r>
              <w:rPr>
                <w:rFonts w:cs="Arial"/>
                <w:bCs/>
              </w:rPr>
              <w:t>89.23%</w:t>
            </w:r>
          </w:p>
        </w:tc>
        <w:tc>
          <w:tcPr>
            <w:tcW w:w="1159" w:type="dxa"/>
            <w:vAlign w:val="center"/>
          </w:tcPr>
          <w:p w14:paraId="54CD245A" w14:textId="07781995"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0639FE3D" w14:textId="77777777" w:rsidTr="00CD2A6F">
        <w:trPr>
          <w:cantSplit/>
          <w:trHeight w:val="288"/>
        </w:trPr>
        <w:tc>
          <w:tcPr>
            <w:tcW w:w="2965" w:type="dxa"/>
            <w:vAlign w:val="center"/>
          </w:tcPr>
          <w:p w14:paraId="1E8DD74A"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Target Met</w:t>
            </w:r>
          </w:p>
        </w:tc>
        <w:tc>
          <w:tcPr>
            <w:tcW w:w="1054" w:type="dxa"/>
            <w:vAlign w:val="center"/>
          </w:tcPr>
          <w:p w14:paraId="6EEB4308"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08" w:type="dxa"/>
            <w:vAlign w:val="center"/>
          </w:tcPr>
          <w:p w14:paraId="1231BE67" w14:textId="0074E455"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068" w:type="dxa"/>
            <w:vAlign w:val="center"/>
          </w:tcPr>
          <w:p w14:paraId="36FEB5B0" w14:textId="427BDD19" w:rsidR="0066332C" w:rsidRPr="00D55FA1" w:rsidRDefault="0083171F" w:rsidP="00961037">
            <w:pPr>
              <w:jc w:val="center"/>
              <w:rPr>
                <w:rFonts w:cs="Arial"/>
                <w:color w:val="000000" w:themeColor="dark1"/>
                <w:kern w:val="24"/>
              </w:rPr>
            </w:pPr>
            <w:r w:rsidRPr="00D55FA1">
              <w:rPr>
                <w:rFonts w:cs="Arial"/>
                <w:color w:val="000000" w:themeColor="dark1"/>
                <w:kern w:val="24"/>
              </w:rPr>
              <w:t>No</w:t>
            </w:r>
          </w:p>
        </w:tc>
        <w:tc>
          <w:tcPr>
            <w:tcW w:w="1054" w:type="dxa"/>
            <w:vAlign w:val="center"/>
          </w:tcPr>
          <w:p w14:paraId="30D7AA69" w14:textId="79F03A22" w:rsidR="0066332C" w:rsidRPr="00D55FA1" w:rsidRDefault="006C25D7" w:rsidP="00961037">
            <w:pPr>
              <w:jc w:val="center"/>
              <w:rPr>
                <w:rFonts w:cs="Arial"/>
                <w:color w:val="000000" w:themeColor="dark1"/>
                <w:kern w:val="24"/>
              </w:rPr>
            </w:pPr>
            <w:r>
              <w:rPr>
                <w:rFonts w:cs="Arial"/>
                <w:bCs/>
              </w:rPr>
              <w:t>No</w:t>
            </w:r>
          </w:p>
        </w:tc>
        <w:tc>
          <w:tcPr>
            <w:tcW w:w="934" w:type="dxa"/>
            <w:vAlign w:val="center"/>
          </w:tcPr>
          <w:p w14:paraId="7196D064" w14:textId="225C5CA3" w:rsidR="0066332C" w:rsidRPr="00D55FA1" w:rsidRDefault="00DE7835" w:rsidP="00961037">
            <w:pPr>
              <w:jc w:val="center"/>
              <w:rPr>
                <w:rFonts w:cs="Arial"/>
                <w:color w:val="000000" w:themeColor="dark1"/>
                <w:kern w:val="24"/>
              </w:rPr>
            </w:pPr>
            <w:r>
              <w:rPr>
                <w:rFonts w:cs="Arial"/>
                <w:bCs/>
              </w:rPr>
              <w:t>No</w:t>
            </w:r>
          </w:p>
        </w:tc>
        <w:tc>
          <w:tcPr>
            <w:tcW w:w="1159" w:type="dxa"/>
            <w:vAlign w:val="center"/>
          </w:tcPr>
          <w:p w14:paraId="34FF1C98" w14:textId="13177F56" w:rsidR="0066332C" w:rsidRPr="00D55FA1" w:rsidRDefault="00DF008C" w:rsidP="00961037">
            <w:pPr>
              <w:jc w:val="center"/>
              <w:rPr>
                <w:rFonts w:cs="Arial"/>
                <w:color w:val="000000" w:themeColor="dark1"/>
                <w:kern w:val="24"/>
              </w:rPr>
            </w:pPr>
            <w:r w:rsidRPr="00D55FA1">
              <w:rPr>
                <w:rFonts w:cs="Arial"/>
                <w:bCs/>
              </w:rPr>
              <w:t>-</w:t>
            </w:r>
          </w:p>
        </w:tc>
      </w:tr>
      <w:bookmarkEnd w:id="119"/>
    </w:tbl>
    <w:p w14:paraId="64329561" w14:textId="77777777" w:rsidR="00B503BB" w:rsidRDefault="00B503BB" w:rsidP="00DF008C">
      <w:pPr>
        <w:spacing w:after="240"/>
        <w:rPr>
          <w:b/>
          <w:bCs/>
        </w:rPr>
      </w:pPr>
    </w:p>
    <w:p w14:paraId="6D072C0D" w14:textId="42B1EDA2" w:rsidR="00EB1E42" w:rsidRPr="00B503BB" w:rsidRDefault="00EB1E42" w:rsidP="00DF008C">
      <w:pPr>
        <w:spacing w:after="240"/>
        <w:rPr>
          <w:rFonts w:cs="Arial"/>
          <w:b/>
          <w:bCs/>
        </w:rPr>
      </w:pPr>
    </w:p>
    <w:tbl>
      <w:tblPr>
        <w:tblStyle w:val="TableGrid1"/>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Indicator 3A Math targets and results"/>
      </w:tblPr>
      <w:tblGrid>
        <w:gridCol w:w="2985"/>
        <w:gridCol w:w="974"/>
        <w:gridCol w:w="1141"/>
        <w:gridCol w:w="1107"/>
        <w:gridCol w:w="1095"/>
        <w:gridCol w:w="1030"/>
        <w:gridCol w:w="1056"/>
      </w:tblGrid>
      <w:tr w:rsidR="0066332C" w:rsidRPr="00D55FA1" w14:paraId="266A1634" w14:textId="77777777" w:rsidTr="00CD2A6F">
        <w:trPr>
          <w:cantSplit/>
          <w:trHeight w:val="309"/>
          <w:tblHeader/>
        </w:trPr>
        <w:tc>
          <w:tcPr>
            <w:tcW w:w="3012" w:type="dxa"/>
            <w:vAlign w:val="center"/>
            <w:hideMark/>
          </w:tcPr>
          <w:p w14:paraId="2577F39D" w14:textId="77777777" w:rsidR="0066332C" w:rsidRPr="00D55FA1" w:rsidRDefault="0066332C" w:rsidP="00961037">
            <w:pPr>
              <w:jc w:val="center"/>
              <w:rPr>
                <w:rFonts w:cs="Arial"/>
                <w:b/>
              </w:rPr>
            </w:pPr>
            <w:r w:rsidRPr="00D55FA1">
              <w:rPr>
                <w:rFonts w:cs="Arial"/>
                <w:b/>
              </w:rPr>
              <w:t>Indicator 3a Math</w:t>
            </w:r>
          </w:p>
        </w:tc>
        <w:tc>
          <w:tcPr>
            <w:tcW w:w="978" w:type="dxa"/>
            <w:vAlign w:val="center"/>
            <w:hideMark/>
          </w:tcPr>
          <w:p w14:paraId="6458ECF6" w14:textId="77777777" w:rsidR="0066332C" w:rsidRPr="00D55FA1" w:rsidRDefault="0066332C" w:rsidP="00961037">
            <w:pPr>
              <w:jc w:val="center"/>
              <w:rPr>
                <w:rFonts w:cs="Arial"/>
              </w:rPr>
            </w:pPr>
            <w:r w:rsidRPr="00D55FA1">
              <w:rPr>
                <w:rFonts w:cs="Arial"/>
                <w:b/>
                <w:bCs/>
                <w:kern w:val="24"/>
              </w:rPr>
              <w:t>2020</w:t>
            </w:r>
          </w:p>
        </w:tc>
        <w:tc>
          <w:tcPr>
            <w:tcW w:w="1143" w:type="dxa"/>
            <w:vAlign w:val="center"/>
            <w:hideMark/>
          </w:tcPr>
          <w:p w14:paraId="0F366D60" w14:textId="77777777" w:rsidR="0066332C" w:rsidRPr="00D55FA1" w:rsidRDefault="0066332C" w:rsidP="00961037">
            <w:pPr>
              <w:jc w:val="center"/>
              <w:rPr>
                <w:rFonts w:cs="Arial"/>
              </w:rPr>
            </w:pPr>
            <w:r w:rsidRPr="00D55FA1">
              <w:rPr>
                <w:rFonts w:cs="Arial"/>
                <w:b/>
                <w:bCs/>
                <w:kern w:val="24"/>
              </w:rPr>
              <w:t>2021</w:t>
            </w:r>
          </w:p>
        </w:tc>
        <w:tc>
          <w:tcPr>
            <w:tcW w:w="1108" w:type="dxa"/>
            <w:vAlign w:val="center"/>
            <w:hideMark/>
          </w:tcPr>
          <w:p w14:paraId="053A94A5" w14:textId="77777777" w:rsidR="0066332C" w:rsidRPr="00D55FA1" w:rsidRDefault="0066332C" w:rsidP="00961037">
            <w:pPr>
              <w:jc w:val="center"/>
              <w:rPr>
                <w:rFonts w:cs="Arial"/>
              </w:rPr>
            </w:pPr>
            <w:r w:rsidRPr="00D55FA1">
              <w:rPr>
                <w:rFonts w:cs="Arial"/>
                <w:b/>
                <w:bCs/>
                <w:kern w:val="24"/>
              </w:rPr>
              <w:t>2022</w:t>
            </w:r>
          </w:p>
        </w:tc>
        <w:tc>
          <w:tcPr>
            <w:tcW w:w="1096" w:type="dxa"/>
            <w:vAlign w:val="center"/>
            <w:hideMark/>
          </w:tcPr>
          <w:p w14:paraId="399A5668" w14:textId="77777777" w:rsidR="0066332C" w:rsidRPr="00D55FA1" w:rsidRDefault="0066332C" w:rsidP="00961037">
            <w:pPr>
              <w:jc w:val="center"/>
              <w:rPr>
                <w:rFonts w:cs="Arial"/>
              </w:rPr>
            </w:pPr>
            <w:r w:rsidRPr="00D55FA1">
              <w:rPr>
                <w:rFonts w:cs="Arial"/>
                <w:b/>
                <w:bCs/>
                <w:kern w:val="24"/>
              </w:rPr>
              <w:t>2023</w:t>
            </w:r>
          </w:p>
        </w:tc>
        <w:tc>
          <w:tcPr>
            <w:tcW w:w="990" w:type="dxa"/>
            <w:vAlign w:val="center"/>
            <w:hideMark/>
          </w:tcPr>
          <w:p w14:paraId="7EEB8710" w14:textId="77777777" w:rsidR="0066332C" w:rsidRPr="00D55FA1" w:rsidRDefault="0066332C" w:rsidP="00961037">
            <w:pPr>
              <w:jc w:val="center"/>
              <w:rPr>
                <w:rFonts w:cs="Arial"/>
              </w:rPr>
            </w:pPr>
            <w:r w:rsidRPr="00D55FA1">
              <w:rPr>
                <w:rFonts w:cs="Arial"/>
                <w:b/>
                <w:bCs/>
                <w:kern w:val="24"/>
              </w:rPr>
              <w:t>2024</w:t>
            </w:r>
          </w:p>
        </w:tc>
        <w:tc>
          <w:tcPr>
            <w:tcW w:w="1061" w:type="dxa"/>
            <w:vAlign w:val="center"/>
            <w:hideMark/>
          </w:tcPr>
          <w:p w14:paraId="4FA36ACC" w14:textId="77777777" w:rsidR="0066332C" w:rsidRPr="00D55FA1" w:rsidRDefault="0066332C" w:rsidP="00961037">
            <w:pPr>
              <w:jc w:val="center"/>
              <w:rPr>
                <w:rFonts w:cs="Arial"/>
              </w:rPr>
            </w:pPr>
            <w:r w:rsidRPr="00D55FA1">
              <w:rPr>
                <w:rFonts w:cs="Arial"/>
                <w:b/>
                <w:bCs/>
                <w:kern w:val="24"/>
              </w:rPr>
              <w:t>2025</w:t>
            </w:r>
          </w:p>
        </w:tc>
      </w:tr>
      <w:tr w:rsidR="0066332C" w:rsidRPr="00D55FA1" w14:paraId="251D938E" w14:textId="77777777" w:rsidTr="00CD2A6F">
        <w:trPr>
          <w:cantSplit/>
          <w:trHeight w:val="309"/>
        </w:trPr>
        <w:tc>
          <w:tcPr>
            <w:tcW w:w="3012" w:type="dxa"/>
            <w:vAlign w:val="center"/>
            <w:hideMark/>
          </w:tcPr>
          <w:p w14:paraId="4F684BF6" w14:textId="77777777" w:rsidR="0066332C" w:rsidRPr="00D55FA1" w:rsidRDefault="0066332C" w:rsidP="00961037">
            <w:pPr>
              <w:jc w:val="center"/>
              <w:rPr>
                <w:rFonts w:cs="Arial"/>
              </w:rPr>
            </w:pPr>
            <w:r w:rsidRPr="00D55FA1">
              <w:rPr>
                <w:rFonts w:cs="Arial"/>
                <w:color w:val="000000" w:themeColor="dark1"/>
                <w:kern w:val="24"/>
              </w:rPr>
              <w:t>Grade 4 Target</w:t>
            </w:r>
          </w:p>
        </w:tc>
        <w:tc>
          <w:tcPr>
            <w:tcW w:w="978" w:type="dxa"/>
            <w:vAlign w:val="center"/>
            <w:hideMark/>
          </w:tcPr>
          <w:p w14:paraId="59FF1C13" w14:textId="77777777" w:rsidR="0066332C" w:rsidRPr="00D55FA1" w:rsidRDefault="0066332C" w:rsidP="00961037">
            <w:pPr>
              <w:jc w:val="center"/>
              <w:rPr>
                <w:rFonts w:cs="Arial"/>
              </w:rPr>
            </w:pPr>
            <w:r w:rsidRPr="00D55FA1">
              <w:rPr>
                <w:rFonts w:cs="Arial"/>
                <w:color w:val="000000" w:themeColor="dark1"/>
                <w:kern w:val="24"/>
              </w:rPr>
              <w:t>95%</w:t>
            </w:r>
          </w:p>
        </w:tc>
        <w:tc>
          <w:tcPr>
            <w:tcW w:w="1143" w:type="dxa"/>
            <w:vAlign w:val="center"/>
            <w:hideMark/>
          </w:tcPr>
          <w:p w14:paraId="6183B834" w14:textId="77777777" w:rsidR="0066332C" w:rsidRPr="00D55FA1" w:rsidRDefault="0066332C" w:rsidP="00961037">
            <w:pPr>
              <w:jc w:val="center"/>
              <w:rPr>
                <w:rFonts w:cs="Arial"/>
              </w:rPr>
            </w:pPr>
            <w:r w:rsidRPr="00D55FA1">
              <w:rPr>
                <w:rFonts w:cs="Arial"/>
                <w:color w:val="000000" w:themeColor="dark1"/>
                <w:kern w:val="24"/>
              </w:rPr>
              <w:t>95%</w:t>
            </w:r>
          </w:p>
        </w:tc>
        <w:tc>
          <w:tcPr>
            <w:tcW w:w="1108" w:type="dxa"/>
            <w:vAlign w:val="center"/>
            <w:hideMark/>
          </w:tcPr>
          <w:p w14:paraId="1917D0BF" w14:textId="77777777" w:rsidR="0066332C" w:rsidRPr="00D55FA1" w:rsidRDefault="0066332C" w:rsidP="00961037">
            <w:pPr>
              <w:jc w:val="center"/>
              <w:rPr>
                <w:rFonts w:cs="Arial"/>
              </w:rPr>
            </w:pPr>
            <w:r w:rsidRPr="00D55FA1">
              <w:rPr>
                <w:rFonts w:cs="Arial"/>
                <w:color w:val="000000" w:themeColor="dark1"/>
                <w:kern w:val="24"/>
              </w:rPr>
              <w:t>95%</w:t>
            </w:r>
          </w:p>
        </w:tc>
        <w:tc>
          <w:tcPr>
            <w:tcW w:w="1096" w:type="dxa"/>
            <w:vAlign w:val="center"/>
            <w:hideMark/>
          </w:tcPr>
          <w:p w14:paraId="4F94765F" w14:textId="77777777" w:rsidR="0066332C" w:rsidRPr="00D55FA1" w:rsidRDefault="0066332C" w:rsidP="00961037">
            <w:pPr>
              <w:jc w:val="center"/>
              <w:rPr>
                <w:rFonts w:cs="Arial"/>
              </w:rPr>
            </w:pPr>
            <w:r w:rsidRPr="00D55FA1">
              <w:rPr>
                <w:rFonts w:cs="Arial"/>
                <w:color w:val="000000" w:themeColor="dark1"/>
                <w:kern w:val="24"/>
              </w:rPr>
              <w:t>95%</w:t>
            </w:r>
          </w:p>
        </w:tc>
        <w:tc>
          <w:tcPr>
            <w:tcW w:w="990" w:type="dxa"/>
            <w:vAlign w:val="center"/>
            <w:hideMark/>
          </w:tcPr>
          <w:p w14:paraId="1F5DF756" w14:textId="77777777" w:rsidR="0066332C" w:rsidRPr="00D55FA1" w:rsidRDefault="0066332C" w:rsidP="00961037">
            <w:pPr>
              <w:jc w:val="center"/>
              <w:rPr>
                <w:rFonts w:cs="Arial"/>
              </w:rPr>
            </w:pPr>
            <w:r w:rsidRPr="00D55FA1">
              <w:rPr>
                <w:rFonts w:cs="Arial"/>
                <w:color w:val="000000" w:themeColor="dark1"/>
                <w:kern w:val="24"/>
              </w:rPr>
              <w:t>95%</w:t>
            </w:r>
          </w:p>
        </w:tc>
        <w:tc>
          <w:tcPr>
            <w:tcW w:w="1061" w:type="dxa"/>
            <w:vAlign w:val="center"/>
            <w:hideMark/>
          </w:tcPr>
          <w:p w14:paraId="66326672" w14:textId="77777777" w:rsidR="0066332C" w:rsidRPr="00D55FA1" w:rsidRDefault="0066332C" w:rsidP="00961037">
            <w:pPr>
              <w:jc w:val="center"/>
              <w:rPr>
                <w:rFonts w:cs="Arial"/>
              </w:rPr>
            </w:pPr>
            <w:r w:rsidRPr="00D55FA1">
              <w:rPr>
                <w:rFonts w:cs="Arial"/>
                <w:color w:val="000000" w:themeColor="dark1"/>
                <w:kern w:val="24"/>
              </w:rPr>
              <w:t>95%</w:t>
            </w:r>
          </w:p>
        </w:tc>
      </w:tr>
      <w:tr w:rsidR="0066332C" w:rsidRPr="00D55FA1" w14:paraId="45029A90" w14:textId="77777777" w:rsidTr="00CD2A6F">
        <w:trPr>
          <w:cantSplit/>
          <w:trHeight w:val="309"/>
        </w:trPr>
        <w:tc>
          <w:tcPr>
            <w:tcW w:w="3012" w:type="dxa"/>
            <w:vAlign w:val="center"/>
          </w:tcPr>
          <w:p w14:paraId="0E6D7D2A"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Result</w:t>
            </w:r>
          </w:p>
        </w:tc>
        <w:tc>
          <w:tcPr>
            <w:tcW w:w="978" w:type="dxa"/>
            <w:vAlign w:val="center"/>
          </w:tcPr>
          <w:p w14:paraId="2C874B54"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20%</w:t>
            </w:r>
          </w:p>
        </w:tc>
        <w:tc>
          <w:tcPr>
            <w:tcW w:w="1143" w:type="dxa"/>
            <w:vAlign w:val="center"/>
          </w:tcPr>
          <w:p w14:paraId="48A21919" w14:textId="11732B71" w:rsidR="0066332C" w:rsidRPr="00D55FA1" w:rsidRDefault="0066332C" w:rsidP="00961037">
            <w:pPr>
              <w:jc w:val="center"/>
              <w:rPr>
                <w:rFonts w:cs="Arial"/>
                <w:color w:val="000000" w:themeColor="dark1"/>
                <w:kern w:val="24"/>
              </w:rPr>
            </w:pPr>
            <w:r w:rsidRPr="00D55FA1">
              <w:rPr>
                <w:rFonts w:cs="Arial"/>
                <w:color w:val="000000" w:themeColor="dark1"/>
                <w:kern w:val="24"/>
              </w:rPr>
              <w:t>94.48%</w:t>
            </w:r>
          </w:p>
        </w:tc>
        <w:tc>
          <w:tcPr>
            <w:tcW w:w="1108" w:type="dxa"/>
            <w:vAlign w:val="center"/>
          </w:tcPr>
          <w:p w14:paraId="6BD18F9B" w14:textId="5F81F4CB" w:rsidR="0066332C" w:rsidRPr="00D55FA1" w:rsidRDefault="0083171F" w:rsidP="00961037">
            <w:pPr>
              <w:jc w:val="center"/>
              <w:rPr>
                <w:rFonts w:cs="Arial"/>
                <w:color w:val="000000" w:themeColor="dark1"/>
                <w:kern w:val="24"/>
              </w:rPr>
            </w:pPr>
            <w:r w:rsidRPr="00D55FA1">
              <w:rPr>
                <w:rFonts w:cs="Arial"/>
                <w:color w:val="000000" w:themeColor="dark1"/>
                <w:kern w:val="24"/>
              </w:rPr>
              <w:t>95.94%</w:t>
            </w:r>
          </w:p>
        </w:tc>
        <w:tc>
          <w:tcPr>
            <w:tcW w:w="1096" w:type="dxa"/>
            <w:vAlign w:val="center"/>
          </w:tcPr>
          <w:p w14:paraId="238601FE" w14:textId="0FF32709" w:rsidR="0066332C" w:rsidRPr="00D55FA1" w:rsidRDefault="0042140C" w:rsidP="00961037">
            <w:pPr>
              <w:jc w:val="center"/>
              <w:rPr>
                <w:rFonts w:cs="Arial"/>
                <w:color w:val="000000" w:themeColor="dark1"/>
                <w:kern w:val="24"/>
              </w:rPr>
            </w:pPr>
            <w:r>
              <w:rPr>
                <w:rFonts w:cs="Arial"/>
                <w:bCs/>
              </w:rPr>
              <w:t>95.95%</w:t>
            </w:r>
          </w:p>
        </w:tc>
        <w:tc>
          <w:tcPr>
            <w:tcW w:w="990" w:type="dxa"/>
            <w:vAlign w:val="center"/>
          </w:tcPr>
          <w:p w14:paraId="0F3CABC7" w14:textId="3BC03041" w:rsidR="0066332C" w:rsidRPr="00D55FA1" w:rsidRDefault="00DE7835" w:rsidP="00961037">
            <w:pPr>
              <w:jc w:val="center"/>
              <w:rPr>
                <w:rFonts w:cs="Arial"/>
                <w:color w:val="000000" w:themeColor="dark1"/>
                <w:kern w:val="24"/>
              </w:rPr>
            </w:pPr>
            <w:r>
              <w:rPr>
                <w:rFonts w:cs="Arial"/>
                <w:bCs/>
              </w:rPr>
              <w:t>96.30%</w:t>
            </w:r>
          </w:p>
        </w:tc>
        <w:tc>
          <w:tcPr>
            <w:tcW w:w="1061" w:type="dxa"/>
            <w:vAlign w:val="center"/>
          </w:tcPr>
          <w:p w14:paraId="5B08B5D1" w14:textId="275F4771"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1CBC74E4" w14:textId="77777777" w:rsidTr="00CD2A6F">
        <w:trPr>
          <w:cantSplit/>
          <w:trHeight w:val="309"/>
        </w:trPr>
        <w:tc>
          <w:tcPr>
            <w:tcW w:w="3012" w:type="dxa"/>
            <w:vAlign w:val="center"/>
          </w:tcPr>
          <w:p w14:paraId="72EC0F54"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Target Met</w:t>
            </w:r>
          </w:p>
        </w:tc>
        <w:tc>
          <w:tcPr>
            <w:tcW w:w="978" w:type="dxa"/>
            <w:vAlign w:val="center"/>
          </w:tcPr>
          <w:p w14:paraId="310B3FE0"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43" w:type="dxa"/>
            <w:vAlign w:val="center"/>
          </w:tcPr>
          <w:p w14:paraId="16DEB4AB" w14:textId="29731159"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08" w:type="dxa"/>
            <w:vAlign w:val="center"/>
          </w:tcPr>
          <w:p w14:paraId="0AD9C6F4" w14:textId="5EEE5181"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96" w:type="dxa"/>
            <w:vAlign w:val="center"/>
          </w:tcPr>
          <w:p w14:paraId="4B1F511A" w14:textId="06FFACB5" w:rsidR="0066332C" w:rsidRPr="00D55FA1" w:rsidRDefault="0042140C" w:rsidP="00961037">
            <w:pPr>
              <w:jc w:val="center"/>
              <w:rPr>
                <w:rFonts w:cs="Arial"/>
                <w:color w:val="000000" w:themeColor="dark1"/>
                <w:kern w:val="24"/>
              </w:rPr>
            </w:pPr>
            <w:r>
              <w:rPr>
                <w:rFonts w:cs="Arial"/>
                <w:bCs/>
              </w:rPr>
              <w:t>Yes</w:t>
            </w:r>
          </w:p>
        </w:tc>
        <w:tc>
          <w:tcPr>
            <w:tcW w:w="990" w:type="dxa"/>
            <w:vAlign w:val="center"/>
          </w:tcPr>
          <w:p w14:paraId="65F9C3DC" w14:textId="227E6E0A" w:rsidR="0066332C" w:rsidRPr="00D55FA1" w:rsidRDefault="00DE7835" w:rsidP="00961037">
            <w:pPr>
              <w:jc w:val="center"/>
              <w:rPr>
                <w:rFonts w:cs="Arial"/>
                <w:color w:val="000000" w:themeColor="dark1"/>
                <w:kern w:val="24"/>
              </w:rPr>
            </w:pPr>
            <w:r>
              <w:rPr>
                <w:rFonts w:cs="Arial"/>
                <w:bCs/>
              </w:rPr>
              <w:t>Yes</w:t>
            </w:r>
          </w:p>
        </w:tc>
        <w:tc>
          <w:tcPr>
            <w:tcW w:w="1061" w:type="dxa"/>
            <w:vAlign w:val="center"/>
          </w:tcPr>
          <w:p w14:paraId="5023141B" w14:textId="18AC0D60"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35133237" w14:textId="77777777" w:rsidTr="00CD2A6F">
        <w:trPr>
          <w:cantSplit/>
          <w:trHeight w:val="309"/>
        </w:trPr>
        <w:tc>
          <w:tcPr>
            <w:tcW w:w="3012" w:type="dxa"/>
            <w:vAlign w:val="center"/>
            <w:hideMark/>
          </w:tcPr>
          <w:p w14:paraId="4F4FAEF8" w14:textId="77777777" w:rsidR="0066332C" w:rsidRPr="00D55FA1" w:rsidRDefault="0066332C" w:rsidP="00961037">
            <w:pPr>
              <w:jc w:val="center"/>
              <w:rPr>
                <w:rFonts w:cs="Arial"/>
              </w:rPr>
            </w:pPr>
            <w:r w:rsidRPr="00D55FA1">
              <w:rPr>
                <w:rFonts w:cs="Arial"/>
                <w:color w:val="000000" w:themeColor="dark1"/>
                <w:kern w:val="24"/>
              </w:rPr>
              <w:t>Grade 8 Target</w:t>
            </w:r>
          </w:p>
        </w:tc>
        <w:tc>
          <w:tcPr>
            <w:tcW w:w="978" w:type="dxa"/>
            <w:vAlign w:val="center"/>
            <w:hideMark/>
          </w:tcPr>
          <w:p w14:paraId="232EA405" w14:textId="77777777" w:rsidR="0066332C" w:rsidRPr="00D55FA1" w:rsidRDefault="0066332C" w:rsidP="00961037">
            <w:pPr>
              <w:jc w:val="center"/>
              <w:rPr>
                <w:rFonts w:cs="Arial"/>
              </w:rPr>
            </w:pPr>
            <w:r w:rsidRPr="00D55FA1">
              <w:rPr>
                <w:rFonts w:cs="Arial"/>
                <w:color w:val="000000" w:themeColor="dark1"/>
                <w:kern w:val="24"/>
              </w:rPr>
              <w:t>95%</w:t>
            </w:r>
          </w:p>
        </w:tc>
        <w:tc>
          <w:tcPr>
            <w:tcW w:w="1143" w:type="dxa"/>
            <w:vAlign w:val="center"/>
            <w:hideMark/>
          </w:tcPr>
          <w:p w14:paraId="530D5E21" w14:textId="77777777" w:rsidR="0066332C" w:rsidRPr="00D55FA1" w:rsidRDefault="0066332C" w:rsidP="00961037">
            <w:pPr>
              <w:jc w:val="center"/>
              <w:rPr>
                <w:rFonts w:cs="Arial"/>
              </w:rPr>
            </w:pPr>
            <w:r w:rsidRPr="00D55FA1">
              <w:rPr>
                <w:rFonts w:cs="Arial"/>
                <w:color w:val="000000" w:themeColor="dark1"/>
                <w:kern w:val="24"/>
              </w:rPr>
              <w:t>95%</w:t>
            </w:r>
          </w:p>
        </w:tc>
        <w:tc>
          <w:tcPr>
            <w:tcW w:w="1108" w:type="dxa"/>
            <w:vAlign w:val="center"/>
            <w:hideMark/>
          </w:tcPr>
          <w:p w14:paraId="79459D6F" w14:textId="77777777" w:rsidR="0066332C" w:rsidRPr="00D55FA1" w:rsidRDefault="0066332C" w:rsidP="00961037">
            <w:pPr>
              <w:jc w:val="center"/>
              <w:rPr>
                <w:rFonts w:cs="Arial"/>
              </w:rPr>
            </w:pPr>
            <w:r w:rsidRPr="00D55FA1">
              <w:rPr>
                <w:rFonts w:cs="Arial"/>
                <w:color w:val="000000" w:themeColor="dark1"/>
                <w:kern w:val="24"/>
              </w:rPr>
              <w:t>95%</w:t>
            </w:r>
          </w:p>
        </w:tc>
        <w:tc>
          <w:tcPr>
            <w:tcW w:w="1096" w:type="dxa"/>
            <w:vAlign w:val="center"/>
            <w:hideMark/>
          </w:tcPr>
          <w:p w14:paraId="3C9B0E0D" w14:textId="77777777" w:rsidR="0066332C" w:rsidRPr="00D55FA1" w:rsidRDefault="0066332C" w:rsidP="00961037">
            <w:pPr>
              <w:jc w:val="center"/>
              <w:rPr>
                <w:rFonts w:cs="Arial"/>
              </w:rPr>
            </w:pPr>
            <w:r w:rsidRPr="00D55FA1">
              <w:rPr>
                <w:rFonts w:cs="Arial"/>
                <w:color w:val="000000" w:themeColor="dark1"/>
                <w:kern w:val="24"/>
              </w:rPr>
              <w:t>95%</w:t>
            </w:r>
          </w:p>
        </w:tc>
        <w:tc>
          <w:tcPr>
            <w:tcW w:w="990" w:type="dxa"/>
            <w:vAlign w:val="center"/>
            <w:hideMark/>
          </w:tcPr>
          <w:p w14:paraId="34CF1D8A" w14:textId="77777777" w:rsidR="0066332C" w:rsidRPr="00D55FA1" w:rsidRDefault="0066332C" w:rsidP="00961037">
            <w:pPr>
              <w:jc w:val="center"/>
              <w:rPr>
                <w:rFonts w:cs="Arial"/>
              </w:rPr>
            </w:pPr>
            <w:r w:rsidRPr="00D55FA1">
              <w:rPr>
                <w:rFonts w:cs="Arial"/>
                <w:color w:val="000000" w:themeColor="dark1"/>
                <w:kern w:val="24"/>
              </w:rPr>
              <w:t>95%</w:t>
            </w:r>
          </w:p>
        </w:tc>
        <w:tc>
          <w:tcPr>
            <w:tcW w:w="1061" w:type="dxa"/>
            <w:vAlign w:val="center"/>
            <w:hideMark/>
          </w:tcPr>
          <w:p w14:paraId="5D3825DB" w14:textId="77777777" w:rsidR="0066332C" w:rsidRPr="00D55FA1" w:rsidRDefault="0066332C" w:rsidP="00961037">
            <w:pPr>
              <w:jc w:val="center"/>
              <w:rPr>
                <w:rFonts w:cs="Arial"/>
              </w:rPr>
            </w:pPr>
            <w:r w:rsidRPr="00D55FA1">
              <w:rPr>
                <w:rFonts w:cs="Arial"/>
                <w:color w:val="000000" w:themeColor="dark1"/>
                <w:kern w:val="24"/>
              </w:rPr>
              <w:t>95%</w:t>
            </w:r>
          </w:p>
        </w:tc>
      </w:tr>
      <w:tr w:rsidR="0066332C" w:rsidRPr="00D55FA1" w14:paraId="00D538B3" w14:textId="77777777" w:rsidTr="00CD2A6F">
        <w:trPr>
          <w:cantSplit/>
          <w:trHeight w:val="309"/>
        </w:trPr>
        <w:tc>
          <w:tcPr>
            <w:tcW w:w="3012" w:type="dxa"/>
            <w:vAlign w:val="center"/>
          </w:tcPr>
          <w:p w14:paraId="77D0980A"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Result</w:t>
            </w:r>
          </w:p>
        </w:tc>
        <w:tc>
          <w:tcPr>
            <w:tcW w:w="978" w:type="dxa"/>
            <w:vAlign w:val="center"/>
          </w:tcPr>
          <w:p w14:paraId="3976D853"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20%</w:t>
            </w:r>
          </w:p>
        </w:tc>
        <w:tc>
          <w:tcPr>
            <w:tcW w:w="1143" w:type="dxa"/>
            <w:vAlign w:val="center"/>
          </w:tcPr>
          <w:p w14:paraId="1F3B1409" w14:textId="68D7283A" w:rsidR="0066332C" w:rsidRPr="00D55FA1" w:rsidRDefault="0066332C" w:rsidP="00961037">
            <w:pPr>
              <w:jc w:val="center"/>
              <w:rPr>
                <w:rFonts w:cs="Arial"/>
                <w:color w:val="000000" w:themeColor="dark1"/>
                <w:kern w:val="24"/>
              </w:rPr>
            </w:pPr>
            <w:r w:rsidRPr="00D55FA1">
              <w:rPr>
                <w:rFonts w:cs="Arial"/>
                <w:color w:val="000000" w:themeColor="dark1"/>
                <w:kern w:val="24"/>
              </w:rPr>
              <w:t>91.18%</w:t>
            </w:r>
          </w:p>
        </w:tc>
        <w:tc>
          <w:tcPr>
            <w:tcW w:w="1108" w:type="dxa"/>
            <w:vAlign w:val="center"/>
          </w:tcPr>
          <w:p w14:paraId="562C75D1" w14:textId="084827B7" w:rsidR="0066332C" w:rsidRPr="00D55FA1" w:rsidRDefault="0083171F" w:rsidP="00961037">
            <w:pPr>
              <w:jc w:val="center"/>
              <w:rPr>
                <w:rFonts w:cs="Arial"/>
                <w:color w:val="000000" w:themeColor="dark1"/>
                <w:kern w:val="24"/>
              </w:rPr>
            </w:pPr>
            <w:r w:rsidRPr="00D55FA1">
              <w:rPr>
                <w:rFonts w:cs="Arial"/>
                <w:color w:val="000000" w:themeColor="dark1"/>
                <w:kern w:val="24"/>
              </w:rPr>
              <w:t>92.57%</w:t>
            </w:r>
          </w:p>
        </w:tc>
        <w:tc>
          <w:tcPr>
            <w:tcW w:w="1096" w:type="dxa"/>
            <w:vAlign w:val="center"/>
          </w:tcPr>
          <w:p w14:paraId="664355AD" w14:textId="1E6B96F1" w:rsidR="0066332C" w:rsidRPr="00D55FA1" w:rsidRDefault="0042140C" w:rsidP="00961037">
            <w:pPr>
              <w:jc w:val="center"/>
              <w:rPr>
                <w:rFonts w:cs="Arial"/>
                <w:color w:val="000000" w:themeColor="dark1"/>
                <w:kern w:val="24"/>
              </w:rPr>
            </w:pPr>
            <w:r>
              <w:rPr>
                <w:rFonts w:cs="Arial"/>
                <w:bCs/>
              </w:rPr>
              <w:t>92.41%</w:t>
            </w:r>
          </w:p>
        </w:tc>
        <w:tc>
          <w:tcPr>
            <w:tcW w:w="990" w:type="dxa"/>
            <w:vAlign w:val="center"/>
          </w:tcPr>
          <w:p w14:paraId="1A965116" w14:textId="44F1FCBF" w:rsidR="0066332C" w:rsidRPr="00D55FA1" w:rsidRDefault="00DE7835" w:rsidP="00961037">
            <w:pPr>
              <w:jc w:val="center"/>
              <w:rPr>
                <w:rFonts w:cs="Arial"/>
                <w:color w:val="000000" w:themeColor="dark1"/>
                <w:kern w:val="24"/>
              </w:rPr>
            </w:pPr>
            <w:r>
              <w:rPr>
                <w:rFonts w:cs="Arial"/>
                <w:bCs/>
              </w:rPr>
              <w:t>93.12%</w:t>
            </w:r>
          </w:p>
        </w:tc>
        <w:tc>
          <w:tcPr>
            <w:tcW w:w="1061" w:type="dxa"/>
            <w:vAlign w:val="center"/>
          </w:tcPr>
          <w:p w14:paraId="7DF4E37C" w14:textId="7DAA329B"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7864094D" w14:textId="77777777" w:rsidTr="00CD2A6F">
        <w:trPr>
          <w:cantSplit/>
          <w:trHeight w:val="309"/>
        </w:trPr>
        <w:tc>
          <w:tcPr>
            <w:tcW w:w="3012" w:type="dxa"/>
            <w:vAlign w:val="center"/>
          </w:tcPr>
          <w:p w14:paraId="40FE9641"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Target Met</w:t>
            </w:r>
          </w:p>
        </w:tc>
        <w:tc>
          <w:tcPr>
            <w:tcW w:w="978" w:type="dxa"/>
            <w:vAlign w:val="center"/>
          </w:tcPr>
          <w:p w14:paraId="128EB5DD"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43" w:type="dxa"/>
            <w:vAlign w:val="center"/>
          </w:tcPr>
          <w:p w14:paraId="44FB30F8" w14:textId="2B254A92"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08" w:type="dxa"/>
            <w:vAlign w:val="center"/>
          </w:tcPr>
          <w:p w14:paraId="1DA6542E" w14:textId="6633B292" w:rsidR="0066332C" w:rsidRPr="00D55FA1" w:rsidRDefault="0083171F" w:rsidP="00961037">
            <w:pPr>
              <w:jc w:val="center"/>
              <w:rPr>
                <w:rFonts w:cs="Arial"/>
                <w:color w:val="000000" w:themeColor="dark1"/>
                <w:kern w:val="24"/>
              </w:rPr>
            </w:pPr>
            <w:r w:rsidRPr="00D55FA1">
              <w:rPr>
                <w:rFonts w:cs="Arial"/>
                <w:color w:val="000000" w:themeColor="dark1"/>
                <w:kern w:val="24"/>
              </w:rPr>
              <w:t>No</w:t>
            </w:r>
          </w:p>
        </w:tc>
        <w:tc>
          <w:tcPr>
            <w:tcW w:w="1096" w:type="dxa"/>
            <w:vAlign w:val="center"/>
          </w:tcPr>
          <w:p w14:paraId="3041E394" w14:textId="1133D2BF" w:rsidR="0066332C" w:rsidRPr="00D55FA1" w:rsidRDefault="0042140C" w:rsidP="00961037">
            <w:pPr>
              <w:jc w:val="center"/>
              <w:rPr>
                <w:rFonts w:cs="Arial"/>
                <w:color w:val="000000" w:themeColor="dark1"/>
                <w:kern w:val="24"/>
              </w:rPr>
            </w:pPr>
            <w:r>
              <w:rPr>
                <w:rFonts w:cs="Arial"/>
                <w:bCs/>
              </w:rPr>
              <w:t>No</w:t>
            </w:r>
          </w:p>
        </w:tc>
        <w:tc>
          <w:tcPr>
            <w:tcW w:w="990" w:type="dxa"/>
            <w:vAlign w:val="center"/>
          </w:tcPr>
          <w:p w14:paraId="722B00AE" w14:textId="319C571E" w:rsidR="0066332C" w:rsidRPr="00D55FA1" w:rsidRDefault="00DE7835" w:rsidP="00961037">
            <w:pPr>
              <w:jc w:val="center"/>
              <w:rPr>
                <w:rFonts w:cs="Arial"/>
                <w:color w:val="000000" w:themeColor="dark1"/>
                <w:kern w:val="24"/>
              </w:rPr>
            </w:pPr>
            <w:r>
              <w:rPr>
                <w:rFonts w:cs="Arial"/>
                <w:bCs/>
              </w:rPr>
              <w:t>No</w:t>
            </w:r>
          </w:p>
        </w:tc>
        <w:tc>
          <w:tcPr>
            <w:tcW w:w="1061" w:type="dxa"/>
            <w:vAlign w:val="center"/>
          </w:tcPr>
          <w:p w14:paraId="42C6D796" w14:textId="46EA89AE"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40FFA446" w14:textId="77777777" w:rsidTr="00CD2A6F">
        <w:trPr>
          <w:cantSplit/>
          <w:trHeight w:val="309"/>
        </w:trPr>
        <w:tc>
          <w:tcPr>
            <w:tcW w:w="3012" w:type="dxa"/>
            <w:vAlign w:val="center"/>
            <w:hideMark/>
          </w:tcPr>
          <w:p w14:paraId="6C32FF78" w14:textId="77777777" w:rsidR="0066332C" w:rsidRPr="00D55FA1" w:rsidRDefault="0066332C" w:rsidP="00961037">
            <w:pPr>
              <w:jc w:val="center"/>
              <w:rPr>
                <w:rFonts w:cs="Arial"/>
              </w:rPr>
            </w:pPr>
            <w:r w:rsidRPr="00D55FA1">
              <w:rPr>
                <w:rFonts w:cs="Arial"/>
                <w:color w:val="000000" w:themeColor="dark1"/>
                <w:kern w:val="24"/>
              </w:rPr>
              <w:t>Grade 11 Target</w:t>
            </w:r>
          </w:p>
        </w:tc>
        <w:tc>
          <w:tcPr>
            <w:tcW w:w="978" w:type="dxa"/>
            <w:vAlign w:val="center"/>
            <w:hideMark/>
          </w:tcPr>
          <w:p w14:paraId="46E1F278" w14:textId="77777777" w:rsidR="0066332C" w:rsidRPr="00D55FA1" w:rsidRDefault="0066332C" w:rsidP="00961037">
            <w:pPr>
              <w:jc w:val="center"/>
              <w:rPr>
                <w:rFonts w:cs="Arial"/>
              </w:rPr>
            </w:pPr>
            <w:r w:rsidRPr="00D55FA1">
              <w:rPr>
                <w:rFonts w:cs="Arial"/>
                <w:color w:val="000000" w:themeColor="dark1"/>
                <w:kern w:val="24"/>
              </w:rPr>
              <w:t>95%</w:t>
            </w:r>
          </w:p>
        </w:tc>
        <w:tc>
          <w:tcPr>
            <w:tcW w:w="1143" w:type="dxa"/>
            <w:vAlign w:val="center"/>
            <w:hideMark/>
          </w:tcPr>
          <w:p w14:paraId="77850CEB" w14:textId="77777777" w:rsidR="0066332C" w:rsidRPr="00D55FA1" w:rsidRDefault="0066332C" w:rsidP="00961037">
            <w:pPr>
              <w:jc w:val="center"/>
              <w:rPr>
                <w:rFonts w:cs="Arial"/>
              </w:rPr>
            </w:pPr>
            <w:r w:rsidRPr="00D55FA1">
              <w:rPr>
                <w:rFonts w:cs="Arial"/>
                <w:color w:val="000000" w:themeColor="dark1"/>
                <w:kern w:val="24"/>
              </w:rPr>
              <w:t>95%</w:t>
            </w:r>
          </w:p>
        </w:tc>
        <w:tc>
          <w:tcPr>
            <w:tcW w:w="1108" w:type="dxa"/>
            <w:vAlign w:val="center"/>
            <w:hideMark/>
          </w:tcPr>
          <w:p w14:paraId="6896C773" w14:textId="77777777" w:rsidR="0066332C" w:rsidRPr="00D55FA1" w:rsidRDefault="0066332C" w:rsidP="00961037">
            <w:pPr>
              <w:jc w:val="center"/>
              <w:rPr>
                <w:rFonts w:cs="Arial"/>
              </w:rPr>
            </w:pPr>
            <w:r w:rsidRPr="00D55FA1">
              <w:rPr>
                <w:rFonts w:cs="Arial"/>
                <w:color w:val="000000" w:themeColor="dark1"/>
                <w:kern w:val="24"/>
              </w:rPr>
              <w:t>95%</w:t>
            </w:r>
          </w:p>
        </w:tc>
        <w:tc>
          <w:tcPr>
            <w:tcW w:w="1096" w:type="dxa"/>
            <w:vAlign w:val="center"/>
            <w:hideMark/>
          </w:tcPr>
          <w:p w14:paraId="497192F2" w14:textId="77777777" w:rsidR="0066332C" w:rsidRPr="00D55FA1" w:rsidRDefault="0066332C" w:rsidP="00961037">
            <w:pPr>
              <w:jc w:val="center"/>
              <w:rPr>
                <w:rFonts w:cs="Arial"/>
              </w:rPr>
            </w:pPr>
            <w:r w:rsidRPr="00D55FA1">
              <w:rPr>
                <w:rFonts w:cs="Arial"/>
                <w:color w:val="000000" w:themeColor="dark1"/>
                <w:kern w:val="24"/>
              </w:rPr>
              <w:t>95%</w:t>
            </w:r>
          </w:p>
        </w:tc>
        <w:tc>
          <w:tcPr>
            <w:tcW w:w="990" w:type="dxa"/>
            <w:vAlign w:val="center"/>
            <w:hideMark/>
          </w:tcPr>
          <w:p w14:paraId="64782486" w14:textId="77777777" w:rsidR="0066332C" w:rsidRPr="00D55FA1" w:rsidRDefault="0066332C" w:rsidP="00961037">
            <w:pPr>
              <w:jc w:val="center"/>
              <w:rPr>
                <w:rFonts w:cs="Arial"/>
              </w:rPr>
            </w:pPr>
            <w:r w:rsidRPr="00D55FA1">
              <w:rPr>
                <w:rFonts w:cs="Arial"/>
                <w:color w:val="000000" w:themeColor="dark1"/>
                <w:kern w:val="24"/>
              </w:rPr>
              <w:t>95%</w:t>
            </w:r>
          </w:p>
        </w:tc>
        <w:tc>
          <w:tcPr>
            <w:tcW w:w="1061" w:type="dxa"/>
            <w:vAlign w:val="center"/>
            <w:hideMark/>
          </w:tcPr>
          <w:p w14:paraId="6E7BF5AD" w14:textId="77777777" w:rsidR="0066332C" w:rsidRPr="00D55FA1" w:rsidRDefault="0066332C" w:rsidP="00961037">
            <w:pPr>
              <w:jc w:val="center"/>
              <w:rPr>
                <w:rFonts w:cs="Arial"/>
              </w:rPr>
            </w:pPr>
            <w:r w:rsidRPr="00D55FA1">
              <w:rPr>
                <w:rFonts w:cs="Arial"/>
                <w:color w:val="000000" w:themeColor="dark1"/>
                <w:kern w:val="24"/>
              </w:rPr>
              <w:t>95%</w:t>
            </w:r>
          </w:p>
        </w:tc>
      </w:tr>
      <w:tr w:rsidR="0066332C" w:rsidRPr="00D55FA1" w14:paraId="68901D6D" w14:textId="77777777" w:rsidTr="00CD2A6F">
        <w:trPr>
          <w:cantSplit/>
          <w:trHeight w:val="309"/>
        </w:trPr>
        <w:tc>
          <w:tcPr>
            <w:tcW w:w="3012" w:type="dxa"/>
            <w:vAlign w:val="center"/>
          </w:tcPr>
          <w:p w14:paraId="77887A4F"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Result</w:t>
            </w:r>
          </w:p>
        </w:tc>
        <w:tc>
          <w:tcPr>
            <w:tcW w:w="978" w:type="dxa"/>
            <w:vAlign w:val="center"/>
          </w:tcPr>
          <w:p w14:paraId="7F37325E"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33%</w:t>
            </w:r>
          </w:p>
        </w:tc>
        <w:tc>
          <w:tcPr>
            <w:tcW w:w="1143" w:type="dxa"/>
            <w:vAlign w:val="center"/>
          </w:tcPr>
          <w:p w14:paraId="6E1831B3" w14:textId="556CB3FE" w:rsidR="0066332C" w:rsidRPr="00D55FA1" w:rsidRDefault="0066332C" w:rsidP="00961037">
            <w:pPr>
              <w:jc w:val="center"/>
              <w:rPr>
                <w:rFonts w:cs="Arial"/>
                <w:color w:val="000000" w:themeColor="dark1"/>
                <w:kern w:val="24"/>
              </w:rPr>
            </w:pPr>
            <w:r w:rsidRPr="00D55FA1">
              <w:rPr>
                <w:rFonts w:cs="Arial"/>
                <w:color w:val="000000" w:themeColor="dark1"/>
                <w:kern w:val="24"/>
              </w:rPr>
              <w:t>81.59%</w:t>
            </w:r>
          </w:p>
        </w:tc>
        <w:tc>
          <w:tcPr>
            <w:tcW w:w="1108" w:type="dxa"/>
            <w:vAlign w:val="center"/>
          </w:tcPr>
          <w:p w14:paraId="54E11D2A" w14:textId="2E0283F1" w:rsidR="0066332C" w:rsidRPr="00D55FA1" w:rsidRDefault="0083171F" w:rsidP="00961037">
            <w:pPr>
              <w:jc w:val="center"/>
              <w:rPr>
                <w:rFonts w:cs="Arial"/>
                <w:color w:val="000000" w:themeColor="dark1"/>
                <w:kern w:val="24"/>
              </w:rPr>
            </w:pPr>
            <w:r w:rsidRPr="00D55FA1">
              <w:rPr>
                <w:rFonts w:cs="Arial"/>
                <w:color w:val="000000" w:themeColor="dark1"/>
                <w:kern w:val="24"/>
              </w:rPr>
              <w:t>85.75%</w:t>
            </w:r>
          </w:p>
        </w:tc>
        <w:tc>
          <w:tcPr>
            <w:tcW w:w="1096" w:type="dxa"/>
            <w:vAlign w:val="center"/>
          </w:tcPr>
          <w:p w14:paraId="31126E5D" w14:textId="30DEE018" w:rsidR="0066332C" w:rsidRPr="00D55FA1" w:rsidRDefault="00701CB3" w:rsidP="00961037">
            <w:pPr>
              <w:jc w:val="center"/>
              <w:rPr>
                <w:rFonts w:cs="Arial"/>
                <w:color w:val="000000" w:themeColor="dark1"/>
                <w:kern w:val="24"/>
              </w:rPr>
            </w:pPr>
            <w:r>
              <w:rPr>
                <w:rFonts w:cs="Arial"/>
                <w:bCs/>
              </w:rPr>
              <w:t>86.79%</w:t>
            </w:r>
          </w:p>
        </w:tc>
        <w:tc>
          <w:tcPr>
            <w:tcW w:w="990" w:type="dxa"/>
            <w:vAlign w:val="center"/>
          </w:tcPr>
          <w:p w14:paraId="2DE403A5" w14:textId="158B0609" w:rsidR="0066332C" w:rsidRPr="00D55FA1" w:rsidRDefault="00DE7835" w:rsidP="00961037">
            <w:pPr>
              <w:jc w:val="center"/>
              <w:rPr>
                <w:rFonts w:cs="Arial"/>
                <w:color w:val="000000" w:themeColor="dark1"/>
                <w:kern w:val="24"/>
              </w:rPr>
            </w:pPr>
            <w:r>
              <w:rPr>
                <w:rFonts w:cs="Arial"/>
                <w:bCs/>
              </w:rPr>
              <w:t>88.57%</w:t>
            </w:r>
          </w:p>
        </w:tc>
        <w:tc>
          <w:tcPr>
            <w:tcW w:w="1061" w:type="dxa"/>
            <w:vAlign w:val="center"/>
          </w:tcPr>
          <w:p w14:paraId="62431CDC" w14:textId="66840211"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010885AA" w14:textId="77777777" w:rsidTr="00CD2A6F">
        <w:trPr>
          <w:cantSplit/>
          <w:trHeight w:val="309"/>
        </w:trPr>
        <w:tc>
          <w:tcPr>
            <w:tcW w:w="3012" w:type="dxa"/>
            <w:vAlign w:val="center"/>
          </w:tcPr>
          <w:p w14:paraId="059D1045"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Target Met</w:t>
            </w:r>
          </w:p>
        </w:tc>
        <w:tc>
          <w:tcPr>
            <w:tcW w:w="978" w:type="dxa"/>
            <w:vAlign w:val="center"/>
          </w:tcPr>
          <w:p w14:paraId="292FF78F"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43" w:type="dxa"/>
            <w:vAlign w:val="center"/>
          </w:tcPr>
          <w:p w14:paraId="49E398E2" w14:textId="6BC2EC15"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08" w:type="dxa"/>
            <w:vAlign w:val="center"/>
          </w:tcPr>
          <w:p w14:paraId="16287F21" w14:textId="25ADC414" w:rsidR="0066332C" w:rsidRPr="00D55FA1" w:rsidRDefault="0083171F" w:rsidP="00961037">
            <w:pPr>
              <w:jc w:val="center"/>
              <w:rPr>
                <w:rFonts w:cs="Arial"/>
                <w:color w:val="000000" w:themeColor="dark1"/>
                <w:kern w:val="24"/>
              </w:rPr>
            </w:pPr>
            <w:r w:rsidRPr="00D55FA1">
              <w:rPr>
                <w:rFonts w:cs="Arial"/>
                <w:color w:val="000000" w:themeColor="dark1"/>
                <w:kern w:val="24"/>
              </w:rPr>
              <w:t>No</w:t>
            </w:r>
          </w:p>
        </w:tc>
        <w:tc>
          <w:tcPr>
            <w:tcW w:w="1096" w:type="dxa"/>
            <w:vAlign w:val="center"/>
          </w:tcPr>
          <w:p w14:paraId="5BE93A62" w14:textId="6638BFEA" w:rsidR="0066332C" w:rsidRPr="00D55FA1" w:rsidRDefault="00701CB3" w:rsidP="00961037">
            <w:pPr>
              <w:jc w:val="center"/>
              <w:rPr>
                <w:rFonts w:cs="Arial"/>
                <w:color w:val="000000" w:themeColor="dark1"/>
                <w:kern w:val="24"/>
              </w:rPr>
            </w:pPr>
            <w:r>
              <w:rPr>
                <w:rFonts w:cs="Arial"/>
                <w:bCs/>
              </w:rPr>
              <w:t>No</w:t>
            </w:r>
          </w:p>
        </w:tc>
        <w:tc>
          <w:tcPr>
            <w:tcW w:w="990" w:type="dxa"/>
            <w:vAlign w:val="center"/>
          </w:tcPr>
          <w:p w14:paraId="384BA73E" w14:textId="4B1CDA42" w:rsidR="0066332C" w:rsidRPr="00D55FA1" w:rsidRDefault="00DE7835" w:rsidP="00961037">
            <w:pPr>
              <w:jc w:val="center"/>
              <w:rPr>
                <w:rFonts w:cs="Arial"/>
                <w:color w:val="000000" w:themeColor="dark1"/>
                <w:kern w:val="24"/>
              </w:rPr>
            </w:pPr>
            <w:r>
              <w:rPr>
                <w:rFonts w:cs="Arial"/>
                <w:bCs/>
              </w:rPr>
              <w:t>No</w:t>
            </w:r>
          </w:p>
        </w:tc>
        <w:tc>
          <w:tcPr>
            <w:tcW w:w="1061" w:type="dxa"/>
            <w:vAlign w:val="center"/>
          </w:tcPr>
          <w:p w14:paraId="34B3F2EB" w14:textId="4271F5CE" w:rsidR="0066332C" w:rsidRPr="00D55FA1" w:rsidRDefault="00DF008C" w:rsidP="00961037">
            <w:pPr>
              <w:jc w:val="center"/>
              <w:rPr>
                <w:rFonts w:cs="Arial"/>
                <w:color w:val="000000" w:themeColor="dark1"/>
                <w:kern w:val="24"/>
              </w:rPr>
            </w:pPr>
            <w:r w:rsidRPr="00D55FA1">
              <w:rPr>
                <w:rFonts w:cs="Arial"/>
                <w:bCs/>
              </w:rPr>
              <w:t>-</w:t>
            </w:r>
          </w:p>
        </w:tc>
      </w:tr>
    </w:tbl>
    <w:p w14:paraId="7D34F5C7" w14:textId="77777777" w:rsidR="00EB1E42" w:rsidRDefault="00EB1E42" w:rsidP="00DF008C">
      <w:pPr>
        <w:spacing w:after="240"/>
      </w:pPr>
    </w:p>
    <w:p w14:paraId="575564C0" w14:textId="6E475C6F" w:rsidR="00BB37DF" w:rsidRPr="00BB37DF" w:rsidRDefault="00BB37DF" w:rsidP="00DF008C">
      <w:pPr>
        <w:spacing w:after="240"/>
        <w:rPr>
          <w:rFonts w:cs="Arial"/>
          <w:b/>
          <w:bCs/>
        </w:rPr>
      </w:pPr>
    </w:p>
    <w:tbl>
      <w:tblPr>
        <w:tblStyle w:val="TableGrid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Indicator 3B ELA targets and results"/>
      </w:tblPr>
      <w:tblGrid>
        <w:gridCol w:w="3074"/>
        <w:gridCol w:w="882"/>
        <w:gridCol w:w="1105"/>
        <w:gridCol w:w="1067"/>
        <w:gridCol w:w="1053"/>
        <w:gridCol w:w="1030"/>
        <w:gridCol w:w="1144"/>
      </w:tblGrid>
      <w:tr w:rsidR="0066332C" w:rsidRPr="00D55FA1" w14:paraId="6D2244E4" w14:textId="77777777" w:rsidTr="00CD2A6F">
        <w:trPr>
          <w:cantSplit/>
          <w:trHeight w:val="288"/>
          <w:tblHeader/>
        </w:trPr>
        <w:tc>
          <w:tcPr>
            <w:tcW w:w="3145" w:type="dxa"/>
            <w:vAlign w:val="center"/>
            <w:hideMark/>
          </w:tcPr>
          <w:p w14:paraId="514A1AC0" w14:textId="77777777" w:rsidR="0066332C" w:rsidRPr="00D55FA1" w:rsidRDefault="0066332C" w:rsidP="00961037">
            <w:pPr>
              <w:jc w:val="center"/>
              <w:rPr>
                <w:rFonts w:cs="Arial"/>
                <w:b/>
              </w:rPr>
            </w:pPr>
            <w:r w:rsidRPr="00D55FA1">
              <w:rPr>
                <w:rFonts w:cs="Arial"/>
                <w:b/>
              </w:rPr>
              <w:lastRenderedPageBreak/>
              <w:t>Indicator 3b ELA</w:t>
            </w:r>
          </w:p>
        </w:tc>
        <w:tc>
          <w:tcPr>
            <w:tcW w:w="887" w:type="dxa"/>
            <w:vAlign w:val="center"/>
            <w:hideMark/>
          </w:tcPr>
          <w:p w14:paraId="12406FD9" w14:textId="77777777" w:rsidR="0066332C" w:rsidRPr="00D55FA1" w:rsidRDefault="0066332C" w:rsidP="00961037">
            <w:pPr>
              <w:jc w:val="center"/>
              <w:rPr>
                <w:rFonts w:cs="Arial"/>
              </w:rPr>
            </w:pPr>
            <w:r w:rsidRPr="00D55FA1">
              <w:rPr>
                <w:rFonts w:cs="Arial"/>
                <w:b/>
                <w:bCs/>
                <w:kern w:val="24"/>
              </w:rPr>
              <w:t>2020</w:t>
            </w:r>
          </w:p>
        </w:tc>
        <w:tc>
          <w:tcPr>
            <w:tcW w:w="1108" w:type="dxa"/>
            <w:vAlign w:val="center"/>
            <w:hideMark/>
          </w:tcPr>
          <w:p w14:paraId="673756FA" w14:textId="77777777" w:rsidR="0066332C" w:rsidRPr="00D55FA1" w:rsidRDefault="0066332C" w:rsidP="00961037">
            <w:pPr>
              <w:jc w:val="center"/>
              <w:rPr>
                <w:rFonts w:cs="Arial"/>
              </w:rPr>
            </w:pPr>
            <w:r w:rsidRPr="00D55FA1">
              <w:rPr>
                <w:rFonts w:cs="Arial"/>
                <w:b/>
                <w:bCs/>
                <w:kern w:val="24"/>
              </w:rPr>
              <w:t>2021</w:t>
            </w:r>
          </w:p>
        </w:tc>
        <w:tc>
          <w:tcPr>
            <w:tcW w:w="1068" w:type="dxa"/>
            <w:vAlign w:val="center"/>
            <w:hideMark/>
          </w:tcPr>
          <w:p w14:paraId="66B410D7" w14:textId="77777777" w:rsidR="0066332C" w:rsidRPr="00D55FA1" w:rsidRDefault="0066332C" w:rsidP="00961037">
            <w:pPr>
              <w:jc w:val="center"/>
              <w:rPr>
                <w:rFonts w:cs="Arial"/>
              </w:rPr>
            </w:pPr>
            <w:r w:rsidRPr="00D55FA1">
              <w:rPr>
                <w:rFonts w:cs="Arial"/>
                <w:b/>
                <w:bCs/>
                <w:kern w:val="24"/>
              </w:rPr>
              <w:t>2022</w:t>
            </w:r>
          </w:p>
        </w:tc>
        <w:tc>
          <w:tcPr>
            <w:tcW w:w="1054" w:type="dxa"/>
            <w:vAlign w:val="center"/>
            <w:hideMark/>
          </w:tcPr>
          <w:p w14:paraId="4CA538D7" w14:textId="77777777" w:rsidR="0066332C" w:rsidRPr="00D55FA1" w:rsidRDefault="0066332C" w:rsidP="00961037">
            <w:pPr>
              <w:jc w:val="center"/>
              <w:rPr>
                <w:rFonts w:cs="Arial"/>
              </w:rPr>
            </w:pPr>
            <w:r w:rsidRPr="00D55FA1">
              <w:rPr>
                <w:rFonts w:cs="Arial"/>
                <w:b/>
                <w:bCs/>
                <w:kern w:val="24"/>
              </w:rPr>
              <w:t>2023</w:t>
            </w:r>
          </w:p>
        </w:tc>
        <w:tc>
          <w:tcPr>
            <w:tcW w:w="934" w:type="dxa"/>
            <w:vAlign w:val="center"/>
            <w:hideMark/>
          </w:tcPr>
          <w:p w14:paraId="04715A28" w14:textId="77777777" w:rsidR="0066332C" w:rsidRPr="00D55FA1" w:rsidRDefault="0066332C" w:rsidP="00961037">
            <w:pPr>
              <w:jc w:val="center"/>
              <w:rPr>
                <w:rFonts w:cs="Arial"/>
              </w:rPr>
            </w:pPr>
            <w:r w:rsidRPr="00D55FA1">
              <w:rPr>
                <w:rFonts w:cs="Arial"/>
                <w:b/>
                <w:bCs/>
                <w:kern w:val="24"/>
              </w:rPr>
              <w:t>2024</w:t>
            </w:r>
          </w:p>
        </w:tc>
        <w:tc>
          <w:tcPr>
            <w:tcW w:w="1159" w:type="dxa"/>
            <w:vAlign w:val="center"/>
            <w:hideMark/>
          </w:tcPr>
          <w:p w14:paraId="1C01C751" w14:textId="77777777" w:rsidR="0066332C" w:rsidRPr="00D55FA1" w:rsidRDefault="0066332C" w:rsidP="00961037">
            <w:pPr>
              <w:jc w:val="center"/>
              <w:rPr>
                <w:rFonts w:cs="Arial"/>
              </w:rPr>
            </w:pPr>
            <w:r w:rsidRPr="00D55FA1">
              <w:rPr>
                <w:rFonts w:cs="Arial"/>
                <w:b/>
                <w:bCs/>
                <w:kern w:val="24"/>
              </w:rPr>
              <w:t>2025</w:t>
            </w:r>
          </w:p>
        </w:tc>
      </w:tr>
      <w:tr w:rsidR="0066332C" w:rsidRPr="00D55FA1" w14:paraId="59F87022" w14:textId="77777777" w:rsidTr="00CD2A6F">
        <w:trPr>
          <w:cantSplit/>
          <w:trHeight w:val="288"/>
        </w:trPr>
        <w:tc>
          <w:tcPr>
            <w:tcW w:w="3145" w:type="dxa"/>
            <w:vAlign w:val="center"/>
            <w:hideMark/>
          </w:tcPr>
          <w:p w14:paraId="3633CA25" w14:textId="77777777" w:rsidR="0066332C" w:rsidRPr="00D55FA1" w:rsidRDefault="0066332C" w:rsidP="00961037">
            <w:pPr>
              <w:jc w:val="center"/>
              <w:rPr>
                <w:rFonts w:cs="Arial"/>
              </w:rPr>
            </w:pPr>
            <w:r w:rsidRPr="00D55FA1">
              <w:rPr>
                <w:rFonts w:cs="Arial"/>
                <w:color w:val="000000" w:themeColor="dark1"/>
                <w:kern w:val="24"/>
              </w:rPr>
              <w:t>Grade 4 Target</w:t>
            </w:r>
          </w:p>
        </w:tc>
        <w:tc>
          <w:tcPr>
            <w:tcW w:w="887" w:type="dxa"/>
            <w:vAlign w:val="center"/>
            <w:hideMark/>
          </w:tcPr>
          <w:p w14:paraId="33E27760" w14:textId="77777777" w:rsidR="0066332C" w:rsidRPr="00D55FA1" w:rsidRDefault="0066332C" w:rsidP="00961037">
            <w:pPr>
              <w:jc w:val="center"/>
              <w:rPr>
                <w:rFonts w:cs="Arial"/>
              </w:rPr>
            </w:pPr>
            <w:r w:rsidRPr="00D55FA1">
              <w:rPr>
                <w:rFonts w:cs="Arial"/>
                <w:color w:val="000000" w:themeColor="dark1"/>
                <w:kern w:val="24"/>
              </w:rPr>
              <w:t>15%</w:t>
            </w:r>
          </w:p>
        </w:tc>
        <w:tc>
          <w:tcPr>
            <w:tcW w:w="1108" w:type="dxa"/>
            <w:vAlign w:val="center"/>
            <w:hideMark/>
          </w:tcPr>
          <w:p w14:paraId="6861B118" w14:textId="77777777" w:rsidR="0066332C" w:rsidRPr="00D55FA1" w:rsidRDefault="0066332C" w:rsidP="00961037">
            <w:pPr>
              <w:jc w:val="center"/>
              <w:rPr>
                <w:rFonts w:cs="Arial"/>
              </w:rPr>
            </w:pPr>
            <w:r w:rsidRPr="00D55FA1">
              <w:rPr>
                <w:rFonts w:cs="Arial"/>
                <w:color w:val="000000" w:themeColor="dark1"/>
                <w:kern w:val="24"/>
              </w:rPr>
              <w:t>15%</w:t>
            </w:r>
          </w:p>
        </w:tc>
        <w:tc>
          <w:tcPr>
            <w:tcW w:w="1068" w:type="dxa"/>
            <w:vAlign w:val="center"/>
            <w:hideMark/>
          </w:tcPr>
          <w:p w14:paraId="29260AFB" w14:textId="77777777" w:rsidR="0066332C" w:rsidRPr="00D55FA1" w:rsidRDefault="0066332C" w:rsidP="00961037">
            <w:pPr>
              <w:jc w:val="center"/>
              <w:rPr>
                <w:rFonts w:cs="Arial"/>
              </w:rPr>
            </w:pPr>
            <w:r w:rsidRPr="00D55FA1">
              <w:rPr>
                <w:rFonts w:cs="Arial"/>
                <w:color w:val="000000" w:themeColor="dark1"/>
                <w:kern w:val="24"/>
              </w:rPr>
              <w:t>15%</w:t>
            </w:r>
          </w:p>
        </w:tc>
        <w:tc>
          <w:tcPr>
            <w:tcW w:w="1054" w:type="dxa"/>
            <w:vAlign w:val="center"/>
            <w:hideMark/>
          </w:tcPr>
          <w:p w14:paraId="6FE5C733" w14:textId="77777777" w:rsidR="0066332C" w:rsidRPr="00D55FA1" w:rsidRDefault="0066332C" w:rsidP="00961037">
            <w:pPr>
              <w:jc w:val="center"/>
              <w:rPr>
                <w:rFonts w:cs="Arial"/>
              </w:rPr>
            </w:pPr>
            <w:r w:rsidRPr="00D55FA1">
              <w:rPr>
                <w:rFonts w:cs="Arial"/>
                <w:color w:val="000000" w:themeColor="dark1"/>
                <w:kern w:val="24"/>
              </w:rPr>
              <w:t>16%</w:t>
            </w:r>
          </w:p>
        </w:tc>
        <w:tc>
          <w:tcPr>
            <w:tcW w:w="934" w:type="dxa"/>
            <w:vAlign w:val="center"/>
            <w:hideMark/>
          </w:tcPr>
          <w:p w14:paraId="006D7059" w14:textId="77777777" w:rsidR="0066332C" w:rsidRPr="00D55FA1" w:rsidRDefault="0066332C" w:rsidP="00961037">
            <w:pPr>
              <w:jc w:val="center"/>
              <w:rPr>
                <w:rFonts w:cs="Arial"/>
              </w:rPr>
            </w:pPr>
            <w:r w:rsidRPr="00D55FA1">
              <w:rPr>
                <w:rFonts w:cs="Arial"/>
                <w:color w:val="000000" w:themeColor="dark1"/>
                <w:kern w:val="24"/>
              </w:rPr>
              <w:t>17%</w:t>
            </w:r>
          </w:p>
        </w:tc>
        <w:tc>
          <w:tcPr>
            <w:tcW w:w="1159" w:type="dxa"/>
            <w:vAlign w:val="center"/>
            <w:hideMark/>
          </w:tcPr>
          <w:p w14:paraId="34DB2A6E" w14:textId="77777777" w:rsidR="0066332C" w:rsidRPr="00D55FA1" w:rsidRDefault="0066332C" w:rsidP="00961037">
            <w:pPr>
              <w:jc w:val="center"/>
              <w:rPr>
                <w:rFonts w:cs="Arial"/>
              </w:rPr>
            </w:pPr>
            <w:r w:rsidRPr="00D55FA1">
              <w:rPr>
                <w:rFonts w:cs="Arial"/>
                <w:color w:val="000000" w:themeColor="dark1"/>
                <w:kern w:val="24"/>
              </w:rPr>
              <w:t>18%</w:t>
            </w:r>
          </w:p>
        </w:tc>
      </w:tr>
      <w:tr w:rsidR="0066332C" w:rsidRPr="00D55FA1" w14:paraId="584CB7B3" w14:textId="77777777" w:rsidTr="00CD2A6F">
        <w:trPr>
          <w:cantSplit/>
          <w:trHeight w:val="288"/>
        </w:trPr>
        <w:tc>
          <w:tcPr>
            <w:tcW w:w="3145" w:type="dxa"/>
            <w:vAlign w:val="center"/>
          </w:tcPr>
          <w:p w14:paraId="6D706F5E"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Result</w:t>
            </w:r>
          </w:p>
        </w:tc>
        <w:tc>
          <w:tcPr>
            <w:tcW w:w="887" w:type="dxa"/>
            <w:vAlign w:val="center"/>
          </w:tcPr>
          <w:p w14:paraId="0AE39B76"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18%</w:t>
            </w:r>
          </w:p>
        </w:tc>
        <w:tc>
          <w:tcPr>
            <w:tcW w:w="1108" w:type="dxa"/>
            <w:vAlign w:val="center"/>
          </w:tcPr>
          <w:p w14:paraId="0B4020A7" w14:textId="44B2AA52" w:rsidR="0066332C" w:rsidRPr="00D55FA1" w:rsidRDefault="0066332C" w:rsidP="00961037">
            <w:pPr>
              <w:jc w:val="center"/>
              <w:rPr>
                <w:rFonts w:cs="Arial"/>
                <w:color w:val="000000" w:themeColor="dark1"/>
                <w:kern w:val="24"/>
              </w:rPr>
            </w:pPr>
            <w:r w:rsidRPr="00D55FA1">
              <w:rPr>
                <w:rFonts w:cs="Arial"/>
                <w:color w:val="000000" w:themeColor="dark1"/>
                <w:kern w:val="24"/>
              </w:rPr>
              <w:t>19.26%</w:t>
            </w:r>
          </w:p>
        </w:tc>
        <w:tc>
          <w:tcPr>
            <w:tcW w:w="1068" w:type="dxa"/>
            <w:vAlign w:val="center"/>
          </w:tcPr>
          <w:p w14:paraId="1D7B270A" w14:textId="4BF37839" w:rsidR="0066332C" w:rsidRPr="00D55FA1" w:rsidRDefault="0083171F" w:rsidP="00961037">
            <w:pPr>
              <w:jc w:val="center"/>
              <w:rPr>
                <w:rFonts w:cs="Arial"/>
                <w:color w:val="000000" w:themeColor="dark1"/>
                <w:kern w:val="24"/>
              </w:rPr>
            </w:pPr>
            <w:r w:rsidRPr="00D55FA1">
              <w:rPr>
                <w:rFonts w:cs="Arial"/>
                <w:color w:val="000000" w:themeColor="dark1"/>
                <w:kern w:val="24"/>
              </w:rPr>
              <w:t>18.66%</w:t>
            </w:r>
          </w:p>
        </w:tc>
        <w:tc>
          <w:tcPr>
            <w:tcW w:w="1054" w:type="dxa"/>
            <w:vAlign w:val="center"/>
          </w:tcPr>
          <w:p w14:paraId="4F904CB7" w14:textId="2A275DE2" w:rsidR="0066332C" w:rsidRPr="00D55FA1" w:rsidRDefault="00701CB3" w:rsidP="00961037">
            <w:pPr>
              <w:jc w:val="center"/>
              <w:rPr>
                <w:rFonts w:cs="Arial"/>
                <w:color w:val="000000" w:themeColor="dark1"/>
                <w:kern w:val="24"/>
              </w:rPr>
            </w:pPr>
            <w:r>
              <w:rPr>
                <w:rFonts w:cs="Arial"/>
                <w:bCs/>
              </w:rPr>
              <w:t>18.60%</w:t>
            </w:r>
          </w:p>
        </w:tc>
        <w:tc>
          <w:tcPr>
            <w:tcW w:w="934" w:type="dxa"/>
            <w:vAlign w:val="center"/>
          </w:tcPr>
          <w:p w14:paraId="06971CD3" w14:textId="40D7CDDA" w:rsidR="0066332C" w:rsidRPr="00D55FA1" w:rsidRDefault="00DE7835" w:rsidP="00961037">
            <w:pPr>
              <w:jc w:val="center"/>
              <w:rPr>
                <w:rFonts w:cs="Arial"/>
                <w:color w:val="000000" w:themeColor="dark1"/>
                <w:kern w:val="24"/>
              </w:rPr>
            </w:pPr>
            <w:r>
              <w:rPr>
                <w:rFonts w:cs="Arial"/>
                <w:bCs/>
              </w:rPr>
              <w:t>20.08%</w:t>
            </w:r>
          </w:p>
        </w:tc>
        <w:tc>
          <w:tcPr>
            <w:tcW w:w="1159" w:type="dxa"/>
            <w:vAlign w:val="center"/>
          </w:tcPr>
          <w:p w14:paraId="2A1F701D" w14:textId="1567EF34"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31F923C1" w14:textId="77777777" w:rsidTr="00CD2A6F">
        <w:trPr>
          <w:cantSplit/>
          <w:trHeight w:val="288"/>
        </w:trPr>
        <w:tc>
          <w:tcPr>
            <w:tcW w:w="3145" w:type="dxa"/>
            <w:vAlign w:val="center"/>
          </w:tcPr>
          <w:p w14:paraId="24B786DB"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Target Met</w:t>
            </w:r>
          </w:p>
        </w:tc>
        <w:tc>
          <w:tcPr>
            <w:tcW w:w="887" w:type="dxa"/>
            <w:vAlign w:val="center"/>
          </w:tcPr>
          <w:p w14:paraId="537CF9A5"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108" w:type="dxa"/>
            <w:vAlign w:val="center"/>
          </w:tcPr>
          <w:p w14:paraId="03EFCA41" w14:textId="30E1CFFF"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068" w:type="dxa"/>
            <w:vAlign w:val="center"/>
          </w:tcPr>
          <w:p w14:paraId="5F96A722" w14:textId="7538E390"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54" w:type="dxa"/>
            <w:vAlign w:val="center"/>
          </w:tcPr>
          <w:p w14:paraId="5B95CD12" w14:textId="51A91F0C" w:rsidR="0066332C" w:rsidRPr="00D55FA1" w:rsidRDefault="00701CB3" w:rsidP="00961037">
            <w:pPr>
              <w:jc w:val="center"/>
              <w:rPr>
                <w:rFonts w:cs="Arial"/>
                <w:color w:val="000000" w:themeColor="dark1"/>
                <w:kern w:val="24"/>
              </w:rPr>
            </w:pPr>
            <w:r>
              <w:rPr>
                <w:rFonts w:cs="Arial"/>
                <w:bCs/>
              </w:rPr>
              <w:t>Yes</w:t>
            </w:r>
          </w:p>
        </w:tc>
        <w:tc>
          <w:tcPr>
            <w:tcW w:w="934" w:type="dxa"/>
            <w:vAlign w:val="center"/>
          </w:tcPr>
          <w:p w14:paraId="5220BBB2" w14:textId="3D2B0525" w:rsidR="0066332C" w:rsidRPr="00D55FA1" w:rsidRDefault="00DE7835" w:rsidP="00961037">
            <w:pPr>
              <w:jc w:val="center"/>
              <w:rPr>
                <w:rFonts w:cs="Arial"/>
                <w:color w:val="000000" w:themeColor="dark1"/>
                <w:kern w:val="24"/>
              </w:rPr>
            </w:pPr>
            <w:r>
              <w:rPr>
                <w:rFonts w:cs="Arial"/>
                <w:bCs/>
              </w:rPr>
              <w:t>Yes</w:t>
            </w:r>
          </w:p>
        </w:tc>
        <w:tc>
          <w:tcPr>
            <w:tcW w:w="1159" w:type="dxa"/>
            <w:vAlign w:val="center"/>
          </w:tcPr>
          <w:p w14:paraId="13CB595B" w14:textId="756A01F5"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0A342A19" w14:textId="77777777" w:rsidTr="00CD2A6F">
        <w:trPr>
          <w:cantSplit/>
          <w:trHeight w:val="288"/>
        </w:trPr>
        <w:tc>
          <w:tcPr>
            <w:tcW w:w="3145" w:type="dxa"/>
            <w:vAlign w:val="center"/>
            <w:hideMark/>
          </w:tcPr>
          <w:p w14:paraId="3DFFB6AA" w14:textId="77777777" w:rsidR="0066332C" w:rsidRPr="00D55FA1" w:rsidRDefault="0066332C" w:rsidP="00961037">
            <w:pPr>
              <w:jc w:val="center"/>
              <w:rPr>
                <w:rFonts w:cs="Arial"/>
              </w:rPr>
            </w:pPr>
            <w:r w:rsidRPr="00D55FA1">
              <w:rPr>
                <w:rFonts w:cs="Arial"/>
                <w:color w:val="000000" w:themeColor="dark1"/>
                <w:kern w:val="24"/>
              </w:rPr>
              <w:t>Grade 8 Target</w:t>
            </w:r>
          </w:p>
        </w:tc>
        <w:tc>
          <w:tcPr>
            <w:tcW w:w="887" w:type="dxa"/>
            <w:vAlign w:val="center"/>
            <w:hideMark/>
          </w:tcPr>
          <w:p w14:paraId="75974B23" w14:textId="77777777" w:rsidR="0066332C" w:rsidRPr="00D55FA1" w:rsidRDefault="0066332C" w:rsidP="00961037">
            <w:pPr>
              <w:jc w:val="center"/>
              <w:rPr>
                <w:rFonts w:cs="Arial"/>
              </w:rPr>
            </w:pPr>
            <w:r w:rsidRPr="00D55FA1">
              <w:rPr>
                <w:rFonts w:cs="Arial"/>
                <w:color w:val="000000" w:themeColor="dark1"/>
                <w:kern w:val="24"/>
              </w:rPr>
              <w:t>12%</w:t>
            </w:r>
          </w:p>
        </w:tc>
        <w:tc>
          <w:tcPr>
            <w:tcW w:w="1108" w:type="dxa"/>
            <w:vAlign w:val="center"/>
            <w:hideMark/>
          </w:tcPr>
          <w:p w14:paraId="45771F63" w14:textId="77777777" w:rsidR="0066332C" w:rsidRPr="00D55FA1" w:rsidRDefault="0066332C" w:rsidP="00961037">
            <w:pPr>
              <w:jc w:val="center"/>
              <w:rPr>
                <w:rFonts w:cs="Arial"/>
              </w:rPr>
            </w:pPr>
            <w:r w:rsidRPr="00D55FA1">
              <w:rPr>
                <w:rFonts w:cs="Arial"/>
                <w:color w:val="000000" w:themeColor="dark1"/>
                <w:kern w:val="24"/>
              </w:rPr>
              <w:t>12%</w:t>
            </w:r>
          </w:p>
        </w:tc>
        <w:tc>
          <w:tcPr>
            <w:tcW w:w="1068" w:type="dxa"/>
            <w:vAlign w:val="center"/>
            <w:hideMark/>
          </w:tcPr>
          <w:p w14:paraId="20A75972" w14:textId="77777777" w:rsidR="0066332C" w:rsidRPr="00D55FA1" w:rsidRDefault="0066332C" w:rsidP="00961037">
            <w:pPr>
              <w:jc w:val="center"/>
              <w:rPr>
                <w:rFonts w:cs="Arial"/>
              </w:rPr>
            </w:pPr>
            <w:r w:rsidRPr="00D55FA1">
              <w:rPr>
                <w:rFonts w:cs="Arial"/>
                <w:color w:val="000000" w:themeColor="dark1"/>
                <w:kern w:val="24"/>
              </w:rPr>
              <w:t>12%</w:t>
            </w:r>
          </w:p>
        </w:tc>
        <w:tc>
          <w:tcPr>
            <w:tcW w:w="1054" w:type="dxa"/>
            <w:vAlign w:val="center"/>
            <w:hideMark/>
          </w:tcPr>
          <w:p w14:paraId="2FFC5AE4" w14:textId="77777777" w:rsidR="0066332C" w:rsidRPr="00D55FA1" w:rsidRDefault="0066332C" w:rsidP="00961037">
            <w:pPr>
              <w:jc w:val="center"/>
              <w:rPr>
                <w:rFonts w:cs="Arial"/>
              </w:rPr>
            </w:pPr>
            <w:r w:rsidRPr="00D55FA1">
              <w:rPr>
                <w:rFonts w:cs="Arial"/>
                <w:color w:val="000000" w:themeColor="dark1"/>
                <w:kern w:val="24"/>
              </w:rPr>
              <w:t>13%</w:t>
            </w:r>
          </w:p>
        </w:tc>
        <w:tc>
          <w:tcPr>
            <w:tcW w:w="934" w:type="dxa"/>
            <w:vAlign w:val="center"/>
            <w:hideMark/>
          </w:tcPr>
          <w:p w14:paraId="0AC6E9BE" w14:textId="77777777" w:rsidR="0066332C" w:rsidRPr="00D55FA1" w:rsidRDefault="0066332C" w:rsidP="00961037">
            <w:pPr>
              <w:jc w:val="center"/>
              <w:rPr>
                <w:rFonts w:cs="Arial"/>
              </w:rPr>
            </w:pPr>
            <w:r w:rsidRPr="00D55FA1">
              <w:rPr>
                <w:rFonts w:cs="Arial"/>
                <w:color w:val="000000" w:themeColor="dark1"/>
                <w:kern w:val="24"/>
              </w:rPr>
              <w:t>14%</w:t>
            </w:r>
          </w:p>
        </w:tc>
        <w:tc>
          <w:tcPr>
            <w:tcW w:w="1159" w:type="dxa"/>
            <w:vAlign w:val="center"/>
            <w:hideMark/>
          </w:tcPr>
          <w:p w14:paraId="4C4A3E49" w14:textId="77777777" w:rsidR="0066332C" w:rsidRPr="00D55FA1" w:rsidRDefault="0066332C" w:rsidP="00961037">
            <w:pPr>
              <w:jc w:val="center"/>
              <w:rPr>
                <w:rFonts w:cs="Arial"/>
              </w:rPr>
            </w:pPr>
            <w:r w:rsidRPr="00D55FA1">
              <w:rPr>
                <w:rFonts w:cs="Arial"/>
                <w:color w:val="000000" w:themeColor="dark1"/>
                <w:kern w:val="24"/>
              </w:rPr>
              <w:t>15%</w:t>
            </w:r>
          </w:p>
        </w:tc>
      </w:tr>
      <w:tr w:rsidR="0066332C" w:rsidRPr="00D55FA1" w14:paraId="1BCA14A0" w14:textId="77777777" w:rsidTr="00CD2A6F">
        <w:trPr>
          <w:cantSplit/>
          <w:trHeight w:val="288"/>
        </w:trPr>
        <w:tc>
          <w:tcPr>
            <w:tcW w:w="3145" w:type="dxa"/>
            <w:vAlign w:val="center"/>
          </w:tcPr>
          <w:p w14:paraId="1B146C7F"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Result</w:t>
            </w:r>
          </w:p>
        </w:tc>
        <w:tc>
          <w:tcPr>
            <w:tcW w:w="887" w:type="dxa"/>
            <w:vAlign w:val="center"/>
          </w:tcPr>
          <w:p w14:paraId="101BC0CF"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11%</w:t>
            </w:r>
          </w:p>
        </w:tc>
        <w:tc>
          <w:tcPr>
            <w:tcW w:w="1108" w:type="dxa"/>
            <w:vAlign w:val="center"/>
          </w:tcPr>
          <w:p w14:paraId="6D9C8D39" w14:textId="4460F95B" w:rsidR="0066332C" w:rsidRPr="00D55FA1" w:rsidRDefault="0066332C" w:rsidP="00961037">
            <w:pPr>
              <w:jc w:val="center"/>
              <w:rPr>
                <w:rFonts w:cs="Arial"/>
                <w:color w:val="000000" w:themeColor="dark1"/>
                <w:kern w:val="24"/>
              </w:rPr>
            </w:pPr>
            <w:r w:rsidRPr="00D55FA1">
              <w:rPr>
                <w:rFonts w:cs="Arial"/>
                <w:color w:val="000000" w:themeColor="dark1"/>
                <w:kern w:val="24"/>
              </w:rPr>
              <w:t>12.70%</w:t>
            </w:r>
          </w:p>
        </w:tc>
        <w:tc>
          <w:tcPr>
            <w:tcW w:w="1068" w:type="dxa"/>
            <w:vAlign w:val="center"/>
          </w:tcPr>
          <w:p w14:paraId="675E05EE" w14:textId="7C9C30AF" w:rsidR="0066332C" w:rsidRPr="00D55FA1" w:rsidRDefault="0083171F" w:rsidP="00961037">
            <w:pPr>
              <w:jc w:val="center"/>
              <w:rPr>
                <w:rFonts w:cs="Arial"/>
                <w:color w:val="000000" w:themeColor="dark1"/>
                <w:kern w:val="24"/>
              </w:rPr>
            </w:pPr>
            <w:r w:rsidRPr="00D55FA1">
              <w:rPr>
                <w:rFonts w:cs="Arial"/>
                <w:color w:val="000000" w:themeColor="dark1"/>
                <w:kern w:val="24"/>
              </w:rPr>
              <w:t>12.68%</w:t>
            </w:r>
          </w:p>
        </w:tc>
        <w:tc>
          <w:tcPr>
            <w:tcW w:w="1054" w:type="dxa"/>
            <w:vAlign w:val="center"/>
          </w:tcPr>
          <w:p w14:paraId="2FC17F8B" w14:textId="7EA1FEFF" w:rsidR="0066332C" w:rsidRPr="00D55FA1" w:rsidRDefault="00701CB3" w:rsidP="00961037">
            <w:pPr>
              <w:jc w:val="center"/>
              <w:rPr>
                <w:rFonts w:cs="Arial"/>
                <w:color w:val="000000" w:themeColor="dark1"/>
                <w:kern w:val="24"/>
              </w:rPr>
            </w:pPr>
            <w:r>
              <w:rPr>
                <w:rFonts w:cs="Arial"/>
                <w:bCs/>
              </w:rPr>
              <w:t>13.19%</w:t>
            </w:r>
          </w:p>
        </w:tc>
        <w:tc>
          <w:tcPr>
            <w:tcW w:w="934" w:type="dxa"/>
            <w:vAlign w:val="center"/>
          </w:tcPr>
          <w:p w14:paraId="0A4F7224" w14:textId="592FF6EF" w:rsidR="0066332C" w:rsidRPr="00D55FA1" w:rsidRDefault="00DE7835" w:rsidP="00961037">
            <w:pPr>
              <w:jc w:val="center"/>
              <w:rPr>
                <w:rFonts w:cs="Arial"/>
                <w:color w:val="000000" w:themeColor="dark1"/>
                <w:kern w:val="24"/>
              </w:rPr>
            </w:pPr>
            <w:r>
              <w:rPr>
                <w:rFonts w:cs="Arial"/>
                <w:bCs/>
              </w:rPr>
              <w:t>14.27%</w:t>
            </w:r>
          </w:p>
        </w:tc>
        <w:tc>
          <w:tcPr>
            <w:tcW w:w="1159" w:type="dxa"/>
            <w:vAlign w:val="center"/>
          </w:tcPr>
          <w:p w14:paraId="5AE48A43" w14:textId="12DAC9BE"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7E6EA48A" w14:textId="77777777" w:rsidTr="00CD2A6F">
        <w:trPr>
          <w:cantSplit/>
          <w:trHeight w:val="288"/>
        </w:trPr>
        <w:tc>
          <w:tcPr>
            <w:tcW w:w="3145" w:type="dxa"/>
            <w:vAlign w:val="center"/>
          </w:tcPr>
          <w:p w14:paraId="4B1497FC"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Target Met</w:t>
            </w:r>
          </w:p>
        </w:tc>
        <w:tc>
          <w:tcPr>
            <w:tcW w:w="887" w:type="dxa"/>
            <w:vAlign w:val="center"/>
          </w:tcPr>
          <w:p w14:paraId="1F347920"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08" w:type="dxa"/>
            <w:vAlign w:val="center"/>
          </w:tcPr>
          <w:p w14:paraId="50F40DEB" w14:textId="171DEEEE"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068" w:type="dxa"/>
            <w:vAlign w:val="center"/>
          </w:tcPr>
          <w:p w14:paraId="77A52294" w14:textId="42C8A244"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54" w:type="dxa"/>
            <w:vAlign w:val="center"/>
          </w:tcPr>
          <w:p w14:paraId="007DCDA8" w14:textId="25520A2B" w:rsidR="0066332C" w:rsidRPr="00D55FA1" w:rsidRDefault="00701CB3" w:rsidP="00961037">
            <w:pPr>
              <w:jc w:val="center"/>
              <w:rPr>
                <w:rFonts w:cs="Arial"/>
                <w:color w:val="000000" w:themeColor="dark1"/>
                <w:kern w:val="24"/>
              </w:rPr>
            </w:pPr>
            <w:r>
              <w:rPr>
                <w:rFonts w:cs="Arial"/>
                <w:bCs/>
              </w:rPr>
              <w:t>Yes</w:t>
            </w:r>
          </w:p>
        </w:tc>
        <w:tc>
          <w:tcPr>
            <w:tcW w:w="934" w:type="dxa"/>
            <w:vAlign w:val="center"/>
          </w:tcPr>
          <w:p w14:paraId="450EA2D7" w14:textId="3D1E0BF7" w:rsidR="0066332C" w:rsidRPr="00D55FA1" w:rsidRDefault="00DE7835" w:rsidP="00961037">
            <w:pPr>
              <w:jc w:val="center"/>
              <w:rPr>
                <w:rFonts w:cs="Arial"/>
                <w:color w:val="000000" w:themeColor="dark1"/>
                <w:kern w:val="24"/>
              </w:rPr>
            </w:pPr>
            <w:r>
              <w:rPr>
                <w:rFonts w:cs="Arial"/>
                <w:bCs/>
              </w:rPr>
              <w:t>Yes</w:t>
            </w:r>
          </w:p>
        </w:tc>
        <w:tc>
          <w:tcPr>
            <w:tcW w:w="1159" w:type="dxa"/>
            <w:vAlign w:val="center"/>
          </w:tcPr>
          <w:p w14:paraId="3DD355C9" w14:textId="76453C08"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1EDC0134" w14:textId="77777777" w:rsidTr="00CD2A6F">
        <w:trPr>
          <w:cantSplit/>
          <w:trHeight w:val="288"/>
        </w:trPr>
        <w:tc>
          <w:tcPr>
            <w:tcW w:w="3145" w:type="dxa"/>
            <w:vAlign w:val="center"/>
            <w:hideMark/>
          </w:tcPr>
          <w:p w14:paraId="07B72678" w14:textId="77777777" w:rsidR="0066332C" w:rsidRPr="00D55FA1" w:rsidRDefault="0066332C" w:rsidP="00961037">
            <w:pPr>
              <w:jc w:val="center"/>
              <w:rPr>
                <w:rFonts w:cs="Arial"/>
              </w:rPr>
            </w:pPr>
            <w:r w:rsidRPr="00D55FA1">
              <w:rPr>
                <w:rFonts w:cs="Arial"/>
                <w:color w:val="000000" w:themeColor="dark1"/>
                <w:kern w:val="24"/>
              </w:rPr>
              <w:t>Grade 11 Target</w:t>
            </w:r>
          </w:p>
        </w:tc>
        <w:tc>
          <w:tcPr>
            <w:tcW w:w="887" w:type="dxa"/>
            <w:vAlign w:val="center"/>
            <w:hideMark/>
          </w:tcPr>
          <w:p w14:paraId="2F57A486" w14:textId="77777777" w:rsidR="0066332C" w:rsidRPr="00D55FA1" w:rsidRDefault="0066332C" w:rsidP="00961037">
            <w:pPr>
              <w:jc w:val="center"/>
              <w:rPr>
                <w:rFonts w:cs="Arial"/>
              </w:rPr>
            </w:pPr>
            <w:r w:rsidRPr="00D55FA1">
              <w:rPr>
                <w:rFonts w:cs="Arial"/>
                <w:color w:val="000000" w:themeColor="dark1"/>
                <w:kern w:val="24"/>
              </w:rPr>
              <w:t>14%</w:t>
            </w:r>
          </w:p>
        </w:tc>
        <w:tc>
          <w:tcPr>
            <w:tcW w:w="1108" w:type="dxa"/>
            <w:vAlign w:val="center"/>
            <w:hideMark/>
          </w:tcPr>
          <w:p w14:paraId="05662D08" w14:textId="77777777" w:rsidR="0066332C" w:rsidRPr="00D55FA1" w:rsidRDefault="0066332C" w:rsidP="00961037">
            <w:pPr>
              <w:jc w:val="center"/>
              <w:rPr>
                <w:rFonts w:cs="Arial"/>
              </w:rPr>
            </w:pPr>
            <w:r w:rsidRPr="00D55FA1">
              <w:rPr>
                <w:rFonts w:cs="Arial"/>
                <w:color w:val="000000" w:themeColor="dark1"/>
                <w:kern w:val="24"/>
              </w:rPr>
              <w:t>14%</w:t>
            </w:r>
          </w:p>
        </w:tc>
        <w:tc>
          <w:tcPr>
            <w:tcW w:w="1068" w:type="dxa"/>
            <w:vAlign w:val="center"/>
            <w:hideMark/>
          </w:tcPr>
          <w:p w14:paraId="5AF38A2D" w14:textId="77777777" w:rsidR="0066332C" w:rsidRPr="00D55FA1" w:rsidRDefault="0066332C" w:rsidP="00961037">
            <w:pPr>
              <w:jc w:val="center"/>
              <w:rPr>
                <w:rFonts w:cs="Arial"/>
              </w:rPr>
            </w:pPr>
            <w:r w:rsidRPr="00D55FA1">
              <w:rPr>
                <w:rFonts w:cs="Arial"/>
                <w:color w:val="000000" w:themeColor="dark1"/>
                <w:kern w:val="24"/>
              </w:rPr>
              <w:t>14%</w:t>
            </w:r>
          </w:p>
        </w:tc>
        <w:tc>
          <w:tcPr>
            <w:tcW w:w="1054" w:type="dxa"/>
            <w:vAlign w:val="center"/>
            <w:hideMark/>
          </w:tcPr>
          <w:p w14:paraId="279C02A5" w14:textId="77777777" w:rsidR="0066332C" w:rsidRPr="00D55FA1" w:rsidRDefault="0066332C" w:rsidP="00961037">
            <w:pPr>
              <w:jc w:val="center"/>
              <w:rPr>
                <w:rFonts w:cs="Arial"/>
              </w:rPr>
            </w:pPr>
            <w:r w:rsidRPr="00D55FA1">
              <w:rPr>
                <w:rFonts w:cs="Arial"/>
                <w:color w:val="000000" w:themeColor="dark1"/>
                <w:kern w:val="24"/>
              </w:rPr>
              <w:t>15%</w:t>
            </w:r>
          </w:p>
        </w:tc>
        <w:tc>
          <w:tcPr>
            <w:tcW w:w="934" w:type="dxa"/>
            <w:vAlign w:val="center"/>
            <w:hideMark/>
          </w:tcPr>
          <w:p w14:paraId="0D717E21" w14:textId="77777777" w:rsidR="0066332C" w:rsidRPr="00D55FA1" w:rsidRDefault="0066332C" w:rsidP="00961037">
            <w:pPr>
              <w:jc w:val="center"/>
              <w:rPr>
                <w:rFonts w:cs="Arial"/>
              </w:rPr>
            </w:pPr>
            <w:r w:rsidRPr="00D55FA1">
              <w:rPr>
                <w:rFonts w:cs="Arial"/>
                <w:color w:val="000000" w:themeColor="dark1"/>
                <w:kern w:val="24"/>
              </w:rPr>
              <w:t>16%</w:t>
            </w:r>
          </w:p>
        </w:tc>
        <w:tc>
          <w:tcPr>
            <w:tcW w:w="1159" w:type="dxa"/>
            <w:vAlign w:val="center"/>
            <w:hideMark/>
          </w:tcPr>
          <w:p w14:paraId="295AADA3" w14:textId="77777777" w:rsidR="0066332C" w:rsidRPr="00D55FA1" w:rsidRDefault="0066332C" w:rsidP="00961037">
            <w:pPr>
              <w:jc w:val="center"/>
              <w:rPr>
                <w:rFonts w:cs="Arial"/>
              </w:rPr>
            </w:pPr>
            <w:r w:rsidRPr="00D55FA1">
              <w:rPr>
                <w:rFonts w:cs="Arial"/>
                <w:color w:val="000000" w:themeColor="dark1"/>
                <w:kern w:val="24"/>
              </w:rPr>
              <w:t>17%</w:t>
            </w:r>
          </w:p>
        </w:tc>
      </w:tr>
      <w:tr w:rsidR="0066332C" w:rsidRPr="00D55FA1" w14:paraId="0869A815" w14:textId="77777777" w:rsidTr="00CD2A6F">
        <w:trPr>
          <w:cantSplit/>
          <w:trHeight w:val="288"/>
        </w:trPr>
        <w:tc>
          <w:tcPr>
            <w:tcW w:w="3145" w:type="dxa"/>
            <w:vAlign w:val="center"/>
          </w:tcPr>
          <w:p w14:paraId="28ADFCF2"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Result</w:t>
            </w:r>
          </w:p>
        </w:tc>
        <w:tc>
          <w:tcPr>
            <w:tcW w:w="887" w:type="dxa"/>
            <w:vAlign w:val="center"/>
          </w:tcPr>
          <w:p w14:paraId="28EDBA5E"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17%</w:t>
            </w:r>
          </w:p>
        </w:tc>
        <w:tc>
          <w:tcPr>
            <w:tcW w:w="1108" w:type="dxa"/>
            <w:vAlign w:val="center"/>
          </w:tcPr>
          <w:p w14:paraId="1A81F0B1" w14:textId="007E0B50" w:rsidR="0066332C" w:rsidRPr="00D55FA1" w:rsidRDefault="0066332C" w:rsidP="00961037">
            <w:pPr>
              <w:jc w:val="center"/>
              <w:rPr>
                <w:rFonts w:cs="Arial"/>
                <w:color w:val="000000" w:themeColor="dark1"/>
                <w:kern w:val="24"/>
              </w:rPr>
            </w:pPr>
            <w:r w:rsidRPr="00D55FA1">
              <w:rPr>
                <w:rFonts w:cs="Arial"/>
                <w:color w:val="000000" w:themeColor="dark1"/>
                <w:kern w:val="24"/>
              </w:rPr>
              <w:t>15.82%</w:t>
            </w:r>
          </w:p>
        </w:tc>
        <w:tc>
          <w:tcPr>
            <w:tcW w:w="1068" w:type="dxa"/>
            <w:vAlign w:val="center"/>
          </w:tcPr>
          <w:p w14:paraId="717AAFBA" w14:textId="5DF92058" w:rsidR="0066332C" w:rsidRPr="00D55FA1" w:rsidRDefault="0083171F" w:rsidP="00961037">
            <w:pPr>
              <w:jc w:val="center"/>
              <w:rPr>
                <w:rFonts w:cs="Arial"/>
                <w:color w:val="000000" w:themeColor="dark1"/>
                <w:kern w:val="24"/>
              </w:rPr>
            </w:pPr>
            <w:r w:rsidRPr="00D55FA1">
              <w:rPr>
                <w:rFonts w:cs="Arial"/>
                <w:color w:val="000000" w:themeColor="dark1"/>
                <w:kern w:val="24"/>
              </w:rPr>
              <w:t>17.21%</w:t>
            </w:r>
          </w:p>
        </w:tc>
        <w:tc>
          <w:tcPr>
            <w:tcW w:w="1054" w:type="dxa"/>
            <w:vAlign w:val="center"/>
          </w:tcPr>
          <w:p w14:paraId="56EE48EE" w14:textId="575CE91D" w:rsidR="0066332C" w:rsidRPr="00D55FA1" w:rsidRDefault="00701CB3" w:rsidP="00961037">
            <w:pPr>
              <w:jc w:val="center"/>
              <w:rPr>
                <w:rFonts w:cs="Arial"/>
                <w:color w:val="000000" w:themeColor="dark1"/>
                <w:kern w:val="24"/>
              </w:rPr>
            </w:pPr>
            <w:r>
              <w:rPr>
                <w:rFonts w:cs="Arial"/>
                <w:bCs/>
              </w:rPr>
              <w:t>17.55%</w:t>
            </w:r>
          </w:p>
        </w:tc>
        <w:tc>
          <w:tcPr>
            <w:tcW w:w="934" w:type="dxa"/>
            <w:vAlign w:val="center"/>
          </w:tcPr>
          <w:p w14:paraId="2908EB2C" w14:textId="19DE9922" w:rsidR="0066332C" w:rsidRPr="00D55FA1" w:rsidRDefault="00DE7835" w:rsidP="00961037">
            <w:pPr>
              <w:jc w:val="center"/>
              <w:rPr>
                <w:rFonts w:cs="Arial"/>
                <w:color w:val="000000" w:themeColor="dark1"/>
                <w:kern w:val="24"/>
              </w:rPr>
            </w:pPr>
            <w:r>
              <w:rPr>
                <w:rFonts w:cs="Arial"/>
                <w:bCs/>
              </w:rPr>
              <w:t>19.00%</w:t>
            </w:r>
          </w:p>
        </w:tc>
        <w:tc>
          <w:tcPr>
            <w:tcW w:w="1159" w:type="dxa"/>
            <w:vAlign w:val="center"/>
          </w:tcPr>
          <w:p w14:paraId="121FD38A" w14:textId="2F30022A"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5111C796" w14:textId="77777777" w:rsidTr="00CD2A6F">
        <w:trPr>
          <w:cantSplit/>
          <w:trHeight w:val="288"/>
        </w:trPr>
        <w:tc>
          <w:tcPr>
            <w:tcW w:w="3145" w:type="dxa"/>
            <w:vAlign w:val="center"/>
          </w:tcPr>
          <w:p w14:paraId="397D3C88"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Target Met</w:t>
            </w:r>
          </w:p>
        </w:tc>
        <w:tc>
          <w:tcPr>
            <w:tcW w:w="887" w:type="dxa"/>
            <w:vAlign w:val="center"/>
          </w:tcPr>
          <w:p w14:paraId="377F3134"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108" w:type="dxa"/>
            <w:vAlign w:val="center"/>
          </w:tcPr>
          <w:p w14:paraId="1FE2DD96" w14:textId="4FFAA780"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068" w:type="dxa"/>
            <w:vAlign w:val="center"/>
          </w:tcPr>
          <w:p w14:paraId="27357532" w14:textId="2DB9E877"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54" w:type="dxa"/>
            <w:vAlign w:val="center"/>
          </w:tcPr>
          <w:p w14:paraId="07F023C8" w14:textId="2267E10B" w:rsidR="0066332C" w:rsidRPr="00D55FA1" w:rsidRDefault="00701CB3" w:rsidP="00961037">
            <w:pPr>
              <w:jc w:val="center"/>
              <w:rPr>
                <w:rFonts w:cs="Arial"/>
                <w:color w:val="000000" w:themeColor="dark1"/>
                <w:kern w:val="24"/>
              </w:rPr>
            </w:pPr>
            <w:r>
              <w:rPr>
                <w:rFonts w:cs="Arial"/>
                <w:bCs/>
              </w:rPr>
              <w:t>Yes</w:t>
            </w:r>
          </w:p>
        </w:tc>
        <w:tc>
          <w:tcPr>
            <w:tcW w:w="934" w:type="dxa"/>
            <w:vAlign w:val="center"/>
          </w:tcPr>
          <w:p w14:paraId="4BDB5498" w14:textId="169E621D" w:rsidR="0066332C" w:rsidRPr="00D55FA1" w:rsidRDefault="00DE7835" w:rsidP="00961037">
            <w:pPr>
              <w:jc w:val="center"/>
              <w:rPr>
                <w:rFonts w:cs="Arial"/>
                <w:color w:val="000000" w:themeColor="dark1"/>
                <w:kern w:val="24"/>
              </w:rPr>
            </w:pPr>
            <w:r>
              <w:rPr>
                <w:rFonts w:cs="Arial"/>
                <w:bCs/>
              </w:rPr>
              <w:t>Yes</w:t>
            </w:r>
          </w:p>
        </w:tc>
        <w:tc>
          <w:tcPr>
            <w:tcW w:w="1159" w:type="dxa"/>
            <w:vAlign w:val="center"/>
          </w:tcPr>
          <w:p w14:paraId="2916C19D" w14:textId="0C5BB1E1" w:rsidR="0066332C" w:rsidRPr="00D55FA1" w:rsidRDefault="00DF008C" w:rsidP="00961037">
            <w:pPr>
              <w:jc w:val="center"/>
              <w:rPr>
                <w:rFonts w:cs="Arial"/>
                <w:color w:val="000000" w:themeColor="dark1"/>
                <w:kern w:val="24"/>
              </w:rPr>
            </w:pPr>
            <w:r w:rsidRPr="00D55FA1">
              <w:rPr>
                <w:rFonts w:cs="Arial"/>
                <w:bCs/>
              </w:rPr>
              <w:t>-</w:t>
            </w:r>
          </w:p>
        </w:tc>
      </w:tr>
    </w:tbl>
    <w:p w14:paraId="74869460" w14:textId="77777777" w:rsidR="00EB1E42" w:rsidRPr="00D55FA1" w:rsidRDefault="00EB1E42" w:rsidP="00EB1E42"/>
    <w:tbl>
      <w:tblPr>
        <w:tblStyle w:val="TableGrid1"/>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Indicator 3B math targets and results"/>
      </w:tblPr>
      <w:tblGrid>
        <w:gridCol w:w="2947"/>
        <w:gridCol w:w="964"/>
        <w:gridCol w:w="1127"/>
        <w:gridCol w:w="1095"/>
        <w:gridCol w:w="1083"/>
        <w:gridCol w:w="1030"/>
        <w:gridCol w:w="1044"/>
      </w:tblGrid>
      <w:tr w:rsidR="0066332C" w:rsidRPr="00D55FA1" w14:paraId="6B66D7E1" w14:textId="77777777" w:rsidTr="00CD2A6F">
        <w:trPr>
          <w:cantSplit/>
          <w:trHeight w:val="299"/>
          <w:tblHeader/>
        </w:trPr>
        <w:tc>
          <w:tcPr>
            <w:tcW w:w="2981" w:type="dxa"/>
            <w:vAlign w:val="center"/>
            <w:hideMark/>
          </w:tcPr>
          <w:p w14:paraId="519B47C4" w14:textId="77777777" w:rsidR="0066332C" w:rsidRPr="00D55FA1" w:rsidRDefault="0066332C" w:rsidP="00961037">
            <w:pPr>
              <w:jc w:val="center"/>
              <w:rPr>
                <w:rFonts w:cs="Arial"/>
                <w:b/>
              </w:rPr>
            </w:pPr>
            <w:bookmarkStart w:id="120" w:name="_Hlk74653755"/>
            <w:r w:rsidRPr="00D55FA1">
              <w:rPr>
                <w:rFonts w:cs="Arial"/>
                <w:b/>
              </w:rPr>
              <w:t>Indicator 3b Math</w:t>
            </w:r>
          </w:p>
        </w:tc>
        <w:tc>
          <w:tcPr>
            <w:tcW w:w="968" w:type="dxa"/>
            <w:vAlign w:val="center"/>
            <w:hideMark/>
          </w:tcPr>
          <w:p w14:paraId="0D42C9D5" w14:textId="77777777" w:rsidR="0066332C" w:rsidRPr="00D55FA1" w:rsidRDefault="0066332C" w:rsidP="00961037">
            <w:pPr>
              <w:jc w:val="center"/>
              <w:rPr>
                <w:rFonts w:cs="Arial"/>
              </w:rPr>
            </w:pPr>
            <w:r w:rsidRPr="00D55FA1">
              <w:rPr>
                <w:rFonts w:cs="Arial"/>
                <w:b/>
                <w:bCs/>
                <w:kern w:val="24"/>
              </w:rPr>
              <w:t>2020</w:t>
            </w:r>
          </w:p>
        </w:tc>
        <w:tc>
          <w:tcPr>
            <w:tcW w:w="1131" w:type="dxa"/>
            <w:vAlign w:val="center"/>
            <w:hideMark/>
          </w:tcPr>
          <w:p w14:paraId="3A713548" w14:textId="77777777" w:rsidR="0066332C" w:rsidRPr="00D55FA1" w:rsidRDefault="0066332C" w:rsidP="00961037">
            <w:pPr>
              <w:jc w:val="center"/>
              <w:rPr>
                <w:rFonts w:cs="Arial"/>
              </w:rPr>
            </w:pPr>
            <w:r w:rsidRPr="00D55FA1">
              <w:rPr>
                <w:rFonts w:cs="Arial"/>
                <w:b/>
                <w:bCs/>
                <w:kern w:val="24"/>
              </w:rPr>
              <w:t>2021</w:t>
            </w:r>
          </w:p>
        </w:tc>
        <w:tc>
          <w:tcPr>
            <w:tcW w:w="1096" w:type="dxa"/>
            <w:vAlign w:val="center"/>
            <w:hideMark/>
          </w:tcPr>
          <w:p w14:paraId="76F3685A" w14:textId="77777777" w:rsidR="0066332C" w:rsidRPr="00D55FA1" w:rsidRDefault="0066332C" w:rsidP="00961037">
            <w:pPr>
              <w:jc w:val="center"/>
              <w:rPr>
                <w:rFonts w:cs="Arial"/>
              </w:rPr>
            </w:pPr>
            <w:r w:rsidRPr="00D55FA1">
              <w:rPr>
                <w:rFonts w:cs="Arial"/>
                <w:b/>
                <w:bCs/>
                <w:kern w:val="24"/>
              </w:rPr>
              <w:t>2022</w:t>
            </w:r>
          </w:p>
        </w:tc>
        <w:tc>
          <w:tcPr>
            <w:tcW w:w="1084" w:type="dxa"/>
            <w:vAlign w:val="center"/>
            <w:hideMark/>
          </w:tcPr>
          <w:p w14:paraId="1DC50701" w14:textId="77777777" w:rsidR="0066332C" w:rsidRPr="00D55FA1" w:rsidRDefault="0066332C" w:rsidP="00961037">
            <w:pPr>
              <w:jc w:val="center"/>
              <w:rPr>
                <w:rFonts w:cs="Arial"/>
              </w:rPr>
            </w:pPr>
            <w:r w:rsidRPr="00D55FA1">
              <w:rPr>
                <w:rFonts w:cs="Arial"/>
                <w:b/>
                <w:bCs/>
                <w:kern w:val="24"/>
              </w:rPr>
              <w:t>2023</w:t>
            </w:r>
          </w:p>
        </w:tc>
        <w:tc>
          <w:tcPr>
            <w:tcW w:w="980" w:type="dxa"/>
            <w:vAlign w:val="center"/>
            <w:hideMark/>
          </w:tcPr>
          <w:p w14:paraId="665BC6A2" w14:textId="77777777" w:rsidR="0066332C" w:rsidRPr="00D55FA1" w:rsidRDefault="0066332C" w:rsidP="00961037">
            <w:pPr>
              <w:jc w:val="center"/>
              <w:rPr>
                <w:rFonts w:cs="Arial"/>
              </w:rPr>
            </w:pPr>
            <w:r w:rsidRPr="00D55FA1">
              <w:rPr>
                <w:rFonts w:cs="Arial"/>
                <w:b/>
                <w:bCs/>
                <w:kern w:val="24"/>
              </w:rPr>
              <w:t>2024</w:t>
            </w:r>
          </w:p>
        </w:tc>
        <w:tc>
          <w:tcPr>
            <w:tcW w:w="1050" w:type="dxa"/>
            <w:vAlign w:val="center"/>
            <w:hideMark/>
          </w:tcPr>
          <w:p w14:paraId="7CE97451" w14:textId="77777777" w:rsidR="0066332C" w:rsidRPr="00D55FA1" w:rsidRDefault="0066332C" w:rsidP="00961037">
            <w:pPr>
              <w:jc w:val="center"/>
              <w:rPr>
                <w:rFonts w:cs="Arial"/>
              </w:rPr>
            </w:pPr>
            <w:r w:rsidRPr="00D55FA1">
              <w:rPr>
                <w:rFonts w:cs="Arial"/>
                <w:b/>
                <w:bCs/>
                <w:kern w:val="24"/>
              </w:rPr>
              <w:t>2025</w:t>
            </w:r>
          </w:p>
        </w:tc>
      </w:tr>
      <w:tr w:rsidR="0066332C" w:rsidRPr="00D55FA1" w14:paraId="3DC40F79" w14:textId="77777777" w:rsidTr="00CD2A6F">
        <w:trPr>
          <w:cantSplit/>
          <w:trHeight w:val="299"/>
        </w:trPr>
        <w:tc>
          <w:tcPr>
            <w:tcW w:w="2981" w:type="dxa"/>
            <w:vAlign w:val="center"/>
            <w:hideMark/>
          </w:tcPr>
          <w:p w14:paraId="601E9A53" w14:textId="31AA53F9" w:rsidR="0066332C" w:rsidRPr="00D55FA1" w:rsidRDefault="0066332C" w:rsidP="00961037">
            <w:pPr>
              <w:jc w:val="center"/>
              <w:rPr>
                <w:rFonts w:cs="Arial"/>
              </w:rPr>
            </w:pPr>
            <w:r w:rsidRPr="00D55FA1">
              <w:rPr>
                <w:rFonts w:cs="Arial"/>
                <w:color w:val="000000" w:themeColor="dark1"/>
                <w:kern w:val="24"/>
              </w:rPr>
              <w:t>Grade 4 Target</w:t>
            </w:r>
          </w:p>
        </w:tc>
        <w:tc>
          <w:tcPr>
            <w:tcW w:w="968" w:type="dxa"/>
            <w:vAlign w:val="center"/>
            <w:hideMark/>
          </w:tcPr>
          <w:p w14:paraId="377C2C98" w14:textId="77777777" w:rsidR="0066332C" w:rsidRPr="00D55FA1" w:rsidRDefault="0066332C" w:rsidP="00961037">
            <w:pPr>
              <w:jc w:val="center"/>
              <w:rPr>
                <w:rFonts w:cs="Arial"/>
              </w:rPr>
            </w:pPr>
            <w:r w:rsidRPr="00D55FA1">
              <w:rPr>
                <w:rFonts w:cs="Arial"/>
                <w:color w:val="000000" w:themeColor="dark1"/>
                <w:kern w:val="24"/>
              </w:rPr>
              <w:t>15%</w:t>
            </w:r>
          </w:p>
        </w:tc>
        <w:tc>
          <w:tcPr>
            <w:tcW w:w="1131" w:type="dxa"/>
            <w:vAlign w:val="center"/>
            <w:hideMark/>
          </w:tcPr>
          <w:p w14:paraId="7B88314E" w14:textId="77777777" w:rsidR="0066332C" w:rsidRPr="00D55FA1" w:rsidRDefault="0066332C" w:rsidP="00961037">
            <w:pPr>
              <w:jc w:val="center"/>
              <w:rPr>
                <w:rFonts w:cs="Arial"/>
              </w:rPr>
            </w:pPr>
            <w:r w:rsidRPr="00D55FA1">
              <w:rPr>
                <w:rFonts w:cs="Arial"/>
                <w:color w:val="000000" w:themeColor="dark1"/>
                <w:kern w:val="24"/>
              </w:rPr>
              <w:t>15%</w:t>
            </w:r>
          </w:p>
        </w:tc>
        <w:tc>
          <w:tcPr>
            <w:tcW w:w="1096" w:type="dxa"/>
            <w:vAlign w:val="center"/>
            <w:hideMark/>
          </w:tcPr>
          <w:p w14:paraId="7C18544C" w14:textId="77777777" w:rsidR="0066332C" w:rsidRPr="00D55FA1" w:rsidRDefault="0066332C" w:rsidP="00961037">
            <w:pPr>
              <w:jc w:val="center"/>
              <w:rPr>
                <w:rFonts w:cs="Arial"/>
              </w:rPr>
            </w:pPr>
            <w:r w:rsidRPr="00D55FA1">
              <w:rPr>
                <w:rFonts w:cs="Arial"/>
                <w:color w:val="000000" w:themeColor="dark1"/>
                <w:kern w:val="24"/>
              </w:rPr>
              <w:t>15%</w:t>
            </w:r>
          </w:p>
        </w:tc>
        <w:tc>
          <w:tcPr>
            <w:tcW w:w="1084" w:type="dxa"/>
            <w:vAlign w:val="center"/>
            <w:hideMark/>
          </w:tcPr>
          <w:p w14:paraId="12BA56E8" w14:textId="5D22E342" w:rsidR="0066332C" w:rsidRPr="00D55FA1" w:rsidRDefault="0066332C" w:rsidP="00961037">
            <w:pPr>
              <w:jc w:val="center"/>
              <w:rPr>
                <w:rFonts w:cs="Arial"/>
              </w:rPr>
            </w:pPr>
            <w:r w:rsidRPr="00D55FA1">
              <w:rPr>
                <w:rFonts w:cs="Arial"/>
                <w:color w:val="000000" w:themeColor="dark1"/>
                <w:kern w:val="24"/>
              </w:rPr>
              <w:t>16%</w:t>
            </w:r>
          </w:p>
        </w:tc>
        <w:tc>
          <w:tcPr>
            <w:tcW w:w="980" w:type="dxa"/>
            <w:vAlign w:val="center"/>
            <w:hideMark/>
          </w:tcPr>
          <w:p w14:paraId="200ABEBE" w14:textId="77777777" w:rsidR="0066332C" w:rsidRPr="00D55FA1" w:rsidRDefault="0066332C" w:rsidP="00961037">
            <w:pPr>
              <w:jc w:val="center"/>
              <w:rPr>
                <w:rFonts w:cs="Arial"/>
              </w:rPr>
            </w:pPr>
            <w:r w:rsidRPr="00D55FA1">
              <w:rPr>
                <w:rFonts w:cs="Arial"/>
                <w:color w:val="000000" w:themeColor="dark1"/>
                <w:kern w:val="24"/>
              </w:rPr>
              <w:t>17%</w:t>
            </w:r>
          </w:p>
        </w:tc>
        <w:tc>
          <w:tcPr>
            <w:tcW w:w="1050" w:type="dxa"/>
            <w:vAlign w:val="center"/>
            <w:hideMark/>
          </w:tcPr>
          <w:p w14:paraId="79501ABD" w14:textId="77777777" w:rsidR="0066332C" w:rsidRPr="00D55FA1" w:rsidRDefault="0066332C" w:rsidP="00961037">
            <w:pPr>
              <w:jc w:val="center"/>
              <w:rPr>
                <w:rFonts w:cs="Arial"/>
              </w:rPr>
            </w:pPr>
            <w:r w:rsidRPr="00D55FA1">
              <w:rPr>
                <w:rFonts w:cs="Arial"/>
                <w:color w:val="000000" w:themeColor="dark1"/>
                <w:kern w:val="24"/>
              </w:rPr>
              <w:t>18%</w:t>
            </w:r>
          </w:p>
        </w:tc>
      </w:tr>
      <w:tr w:rsidR="0066332C" w:rsidRPr="00D55FA1" w14:paraId="481CF23D" w14:textId="77777777" w:rsidTr="00CD2A6F">
        <w:trPr>
          <w:cantSplit/>
          <w:trHeight w:val="299"/>
        </w:trPr>
        <w:tc>
          <w:tcPr>
            <w:tcW w:w="2981" w:type="dxa"/>
            <w:vAlign w:val="center"/>
          </w:tcPr>
          <w:p w14:paraId="3761C4C7"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Result</w:t>
            </w:r>
          </w:p>
        </w:tc>
        <w:tc>
          <w:tcPr>
            <w:tcW w:w="968" w:type="dxa"/>
            <w:vAlign w:val="center"/>
          </w:tcPr>
          <w:p w14:paraId="18E2A806"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17%</w:t>
            </w:r>
          </w:p>
        </w:tc>
        <w:tc>
          <w:tcPr>
            <w:tcW w:w="1131" w:type="dxa"/>
            <w:vAlign w:val="center"/>
          </w:tcPr>
          <w:p w14:paraId="187F57B8" w14:textId="161F748D" w:rsidR="0066332C" w:rsidRPr="00D55FA1" w:rsidRDefault="0066332C" w:rsidP="00961037">
            <w:pPr>
              <w:jc w:val="center"/>
              <w:rPr>
                <w:rFonts w:cs="Arial"/>
                <w:color w:val="000000" w:themeColor="dark1"/>
                <w:kern w:val="24"/>
              </w:rPr>
            </w:pPr>
            <w:r w:rsidRPr="00D55FA1">
              <w:rPr>
                <w:rFonts w:cs="Arial"/>
                <w:color w:val="000000" w:themeColor="dark1"/>
                <w:kern w:val="24"/>
              </w:rPr>
              <w:t>18.0%</w:t>
            </w:r>
          </w:p>
        </w:tc>
        <w:tc>
          <w:tcPr>
            <w:tcW w:w="1096" w:type="dxa"/>
            <w:vAlign w:val="center"/>
          </w:tcPr>
          <w:p w14:paraId="54738AF4" w14:textId="3AC6F5B6" w:rsidR="0066332C" w:rsidRPr="00D55FA1" w:rsidRDefault="0083171F" w:rsidP="00961037">
            <w:pPr>
              <w:jc w:val="center"/>
              <w:rPr>
                <w:rFonts w:cs="Arial"/>
                <w:color w:val="000000" w:themeColor="dark1"/>
                <w:kern w:val="24"/>
              </w:rPr>
            </w:pPr>
            <w:r w:rsidRPr="00D55FA1">
              <w:rPr>
                <w:rFonts w:cs="Arial"/>
                <w:color w:val="000000" w:themeColor="dark1"/>
                <w:kern w:val="24"/>
              </w:rPr>
              <w:t>19.24%</w:t>
            </w:r>
          </w:p>
        </w:tc>
        <w:tc>
          <w:tcPr>
            <w:tcW w:w="1084" w:type="dxa"/>
            <w:vAlign w:val="center"/>
          </w:tcPr>
          <w:p w14:paraId="46ABBD8F" w14:textId="06311EDE" w:rsidR="0066332C" w:rsidRPr="00D55FA1" w:rsidRDefault="006A3358" w:rsidP="00961037">
            <w:pPr>
              <w:jc w:val="center"/>
              <w:rPr>
                <w:rFonts w:cs="Arial"/>
                <w:color w:val="000000" w:themeColor="dark1"/>
                <w:kern w:val="24"/>
              </w:rPr>
            </w:pPr>
            <w:r>
              <w:rPr>
                <w:rFonts w:cs="Arial"/>
                <w:bCs/>
              </w:rPr>
              <w:t>19.16%</w:t>
            </w:r>
          </w:p>
        </w:tc>
        <w:tc>
          <w:tcPr>
            <w:tcW w:w="980" w:type="dxa"/>
            <w:vAlign w:val="center"/>
          </w:tcPr>
          <w:p w14:paraId="06BBA33E" w14:textId="1F827664" w:rsidR="0066332C" w:rsidRPr="00D55FA1" w:rsidRDefault="00DE7835" w:rsidP="00961037">
            <w:pPr>
              <w:jc w:val="center"/>
              <w:rPr>
                <w:rFonts w:cs="Arial"/>
                <w:color w:val="000000" w:themeColor="dark1"/>
                <w:kern w:val="24"/>
              </w:rPr>
            </w:pPr>
            <w:r>
              <w:rPr>
                <w:rFonts w:cs="Arial"/>
                <w:bCs/>
              </w:rPr>
              <w:t>19.56%</w:t>
            </w:r>
          </w:p>
        </w:tc>
        <w:tc>
          <w:tcPr>
            <w:tcW w:w="1050" w:type="dxa"/>
            <w:vAlign w:val="center"/>
          </w:tcPr>
          <w:p w14:paraId="464FCBC1" w14:textId="2EC3B5FB"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2DC0A1C6" w14:textId="77777777" w:rsidTr="00CD2A6F">
        <w:trPr>
          <w:cantSplit/>
          <w:trHeight w:val="299"/>
        </w:trPr>
        <w:tc>
          <w:tcPr>
            <w:tcW w:w="2981" w:type="dxa"/>
            <w:vAlign w:val="center"/>
          </w:tcPr>
          <w:p w14:paraId="2A2F4919"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Target Met</w:t>
            </w:r>
          </w:p>
        </w:tc>
        <w:tc>
          <w:tcPr>
            <w:tcW w:w="968" w:type="dxa"/>
            <w:vAlign w:val="center"/>
          </w:tcPr>
          <w:p w14:paraId="7E9182D8"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131" w:type="dxa"/>
            <w:vAlign w:val="center"/>
          </w:tcPr>
          <w:p w14:paraId="5C8C6B09" w14:textId="42976FC4"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096" w:type="dxa"/>
            <w:vAlign w:val="center"/>
          </w:tcPr>
          <w:p w14:paraId="3382A365" w14:textId="6B34CBAE"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84" w:type="dxa"/>
            <w:vAlign w:val="center"/>
          </w:tcPr>
          <w:p w14:paraId="5C71F136" w14:textId="44CF910F" w:rsidR="0066332C" w:rsidRPr="00D55FA1" w:rsidRDefault="006A3358" w:rsidP="00961037">
            <w:pPr>
              <w:jc w:val="center"/>
              <w:rPr>
                <w:rFonts w:cs="Arial"/>
                <w:color w:val="000000" w:themeColor="dark1"/>
                <w:kern w:val="24"/>
              </w:rPr>
            </w:pPr>
            <w:r>
              <w:rPr>
                <w:rFonts w:cs="Arial"/>
                <w:bCs/>
              </w:rPr>
              <w:t>Yes</w:t>
            </w:r>
          </w:p>
        </w:tc>
        <w:tc>
          <w:tcPr>
            <w:tcW w:w="980" w:type="dxa"/>
            <w:vAlign w:val="center"/>
          </w:tcPr>
          <w:p w14:paraId="62199465" w14:textId="69A4079F" w:rsidR="0066332C" w:rsidRPr="00D55FA1" w:rsidRDefault="00DE7835" w:rsidP="00961037">
            <w:pPr>
              <w:jc w:val="center"/>
              <w:rPr>
                <w:rFonts w:cs="Arial"/>
                <w:color w:val="000000" w:themeColor="dark1"/>
                <w:kern w:val="24"/>
              </w:rPr>
            </w:pPr>
            <w:r>
              <w:rPr>
                <w:rFonts w:cs="Arial"/>
                <w:bCs/>
              </w:rPr>
              <w:t>Yes</w:t>
            </w:r>
          </w:p>
        </w:tc>
        <w:tc>
          <w:tcPr>
            <w:tcW w:w="1050" w:type="dxa"/>
            <w:vAlign w:val="center"/>
          </w:tcPr>
          <w:p w14:paraId="0DA123B1" w14:textId="493611F9"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7EADD9D3" w14:textId="77777777" w:rsidTr="00CD2A6F">
        <w:trPr>
          <w:cantSplit/>
          <w:trHeight w:val="299"/>
        </w:trPr>
        <w:tc>
          <w:tcPr>
            <w:tcW w:w="2981" w:type="dxa"/>
            <w:vAlign w:val="center"/>
            <w:hideMark/>
          </w:tcPr>
          <w:p w14:paraId="5BBA2C88" w14:textId="6E645830" w:rsidR="0066332C" w:rsidRPr="00D55FA1" w:rsidRDefault="0066332C" w:rsidP="00961037">
            <w:pPr>
              <w:jc w:val="center"/>
              <w:rPr>
                <w:rFonts w:cs="Arial"/>
              </w:rPr>
            </w:pPr>
            <w:r w:rsidRPr="00D55FA1">
              <w:rPr>
                <w:rFonts w:cs="Arial"/>
                <w:color w:val="000000" w:themeColor="dark1"/>
                <w:kern w:val="24"/>
              </w:rPr>
              <w:t>Grade 8 Target</w:t>
            </w:r>
          </w:p>
        </w:tc>
        <w:tc>
          <w:tcPr>
            <w:tcW w:w="968" w:type="dxa"/>
            <w:vAlign w:val="center"/>
            <w:hideMark/>
          </w:tcPr>
          <w:p w14:paraId="01845DA2" w14:textId="77777777" w:rsidR="0066332C" w:rsidRPr="00D55FA1" w:rsidRDefault="0066332C" w:rsidP="00961037">
            <w:pPr>
              <w:jc w:val="center"/>
              <w:rPr>
                <w:rFonts w:cs="Arial"/>
              </w:rPr>
            </w:pPr>
            <w:r w:rsidRPr="00D55FA1">
              <w:rPr>
                <w:rFonts w:cs="Arial"/>
                <w:color w:val="000000" w:themeColor="dark1"/>
                <w:kern w:val="24"/>
              </w:rPr>
              <w:t>8%</w:t>
            </w:r>
          </w:p>
        </w:tc>
        <w:tc>
          <w:tcPr>
            <w:tcW w:w="1131" w:type="dxa"/>
            <w:vAlign w:val="center"/>
            <w:hideMark/>
          </w:tcPr>
          <w:p w14:paraId="5090B0C1" w14:textId="77777777" w:rsidR="0066332C" w:rsidRPr="00D55FA1" w:rsidRDefault="0066332C" w:rsidP="00961037">
            <w:pPr>
              <w:jc w:val="center"/>
              <w:rPr>
                <w:rFonts w:cs="Arial"/>
              </w:rPr>
            </w:pPr>
            <w:r w:rsidRPr="00D55FA1">
              <w:rPr>
                <w:rFonts w:cs="Arial"/>
                <w:color w:val="000000" w:themeColor="dark1"/>
                <w:kern w:val="24"/>
              </w:rPr>
              <w:t>8%</w:t>
            </w:r>
          </w:p>
        </w:tc>
        <w:tc>
          <w:tcPr>
            <w:tcW w:w="1096" w:type="dxa"/>
            <w:vAlign w:val="center"/>
            <w:hideMark/>
          </w:tcPr>
          <w:p w14:paraId="228A5F61" w14:textId="77777777" w:rsidR="0066332C" w:rsidRPr="00D55FA1" w:rsidRDefault="0066332C" w:rsidP="00961037">
            <w:pPr>
              <w:jc w:val="center"/>
              <w:rPr>
                <w:rFonts w:cs="Arial"/>
              </w:rPr>
            </w:pPr>
            <w:r w:rsidRPr="00D55FA1">
              <w:rPr>
                <w:rFonts w:cs="Arial"/>
                <w:color w:val="000000" w:themeColor="dark1"/>
                <w:kern w:val="24"/>
              </w:rPr>
              <w:t>8%</w:t>
            </w:r>
          </w:p>
        </w:tc>
        <w:tc>
          <w:tcPr>
            <w:tcW w:w="1084" w:type="dxa"/>
            <w:vAlign w:val="center"/>
            <w:hideMark/>
          </w:tcPr>
          <w:p w14:paraId="2EC658D6" w14:textId="77777777" w:rsidR="0066332C" w:rsidRPr="00D55FA1" w:rsidRDefault="0066332C" w:rsidP="00961037">
            <w:pPr>
              <w:jc w:val="center"/>
              <w:rPr>
                <w:rFonts w:cs="Arial"/>
              </w:rPr>
            </w:pPr>
            <w:r w:rsidRPr="00D55FA1">
              <w:rPr>
                <w:rFonts w:cs="Arial"/>
                <w:color w:val="000000" w:themeColor="dark1"/>
                <w:kern w:val="24"/>
              </w:rPr>
              <w:t>9%</w:t>
            </w:r>
          </w:p>
        </w:tc>
        <w:tc>
          <w:tcPr>
            <w:tcW w:w="980" w:type="dxa"/>
            <w:vAlign w:val="center"/>
            <w:hideMark/>
          </w:tcPr>
          <w:p w14:paraId="1AF31760" w14:textId="77777777" w:rsidR="0066332C" w:rsidRPr="00D55FA1" w:rsidRDefault="0066332C" w:rsidP="00961037">
            <w:pPr>
              <w:jc w:val="center"/>
              <w:rPr>
                <w:rFonts w:cs="Arial"/>
              </w:rPr>
            </w:pPr>
            <w:r w:rsidRPr="00D55FA1">
              <w:rPr>
                <w:rFonts w:cs="Arial"/>
                <w:color w:val="000000" w:themeColor="dark1"/>
                <w:kern w:val="24"/>
              </w:rPr>
              <w:t>10%</w:t>
            </w:r>
          </w:p>
        </w:tc>
        <w:tc>
          <w:tcPr>
            <w:tcW w:w="1050" w:type="dxa"/>
            <w:vAlign w:val="center"/>
            <w:hideMark/>
          </w:tcPr>
          <w:p w14:paraId="067D9C9F" w14:textId="24471C9C" w:rsidR="0066332C" w:rsidRPr="00D55FA1" w:rsidRDefault="0066332C" w:rsidP="00961037">
            <w:pPr>
              <w:jc w:val="center"/>
              <w:rPr>
                <w:rFonts w:cs="Arial"/>
              </w:rPr>
            </w:pPr>
            <w:r w:rsidRPr="00D55FA1">
              <w:rPr>
                <w:rFonts w:cs="Arial"/>
                <w:color w:val="000000" w:themeColor="dark1"/>
                <w:kern w:val="24"/>
              </w:rPr>
              <w:t>11%</w:t>
            </w:r>
          </w:p>
        </w:tc>
      </w:tr>
      <w:tr w:rsidR="0066332C" w:rsidRPr="00D55FA1" w14:paraId="3C2DFD47" w14:textId="77777777" w:rsidTr="00CD2A6F">
        <w:trPr>
          <w:cantSplit/>
          <w:trHeight w:val="299"/>
        </w:trPr>
        <w:tc>
          <w:tcPr>
            <w:tcW w:w="2981" w:type="dxa"/>
            <w:vAlign w:val="center"/>
          </w:tcPr>
          <w:p w14:paraId="15AECB08"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Result</w:t>
            </w:r>
          </w:p>
        </w:tc>
        <w:tc>
          <w:tcPr>
            <w:tcW w:w="968" w:type="dxa"/>
            <w:vAlign w:val="center"/>
          </w:tcPr>
          <w:p w14:paraId="2E9E3B4A"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6%</w:t>
            </w:r>
          </w:p>
        </w:tc>
        <w:tc>
          <w:tcPr>
            <w:tcW w:w="1131" w:type="dxa"/>
            <w:vAlign w:val="center"/>
          </w:tcPr>
          <w:p w14:paraId="4C4CEA3D" w14:textId="3E3469EB" w:rsidR="0066332C" w:rsidRPr="00D55FA1" w:rsidRDefault="0066332C" w:rsidP="00961037">
            <w:pPr>
              <w:jc w:val="center"/>
              <w:rPr>
                <w:rFonts w:cs="Arial"/>
                <w:color w:val="000000" w:themeColor="dark1"/>
                <w:kern w:val="24"/>
              </w:rPr>
            </w:pPr>
            <w:r w:rsidRPr="00D55FA1">
              <w:rPr>
                <w:rFonts w:cs="Arial"/>
                <w:color w:val="000000" w:themeColor="dark1"/>
                <w:kern w:val="24"/>
              </w:rPr>
              <w:t>6.52%</w:t>
            </w:r>
          </w:p>
        </w:tc>
        <w:tc>
          <w:tcPr>
            <w:tcW w:w="1096" w:type="dxa"/>
            <w:vAlign w:val="center"/>
          </w:tcPr>
          <w:p w14:paraId="50895670" w14:textId="10DD1927" w:rsidR="0066332C" w:rsidRPr="00D55FA1" w:rsidRDefault="0083171F" w:rsidP="00961037">
            <w:pPr>
              <w:jc w:val="center"/>
              <w:rPr>
                <w:rFonts w:cs="Arial"/>
                <w:color w:val="000000" w:themeColor="dark1"/>
                <w:kern w:val="24"/>
              </w:rPr>
            </w:pPr>
            <w:r w:rsidRPr="00D55FA1">
              <w:rPr>
                <w:rFonts w:cs="Arial"/>
                <w:color w:val="000000" w:themeColor="dark1"/>
                <w:kern w:val="24"/>
              </w:rPr>
              <w:t>7.18%</w:t>
            </w:r>
          </w:p>
        </w:tc>
        <w:tc>
          <w:tcPr>
            <w:tcW w:w="1084" w:type="dxa"/>
            <w:vAlign w:val="center"/>
          </w:tcPr>
          <w:p w14:paraId="38C1F859" w14:textId="01391CA5" w:rsidR="0066332C" w:rsidRPr="00D55FA1" w:rsidRDefault="006A3358" w:rsidP="00961037">
            <w:pPr>
              <w:jc w:val="center"/>
              <w:rPr>
                <w:rFonts w:cs="Arial"/>
                <w:color w:val="000000" w:themeColor="dark1"/>
                <w:kern w:val="24"/>
              </w:rPr>
            </w:pPr>
            <w:r>
              <w:rPr>
                <w:rFonts w:cs="Arial"/>
                <w:bCs/>
              </w:rPr>
              <w:t>7.98%</w:t>
            </w:r>
          </w:p>
        </w:tc>
        <w:tc>
          <w:tcPr>
            <w:tcW w:w="980" w:type="dxa"/>
            <w:vAlign w:val="center"/>
          </w:tcPr>
          <w:p w14:paraId="0C8FE7CE" w14:textId="1BB98D2C" w:rsidR="0066332C" w:rsidRPr="00D55FA1" w:rsidRDefault="00DE7835" w:rsidP="00961037">
            <w:pPr>
              <w:jc w:val="center"/>
              <w:rPr>
                <w:rFonts w:cs="Arial"/>
                <w:color w:val="000000" w:themeColor="dark1"/>
                <w:kern w:val="24"/>
              </w:rPr>
            </w:pPr>
            <w:r>
              <w:rPr>
                <w:rFonts w:cs="Arial"/>
                <w:bCs/>
              </w:rPr>
              <w:t>9.00%</w:t>
            </w:r>
          </w:p>
        </w:tc>
        <w:tc>
          <w:tcPr>
            <w:tcW w:w="1050" w:type="dxa"/>
            <w:vAlign w:val="center"/>
          </w:tcPr>
          <w:p w14:paraId="41004F19" w14:textId="09803AF5"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77853D0F" w14:textId="77777777" w:rsidTr="00CD2A6F">
        <w:trPr>
          <w:cantSplit/>
          <w:trHeight w:val="299"/>
        </w:trPr>
        <w:tc>
          <w:tcPr>
            <w:tcW w:w="2981" w:type="dxa"/>
            <w:vAlign w:val="center"/>
          </w:tcPr>
          <w:p w14:paraId="5781DA37"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Target Met</w:t>
            </w:r>
          </w:p>
        </w:tc>
        <w:tc>
          <w:tcPr>
            <w:tcW w:w="968" w:type="dxa"/>
            <w:vAlign w:val="center"/>
          </w:tcPr>
          <w:p w14:paraId="01D1A66B"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31" w:type="dxa"/>
            <w:vAlign w:val="center"/>
          </w:tcPr>
          <w:p w14:paraId="67C0C651" w14:textId="7E719F23"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096" w:type="dxa"/>
            <w:vAlign w:val="center"/>
          </w:tcPr>
          <w:p w14:paraId="308D56CC" w14:textId="488876A6" w:rsidR="0066332C" w:rsidRPr="00D55FA1" w:rsidRDefault="0083171F" w:rsidP="00961037">
            <w:pPr>
              <w:jc w:val="center"/>
              <w:rPr>
                <w:rFonts w:cs="Arial"/>
                <w:color w:val="000000" w:themeColor="dark1"/>
                <w:kern w:val="24"/>
              </w:rPr>
            </w:pPr>
            <w:r w:rsidRPr="00D55FA1">
              <w:rPr>
                <w:rFonts w:cs="Arial"/>
                <w:color w:val="000000" w:themeColor="dark1"/>
                <w:kern w:val="24"/>
              </w:rPr>
              <w:t>No</w:t>
            </w:r>
          </w:p>
        </w:tc>
        <w:tc>
          <w:tcPr>
            <w:tcW w:w="1084" w:type="dxa"/>
            <w:vAlign w:val="center"/>
          </w:tcPr>
          <w:p w14:paraId="797E50C6" w14:textId="1F718CDD" w:rsidR="0066332C" w:rsidRPr="00D55FA1" w:rsidRDefault="006A3358" w:rsidP="00961037">
            <w:pPr>
              <w:jc w:val="center"/>
              <w:rPr>
                <w:rFonts w:cs="Arial"/>
                <w:color w:val="000000" w:themeColor="dark1"/>
                <w:kern w:val="24"/>
              </w:rPr>
            </w:pPr>
            <w:r>
              <w:rPr>
                <w:rFonts w:cs="Arial"/>
                <w:bCs/>
              </w:rPr>
              <w:t>No</w:t>
            </w:r>
          </w:p>
        </w:tc>
        <w:tc>
          <w:tcPr>
            <w:tcW w:w="980" w:type="dxa"/>
            <w:vAlign w:val="center"/>
          </w:tcPr>
          <w:p w14:paraId="7B04FA47" w14:textId="3F1B3C11" w:rsidR="0066332C" w:rsidRPr="00D55FA1" w:rsidRDefault="00DE7835" w:rsidP="00961037">
            <w:pPr>
              <w:jc w:val="center"/>
              <w:rPr>
                <w:rFonts w:cs="Arial"/>
                <w:color w:val="000000" w:themeColor="dark1"/>
                <w:kern w:val="24"/>
              </w:rPr>
            </w:pPr>
            <w:r>
              <w:rPr>
                <w:rFonts w:cs="Arial"/>
                <w:bCs/>
              </w:rPr>
              <w:t>No</w:t>
            </w:r>
          </w:p>
        </w:tc>
        <w:tc>
          <w:tcPr>
            <w:tcW w:w="1050" w:type="dxa"/>
            <w:vAlign w:val="center"/>
          </w:tcPr>
          <w:p w14:paraId="568C698B" w14:textId="3B64EF83"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7709716F" w14:textId="77777777" w:rsidTr="00CD2A6F">
        <w:trPr>
          <w:cantSplit/>
          <w:trHeight w:val="299"/>
        </w:trPr>
        <w:tc>
          <w:tcPr>
            <w:tcW w:w="2981" w:type="dxa"/>
            <w:vAlign w:val="center"/>
            <w:hideMark/>
          </w:tcPr>
          <w:p w14:paraId="152F96CA" w14:textId="77777777" w:rsidR="0066332C" w:rsidRPr="00D55FA1" w:rsidRDefault="0066332C" w:rsidP="00961037">
            <w:pPr>
              <w:jc w:val="center"/>
              <w:rPr>
                <w:rFonts w:cs="Arial"/>
              </w:rPr>
            </w:pPr>
            <w:r w:rsidRPr="00D55FA1">
              <w:rPr>
                <w:rFonts w:cs="Arial"/>
                <w:color w:val="000000" w:themeColor="dark1"/>
                <w:kern w:val="24"/>
              </w:rPr>
              <w:t>Grade 11 Target</w:t>
            </w:r>
          </w:p>
        </w:tc>
        <w:tc>
          <w:tcPr>
            <w:tcW w:w="968" w:type="dxa"/>
            <w:vAlign w:val="center"/>
            <w:hideMark/>
          </w:tcPr>
          <w:p w14:paraId="38C6B0E2" w14:textId="77777777" w:rsidR="0066332C" w:rsidRPr="00D55FA1" w:rsidRDefault="0066332C" w:rsidP="00961037">
            <w:pPr>
              <w:jc w:val="center"/>
              <w:rPr>
                <w:rFonts w:cs="Arial"/>
              </w:rPr>
            </w:pPr>
            <w:r w:rsidRPr="00D55FA1">
              <w:rPr>
                <w:rFonts w:cs="Arial"/>
                <w:color w:val="000000" w:themeColor="dark1"/>
                <w:kern w:val="24"/>
              </w:rPr>
              <w:t>8%</w:t>
            </w:r>
          </w:p>
        </w:tc>
        <w:tc>
          <w:tcPr>
            <w:tcW w:w="1131" w:type="dxa"/>
            <w:vAlign w:val="center"/>
            <w:hideMark/>
          </w:tcPr>
          <w:p w14:paraId="0F1E98BE" w14:textId="77777777" w:rsidR="0066332C" w:rsidRPr="00D55FA1" w:rsidRDefault="0066332C" w:rsidP="00961037">
            <w:pPr>
              <w:jc w:val="center"/>
              <w:rPr>
                <w:rFonts w:cs="Arial"/>
              </w:rPr>
            </w:pPr>
            <w:r w:rsidRPr="00D55FA1">
              <w:rPr>
                <w:rFonts w:cs="Arial"/>
                <w:color w:val="000000" w:themeColor="dark1"/>
                <w:kern w:val="24"/>
              </w:rPr>
              <w:t>8%</w:t>
            </w:r>
          </w:p>
        </w:tc>
        <w:tc>
          <w:tcPr>
            <w:tcW w:w="1096" w:type="dxa"/>
            <w:vAlign w:val="center"/>
            <w:hideMark/>
          </w:tcPr>
          <w:p w14:paraId="6E3A155A" w14:textId="77777777" w:rsidR="0066332C" w:rsidRPr="00D55FA1" w:rsidRDefault="0066332C" w:rsidP="00961037">
            <w:pPr>
              <w:jc w:val="center"/>
              <w:rPr>
                <w:rFonts w:cs="Arial"/>
              </w:rPr>
            </w:pPr>
            <w:r w:rsidRPr="00D55FA1">
              <w:rPr>
                <w:rFonts w:cs="Arial"/>
                <w:color w:val="000000" w:themeColor="dark1"/>
                <w:kern w:val="24"/>
              </w:rPr>
              <w:t>8%</w:t>
            </w:r>
          </w:p>
        </w:tc>
        <w:tc>
          <w:tcPr>
            <w:tcW w:w="1084" w:type="dxa"/>
            <w:vAlign w:val="center"/>
            <w:hideMark/>
          </w:tcPr>
          <w:p w14:paraId="6B66E032" w14:textId="77777777" w:rsidR="0066332C" w:rsidRPr="00D55FA1" w:rsidRDefault="0066332C" w:rsidP="00961037">
            <w:pPr>
              <w:jc w:val="center"/>
              <w:rPr>
                <w:rFonts w:cs="Arial"/>
              </w:rPr>
            </w:pPr>
            <w:r w:rsidRPr="00D55FA1">
              <w:rPr>
                <w:rFonts w:cs="Arial"/>
                <w:color w:val="000000" w:themeColor="dark1"/>
                <w:kern w:val="24"/>
              </w:rPr>
              <w:t>9%</w:t>
            </w:r>
          </w:p>
        </w:tc>
        <w:tc>
          <w:tcPr>
            <w:tcW w:w="980" w:type="dxa"/>
            <w:vAlign w:val="center"/>
            <w:hideMark/>
          </w:tcPr>
          <w:p w14:paraId="6479ABD5" w14:textId="77777777" w:rsidR="0066332C" w:rsidRPr="00D55FA1" w:rsidRDefault="0066332C" w:rsidP="00961037">
            <w:pPr>
              <w:jc w:val="center"/>
              <w:rPr>
                <w:rFonts w:cs="Arial"/>
              </w:rPr>
            </w:pPr>
            <w:r w:rsidRPr="00D55FA1">
              <w:rPr>
                <w:rFonts w:cs="Arial"/>
                <w:color w:val="000000" w:themeColor="dark1"/>
                <w:kern w:val="24"/>
              </w:rPr>
              <w:t>10%</w:t>
            </w:r>
          </w:p>
        </w:tc>
        <w:tc>
          <w:tcPr>
            <w:tcW w:w="1050" w:type="dxa"/>
            <w:vAlign w:val="center"/>
            <w:hideMark/>
          </w:tcPr>
          <w:p w14:paraId="52098F05" w14:textId="77777777" w:rsidR="0066332C" w:rsidRPr="00D55FA1" w:rsidRDefault="0066332C" w:rsidP="00961037">
            <w:pPr>
              <w:jc w:val="center"/>
              <w:rPr>
                <w:rFonts w:cs="Arial"/>
              </w:rPr>
            </w:pPr>
            <w:r w:rsidRPr="00D55FA1">
              <w:rPr>
                <w:rFonts w:cs="Arial"/>
                <w:color w:val="000000" w:themeColor="dark1"/>
                <w:kern w:val="24"/>
              </w:rPr>
              <w:t>11%</w:t>
            </w:r>
          </w:p>
        </w:tc>
      </w:tr>
      <w:tr w:rsidR="0066332C" w:rsidRPr="00D55FA1" w14:paraId="5329C450" w14:textId="77777777" w:rsidTr="00CD2A6F">
        <w:trPr>
          <w:cantSplit/>
          <w:trHeight w:val="299"/>
        </w:trPr>
        <w:tc>
          <w:tcPr>
            <w:tcW w:w="2981" w:type="dxa"/>
            <w:vAlign w:val="center"/>
          </w:tcPr>
          <w:p w14:paraId="23DF3CA4"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Result</w:t>
            </w:r>
          </w:p>
        </w:tc>
        <w:tc>
          <w:tcPr>
            <w:tcW w:w="968" w:type="dxa"/>
            <w:vAlign w:val="center"/>
          </w:tcPr>
          <w:p w14:paraId="759E8E7F"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6%</w:t>
            </w:r>
          </w:p>
        </w:tc>
        <w:tc>
          <w:tcPr>
            <w:tcW w:w="1131" w:type="dxa"/>
            <w:vAlign w:val="center"/>
          </w:tcPr>
          <w:p w14:paraId="1A939487" w14:textId="754AA4E5" w:rsidR="0066332C" w:rsidRPr="00D55FA1" w:rsidRDefault="0066332C" w:rsidP="00961037">
            <w:pPr>
              <w:jc w:val="center"/>
              <w:rPr>
                <w:rFonts w:cs="Arial"/>
                <w:color w:val="000000" w:themeColor="dark1"/>
                <w:kern w:val="24"/>
              </w:rPr>
            </w:pPr>
            <w:r w:rsidRPr="00D55FA1">
              <w:rPr>
                <w:rFonts w:cs="Arial"/>
                <w:color w:val="000000" w:themeColor="dark1"/>
                <w:kern w:val="24"/>
              </w:rPr>
              <w:t>4.09%</w:t>
            </w:r>
          </w:p>
        </w:tc>
        <w:tc>
          <w:tcPr>
            <w:tcW w:w="1096" w:type="dxa"/>
            <w:vAlign w:val="center"/>
          </w:tcPr>
          <w:p w14:paraId="6AA258D8" w14:textId="35ABB1B8" w:rsidR="0066332C" w:rsidRPr="00D55FA1" w:rsidRDefault="0083171F" w:rsidP="00961037">
            <w:pPr>
              <w:jc w:val="center"/>
              <w:rPr>
                <w:rFonts w:cs="Arial"/>
                <w:color w:val="000000" w:themeColor="dark1"/>
                <w:kern w:val="24"/>
              </w:rPr>
            </w:pPr>
            <w:r w:rsidRPr="00D55FA1">
              <w:rPr>
                <w:rFonts w:cs="Arial"/>
                <w:color w:val="000000" w:themeColor="dark1"/>
                <w:kern w:val="24"/>
              </w:rPr>
              <w:t>4.65%</w:t>
            </w:r>
          </w:p>
        </w:tc>
        <w:tc>
          <w:tcPr>
            <w:tcW w:w="1084" w:type="dxa"/>
            <w:vAlign w:val="center"/>
          </w:tcPr>
          <w:p w14:paraId="6FFBD3EC" w14:textId="6235C8E2" w:rsidR="0066332C" w:rsidRPr="00D55FA1" w:rsidRDefault="006A3358" w:rsidP="00961037">
            <w:pPr>
              <w:jc w:val="center"/>
              <w:rPr>
                <w:rFonts w:cs="Arial"/>
                <w:color w:val="000000" w:themeColor="dark1"/>
                <w:kern w:val="24"/>
              </w:rPr>
            </w:pPr>
            <w:r>
              <w:rPr>
                <w:rFonts w:cs="Arial"/>
                <w:bCs/>
              </w:rPr>
              <w:t>4.84%</w:t>
            </w:r>
          </w:p>
        </w:tc>
        <w:tc>
          <w:tcPr>
            <w:tcW w:w="980" w:type="dxa"/>
            <w:vAlign w:val="center"/>
          </w:tcPr>
          <w:p w14:paraId="30DCCCAD" w14:textId="6A11E448" w:rsidR="0066332C" w:rsidRPr="00D55FA1" w:rsidRDefault="00DE7835" w:rsidP="00961037">
            <w:pPr>
              <w:jc w:val="center"/>
              <w:rPr>
                <w:rFonts w:cs="Arial"/>
                <w:color w:val="000000" w:themeColor="dark1"/>
                <w:kern w:val="24"/>
              </w:rPr>
            </w:pPr>
            <w:r>
              <w:rPr>
                <w:rFonts w:cs="Arial"/>
                <w:bCs/>
              </w:rPr>
              <w:t>6.55%</w:t>
            </w:r>
          </w:p>
        </w:tc>
        <w:tc>
          <w:tcPr>
            <w:tcW w:w="1050" w:type="dxa"/>
            <w:vAlign w:val="center"/>
          </w:tcPr>
          <w:p w14:paraId="36AF6883" w14:textId="5233D662"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132B7E41" w14:textId="77777777" w:rsidTr="00CD2A6F">
        <w:trPr>
          <w:cantSplit/>
          <w:trHeight w:val="299"/>
        </w:trPr>
        <w:tc>
          <w:tcPr>
            <w:tcW w:w="2981" w:type="dxa"/>
            <w:vAlign w:val="center"/>
          </w:tcPr>
          <w:p w14:paraId="635900B6"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Target Met</w:t>
            </w:r>
          </w:p>
        </w:tc>
        <w:tc>
          <w:tcPr>
            <w:tcW w:w="968" w:type="dxa"/>
            <w:vAlign w:val="center"/>
          </w:tcPr>
          <w:p w14:paraId="2414A266"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31" w:type="dxa"/>
            <w:vAlign w:val="center"/>
          </w:tcPr>
          <w:p w14:paraId="54C529ED" w14:textId="0D1E66C1"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096" w:type="dxa"/>
            <w:vAlign w:val="center"/>
          </w:tcPr>
          <w:p w14:paraId="1C0157D6" w14:textId="5A73B458" w:rsidR="0066332C" w:rsidRPr="00D55FA1" w:rsidRDefault="0083171F" w:rsidP="00961037">
            <w:pPr>
              <w:jc w:val="center"/>
              <w:rPr>
                <w:rFonts w:cs="Arial"/>
                <w:color w:val="000000" w:themeColor="dark1"/>
                <w:kern w:val="24"/>
              </w:rPr>
            </w:pPr>
            <w:r w:rsidRPr="00D55FA1">
              <w:rPr>
                <w:rFonts w:cs="Arial"/>
                <w:color w:val="000000" w:themeColor="dark1"/>
                <w:kern w:val="24"/>
              </w:rPr>
              <w:t>No</w:t>
            </w:r>
          </w:p>
        </w:tc>
        <w:tc>
          <w:tcPr>
            <w:tcW w:w="1084" w:type="dxa"/>
            <w:vAlign w:val="center"/>
          </w:tcPr>
          <w:p w14:paraId="3691E7B2" w14:textId="4039C1F9" w:rsidR="0066332C" w:rsidRPr="00D55FA1" w:rsidRDefault="006A3358" w:rsidP="00961037">
            <w:pPr>
              <w:jc w:val="center"/>
              <w:rPr>
                <w:rFonts w:cs="Arial"/>
                <w:color w:val="000000" w:themeColor="dark1"/>
                <w:kern w:val="24"/>
              </w:rPr>
            </w:pPr>
            <w:r>
              <w:rPr>
                <w:rFonts w:cs="Arial"/>
                <w:bCs/>
              </w:rPr>
              <w:t>No</w:t>
            </w:r>
          </w:p>
        </w:tc>
        <w:tc>
          <w:tcPr>
            <w:tcW w:w="980" w:type="dxa"/>
            <w:vAlign w:val="center"/>
          </w:tcPr>
          <w:p w14:paraId="526770CE" w14:textId="2CC9DC2B" w:rsidR="0066332C" w:rsidRPr="00D55FA1" w:rsidRDefault="00DE7835" w:rsidP="00961037">
            <w:pPr>
              <w:jc w:val="center"/>
              <w:rPr>
                <w:rFonts w:cs="Arial"/>
                <w:color w:val="000000" w:themeColor="dark1"/>
                <w:kern w:val="24"/>
              </w:rPr>
            </w:pPr>
            <w:r>
              <w:rPr>
                <w:rFonts w:cs="Arial"/>
                <w:bCs/>
              </w:rPr>
              <w:t>No</w:t>
            </w:r>
          </w:p>
        </w:tc>
        <w:tc>
          <w:tcPr>
            <w:tcW w:w="1050" w:type="dxa"/>
            <w:vAlign w:val="center"/>
          </w:tcPr>
          <w:p w14:paraId="7CBEED82" w14:textId="74B799FF" w:rsidR="0066332C" w:rsidRPr="00D55FA1" w:rsidRDefault="00DF008C" w:rsidP="00961037">
            <w:pPr>
              <w:jc w:val="center"/>
              <w:rPr>
                <w:rFonts w:cs="Arial"/>
                <w:color w:val="000000" w:themeColor="dark1"/>
                <w:kern w:val="24"/>
              </w:rPr>
            </w:pPr>
            <w:r w:rsidRPr="00D55FA1">
              <w:rPr>
                <w:rFonts w:cs="Arial"/>
                <w:bCs/>
              </w:rPr>
              <w:t>-</w:t>
            </w:r>
          </w:p>
        </w:tc>
      </w:tr>
      <w:bookmarkEnd w:id="120"/>
    </w:tbl>
    <w:p w14:paraId="6E36661F" w14:textId="77777777" w:rsidR="00EB1E42" w:rsidRPr="00D55FA1" w:rsidRDefault="00EB1E42" w:rsidP="00EB1E42"/>
    <w:tbl>
      <w:tblPr>
        <w:tblStyle w:val="TableGrid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Indicator 3C ELA targets and results"/>
      </w:tblPr>
      <w:tblGrid>
        <w:gridCol w:w="3074"/>
        <w:gridCol w:w="882"/>
        <w:gridCol w:w="1105"/>
        <w:gridCol w:w="1067"/>
        <w:gridCol w:w="1053"/>
        <w:gridCol w:w="1030"/>
        <w:gridCol w:w="1144"/>
      </w:tblGrid>
      <w:tr w:rsidR="0066332C" w:rsidRPr="00D55FA1" w14:paraId="6289E0BB" w14:textId="77777777" w:rsidTr="00CD2A6F">
        <w:trPr>
          <w:cantSplit/>
          <w:trHeight w:val="288"/>
          <w:tblHeader/>
        </w:trPr>
        <w:tc>
          <w:tcPr>
            <w:tcW w:w="3145" w:type="dxa"/>
            <w:vAlign w:val="center"/>
            <w:hideMark/>
          </w:tcPr>
          <w:p w14:paraId="49755C6A" w14:textId="77777777" w:rsidR="0066332C" w:rsidRPr="00D55FA1" w:rsidRDefault="0066332C" w:rsidP="00961037">
            <w:pPr>
              <w:jc w:val="center"/>
              <w:rPr>
                <w:rFonts w:cs="Arial"/>
                <w:b/>
              </w:rPr>
            </w:pPr>
            <w:r w:rsidRPr="00D55FA1">
              <w:rPr>
                <w:rFonts w:cs="Arial"/>
                <w:b/>
              </w:rPr>
              <w:t>Indicator 3c ELA</w:t>
            </w:r>
          </w:p>
        </w:tc>
        <w:tc>
          <w:tcPr>
            <w:tcW w:w="887" w:type="dxa"/>
            <w:vAlign w:val="center"/>
            <w:hideMark/>
          </w:tcPr>
          <w:p w14:paraId="3E9589A3" w14:textId="77777777" w:rsidR="0066332C" w:rsidRPr="00D55FA1" w:rsidRDefault="0066332C" w:rsidP="00961037">
            <w:pPr>
              <w:jc w:val="center"/>
              <w:rPr>
                <w:rFonts w:cs="Arial"/>
              </w:rPr>
            </w:pPr>
            <w:r w:rsidRPr="00D55FA1">
              <w:rPr>
                <w:rFonts w:cs="Arial"/>
                <w:b/>
                <w:bCs/>
                <w:kern w:val="24"/>
              </w:rPr>
              <w:t>2020</w:t>
            </w:r>
          </w:p>
        </w:tc>
        <w:tc>
          <w:tcPr>
            <w:tcW w:w="1108" w:type="dxa"/>
            <w:vAlign w:val="center"/>
            <w:hideMark/>
          </w:tcPr>
          <w:p w14:paraId="007151C5" w14:textId="77777777" w:rsidR="0066332C" w:rsidRPr="00D55FA1" w:rsidRDefault="0066332C" w:rsidP="00961037">
            <w:pPr>
              <w:jc w:val="center"/>
              <w:rPr>
                <w:rFonts w:cs="Arial"/>
              </w:rPr>
            </w:pPr>
            <w:r w:rsidRPr="00D55FA1">
              <w:rPr>
                <w:rFonts w:cs="Arial"/>
                <w:b/>
                <w:bCs/>
                <w:kern w:val="24"/>
              </w:rPr>
              <w:t>2021</w:t>
            </w:r>
          </w:p>
        </w:tc>
        <w:tc>
          <w:tcPr>
            <w:tcW w:w="1068" w:type="dxa"/>
            <w:vAlign w:val="center"/>
            <w:hideMark/>
          </w:tcPr>
          <w:p w14:paraId="454DE2D5" w14:textId="77777777" w:rsidR="0066332C" w:rsidRPr="00D55FA1" w:rsidRDefault="0066332C" w:rsidP="00961037">
            <w:pPr>
              <w:jc w:val="center"/>
              <w:rPr>
                <w:rFonts w:cs="Arial"/>
              </w:rPr>
            </w:pPr>
            <w:r w:rsidRPr="00D55FA1">
              <w:rPr>
                <w:rFonts w:cs="Arial"/>
                <w:b/>
                <w:bCs/>
                <w:kern w:val="24"/>
              </w:rPr>
              <w:t>2022</w:t>
            </w:r>
          </w:p>
        </w:tc>
        <w:tc>
          <w:tcPr>
            <w:tcW w:w="1054" w:type="dxa"/>
            <w:vAlign w:val="center"/>
            <w:hideMark/>
          </w:tcPr>
          <w:p w14:paraId="6B701714" w14:textId="77777777" w:rsidR="0066332C" w:rsidRPr="00D55FA1" w:rsidRDefault="0066332C" w:rsidP="00961037">
            <w:pPr>
              <w:jc w:val="center"/>
              <w:rPr>
                <w:rFonts w:cs="Arial"/>
              </w:rPr>
            </w:pPr>
            <w:r w:rsidRPr="00D55FA1">
              <w:rPr>
                <w:rFonts w:cs="Arial"/>
                <w:b/>
                <w:bCs/>
                <w:kern w:val="24"/>
              </w:rPr>
              <w:t>2023</w:t>
            </w:r>
          </w:p>
        </w:tc>
        <w:tc>
          <w:tcPr>
            <w:tcW w:w="934" w:type="dxa"/>
            <w:vAlign w:val="center"/>
            <w:hideMark/>
          </w:tcPr>
          <w:p w14:paraId="1B012AA2" w14:textId="77777777" w:rsidR="0066332C" w:rsidRPr="00D55FA1" w:rsidRDefault="0066332C" w:rsidP="00961037">
            <w:pPr>
              <w:jc w:val="center"/>
              <w:rPr>
                <w:rFonts w:cs="Arial"/>
              </w:rPr>
            </w:pPr>
            <w:r w:rsidRPr="00D55FA1">
              <w:rPr>
                <w:rFonts w:cs="Arial"/>
                <w:b/>
                <w:bCs/>
                <w:kern w:val="24"/>
              </w:rPr>
              <w:t>2024</w:t>
            </w:r>
          </w:p>
        </w:tc>
        <w:tc>
          <w:tcPr>
            <w:tcW w:w="1159" w:type="dxa"/>
            <w:vAlign w:val="center"/>
            <w:hideMark/>
          </w:tcPr>
          <w:p w14:paraId="75172651" w14:textId="77777777" w:rsidR="0066332C" w:rsidRPr="00D55FA1" w:rsidRDefault="0066332C" w:rsidP="00961037">
            <w:pPr>
              <w:jc w:val="center"/>
              <w:rPr>
                <w:rFonts w:cs="Arial"/>
              </w:rPr>
            </w:pPr>
            <w:r w:rsidRPr="00D55FA1">
              <w:rPr>
                <w:rFonts w:cs="Arial"/>
                <w:b/>
                <w:bCs/>
                <w:kern w:val="24"/>
              </w:rPr>
              <w:t>2025</w:t>
            </w:r>
          </w:p>
        </w:tc>
      </w:tr>
      <w:tr w:rsidR="0066332C" w:rsidRPr="00D55FA1" w14:paraId="7284C871" w14:textId="77777777" w:rsidTr="00CD2A6F">
        <w:trPr>
          <w:cantSplit/>
          <w:trHeight w:val="288"/>
        </w:trPr>
        <w:tc>
          <w:tcPr>
            <w:tcW w:w="3145" w:type="dxa"/>
            <w:vAlign w:val="center"/>
            <w:hideMark/>
          </w:tcPr>
          <w:p w14:paraId="52A4A372" w14:textId="77777777" w:rsidR="0066332C" w:rsidRPr="00D55FA1" w:rsidRDefault="0066332C" w:rsidP="00961037">
            <w:pPr>
              <w:jc w:val="center"/>
              <w:rPr>
                <w:rFonts w:cs="Arial"/>
              </w:rPr>
            </w:pPr>
            <w:r w:rsidRPr="00D55FA1">
              <w:rPr>
                <w:rFonts w:cs="Arial"/>
                <w:color w:val="000000" w:themeColor="dark1"/>
                <w:kern w:val="24"/>
              </w:rPr>
              <w:t>Grade 4 Target</w:t>
            </w:r>
          </w:p>
        </w:tc>
        <w:tc>
          <w:tcPr>
            <w:tcW w:w="887" w:type="dxa"/>
            <w:vAlign w:val="center"/>
            <w:hideMark/>
          </w:tcPr>
          <w:p w14:paraId="0AD340E1" w14:textId="77777777" w:rsidR="0066332C" w:rsidRPr="00D55FA1" w:rsidRDefault="0066332C" w:rsidP="00961037">
            <w:pPr>
              <w:jc w:val="center"/>
              <w:rPr>
                <w:rFonts w:cs="Arial"/>
              </w:rPr>
            </w:pPr>
            <w:r w:rsidRPr="00D55FA1">
              <w:rPr>
                <w:rFonts w:cs="Arial"/>
                <w:color w:val="000000" w:themeColor="dark1"/>
                <w:kern w:val="24"/>
              </w:rPr>
              <w:t>15%</w:t>
            </w:r>
          </w:p>
        </w:tc>
        <w:tc>
          <w:tcPr>
            <w:tcW w:w="1108" w:type="dxa"/>
            <w:vAlign w:val="center"/>
            <w:hideMark/>
          </w:tcPr>
          <w:p w14:paraId="64916A3C" w14:textId="77777777" w:rsidR="0066332C" w:rsidRPr="00D55FA1" w:rsidRDefault="0066332C" w:rsidP="00961037">
            <w:pPr>
              <w:jc w:val="center"/>
              <w:rPr>
                <w:rFonts w:cs="Arial"/>
              </w:rPr>
            </w:pPr>
            <w:r w:rsidRPr="00D55FA1">
              <w:rPr>
                <w:rFonts w:cs="Arial"/>
                <w:color w:val="000000" w:themeColor="dark1"/>
                <w:kern w:val="24"/>
              </w:rPr>
              <w:t>15%</w:t>
            </w:r>
          </w:p>
        </w:tc>
        <w:tc>
          <w:tcPr>
            <w:tcW w:w="1068" w:type="dxa"/>
            <w:vAlign w:val="center"/>
            <w:hideMark/>
          </w:tcPr>
          <w:p w14:paraId="68D115BB" w14:textId="77777777" w:rsidR="0066332C" w:rsidRPr="00D55FA1" w:rsidRDefault="0066332C" w:rsidP="00961037">
            <w:pPr>
              <w:jc w:val="center"/>
              <w:rPr>
                <w:rFonts w:cs="Arial"/>
              </w:rPr>
            </w:pPr>
            <w:r w:rsidRPr="00D55FA1">
              <w:rPr>
                <w:rFonts w:cs="Arial"/>
                <w:color w:val="000000" w:themeColor="dark1"/>
                <w:kern w:val="24"/>
              </w:rPr>
              <w:t>15%</w:t>
            </w:r>
          </w:p>
        </w:tc>
        <w:tc>
          <w:tcPr>
            <w:tcW w:w="1054" w:type="dxa"/>
            <w:vAlign w:val="center"/>
            <w:hideMark/>
          </w:tcPr>
          <w:p w14:paraId="7D585E26" w14:textId="77777777" w:rsidR="0066332C" w:rsidRPr="00D55FA1" w:rsidRDefault="0066332C" w:rsidP="00961037">
            <w:pPr>
              <w:jc w:val="center"/>
              <w:rPr>
                <w:rFonts w:cs="Arial"/>
              </w:rPr>
            </w:pPr>
            <w:r w:rsidRPr="00D55FA1">
              <w:rPr>
                <w:rFonts w:cs="Arial"/>
                <w:color w:val="000000" w:themeColor="dark1"/>
                <w:kern w:val="24"/>
              </w:rPr>
              <w:t>16%</w:t>
            </w:r>
          </w:p>
        </w:tc>
        <w:tc>
          <w:tcPr>
            <w:tcW w:w="934" w:type="dxa"/>
            <w:vAlign w:val="center"/>
            <w:hideMark/>
          </w:tcPr>
          <w:p w14:paraId="770AB196" w14:textId="77777777" w:rsidR="0066332C" w:rsidRPr="00D55FA1" w:rsidRDefault="0066332C" w:rsidP="00961037">
            <w:pPr>
              <w:jc w:val="center"/>
              <w:rPr>
                <w:rFonts w:cs="Arial"/>
              </w:rPr>
            </w:pPr>
            <w:r w:rsidRPr="00D55FA1">
              <w:rPr>
                <w:rFonts w:cs="Arial"/>
                <w:color w:val="000000" w:themeColor="dark1"/>
                <w:kern w:val="24"/>
              </w:rPr>
              <w:t>17%</w:t>
            </w:r>
          </w:p>
        </w:tc>
        <w:tc>
          <w:tcPr>
            <w:tcW w:w="1159" w:type="dxa"/>
            <w:vAlign w:val="center"/>
            <w:hideMark/>
          </w:tcPr>
          <w:p w14:paraId="0BEFC008" w14:textId="77777777" w:rsidR="0066332C" w:rsidRPr="00D55FA1" w:rsidRDefault="0066332C" w:rsidP="00961037">
            <w:pPr>
              <w:jc w:val="center"/>
              <w:rPr>
                <w:rFonts w:cs="Arial"/>
              </w:rPr>
            </w:pPr>
            <w:r w:rsidRPr="00D55FA1">
              <w:rPr>
                <w:rFonts w:cs="Arial"/>
                <w:color w:val="000000" w:themeColor="dark1"/>
                <w:kern w:val="24"/>
              </w:rPr>
              <w:t>18%</w:t>
            </w:r>
          </w:p>
        </w:tc>
      </w:tr>
      <w:tr w:rsidR="0066332C" w:rsidRPr="00D55FA1" w14:paraId="28593215" w14:textId="77777777" w:rsidTr="00CD2A6F">
        <w:trPr>
          <w:cantSplit/>
          <w:trHeight w:val="288"/>
        </w:trPr>
        <w:tc>
          <w:tcPr>
            <w:tcW w:w="3145" w:type="dxa"/>
            <w:vAlign w:val="center"/>
          </w:tcPr>
          <w:p w14:paraId="4E3E8603"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Result</w:t>
            </w:r>
          </w:p>
        </w:tc>
        <w:tc>
          <w:tcPr>
            <w:tcW w:w="887" w:type="dxa"/>
            <w:vAlign w:val="center"/>
          </w:tcPr>
          <w:p w14:paraId="030CC565"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13%</w:t>
            </w:r>
          </w:p>
        </w:tc>
        <w:tc>
          <w:tcPr>
            <w:tcW w:w="1108" w:type="dxa"/>
            <w:vAlign w:val="center"/>
          </w:tcPr>
          <w:p w14:paraId="38645DC7" w14:textId="6C30F0B5" w:rsidR="0066332C" w:rsidRPr="00D55FA1" w:rsidRDefault="0066332C" w:rsidP="00961037">
            <w:pPr>
              <w:jc w:val="center"/>
              <w:rPr>
                <w:rFonts w:cs="Arial"/>
                <w:color w:val="000000" w:themeColor="dark1"/>
                <w:kern w:val="24"/>
              </w:rPr>
            </w:pPr>
            <w:r w:rsidRPr="00D55FA1">
              <w:rPr>
                <w:rFonts w:cs="Arial"/>
                <w:color w:val="000000" w:themeColor="dark1"/>
                <w:kern w:val="24"/>
              </w:rPr>
              <w:t>12.22%</w:t>
            </w:r>
          </w:p>
        </w:tc>
        <w:tc>
          <w:tcPr>
            <w:tcW w:w="1068" w:type="dxa"/>
            <w:vAlign w:val="center"/>
          </w:tcPr>
          <w:p w14:paraId="135E58C4" w14:textId="43BE11B8" w:rsidR="0066332C" w:rsidRPr="00D55FA1" w:rsidRDefault="0083171F" w:rsidP="00961037">
            <w:pPr>
              <w:jc w:val="center"/>
              <w:rPr>
                <w:rFonts w:cs="Arial"/>
                <w:color w:val="000000" w:themeColor="dark1"/>
                <w:kern w:val="24"/>
              </w:rPr>
            </w:pPr>
            <w:r w:rsidRPr="00D55FA1">
              <w:rPr>
                <w:rFonts w:cs="Arial"/>
                <w:color w:val="000000" w:themeColor="dark1"/>
                <w:kern w:val="24"/>
              </w:rPr>
              <w:t>15.43%</w:t>
            </w:r>
          </w:p>
        </w:tc>
        <w:tc>
          <w:tcPr>
            <w:tcW w:w="1054" w:type="dxa"/>
            <w:vAlign w:val="center"/>
          </w:tcPr>
          <w:p w14:paraId="62EBF9A1" w14:textId="3441C877" w:rsidR="0066332C" w:rsidRPr="00D55FA1" w:rsidRDefault="006A3358" w:rsidP="00961037">
            <w:pPr>
              <w:jc w:val="center"/>
              <w:rPr>
                <w:rFonts w:cs="Arial"/>
                <w:color w:val="000000" w:themeColor="dark1"/>
                <w:kern w:val="24"/>
              </w:rPr>
            </w:pPr>
            <w:r>
              <w:rPr>
                <w:rFonts w:cs="Arial"/>
                <w:bCs/>
              </w:rPr>
              <w:t>14.26%</w:t>
            </w:r>
          </w:p>
        </w:tc>
        <w:tc>
          <w:tcPr>
            <w:tcW w:w="934" w:type="dxa"/>
            <w:vAlign w:val="center"/>
          </w:tcPr>
          <w:p w14:paraId="0C6C2CD5" w14:textId="670137C4" w:rsidR="0066332C" w:rsidRPr="00D55FA1" w:rsidRDefault="00DE7835" w:rsidP="00961037">
            <w:pPr>
              <w:jc w:val="center"/>
              <w:rPr>
                <w:rFonts w:cs="Arial"/>
                <w:color w:val="000000" w:themeColor="dark1"/>
                <w:kern w:val="24"/>
              </w:rPr>
            </w:pPr>
            <w:r>
              <w:rPr>
                <w:rFonts w:cs="Arial"/>
                <w:bCs/>
              </w:rPr>
              <w:t>10.75%</w:t>
            </w:r>
          </w:p>
        </w:tc>
        <w:tc>
          <w:tcPr>
            <w:tcW w:w="1159" w:type="dxa"/>
            <w:vAlign w:val="center"/>
          </w:tcPr>
          <w:p w14:paraId="709E88E4" w14:textId="28413506"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57BA41AA" w14:textId="77777777" w:rsidTr="00CD2A6F">
        <w:trPr>
          <w:cantSplit/>
          <w:trHeight w:val="288"/>
        </w:trPr>
        <w:tc>
          <w:tcPr>
            <w:tcW w:w="3145" w:type="dxa"/>
            <w:vAlign w:val="center"/>
          </w:tcPr>
          <w:p w14:paraId="444B6643"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Target Met</w:t>
            </w:r>
          </w:p>
        </w:tc>
        <w:tc>
          <w:tcPr>
            <w:tcW w:w="887" w:type="dxa"/>
            <w:vAlign w:val="center"/>
          </w:tcPr>
          <w:p w14:paraId="551C0158"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08" w:type="dxa"/>
            <w:vAlign w:val="center"/>
          </w:tcPr>
          <w:p w14:paraId="508C98E9" w14:textId="0C918EA7"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068" w:type="dxa"/>
            <w:vAlign w:val="center"/>
          </w:tcPr>
          <w:p w14:paraId="779F8E76" w14:textId="7CAF00B8"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54" w:type="dxa"/>
            <w:vAlign w:val="center"/>
          </w:tcPr>
          <w:p w14:paraId="7818863E" w14:textId="5AB45711" w:rsidR="0066332C" w:rsidRPr="00D55FA1" w:rsidRDefault="00214AA7" w:rsidP="00961037">
            <w:pPr>
              <w:jc w:val="center"/>
              <w:rPr>
                <w:rFonts w:cs="Arial"/>
                <w:color w:val="000000" w:themeColor="dark1"/>
                <w:kern w:val="24"/>
              </w:rPr>
            </w:pPr>
            <w:r>
              <w:rPr>
                <w:rFonts w:cs="Arial"/>
                <w:bCs/>
              </w:rPr>
              <w:t>No</w:t>
            </w:r>
          </w:p>
        </w:tc>
        <w:tc>
          <w:tcPr>
            <w:tcW w:w="934" w:type="dxa"/>
            <w:vAlign w:val="center"/>
          </w:tcPr>
          <w:p w14:paraId="44F69B9A" w14:textId="0166EF07" w:rsidR="0066332C" w:rsidRPr="00D55FA1" w:rsidRDefault="00DE7835" w:rsidP="00961037">
            <w:pPr>
              <w:jc w:val="center"/>
              <w:rPr>
                <w:rFonts w:cs="Arial"/>
                <w:color w:val="000000" w:themeColor="dark1"/>
                <w:kern w:val="24"/>
              </w:rPr>
            </w:pPr>
            <w:r>
              <w:rPr>
                <w:rFonts w:cs="Arial"/>
                <w:bCs/>
              </w:rPr>
              <w:t>No</w:t>
            </w:r>
          </w:p>
        </w:tc>
        <w:tc>
          <w:tcPr>
            <w:tcW w:w="1159" w:type="dxa"/>
            <w:vAlign w:val="center"/>
          </w:tcPr>
          <w:p w14:paraId="5F07D11E" w14:textId="5984E2BE"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0DE0666A" w14:textId="77777777" w:rsidTr="00CD2A6F">
        <w:trPr>
          <w:cantSplit/>
          <w:trHeight w:val="288"/>
        </w:trPr>
        <w:tc>
          <w:tcPr>
            <w:tcW w:w="3145" w:type="dxa"/>
            <w:vAlign w:val="center"/>
            <w:hideMark/>
          </w:tcPr>
          <w:p w14:paraId="38984198" w14:textId="77777777" w:rsidR="0066332C" w:rsidRPr="00D55FA1" w:rsidRDefault="0066332C" w:rsidP="00961037">
            <w:pPr>
              <w:jc w:val="center"/>
              <w:rPr>
                <w:rFonts w:cs="Arial"/>
              </w:rPr>
            </w:pPr>
            <w:r w:rsidRPr="00D55FA1">
              <w:rPr>
                <w:rFonts w:cs="Arial"/>
                <w:color w:val="000000" w:themeColor="dark1"/>
                <w:kern w:val="24"/>
              </w:rPr>
              <w:t>Grade 8 Target</w:t>
            </w:r>
          </w:p>
        </w:tc>
        <w:tc>
          <w:tcPr>
            <w:tcW w:w="887" w:type="dxa"/>
            <w:vAlign w:val="center"/>
            <w:hideMark/>
          </w:tcPr>
          <w:p w14:paraId="731F293B" w14:textId="77777777" w:rsidR="0066332C" w:rsidRPr="00D55FA1" w:rsidRDefault="0066332C" w:rsidP="00961037">
            <w:pPr>
              <w:jc w:val="center"/>
              <w:rPr>
                <w:rFonts w:cs="Arial"/>
              </w:rPr>
            </w:pPr>
            <w:r w:rsidRPr="00D55FA1">
              <w:rPr>
                <w:rFonts w:cs="Arial"/>
                <w:color w:val="000000" w:themeColor="dark1"/>
                <w:kern w:val="24"/>
              </w:rPr>
              <w:t>10%</w:t>
            </w:r>
          </w:p>
        </w:tc>
        <w:tc>
          <w:tcPr>
            <w:tcW w:w="1108" w:type="dxa"/>
            <w:vAlign w:val="center"/>
            <w:hideMark/>
          </w:tcPr>
          <w:p w14:paraId="68EC5CB5" w14:textId="77777777" w:rsidR="0066332C" w:rsidRPr="00D55FA1" w:rsidRDefault="0066332C" w:rsidP="00961037">
            <w:pPr>
              <w:jc w:val="center"/>
              <w:rPr>
                <w:rFonts w:cs="Arial"/>
              </w:rPr>
            </w:pPr>
            <w:r w:rsidRPr="00D55FA1">
              <w:rPr>
                <w:rFonts w:cs="Arial"/>
                <w:color w:val="000000" w:themeColor="dark1"/>
                <w:kern w:val="24"/>
              </w:rPr>
              <w:t>10%</w:t>
            </w:r>
          </w:p>
        </w:tc>
        <w:tc>
          <w:tcPr>
            <w:tcW w:w="1068" w:type="dxa"/>
            <w:vAlign w:val="center"/>
            <w:hideMark/>
          </w:tcPr>
          <w:p w14:paraId="15591D14" w14:textId="77777777" w:rsidR="0066332C" w:rsidRPr="00D55FA1" w:rsidRDefault="0066332C" w:rsidP="00961037">
            <w:pPr>
              <w:jc w:val="center"/>
              <w:rPr>
                <w:rFonts w:cs="Arial"/>
              </w:rPr>
            </w:pPr>
            <w:r w:rsidRPr="00D55FA1">
              <w:rPr>
                <w:rFonts w:cs="Arial"/>
                <w:color w:val="000000" w:themeColor="dark1"/>
                <w:kern w:val="24"/>
              </w:rPr>
              <w:t>10%</w:t>
            </w:r>
          </w:p>
        </w:tc>
        <w:tc>
          <w:tcPr>
            <w:tcW w:w="1054" w:type="dxa"/>
            <w:vAlign w:val="center"/>
            <w:hideMark/>
          </w:tcPr>
          <w:p w14:paraId="50A0E621" w14:textId="77777777" w:rsidR="0066332C" w:rsidRPr="00D55FA1" w:rsidRDefault="0066332C" w:rsidP="00961037">
            <w:pPr>
              <w:jc w:val="center"/>
              <w:rPr>
                <w:rFonts w:cs="Arial"/>
              </w:rPr>
            </w:pPr>
            <w:r w:rsidRPr="00D55FA1">
              <w:rPr>
                <w:rFonts w:cs="Arial"/>
                <w:color w:val="000000" w:themeColor="dark1"/>
                <w:kern w:val="24"/>
              </w:rPr>
              <w:t>11%</w:t>
            </w:r>
          </w:p>
        </w:tc>
        <w:tc>
          <w:tcPr>
            <w:tcW w:w="934" w:type="dxa"/>
            <w:vAlign w:val="center"/>
            <w:hideMark/>
          </w:tcPr>
          <w:p w14:paraId="383F0D29" w14:textId="77777777" w:rsidR="0066332C" w:rsidRPr="00D55FA1" w:rsidRDefault="0066332C" w:rsidP="00961037">
            <w:pPr>
              <w:jc w:val="center"/>
              <w:rPr>
                <w:rFonts w:cs="Arial"/>
              </w:rPr>
            </w:pPr>
            <w:r w:rsidRPr="00D55FA1">
              <w:rPr>
                <w:rFonts w:cs="Arial"/>
                <w:color w:val="000000" w:themeColor="dark1"/>
                <w:kern w:val="24"/>
              </w:rPr>
              <w:t>12%</w:t>
            </w:r>
          </w:p>
        </w:tc>
        <w:tc>
          <w:tcPr>
            <w:tcW w:w="1159" w:type="dxa"/>
            <w:vAlign w:val="center"/>
            <w:hideMark/>
          </w:tcPr>
          <w:p w14:paraId="3D359A52" w14:textId="77777777" w:rsidR="0066332C" w:rsidRPr="00D55FA1" w:rsidRDefault="0066332C" w:rsidP="00961037">
            <w:pPr>
              <w:jc w:val="center"/>
              <w:rPr>
                <w:rFonts w:cs="Arial"/>
              </w:rPr>
            </w:pPr>
            <w:r w:rsidRPr="00D55FA1">
              <w:rPr>
                <w:rFonts w:cs="Arial"/>
                <w:color w:val="000000" w:themeColor="dark1"/>
                <w:kern w:val="24"/>
              </w:rPr>
              <w:t>13%</w:t>
            </w:r>
          </w:p>
        </w:tc>
      </w:tr>
      <w:tr w:rsidR="0066332C" w:rsidRPr="00D55FA1" w14:paraId="505ACEEB" w14:textId="77777777" w:rsidTr="00CD2A6F">
        <w:trPr>
          <w:cantSplit/>
          <w:trHeight w:val="288"/>
        </w:trPr>
        <w:tc>
          <w:tcPr>
            <w:tcW w:w="3145" w:type="dxa"/>
            <w:vAlign w:val="center"/>
          </w:tcPr>
          <w:p w14:paraId="5E3C572C"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Result</w:t>
            </w:r>
          </w:p>
        </w:tc>
        <w:tc>
          <w:tcPr>
            <w:tcW w:w="887" w:type="dxa"/>
            <w:vAlign w:val="center"/>
          </w:tcPr>
          <w:p w14:paraId="0C53F9F0"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11%</w:t>
            </w:r>
          </w:p>
        </w:tc>
        <w:tc>
          <w:tcPr>
            <w:tcW w:w="1108" w:type="dxa"/>
            <w:vAlign w:val="center"/>
          </w:tcPr>
          <w:p w14:paraId="41508A3C" w14:textId="5B03705B" w:rsidR="0066332C" w:rsidRPr="00D55FA1" w:rsidRDefault="0066332C" w:rsidP="00961037">
            <w:pPr>
              <w:jc w:val="center"/>
              <w:rPr>
                <w:rFonts w:cs="Arial"/>
                <w:color w:val="000000" w:themeColor="dark1"/>
                <w:kern w:val="24"/>
              </w:rPr>
            </w:pPr>
            <w:r w:rsidRPr="00D55FA1">
              <w:rPr>
                <w:rFonts w:cs="Arial"/>
                <w:color w:val="000000" w:themeColor="dark1"/>
                <w:kern w:val="24"/>
              </w:rPr>
              <w:t>9.44%</w:t>
            </w:r>
          </w:p>
        </w:tc>
        <w:tc>
          <w:tcPr>
            <w:tcW w:w="1068" w:type="dxa"/>
            <w:vAlign w:val="center"/>
          </w:tcPr>
          <w:p w14:paraId="43D6B1D6" w14:textId="477F6A64" w:rsidR="0066332C" w:rsidRPr="00D55FA1" w:rsidRDefault="0083171F" w:rsidP="00961037">
            <w:pPr>
              <w:jc w:val="center"/>
              <w:rPr>
                <w:rFonts w:cs="Arial"/>
                <w:color w:val="000000" w:themeColor="dark1"/>
                <w:kern w:val="24"/>
              </w:rPr>
            </w:pPr>
            <w:r w:rsidRPr="00D55FA1">
              <w:rPr>
                <w:rFonts w:cs="Arial"/>
                <w:color w:val="000000" w:themeColor="dark1"/>
                <w:kern w:val="24"/>
              </w:rPr>
              <w:t>12.72%</w:t>
            </w:r>
          </w:p>
        </w:tc>
        <w:tc>
          <w:tcPr>
            <w:tcW w:w="1054" w:type="dxa"/>
            <w:vAlign w:val="center"/>
          </w:tcPr>
          <w:p w14:paraId="17DBC151" w14:textId="1B0ADC52" w:rsidR="0066332C" w:rsidRPr="00D55FA1" w:rsidRDefault="00995FF8" w:rsidP="00961037">
            <w:pPr>
              <w:jc w:val="center"/>
              <w:rPr>
                <w:rFonts w:cs="Arial"/>
                <w:color w:val="000000" w:themeColor="dark1"/>
                <w:kern w:val="24"/>
              </w:rPr>
            </w:pPr>
            <w:r>
              <w:rPr>
                <w:rFonts w:cs="Arial"/>
                <w:bCs/>
              </w:rPr>
              <w:t>16.67%</w:t>
            </w:r>
          </w:p>
        </w:tc>
        <w:tc>
          <w:tcPr>
            <w:tcW w:w="934" w:type="dxa"/>
            <w:vAlign w:val="center"/>
          </w:tcPr>
          <w:p w14:paraId="6F8BD81B" w14:textId="04F593B1" w:rsidR="0066332C" w:rsidRPr="00D55FA1" w:rsidRDefault="00DE7835" w:rsidP="00961037">
            <w:pPr>
              <w:jc w:val="center"/>
              <w:rPr>
                <w:rFonts w:cs="Arial"/>
                <w:color w:val="000000" w:themeColor="dark1"/>
                <w:kern w:val="24"/>
              </w:rPr>
            </w:pPr>
            <w:r>
              <w:rPr>
                <w:rFonts w:cs="Arial"/>
                <w:bCs/>
              </w:rPr>
              <w:t>15.12%</w:t>
            </w:r>
          </w:p>
        </w:tc>
        <w:tc>
          <w:tcPr>
            <w:tcW w:w="1159" w:type="dxa"/>
            <w:vAlign w:val="center"/>
          </w:tcPr>
          <w:p w14:paraId="2613E9C1" w14:textId="3B71CF8D"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50C13450" w14:textId="77777777" w:rsidTr="00CD2A6F">
        <w:trPr>
          <w:cantSplit/>
          <w:trHeight w:val="288"/>
        </w:trPr>
        <w:tc>
          <w:tcPr>
            <w:tcW w:w="3145" w:type="dxa"/>
            <w:vAlign w:val="center"/>
          </w:tcPr>
          <w:p w14:paraId="1C467298"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Target Met</w:t>
            </w:r>
          </w:p>
        </w:tc>
        <w:tc>
          <w:tcPr>
            <w:tcW w:w="887" w:type="dxa"/>
            <w:vAlign w:val="center"/>
          </w:tcPr>
          <w:p w14:paraId="670A0230"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108" w:type="dxa"/>
            <w:vAlign w:val="center"/>
          </w:tcPr>
          <w:p w14:paraId="1037B8A3" w14:textId="7498C2B2"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068" w:type="dxa"/>
            <w:vAlign w:val="center"/>
          </w:tcPr>
          <w:p w14:paraId="687C6DE0" w14:textId="12054D49"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54" w:type="dxa"/>
            <w:vAlign w:val="center"/>
          </w:tcPr>
          <w:p w14:paraId="5B2F9378" w14:textId="0AB2E4FF" w:rsidR="0066332C" w:rsidRPr="00D55FA1" w:rsidRDefault="00995FF8" w:rsidP="00961037">
            <w:pPr>
              <w:jc w:val="center"/>
              <w:rPr>
                <w:rFonts w:cs="Arial"/>
                <w:color w:val="000000" w:themeColor="dark1"/>
                <w:kern w:val="24"/>
              </w:rPr>
            </w:pPr>
            <w:r>
              <w:rPr>
                <w:rFonts w:cs="Arial"/>
                <w:bCs/>
              </w:rPr>
              <w:t>Yes</w:t>
            </w:r>
          </w:p>
        </w:tc>
        <w:tc>
          <w:tcPr>
            <w:tcW w:w="934" w:type="dxa"/>
            <w:vAlign w:val="center"/>
          </w:tcPr>
          <w:p w14:paraId="58E6DD4E" w14:textId="6B92ACC3" w:rsidR="0066332C" w:rsidRPr="00D55FA1" w:rsidRDefault="00DE7835" w:rsidP="00961037">
            <w:pPr>
              <w:jc w:val="center"/>
              <w:rPr>
                <w:rFonts w:cs="Arial"/>
                <w:color w:val="000000" w:themeColor="dark1"/>
                <w:kern w:val="24"/>
              </w:rPr>
            </w:pPr>
            <w:r>
              <w:rPr>
                <w:rFonts w:cs="Arial"/>
                <w:bCs/>
              </w:rPr>
              <w:t>Yes</w:t>
            </w:r>
          </w:p>
        </w:tc>
        <w:tc>
          <w:tcPr>
            <w:tcW w:w="1159" w:type="dxa"/>
            <w:vAlign w:val="center"/>
          </w:tcPr>
          <w:p w14:paraId="7D3BEE8F" w14:textId="31F2285A"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79E6A255" w14:textId="77777777" w:rsidTr="00CD2A6F">
        <w:trPr>
          <w:cantSplit/>
          <w:trHeight w:val="288"/>
        </w:trPr>
        <w:tc>
          <w:tcPr>
            <w:tcW w:w="3145" w:type="dxa"/>
            <w:vAlign w:val="center"/>
            <w:hideMark/>
          </w:tcPr>
          <w:p w14:paraId="6A143AB4" w14:textId="77777777" w:rsidR="0066332C" w:rsidRPr="00D55FA1" w:rsidRDefault="0066332C" w:rsidP="00961037">
            <w:pPr>
              <w:jc w:val="center"/>
              <w:rPr>
                <w:rFonts w:cs="Arial"/>
              </w:rPr>
            </w:pPr>
            <w:r w:rsidRPr="00D55FA1">
              <w:rPr>
                <w:rFonts w:cs="Arial"/>
                <w:color w:val="000000" w:themeColor="dark1"/>
                <w:kern w:val="24"/>
              </w:rPr>
              <w:t>Grade 11 Target</w:t>
            </w:r>
          </w:p>
        </w:tc>
        <w:tc>
          <w:tcPr>
            <w:tcW w:w="887" w:type="dxa"/>
            <w:vAlign w:val="center"/>
            <w:hideMark/>
          </w:tcPr>
          <w:p w14:paraId="710F3DD7" w14:textId="77777777" w:rsidR="0066332C" w:rsidRPr="00D55FA1" w:rsidRDefault="0066332C" w:rsidP="00961037">
            <w:pPr>
              <w:jc w:val="center"/>
              <w:rPr>
                <w:rFonts w:cs="Arial"/>
              </w:rPr>
            </w:pPr>
            <w:r w:rsidRPr="00D55FA1">
              <w:rPr>
                <w:rFonts w:cs="Arial"/>
                <w:color w:val="000000" w:themeColor="dark1"/>
                <w:kern w:val="24"/>
              </w:rPr>
              <w:t>14%</w:t>
            </w:r>
          </w:p>
        </w:tc>
        <w:tc>
          <w:tcPr>
            <w:tcW w:w="1108" w:type="dxa"/>
            <w:vAlign w:val="center"/>
            <w:hideMark/>
          </w:tcPr>
          <w:p w14:paraId="7C77AD93" w14:textId="77777777" w:rsidR="0066332C" w:rsidRPr="00D55FA1" w:rsidRDefault="0066332C" w:rsidP="00961037">
            <w:pPr>
              <w:jc w:val="center"/>
              <w:rPr>
                <w:rFonts w:cs="Arial"/>
              </w:rPr>
            </w:pPr>
            <w:r w:rsidRPr="00D55FA1">
              <w:rPr>
                <w:rFonts w:cs="Arial"/>
                <w:color w:val="000000" w:themeColor="dark1"/>
                <w:kern w:val="24"/>
              </w:rPr>
              <w:t>14%</w:t>
            </w:r>
          </w:p>
        </w:tc>
        <w:tc>
          <w:tcPr>
            <w:tcW w:w="1068" w:type="dxa"/>
            <w:vAlign w:val="center"/>
            <w:hideMark/>
          </w:tcPr>
          <w:p w14:paraId="16F604BF" w14:textId="77777777" w:rsidR="0066332C" w:rsidRPr="00D55FA1" w:rsidRDefault="0066332C" w:rsidP="00961037">
            <w:pPr>
              <w:jc w:val="center"/>
              <w:rPr>
                <w:rFonts w:cs="Arial"/>
              </w:rPr>
            </w:pPr>
            <w:r w:rsidRPr="00D55FA1">
              <w:rPr>
                <w:rFonts w:cs="Arial"/>
                <w:color w:val="000000" w:themeColor="dark1"/>
                <w:kern w:val="24"/>
              </w:rPr>
              <w:t>14%</w:t>
            </w:r>
          </w:p>
        </w:tc>
        <w:tc>
          <w:tcPr>
            <w:tcW w:w="1054" w:type="dxa"/>
            <w:vAlign w:val="center"/>
            <w:hideMark/>
          </w:tcPr>
          <w:p w14:paraId="43D5CD99" w14:textId="77777777" w:rsidR="0066332C" w:rsidRPr="00D55FA1" w:rsidRDefault="0066332C" w:rsidP="00961037">
            <w:pPr>
              <w:jc w:val="center"/>
              <w:rPr>
                <w:rFonts w:cs="Arial"/>
              </w:rPr>
            </w:pPr>
            <w:r w:rsidRPr="00D55FA1">
              <w:rPr>
                <w:rFonts w:cs="Arial"/>
                <w:color w:val="000000" w:themeColor="dark1"/>
                <w:kern w:val="24"/>
              </w:rPr>
              <w:t>15%</w:t>
            </w:r>
          </w:p>
        </w:tc>
        <w:tc>
          <w:tcPr>
            <w:tcW w:w="934" w:type="dxa"/>
            <w:vAlign w:val="center"/>
            <w:hideMark/>
          </w:tcPr>
          <w:p w14:paraId="43B0ECD0" w14:textId="77777777" w:rsidR="0066332C" w:rsidRPr="00D55FA1" w:rsidRDefault="0066332C" w:rsidP="00961037">
            <w:pPr>
              <w:jc w:val="center"/>
              <w:rPr>
                <w:rFonts w:cs="Arial"/>
              </w:rPr>
            </w:pPr>
            <w:r w:rsidRPr="00D55FA1">
              <w:rPr>
                <w:rFonts w:cs="Arial"/>
                <w:color w:val="000000" w:themeColor="dark1"/>
                <w:kern w:val="24"/>
              </w:rPr>
              <w:t>16%</w:t>
            </w:r>
          </w:p>
        </w:tc>
        <w:tc>
          <w:tcPr>
            <w:tcW w:w="1159" w:type="dxa"/>
            <w:vAlign w:val="center"/>
            <w:hideMark/>
          </w:tcPr>
          <w:p w14:paraId="5AA79687" w14:textId="77777777" w:rsidR="0066332C" w:rsidRPr="00D55FA1" w:rsidRDefault="0066332C" w:rsidP="00961037">
            <w:pPr>
              <w:jc w:val="center"/>
              <w:rPr>
                <w:rFonts w:cs="Arial"/>
              </w:rPr>
            </w:pPr>
            <w:r w:rsidRPr="00D55FA1">
              <w:rPr>
                <w:rFonts w:cs="Arial"/>
                <w:color w:val="000000" w:themeColor="dark1"/>
                <w:kern w:val="24"/>
              </w:rPr>
              <w:t>17%</w:t>
            </w:r>
          </w:p>
        </w:tc>
      </w:tr>
      <w:tr w:rsidR="0066332C" w:rsidRPr="00D55FA1" w14:paraId="707B7517" w14:textId="77777777" w:rsidTr="00CD2A6F">
        <w:trPr>
          <w:cantSplit/>
          <w:trHeight w:val="288"/>
        </w:trPr>
        <w:tc>
          <w:tcPr>
            <w:tcW w:w="3145" w:type="dxa"/>
            <w:vAlign w:val="center"/>
          </w:tcPr>
          <w:p w14:paraId="7F629FAE"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Result</w:t>
            </w:r>
          </w:p>
        </w:tc>
        <w:tc>
          <w:tcPr>
            <w:tcW w:w="887" w:type="dxa"/>
            <w:vAlign w:val="center"/>
          </w:tcPr>
          <w:p w14:paraId="51DC1817"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16%</w:t>
            </w:r>
          </w:p>
        </w:tc>
        <w:tc>
          <w:tcPr>
            <w:tcW w:w="1108" w:type="dxa"/>
            <w:vAlign w:val="center"/>
          </w:tcPr>
          <w:p w14:paraId="3B88899E" w14:textId="65AA30BD" w:rsidR="0066332C" w:rsidRPr="00D55FA1" w:rsidRDefault="0066332C" w:rsidP="00961037">
            <w:pPr>
              <w:jc w:val="center"/>
              <w:rPr>
                <w:rFonts w:cs="Arial"/>
                <w:color w:val="000000" w:themeColor="dark1"/>
                <w:kern w:val="24"/>
              </w:rPr>
            </w:pPr>
            <w:r w:rsidRPr="00D55FA1">
              <w:rPr>
                <w:rFonts w:cs="Arial"/>
                <w:color w:val="000000" w:themeColor="dark1"/>
                <w:kern w:val="24"/>
              </w:rPr>
              <w:t>15.10%</w:t>
            </w:r>
          </w:p>
        </w:tc>
        <w:tc>
          <w:tcPr>
            <w:tcW w:w="1068" w:type="dxa"/>
            <w:vAlign w:val="center"/>
          </w:tcPr>
          <w:p w14:paraId="69E2BB2B" w14:textId="38E14C5E" w:rsidR="0066332C" w:rsidRPr="00D55FA1" w:rsidRDefault="0083171F" w:rsidP="00961037">
            <w:pPr>
              <w:jc w:val="center"/>
              <w:rPr>
                <w:rFonts w:cs="Arial"/>
                <w:color w:val="000000" w:themeColor="dark1"/>
                <w:kern w:val="24"/>
              </w:rPr>
            </w:pPr>
            <w:r w:rsidRPr="00D55FA1">
              <w:rPr>
                <w:rFonts w:cs="Arial"/>
                <w:color w:val="000000" w:themeColor="dark1"/>
                <w:kern w:val="24"/>
              </w:rPr>
              <w:t>13.64%</w:t>
            </w:r>
          </w:p>
        </w:tc>
        <w:tc>
          <w:tcPr>
            <w:tcW w:w="1054" w:type="dxa"/>
            <w:vAlign w:val="center"/>
          </w:tcPr>
          <w:p w14:paraId="57C0D796" w14:textId="0C07CEC0" w:rsidR="0066332C" w:rsidRPr="00D55FA1" w:rsidRDefault="00995FF8" w:rsidP="00961037">
            <w:pPr>
              <w:jc w:val="center"/>
              <w:rPr>
                <w:rFonts w:cs="Arial"/>
                <w:color w:val="000000" w:themeColor="dark1"/>
                <w:kern w:val="24"/>
              </w:rPr>
            </w:pPr>
            <w:r>
              <w:rPr>
                <w:rFonts w:cs="Arial"/>
                <w:bCs/>
              </w:rPr>
              <w:t>20.66%</w:t>
            </w:r>
          </w:p>
        </w:tc>
        <w:tc>
          <w:tcPr>
            <w:tcW w:w="934" w:type="dxa"/>
            <w:vAlign w:val="center"/>
          </w:tcPr>
          <w:p w14:paraId="0D142F6F" w14:textId="60BE63B4" w:rsidR="0066332C" w:rsidRPr="00D55FA1" w:rsidRDefault="00DE7835" w:rsidP="00961037">
            <w:pPr>
              <w:jc w:val="center"/>
              <w:rPr>
                <w:rFonts w:cs="Arial"/>
                <w:color w:val="000000" w:themeColor="dark1"/>
                <w:kern w:val="24"/>
              </w:rPr>
            </w:pPr>
            <w:r>
              <w:rPr>
                <w:rFonts w:cs="Arial"/>
                <w:bCs/>
              </w:rPr>
              <w:t>19.80%</w:t>
            </w:r>
          </w:p>
        </w:tc>
        <w:tc>
          <w:tcPr>
            <w:tcW w:w="1159" w:type="dxa"/>
            <w:vAlign w:val="center"/>
          </w:tcPr>
          <w:p w14:paraId="4475AD14" w14:textId="30CA048E"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214F6C93" w14:textId="77777777" w:rsidTr="00CD2A6F">
        <w:trPr>
          <w:cantSplit/>
          <w:trHeight w:val="288"/>
        </w:trPr>
        <w:tc>
          <w:tcPr>
            <w:tcW w:w="3145" w:type="dxa"/>
            <w:vAlign w:val="center"/>
          </w:tcPr>
          <w:p w14:paraId="4C8769F5"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Target Met</w:t>
            </w:r>
          </w:p>
        </w:tc>
        <w:tc>
          <w:tcPr>
            <w:tcW w:w="887" w:type="dxa"/>
            <w:vAlign w:val="center"/>
          </w:tcPr>
          <w:p w14:paraId="52894174"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108" w:type="dxa"/>
            <w:vAlign w:val="center"/>
          </w:tcPr>
          <w:p w14:paraId="120C4E94" w14:textId="5F6FAAFA"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068" w:type="dxa"/>
            <w:vAlign w:val="center"/>
          </w:tcPr>
          <w:p w14:paraId="42AFC42D" w14:textId="282A209A" w:rsidR="0066332C" w:rsidRPr="00D55FA1" w:rsidRDefault="0083171F" w:rsidP="00961037">
            <w:pPr>
              <w:jc w:val="center"/>
              <w:rPr>
                <w:rFonts w:cs="Arial"/>
                <w:color w:val="000000" w:themeColor="dark1"/>
                <w:kern w:val="24"/>
              </w:rPr>
            </w:pPr>
            <w:r w:rsidRPr="00D55FA1">
              <w:rPr>
                <w:rFonts w:cs="Arial"/>
                <w:color w:val="000000" w:themeColor="dark1"/>
                <w:kern w:val="24"/>
              </w:rPr>
              <w:t>No</w:t>
            </w:r>
          </w:p>
        </w:tc>
        <w:tc>
          <w:tcPr>
            <w:tcW w:w="1054" w:type="dxa"/>
            <w:vAlign w:val="center"/>
          </w:tcPr>
          <w:p w14:paraId="271CA723" w14:textId="36E35073" w:rsidR="0066332C" w:rsidRPr="00D55FA1" w:rsidRDefault="00995FF8" w:rsidP="00961037">
            <w:pPr>
              <w:jc w:val="center"/>
              <w:rPr>
                <w:rFonts w:cs="Arial"/>
                <w:color w:val="000000" w:themeColor="dark1"/>
                <w:kern w:val="24"/>
              </w:rPr>
            </w:pPr>
            <w:r>
              <w:rPr>
                <w:rFonts w:cs="Arial"/>
                <w:bCs/>
              </w:rPr>
              <w:t>Yes</w:t>
            </w:r>
          </w:p>
        </w:tc>
        <w:tc>
          <w:tcPr>
            <w:tcW w:w="934" w:type="dxa"/>
            <w:vAlign w:val="center"/>
          </w:tcPr>
          <w:p w14:paraId="75FBE423" w14:textId="485FB42D" w:rsidR="0066332C" w:rsidRPr="00D55FA1" w:rsidRDefault="00DE7835" w:rsidP="00961037">
            <w:pPr>
              <w:jc w:val="center"/>
              <w:rPr>
                <w:rFonts w:cs="Arial"/>
                <w:color w:val="000000" w:themeColor="dark1"/>
                <w:kern w:val="24"/>
              </w:rPr>
            </w:pPr>
            <w:r>
              <w:rPr>
                <w:rFonts w:cs="Arial"/>
                <w:bCs/>
              </w:rPr>
              <w:t>Yes</w:t>
            </w:r>
          </w:p>
        </w:tc>
        <w:tc>
          <w:tcPr>
            <w:tcW w:w="1159" w:type="dxa"/>
            <w:vAlign w:val="center"/>
          </w:tcPr>
          <w:p w14:paraId="2D3F0BEC" w14:textId="4F798316" w:rsidR="0066332C" w:rsidRPr="00D55FA1" w:rsidRDefault="00DF008C" w:rsidP="00961037">
            <w:pPr>
              <w:jc w:val="center"/>
              <w:rPr>
                <w:rFonts w:cs="Arial"/>
                <w:color w:val="000000" w:themeColor="dark1"/>
                <w:kern w:val="24"/>
              </w:rPr>
            </w:pPr>
            <w:r w:rsidRPr="00D55FA1">
              <w:rPr>
                <w:rFonts w:cs="Arial"/>
                <w:bCs/>
              </w:rPr>
              <w:t>-</w:t>
            </w:r>
          </w:p>
        </w:tc>
      </w:tr>
    </w:tbl>
    <w:p w14:paraId="75CF4315" w14:textId="77777777" w:rsidR="00EB1E42" w:rsidRPr="00D55FA1" w:rsidRDefault="00EB1E42" w:rsidP="00EB1E42"/>
    <w:tbl>
      <w:tblPr>
        <w:tblStyle w:val="TableGrid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Indicator 3C Math targets and results"/>
      </w:tblPr>
      <w:tblGrid>
        <w:gridCol w:w="3107"/>
        <w:gridCol w:w="931"/>
        <w:gridCol w:w="1126"/>
        <w:gridCol w:w="1085"/>
        <w:gridCol w:w="1073"/>
        <w:gridCol w:w="1030"/>
        <w:gridCol w:w="1003"/>
      </w:tblGrid>
      <w:tr w:rsidR="0066332C" w:rsidRPr="00D55FA1" w14:paraId="09019950" w14:textId="77777777" w:rsidTr="00CD2A6F">
        <w:trPr>
          <w:cantSplit/>
          <w:trHeight w:val="291"/>
          <w:tblHeader/>
        </w:trPr>
        <w:tc>
          <w:tcPr>
            <w:tcW w:w="3170" w:type="dxa"/>
            <w:vAlign w:val="center"/>
            <w:hideMark/>
          </w:tcPr>
          <w:p w14:paraId="55CFDB16" w14:textId="77777777" w:rsidR="0066332C" w:rsidRPr="00D55FA1" w:rsidRDefault="0066332C" w:rsidP="00961037">
            <w:pPr>
              <w:jc w:val="center"/>
              <w:rPr>
                <w:rFonts w:cs="Arial"/>
                <w:b/>
              </w:rPr>
            </w:pPr>
            <w:r w:rsidRPr="00D55FA1">
              <w:rPr>
                <w:rFonts w:cs="Arial"/>
                <w:b/>
              </w:rPr>
              <w:t>Indicator 3c Math</w:t>
            </w:r>
          </w:p>
        </w:tc>
        <w:tc>
          <w:tcPr>
            <w:tcW w:w="937" w:type="dxa"/>
            <w:vAlign w:val="center"/>
            <w:hideMark/>
          </w:tcPr>
          <w:p w14:paraId="74519F6D" w14:textId="77777777" w:rsidR="0066332C" w:rsidRPr="00D55FA1" w:rsidRDefault="0066332C" w:rsidP="00961037">
            <w:pPr>
              <w:jc w:val="center"/>
              <w:rPr>
                <w:rFonts w:cs="Arial"/>
              </w:rPr>
            </w:pPr>
            <w:r w:rsidRPr="00D55FA1">
              <w:rPr>
                <w:rFonts w:cs="Arial"/>
                <w:b/>
                <w:bCs/>
                <w:kern w:val="24"/>
              </w:rPr>
              <w:t>2020</w:t>
            </w:r>
          </w:p>
        </w:tc>
        <w:tc>
          <w:tcPr>
            <w:tcW w:w="1129" w:type="dxa"/>
            <w:vAlign w:val="center"/>
            <w:hideMark/>
          </w:tcPr>
          <w:p w14:paraId="55BFB259" w14:textId="77777777" w:rsidR="0066332C" w:rsidRPr="00D55FA1" w:rsidRDefault="0066332C" w:rsidP="00961037">
            <w:pPr>
              <w:jc w:val="center"/>
              <w:rPr>
                <w:rFonts w:cs="Arial"/>
              </w:rPr>
            </w:pPr>
            <w:r w:rsidRPr="00D55FA1">
              <w:rPr>
                <w:rFonts w:cs="Arial"/>
                <w:b/>
                <w:bCs/>
                <w:kern w:val="24"/>
              </w:rPr>
              <w:t>2021</w:t>
            </w:r>
          </w:p>
        </w:tc>
        <w:tc>
          <w:tcPr>
            <w:tcW w:w="1087" w:type="dxa"/>
            <w:vAlign w:val="center"/>
            <w:hideMark/>
          </w:tcPr>
          <w:p w14:paraId="057ED589" w14:textId="77777777" w:rsidR="0066332C" w:rsidRPr="00D55FA1" w:rsidRDefault="0066332C" w:rsidP="00961037">
            <w:pPr>
              <w:jc w:val="center"/>
              <w:rPr>
                <w:rFonts w:cs="Arial"/>
              </w:rPr>
            </w:pPr>
            <w:r w:rsidRPr="00D55FA1">
              <w:rPr>
                <w:rFonts w:cs="Arial"/>
                <w:b/>
                <w:bCs/>
                <w:kern w:val="24"/>
              </w:rPr>
              <w:t>2022</w:t>
            </w:r>
          </w:p>
        </w:tc>
        <w:tc>
          <w:tcPr>
            <w:tcW w:w="1074" w:type="dxa"/>
            <w:vAlign w:val="center"/>
            <w:hideMark/>
          </w:tcPr>
          <w:p w14:paraId="229ACA2A" w14:textId="77777777" w:rsidR="0066332C" w:rsidRPr="00D55FA1" w:rsidRDefault="0066332C" w:rsidP="00961037">
            <w:pPr>
              <w:jc w:val="center"/>
              <w:rPr>
                <w:rFonts w:cs="Arial"/>
              </w:rPr>
            </w:pPr>
            <w:r w:rsidRPr="00D55FA1">
              <w:rPr>
                <w:rFonts w:cs="Arial"/>
                <w:b/>
                <w:bCs/>
                <w:kern w:val="24"/>
              </w:rPr>
              <w:t>2023</w:t>
            </w:r>
          </w:p>
        </w:tc>
        <w:tc>
          <w:tcPr>
            <w:tcW w:w="951" w:type="dxa"/>
            <w:vAlign w:val="center"/>
            <w:hideMark/>
          </w:tcPr>
          <w:p w14:paraId="3A98CC6F" w14:textId="77777777" w:rsidR="0066332C" w:rsidRPr="00D55FA1" w:rsidRDefault="0066332C" w:rsidP="00961037">
            <w:pPr>
              <w:jc w:val="center"/>
              <w:rPr>
                <w:rFonts w:cs="Arial"/>
              </w:rPr>
            </w:pPr>
            <w:r w:rsidRPr="00D55FA1">
              <w:rPr>
                <w:rFonts w:cs="Arial"/>
                <w:b/>
                <w:bCs/>
                <w:kern w:val="24"/>
              </w:rPr>
              <w:t>2024</w:t>
            </w:r>
          </w:p>
        </w:tc>
        <w:tc>
          <w:tcPr>
            <w:tcW w:w="1007" w:type="dxa"/>
            <w:vAlign w:val="center"/>
            <w:hideMark/>
          </w:tcPr>
          <w:p w14:paraId="4BF37997" w14:textId="77777777" w:rsidR="0066332C" w:rsidRPr="00D55FA1" w:rsidRDefault="0066332C" w:rsidP="00961037">
            <w:pPr>
              <w:jc w:val="center"/>
              <w:rPr>
                <w:rFonts w:cs="Arial"/>
              </w:rPr>
            </w:pPr>
            <w:r w:rsidRPr="00D55FA1">
              <w:rPr>
                <w:rFonts w:cs="Arial"/>
                <w:b/>
                <w:bCs/>
                <w:kern w:val="24"/>
              </w:rPr>
              <w:t>2025</w:t>
            </w:r>
          </w:p>
        </w:tc>
      </w:tr>
      <w:tr w:rsidR="0066332C" w:rsidRPr="00D55FA1" w14:paraId="0DA83508" w14:textId="77777777" w:rsidTr="00CD2A6F">
        <w:trPr>
          <w:cantSplit/>
          <w:trHeight w:val="291"/>
        </w:trPr>
        <w:tc>
          <w:tcPr>
            <w:tcW w:w="3170" w:type="dxa"/>
            <w:vAlign w:val="center"/>
            <w:hideMark/>
          </w:tcPr>
          <w:p w14:paraId="02E61889" w14:textId="77777777" w:rsidR="0066332C" w:rsidRPr="00D55FA1" w:rsidRDefault="0066332C" w:rsidP="00961037">
            <w:pPr>
              <w:jc w:val="center"/>
              <w:rPr>
                <w:rFonts w:cs="Arial"/>
              </w:rPr>
            </w:pPr>
            <w:r w:rsidRPr="00D55FA1">
              <w:rPr>
                <w:rFonts w:cs="Arial"/>
                <w:color w:val="000000" w:themeColor="dark1"/>
                <w:kern w:val="24"/>
              </w:rPr>
              <w:t>Grade 4 Target</w:t>
            </w:r>
          </w:p>
        </w:tc>
        <w:tc>
          <w:tcPr>
            <w:tcW w:w="937" w:type="dxa"/>
            <w:vAlign w:val="center"/>
            <w:hideMark/>
          </w:tcPr>
          <w:p w14:paraId="2A22FCB5" w14:textId="77777777" w:rsidR="0066332C" w:rsidRPr="00D55FA1" w:rsidRDefault="0066332C" w:rsidP="00961037">
            <w:pPr>
              <w:jc w:val="center"/>
              <w:rPr>
                <w:rFonts w:cs="Arial"/>
              </w:rPr>
            </w:pPr>
            <w:r w:rsidRPr="00D55FA1">
              <w:rPr>
                <w:rFonts w:cs="Arial"/>
                <w:color w:val="000000" w:themeColor="dark1"/>
                <w:kern w:val="24"/>
              </w:rPr>
              <w:t>7%</w:t>
            </w:r>
          </w:p>
        </w:tc>
        <w:tc>
          <w:tcPr>
            <w:tcW w:w="1129" w:type="dxa"/>
            <w:vAlign w:val="center"/>
            <w:hideMark/>
          </w:tcPr>
          <w:p w14:paraId="3E0C982A" w14:textId="77777777" w:rsidR="0066332C" w:rsidRPr="00D55FA1" w:rsidRDefault="0066332C" w:rsidP="00961037">
            <w:pPr>
              <w:jc w:val="center"/>
              <w:rPr>
                <w:rFonts w:cs="Arial"/>
              </w:rPr>
            </w:pPr>
            <w:r w:rsidRPr="00D55FA1">
              <w:rPr>
                <w:rFonts w:cs="Arial"/>
                <w:color w:val="000000" w:themeColor="dark1"/>
                <w:kern w:val="24"/>
              </w:rPr>
              <w:t>7%</w:t>
            </w:r>
          </w:p>
        </w:tc>
        <w:tc>
          <w:tcPr>
            <w:tcW w:w="1087" w:type="dxa"/>
            <w:vAlign w:val="center"/>
            <w:hideMark/>
          </w:tcPr>
          <w:p w14:paraId="3EB6D38D" w14:textId="77777777" w:rsidR="0066332C" w:rsidRPr="00D55FA1" w:rsidRDefault="0066332C" w:rsidP="00961037">
            <w:pPr>
              <w:jc w:val="center"/>
              <w:rPr>
                <w:rFonts w:cs="Arial"/>
              </w:rPr>
            </w:pPr>
            <w:r w:rsidRPr="00D55FA1">
              <w:rPr>
                <w:rFonts w:cs="Arial"/>
                <w:color w:val="000000" w:themeColor="dark1"/>
                <w:kern w:val="24"/>
              </w:rPr>
              <w:t>7%</w:t>
            </w:r>
          </w:p>
        </w:tc>
        <w:tc>
          <w:tcPr>
            <w:tcW w:w="1074" w:type="dxa"/>
            <w:vAlign w:val="center"/>
            <w:hideMark/>
          </w:tcPr>
          <w:p w14:paraId="0FD4050B" w14:textId="77777777" w:rsidR="0066332C" w:rsidRPr="00D55FA1" w:rsidRDefault="0066332C" w:rsidP="00961037">
            <w:pPr>
              <w:jc w:val="center"/>
              <w:rPr>
                <w:rFonts w:cs="Arial"/>
              </w:rPr>
            </w:pPr>
            <w:r w:rsidRPr="00D55FA1">
              <w:rPr>
                <w:rFonts w:cs="Arial"/>
                <w:color w:val="000000" w:themeColor="dark1"/>
                <w:kern w:val="24"/>
              </w:rPr>
              <w:t>8%</w:t>
            </w:r>
          </w:p>
        </w:tc>
        <w:tc>
          <w:tcPr>
            <w:tcW w:w="951" w:type="dxa"/>
            <w:vAlign w:val="center"/>
            <w:hideMark/>
          </w:tcPr>
          <w:p w14:paraId="5354B39D" w14:textId="77777777" w:rsidR="0066332C" w:rsidRPr="00D55FA1" w:rsidRDefault="0066332C" w:rsidP="00961037">
            <w:pPr>
              <w:jc w:val="center"/>
              <w:rPr>
                <w:rFonts w:cs="Arial"/>
              </w:rPr>
            </w:pPr>
            <w:r w:rsidRPr="00D55FA1">
              <w:rPr>
                <w:rFonts w:cs="Arial"/>
                <w:color w:val="000000" w:themeColor="dark1"/>
                <w:kern w:val="24"/>
              </w:rPr>
              <w:t>9%</w:t>
            </w:r>
          </w:p>
        </w:tc>
        <w:tc>
          <w:tcPr>
            <w:tcW w:w="1007" w:type="dxa"/>
            <w:vAlign w:val="center"/>
            <w:hideMark/>
          </w:tcPr>
          <w:p w14:paraId="52D59BE4" w14:textId="77777777" w:rsidR="0066332C" w:rsidRPr="00D55FA1" w:rsidRDefault="0066332C" w:rsidP="00961037">
            <w:pPr>
              <w:jc w:val="center"/>
              <w:rPr>
                <w:rFonts w:cs="Arial"/>
              </w:rPr>
            </w:pPr>
            <w:r w:rsidRPr="00D55FA1">
              <w:rPr>
                <w:rFonts w:cs="Arial"/>
                <w:color w:val="000000" w:themeColor="dark1"/>
                <w:kern w:val="24"/>
              </w:rPr>
              <w:t>10%</w:t>
            </w:r>
          </w:p>
        </w:tc>
      </w:tr>
      <w:tr w:rsidR="0066332C" w:rsidRPr="00D55FA1" w14:paraId="1A7E232E" w14:textId="77777777" w:rsidTr="00CD2A6F">
        <w:trPr>
          <w:cantSplit/>
          <w:trHeight w:val="291"/>
        </w:trPr>
        <w:tc>
          <w:tcPr>
            <w:tcW w:w="3170" w:type="dxa"/>
            <w:vAlign w:val="center"/>
          </w:tcPr>
          <w:p w14:paraId="76A72B35"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Result</w:t>
            </w:r>
          </w:p>
        </w:tc>
        <w:tc>
          <w:tcPr>
            <w:tcW w:w="937" w:type="dxa"/>
            <w:vAlign w:val="center"/>
          </w:tcPr>
          <w:p w14:paraId="18E4B91A"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6%</w:t>
            </w:r>
          </w:p>
        </w:tc>
        <w:tc>
          <w:tcPr>
            <w:tcW w:w="1129" w:type="dxa"/>
            <w:vAlign w:val="center"/>
          </w:tcPr>
          <w:p w14:paraId="3CB648E9" w14:textId="0E5431EA" w:rsidR="0066332C" w:rsidRPr="00D55FA1" w:rsidRDefault="0066332C" w:rsidP="00961037">
            <w:pPr>
              <w:jc w:val="center"/>
              <w:rPr>
                <w:rFonts w:cs="Arial"/>
                <w:color w:val="000000" w:themeColor="dark1"/>
                <w:kern w:val="24"/>
              </w:rPr>
            </w:pPr>
            <w:r w:rsidRPr="00D55FA1">
              <w:rPr>
                <w:rFonts w:cs="Arial"/>
                <w:color w:val="000000" w:themeColor="dark1"/>
                <w:kern w:val="24"/>
              </w:rPr>
              <w:t>6.04%</w:t>
            </w:r>
          </w:p>
        </w:tc>
        <w:tc>
          <w:tcPr>
            <w:tcW w:w="1087" w:type="dxa"/>
            <w:vAlign w:val="center"/>
          </w:tcPr>
          <w:p w14:paraId="0C178E9E" w14:textId="6055603A" w:rsidR="0066332C" w:rsidRPr="00D55FA1" w:rsidRDefault="0083171F" w:rsidP="00961037">
            <w:pPr>
              <w:jc w:val="center"/>
              <w:rPr>
                <w:rFonts w:cs="Arial"/>
                <w:color w:val="000000" w:themeColor="dark1"/>
                <w:kern w:val="24"/>
              </w:rPr>
            </w:pPr>
            <w:r w:rsidRPr="00D55FA1">
              <w:rPr>
                <w:rFonts w:cs="Arial"/>
                <w:color w:val="000000" w:themeColor="dark1"/>
                <w:kern w:val="24"/>
              </w:rPr>
              <w:t>4.69%</w:t>
            </w:r>
          </w:p>
        </w:tc>
        <w:tc>
          <w:tcPr>
            <w:tcW w:w="1074" w:type="dxa"/>
            <w:vAlign w:val="center"/>
          </w:tcPr>
          <w:p w14:paraId="3C0395D3" w14:textId="22935380" w:rsidR="0066332C" w:rsidRPr="00D55FA1" w:rsidRDefault="006D5CAD" w:rsidP="00961037">
            <w:pPr>
              <w:jc w:val="center"/>
              <w:rPr>
                <w:rFonts w:cs="Arial"/>
                <w:color w:val="000000" w:themeColor="dark1"/>
                <w:kern w:val="24"/>
              </w:rPr>
            </w:pPr>
            <w:r>
              <w:rPr>
                <w:rFonts w:cs="Arial"/>
                <w:bCs/>
              </w:rPr>
              <w:t>5.14%</w:t>
            </w:r>
          </w:p>
        </w:tc>
        <w:tc>
          <w:tcPr>
            <w:tcW w:w="951" w:type="dxa"/>
            <w:vAlign w:val="center"/>
          </w:tcPr>
          <w:p w14:paraId="3254BC2F" w14:textId="37DB3E8C" w:rsidR="0066332C" w:rsidRPr="00D55FA1" w:rsidRDefault="00DE7835" w:rsidP="00961037">
            <w:pPr>
              <w:jc w:val="center"/>
              <w:rPr>
                <w:rFonts w:cs="Arial"/>
                <w:color w:val="000000" w:themeColor="dark1"/>
                <w:kern w:val="24"/>
              </w:rPr>
            </w:pPr>
            <w:r>
              <w:rPr>
                <w:rFonts w:cs="Arial"/>
                <w:bCs/>
              </w:rPr>
              <w:t>5.50%</w:t>
            </w:r>
          </w:p>
        </w:tc>
        <w:tc>
          <w:tcPr>
            <w:tcW w:w="1007" w:type="dxa"/>
            <w:vAlign w:val="center"/>
          </w:tcPr>
          <w:p w14:paraId="651E9592" w14:textId="352158B3"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537BCA77" w14:textId="77777777" w:rsidTr="00CD2A6F">
        <w:trPr>
          <w:cantSplit/>
          <w:trHeight w:val="291"/>
        </w:trPr>
        <w:tc>
          <w:tcPr>
            <w:tcW w:w="3170" w:type="dxa"/>
            <w:vAlign w:val="center"/>
          </w:tcPr>
          <w:p w14:paraId="181C0BA9"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Target Met</w:t>
            </w:r>
          </w:p>
        </w:tc>
        <w:tc>
          <w:tcPr>
            <w:tcW w:w="937" w:type="dxa"/>
            <w:vAlign w:val="center"/>
          </w:tcPr>
          <w:p w14:paraId="7B2122CB"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129" w:type="dxa"/>
            <w:vAlign w:val="center"/>
          </w:tcPr>
          <w:p w14:paraId="269E314A" w14:textId="0A93EB51" w:rsidR="0066332C" w:rsidRPr="00D55FA1" w:rsidRDefault="0066332C" w:rsidP="00961037">
            <w:pPr>
              <w:jc w:val="center"/>
              <w:rPr>
                <w:rFonts w:cs="Arial"/>
                <w:color w:val="000000" w:themeColor="dark1"/>
                <w:kern w:val="24"/>
              </w:rPr>
            </w:pPr>
            <w:r w:rsidRPr="00D55FA1">
              <w:rPr>
                <w:rFonts w:cs="Arial"/>
                <w:color w:val="000000" w:themeColor="dark1"/>
                <w:kern w:val="24"/>
              </w:rPr>
              <w:t>No</w:t>
            </w:r>
          </w:p>
        </w:tc>
        <w:tc>
          <w:tcPr>
            <w:tcW w:w="1087" w:type="dxa"/>
            <w:vAlign w:val="center"/>
          </w:tcPr>
          <w:p w14:paraId="47341341" w14:textId="6C2C567B" w:rsidR="0066332C" w:rsidRPr="00D55FA1" w:rsidRDefault="0083171F" w:rsidP="00961037">
            <w:pPr>
              <w:jc w:val="center"/>
              <w:rPr>
                <w:rFonts w:cs="Arial"/>
                <w:color w:val="000000" w:themeColor="dark1"/>
                <w:kern w:val="24"/>
              </w:rPr>
            </w:pPr>
            <w:r w:rsidRPr="00D55FA1">
              <w:rPr>
                <w:rFonts w:cs="Arial"/>
                <w:color w:val="000000" w:themeColor="dark1"/>
                <w:kern w:val="24"/>
              </w:rPr>
              <w:t>No</w:t>
            </w:r>
          </w:p>
        </w:tc>
        <w:tc>
          <w:tcPr>
            <w:tcW w:w="1074" w:type="dxa"/>
            <w:vAlign w:val="center"/>
          </w:tcPr>
          <w:p w14:paraId="42EF2083" w14:textId="08F70E60" w:rsidR="0066332C" w:rsidRPr="00D55FA1" w:rsidRDefault="006D5CAD" w:rsidP="00961037">
            <w:pPr>
              <w:jc w:val="center"/>
              <w:rPr>
                <w:rFonts w:cs="Arial"/>
                <w:color w:val="000000" w:themeColor="dark1"/>
                <w:kern w:val="24"/>
              </w:rPr>
            </w:pPr>
            <w:r>
              <w:rPr>
                <w:rFonts w:cs="Arial"/>
                <w:bCs/>
              </w:rPr>
              <w:t>No</w:t>
            </w:r>
          </w:p>
        </w:tc>
        <w:tc>
          <w:tcPr>
            <w:tcW w:w="951" w:type="dxa"/>
            <w:vAlign w:val="center"/>
          </w:tcPr>
          <w:p w14:paraId="7B40C951" w14:textId="19D6D296" w:rsidR="0066332C" w:rsidRPr="00D55FA1" w:rsidRDefault="00DE7835" w:rsidP="00961037">
            <w:pPr>
              <w:jc w:val="center"/>
              <w:rPr>
                <w:rFonts w:cs="Arial"/>
                <w:color w:val="000000" w:themeColor="dark1"/>
                <w:kern w:val="24"/>
              </w:rPr>
            </w:pPr>
            <w:r>
              <w:rPr>
                <w:rFonts w:cs="Arial"/>
                <w:bCs/>
              </w:rPr>
              <w:t>No</w:t>
            </w:r>
          </w:p>
        </w:tc>
        <w:tc>
          <w:tcPr>
            <w:tcW w:w="1007" w:type="dxa"/>
            <w:vAlign w:val="center"/>
          </w:tcPr>
          <w:p w14:paraId="4B4D7232" w14:textId="2B741558"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767CA4EF" w14:textId="77777777" w:rsidTr="00CD2A6F">
        <w:trPr>
          <w:cantSplit/>
          <w:trHeight w:val="291"/>
        </w:trPr>
        <w:tc>
          <w:tcPr>
            <w:tcW w:w="3170" w:type="dxa"/>
            <w:vAlign w:val="center"/>
            <w:hideMark/>
          </w:tcPr>
          <w:p w14:paraId="0106FAAA" w14:textId="77777777" w:rsidR="0066332C" w:rsidRPr="00D55FA1" w:rsidRDefault="0066332C" w:rsidP="00961037">
            <w:pPr>
              <w:jc w:val="center"/>
              <w:rPr>
                <w:rFonts w:cs="Arial"/>
              </w:rPr>
            </w:pPr>
            <w:r w:rsidRPr="00D55FA1">
              <w:rPr>
                <w:rFonts w:cs="Arial"/>
                <w:color w:val="000000" w:themeColor="dark1"/>
                <w:kern w:val="24"/>
              </w:rPr>
              <w:t>Grade 8 Target</w:t>
            </w:r>
          </w:p>
        </w:tc>
        <w:tc>
          <w:tcPr>
            <w:tcW w:w="937" w:type="dxa"/>
            <w:vAlign w:val="center"/>
            <w:hideMark/>
          </w:tcPr>
          <w:p w14:paraId="30465D9C" w14:textId="77777777" w:rsidR="0066332C" w:rsidRPr="00D55FA1" w:rsidRDefault="0066332C" w:rsidP="00961037">
            <w:pPr>
              <w:jc w:val="center"/>
              <w:rPr>
                <w:rFonts w:cs="Arial"/>
              </w:rPr>
            </w:pPr>
            <w:r w:rsidRPr="00D55FA1">
              <w:rPr>
                <w:rFonts w:cs="Arial"/>
                <w:color w:val="000000" w:themeColor="dark1"/>
                <w:kern w:val="24"/>
              </w:rPr>
              <w:t>8%</w:t>
            </w:r>
          </w:p>
        </w:tc>
        <w:tc>
          <w:tcPr>
            <w:tcW w:w="1129" w:type="dxa"/>
            <w:vAlign w:val="center"/>
            <w:hideMark/>
          </w:tcPr>
          <w:p w14:paraId="5BD34E32" w14:textId="77777777" w:rsidR="0066332C" w:rsidRPr="00D55FA1" w:rsidRDefault="0066332C" w:rsidP="00961037">
            <w:pPr>
              <w:jc w:val="center"/>
              <w:rPr>
                <w:rFonts w:cs="Arial"/>
              </w:rPr>
            </w:pPr>
            <w:r w:rsidRPr="00D55FA1">
              <w:rPr>
                <w:rFonts w:cs="Arial"/>
                <w:color w:val="000000" w:themeColor="dark1"/>
                <w:kern w:val="24"/>
              </w:rPr>
              <w:t>8%</w:t>
            </w:r>
          </w:p>
        </w:tc>
        <w:tc>
          <w:tcPr>
            <w:tcW w:w="1087" w:type="dxa"/>
            <w:vAlign w:val="center"/>
            <w:hideMark/>
          </w:tcPr>
          <w:p w14:paraId="453315AD" w14:textId="77777777" w:rsidR="0066332C" w:rsidRPr="00D55FA1" w:rsidRDefault="0066332C" w:rsidP="00961037">
            <w:pPr>
              <w:jc w:val="center"/>
              <w:rPr>
                <w:rFonts w:cs="Arial"/>
              </w:rPr>
            </w:pPr>
            <w:r w:rsidRPr="00D55FA1">
              <w:rPr>
                <w:rFonts w:cs="Arial"/>
                <w:color w:val="000000" w:themeColor="dark1"/>
                <w:kern w:val="24"/>
              </w:rPr>
              <w:t>8%</w:t>
            </w:r>
          </w:p>
        </w:tc>
        <w:tc>
          <w:tcPr>
            <w:tcW w:w="1074" w:type="dxa"/>
            <w:vAlign w:val="center"/>
            <w:hideMark/>
          </w:tcPr>
          <w:p w14:paraId="54CE6AEC" w14:textId="77777777" w:rsidR="0066332C" w:rsidRPr="00D55FA1" w:rsidRDefault="0066332C" w:rsidP="00961037">
            <w:pPr>
              <w:jc w:val="center"/>
              <w:rPr>
                <w:rFonts w:cs="Arial"/>
              </w:rPr>
            </w:pPr>
            <w:r w:rsidRPr="00D55FA1">
              <w:rPr>
                <w:rFonts w:cs="Arial"/>
                <w:color w:val="000000" w:themeColor="dark1"/>
                <w:kern w:val="24"/>
              </w:rPr>
              <w:t>9%</w:t>
            </w:r>
          </w:p>
        </w:tc>
        <w:tc>
          <w:tcPr>
            <w:tcW w:w="951" w:type="dxa"/>
            <w:vAlign w:val="center"/>
            <w:hideMark/>
          </w:tcPr>
          <w:p w14:paraId="1907AE39" w14:textId="77777777" w:rsidR="0066332C" w:rsidRPr="00D55FA1" w:rsidRDefault="0066332C" w:rsidP="00961037">
            <w:pPr>
              <w:jc w:val="center"/>
              <w:rPr>
                <w:rFonts w:cs="Arial"/>
              </w:rPr>
            </w:pPr>
            <w:r w:rsidRPr="00D55FA1">
              <w:rPr>
                <w:rFonts w:cs="Arial"/>
                <w:color w:val="000000" w:themeColor="dark1"/>
                <w:kern w:val="24"/>
              </w:rPr>
              <w:t>10%</w:t>
            </w:r>
          </w:p>
        </w:tc>
        <w:tc>
          <w:tcPr>
            <w:tcW w:w="1007" w:type="dxa"/>
            <w:vAlign w:val="center"/>
            <w:hideMark/>
          </w:tcPr>
          <w:p w14:paraId="6F9213F6" w14:textId="35306407" w:rsidR="0066332C" w:rsidRPr="00D55FA1" w:rsidRDefault="0066332C" w:rsidP="00961037">
            <w:pPr>
              <w:jc w:val="center"/>
              <w:rPr>
                <w:rFonts w:cs="Arial"/>
              </w:rPr>
            </w:pPr>
            <w:r w:rsidRPr="00D55FA1">
              <w:rPr>
                <w:rFonts w:cs="Arial"/>
                <w:color w:val="000000" w:themeColor="dark1"/>
                <w:kern w:val="24"/>
              </w:rPr>
              <w:t>14.5%</w:t>
            </w:r>
          </w:p>
        </w:tc>
      </w:tr>
      <w:tr w:rsidR="0066332C" w:rsidRPr="00D55FA1" w14:paraId="3C2C2900" w14:textId="77777777" w:rsidTr="00CD2A6F">
        <w:trPr>
          <w:cantSplit/>
          <w:trHeight w:val="291"/>
        </w:trPr>
        <w:tc>
          <w:tcPr>
            <w:tcW w:w="3170" w:type="dxa"/>
            <w:vAlign w:val="center"/>
          </w:tcPr>
          <w:p w14:paraId="4B0136B3"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Result</w:t>
            </w:r>
          </w:p>
        </w:tc>
        <w:tc>
          <w:tcPr>
            <w:tcW w:w="937" w:type="dxa"/>
            <w:vAlign w:val="center"/>
          </w:tcPr>
          <w:p w14:paraId="767E411E"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14%</w:t>
            </w:r>
          </w:p>
        </w:tc>
        <w:tc>
          <w:tcPr>
            <w:tcW w:w="1129" w:type="dxa"/>
            <w:vAlign w:val="center"/>
          </w:tcPr>
          <w:p w14:paraId="2093CA67" w14:textId="10C34895" w:rsidR="0066332C" w:rsidRPr="00D55FA1" w:rsidRDefault="0066332C" w:rsidP="00961037">
            <w:pPr>
              <w:jc w:val="center"/>
              <w:rPr>
                <w:rFonts w:cs="Arial"/>
                <w:color w:val="000000" w:themeColor="dark1"/>
                <w:kern w:val="24"/>
              </w:rPr>
            </w:pPr>
            <w:r w:rsidRPr="00D55FA1">
              <w:rPr>
                <w:rFonts w:cs="Arial"/>
                <w:color w:val="000000" w:themeColor="dark1"/>
                <w:kern w:val="24"/>
              </w:rPr>
              <w:t>11.66%</w:t>
            </w:r>
          </w:p>
        </w:tc>
        <w:tc>
          <w:tcPr>
            <w:tcW w:w="1087" w:type="dxa"/>
            <w:vAlign w:val="center"/>
          </w:tcPr>
          <w:p w14:paraId="2503B197" w14:textId="4A8DE3DD" w:rsidR="0066332C" w:rsidRPr="00D55FA1" w:rsidRDefault="0083171F" w:rsidP="00961037">
            <w:pPr>
              <w:jc w:val="center"/>
              <w:rPr>
                <w:rFonts w:cs="Arial"/>
                <w:color w:val="000000" w:themeColor="dark1"/>
                <w:kern w:val="24"/>
              </w:rPr>
            </w:pPr>
            <w:r w:rsidRPr="00D55FA1">
              <w:rPr>
                <w:rFonts w:cs="Arial"/>
                <w:color w:val="000000" w:themeColor="dark1"/>
                <w:kern w:val="24"/>
              </w:rPr>
              <w:t>10.42%</w:t>
            </w:r>
          </w:p>
        </w:tc>
        <w:tc>
          <w:tcPr>
            <w:tcW w:w="1074" w:type="dxa"/>
            <w:vAlign w:val="center"/>
          </w:tcPr>
          <w:p w14:paraId="38288749" w14:textId="08EF272F" w:rsidR="0066332C" w:rsidRPr="00D55FA1" w:rsidRDefault="006D5CAD" w:rsidP="00961037">
            <w:pPr>
              <w:jc w:val="center"/>
              <w:rPr>
                <w:rFonts w:cs="Arial"/>
                <w:color w:val="000000" w:themeColor="dark1"/>
                <w:kern w:val="24"/>
              </w:rPr>
            </w:pPr>
            <w:r>
              <w:rPr>
                <w:rFonts w:cs="Arial"/>
                <w:bCs/>
              </w:rPr>
              <w:t>11.60%</w:t>
            </w:r>
          </w:p>
        </w:tc>
        <w:tc>
          <w:tcPr>
            <w:tcW w:w="951" w:type="dxa"/>
            <w:vAlign w:val="center"/>
          </w:tcPr>
          <w:p w14:paraId="20BD9A1A" w14:textId="6279EEB8" w:rsidR="0066332C" w:rsidRPr="00D55FA1" w:rsidRDefault="00DE7835" w:rsidP="00961037">
            <w:pPr>
              <w:jc w:val="center"/>
              <w:rPr>
                <w:rFonts w:cs="Arial"/>
                <w:color w:val="000000" w:themeColor="dark1"/>
                <w:kern w:val="24"/>
              </w:rPr>
            </w:pPr>
            <w:r>
              <w:rPr>
                <w:rFonts w:cs="Arial"/>
                <w:bCs/>
              </w:rPr>
              <w:t>11.88%</w:t>
            </w:r>
          </w:p>
        </w:tc>
        <w:tc>
          <w:tcPr>
            <w:tcW w:w="1007" w:type="dxa"/>
            <w:vAlign w:val="center"/>
          </w:tcPr>
          <w:p w14:paraId="0C136CF1" w14:textId="0A4C4D4B"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09912CEB" w14:textId="77777777" w:rsidTr="00CD2A6F">
        <w:trPr>
          <w:cantSplit/>
          <w:trHeight w:val="291"/>
        </w:trPr>
        <w:tc>
          <w:tcPr>
            <w:tcW w:w="3170" w:type="dxa"/>
            <w:vAlign w:val="center"/>
          </w:tcPr>
          <w:p w14:paraId="255CB3D4"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Target Met</w:t>
            </w:r>
          </w:p>
        </w:tc>
        <w:tc>
          <w:tcPr>
            <w:tcW w:w="937" w:type="dxa"/>
            <w:vAlign w:val="center"/>
          </w:tcPr>
          <w:p w14:paraId="58DF9A14"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129" w:type="dxa"/>
            <w:vAlign w:val="center"/>
          </w:tcPr>
          <w:p w14:paraId="0A392C6A" w14:textId="2B6AADFD"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087" w:type="dxa"/>
            <w:vAlign w:val="center"/>
          </w:tcPr>
          <w:p w14:paraId="290583F9" w14:textId="33A239C3"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74" w:type="dxa"/>
            <w:vAlign w:val="center"/>
          </w:tcPr>
          <w:p w14:paraId="68F21D90" w14:textId="59BEF34A" w:rsidR="0066332C" w:rsidRPr="00D55FA1" w:rsidRDefault="006D5CAD" w:rsidP="00961037">
            <w:pPr>
              <w:jc w:val="center"/>
              <w:rPr>
                <w:rFonts w:cs="Arial"/>
                <w:color w:val="000000" w:themeColor="dark1"/>
                <w:kern w:val="24"/>
              </w:rPr>
            </w:pPr>
            <w:r>
              <w:rPr>
                <w:rFonts w:cs="Arial"/>
                <w:bCs/>
              </w:rPr>
              <w:t>Yes</w:t>
            </w:r>
          </w:p>
        </w:tc>
        <w:tc>
          <w:tcPr>
            <w:tcW w:w="951" w:type="dxa"/>
            <w:vAlign w:val="center"/>
          </w:tcPr>
          <w:p w14:paraId="13C326F3" w14:textId="56BE0EA9" w:rsidR="0066332C" w:rsidRPr="00D55FA1" w:rsidRDefault="00DE7835" w:rsidP="00961037">
            <w:pPr>
              <w:jc w:val="center"/>
              <w:rPr>
                <w:rFonts w:cs="Arial"/>
                <w:color w:val="000000" w:themeColor="dark1"/>
                <w:kern w:val="24"/>
              </w:rPr>
            </w:pPr>
            <w:r>
              <w:rPr>
                <w:rFonts w:cs="Arial"/>
                <w:bCs/>
              </w:rPr>
              <w:t>Yes</w:t>
            </w:r>
          </w:p>
        </w:tc>
        <w:tc>
          <w:tcPr>
            <w:tcW w:w="1007" w:type="dxa"/>
            <w:vAlign w:val="center"/>
          </w:tcPr>
          <w:p w14:paraId="4853B841" w14:textId="1C75776D"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48D091AB" w14:textId="77777777" w:rsidTr="00CD2A6F">
        <w:trPr>
          <w:cantSplit/>
          <w:trHeight w:val="291"/>
        </w:trPr>
        <w:tc>
          <w:tcPr>
            <w:tcW w:w="3170" w:type="dxa"/>
            <w:vAlign w:val="center"/>
            <w:hideMark/>
          </w:tcPr>
          <w:p w14:paraId="30A2C2A4" w14:textId="77777777" w:rsidR="0066332C" w:rsidRPr="00D55FA1" w:rsidRDefault="0066332C" w:rsidP="00961037">
            <w:pPr>
              <w:jc w:val="center"/>
              <w:rPr>
                <w:rFonts w:cs="Arial"/>
              </w:rPr>
            </w:pPr>
            <w:r w:rsidRPr="00D55FA1">
              <w:rPr>
                <w:rFonts w:cs="Arial"/>
                <w:color w:val="000000" w:themeColor="dark1"/>
                <w:kern w:val="24"/>
              </w:rPr>
              <w:t>Grade 11 Target</w:t>
            </w:r>
          </w:p>
        </w:tc>
        <w:tc>
          <w:tcPr>
            <w:tcW w:w="937" w:type="dxa"/>
            <w:vAlign w:val="center"/>
            <w:hideMark/>
          </w:tcPr>
          <w:p w14:paraId="56AF2000" w14:textId="77777777" w:rsidR="0066332C" w:rsidRPr="00D55FA1" w:rsidRDefault="0066332C" w:rsidP="00961037">
            <w:pPr>
              <w:jc w:val="center"/>
              <w:rPr>
                <w:rFonts w:cs="Arial"/>
              </w:rPr>
            </w:pPr>
            <w:r w:rsidRPr="00D55FA1">
              <w:rPr>
                <w:rFonts w:cs="Arial"/>
                <w:color w:val="000000" w:themeColor="dark1"/>
                <w:kern w:val="24"/>
              </w:rPr>
              <w:t>6%</w:t>
            </w:r>
          </w:p>
        </w:tc>
        <w:tc>
          <w:tcPr>
            <w:tcW w:w="1129" w:type="dxa"/>
            <w:vAlign w:val="center"/>
            <w:hideMark/>
          </w:tcPr>
          <w:p w14:paraId="0C539BF9" w14:textId="77777777" w:rsidR="0066332C" w:rsidRPr="00D55FA1" w:rsidRDefault="0066332C" w:rsidP="00961037">
            <w:pPr>
              <w:jc w:val="center"/>
              <w:rPr>
                <w:rFonts w:cs="Arial"/>
              </w:rPr>
            </w:pPr>
            <w:r w:rsidRPr="00D55FA1">
              <w:rPr>
                <w:rFonts w:cs="Arial"/>
                <w:color w:val="000000" w:themeColor="dark1"/>
                <w:kern w:val="24"/>
              </w:rPr>
              <w:t>6%</w:t>
            </w:r>
          </w:p>
        </w:tc>
        <w:tc>
          <w:tcPr>
            <w:tcW w:w="1087" w:type="dxa"/>
            <w:vAlign w:val="center"/>
            <w:hideMark/>
          </w:tcPr>
          <w:p w14:paraId="272831A3" w14:textId="77777777" w:rsidR="0066332C" w:rsidRPr="00D55FA1" w:rsidRDefault="0066332C" w:rsidP="00961037">
            <w:pPr>
              <w:jc w:val="center"/>
              <w:rPr>
                <w:rFonts w:cs="Arial"/>
              </w:rPr>
            </w:pPr>
            <w:r w:rsidRPr="00D55FA1">
              <w:rPr>
                <w:rFonts w:cs="Arial"/>
                <w:color w:val="000000" w:themeColor="dark1"/>
                <w:kern w:val="24"/>
              </w:rPr>
              <w:t>6%</w:t>
            </w:r>
          </w:p>
        </w:tc>
        <w:tc>
          <w:tcPr>
            <w:tcW w:w="1074" w:type="dxa"/>
            <w:vAlign w:val="center"/>
            <w:hideMark/>
          </w:tcPr>
          <w:p w14:paraId="77FD83C2" w14:textId="77777777" w:rsidR="0066332C" w:rsidRPr="00D55FA1" w:rsidRDefault="0066332C" w:rsidP="00961037">
            <w:pPr>
              <w:jc w:val="center"/>
              <w:rPr>
                <w:rFonts w:cs="Arial"/>
              </w:rPr>
            </w:pPr>
            <w:r w:rsidRPr="00D55FA1">
              <w:rPr>
                <w:rFonts w:cs="Arial"/>
                <w:color w:val="000000" w:themeColor="dark1"/>
                <w:kern w:val="24"/>
              </w:rPr>
              <w:t>7%</w:t>
            </w:r>
          </w:p>
        </w:tc>
        <w:tc>
          <w:tcPr>
            <w:tcW w:w="951" w:type="dxa"/>
            <w:vAlign w:val="center"/>
            <w:hideMark/>
          </w:tcPr>
          <w:p w14:paraId="649AAB18" w14:textId="77777777" w:rsidR="0066332C" w:rsidRPr="00D55FA1" w:rsidRDefault="0066332C" w:rsidP="00961037">
            <w:pPr>
              <w:jc w:val="center"/>
              <w:rPr>
                <w:rFonts w:cs="Arial"/>
              </w:rPr>
            </w:pPr>
            <w:r w:rsidRPr="00D55FA1">
              <w:rPr>
                <w:rFonts w:cs="Arial"/>
                <w:color w:val="000000" w:themeColor="dark1"/>
                <w:kern w:val="24"/>
              </w:rPr>
              <w:t>8%</w:t>
            </w:r>
          </w:p>
        </w:tc>
        <w:tc>
          <w:tcPr>
            <w:tcW w:w="1007" w:type="dxa"/>
            <w:vAlign w:val="center"/>
            <w:hideMark/>
          </w:tcPr>
          <w:p w14:paraId="3928C231" w14:textId="645612CC" w:rsidR="0066332C" w:rsidRPr="00D55FA1" w:rsidRDefault="0066332C" w:rsidP="00961037">
            <w:pPr>
              <w:jc w:val="center"/>
              <w:rPr>
                <w:rFonts w:cs="Arial"/>
              </w:rPr>
            </w:pPr>
            <w:r w:rsidRPr="00D55FA1">
              <w:rPr>
                <w:rFonts w:cs="Arial"/>
                <w:color w:val="000000" w:themeColor="dark1"/>
                <w:kern w:val="24"/>
              </w:rPr>
              <w:t>11%</w:t>
            </w:r>
          </w:p>
        </w:tc>
      </w:tr>
      <w:tr w:rsidR="0066332C" w:rsidRPr="00D55FA1" w14:paraId="6CC9AE4C" w14:textId="77777777" w:rsidTr="00CD2A6F">
        <w:trPr>
          <w:cantSplit/>
          <w:trHeight w:val="291"/>
        </w:trPr>
        <w:tc>
          <w:tcPr>
            <w:tcW w:w="3170" w:type="dxa"/>
            <w:vAlign w:val="center"/>
          </w:tcPr>
          <w:p w14:paraId="497681FE"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lastRenderedPageBreak/>
              <w:t>Grade 11 Result</w:t>
            </w:r>
          </w:p>
        </w:tc>
        <w:tc>
          <w:tcPr>
            <w:tcW w:w="937" w:type="dxa"/>
            <w:vAlign w:val="center"/>
          </w:tcPr>
          <w:p w14:paraId="15FF3A0F"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11%</w:t>
            </w:r>
          </w:p>
        </w:tc>
        <w:tc>
          <w:tcPr>
            <w:tcW w:w="1129" w:type="dxa"/>
            <w:vAlign w:val="center"/>
          </w:tcPr>
          <w:p w14:paraId="50125231" w14:textId="5F2B1689" w:rsidR="0066332C" w:rsidRPr="00D55FA1" w:rsidRDefault="0066332C" w:rsidP="00961037">
            <w:pPr>
              <w:jc w:val="center"/>
              <w:rPr>
                <w:rFonts w:cs="Arial"/>
                <w:color w:val="000000" w:themeColor="dark1"/>
                <w:kern w:val="24"/>
              </w:rPr>
            </w:pPr>
            <w:r w:rsidRPr="00D55FA1">
              <w:rPr>
                <w:rFonts w:cs="Arial"/>
                <w:color w:val="000000" w:themeColor="dark1"/>
                <w:kern w:val="24"/>
              </w:rPr>
              <w:t>10.78%</w:t>
            </w:r>
          </w:p>
        </w:tc>
        <w:tc>
          <w:tcPr>
            <w:tcW w:w="1087" w:type="dxa"/>
            <w:vAlign w:val="center"/>
          </w:tcPr>
          <w:p w14:paraId="5A25747A" w14:textId="1DE64F5E" w:rsidR="0066332C" w:rsidRPr="00D55FA1" w:rsidRDefault="0083171F" w:rsidP="00961037">
            <w:pPr>
              <w:jc w:val="center"/>
              <w:rPr>
                <w:rFonts w:cs="Arial"/>
                <w:color w:val="000000" w:themeColor="dark1"/>
                <w:kern w:val="24"/>
              </w:rPr>
            </w:pPr>
            <w:r w:rsidRPr="00D55FA1">
              <w:rPr>
                <w:rFonts w:cs="Arial"/>
                <w:color w:val="000000" w:themeColor="dark1"/>
                <w:kern w:val="24"/>
              </w:rPr>
              <w:t>9.63%</w:t>
            </w:r>
          </w:p>
        </w:tc>
        <w:tc>
          <w:tcPr>
            <w:tcW w:w="1074" w:type="dxa"/>
            <w:vAlign w:val="center"/>
          </w:tcPr>
          <w:p w14:paraId="09B8D95D" w14:textId="0D884716" w:rsidR="0066332C" w:rsidRPr="00D55FA1" w:rsidRDefault="006D5CAD" w:rsidP="00961037">
            <w:pPr>
              <w:jc w:val="center"/>
              <w:rPr>
                <w:rFonts w:cs="Arial"/>
                <w:color w:val="000000" w:themeColor="dark1"/>
                <w:kern w:val="24"/>
              </w:rPr>
            </w:pPr>
            <w:r>
              <w:rPr>
                <w:rFonts w:cs="Arial"/>
                <w:bCs/>
              </w:rPr>
              <w:t>11.86%</w:t>
            </w:r>
          </w:p>
        </w:tc>
        <w:tc>
          <w:tcPr>
            <w:tcW w:w="951" w:type="dxa"/>
            <w:vAlign w:val="center"/>
          </w:tcPr>
          <w:p w14:paraId="78BEFD2A" w14:textId="0D2B2A9F" w:rsidR="0066332C" w:rsidRPr="00D55FA1" w:rsidRDefault="00DE7835" w:rsidP="00961037">
            <w:pPr>
              <w:jc w:val="center"/>
              <w:rPr>
                <w:rFonts w:cs="Arial"/>
                <w:color w:val="000000" w:themeColor="dark1"/>
                <w:kern w:val="24"/>
              </w:rPr>
            </w:pPr>
            <w:r>
              <w:rPr>
                <w:rFonts w:cs="Arial"/>
                <w:bCs/>
              </w:rPr>
              <w:t>10.04%</w:t>
            </w:r>
          </w:p>
        </w:tc>
        <w:tc>
          <w:tcPr>
            <w:tcW w:w="1007" w:type="dxa"/>
            <w:vAlign w:val="center"/>
          </w:tcPr>
          <w:p w14:paraId="27A76422" w14:textId="5FE835A8"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0891E498" w14:textId="77777777" w:rsidTr="00CD2A6F">
        <w:trPr>
          <w:cantSplit/>
          <w:trHeight w:val="291"/>
        </w:trPr>
        <w:tc>
          <w:tcPr>
            <w:tcW w:w="3170" w:type="dxa"/>
            <w:vAlign w:val="center"/>
          </w:tcPr>
          <w:p w14:paraId="23AD4DAD"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Target Met</w:t>
            </w:r>
          </w:p>
        </w:tc>
        <w:tc>
          <w:tcPr>
            <w:tcW w:w="937" w:type="dxa"/>
            <w:vAlign w:val="center"/>
          </w:tcPr>
          <w:p w14:paraId="3CCE069B"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129" w:type="dxa"/>
            <w:vAlign w:val="center"/>
          </w:tcPr>
          <w:p w14:paraId="49206A88" w14:textId="154D05B1"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087" w:type="dxa"/>
            <w:vAlign w:val="center"/>
          </w:tcPr>
          <w:p w14:paraId="67B7A70C" w14:textId="46A80C2A"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74" w:type="dxa"/>
            <w:vAlign w:val="center"/>
          </w:tcPr>
          <w:p w14:paraId="71887C79" w14:textId="401BCB5E" w:rsidR="0066332C" w:rsidRPr="00D55FA1" w:rsidRDefault="006D5CAD" w:rsidP="00961037">
            <w:pPr>
              <w:jc w:val="center"/>
              <w:rPr>
                <w:rFonts w:cs="Arial"/>
                <w:color w:val="000000" w:themeColor="dark1"/>
                <w:kern w:val="24"/>
              </w:rPr>
            </w:pPr>
            <w:r>
              <w:rPr>
                <w:rFonts w:cs="Arial"/>
                <w:bCs/>
              </w:rPr>
              <w:t>Yes</w:t>
            </w:r>
          </w:p>
        </w:tc>
        <w:tc>
          <w:tcPr>
            <w:tcW w:w="951" w:type="dxa"/>
            <w:vAlign w:val="center"/>
          </w:tcPr>
          <w:p w14:paraId="3B7FD67C" w14:textId="4496840E" w:rsidR="0066332C" w:rsidRPr="00D55FA1" w:rsidRDefault="00DE7835" w:rsidP="00961037">
            <w:pPr>
              <w:jc w:val="center"/>
              <w:rPr>
                <w:rFonts w:cs="Arial"/>
                <w:color w:val="000000" w:themeColor="dark1"/>
                <w:kern w:val="24"/>
              </w:rPr>
            </w:pPr>
            <w:r>
              <w:rPr>
                <w:rFonts w:cs="Arial"/>
                <w:bCs/>
              </w:rPr>
              <w:t>Yes</w:t>
            </w:r>
          </w:p>
        </w:tc>
        <w:tc>
          <w:tcPr>
            <w:tcW w:w="1007" w:type="dxa"/>
            <w:vAlign w:val="center"/>
          </w:tcPr>
          <w:p w14:paraId="38D6B9B6" w14:textId="7EBEED63" w:rsidR="0066332C" w:rsidRPr="00D55FA1" w:rsidRDefault="00DF008C" w:rsidP="00961037">
            <w:pPr>
              <w:jc w:val="center"/>
              <w:rPr>
                <w:rFonts w:cs="Arial"/>
                <w:color w:val="000000" w:themeColor="dark1"/>
                <w:kern w:val="24"/>
              </w:rPr>
            </w:pPr>
            <w:r w:rsidRPr="00D55FA1">
              <w:rPr>
                <w:rFonts w:cs="Arial"/>
                <w:bCs/>
              </w:rPr>
              <w:t>-</w:t>
            </w:r>
          </w:p>
        </w:tc>
      </w:tr>
    </w:tbl>
    <w:p w14:paraId="22F860BB" w14:textId="77777777" w:rsidR="00EB1E42" w:rsidRPr="00D55FA1" w:rsidRDefault="00EB1E42" w:rsidP="00EB1E42"/>
    <w:tbl>
      <w:tblPr>
        <w:tblStyle w:val="TableGrid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Indicator 3D ELA targets and results"/>
      </w:tblPr>
      <w:tblGrid>
        <w:gridCol w:w="3147"/>
        <w:gridCol w:w="899"/>
        <w:gridCol w:w="1126"/>
        <w:gridCol w:w="1086"/>
        <w:gridCol w:w="1073"/>
        <w:gridCol w:w="1030"/>
        <w:gridCol w:w="994"/>
      </w:tblGrid>
      <w:tr w:rsidR="0066332C" w:rsidRPr="00D55FA1" w14:paraId="4AC6EAE3" w14:textId="77777777" w:rsidTr="00CD2A6F">
        <w:trPr>
          <w:cantSplit/>
          <w:trHeight w:val="300"/>
          <w:tblHeader/>
        </w:trPr>
        <w:tc>
          <w:tcPr>
            <w:tcW w:w="3206" w:type="dxa"/>
            <w:vAlign w:val="center"/>
            <w:hideMark/>
          </w:tcPr>
          <w:p w14:paraId="40D31EF2" w14:textId="77777777" w:rsidR="0066332C" w:rsidRPr="00D55FA1" w:rsidRDefault="0066332C" w:rsidP="00961037">
            <w:pPr>
              <w:jc w:val="center"/>
              <w:rPr>
                <w:rFonts w:cs="Arial"/>
                <w:b/>
              </w:rPr>
            </w:pPr>
            <w:r w:rsidRPr="00D55FA1">
              <w:rPr>
                <w:rFonts w:cs="Arial"/>
                <w:b/>
              </w:rPr>
              <w:t>Indicator 3d ELA</w:t>
            </w:r>
          </w:p>
        </w:tc>
        <w:tc>
          <w:tcPr>
            <w:tcW w:w="904" w:type="dxa"/>
            <w:vAlign w:val="center"/>
            <w:hideMark/>
          </w:tcPr>
          <w:p w14:paraId="69044F9D" w14:textId="77777777" w:rsidR="0066332C" w:rsidRPr="00D55FA1" w:rsidRDefault="0066332C" w:rsidP="00961037">
            <w:pPr>
              <w:jc w:val="center"/>
              <w:rPr>
                <w:rFonts w:cs="Arial"/>
              </w:rPr>
            </w:pPr>
            <w:r w:rsidRPr="00D55FA1">
              <w:rPr>
                <w:rFonts w:cs="Arial"/>
                <w:b/>
                <w:bCs/>
                <w:kern w:val="24"/>
              </w:rPr>
              <w:t>2020</w:t>
            </w:r>
          </w:p>
        </w:tc>
        <w:tc>
          <w:tcPr>
            <w:tcW w:w="1129" w:type="dxa"/>
            <w:vAlign w:val="center"/>
            <w:hideMark/>
          </w:tcPr>
          <w:p w14:paraId="62DDAFF6" w14:textId="77777777" w:rsidR="0066332C" w:rsidRPr="00D55FA1" w:rsidRDefault="0066332C" w:rsidP="00961037">
            <w:pPr>
              <w:jc w:val="center"/>
              <w:rPr>
                <w:rFonts w:cs="Arial"/>
              </w:rPr>
            </w:pPr>
            <w:r w:rsidRPr="00D55FA1">
              <w:rPr>
                <w:rFonts w:cs="Arial"/>
                <w:b/>
                <w:bCs/>
                <w:kern w:val="24"/>
              </w:rPr>
              <w:t>2021</w:t>
            </w:r>
          </w:p>
        </w:tc>
        <w:tc>
          <w:tcPr>
            <w:tcW w:w="1088" w:type="dxa"/>
            <w:vAlign w:val="center"/>
            <w:hideMark/>
          </w:tcPr>
          <w:p w14:paraId="23B3A032" w14:textId="77777777" w:rsidR="0066332C" w:rsidRPr="00D55FA1" w:rsidRDefault="0066332C" w:rsidP="00961037">
            <w:pPr>
              <w:jc w:val="center"/>
              <w:rPr>
                <w:rFonts w:cs="Arial"/>
              </w:rPr>
            </w:pPr>
            <w:r w:rsidRPr="00D55FA1">
              <w:rPr>
                <w:rFonts w:cs="Arial"/>
                <w:b/>
                <w:bCs/>
                <w:kern w:val="24"/>
              </w:rPr>
              <w:t>2022</w:t>
            </w:r>
          </w:p>
        </w:tc>
        <w:tc>
          <w:tcPr>
            <w:tcW w:w="1074" w:type="dxa"/>
            <w:vAlign w:val="center"/>
            <w:hideMark/>
          </w:tcPr>
          <w:p w14:paraId="21D5FB87" w14:textId="77777777" w:rsidR="0066332C" w:rsidRPr="00D55FA1" w:rsidRDefault="0066332C" w:rsidP="00961037">
            <w:pPr>
              <w:jc w:val="center"/>
              <w:rPr>
                <w:rFonts w:cs="Arial"/>
              </w:rPr>
            </w:pPr>
            <w:r w:rsidRPr="00D55FA1">
              <w:rPr>
                <w:rFonts w:cs="Arial"/>
                <w:b/>
                <w:bCs/>
                <w:kern w:val="24"/>
              </w:rPr>
              <w:t>2023</w:t>
            </w:r>
          </w:p>
        </w:tc>
        <w:tc>
          <w:tcPr>
            <w:tcW w:w="952" w:type="dxa"/>
            <w:vAlign w:val="center"/>
            <w:hideMark/>
          </w:tcPr>
          <w:p w14:paraId="378F7546" w14:textId="77777777" w:rsidR="0066332C" w:rsidRPr="00D55FA1" w:rsidRDefault="0066332C" w:rsidP="00961037">
            <w:pPr>
              <w:jc w:val="center"/>
              <w:rPr>
                <w:rFonts w:cs="Arial"/>
              </w:rPr>
            </w:pPr>
            <w:r w:rsidRPr="00D55FA1">
              <w:rPr>
                <w:rFonts w:cs="Arial"/>
                <w:b/>
                <w:bCs/>
                <w:kern w:val="24"/>
              </w:rPr>
              <w:t>2024</w:t>
            </w:r>
          </w:p>
        </w:tc>
        <w:tc>
          <w:tcPr>
            <w:tcW w:w="1002" w:type="dxa"/>
            <w:vAlign w:val="center"/>
            <w:hideMark/>
          </w:tcPr>
          <w:p w14:paraId="5F039129" w14:textId="77777777" w:rsidR="0066332C" w:rsidRPr="00D55FA1" w:rsidRDefault="0066332C" w:rsidP="00961037">
            <w:pPr>
              <w:jc w:val="center"/>
              <w:rPr>
                <w:rFonts w:cs="Arial"/>
              </w:rPr>
            </w:pPr>
            <w:r w:rsidRPr="00D55FA1">
              <w:rPr>
                <w:rFonts w:cs="Arial"/>
                <w:b/>
                <w:bCs/>
                <w:kern w:val="24"/>
              </w:rPr>
              <w:t>2025</w:t>
            </w:r>
          </w:p>
        </w:tc>
      </w:tr>
      <w:tr w:rsidR="0066332C" w:rsidRPr="00D55FA1" w14:paraId="02F7D5EF" w14:textId="77777777" w:rsidTr="00CD2A6F">
        <w:trPr>
          <w:cantSplit/>
          <w:trHeight w:val="300"/>
        </w:trPr>
        <w:tc>
          <w:tcPr>
            <w:tcW w:w="3206" w:type="dxa"/>
            <w:vAlign w:val="center"/>
            <w:hideMark/>
          </w:tcPr>
          <w:p w14:paraId="268586DF" w14:textId="77777777" w:rsidR="0066332C" w:rsidRPr="00D55FA1" w:rsidRDefault="0066332C" w:rsidP="00961037">
            <w:pPr>
              <w:jc w:val="center"/>
              <w:rPr>
                <w:rFonts w:cs="Arial"/>
              </w:rPr>
            </w:pPr>
            <w:r w:rsidRPr="00D55FA1">
              <w:rPr>
                <w:rFonts w:cs="Arial"/>
                <w:color w:val="000000" w:themeColor="dark1"/>
                <w:kern w:val="24"/>
              </w:rPr>
              <w:t>Grade 4 Target</w:t>
            </w:r>
          </w:p>
        </w:tc>
        <w:tc>
          <w:tcPr>
            <w:tcW w:w="904" w:type="dxa"/>
            <w:vAlign w:val="center"/>
            <w:hideMark/>
          </w:tcPr>
          <w:p w14:paraId="4BB8702E" w14:textId="77777777" w:rsidR="0066332C" w:rsidRPr="00D55FA1" w:rsidRDefault="0066332C" w:rsidP="00961037">
            <w:pPr>
              <w:jc w:val="center"/>
              <w:rPr>
                <w:rFonts w:cs="Arial"/>
              </w:rPr>
            </w:pPr>
            <w:r w:rsidRPr="00D55FA1">
              <w:rPr>
                <w:rFonts w:cs="Arial"/>
                <w:color w:val="000000" w:themeColor="dark1"/>
                <w:kern w:val="24"/>
              </w:rPr>
              <w:t>31%</w:t>
            </w:r>
          </w:p>
        </w:tc>
        <w:tc>
          <w:tcPr>
            <w:tcW w:w="1129" w:type="dxa"/>
            <w:vAlign w:val="center"/>
            <w:hideMark/>
          </w:tcPr>
          <w:p w14:paraId="72EF9CC1" w14:textId="77777777" w:rsidR="0066332C" w:rsidRPr="00D55FA1" w:rsidRDefault="0066332C" w:rsidP="00961037">
            <w:pPr>
              <w:jc w:val="center"/>
              <w:rPr>
                <w:rFonts w:cs="Arial"/>
              </w:rPr>
            </w:pPr>
            <w:r w:rsidRPr="00D55FA1">
              <w:rPr>
                <w:rFonts w:cs="Arial"/>
                <w:color w:val="000000" w:themeColor="dark1"/>
                <w:kern w:val="24"/>
              </w:rPr>
              <w:t>31%</w:t>
            </w:r>
          </w:p>
        </w:tc>
        <w:tc>
          <w:tcPr>
            <w:tcW w:w="1088" w:type="dxa"/>
            <w:vAlign w:val="center"/>
            <w:hideMark/>
          </w:tcPr>
          <w:p w14:paraId="50B52723" w14:textId="77777777" w:rsidR="0066332C" w:rsidRPr="00D55FA1" w:rsidRDefault="0066332C" w:rsidP="00961037">
            <w:pPr>
              <w:jc w:val="center"/>
              <w:rPr>
                <w:rFonts w:cs="Arial"/>
              </w:rPr>
            </w:pPr>
            <w:r w:rsidRPr="00D55FA1">
              <w:rPr>
                <w:rFonts w:cs="Arial"/>
                <w:color w:val="000000" w:themeColor="dark1"/>
                <w:kern w:val="24"/>
              </w:rPr>
              <w:t>31%</w:t>
            </w:r>
          </w:p>
        </w:tc>
        <w:tc>
          <w:tcPr>
            <w:tcW w:w="1074" w:type="dxa"/>
            <w:vAlign w:val="center"/>
            <w:hideMark/>
          </w:tcPr>
          <w:p w14:paraId="498DFBC8" w14:textId="77777777" w:rsidR="0066332C" w:rsidRPr="00D55FA1" w:rsidRDefault="0066332C" w:rsidP="00961037">
            <w:pPr>
              <w:jc w:val="center"/>
              <w:rPr>
                <w:rFonts w:cs="Arial"/>
              </w:rPr>
            </w:pPr>
            <w:r w:rsidRPr="00D55FA1">
              <w:rPr>
                <w:rFonts w:cs="Arial"/>
                <w:color w:val="000000" w:themeColor="dark1"/>
                <w:kern w:val="24"/>
              </w:rPr>
              <w:t>30%</w:t>
            </w:r>
          </w:p>
        </w:tc>
        <w:tc>
          <w:tcPr>
            <w:tcW w:w="952" w:type="dxa"/>
            <w:vAlign w:val="center"/>
            <w:hideMark/>
          </w:tcPr>
          <w:p w14:paraId="4A59C0CC" w14:textId="77777777" w:rsidR="0066332C" w:rsidRPr="00D55FA1" w:rsidRDefault="0066332C" w:rsidP="00961037">
            <w:pPr>
              <w:jc w:val="center"/>
              <w:rPr>
                <w:rFonts w:cs="Arial"/>
              </w:rPr>
            </w:pPr>
            <w:r w:rsidRPr="00D55FA1">
              <w:rPr>
                <w:rFonts w:cs="Arial"/>
                <w:color w:val="000000" w:themeColor="dark1"/>
                <w:kern w:val="24"/>
              </w:rPr>
              <w:t>29%</w:t>
            </w:r>
          </w:p>
        </w:tc>
        <w:tc>
          <w:tcPr>
            <w:tcW w:w="1002" w:type="dxa"/>
            <w:vAlign w:val="center"/>
            <w:hideMark/>
          </w:tcPr>
          <w:p w14:paraId="4AF49237" w14:textId="06847560" w:rsidR="0066332C" w:rsidRPr="00D55FA1" w:rsidRDefault="0066332C" w:rsidP="00961037">
            <w:pPr>
              <w:jc w:val="center"/>
              <w:rPr>
                <w:rFonts w:cs="Arial"/>
              </w:rPr>
            </w:pPr>
            <w:r w:rsidRPr="00D55FA1">
              <w:rPr>
                <w:rFonts w:cs="Arial"/>
                <w:color w:val="000000" w:themeColor="dark1"/>
                <w:kern w:val="24"/>
              </w:rPr>
              <w:t>23%</w:t>
            </w:r>
          </w:p>
        </w:tc>
      </w:tr>
      <w:tr w:rsidR="0066332C" w:rsidRPr="00D55FA1" w14:paraId="19BE1022" w14:textId="77777777" w:rsidTr="00CD2A6F">
        <w:trPr>
          <w:cantSplit/>
          <w:trHeight w:val="300"/>
        </w:trPr>
        <w:tc>
          <w:tcPr>
            <w:tcW w:w="3206" w:type="dxa"/>
            <w:vAlign w:val="center"/>
          </w:tcPr>
          <w:p w14:paraId="63DA3F74"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Result</w:t>
            </w:r>
          </w:p>
        </w:tc>
        <w:tc>
          <w:tcPr>
            <w:tcW w:w="904" w:type="dxa"/>
            <w:vAlign w:val="center"/>
          </w:tcPr>
          <w:p w14:paraId="77D88F52"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24%</w:t>
            </w:r>
          </w:p>
        </w:tc>
        <w:tc>
          <w:tcPr>
            <w:tcW w:w="1129" w:type="dxa"/>
            <w:vAlign w:val="center"/>
          </w:tcPr>
          <w:p w14:paraId="698536F5" w14:textId="48E306F1" w:rsidR="0066332C" w:rsidRPr="00D55FA1" w:rsidRDefault="0066332C" w:rsidP="00961037">
            <w:pPr>
              <w:jc w:val="center"/>
              <w:rPr>
                <w:rFonts w:cs="Arial"/>
                <w:color w:val="000000" w:themeColor="dark1"/>
                <w:kern w:val="24"/>
              </w:rPr>
            </w:pPr>
            <w:r w:rsidRPr="00D55FA1">
              <w:rPr>
                <w:rFonts w:cs="Arial"/>
                <w:color w:val="000000" w:themeColor="dark1"/>
                <w:kern w:val="24"/>
              </w:rPr>
              <w:t>24.96%</w:t>
            </w:r>
          </w:p>
        </w:tc>
        <w:tc>
          <w:tcPr>
            <w:tcW w:w="1088" w:type="dxa"/>
            <w:vAlign w:val="center"/>
          </w:tcPr>
          <w:p w14:paraId="7BC1BAF2" w14:textId="7BAC7CD5" w:rsidR="0066332C" w:rsidRPr="00D55FA1" w:rsidRDefault="0083171F" w:rsidP="00961037">
            <w:pPr>
              <w:jc w:val="center"/>
              <w:rPr>
                <w:rFonts w:cs="Arial"/>
                <w:color w:val="000000" w:themeColor="dark1"/>
                <w:kern w:val="24"/>
              </w:rPr>
            </w:pPr>
            <w:r w:rsidRPr="00D55FA1">
              <w:rPr>
                <w:rFonts w:cs="Arial"/>
                <w:color w:val="000000" w:themeColor="dark1"/>
                <w:kern w:val="24"/>
              </w:rPr>
              <w:t>25.07%</w:t>
            </w:r>
          </w:p>
        </w:tc>
        <w:tc>
          <w:tcPr>
            <w:tcW w:w="1074" w:type="dxa"/>
            <w:vAlign w:val="center"/>
          </w:tcPr>
          <w:p w14:paraId="61C988F9" w14:textId="0555ADB8" w:rsidR="0066332C" w:rsidRPr="00D55FA1" w:rsidRDefault="00B064F7" w:rsidP="00961037">
            <w:pPr>
              <w:jc w:val="center"/>
              <w:rPr>
                <w:rFonts w:cs="Arial"/>
                <w:color w:val="000000" w:themeColor="dark1"/>
                <w:kern w:val="24"/>
              </w:rPr>
            </w:pPr>
            <w:r>
              <w:rPr>
                <w:rFonts w:cs="Arial"/>
                <w:bCs/>
              </w:rPr>
              <w:t>25.29%</w:t>
            </w:r>
          </w:p>
        </w:tc>
        <w:tc>
          <w:tcPr>
            <w:tcW w:w="952" w:type="dxa"/>
            <w:vAlign w:val="center"/>
          </w:tcPr>
          <w:p w14:paraId="3B22BB7D" w14:textId="36EA85F5" w:rsidR="0066332C" w:rsidRPr="00D55FA1" w:rsidRDefault="00DE7835" w:rsidP="00961037">
            <w:pPr>
              <w:jc w:val="center"/>
              <w:rPr>
                <w:rFonts w:cs="Arial"/>
                <w:color w:val="000000" w:themeColor="dark1"/>
                <w:kern w:val="24"/>
              </w:rPr>
            </w:pPr>
            <w:r>
              <w:rPr>
                <w:rFonts w:cs="Arial"/>
                <w:bCs/>
              </w:rPr>
              <w:t>25.62%</w:t>
            </w:r>
          </w:p>
        </w:tc>
        <w:tc>
          <w:tcPr>
            <w:tcW w:w="1002" w:type="dxa"/>
            <w:vAlign w:val="center"/>
          </w:tcPr>
          <w:p w14:paraId="17B246DD" w14:textId="353FC957"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6A4004D4" w14:textId="77777777" w:rsidTr="00CD2A6F">
        <w:trPr>
          <w:cantSplit/>
          <w:trHeight w:val="300"/>
        </w:trPr>
        <w:tc>
          <w:tcPr>
            <w:tcW w:w="3206" w:type="dxa"/>
            <w:vAlign w:val="center"/>
          </w:tcPr>
          <w:p w14:paraId="63D4120D"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Target Met</w:t>
            </w:r>
          </w:p>
        </w:tc>
        <w:tc>
          <w:tcPr>
            <w:tcW w:w="904" w:type="dxa"/>
            <w:vAlign w:val="center"/>
          </w:tcPr>
          <w:p w14:paraId="1544D909"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129" w:type="dxa"/>
            <w:vAlign w:val="center"/>
          </w:tcPr>
          <w:p w14:paraId="6BF89DA3" w14:textId="35E8C7FD"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088" w:type="dxa"/>
            <w:vAlign w:val="center"/>
          </w:tcPr>
          <w:p w14:paraId="5C3E0E74" w14:textId="5947E4F0"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74" w:type="dxa"/>
            <w:vAlign w:val="center"/>
          </w:tcPr>
          <w:p w14:paraId="66A1FAB9" w14:textId="42F613C8" w:rsidR="0066332C" w:rsidRPr="00D55FA1" w:rsidRDefault="00B064F7" w:rsidP="00961037">
            <w:pPr>
              <w:jc w:val="center"/>
              <w:rPr>
                <w:rFonts w:cs="Arial"/>
                <w:color w:val="000000" w:themeColor="dark1"/>
                <w:kern w:val="24"/>
              </w:rPr>
            </w:pPr>
            <w:r>
              <w:rPr>
                <w:rFonts w:cs="Arial"/>
                <w:bCs/>
              </w:rPr>
              <w:t>Yes</w:t>
            </w:r>
          </w:p>
        </w:tc>
        <w:tc>
          <w:tcPr>
            <w:tcW w:w="952" w:type="dxa"/>
            <w:vAlign w:val="center"/>
          </w:tcPr>
          <w:p w14:paraId="76BB753C" w14:textId="3BF1232A" w:rsidR="0066332C" w:rsidRPr="00D55FA1" w:rsidRDefault="00DE7835" w:rsidP="00961037">
            <w:pPr>
              <w:jc w:val="center"/>
              <w:rPr>
                <w:rFonts w:cs="Arial"/>
                <w:color w:val="000000" w:themeColor="dark1"/>
                <w:kern w:val="24"/>
              </w:rPr>
            </w:pPr>
            <w:r>
              <w:rPr>
                <w:rFonts w:cs="Arial"/>
                <w:bCs/>
              </w:rPr>
              <w:t>Yes</w:t>
            </w:r>
          </w:p>
        </w:tc>
        <w:tc>
          <w:tcPr>
            <w:tcW w:w="1002" w:type="dxa"/>
            <w:vAlign w:val="center"/>
          </w:tcPr>
          <w:p w14:paraId="513DA1E0" w14:textId="5EA6CA3B"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1016D6DF" w14:textId="77777777" w:rsidTr="00CD2A6F">
        <w:trPr>
          <w:cantSplit/>
          <w:trHeight w:val="300"/>
        </w:trPr>
        <w:tc>
          <w:tcPr>
            <w:tcW w:w="3206" w:type="dxa"/>
            <w:vAlign w:val="center"/>
            <w:hideMark/>
          </w:tcPr>
          <w:p w14:paraId="23FFED64" w14:textId="77777777" w:rsidR="0066332C" w:rsidRPr="00D55FA1" w:rsidRDefault="0066332C" w:rsidP="00961037">
            <w:pPr>
              <w:jc w:val="center"/>
              <w:rPr>
                <w:rFonts w:cs="Arial"/>
              </w:rPr>
            </w:pPr>
            <w:r w:rsidRPr="00D55FA1">
              <w:rPr>
                <w:rFonts w:cs="Arial"/>
                <w:color w:val="000000" w:themeColor="dark1"/>
                <w:kern w:val="24"/>
              </w:rPr>
              <w:t>Grade 8 Target</w:t>
            </w:r>
          </w:p>
        </w:tc>
        <w:tc>
          <w:tcPr>
            <w:tcW w:w="904" w:type="dxa"/>
            <w:vAlign w:val="center"/>
            <w:hideMark/>
          </w:tcPr>
          <w:p w14:paraId="163B86DA" w14:textId="77777777" w:rsidR="0066332C" w:rsidRPr="00D55FA1" w:rsidRDefault="0066332C" w:rsidP="00961037">
            <w:pPr>
              <w:jc w:val="center"/>
              <w:rPr>
                <w:rFonts w:cs="Arial"/>
              </w:rPr>
            </w:pPr>
            <w:r w:rsidRPr="00D55FA1">
              <w:rPr>
                <w:rFonts w:cs="Arial"/>
                <w:color w:val="000000" w:themeColor="dark1"/>
                <w:kern w:val="24"/>
              </w:rPr>
              <w:t>37%</w:t>
            </w:r>
          </w:p>
        </w:tc>
        <w:tc>
          <w:tcPr>
            <w:tcW w:w="1129" w:type="dxa"/>
            <w:vAlign w:val="center"/>
            <w:hideMark/>
          </w:tcPr>
          <w:p w14:paraId="1AC9AE69" w14:textId="77777777" w:rsidR="0066332C" w:rsidRPr="00D55FA1" w:rsidRDefault="0066332C" w:rsidP="00961037">
            <w:pPr>
              <w:jc w:val="center"/>
              <w:rPr>
                <w:rFonts w:cs="Arial"/>
              </w:rPr>
            </w:pPr>
            <w:r w:rsidRPr="00D55FA1">
              <w:rPr>
                <w:rFonts w:cs="Arial"/>
                <w:color w:val="000000" w:themeColor="dark1"/>
                <w:kern w:val="24"/>
              </w:rPr>
              <w:t>37%</w:t>
            </w:r>
          </w:p>
        </w:tc>
        <w:tc>
          <w:tcPr>
            <w:tcW w:w="1088" w:type="dxa"/>
            <w:vAlign w:val="center"/>
            <w:hideMark/>
          </w:tcPr>
          <w:p w14:paraId="2C074218" w14:textId="77777777" w:rsidR="0066332C" w:rsidRPr="00D55FA1" w:rsidRDefault="0066332C" w:rsidP="00961037">
            <w:pPr>
              <w:jc w:val="center"/>
              <w:rPr>
                <w:rFonts w:cs="Arial"/>
              </w:rPr>
            </w:pPr>
            <w:r w:rsidRPr="00D55FA1">
              <w:rPr>
                <w:rFonts w:cs="Arial"/>
                <w:color w:val="000000" w:themeColor="dark1"/>
                <w:kern w:val="24"/>
              </w:rPr>
              <w:t>37%</w:t>
            </w:r>
          </w:p>
        </w:tc>
        <w:tc>
          <w:tcPr>
            <w:tcW w:w="1074" w:type="dxa"/>
            <w:vAlign w:val="center"/>
            <w:hideMark/>
          </w:tcPr>
          <w:p w14:paraId="54C44329" w14:textId="77777777" w:rsidR="0066332C" w:rsidRPr="00D55FA1" w:rsidRDefault="0066332C" w:rsidP="00961037">
            <w:pPr>
              <w:jc w:val="center"/>
              <w:rPr>
                <w:rFonts w:cs="Arial"/>
              </w:rPr>
            </w:pPr>
            <w:r w:rsidRPr="00D55FA1">
              <w:rPr>
                <w:rFonts w:cs="Arial"/>
                <w:color w:val="000000" w:themeColor="dark1"/>
                <w:kern w:val="24"/>
              </w:rPr>
              <w:t>36%</w:t>
            </w:r>
          </w:p>
        </w:tc>
        <w:tc>
          <w:tcPr>
            <w:tcW w:w="952" w:type="dxa"/>
            <w:vAlign w:val="center"/>
            <w:hideMark/>
          </w:tcPr>
          <w:p w14:paraId="328E0D02" w14:textId="77777777" w:rsidR="0066332C" w:rsidRPr="00D55FA1" w:rsidRDefault="0066332C" w:rsidP="00961037">
            <w:pPr>
              <w:jc w:val="center"/>
              <w:rPr>
                <w:rFonts w:cs="Arial"/>
              </w:rPr>
            </w:pPr>
            <w:r w:rsidRPr="00D55FA1">
              <w:rPr>
                <w:rFonts w:cs="Arial"/>
                <w:color w:val="000000" w:themeColor="dark1"/>
                <w:kern w:val="24"/>
              </w:rPr>
              <w:t>35%</w:t>
            </w:r>
          </w:p>
        </w:tc>
        <w:tc>
          <w:tcPr>
            <w:tcW w:w="1002" w:type="dxa"/>
            <w:vAlign w:val="center"/>
            <w:hideMark/>
          </w:tcPr>
          <w:p w14:paraId="52F6B6D8" w14:textId="77777777" w:rsidR="0066332C" w:rsidRPr="00D55FA1" w:rsidRDefault="0066332C" w:rsidP="00961037">
            <w:pPr>
              <w:jc w:val="center"/>
              <w:rPr>
                <w:rFonts w:cs="Arial"/>
              </w:rPr>
            </w:pPr>
            <w:r w:rsidRPr="00D55FA1">
              <w:rPr>
                <w:rFonts w:cs="Arial"/>
                <w:color w:val="000000" w:themeColor="dark1"/>
                <w:kern w:val="24"/>
              </w:rPr>
              <w:t>34%</w:t>
            </w:r>
          </w:p>
        </w:tc>
      </w:tr>
      <w:tr w:rsidR="0066332C" w:rsidRPr="00D55FA1" w14:paraId="61B4A558" w14:textId="77777777" w:rsidTr="00CD2A6F">
        <w:trPr>
          <w:cantSplit/>
          <w:trHeight w:val="300"/>
        </w:trPr>
        <w:tc>
          <w:tcPr>
            <w:tcW w:w="3206" w:type="dxa"/>
            <w:vAlign w:val="center"/>
          </w:tcPr>
          <w:p w14:paraId="4CDD3E0A"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Result</w:t>
            </w:r>
          </w:p>
        </w:tc>
        <w:tc>
          <w:tcPr>
            <w:tcW w:w="904" w:type="dxa"/>
            <w:vAlign w:val="center"/>
          </w:tcPr>
          <w:p w14:paraId="468D25EE"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36%</w:t>
            </w:r>
          </w:p>
        </w:tc>
        <w:tc>
          <w:tcPr>
            <w:tcW w:w="1129" w:type="dxa"/>
            <w:vAlign w:val="center"/>
          </w:tcPr>
          <w:p w14:paraId="75CAC6F5" w14:textId="612F4E23" w:rsidR="0066332C" w:rsidRPr="00D55FA1" w:rsidRDefault="0066332C" w:rsidP="00961037">
            <w:pPr>
              <w:jc w:val="center"/>
              <w:rPr>
                <w:rFonts w:cs="Arial"/>
                <w:color w:val="000000" w:themeColor="dark1"/>
                <w:kern w:val="24"/>
              </w:rPr>
            </w:pPr>
            <w:r w:rsidRPr="00D55FA1">
              <w:rPr>
                <w:rFonts w:cs="Arial"/>
                <w:color w:val="000000" w:themeColor="dark1"/>
                <w:kern w:val="24"/>
              </w:rPr>
              <w:t>33.94%</w:t>
            </w:r>
          </w:p>
        </w:tc>
        <w:tc>
          <w:tcPr>
            <w:tcW w:w="1088" w:type="dxa"/>
            <w:vAlign w:val="center"/>
          </w:tcPr>
          <w:p w14:paraId="66060428" w14:textId="49400E83" w:rsidR="0066332C" w:rsidRPr="00D55FA1" w:rsidRDefault="0083171F" w:rsidP="00961037">
            <w:pPr>
              <w:jc w:val="center"/>
              <w:rPr>
                <w:rFonts w:cs="Arial"/>
                <w:color w:val="000000" w:themeColor="dark1"/>
                <w:kern w:val="24"/>
              </w:rPr>
            </w:pPr>
            <w:r w:rsidRPr="00D55FA1">
              <w:rPr>
                <w:rFonts w:cs="Arial"/>
                <w:color w:val="000000" w:themeColor="dark1"/>
                <w:kern w:val="24"/>
              </w:rPr>
              <w:t>32.99%</w:t>
            </w:r>
          </w:p>
        </w:tc>
        <w:tc>
          <w:tcPr>
            <w:tcW w:w="1074" w:type="dxa"/>
            <w:vAlign w:val="center"/>
          </w:tcPr>
          <w:p w14:paraId="1D0656FE" w14:textId="7561B260" w:rsidR="0066332C" w:rsidRPr="00D55FA1" w:rsidRDefault="00B064F7" w:rsidP="00961037">
            <w:pPr>
              <w:jc w:val="center"/>
              <w:rPr>
                <w:rFonts w:cs="Arial"/>
                <w:color w:val="000000" w:themeColor="dark1"/>
                <w:kern w:val="24"/>
              </w:rPr>
            </w:pPr>
            <w:r>
              <w:rPr>
                <w:rFonts w:cs="Arial"/>
                <w:bCs/>
              </w:rPr>
              <w:t>32.76%</w:t>
            </w:r>
          </w:p>
        </w:tc>
        <w:tc>
          <w:tcPr>
            <w:tcW w:w="952" w:type="dxa"/>
            <w:vAlign w:val="center"/>
          </w:tcPr>
          <w:p w14:paraId="7B37605A" w14:textId="63DBA266" w:rsidR="0066332C" w:rsidRPr="00D55FA1" w:rsidRDefault="00DE7835" w:rsidP="00961037">
            <w:pPr>
              <w:jc w:val="center"/>
              <w:rPr>
                <w:rFonts w:cs="Arial"/>
                <w:color w:val="000000" w:themeColor="dark1"/>
                <w:kern w:val="24"/>
              </w:rPr>
            </w:pPr>
            <w:r>
              <w:rPr>
                <w:rFonts w:cs="Arial"/>
                <w:bCs/>
              </w:rPr>
              <w:t>33.57%</w:t>
            </w:r>
          </w:p>
        </w:tc>
        <w:tc>
          <w:tcPr>
            <w:tcW w:w="1002" w:type="dxa"/>
            <w:vAlign w:val="center"/>
          </w:tcPr>
          <w:p w14:paraId="394798F2" w14:textId="72AD4F7B"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22002FEC" w14:textId="77777777" w:rsidTr="00CD2A6F">
        <w:trPr>
          <w:cantSplit/>
          <w:trHeight w:val="300"/>
        </w:trPr>
        <w:tc>
          <w:tcPr>
            <w:tcW w:w="3206" w:type="dxa"/>
            <w:vAlign w:val="center"/>
          </w:tcPr>
          <w:p w14:paraId="4D2EC133"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8 Target Met</w:t>
            </w:r>
          </w:p>
        </w:tc>
        <w:tc>
          <w:tcPr>
            <w:tcW w:w="904" w:type="dxa"/>
            <w:vAlign w:val="center"/>
          </w:tcPr>
          <w:p w14:paraId="62971FA5"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129" w:type="dxa"/>
            <w:vAlign w:val="center"/>
          </w:tcPr>
          <w:p w14:paraId="3889A505" w14:textId="6E6A2CDF"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088" w:type="dxa"/>
            <w:vAlign w:val="center"/>
          </w:tcPr>
          <w:p w14:paraId="29079D35" w14:textId="7EF41626"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74" w:type="dxa"/>
            <w:vAlign w:val="center"/>
          </w:tcPr>
          <w:p w14:paraId="17686DC7" w14:textId="4004FB18" w:rsidR="0066332C" w:rsidRPr="00D55FA1" w:rsidRDefault="00B064F7" w:rsidP="00961037">
            <w:pPr>
              <w:jc w:val="center"/>
              <w:rPr>
                <w:rFonts w:cs="Arial"/>
                <w:color w:val="000000" w:themeColor="dark1"/>
                <w:kern w:val="24"/>
              </w:rPr>
            </w:pPr>
            <w:r>
              <w:rPr>
                <w:rFonts w:cs="Arial"/>
                <w:bCs/>
              </w:rPr>
              <w:t>Yes</w:t>
            </w:r>
          </w:p>
        </w:tc>
        <w:tc>
          <w:tcPr>
            <w:tcW w:w="952" w:type="dxa"/>
            <w:vAlign w:val="center"/>
          </w:tcPr>
          <w:p w14:paraId="53BD644D" w14:textId="24A1FEDE" w:rsidR="0066332C" w:rsidRPr="00D55FA1" w:rsidRDefault="00DE7835" w:rsidP="00961037">
            <w:pPr>
              <w:jc w:val="center"/>
              <w:rPr>
                <w:rFonts w:cs="Arial"/>
                <w:color w:val="000000" w:themeColor="dark1"/>
                <w:kern w:val="24"/>
              </w:rPr>
            </w:pPr>
            <w:r>
              <w:rPr>
                <w:rFonts w:cs="Arial"/>
                <w:bCs/>
              </w:rPr>
              <w:t>Yes</w:t>
            </w:r>
          </w:p>
        </w:tc>
        <w:tc>
          <w:tcPr>
            <w:tcW w:w="1002" w:type="dxa"/>
            <w:vAlign w:val="center"/>
          </w:tcPr>
          <w:p w14:paraId="1A3FAC43" w14:textId="534C9767"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0B6AB1FA" w14:textId="77777777" w:rsidTr="00CD2A6F">
        <w:trPr>
          <w:cantSplit/>
          <w:trHeight w:val="300"/>
        </w:trPr>
        <w:tc>
          <w:tcPr>
            <w:tcW w:w="3206" w:type="dxa"/>
            <w:vAlign w:val="center"/>
            <w:hideMark/>
          </w:tcPr>
          <w:p w14:paraId="2272305C" w14:textId="77777777" w:rsidR="0066332C" w:rsidRPr="00D55FA1" w:rsidRDefault="0066332C" w:rsidP="00961037">
            <w:pPr>
              <w:jc w:val="center"/>
              <w:rPr>
                <w:rFonts w:cs="Arial"/>
              </w:rPr>
            </w:pPr>
            <w:r w:rsidRPr="00D55FA1">
              <w:rPr>
                <w:rFonts w:cs="Arial"/>
                <w:color w:val="000000" w:themeColor="dark1"/>
                <w:kern w:val="24"/>
              </w:rPr>
              <w:t>Grade 11 Target</w:t>
            </w:r>
          </w:p>
        </w:tc>
        <w:tc>
          <w:tcPr>
            <w:tcW w:w="904" w:type="dxa"/>
            <w:vAlign w:val="center"/>
            <w:hideMark/>
          </w:tcPr>
          <w:p w14:paraId="14D2E442" w14:textId="77777777" w:rsidR="0066332C" w:rsidRPr="00D55FA1" w:rsidRDefault="0066332C" w:rsidP="00961037">
            <w:pPr>
              <w:jc w:val="center"/>
              <w:rPr>
                <w:rFonts w:cs="Arial"/>
              </w:rPr>
            </w:pPr>
            <w:r w:rsidRPr="00D55FA1">
              <w:rPr>
                <w:rFonts w:cs="Arial"/>
                <w:color w:val="000000" w:themeColor="dark1"/>
                <w:kern w:val="24"/>
              </w:rPr>
              <w:t>42%</w:t>
            </w:r>
          </w:p>
        </w:tc>
        <w:tc>
          <w:tcPr>
            <w:tcW w:w="1129" w:type="dxa"/>
            <w:vAlign w:val="center"/>
            <w:hideMark/>
          </w:tcPr>
          <w:p w14:paraId="24D730E1" w14:textId="77777777" w:rsidR="0066332C" w:rsidRPr="00D55FA1" w:rsidRDefault="0066332C" w:rsidP="00961037">
            <w:pPr>
              <w:jc w:val="center"/>
              <w:rPr>
                <w:rFonts w:cs="Arial"/>
              </w:rPr>
            </w:pPr>
            <w:r w:rsidRPr="00D55FA1">
              <w:rPr>
                <w:rFonts w:cs="Arial"/>
                <w:color w:val="000000" w:themeColor="dark1"/>
                <w:kern w:val="24"/>
              </w:rPr>
              <w:t>42%</w:t>
            </w:r>
          </w:p>
        </w:tc>
        <w:tc>
          <w:tcPr>
            <w:tcW w:w="1088" w:type="dxa"/>
            <w:vAlign w:val="center"/>
            <w:hideMark/>
          </w:tcPr>
          <w:p w14:paraId="28EF31C9" w14:textId="77777777" w:rsidR="0066332C" w:rsidRPr="00D55FA1" w:rsidRDefault="0066332C" w:rsidP="00961037">
            <w:pPr>
              <w:jc w:val="center"/>
              <w:rPr>
                <w:rFonts w:cs="Arial"/>
              </w:rPr>
            </w:pPr>
            <w:r w:rsidRPr="00D55FA1">
              <w:rPr>
                <w:rFonts w:cs="Arial"/>
                <w:color w:val="000000" w:themeColor="dark1"/>
                <w:kern w:val="24"/>
              </w:rPr>
              <w:t>42%</w:t>
            </w:r>
          </w:p>
        </w:tc>
        <w:tc>
          <w:tcPr>
            <w:tcW w:w="1074" w:type="dxa"/>
            <w:vAlign w:val="center"/>
            <w:hideMark/>
          </w:tcPr>
          <w:p w14:paraId="56AA8F03" w14:textId="77777777" w:rsidR="0066332C" w:rsidRPr="00D55FA1" w:rsidRDefault="0066332C" w:rsidP="00961037">
            <w:pPr>
              <w:jc w:val="center"/>
              <w:rPr>
                <w:rFonts w:cs="Arial"/>
              </w:rPr>
            </w:pPr>
            <w:r w:rsidRPr="00D55FA1">
              <w:rPr>
                <w:rFonts w:cs="Arial"/>
                <w:color w:val="000000" w:themeColor="dark1"/>
                <w:kern w:val="24"/>
              </w:rPr>
              <w:t>41%</w:t>
            </w:r>
          </w:p>
        </w:tc>
        <w:tc>
          <w:tcPr>
            <w:tcW w:w="952" w:type="dxa"/>
            <w:vAlign w:val="center"/>
            <w:hideMark/>
          </w:tcPr>
          <w:p w14:paraId="7A344C63" w14:textId="77777777" w:rsidR="0066332C" w:rsidRPr="00D55FA1" w:rsidRDefault="0066332C" w:rsidP="00961037">
            <w:pPr>
              <w:jc w:val="center"/>
              <w:rPr>
                <w:rFonts w:cs="Arial"/>
              </w:rPr>
            </w:pPr>
            <w:r w:rsidRPr="00D55FA1">
              <w:rPr>
                <w:rFonts w:cs="Arial"/>
                <w:color w:val="000000" w:themeColor="dark1"/>
                <w:kern w:val="24"/>
              </w:rPr>
              <w:t>40%</w:t>
            </w:r>
          </w:p>
        </w:tc>
        <w:tc>
          <w:tcPr>
            <w:tcW w:w="1002" w:type="dxa"/>
            <w:vAlign w:val="center"/>
            <w:hideMark/>
          </w:tcPr>
          <w:p w14:paraId="7FF28F38" w14:textId="77777777" w:rsidR="0066332C" w:rsidRPr="00D55FA1" w:rsidRDefault="0066332C" w:rsidP="00961037">
            <w:pPr>
              <w:jc w:val="center"/>
              <w:rPr>
                <w:rFonts w:cs="Arial"/>
              </w:rPr>
            </w:pPr>
            <w:r w:rsidRPr="00D55FA1">
              <w:rPr>
                <w:rFonts w:cs="Arial"/>
                <w:color w:val="000000" w:themeColor="dark1"/>
                <w:kern w:val="24"/>
              </w:rPr>
              <w:t>39%</w:t>
            </w:r>
          </w:p>
        </w:tc>
      </w:tr>
      <w:tr w:rsidR="0066332C" w:rsidRPr="00D55FA1" w14:paraId="62C053E7" w14:textId="77777777" w:rsidTr="00CD2A6F">
        <w:trPr>
          <w:cantSplit/>
          <w:trHeight w:val="300"/>
        </w:trPr>
        <w:tc>
          <w:tcPr>
            <w:tcW w:w="3206" w:type="dxa"/>
            <w:vAlign w:val="center"/>
          </w:tcPr>
          <w:p w14:paraId="3C667ADC"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Result</w:t>
            </w:r>
          </w:p>
        </w:tc>
        <w:tc>
          <w:tcPr>
            <w:tcW w:w="904" w:type="dxa"/>
            <w:vAlign w:val="center"/>
          </w:tcPr>
          <w:p w14:paraId="31494826"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42%</w:t>
            </w:r>
          </w:p>
        </w:tc>
        <w:tc>
          <w:tcPr>
            <w:tcW w:w="1129" w:type="dxa"/>
            <w:vAlign w:val="center"/>
          </w:tcPr>
          <w:p w14:paraId="2BBD94B2" w14:textId="0E091D3F" w:rsidR="0066332C" w:rsidRPr="00D55FA1" w:rsidRDefault="0066332C" w:rsidP="00961037">
            <w:pPr>
              <w:jc w:val="center"/>
              <w:rPr>
                <w:rFonts w:cs="Arial"/>
                <w:color w:val="000000" w:themeColor="dark1"/>
                <w:kern w:val="24"/>
              </w:rPr>
            </w:pPr>
            <w:r w:rsidRPr="00D55FA1">
              <w:rPr>
                <w:rFonts w:cs="Arial"/>
                <w:color w:val="000000" w:themeColor="dark1"/>
                <w:kern w:val="24"/>
              </w:rPr>
              <w:t>38.98</w:t>
            </w:r>
          </w:p>
        </w:tc>
        <w:tc>
          <w:tcPr>
            <w:tcW w:w="1088" w:type="dxa"/>
            <w:vAlign w:val="center"/>
          </w:tcPr>
          <w:p w14:paraId="5854DE7F" w14:textId="1192E3E5" w:rsidR="0066332C" w:rsidRPr="00D55FA1" w:rsidRDefault="0083171F" w:rsidP="00961037">
            <w:pPr>
              <w:jc w:val="center"/>
              <w:rPr>
                <w:rFonts w:cs="Arial"/>
                <w:color w:val="000000" w:themeColor="dark1"/>
                <w:kern w:val="24"/>
              </w:rPr>
            </w:pPr>
            <w:r w:rsidRPr="00D55FA1">
              <w:rPr>
                <w:rFonts w:cs="Arial"/>
                <w:color w:val="000000" w:themeColor="dark1"/>
                <w:kern w:val="24"/>
              </w:rPr>
              <w:t>38.20%</w:t>
            </w:r>
          </w:p>
        </w:tc>
        <w:tc>
          <w:tcPr>
            <w:tcW w:w="1074" w:type="dxa"/>
            <w:vAlign w:val="center"/>
          </w:tcPr>
          <w:p w14:paraId="2CA7ADD4" w14:textId="03C60ECF" w:rsidR="0066332C" w:rsidRPr="00D55FA1" w:rsidRDefault="00737DD1" w:rsidP="00961037">
            <w:pPr>
              <w:jc w:val="center"/>
              <w:rPr>
                <w:rFonts w:cs="Arial"/>
                <w:color w:val="000000" w:themeColor="dark1"/>
                <w:kern w:val="24"/>
              </w:rPr>
            </w:pPr>
            <w:r>
              <w:rPr>
                <w:rFonts w:cs="Arial"/>
                <w:bCs/>
              </w:rPr>
              <w:t>38.17%</w:t>
            </w:r>
          </w:p>
        </w:tc>
        <w:tc>
          <w:tcPr>
            <w:tcW w:w="952" w:type="dxa"/>
            <w:vAlign w:val="center"/>
          </w:tcPr>
          <w:p w14:paraId="314EE24A" w14:textId="413E30C3" w:rsidR="0066332C" w:rsidRPr="00D55FA1" w:rsidRDefault="00DE7835" w:rsidP="00961037">
            <w:pPr>
              <w:jc w:val="center"/>
              <w:rPr>
                <w:rFonts w:cs="Arial"/>
                <w:color w:val="000000" w:themeColor="dark1"/>
                <w:kern w:val="24"/>
              </w:rPr>
            </w:pPr>
            <w:r>
              <w:rPr>
                <w:rFonts w:cs="Arial"/>
                <w:bCs/>
              </w:rPr>
              <w:t>38.00%</w:t>
            </w:r>
          </w:p>
        </w:tc>
        <w:tc>
          <w:tcPr>
            <w:tcW w:w="1002" w:type="dxa"/>
            <w:vAlign w:val="center"/>
          </w:tcPr>
          <w:p w14:paraId="76614669" w14:textId="16BF4251"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36330ABA" w14:textId="77777777" w:rsidTr="00CD2A6F">
        <w:trPr>
          <w:cantSplit/>
          <w:trHeight w:val="300"/>
        </w:trPr>
        <w:tc>
          <w:tcPr>
            <w:tcW w:w="3206" w:type="dxa"/>
            <w:vAlign w:val="center"/>
          </w:tcPr>
          <w:p w14:paraId="0F9BFC92"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11 Target Met</w:t>
            </w:r>
          </w:p>
        </w:tc>
        <w:tc>
          <w:tcPr>
            <w:tcW w:w="904" w:type="dxa"/>
            <w:vAlign w:val="center"/>
          </w:tcPr>
          <w:p w14:paraId="4B1238DB"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129" w:type="dxa"/>
            <w:vAlign w:val="center"/>
          </w:tcPr>
          <w:p w14:paraId="57590049" w14:textId="73C552AA"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088" w:type="dxa"/>
            <w:vAlign w:val="center"/>
          </w:tcPr>
          <w:p w14:paraId="0C5B615A" w14:textId="3EE78B0E"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74" w:type="dxa"/>
            <w:vAlign w:val="center"/>
          </w:tcPr>
          <w:p w14:paraId="792F1AA2" w14:textId="5F2020EF" w:rsidR="0066332C" w:rsidRPr="00D55FA1" w:rsidRDefault="00737DD1" w:rsidP="00961037">
            <w:pPr>
              <w:jc w:val="center"/>
              <w:rPr>
                <w:rFonts w:cs="Arial"/>
                <w:color w:val="000000" w:themeColor="dark1"/>
                <w:kern w:val="24"/>
              </w:rPr>
            </w:pPr>
            <w:r>
              <w:rPr>
                <w:rFonts w:cs="Arial"/>
                <w:bCs/>
              </w:rPr>
              <w:t>Yes</w:t>
            </w:r>
          </w:p>
        </w:tc>
        <w:tc>
          <w:tcPr>
            <w:tcW w:w="952" w:type="dxa"/>
            <w:vAlign w:val="center"/>
          </w:tcPr>
          <w:p w14:paraId="1A499DFC" w14:textId="2DDDE6AC" w:rsidR="0066332C" w:rsidRPr="00D55FA1" w:rsidRDefault="00DE7835" w:rsidP="00961037">
            <w:pPr>
              <w:jc w:val="center"/>
              <w:rPr>
                <w:rFonts w:cs="Arial"/>
                <w:color w:val="000000" w:themeColor="dark1"/>
                <w:kern w:val="24"/>
              </w:rPr>
            </w:pPr>
            <w:r>
              <w:rPr>
                <w:rFonts w:cs="Arial"/>
                <w:bCs/>
              </w:rPr>
              <w:t>Yes</w:t>
            </w:r>
          </w:p>
        </w:tc>
        <w:tc>
          <w:tcPr>
            <w:tcW w:w="1002" w:type="dxa"/>
            <w:vAlign w:val="center"/>
          </w:tcPr>
          <w:p w14:paraId="5E7E3C41" w14:textId="0DC0FA5F" w:rsidR="0066332C" w:rsidRPr="00D55FA1" w:rsidRDefault="00DF008C" w:rsidP="00961037">
            <w:pPr>
              <w:jc w:val="center"/>
              <w:rPr>
                <w:rFonts w:cs="Arial"/>
                <w:color w:val="000000" w:themeColor="dark1"/>
                <w:kern w:val="24"/>
              </w:rPr>
            </w:pPr>
            <w:r w:rsidRPr="00D55FA1">
              <w:rPr>
                <w:rFonts w:cs="Arial"/>
                <w:bCs/>
              </w:rPr>
              <w:t>-</w:t>
            </w:r>
          </w:p>
        </w:tc>
      </w:tr>
    </w:tbl>
    <w:p w14:paraId="03F828E4" w14:textId="77777777" w:rsidR="00EB1E42" w:rsidRPr="00D55FA1" w:rsidRDefault="00EB1E42" w:rsidP="00EB1E42"/>
    <w:tbl>
      <w:tblPr>
        <w:tblStyle w:val="TableGrid1"/>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Indicator 3D math targets and results"/>
      </w:tblPr>
      <w:tblGrid>
        <w:gridCol w:w="2995"/>
        <w:gridCol w:w="978"/>
        <w:gridCol w:w="1144"/>
        <w:gridCol w:w="1110"/>
        <w:gridCol w:w="1098"/>
        <w:gridCol w:w="1030"/>
        <w:gridCol w:w="1060"/>
      </w:tblGrid>
      <w:tr w:rsidR="0066332C" w:rsidRPr="00D55FA1" w14:paraId="739DEE3D" w14:textId="77777777" w:rsidTr="00CD2A6F">
        <w:trPr>
          <w:cantSplit/>
          <w:trHeight w:val="305"/>
          <w:tblHeader/>
        </w:trPr>
        <w:tc>
          <w:tcPr>
            <w:tcW w:w="3021" w:type="dxa"/>
            <w:vAlign w:val="center"/>
            <w:hideMark/>
          </w:tcPr>
          <w:p w14:paraId="70E25E32" w14:textId="77777777" w:rsidR="0066332C" w:rsidRPr="00D55FA1" w:rsidRDefault="0066332C" w:rsidP="00961037">
            <w:pPr>
              <w:jc w:val="center"/>
              <w:rPr>
                <w:rFonts w:cs="Arial"/>
                <w:b/>
              </w:rPr>
            </w:pPr>
            <w:r w:rsidRPr="00D55FA1">
              <w:rPr>
                <w:rFonts w:cs="Arial"/>
                <w:b/>
              </w:rPr>
              <w:t>Indicator 3d Math</w:t>
            </w:r>
          </w:p>
        </w:tc>
        <w:tc>
          <w:tcPr>
            <w:tcW w:w="981" w:type="dxa"/>
            <w:vAlign w:val="center"/>
            <w:hideMark/>
          </w:tcPr>
          <w:p w14:paraId="12AFD389" w14:textId="77777777" w:rsidR="0066332C" w:rsidRPr="00D55FA1" w:rsidRDefault="0066332C" w:rsidP="00961037">
            <w:pPr>
              <w:jc w:val="center"/>
              <w:rPr>
                <w:rFonts w:cs="Arial"/>
              </w:rPr>
            </w:pPr>
            <w:r w:rsidRPr="00D55FA1">
              <w:rPr>
                <w:rFonts w:cs="Arial"/>
                <w:b/>
                <w:bCs/>
                <w:kern w:val="24"/>
              </w:rPr>
              <w:t>2020</w:t>
            </w:r>
          </w:p>
        </w:tc>
        <w:tc>
          <w:tcPr>
            <w:tcW w:w="1146" w:type="dxa"/>
            <w:vAlign w:val="center"/>
            <w:hideMark/>
          </w:tcPr>
          <w:p w14:paraId="03E6644A" w14:textId="77777777" w:rsidR="0066332C" w:rsidRPr="00D55FA1" w:rsidRDefault="0066332C" w:rsidP="00961037">
            <w:pPr>
              <w:jc w:val="center"/>
              <w:rPr>
                <w:rFonts w:cs="Arial"/>
              </w:rPr>
            </w:pPr>
            <w:r w:rsidRPr="00D55FA1">
              <w:rPr>
                <w:rFonts w:cs="Arial"/>
                <w:b/>
                <w:bCs/>
                <w:kern w:val="24"/>
              </w:rPr>
              <w:t>2021</w:t>
            </w:r>
          </w:p>
        </w:tc>
        <w:tc>
          <w:tcPr>
            <w:tcW w:w="1111" w:type="dxa"/>
            <w:vAlign w:val="center"/>
            <w:hideMark/>
          </w:tcPr>
          <w:p w14:paraId="3041507C" w14:textId="77777777" w:rsidR="0066332C" w:rsidRPr="00D55FA1" w:rsidRDefault="0066332C" w:rsidP="00961037">
            <w:pPr>
              <w:jc w:val="center"/>
              <w:rPr>
                <w:rFonts w:cs="Arial"/>
              </w:rPr>
            </w:pPr>
            <w:r w:rsidRPr="00D55FA1">
              <w:rPr>
                <w:rFonts w:cs="Arial"/>
                <w:b/>
                <w:bCs/>
                <w:kern w:val="24"/>
              </w:rPr>
              <w:t>2022</w:t>
            </w:r>
          </w:p>
        </w:tc>
        <w:tc>
          <w:tcPr>
            <w:tcW w:w="1099" w:type="dxa"/>
            <w:vAlign w:val="center"/>
            <w:hideMark/>
          </w:tcPr>
          <w:p w14:paraId="4FF3EC85" w14:textId="77777777" w:rsidR="0066332C" w:rsidRPr="00D55FA1" w:rsidRDefault="0066332C" w:rsidP="00961037">
            <w:pPr>
              <w:jc w:val="center"/>
              <w:rPr>
                <w:rFonts w:cs="Arial"/>
              </w:rPr>
            </w:pPr>
            <w:r w:rsidRPr="00D55FA1">
              <w:rPr>
                <w:rFonts w:cs="Arial"/>
                <w:b/>
                <w:bCs/>
                <w:kern w:val="24"/>
              </w:rPr>
              <w:t>2023</w:t>
            </w:r>
          </w:p>
        </w:tc>
        <w:tc>
          <w:tcPr>
            <w:tcW w:w="993" w:type="dxa"/>
            <w:vAlign w:val="center"/>
            <w:hideMark/>
          </w:tcPr>
          <w:p w14:paraId="05689B90" w14:textId="77777777" w:rsidR="0066332C" w:rsidRPr="00D55FA1" w:rsidRDefault="0066332C" w:rsidP="00961037">
            <w:pPr>
              <w:jc w:val="center"/>
              <w:rPr>
                <w:rFonts w:cs="Arial"/>
              </w:rPr>
            </w:pPr>
            <w:r w:rsidRPr="00D55FA1">
              <w:rPr>
                <w:rFonts w:cs="Arial"/>
                <w:b/>
                <w:bCs/>
                <w:kern w:val="24"/>
              </w:rPr>
              <w:t>2024</w:t>
            </w:r>
          </w:p>
        </w:tc>
        <w:tc>
          <w:tcPr>
            <w:tcW w:w="1064" w:type="dxa"/>
            <w:vAlign w:val="center"/>
            <w:hideMark/>
          </w:tcPr>
          <w:p w14:paraId="7DBE2DD7" w14:textId="77777777" w:rsidR="0066332C" w:rsidRPr="00D55FA1" w:rsidRDefault="0066332C" w:rsidP="00961037">
            <w:pPr>
              <w:jc w:val="center"/>
              <w:rPr>
                <w:rFonts w:cs="Arial"/>
              </w:rPr>
            </w:pPr>
            <w:r w:rsidRPr="00D55FA1">
              <w:rPr>
                <w:rFonts w:cs="Arial"/>
                <w:b/>
                <w:bCs/>
                <w:kern w:val="24"/>
              </w:rPr>
              <w:t>2025</w:t>
            </w:r>
          </w:p>
        </w:tc>
      </w:tr>
      <w:tr w:rsidR="0066332C" w:rsidRPr="00D55FA1" w14:paraId="7B40E833" w14:textId="77777777" w:rsidTr="00CD2A6F">
        <w:trPr>
          <w:cantSplit/>
          <w:trHeight w:val="305"/>
        </w:trPr>
        <w:tc>
          <w:tcPr>
            <w:tcW w:w="3021" w:type="dxa"/>
            <w:vAlign w:val="center"/>
            <w:hideMark/>
          </w:tcPr>
          <w:p w14:paraId="7D594A6A" w14:textId="77777777" w:rsidR="0066332C" w:rsidRPr="00D55FA1" w:rsidRDefault="0066332C" w:rsidP="00961037">
            <w:pPr>
              <w:jc w:val="center"/>
              <w:rPr>
                <w:rFonts w:cs="Arial"/>
              </w:rPr>
            </w:pPr>
            <w:r w:rsidRPr="00D55FA1">
              <w:rPr>
                <w:rFonts w:cs="Arial"/>
                <w:color w:val="000000" w:themeColor="dark1"/>
                <w:kern w:val="24"/>
              </w:rPr>
              <w:t>Grade 4 Target</w:t>
            </w:r>
          </w:p>
        </w:tc>
        <w:tc>
          <w:tcPr>
            <w:tcW w:w="981" w:type="dxa"/>
            <w:vAlign w:val="center"/>
            <w:hideMark/>
          </w:tcPr>
          <w:p w14:paraId="4CDC75CA" w14:textId="77777777" w:rsidR="0066332C" w:rsidRPr="00D55FA1" w:rsidRDefault="0066332C" w:rsidP="00961037">
            <w:pPr>
              <w:jc w:val="center"/>
              <w:rPr>
                <w:rFonts w:cs="Arial"/>
              </w:rPr>
            </w:pPr>
            <w:r w:rsidRPr="00D55FA1">
              <w:rPr>
                <w:rFonts w:cs="Arial"/>
                <w:color w:val="000000" w:themeColor="dark1"/>
                <w:kern w:val="24"/>
              </w:rPr>
              <w:t>25%</w:t>
            </w:r>
          </w:p>
        </w:tc>
        <w:tc>
          <w:tcPr>
            <w:tcW w:w="1146" w:type="dxa"/>
            <w:vAlign w:val="center"/>
            <w:hideMark/>
          </w:tcPr>
          <w:p w14:paraId="4137B3FB" w14:textId="77777777" w:rsidR="0066332C" w:rsidRPr="00D55FA1" w:rsidRDefault="0066332C" w:rsidP="00961037">
            <w:pPr>
              <w:jc w:val="center"/>
              <w:rPr>
                <w:rFonts w:cs="Arial"/>
              </w:rPr>
            </w:pPr>
            <w:r w:rsidRPr="00D55FA1">
              <w:rPr>
                <w:rFonts w:cs="Arial"/>
                <w:color w:val="000000" w:themeColor="dark1"/>
                <w:kern w:val="24"/>
              </w:rPr>
              <w:t>25%</w:t>
            </w:r>
          </w:p>
        </w:tc>
        <w:tc>
          <w:tcPr>
            <w:tcW w:w="1111" w:type="dxa"/>
            <w:vAlign w:val="center"/>
            <w:hideMark/>
          </w:tcPr>
          <w:p w14:paraId="24D7D3BE" w14:textId="77777777" w:rsidR="0066332C" w:rsidRPr="00D55FA1" w:rsidRDefault="0066332C" w:rsidP="00961037">
            <w:pPr>
              <w:jc w:val="center"/>
              <w:rPr>
                <w:rFonts w:cs="Arial"/>
              </w:rPr>
            </w:pPr>
            <w:r w:rsidRPr="00D55FA1">
              <w:rPr>
                <w:rFonts w:cs="Arial"/>
                <w:color w:val="000000" w:themeColor="dark1"/>
                <w:kern w:val="24"/>
              </w:rPr>
              <w:t>25%</w:t>
            </w:r>
          </w:p>
        </w:tc>
        <w:tc>
          <w:tcPr>
            <w:tcW w:w="1099" w:type="dxa"/>
            <w:vAlign w:val="center"/>
            <w:hideMark/>
          </w:tcPr>
          <w:p w14:paraId="38392E72" w14:textId="77777777" w:rsidR="0066332C" w:rsidRPr="00D55FA1" w:rsidRDefault="0066332C" w:rsidP="00961037">
            <w:pPr>
              <w:jc w:val="center"/>
              <w:rPr>
                <w:rFonts w:cs="Arial"/>
              </w:rPr>
            </w:pPr>
            <w:r w:rsidRPr="00D55FA1">
              <w:rPr>
                <w:rFonts w:cs="Arial"/>
                <w:color w:val="000000" w:themeColor="dark1"/>
                <w:kern w:val="24"/>
              </w:rPr>
              <w:t>24%</w:t>
            </w:r>
          </w:p>
        </w:tc>
        <w:tc>
          <w:tcPr>
            <w:tcW w:w="993" w:type="dxa"/>
            <w:vAlign w:val="center"/>
            <w:hideMark/>
          </w:tcPr>
          <w:p w14:paraId="4EC71F98" w14:textId="77777777" w:rsidR="0066332C" w:rsidRPr="00D55FA1" w:rsidRDefault="0066332C" w:rsidP="00961037">
            <w:pPr>
              <w:jc w:val="center"/>
              <w:rPr>
                <w:rFonts w:cs="Arial"/>
              </w:rPr>
            </w:pPr>
            <w:r w:rsidRPr="00D55FA1">
              <w:rPr>
                <w:rFonts w:cs="Arial"/>
                <w:color w:val="000000" w:themeColor="dark1"/>
                <w:kern w:val="24"/>
              </w:rPr>
              <w:t>23%</w:t>
            </w:r>
          </w:p>
        </w:tc>
        <w:tc>
          <w:tcPr>
            <w:tcW w:w="1064" w:type="dxa"/>
            <w:vAlign w:val="center"/>
            <w:hideMark/>
          </w:tcPr>
          <w:p w14:paraId="78981D12" w14:textId="0CB1CD9F" w:rsidR="0066332C" w:rsidRPr="00D55FA1" w:rsidRDefault="0066332C" w:rsidP="00961037">
            <w:pPr>
              <w:jc w:val="center"/>
              <w:rPr>
                <w:rFonts w:cs="Arial"/>
              </w:rPr>
            </w:pPr>
            <w:r w:rsidRPr="00D55FA1">
              <w:rPr>
                <w:rFonts w:cs="Arial"/>
                <w:color w:val="000000" w:themeColor="dark1"/>
                <w:kern w:val="24"/>
              </w:rPr>
              <w:t>18%</w:t>
            </w:r>
          </w:p>
        </w:tc>
      </w:tr>
      <w:tr w:rsidR="0066332C" w:rsidRPr="00D55FA1" w14:paraId="44B80CE6" w14:textId="77777777" w:rsidTr="00CD2A6F">
        <w:trPr>
          <w:cantSplit/>
          <w:trHeight w:val="305"/>
        </w:trPr>
        <w:tc>
          <w:tcPr>
            <w:tcW w:w="3021" w:type="dxa"/>
            <w:vAlign w:val="center"/>
          </w:tcPr>
          <w:p w14:paraId="016EBB25"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Result</w:t>
            </w:r>
          </w:p>
        </w:tc>
        <w:tc>
          <w:tcPr>
            <w:tcW w:w="981" w:type="dxa"/>
            <w:vAlign w:val="center"/>
          </w:tcPr>
          <w:p w14:paraId="58232E8A"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19%</w:t>
            </w:r>
          </w:p>
        </w:tc>
        <w:tc>
          <w:tcPr>
            <w:tcW w:w="1146" w:type="dxa"/>
            <w:vAlign w:val="center"/>
          </w:tcPr>
          <w:p w14:paraId="2AC57CB0" w14:textId="7A355908" w:rsidR="0066332C" w:rsidRPr="00D55FA1" w:rsidRDefault="0066332C" w:rsidP="00961037">
            <w:pPr>
              <w:jc w:val="center"/>
              <w:rPr>
                <w:rFonts w:cs="Arial"/>
                <w:color w:val="000000" w:themeColor="dark1"/>
                <w:kern w:val="24"/>
              </w:rPr>
            </w:pPr>
            <w:r w:rsidRPr="00D55FA1">
              <w:rPr>
                <w:rFonts w:cs="Arial"/>
                <w:color w:val="000000" w:themeColor="dark1"/>
                <w:kern w:val="24"/>
              </w:rPr>
              <w:t>20.26%</w:t>
            </w:r>
          </w:p>
        </w:tc>
        <w:tc>
          <w:tcPr>
            <w:tcW w:w="1111" w:type="dxa"/>
            <w:vAlign w:val="center"/>
          </w:tcPr>
          <w:p w14:paraId="5186B13D" w14:textId="335ED963" w:rsidR="0066332C" w:rsidRPr="00D55FA1" w:rsidRDefault="0083171F" w:rsidP="00961037">
            <w:pPr>
              <w:jc w:val="center"/>
              <w:rPr>
                <w:rFonts w:cs="Arial"/>
                <w:color w:val="000000" w:themeColor="dark1"/>
                <w:kern w:val="24"/>
              </w:rPr>
            </w:pPr>
            <w:r w:rsidRPr="00D55FA1">
              <w:rPr>
                <w:rFonts w:cs="Arial"/>
                <w:color w:val="000000" w:themeColor="dark1"/>
                <w:kern w:val="24"/>
              </w:rPr>
              <w:t>21.55%</w:t>
            </w:r>
          </w:p>
        </w:tc>
        <w:tc>
          <w:tcPr>
            <w:tcW w:w="1099" w:type="dxa"/>
            <w:vAlign w:val="center"/>
          </w:tcPr>
          <w:p w14:paraId="6C57C439" w14:textId="6E9C52C1" w:rsidR="0066332C" w:rsidRPr="00D55FA1" w:rsidRDefault="00737DD1" w:rsidP="00961037">
            <w:pPr>
              <w:jc w:val="center"/>
              <w:rPr>
                <w:rFonts w:cs="Arial"/>
                <w:color w:val="000000" w:themeColor="dark1"/>
                <w:kern w:val="24"/>
              </w:rPr>
            </w:pPr>
            <w:r>
              <w:rPr>
                <w:rFonts w:cs="Arial"/>
                <w:bCs/>
              </w:rPr>
              <w:t>22.04%</w:t>
            </w:r>
          </w:p>
        </w:tc>
        <w:tc>
          <w:tcPr>
            <w:tcW w:w="993" w:type="dxa"/>
            <w:vAlign w:val="center"/>
          </w:tcPr>
          <w:p w14:paraId="3D404BC9" w14:textId="7AEE9B20" w:rsidR="0066332C" w:rsidRPr="00D55FA1" w:rsidRDefault="00DE7835" w:rsidP="00961037">
            <w:pPr>
              <w:jc w:val="center"/>
              <w:rPr>
                <w:rFonts w:cs="Arial"/>
                <w:color w:val="000000" w:themeColor="dark1"/>
                <w:kern w:val="24"/>
              </w:rPr>
            </w:pPr>
            <w:r>
              <w:rPr>
                <w:rFonts w:cs="Arial"/>
                <w:bCs/>
              </w:rPr>
              <w:t>22.69%</w:t>
            </w:r>
          </w:p>
        </w:tc>
        <w:tc>
          <w:tcPr>
            <w:tcW w:w="1064" w:type="dxa"/>
            <w:vAlign w:val="center"/>
          </w:tcPr>
          <w:p w14:paraId="61319B8A" w14:textId="42D22C55"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7CF69296" w14:textId="77777777" w:rsidTr="00CD2A6F">
        <w:trPr>
          <w:cantSplit/>
          <w:trHeight w:val="305"/>
        </w:trPr>
        <w:tc>
          <w:tcPr>
            <w:tcW w:w="3021" w:type="dxa"/>
            <w:vAlign w:val="center"/>
          </w:tcPr>
          <w:p w14:paraId="2E31FE5B"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Grade 4 Target Met</w:t>
            </w:r>
          </w:p>
        </w:tc>
        <w:tc>
          <w:tcPr>
            <w:tcW w:w="981" w:type="dxa"/>
            <w:vAlign w:val="center"/>
          </w:tcPr>
          <w:p w14:paraId="68EDF0D5" w14:textId="77777777"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146" w:type="dxa"/>
            <w:vAlign w:val="center"/>
          </w:tcPr>
          <w:p w14:paraId="31A560F4" w14:textId="3537C098" w:rsidR="0066332C" w:rsidRPr="00D55FA1" w:rsidRDefault="0066332C" w:rsidP="00961037">
            <w:pPr>
              <w:jc w:val="center"/>
              <w:rPr>
                <w:rFonts w:cs="Arial"/>
                <w:color w:val="000000" w:themeColor="dark1"/>
                <w:kern w:val="24"/>
              </w:rPr>
            </w:pPr>
            <w:r w:rsidRPr="00D55FA1">
              <w:rPr>
                <w:rFonts w:cs="Arial"/>
                <w:color w:val="000000" w:themeColor="dark1"/>
                <w:kern w:val="24"/>
              </w:rPr>
              <w:t>Yes</w:t>
            </w:r>
          </w:p>
        </w:tc>
        <w:tc>
          <w:tcPr>
            <w:tcW w:w="1111" w:type="dxa"/>
            <w:vAlign w:val="center"/>
          </w:tcPr>
          <w:p w14:paraId="70DF735C" w14:textId="1A35547D" w:rsidR="0066332C" w:rsidRPr="00D55FA1" w:rsidRDefault="0083171F" w:rsidP="00961037">
            <w:pPr>
              <w:jc w:val="center"/>
              <w:rPr>
                <w:rFonts w:cs="Arial"/>
                <w:color w:val="000000" w:themeColor="dark1"/>
                <w:kern w:val="24"/>
              </w:rPr>
            </w:pPr>
            <w:r w:rsidRPr="00D55FA1">
              <w:rPr>
                <w:rFonts w:cs="Arial"/>
                <w:color w:val="000000" w:themeColor="dark1"/>
                <w:kern w:val="24"/>
              </w:rPr>
              <w:t>Yes</w:t>
            </w:r>
          </w:p>
        </w:tc>
        <w:tc>
          <w:tcPr>
            <w:tcW w:w="1099" w:type="dxa"/>
            <w:vAlign w:val="center"/>
          </w:tcPr>
          <w:p w14:paraId="3A413BF6" w14:textId="5563E829" w:rsidR="0066332C" w:rsidRPr="00D55FA1" w:rsidRDefault="00737DD1" w:rsidP="00961037">
            <w:pPr>
              <w:jc w:val="center"/>
              <w:rPr>
                <w:rFonts w:cs="Arial"/>
                <w:color w:val="000000" w:themeColor="dark1"/>
                <w:kern w:val="24"/>
              </w:rPr>
            </w:pPr>
            <w:r>
              <w:rPr>
                <w:rFonts w:cs="Arial"/>
                <w:bCs/>
              </w:rPr>
              <w:t>Yes</w:t>
            </w:r>
          </w:p>
        </w:tc>
        <w:tc>
          <w:tcPr>
            <w:tcW w:w="993" w:type="dxa"/>
            <w:vAlign w:val="center"/>
          </w:tcPr>
          <w:p w14:paraId="33D28B4B" w14:textId="00737CE1" w:rsidR="0066332C" w:rsidRPr="00D55FA1" w:rsidRDefault="00DE7835" w:rsidP="00961037">
            <w:pPr>
              <w:jc w:val="center"/>
              <w:rPr>
                <w:rFonts w:cs="Arial"/>
                <w:color w:val="000000" w:themeColor="dark1"/>
                <w:kern w:val="24"/>
              </w:rPr>
            </w:pPr>
            <w:r>
              <w:rPr>
                <w:rFonts w:cs="Arial"/>
                <w:bCs/>
              </w:rPr>
              <w:t>Yes</w:t>
            </w:r>
          </w:p>
        </w:tc>
        <w:tc>
          <w:tcPr>
            <w:tcW w:w="1064" w:type="dxa"/>
            <w:vAlign w:val="center"/>
          </w:tcPr>
          <w:p w14:paraId="37EFA3E3" w14:textId="16B58D2A" w:rsidR="0066332C" w:rsidRPr="00D55FA1" w:rsidRDefault="00DF008C" w:rsidP="00961037">
            <w:pPr>
              <w:jc w:val="center"/>
              <w:rPr>
                <w:rFonts w:cs="Arial"/>
                <w:color w:val="000000" w:themeColor="dark1"/>
                <w:kern w:val="24"/>
              </w:rPr>
            </w:pPr>
            <w:r w:rsidRPr="00D55FA1">
              <w:rPr>
                <w:rFonts w:cs="Arial"/>
                <w:bCs/>
              </w:rPr>
              <w:t>-</w:t>
            </w:r>
          </w:p>
        </w:tc>
      </w:tr>
      <w:tr w:rsidR="0066332C" w:rsidRPr="00D55FA1" w14:paraId="25C3874B" w14:textId="77777777" w:rsidTr="00CD2A6F">
        <w:trPr>
          <w:cantSplit/>
          <w:trHeight w:val="305"/>
        </w:trPr>
        <w:tc>
          <w:tcPr>
            <w:tcW w:w="3021" w:type="dxa"/>
            <w:vAlign w:val="center"/>
            <w:hideMark/>
          </w:tcPr>
          <w:p w14:paraId="038D600C" w14:textId="77777777" w:rsidR="0066332C" w:rsidRPr="00D55FA1" w:rsidRDefault="0066332C" w:rsidP="00961037">
            <w:pPr>
              <w:jc w:val="center"/>
              <w:rPr>
                <w:rFonts w:cs="Arial"/>
              </w:rPr>
            </w:pPr>
            <w:r w:rsidRPr="00D55FA1">
              <w:rPr>
                <w:rFonts w:cs="Arial"/>
                <w:color w:val="000000" w:themeColor="dark1"/>
                <w:kern w:val="24"/>
              </w:rPr>
              <w:t>Grade 8 Target</w:t>
            </w:r>
          </w:p>
        </w:tc>
        <w:tc>
          <w:tcPr>
            <w:tcW w:w="981" w:type="dxa"/>
            <w:vAlign w:val="center"/>
            <w:hideMark/>
          </w:tcPr>
          <w:p w14:paraId="148E87C3" w14:textId="77777777" w:rsidR="0066332C" w:rsidRPr="00D55FA1" w:rsidRDefault="0066332C" w:rsidP="00961037">
            <w:pPr>
              <w:jc w:val="center"/>
              <w:rPr>
                <w:rFonts w:cs="Arial"/>
              </w:rPr>
            </w:pPr>
            <w:r w:rsidRPr="00D55FA1">
              <w:rPr>
                <w:rFonts w:cs="Arial"/>
                <w:color w:val="000000" w:themeColor="dark1"/>
                <w:kern w:val="24"/>
              </w:rPr>
              <w:t>29%</w:t>
            </w:r>
          </w:p>
        </w:tc>
        <w:tc>
          <w:tcPr>
            <w:tcW w:w="1146" w:type="dxa"/>
            <w:vAlign w:val="center"/>
            <w:hideMark/>
          </w:tcPr>
          <w:p w14:paraId="6A719EEF" w14:textId="77777777" w:rsidR="0066332C" w:rsidRPr="00D55FA1" w:rsidRDefault="0066332C" w:rsidP="00961037">
            <w:pPr>
              <w:jc w:val="center"/>
              <w:rPr>
                <w:rFonts w:cs="Arial"/>
              </w:rPr>
            </w:pPr>
            <w:r w:rsidRPr="00D55FA1">
              <w:rPr>
                <w:rFonts w:cs="Arial"/>
                <w:color w:val="000000" w:themeColor="dark1"/>
                <w:kern w:val="24"/>
              </w:rPr>
              <w:t>29%</w:t>
            </w:r>
          </w:p>
        </w:tc>
        <w:tc>
          <w:tcPr>
            <w:tcW w:w="1111" w:type="dxa"/>
            <w:vAlign w:val="center"/>
            <w:hideMark/>
          </w:tcPr>
          <w:p w14:paraId="2F3D6D63" w14:textId="77777777" w:rsidR="0066332C" w:rsidRPr="00D55FA1" w:rsidRDefault="0066332C" w:rsidP="00961037">
            <w:pPr>
              <w:jc w:val="center"/>
              <w:rPr>
                <w:rFonts w:cs="Arial"/>
              </w:rPr>
            </w:pPr>
            <w:r w:rsidRPr="00D55FA1">
              <w:rPr>
                <w:rFonts w:cs="Arial"/>
                <w:color w:val="000000" w:themeColor="dark1"/>
                <w:kern w:val="24"/>
              </w:rPr>
              <w:t>29%</w:t>
            </w:r>
          </w:p>
        </w:tc>
        <w:tc>
          <w:tcPr>
            <w:tcW w:w="1099" w:type="dxa"/>
            <w:vAlign w:val="center"/>
            <w:hideMark/>
          </w:tcPr>
          <w:p w14:paraId="65A06950" w14:textId="77777777" w:rsidR="0066332C" w:rsidRPr="00D55FA1" w:rsidRDefault="0066332C" w:rsidP="00961037">
            <w:pPr>
              <w:jc w:val="center"/>
              <w:rPr>
                <w:rFonts w:cs="Arial"/>
              </w:rPr>
            </w:pPr>
            <w:r w:rsidRPr="00D55FA1">
              <w:rPr>
                <w:rFonts w:cs="Arial"/>
                <w:color w:val="000000" w:themeColor="dark1"/>
                <w:kern w:val="24"/>
              </w:rPr>
              <w:t>28%</w:t>
            </w:r>
          </w:p>
        </w:tc>
        <w:tc>
          <w:tcPr>
            <w:tcW w:w="993" w:type="dxa"/>
            <w:vAlign w:val="center"/>
            <w:hideMark/>
          </w:tcPr>
          <w:p w14:paraId="383A1B51" w14:textId="77777777" w:rsidR="0066332C" w:rsidRPr="00D55FA1" w:rsidRDefault="0066332C" w:rsidP="00961037">
            <w:pPr>
              <w:jc w:val="center"/>
              <w:rPr>
                <w:rFonts w:cs="Arial"/>
              </w:rPr>
            </w:pPr>
            <w:r w:rsidRPr="00D55FA1">
              <w:rPr>
                <w:rFonts w:cs="Arial"/>
                <w:color w:val="000000" w:themeColor="dark1"/>
                <w:kern w:val="24"/>
              </w:rPr>
              <w:t>27%</w:t>
            </w:r>
          </w:p>
        </w:tc>
        <w:tc>
          <w:tcPr>
            <w:tcW w:w="1064" w:type="dxa"/>
            <w:vAlign w:val="center"/>
            <w:hideMark/>
          </w:tcPr>
          <w:p w14:paraId="5D8ECBF0" w14:textId="154913F4" w:rsidR="0066332C" w:rsidRPr="00D55FA1" w:rsidRDefault="0066332C" w:rsidP="00961037">
            <w:pPr>
              <w:jc w:val="center"/>
              <w:rPr>
                <w:rFonts w:cs="Arial"/>
              </w:rPr>
            </w:pPr>
            <w:r w:rsidRPr="00D55FA1">
              <w:rPr>
                <w:rFonts w:cs="Arial"/>
                <w:color w:val="000000" w:themeColor="dark1"/>
                <w:kern w:val="24"/>
              </w:rPr>
              <w:t>24%</w:t>
            </w:r>
          </w:p>
        </w:tc>
      </w:tr>
      <w:tr w:rsidR="00DF008C" w:rsidRPr="00D55FA1" w14:paraId="4F5ED21B" w14:textId="77777777" w:rsidTr="00CD2A6F">
        <w:trPr>
          <w:cantSplit/>
          <w:trHeight w:val="305"/>
        </w:trPr>
        <w:tc>
          <w:tcPr>
            <w:tcW w:w="3021" w:type="dxa"/>
            <w:vAlign w:val="center"/>
          </w:tcPr>
          <w:p w14:paraId="02345011" w14:textId="77777777" w:rsidR="00DF008C" w:rsidRPr="00D55FA1" w:rsidRDefault="00DF008C" w:rsidP="00DF008C">
            <w:pPr>
              <w:jc w:val="center"/>
              <w:rPr>
                <w:rFonts w:cs="Arial"/>
                <w:color w:val="000000" w:themeColor="dark1"/>
                <w:kern w:val="24"/>
              </w:rPr>
            </w:pPr>
            <w:r w:rsidRPr="00D55FA1">
              <w:rPr>
                <w:rFonts w:cs="Arial"/>
                <w:color w:val="000000" w:themeColor="dark1"/>
                <w:kern w:val="24"/>
              </w:rPr>
              <w:t>Grade 8 Result</w:t>
            </w:r>
          </w:p>
        </w:tc>
        <w:tc>
          <w:tcPr>
            <w:tcW w:w="981" w:type="dxa"/>
            <w:vAlign w:val="center"/>
          </w:tcPr>
          <w:p w14:paraId="427C9917" w14:textId="77777777" w:rsidR="00DF008C" w:rsidRPr="00D55FA1" w:rsidRDefault="00DF008C" w:rsidP="00DF008C">
            <w:pPr>
              <w:jc w:val="center"/>
              <w:rPr>
                <w:rFonts w:cs="Arial"/>
                <w:color w:val="000000" w:themeColor="dark1"/>
                <w:kern w:val="24"/>
              </w:rPr>
            </w:pPr>
            <w:r w:rsidRPr="00D55FA1">
              <w:rPr>
                <w:rFonts w:cs="Arial"/>
                <w:color w:val="000000" w:themeColor="dark1"/>
                <w:kern w:val="24"/>
              </w:rPr>
              <w:t>25%</w:t>
            </w:r>
          </w:p>
        </w:tc>
        <w:tc>
          <w:tcPr>
            <w:tcW w:w="1146" w:type="dxa"/>
            <w:vAlign w:val="center"/>
          </w:tcPr>
          <w:p w14:paraId="41C6AC2A" w14:textId="33621FF1" w:rsidR="00DF008C" w:rsidRPr="00D55FA1" w:rsidRDefault="00DF008C" w:rsidP="00DF008C">
            <w:pPr>
              <w:jc w:val="center"/>
              <w:rPr>
                <w:rFonts w:cs="Arial"/>
                <w:color w:val="000000" w:themeColor="dark1"/>
                <w:kern w:val="24"/>
              </w:rPr>
            </w:pPr>
            <w:r w:rsidRPr="00D55FA1">
              <w:rPr>
                <w:rFonts w:cs="Arial"/>
                <w:color w:val="000000" w:themeColor="dark1"/>
                <w:kern w:val="24"/>
              </w:rPr>
              <w:t>22.71%</w:t>
            </w:r>
          </w:p>
        </w:tc>
        <w:tc>
          <w:tcPr>
            <w:tcW w:w="1111" w:type="dxa"/>
            <w:vAlign w:val="center"/>
          </w:tcPr>
          <w:p w14:paraId="2DC44586" w14:textId="1ABBFACB" w:rsidR="00DF008C" w:rsidRPr="00D55FA1" w:rsidRDefault="00DF008C" w:rsidP="00DF008C">
            <w:pPr>
              <w:jc w:val="center"/>
              <w:rPr>
                <w:rFonts w:cs="Arial"/>
                <w:color w:val="000000" w:themeColor="dark1"/>
                <w:kern w:val="24"/>
              </w:rPr>
            </w:pPr>
            <w:r w:rsidRPr="00D55FA1">
              <w:rPr>
                <w:rFonts w:cs="Arial"/>
                <w:color w:val="000000" w:themeColor="dark1"/>
                <w:kern w:val="24"/>
              </w:rPr>
              <w:t>22.75%</w:t>
            </w:r>
          </w:p>
        </w:tc>
        <w:tc>
          <w:tcPr>
            <w:tcW w:w="1099" w:type="dxa"/>
          </w:tcPr>
          <w:p w14:paraId="4FFCBC07" w14:textId="74CE3EDD" w:rsidR="00DF008C" w:rsidRPr="00D55FA1" w:rsidRDefault="00737DD1" w:rsidP="00DF008C">
            <w:pPr>
              <w:jc w:val="center"/>
              <w:rPr>
                <w:rFonts w:cs="Arial"/>
                <w:color w:val="000000" w:themeColor="dark1"/>
                <w:kern w:val="24"/>
              </w:rPr>
            </w:pPr>
            <w:r>
              <w:rPr>
                <w:rFonts w:cs="Arial"/>
                <w:bCs/>
              </w:rPr>
              <w:t>23.59%</w:t>
            </w:r>
          </w:p>
        </w:tc>
        <w:tc>
          <w:tcPr>
            <w:tcW w:w="993" w:type="dxa"/>
          </w:tcPr>
          <w:p w14:paraId="1728B4D0" w14:textId="332F8790" w:rsidR="00DF008C" w:rsidRPr="00D55FA1" w:rsidRDefault="00DE7835" w:rsidP="00DF008C">
            <w:pPr>
              <w:jc w:val="center"/>
              <w:rPr>
                <w:rFonts w:cs="Arial"/>
                <w:color w:val="000000" w:themeColor="dark1"/>
                <w:kern w:val="24"/>
              </w:rPr>
            </w:pPr>
            <w:r>
              <w:rPr>
                <w:rFonts w:cs="Arial"/>
                <w:bCs/>
              </w:rPr>
              <w:t>24.94%</w:t>
            </w:r>
          </w:p>
        </w:tc>
        <w:tc>
          <w:tcPr>
            <w:tcW w:w="1064" w:type="dxa"/>
          </w:tcPr>
          <w:p w14:paraId="34959D4B" w14:textId="746CE19B" w:rsidR="00DF008C" w:rsidRPr="00D55FA1" w:rsidRDefault="00DF008C" w:rsidP="00DF008C">
            <w:pPr>
              <w:jc w:val="center"/>
              <w:rPr>
                <w:rFonts w:cs="Arial"/>
                <w:color w:val="000000" w:themeColor="dark1"/>
                <w:kern w:val="24"/>
              </w:rPr>
            </w:pPr>
            <w:r w:rsidRPr="00D55FA1">
              <w:rPr>
                <w:rFonts w:cs="Arial"/>
                <w:bCs/>
              </w:rPr>
              <w:t>-</w:t>
            </w:r>
          </w:p>
        </w:tc>
      </w:tr>
      <w:tr w:rsidR="00DF008C" w:rsidRPr="00D55FA1" w14:paraId="28A7181F" w14:textId="77777777" w:rsidTr="00CD2A6F">
        <w:trPr>
          <w:cantSplit/>
          <w:trHeight w:val="305"/>
        </w:trPr>
        <w:tc>
          <w:tcPr>
            <w:tcW w:w="3021" w:type="dxa"/>
            <w:vAlign w:val="center"/>
          </w:tcPr>
          <w:p w14:paraId="751DA5D0" w14:textId="77777777" w:rsidR="00DF008C" w:rsidRPr="00D55FA1" w:rsidRDefault="00DF008C" w:rsidP="00DF008C">
            <w:pPr>
              <w:jc w:val="center"/>
              <w:rPr>
                <w:rFonts w:cs="Arial"/>
                <w:color w:val="000000" w:themeColor="dark1"/>
                <w:kern w:val="24"/>
              </w:rPr>
            </w:pPr>
            <w:r w:rsidRPr="00D55FA1">
              <w:rPr>
                <w:rFonts w:cs="Arial"/>
                <w:color w:val="000000" w:themeColor="dark1"/>
                <w:kern w:val="24"/>
              </w:rPr>
              <w:t>Grade 8 Target Met</w:t>
            </w:r>
          </w:p>
        </w:tc>
        <w:tc>
          <w:tcPr>
            <w:tcW w:w="981" w:type="dxa"/>
            <w:vAlign w:val="center"/>
          </w:tcPr>
          <w:p w14:paraId="63BE758B" w14:textId="77777777" w:rsidR="00DF008C" w:rsidRPr="00D55FA1" w:rsidRDefault="00DF008C" w:rsidP="00DF008C">
            <w:pPr>
              <w:jc w:val="center"/>
              <w:rPr>
                <w:rFonts w:cs="Arial"/>
                <w:color w:val="000000" w:themeColor="dark1"/>
                <w:kern w:val="24"/>
              </w:rPr>
            </w:pPr>
            <w:r w:rsidRPr="00D55FA1">
              <w:rPr>
                <w:rFonts w:cs="Arial"/>
                <w:color w:val="000000" w:themeColor="dark1"/>
                <w:kern w:val="24"/>
              </w:rPr>
              <w:t>Yes</w:t>
            </w:r>
          </w:p>
        </w:tc>
        <w:tc>
          <w:tcPr>
            <w:tcW w:w="1146" w:type="dxa"/>
            <w:vAlign w:val="center"/>
          </w:tcPr>
          <w:p w14:paraId="7BD58BA2" w14:textId="390449AC" w:rsidR="00DF008C" w:rsidRPr="00D55FA1" w:rsidRDefault="00DF008C" w:rsidP="00DF008C">
            <w:pPr>
              <w:jc w:val="center"/>
              <w:rPr>
                <w:rFonts w:cs="Arial"/>
                <w:color w:val="000000" w:themeColor="dark1"/>
                <w:kern w:val="24"/>
              </w:rPr>
            </w:pPr>
            <w:r w:rsidRPr="00D55FA1">
              <w:rPr>
                <w:rFonts w:cs="Arial"/>
                <w:color w:val="000000" w:themeColor="dark1"/>
                <w:kern w:val="24"/>
              </w:rPr>
              <w:t>Yes</w:t>
            </w:r>
          </w:p>
        </w:tc>
        <w:tc>
          <w:tcPr>
            <w:tcW w:w="1111" w:type="dxa"/>
            <w:vAlign w:val="center"/>
          </w:tcPr>
          <w:p w14:paraId="4357A966" w14:textId="25FFDEDD" w:rsidR="00DF008C" w:rsidRPr="00D55FA1" w:rsidRDefault="00DF008C" w:rsidP="00DF008C">
            <w:pPr>
              <w:jc w:val="center"/>
              <w:rPr>
                <w:rFonts w:cs="Arial"/>
                <w:color w:val="000000" w:themeColor="dark1"/>
                <w:kern w:val="24"/>
              </w:rPr>
            </w:pPr>
            <w:r w:rsidRPr="00D55FA1">
              <w:rPr>
                <w:rFonts w:cs="Arial"/>
                <w:color w:val="000000" w:themeColor="dark1"/>
                <w:kern w:val="24"/>
              </w:rPr>
              <w:t>Yes</w:t>
            </w:r>
          </w:p>
        </w:tc>
        <w:tc>
          <w:tcPr>
            <w:tcW w:w="1099" w:type="dxa"/>
          </w:tcPr>
          <w:p w14:paraId="44690661" w14:textId="0FA854D0" w:rsidR="00DF008C" w:rsidRPr="00D55FA1" w:rsidRDefault="00737DD1" w:rsidP="00DF008C">
            <w:pPr>
              <w:jc w:val="center"/>
              <w:rPr>
                <w:rFonts w:cs="Arial"/>
                <w:color w:val="000000" w:themeColor="dark1"/>
                <w:kern w:val="24"/>
              </w:rPr>
            </w:pPr>
            <w:r>
              <w:rPr>
                <w:rFonts w:cs="Arial"/>
                <w:bCs/>
              </w:rPr>
              <w:t>Yes</w:t>
            </w:r>
          </w:p>
        </w:tc>
        <w:tc>
          <w:tcPr>
            <w:tcW w:w="993" w:type="dxa"/>
          </w:tcPr>
          <w:p w14:paraId="74539910" w14:textId="33913D49" w:rsidR="00DF008C" w:rsidRPr="00D55FA1" w:rsidRDefault="00DE7835" w:rsidP="00DF008C">
            <w:pPr>
              <w:jc w:val="center"/>
              <w:rPr>
                <w:rFonts w:cs="Arial"/>
                <w:color w:val="000000" w:themeColor="dark1"/>
                <w:kern w:val="24"/>
              </w:rPr>
            </w:pPr>
            <w:r>
              <w:rPr>
                <w:rFonts w:cs="Arial"/>
                <w:bCs/>
              </w:rPr>
              <w:t>Yes</w:t>
            </w:r>
          </w:p>
        </w:tc>
        <w:tc>
          <w:tcPr>
            <w:tcW w:w="1064" w:type="dxa"/>
          </w:tcPr>
          <w:p w14:paraId="5A7E0CF2" w14:textId="1017DF16" w:rsidR="00DF008C" w:rsidRPr="00D55FA1" w:rsidRDefault="00DF008C" w:rsidP="00DF008C">
            <w:pPr>
              <w:jc w:val="center"/>
              <w:rPr>
                <w:rFonts w:cs="Arial"/>
                <w:color w:val="000000" w:themeColor="dark1"/>
                <w:kern w:val="24"/>
              </w:rPr>
            </w:pPr>
            <w:r w:rsidRPr="00D55FA1">
              <w:rPr>
                <w:rFonts w:cs="Arial"/>
                <w:bCs/>
              </w:rPr>
              <w:t>-</w:t>
            </w:r>
          </w:p>
        </w:tc>
      </w:tr>
      <w:tr w:rsidR="0066332C" w:rsidRPr="00D55FA1" w14:paraId="33510847" w14:textId="77777777" w:rsidTr="00CD2A6F">
        <w:trPr>
          <w:cantSplit/>
          <w:trHeight w:val="305"/>
        </w:trPr>
        <w:tc>
          <w:tcPr>
            <w:tcW w:w="3021" w:type="dxa"/>
            <w:vAlign w:val="center"/>
            <w:hideMark/>
          </w:tcPr>
          <w:p w14:paraId="42C8933F" w14:textId="77777777" w:rsidR="0066332C" w:rsidRPr="00D55FA1" w:rsidRDefault="0066332C" w:rsidP="00961037">
            <w:pPr>
              <w:jc w:val="center"/>
              <w:rPr>
                <w:rFonts w:cs="Arial"/>
              </w:rPr>
            </w:pPr>
            <w:r w:rsidRPr="00D55FA1">
              <w:rPr>
                <w:rFonts w:cs="Arial"/>
                <w:color w:val="000000" w:themeColor="dark1"/>
                <w:kern w:val="24"/>
              </w:rPr>
              <w:t>Grade 11 Target</w:t>
            </w:r>
          </w:p>
        </w:tc>
        <w:tc>
          <w:tcPr>
            <w:tcW w:w="981" w:type="dxa"/>
            <w:vAlign w:val="center"/>
            <w:hideMark/>
          </w:tcPr>
          <w:p w14:paraId="622DFAA7" w14:textId="77777777" w:rsidR="0066332C" w:rsidRPr="00D55FA1" w:rsidRDefault="0066332C" w:rsidP="00961037">
            <w:pPr>
              <w:jc w:val="center"/>
              <w:rPr>
                <w:rFonts w:cs="Arial"/>
              </w:rPr>
            </w:pPr>
            <w:r w:rsidRPr="00D55FA1">
              <w:rPr>
                <w:rFonts w:cs="Arial"/>
                <w:color w:val="000000" w:themeColor="dark1"/>
                <w:kern w:val="24"/>
              </w:rPr>
              <w:t>27%</w:t>
            </w:r>
          </w:p>
        </w:tc>
        <w:tc>
          <w:tcPr>
            <w:tcW w:w="1146" w:type="dxa"/>
            <w:vAlign w:val="center"/>
            <w:hideMark/>
          </w:tcPr>
          <w:p w14:paraId="2E271483" w14:textId="77777777" w:rsidR="0066332C" w:rsidRPr="00D55FA1" w:rsidRDefault="0066332C" w:rsidP="00961037">
            <w:pPr>
              <w:jc w:val="center"/>
              <w:rPr>
                <w:rFonts w:cs="Arial"/>
              </w:rPr>
            </w:pPr>
            <w:r w:rsidRPr="00D55FA1">
              <w:rPr>
                <w:rFonts w:cs="Arial"/>
                <w:color w:val="000000" w:themeColor="dark1"/>
                <w:kern w:val="24"/>
              </w:rPr>
              <w:t>27%</w:t>
            </w:r>
          </w:p>
        </w:tc>
        <w:tc>
          <w:tcPr>
            <w:tcW w:w="1111" w:type="dxa"/>
            <w:vAlign w:val="center"/>
            <w:hideMark/>
          </w:tcPr>
          <w:p w14:paraId="0F85DC03" w14:textId="77777777" w:rsidR="0066332C" w:rsidRPr="00D55FA1" w:rsidRDefault="0066332C" w:rsidP="00961037">
            <w:pPr>
              <w:jc w:val="center"/>
              <w:rPr>
                <w:rFonts w:cs="Arial"/>
              </w:rPr>
            </w:pPr>
            <w:r w:rsidRPr="00D55FA1">
              <w:rPr>
                <w:rFonts w:cs="Arial"/>
                <w:color w:val="000000" w:themeColor="dark1"/>
                <w:kern w:val="24"/>
              </w:rPr>
              <w:t>27%</w:t>
            </w:r>
          </w:p>
        </w:tc>
        <w:tc>
          <w:tcPr>
            <w:tcW w:w="1099" w:type="dxa"/>
            <w:vAlign w:val="center"/>
            <w:hideMark/>
          </w:tcPr>
          <w:p w14:paraId="096CAB03" w14:textId="77777777" w:rsidR="0066332C" w:rsidRPr="00D55FA1" w:rsidRDefault="0066332C" w:rsidP="00961037">
            <w:pPr>
              <w:jc w:val="center"/>
              <w:rPr>
                <w:rFonts w:cs="Arial"/>
              </w:rPr>
            </w:pPr>
            <w:r w:rsidRPr="00D55FA1">
              <w:rPr>
                <w:rFonts w:cs="Arial"/>
                <w:color w:val="000000" w:themeColor="dark1"/>
                <w:kern w:val="24"/>
              </w:rPr>
              <w:t>26%</w:t>
            </w:r>
          </w:p>
        </w:tc>
        <w:tc>
          <w:tcPr>
            <w:tcW w:w="993" w:type="dxa"/>
            <w:vAlign w:val="center"/>
            <w:hideMark/>
          </w:tcPr>
          <w:p w14:paraId="36642C3F" w14:textId="77777777" w:rsidR="0066332C" w:rsidRPr="00D55FA1" w:rsidRDefault="0066332C" w:rsidP="00961037">
            <w:pPr>
              <w:jc w:val="center"/>
              <w:rPr>
                <w:rFonts w:cs="Arial"/>
              </w:rPr>
            </w:pPr>
            <w:r w:rsidRPr="00D55FA1">
              <w:rPr>
                <w:rFonts w:cs="Arial"/>
                <w:color w:val="000000" w:themeColor="dark1"/>
                <w:kern w:val="24"/>
              </w:rPr>
              <w:t>25%</w:t>
            </w:r>
          </w:p>
        </w:tc>
        <w:tc>
          <w:tcPr>
            <w:tcW w:w="1064" w:type="dxa"/>
            <w:vAlign w:val="center"/>
            <w:hideMark/>
          </w:tcPr>
          <w:p w14:paraId="46EACAD7" w14:textId="77777777" w:rsidR="0066332C" w:rsidRPr="00D55FA1" w:rsidRDefault="0066332C" w:rsidP="00961037">
            <w:pPr>
              <w:jc w:val="center"/>
              <w:rPr>
                <w:rFonts w:cs="Arial"/>
              </w:rPr>
            </w:pPr>
            <w:r w:rsidRPr="00D55FA1">
              <w:rPr>
                <w:rFonts w:cs="Arial"/>
                <w:color w:val="000000" w:themeColor="dark1"/>
                <w:kern w:val="24"/>
              </w:rPr>
              <w:t>24%</w:t>
            </w:r>
          </w:p>
        </w:tc>
      </w:tr>
      <w:tr w:rsidR="00DF008C" w:rsidRPr="00D55FA1" w14:paraId="2072BF69" w14:textId="77777777" w:rsidTr="00CD2A6F">
        <w:trPr>
          <w:cantSplit/>
          <w:trHeight w:val="305"/>
        </w:trPr>
        <w:tc>
          <w:tcPr>
            <w:tcW w:w="3021" w:type="dxa"/>
            <w:vAlign w:val="center"/>
          </w:tcPr>
          <w:p w14:paraId="62CC3B87" w14:textId="77777777" w:rsidR="00DF008C" w:rsidRPr="00D55FA1" w:rsidRDefault="00DF008C" w:rsidP="00DF008C">
            <w:pPr>
              <w:jc w:val="center"/>
              <w:rPr>
                <w:rFonts w:cs="Arial"/>
                <w:color w:val="000000" w:themeColor="dark1"/>
                <w:kern w:val="24"/>
              </w:rPr>
            </w:pPr>
            <w:r w:rsidRPr="00D55FA1">
              <w:rPr>
                <w:rFonts w:cs="Arial"/>
                <w:color w:val="000000" w:themeColor="dark1"/>
                <w:kern w:val="24"/>
              </w:rPr>
              <w:t>Grade 11 Result</w:t>
            </w:r>
          </w:p>
        </w:tc>
        <w:tc>
          <w:tcPr>
            <w:tcW w:w="981" w:type="dxa"/>
            <w:vAlign w:val="center"/>
          </w:tcPr>
          <w:p w14:paraId="45945793" w14:textId="77777777" w:rsidR="00DF008C" w:rsidRPr="00D55FA1" w:rsidRDefault="00DF008C" w:rsidP="00DF008C">
            <w:pPr>
              <w:jc w:val="center"/>
              <w:rPr>
                <w:rFonts w:cs="Arial"/>
                <w:color w:val="000000" w:themeColor="dark1"/>
                <w:kern w:val="24"/>
              </w:rPr>
            </w:pPr>
            <w:r w:rsidRPr="00D55FA1">
              <w:rPr>
                <w:rFonts w:cs="Arial"/>
                <w:color w:val="000000" w:themeColor="dark1"/>
                <w:kern w:val="24"/>
              </w:rPr>
              <w:t>29%</w:t>
            </w:r>
          </w:p>
        </w:tc>
        <w:tc>
          <w:tcPr>
            <w:tcW w:w="1146" w:type="dxa"/>
            <w:vAlign w:val="center"/>
          </w:tcPr>
          <w:p w14:paraId="60FA6563" w14:textId="244AB2A5" w:rsidR="00DF008C" w:rsidRPr="00D55FA1" w:rsidRDefault="00DF008C" w:rsidP="00DF008C">
            <w:pPr>
              <w:jc w:val="center"/>
              <w:rPr>
                <w:rFonts w:cs="Arial"/>
                <w:color w:val="000000" w:themeColor="dark1"/>
                <w:kern w:val="24"/>
              </w:rPr>
            </w:pPr>
            <w:r w:rsidRPr="00D55FA1">
              <w:rPr>
                <w:rFonts w:cs="Arial"/>
                <w:color w:val="000000" w:themeColor="dark1"/>
                <w:kern w:val="24"/>
              </w:rPr>
              <w:t>22.89%</w:t>
            </w:r>
          </w:p>
        </w:tc>
        <w:tc>
          <w:tcPr>
            <w:tcW w:w="1111" w:type="dxa"/>
            <w:vAlign w:val="center"/>
          </w:tcPr>
          <w:p w14:paraId="1AC5CDBE" w14:textId="6224C1BB" w:rsidR="00DF008C" w:rsidRPr="00D55FA1" w:rsidRDefault="00DF008C" w:rsidP="00DF008C">
            <w:pPr>
              <w:jc w:val="center"/>
              <w:rPr>
                <w:rFonts w:cs="Arial"/>
                <w:color w:val="000000" w:themeColor="dark1"/>
                <w:kern w:val="24"/>
              </w:rPr>
            </w:pPr>
            <w:r w:rsidRPr="00D55FA1">
              <w:rPr>
                <w:rFonts w:cs="Arial"/>
                <w:color w:val="000000" w:themeColor="dark1"/>
                <w:kern w:val="24"/>
              </w:rPr>
              <w:t>22.71%</w:t>
            </w:r>
          </w:p>
        </w:tc>
        <w:tc>
          <w:tcPr>
            <w:tcW w:w="1099" w:type="dxa"/>
          </w:tcPr>
          <w:p w14:paraId="342D4C27" w14:textId="47CA600A" w:rsidR="00DF008C" w:rsidRPr="00D55FA1" w:rsidRDefault="00737DD1" w:rsidP="00DF008C">
            <w:pPr>
              <w:jc w:val="center"/>
              <w:rPr>
                <w:rFonts w:cs="Arial"/>
                <w:color w:val="000000" w:themeColor="dark1"/>
                <w:kern w:val="24"/>
              </w:rPr>
            </w:pPr>
            <w:r>
              <w:rPr>
                <w:rFonts w:cs="Arial"/>
                <w:bCs/>
              </w:rPr>
              <w:t>23.06%</w:t>
            </w:r>
          </w:p>
        </w:tc>
        <w:tc>
          <w:tcPr>
            <w:tcW w:w="993" w:type="dxa"/>
          </w:tcPr>
          <w:p w14:paraId="3572E399" w14:textId="6780D991" w:rsidR="00DF008C" w:rsidRPr="00D55FA1" w:rsidRDefault="00DE7835" w:rsidP="00DF008C">
            <w:pPr>
              <w:jc w:val="center"/>
              <w:rPr>
                <w:rFonts w:cs="Arial"/>
                <w:color w:val="000000" w:themeColor="dark1"/>
                <w:kern w:val="24"/>
              </w:rPr>
            </w:pPr>
            <w:r>
              <w:rPr>
                <w:rFonts w:cs="Arial"/>
                <w:bCs/>
              </w:rPr>
              <w:t>23.97%</w:t>
            </w:r>
          </w:p>
        </w:tc>
        <w:tc>
          <w:tcPr>
            <w:tcW w:w="1064" w:type="dxa"/>
          </w:tcPr>
          <w:p w14:paraId="6CEB15CE" w14:textId="05D3AC07" w:rsidR="00DF008C" w:rsidRPr="00D55FA1" w:rsidRDefault="00DF008C" w:rsidP="00DF008C">
            <w:pPr>
              <w:jc w:val="center"/>
              <w:rPr>
                <w:rFonts w:cs="Arial"/>
                <w:color w:val="000000" w:themeColor="dark1"/>
                <w:kern w:val="24"/>
              </w:rPr>
            </w:pPr>
            <w:r w:rsidRPr="00D55FA1">
              <w:rPr>
                <w:rFonts w:cs="Arial"/>
                <w:bCs/>
              </w:rPr>
              <w:t>-</w:t>
            </w:r>
          </w:p>
        </w:tc>
      </w:tr>
      <w:tr w:rsidR="00DF008C" w:rsidRPr="00D55FA1" w14:paraId="5043092C" w14:textId="77777777" w:rsidTr="00CD2A6F">
        <w:trPr>
          <w:cantSplit/>
          <w:trHeight w:val="305"/>
        </w:trPr>
        <w:tc>
          <w:tcPr>
            <w:tcW w:w="3021" w:type="dxa"/>
            <w:vAlign w:val="center"/>
          </w:tcPr>
          <w:p w14:paraId="03F29C80" w14:textId="77777777" w:rsidR="00DF008C" w:rsidRPr="00D55FA1" w:rsidRDefault="00DF008C" w:rsidP="00DF008C">
            <w:pPr>
              <w:jc w:val="center"/>
              <w:rPr>
                <w:rFonts w:cs="Arial"/>
                <w:color w:val="000000" w:themeColor="dark1"/>
                <w:kern w:val="24"/>
              </w:rPr>
            </w:pPr>
            <w:r w:rsidRPr="00D55FA1">
              <w:rPr>
                <w:rFonts w:cs="Arial"/>
                <w:color w:val="000000" w:themeColor="dark1"/>
                <w:kern w:val="24"/>
              </w:rPr>
              <w:t>Grade 11 Target Met</w:t>
            </w:r>
          </w:p>
        </w:tc>
        <w:tc>
          <w:tcPr>
            <w:tcW w:w="981" w:type="dxa"/>
            <w:vAlign w:val="center"/>
          </w:tcPr>
          <w:p w14:paraId="1F5B0DE0" w14:textId="77777777" w:rsidR="00DF008C" w:rsidRPr="00D55FA1" w:rsidRDefault="00DF008C" w:rsidP="00DF008C">
            <w:pPr>
              <w:jc w:val="center"/>
              <w:rPr>
                <w:rFonts w:cs="Arial"/>
                <w:color w:val="000000" w:themeColor="dark1"/>
                <w:kern w:val="24"/>
              </w:rPr>
            </w:pPr>
            <w:r w:rsidRPr="00D55FA1">
              <w:rPr>
                <w:rFonts w:cs="Arial"/>
                <w:color w:val="000000" w:themeColor="dark1"/>
                <w:kern w:val="24"/>
              </w:rPr>
              <w:t>No</w:t>
            </w:r>
          </w:p>
        </w:tc>
        <w:tc>
          <w:tcPr>
            <w:tcW w:w="1146" w:type="dxa"/>
            <w:vAlign w:val="center"/>
          </w:tcPr>
          <w:p w14:paraId="66518E39" w14:textId="106C7CC0" w:rsidR="00DF008C" w:rsidRPr="00D55FA1" w:rsidRDefault="00DF008C" w:rsidP="00DF008C">
            <w:pPr>
              <w:jc w:val="center"/>
              <w:rPr>
                <w:rFonts w:cs="Arial"/>
                <w:color w:val="000000" w:themeColor="dark1"/>
                <w:kern w:val="24"/>
              </w:rPr>
            </w:pPr>
            <w:r w:rsidRPr="00D55FA1">
              <w:rPr>
                <w:rFonts w:cs="Arial"/>
                <w:color w:val="000000" w:themeColor="dark1"/>
                <w:kern w:val="24"/>
              </w:rPr>
              <w:t>Yes</w:t>
            </w:r>
          </w:p>
        </w:tc>
        <w:tc>
          <w:tcPr>
            <w:tcW w:w="1111" w:type="dxa"/>
            <w:vAlign w:val="center"/>
          </w:tcPr>
          <w:p w14:paraId="7E75FCD0" w14:textId="27681CCA" w:rsidR="00DF008C" w:rsidRPr="00D55FA1" w:rsidRDefault="00DF008C" w:rsidP="00DF008C">
            <w:pPr>
              <w:jc w:val="center"/>
              <w:rPr>
                <w:rFonts w:cs="Arial"/>
                <w:color w:val="000000" w:themeColor="dark1"/>
                <w:kern w:val="24"/>
              </w:rPr>
            </w:pPr>
            <w:r w:rsidRPr="00D55FA1">
              <w:rPr>
                <w:rFonts w:cs="Arial"/>
                <w:color w:val="000000" w:themeColor="dark1"/>
                <w:kern w:val="24"/>
              </w:rPr>
              <w:t>Yes</w:t>
            </w:r>
          </w:p>
        </w:tc>
        <w:tc>
          <w:tcPr>
            <w:tcW w:w="1099" w:type="dxa"/>
          </w:tcPr>
          <w:p w14:paraId="10FDAA0E" w14:textId="04F0A824" w:rsidR="00DF008C" w:rsidRPr="00D55FA1" w:rsidRDefault="00E609A8" w:rsidP="00DF008C">
            <w:pPr>
              <w:jc w:val="center"/>
              <w:rPr>
                <w:rFonts w:cs="Arial"/>
                <w:color w:val="000000" w:themeColor="dark1"/>
                <w:kern w:val="24"/>
              </w:rPr>
            </w:pPr>
            <w:r>
              <w:rPr>
                <w:rFonts w:cs="Arial"/>
                <w:bCs/>
              </w:rPr>
              <w:t>Yes</w:t>
            </w:r>
          </w:p>
        </w:tc>
        <w:tc>
          <w:tcPr>
            <w:tcW w:w="993" w:type="dxa"/>
          </w:tcPr>
          <w:p w14:paraId="774AF2BF" w14:textId="41CA23D6" w:rsidR="00DF008C" w:rsidRPr="00D55FA1" w:rsidRDefault="00DE7835" w:rsidP="00DF008C">
            <w:pPr>
              <w:jc w:val="center"/>
              <w:rPr>
                <w:rFonts w:cs="Arial"/>
                <w:color w:val="000000" w:themeColor="dark1"/>
                <w:kern w:val="24"/>
              </w:rPr>
            </w:pPr>
            <w:r>
              <w:rPr>
                <w:rFonts w:cs="Arial"/>
                <w:bCs/>
              </w:rPr>
              <w:t>Yes</w:t>
            </w:r>
          </w:p>
        </w:tc>
        <w:tc>
          <w:tcPr>
            <w:tcW w:w="1064" w:type="dxa"/>
          </w:tcPr>
          <w:p w14:paraId="7A292896" w14:textId="247B4CCE" w:rsidR="00DF008C" w:rsidRPr="00D55FA1" w:rsidRDefault="00DF008C" w:rsidP="00DF008C">
            <w:pPr>
              <w:jc w:val="center"/>
              <w:rPr>
                <w:rFonts w:cs="Arial"/>
                <w:color w:val="000000" w:themeColor="dark1"/>
                <w:kern w:val="24"/>
              </w:rPr>
            </w:pPr>
            <w:r w:rsidRPr="00D55FA1">
              <w:rPr>
                <w:rFonts w:cs="Arial"/>
                <w:bCs/>
              </w:rPr>
              <w:t>-</w:t>
            </w:r>
          </w:p>
        </w:tc>
      </w:tr>
    </w:tbl>
    <w:p w14:paraId="2191599E" w14:textId="77777777" w:rsidR="00833EFA" w:rsidRPr="00D55FA1" w:rsidRDefault="00833EFA" w:rsidP="00EB1E42"/>
    <w:p w14:paraId="66EC1B30" w14:textId="6442954A" w:rsidR="00833EFA" w:rsidRPr="00D55FA1" w:rsidRDefault="007706FA">
      <w:pPr>
        <w:spacing w:after="160" w:line="259" w:lineRule="auto"/>
      </w:pPr>
      <w:r w:rsidRPr="00D55FA1">
        <w:br w:type="page"/>
      </w:r>
    </w:p>
    <w:p w14:paraId="216B9813" w14:textId="77777777" w:rsidR="00EB1E42" w:rsidRPr="00D55FA1" w:rsidRDefault="00EB1E42" w:rsidP="00EB1E42">
      <w:pPr>
        <w:pStyle w:val="Heading2"/>
        <w:spacing w:before="0"/>
        <w:jc w:val="center"/>
      </w:pPr>
      <w:bookmarkStart w:id="121" w:name="_Toc212718040"/>
      <w:r w:rsidRPr="00D55FA1">
        <w:lastRenderedPageBreak/>
        <w:t>Indicator 4A: Suspension and Expulsion Overall</w:t>
      </w:r>
      <w:bookmarkEnd w:id="121"/>
    </w:p>
    <w:p w14:paraId="3684F335" w14:textId="77777777" w:rsidR="00EB1E42" w:rsidRPr="00D55FA1" w:rsidRDefault="0019441F" w:rsidP="00EB1E42">
      <w:pPr>
        <w:pStyle w:val="Heading3"/>
        <w:spacing w:before="0"/>
      </w:pPr>
      <w:bookmarkStart w:id="122" w:name="_Toc212718041"/>
      <w:r w:rsidRPr="00D55FA1">
        <w:t>Description</w:t>
      </w:r>
      <w:bookmarkEnd w:id="122"/>
    </w:p>
    <w:p w14:paraId="7FEF8895" w14:textId="4ABFB3B9" w:rsidR="00EB1E42" w:rsidRPr="00D55FA1" w:rsidRDefault="00EB1E42" w:rsidP="00A869FA">
      <w:pPr>
        <w:spacing w:after="240"/>
        <w:rPr>
          <w:rFonts w:cs="Arial"/>
        </w:rPr>
      </w:pPr>
      <w:r w:rsidRPr="00D55FA1">
        <w:rPr>
          <w:rFonts w:cs="Arial"/>
        </w:rPr>
        <w:t xml:space="preserve">Indicator 4A is a performance indicator that measures the </w:t>
      </w:r>
      <w:proofErr w:type="gramStart"/>
      <w:r w:rsidRPr="00D55FA1">
        <w:rPr>
          <w:rFonts w:cs="Arial"/>
        </w:rPr>
        <w:t>percent</w:t>
      </w:r>
      <w:proofErr w:type="gramEnd"/>
      <w:r w:rsidRPr="00D55FA1">
        <w:rPr>
          <w:rFonts w:cs="Arial"/>
        </w:rPr>
        <w:t xml:space="preserve"> of LEAs that have a significant discrepancy</w:t>
      </w:r>
      <w:r w:rsidR="0019441F" w:rsidRPr="00D55FA1">
        <w:rPr>
          <w:rFonts w:cs="Arial"/>
        </w:rPr>
        <w:t>, as defined by the State,</w:t>
      </w:r>
      <w:r w:rsidRPr="00D55FA1">
        <w:rPr>
          <w:rFonts w:cs="Arial"/>
        </w:rPr>
        <w:t xml:space="preserve"> in the rate of suspensions and expulsions of greater than 10 days in a school year for students with </w:t>
      </w:r>
      <w:r w:rsidR="0019441F" w:rsidRPr="00D55FA1">
        <w:rPr>
          <w:rFonts w:cs="Arial"/>
        </w:rPr>
        <w:t>IEPs</w:t>
      </w:r>
      <w:r w:rsidRPr="00D55FA1">
        <w:rPr>
          <w:rFonts w:cs="Arial"/>
        </w:rPr>
        <w:t xml:space="preserve">. The data are reported using the CALPADS data from the prior </w:t>
      </w:r>
      <w:r w:rsidR="00A10B94" w:rsidRPr="00D55FA1">
        <w:rPr>
          <w:rFonts w:cs="Arial"/>
        </w:rPr>
        <w:t>year.</w:t>
      </w:r>
    </w:p>
    <w:p w14:paraId="7BFC3E2E" w14:textId="77777777" w:rsidR="00EB1E42" w:rsidRPr="00D55FA1" w:rsidRDefault="0019441F" w:rsidP="00EB1E42">
      <w:pPr>
        <w:pStyle w:val="Heading3"/>
        <w:spacing w:before="0"/>
      </w:pPr>
      <w:bookmarkStart w:id="123" w:name="_Toc212718042"/>
      <w:r w:rsidRPr="00D55FA1">
        <w:t>Measurement</w:t>
      </w:r>
      <w:bookmarkEnd w:id="123"/>
    </w:p>
    <w:p w14:paraId="22ED5863" w14:textId="77777777" w:rsidR="0019441F" w:rsidRPr="00D55FA1" w:rsidRDefault="0019441F" w:rsidP="0019441F">
      <w:pPr>
        <w:rPr>
          <w:rFonts w:eastAsiaTheme="minorEastAsia"/>
          <w:lang w:eastAsia="ja-JP"/>
        </w:rPr>
      </w:pPr>
      <w:r w:rsidRPr="00D55FA1">
        <w:rPr>
          <w:rFonts w:eastAsiaTheme="minorEastAsia"/>
          <w:lang w:eastAsia="ja-JP"/>
        </w:rPr>
        <w:t>Percent = [(</w:t>
      </w:r>
      <w:r w:rsidR="00C7167F" w:rsidRPr="00D55FA1">
        <w:rPr>
          <w:rFonts w:eastAsiaTheme="minorEastAsia"/>
          <w:lang w:eastAsia="ja-JP"/>
        </w:rPr>
        <w:t>number</w:t>
      </w:r>
      <w:r w:rsidRPr="00D55FA1">
        <w:rPr>
          <w:rFonts w:eastAsiaTheme="minorEastAsia"/>
          <w:lang w:eastAsia="ja-JP"/>
        </w:rPr>
        <w:t xml:space="preserve"> of LEAs that meet the State-established n and/or cell size (if applicable) that have a significant discrepancy, as defined by the State, in the rates of suspensions and expulsions for more than 10 days during the school year of children with IEPs) divided by the (</w:t>
      </w:r>
      <w:r w:rsidR="00C7167F" w:rsidRPr="00D55FA1">
        <w:rPr>
          <w:rFonts w:eastAsiaTheme="minorEastAsia"/>
          <w:lang w:eastAsia="ja-JP"/>
        </w:rPr>
        <w:t>number</w:t>
      </w:r>
      <w:r w:rsidRPr="00D55FA1">
        <w:rPr>
          <w:rFonts w:eastAsiaTheme="minorEastAsia"/>
          <w:lang w:eastAsia="ja-JP"/>
        </w:rPr>
        <w:t xml:space="preserve"> of LEAs in the State that meet the State-established n and/or cell size (if applicable))] times 100. </w:t>
      </w:r>
    </w:p>
    <w:p w14:paraId="7673E5AE" w14:textId="77777777" w:rsidR="0019441F" w:rsidRPr="00D55FA1" w:rsidRDefault="0019441F" w:rsidP="0019441F"/>
    <w:p w14:paraId="264B0551" w14:textId="77777777" w:rsidR="00EB1E42" w:rsidRPr="00BB37DF" w:rsidRDefault="0019441F" w:rsidP="00BB37DF">
      <w:pPr>
        <w:spacing w:after="240"/>
        <w:rPr>
          <w:b/>
          <w:bCs/>
        </w:rPr>
      </w:pPr>
      <w:r w:rsidRPr="00BB37DF">
        <w:rPr>
          <w:b/>
          <w:bCs/>
        </w:rPr>
        <w:t>Target Met: Yes</w:t>
      </w:r>
    </w:p>
    <w:p w14:paraId="3DFFAF2B" w14:textId="5144BEB1" w:rsidR="00EB1E42" w:rsidRPr="00BB37DF" w:rsidRDefault="00BB37DF" w:rsidP="00BB37DF">
      <w:pPr>
        <w:spacing w:after="240"/>
        <w:rPr>
          <w:b/>
          <w:bCs/>
        </w:rPr>
      </w:pPr>
      <w:r>
        <w:rPr>
          <w:b/>
          <w:bCs/>
        </w:rPr>
        <w:t xml:space="preserve">Table 8: </w:t>
      </w:r>
      <w:r w:rsidR="00EB1E42" w:rsidRPr="00BB37DF">
        <w:rPr>
          <w:b/>
          <w:bCs/>
        </w:rPr>
        <w:t xml:space="preserve">Suspension and Expulsion </w:t>
      </w:r>
      <w:r w:rsidR="001807C2" w:rsidRPr="00BB37DF">
        <w:rPr>
          <w:b/>
          <w:bCs/>
        </w:rPr>
        <w:t xml:space="preserve">Targets and Results for FFYs </w:t>
      </w:r>
      <w:r w:rsidR="0066332C" w:rsidRPr="00BB37DF">
        <w:rPr>
          <w:b/>
          <w:bCs/>
        </w:rPr>
        <w:t>2020</w:t>
      </w:r>
      <w:r w:rsidR="0066332C" w:rsidRPr="00BB37DF">
        <w:rPr>
          <w:rFonts w:cs="Arial"/>
          <w:b/>
          <w:bCs/>
        </w:rPr>
        <w:t>–25</w:t>
      </w:r>
    </w:p>
    <w:tbl>
      <w:tblPr>
        <w:tblStyle w:val="TableGrid1"/>
        <w:tblW w:w="9089" w:type="dxa"/>
        <w:tblLook w:val="04A0" w:firstRow="1" w:lastRow="0" w:firstColumn="1" w:lastColumn="0" w:noHBand="0" w:noVBand="1"/>
        <w:tblDescription w:val="Indicator 4A Targets and Results"/>
      </w:tblPr>
      <w:tblGrid>
        <w:gridCol w:w="2062"/>
        <w:gridCol w:w="1200"/>
        <w:gridCol w:w="1166"/>
        <w:gridCol w:w="1166"/>
        <w:gridCol w:w="1166"/>
        <w:gridCol w:w="1166"/>
        <w:gridCol w:w="1163"/>
      </w:tblGrid>
      <w:tr w:rsidR="0066332C" w:rsidRPr="00D55FA1" w14:paraId="4AAD26A7" w14:textId="77777777" w:rsidTr="00961037">
        <w:trPr>
          <w:cantSplit/>
          <w:trHeight w:val="328"/>
          <w:tblHeader/>
        </w:trPr>
        <w:tc>
          <w:tcPr>
            <w:tcW w:w="2062" w:type="dxa"/>
            <w:tcBorders>
              <w:top w:val="single" w:sz="4" w:space="0" w:color="auto"/>
              <w:left w:val="single" w:sz="4" w:space="0" w:color="auto"/>
              <w:bottom w:val="single" w:sz="4" w:space="0" w:color="auto"/>
              <w:right w:val="single" w:sz="4" w:space="0" w:color="auto"/>
            </w:tcBorders>
            <w:vAlign w:val="center"/>
            <w:hideMark/>
          </w:tcPr>
          <w:p w14:paraId="2A7AE965" w14:textId="77777777" w:rsidR="0066332C" w:rsidRPr="00D55FA1" w:rsidRDefault="0066332C" w:rsidP="00961037">
            <w:pPr>
              <w:widowControl w:val="0"/>
              <w:overflowPunct w:val="0"/>
              <w:autoSpaceDE w:val="0"/>
              <w:autoSpaceDN w:val="0"/>
              <w:adjustRightInd w:val="0"/>
              <w:jc w:val="center"/>
              <w:rPr>
                <w:rFonts w:cs="Arial"/>
                <w:b/>
                <w:bCs/>
                <w:szCs w:val="22"/>
              </w:rPr>
            </w:pPr>
            <w:r w:rsidRPr="00D55FA1">
              <w:rPr>
                <w:rFonts w:cs="Arial"/>
                <w:b/>
                <w:bCs/>
              </w:rPr>
              <w:t>Indicator 4a</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62EDB88"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9BB372B"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177A41D"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2022</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ED0F85E"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6D14CBD"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2024</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99C10A1"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1C9AD428" w14:textId="77777777" w:rsidTr="00961037">
        <w:trPr>
          <w:cantSplit/>
          <w:trHeight w:val="328"/>
        </w:trPr>
        <w:tc>
          <w:tcPr>
            <w:tcW w:w="2062" w:type="dxa"/>
            <w:tcBorders>
              <w:top w:val="single" w:sz="4" w:space="0" w:color="auto"/>
              <w:left w:val="single" w:sz="4" w:space="0" w:color="auto"/>
              <w:bottom w:val="single" w:sz="4" w:space="0" w:color="auto"/>
              <w:right w:val="single" w:sz="4" w:space="0" w:color="auto"/>
            </w:tcBorders>
            <w:vAlign w:val="center"/>
            <w:hideMark/>
          </w:tcPr>
          <w:p w14:paraId="7A38EEB2"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Target</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66C85B"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7D4F9B3"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2.8%</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466732C"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2.6%</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920BE1D"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2.4%</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8F649B8"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2.2%</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2D1A0E8"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2%</w:t>
            </w:r>
          </w:p>
        </w:tc>
      </w:tr>
      <w:tr w:rsidR="00DF008C" w:rsidRPr="00D55FA1" w14:paraId="1C4C6B47" w14:textId="77777777" w:rsidTr="00DF008C">
        <w:trPr>
          <w:cantSplit/>
          <w:trHeight w:val="328"/>
        </w:trPr>
        <w:tc>
          <w:tcPr>
            <w:tcW w:w="2062" w:type="dxa"/>
            <w:tcBorders>
              <w:top w:val="single" w:sz="4" w:space="0" w:color="auto"/>
              <w:left w:val="single" w:sz="4" w:space="0" w:color="auto"/>
              <w:bottom w:val="single" w:sz="4" w:space="0" w:color="auto"/>
              <w:right w:val="single" w:sz="4" w:space="0" w:color="auto"/>
            </w:tcBorders>
            <w:vAlign w:val="center"/>
          </w:tcPr>
          <w:p w14:paraId="78B16991"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Results</w:t>
            </w:r>
          </w:p>
        </w:tc>
        <w:tc>
          <w:tcPr>
            <w:tcW w:w="1200" w:type="dxa"/>
            <w:tcBorders>
              <w:top w:val="single" w:sz="4" w:space="0" w:color="auto"/>
              <w:left w:val="single" w:sz="4" w:space="0" w:color="auto"/>
              <w:bottom w:val="single" w:sz="4" w:space="0" w:color="auto"/>
              <w:right w:val="single" w:sz="4" w:space="0" w:color="auto"/>
            </w:tcBorders>
            <w:vAlign w:val="center"/>
          </w:tcPr>
          <w:p w14:paraId="09CA4351"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0.51%</w:t>
            </w:r>
          </w:p>
        </w:tc>
        <w:tc>
          <w:tcPr>
            <w:tcW w:w="1166" w:type="dxa"/>
            <w:tcBorders>
              <w:top w:val="single" w:sz="4" w:space="0" w:color="auto"/>
              <w:left w:val="single" w:sz="4" w:space="0" w:color="auto"/>
              <w:bottom w:val="single" w:sz="4" w:space="0" w:color="auto"/>
              <w:right w:val="single" w:sz="4" w:space="0" w:color="auto"/>
            </w:tcBorders>
            <w:vAlign w:val="center"/>
          </w:tcPr>
          <w:p w14:paraId="041D98D7" w14:textId="5A111BBA"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0%</w:t>
            </w:r>
          </w:p>
        </w:tc>
        <w:tc>
          <w:tcPr>
            <w:tcW w:w="1166" w:type="dxa"/>
            <w:tcBorders>
              <w:top w:val="single" w:sz="4" w:space="0" w:color="auto"/>
              <w:left w:val="single" w:sz="4" w:space="0" w:color="auto"/>
              <w:bottom w:val="single" w:sz="4" w:space="0" w:color="auto"/>
              <w:right w:val="single" w:sz="4" w:space="0" w:color="auto"/>
            </w:tcBorders>
            <w:vAlign w:val="center"/>
          </w:tcPr>
          <w:p w14:paraId="5AB7C0C5" w14:textId="39AFF761"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0.67%</w:t>
            </w:r>
          </w:p>
        </w:tc>
        <w:tc>
          <w:tcPr>
            <w:tcW w:w="1166" w:type="dxa"/>
            <w:tcBorders>
              <w:top w:val="single" w:sz="4" w:space="0" w:color="auto"/>
              <w:left w:val="single" w:sz="4" w:space="0" w:color="auto"/>
              <w:bottom w:val="single" w:sz="4" w:space="0" w:color="auto"/>
              <w:right w:val="single" w:sz="4" w:space="0" w:color="auto"/>
            </w:tcBorders>
          </w:tcPr>
          <w:p w14:paraId="55B33694" w14:textId="7F96E198" w:rsidR="00DF008C" w:rsidRPr="00D55FA1" w:rsidRDefault="00EC27AA" w:rsidP="00DF008C">
            <w:pPr>
              <w:widowControl w:val="0"/>
              <w:overflowPunct w:val="0"/>
              <w:autoSpaceDE w:val="0"/>
              <w:autoSpaceDN w:val="0"/>
              <w:adjustRightInd w:val="0"/>
              <w:jc w:val="center"/>
              <w:rPr>
                <w:rFonts w:cs="Arial"/>
                <w:bCs/>
              </w:rPr>
            </w:pPr>
            <w:r>
              <w:rPr>
                <w:rFonts w:cs="Arial"/>
                <w:bCs/>
              </w:rPr>
              <w:t>1.04%</w:t>
            </w:r>
          </w:p>
        </w:tc>
        <w:tc>
          <w:tcPr>
            <w:tcW w:w="1166" w:type="dxa"/>
            <w:tcBorders>
              <w:top w:val="single" w:sz="4" w:space="0" w:color="auto"/>
              <w:left w:val="single" w:sz="4" w:space="0" w:color="auto"/>
              <w:bottom w:val="single" w:sz="4" w:space="0" w:color="auto"/>
              <w:right w:val="single" w:sz="4" w:space="0" w:color="auto"/>
            </w:tcBorders>
          </w:tcPr>
          <w:p w14:paraId="4455F193" w14:textId="64D7F11B" w:rsidR="00DF008C" w:rsidRPr="00D55FA1" w:rsidRDefault="008B5921" w:rsidP="00DF008C">
            <w:pPr>
              <w:widowControl w:val="0"/>
              <w:overflowPunct w:val="0"/>
              <w:autoSpaceDE w:val="0"/>
              <w:autoSpaceDN w:val="0"/>
              <w:adjustRightInd w:val="0"/>
              <w:jc w:val="center"/>
              <w:rPr>
                <w:rFonts w:cs="Arial"/>
                <w:bCs/>
              </w:rPr>
            </w:pPr>
            <w:r>
              <w:rPr>
                <w:rFonts w:cs="Arial"/>
                <w:bCs/>
              </w:rPr>
              <w:t>1.31%</w:t>
            </w:r>
          </w:p>
        </w:tc>
        <w:tc>
          <w:tcPr>
            <w:tcW w:w="1163" w:type="dxa"/>
            <w:tcBorders>
              <w:top w:val="single" w:sz="4" w:space="0" w:color="auto"/>
              <w:left w:val="single" w:sz="4" w:space="0" w:color="auto"/>
              <w:bottom w:val="single" w:sz="4" w:space="0" w:color="auto"/>
              <w:right w:val="single" w:sz="4" w:space="0" w:color="auto"/>
            </w:tcBorders>
          </w:tcPr>
          <w:p w14:paraId="1C2776EB" w14:textId="385035E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62620E6F" w14:textId="77777777" w:rsidTr="00DF008C">
        <w:trPr>
          <w:cantSplit/>
          <w:trHeight w:val="328"/>
        </w:trPr>
        <w:tc>
          <w:tcPr>
            <w:tcW w:w="2062" w:type="dxa"/>
            <w:tcBorders>
              <w:top w:val="single" w:sz="4" w:space="0" w:color="auto"/>
              <w:left w:val="single" w:sz="4" w:space="0" w:color="auto"/>
              <w:bottom w:val="single" w:sz="4" w:space="0" w:color="auto"/>
              <w:right w:val="single" w:sz="4" w:space="0" w:color="auto"/>
            </w:tcBorders>
            <w:vAlign w:val="center"/>
          </w:tcPr>
          <w:p w14:paraId="694151E5"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200" w:type="dxa"/>
            <w:tcBorders>
              <w:top w:val="single" w:sz="4" w:space="0" w:color="auto"/>
              <w:left w:val="single" w:sz="4" w:space="0" w:color="auto"/>
              <w:bottom w:val="single" w:sz="4" w:space="0" w:color="auto"/>
              <w:right w:val="single" w:sz="4" w:space="0" w:color="auto"/>
            </w:tcBorders>
            <w:vAlign w:val="center"/>
          </w:tcPr>
          <w:p w14:paraId="003A867A"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166" w:type="dxa"/>
            <w:tcBorders>
              <w:top w:val="single" w:sz="4" w:space="0" w:color="auto"/>
              <w:left w:val="single" w:sz="4" w:space="0" w:color="auto"/>
              <w:bottom w:val="single" w:sz="4" w:space="0" w:color="auto"/>
              <w:right w:val="single" w:sz="4" w:space="0" w:color="auto"/>
            </w:tcBorders>
            <w:vAlign w:val="center"/>
          </w:tcPr>
          <w:p w14:paraId="15342E60" w14:textId="0FB84F2C"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166" w:type="dxa"/>
            <w:tcBorders>
              <w:top w:val="single" w:sz="4" w:space="0" w:color="auto"/>
              <w:left w:val="single" w:sz="4" w:space="0" w:color="auto"/>
              <w:bottom w:val="single" w:sz="4" w:space="0" w:color="auto"/>
              <w:right w:val="single" w:sz="4" w:space="0" w:color="auto"/>
            </w:tcBorders>
            <w:vAlign w:val="center"/>
          </w:tcPr>
          <w:p w14:paraId="5EB89DE8" w14:textId="3D418F2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166" w:type="dxa"/>
            <w:tcBorders>
              <w:top w:val="single" w:sz="4" w:space="0" w:color="auto"/>
              <w:left w:val="single" w:sz="4" w:space="0" w:color="auto"/>
              <w:bottom w:val="single" w:sz="4" w:space="0" w:color="auto"/>
              <w:right w:val="single" w:sz="4" w:space="0" w:color="auto"/>
            </w:tcBorders>
          </w:tcPr>
          <w:p w14:paraId="7D62D461" w14:textId="1CCAFB4A" w:rsidR="00DF008C" w:rsidRPr="00D55FA1" w:rsidRDefault="00EC27AA" w:rsidP="00DF008C">
            <w:pPr>
              <w:widowControl w:val="0"/>
              <w:overflowPunct w:val="0"/>
              <w:autoSpaceDE w:val="0"/>
              <w:autoSpaceDN w:val="0"/>
              <w:adjustRightInd w:val="0"/>
              <w:jc w:val="center"/>
              <w:rPr>
                <w:rFonts w:cs="Arial"/>
                <w:bCs/>
              </w:rPr>
            </w:pPr>
            <w:r>
              <w:rPr>
                <w:rFonts w:cs="Arial"/>
                <w:bCs/>
              </w:rPr>
              <w:t>Yes</w:t>
            </w:r>
          </w:p>
        </w:tc>
        <w:tc>
          <w:tcPr>
            <w:tcW w:w="1166" w:type="dxa"/>
            <w:tcBorders>
              <w:top w:val="single" w:sz="4" w:space="0" w:color="auto"/>
              <w:left w:val="single" w:sz="4" w:space="0" w:color="auto"/>
              <w:bottom w:val="single" w:sz="4" w:space="0" w:color="auto"/>
              <w:right w:val="single" w:sz="4" w:space="0" w:color="auto"/>
            </w:tcBorders>
          </w:tcPr>
          <w:p w14:paraId="078B034E" w14:textId="1523F9EA" w:rsidR="00DF008C" w:rsidRPr="00D55FA1" w:rsidRDefault="008B5921" w:rsidP="00DF008C">
            <w:pPr>
              <w:widowControl w:val="0"/>
              <w:overflowPunct w:val="0"/>
              <w:autoSpaceDE w:val="0"/>
              <w:autoSpaceDN w:val="0"/>
              <w:adjustRightInd w:val="0"/>
              <w:jc w:val="center"/>
              <w:rPr>
                <w:rFonts w:cs="Arial"/>
                <w:bCs/>
              </w:rPr>
            </w:pPr>
            <w:r>
              <w:rPr>
                <w:rFonts w:cs="Arial"/>
                <w:bCs/>
              </w:rPr>
              <w:t>Yes</w:t>
            </w:r>
          </w:p>
        </w:tc>
        <w:tc>
          <w:tcPr>
            <w:tcW w:w="1163" w:type="dxa"/>
            <w:tcBorders>
              <w:top w:val="single" w:sz="4" w:space="0" w:color="auto"/>
              <w:left w:val="single" w:sz="4" w:space="0" w:color="auto"/>
              <w:bottom w:val="single" w:sz="4" w:space="0" w:color="auto"/>
              <w:right w:val="single" w:sz="4" w:space="0" w:color="auto"/>
            </w:tcBorders>
          </w:tcPr>
          <w:p w14:paraId="492506DD" w14:textId="7830F705"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bl>
    <w:p w14:paraId="31CD0C16" w14:textId="77777777" w:rsidR="00EB1E42" w:rsidRPr="00D55FA1" w:rsidRDefault="00EB1E42" w:rsidP="00EB1E42"/>
    <w:p w14:paraId="7FD8715F" w14:textId="77777777" w:rsidR="00EB1E42" w:rsidRPr="00D55FA1" w:rsidRDefault="00EB1E42" w:rsidP="00EB1E42">
      <w:r w:rsidRPr="00D55FA1">
        <w:br w:type="page"/>
      </w:r>
    </w:p>
    <w:p w14:paraId="0984A34D" w14:textId="77777777" w:rsidR="00EB1E42" w:rsidRPr="00D55FA1" w:rsidRDefault="00EB1E42" w:rsidP="00EB1E42">
      <w:pPr>
        <w:pStyle w:val="Heading2"/>
        <w:spacing w:before="0"/>
        <w:jc w:val="center"/>
        <w:rPr>
          <w:rFonts w:cs="Arial"/>
        </w:rPr>
      </w:pPr>
      <w:bookmarkStart w:id="124" w:name="_Toc212718043"/>
      <w:r w:rsidRPr="00D55FA1">
        <w:lastRenderedPageBreak/>
        <w:t>Indicator 4B: Suspension and Expulsion Rate by Race or Ethnicity</w:t>
      </w:r>
      <w:bookmarkEnd w:id="124"/>
    </w:p>
    <w:p w14:paraId="653C03CD" w14:textId="77777777" w:rsidR="00EB1E42" w:rsidRPr="00D55FA1" w:rsidRDefault="001807C2" w:rsidP="00EB1E42">
      <w:pPr>
        <w:pStyle w:val="Heading3"/>
        <w:spacing w:before="0"/>
      </w:pPr>
      <w:bookmarkStart w:id="125" w:name="_Toc212718044"/>
      <w:r w:rsidRPr="00D55FA1">
        <w:t>Description</w:t>
      </w:r>
      <w:bookmarkEnd w:id="125"/>
    </w:p>
    <w:p w14:paraId="0F706E22" w14:textId="7831BA2C" w:rsidR="00EB1E42" w:rsidRPr="00D55FA1" w:rsidRDefault="00EB1E42" w:rsidP="00EB1E42">
      <w:pPr>
        <w:tabs>
          <w:tab w:val="left" w:pos="720"/>
          <w:tab w:val="center" w:pos="4680"/>
          <w:tab w:val="right" w:pos="9360"/>
        </w:tabs>
        <w:rPr>
          <w:rFonts w:cs="Arial"/>
        </w:rPr>
      </w:pPr>
      <w:r w:rsidRPr="00D55FA1">
        <w:rPr>
          <w:rFonts w:cs="Arial"/>
        </w:rPr>
        <w:t xml:space="preserve">Indicator 4B is a compliance indicator that measures the </w:t>
      </w:r>
      <w:proofErr w:type="gramStart"/>
      <w:r w:rsidRPr="00D55FA1">
        <w:rPr>
          <w:rFonts w:cs="Arial"/>
        </w:rPr>
        <w:t>percent</w:t>
      </w:r>
      <w:proofErr w:type="gramEnd"/>
      <w:r w:rsidRPr="00D55FA1">
        <w:rPr>
          <w:rFonts w:cs="Arial"/>
        </w:rPr>
        <w:t xml:space="preserve"> of LEAs that have: </w:t>
      </w:r>
    </w:p>
    <w:p w14:paraId="13F15F2A" w14:textId="370E6CB6" w:rsidR="00EB1E42" w:rsidRPr="00D55FA1" w:rsidRDefault="006543F3" w:rsidP="006E3D8C">
      <w:pPr>
        <w:tabs>
          <w:tab w:val="left" w:pos="720"/>
          <w:tab w:val="center" w:pos="4680"/>
          <w:tab w:val="right" w:pos="9360"/>
        </w:tabs>
        <w:spacing w:after="240"/>
        <w:rPr>
          <w:rFonts w:cs="Arial"/>
        </w:rPr>
      </w:pPr>
      <w:r>
        <w:rPr>
          <w:rFonts w:cs="Arial"/>
        </w:rPr>
        <w:t xml:space="preserve">(1) </w:t>
      </w:r>
      <w:r w:rsidR="001807C2" w:rsidRPr="00D55FA1">
        <w:rPr>
          <w:rFonts w:cs="Arial"/>
        </w:rPr>
        <w:t xml:space="preserve">a </w:t>
      </w:r>
      <w:r w:rsidR="00EB1E42" w:rsidRPr="00D55FA1">
        <w:rPr>
          <w:rFonts w:cs="Arial"/>
        </w:rPr>
        <w:t>significant discrepancy,</w:t>
      </w:r>
      <w:r w:rsidR="001807C2" w:rsidRPr="00D55FA1">
        <w:rPr>
          <w:rFonts w:cs="Arial"/>
        </w:rPr>
        <w:t xml:space="preserve"> as defined by the State,</w:t>
      </w:r>
      <w:r w:rsidR="00EB1E42" w:rsidRPr="00D55FA1">
        <w:rPr>
          <w:rFonts w:cs="Arial"/>
        </w:rPr>
        <w:t xml:space="preserve"> by race or ethnicity, in the rate of suspensions and expulsions of greater than 10 days in a school year for students with disabilities; and (2) policies, procedures, or practices that contribute to the significant discrepancy and do not comply with requirements relating to the development and implementation of IEPs, the use of positive behavioral interventions and supports, and procedural safeguards.</w:t>
      </w:r>
      <w:r w:rsidR="001807C2" w:rsidRPr="00D55FA1">
        <w:rPr>
          <w:rFonts w:cs="Arial"/>
        </w:rPr>
        <w:t xml:space="preserve"> </w:t>
      </w:r>
      <w:r w:rsidR="00EB1E42" w:rsidRPr="00D55FA1">
        <w:rPr>
          <w:rFonts w:cs="Arial"/>
        </w:rPr>
        <w:t xml:space="preserve">The data </w:t>
      </w:r>
      <w:r>
        <w:rPr>
          <w:rFonts w:cs="Arial"/>
        </w:rPr>
        <w:t>is</w:t>
      </w:r>
      <w:r w:rsidR="00EB1E42" w:rsidRPr="00D55FA1">
        <w:rPr>
          <w:rFonts w:cs="Arial"/>
        </w:rPr>
        <w:t xml:space="preserve"> reported using the CALPADS data from the prior year.</w:t>
      </w:r>
    </w:p>
    <w:p w14:paraId="43C213A0" w14:textId="77777777" w:rsidR="00EB1E42" w:rsidRPr="00D55FA1" w:rsidRDefault="001807C2" w:rsidP="00EB1E42">
      <w:pPr>
        <w:pStyle w:val="Heading3"/>
        <w:spacing w:before="0"/>
      </w:pPr>
      <w:bookmarkStart w:id="126" w:name="_Toc212718045"/>
      <w:r w:rsidRPr="00D55FA1">
        <w:t>Measurement</w:t>
      </w:r>
      <w:bookmarkEnd w:id="126"/>
    </w:p>
    <w:p w14:paraId="6BDFDFC2" w14:textId="6791691E" w:rsidR="001807C2" w:rsidRPr="00D55FA1" w:rsidRDefault="001807C2" w:rsidP="005E62B2">
      <w:pPr>
        <w:spacing w:after="240"/>
        <w:rPr>
          <w:b/>
        </w:rPr>
      </w:pPr>
      <w:r w:rsidRPr="00D55FA1">
        <w:t>Percent = [(</w:t>
      </w:r>
      <w:r w:rsidR="00C7167F" w:rsidRPr="00D55FA1">
        <w:t>number</w:t>
      </w:r>
      <w:r w:rsidRPr="00D55FA1">
        <w:t xml:space="preserve"> of LEAs that meet the State-established n and/or cell size (if applicable) for one or more racial/ethnic groups that have: (a) a significant discrepancy, as defined by the State, by race or ethnicity, in the rates of suspensions and expulsions of more than 10 days during the school year of children with IEPs; and (b) policies, procedures or practices that contribute to the significant discrepancy, as defined by the State, and do not comply with requirements relating to the development and implementation of IEPs, the use of positive behavioral interventions and supports, and procedural safeguards) divided by the (</w:t>
      </w:r>
      <w:r w:rsidR="00C7167F" w:rsidRPr="00D55FA1">
        <w:t>number</w:t>
      </w:r>
      <w:r w:rsidRPr="00D55FA1">
        <w:t xml:space="preserve"> of LEAs in the State that meet the State-established n and/or cell size (if applicable) for one or more racial/ethnic groups)] times 100.</w:t>
      </w:r>
    </w:p>
    <w:p w14:paraId="06997F81" w14:textId="05158616" w:rsidR="00EB1E42" w:rsidRPr="00BB37DF" w:rsidRDefault="001807C2" w:rsidP="00BB37DF">
      <w:pPr>
        <w:spacing w:after="240"/>
        <w:rPr>
          <w:b/>
          <w:bCs/>
        </w:rPr>
      </w:pPr>
      <w:r w:rsidRPr="00BB37DF">
        <w:rPr>
          <w:b/>
          <w:bCs/>
        </w:rPr>
        <w:t xml:space="preserve">Target Met: </w:t>
      </w:r>
      <w:r w:rsidR="00EC27AA" w:rsidRPr="00BB37DF">
        <w:rPr>
          <w:b/>
          <w:bCs/>
        </w:rPr>
        <w:t>No</w:t>
      </w:r>
    </w:p>
    <w:p w14:paraId="4AAD1FAA" w14:textId="0BFF16A9" w:rsidR="00EB1E42" w:rsidRPr="00BB37DF" w:rsidRDefault="00BB37DF" w:rsidP="00BB37DF">
      <w:pPr>
        <w:spacing w:after="240"/>
        <w:rPr>
          <w:b/>
          <w:bCs/>
        </w:rPr>
      </w:pPr>
      <w:r w:rsidRPr="00BB37DF">
        <w:rPr>
          <w:b/>
          <w:bCs/>
        </w:rPr>
        <w:t xml:space="preserve">Table 9: </w:t>
      </w:r>
      <w:r w:rsidR="00EB1E42" w:rsidRPr="00BB37DF">
        <w:rPr>
          <w:b/>
          <w:bCs/>
        </w:rPr>
        <w:t xml:space="preserve">Suspension and Expulsion by Race or Ethnicity </w:t>
      </w:r>
      <w:r w:rsidR="001807C2" w:rsidRPr="00BB37DF">
        <w:rPr>
          <w:b/>
          <w:bCs/>
        </w:rPr>
        <w:t xml:space="preserve">Targets and Results for FFYs </w:t>
      </w:r>
      <w:r w:rsidR="0066332C" w:rsidRPr="00BB37DF">
        <w:rPr>
          <w:b/>
          <w:bCs/>
        </w:rPr>
        <w:t>2020</w:t>
      </w:r>
      <w:r w:rsidR="0066332C" w:rsidRPr="00BB37DF">
        <w:rPr>
          <w:rFonts w:cs="Arial"/>
          <w:b/>
          <w:bCs/>
        </w:rPr>
        <w:t>–25</w:t>
      </w:r>
    </w:p>
    <w:tbl>
      <w:tblPr>
        <w:tblStyle w:val="TableGrid1"/>
        <w:tblW w:w="9006" w:type="dxa"/>
        <w:tblLook w:val="04A0" w:firstRow="1" w:lastRow="0" w:firstColumn="1" w:lastColumn="0" w:noHBand="0" w:noVBand="1"/>
        <w:tblDescription w:val="Indicator 4B Targets and Results"/>
      </w:tblPr>
      <w:tblGrid>
        <w:gridCol w:w="2043"/>
        <w:gridCol w:w="1193"/>
        <w:gridCol w:w="1154"/>
        <w:gridCol w:w="1154"/>
        <w:gridCol w:w="1154"/>
        <w:gridCol w:w="1154"/>
        <w:gridCol w:w="1154"/>
      </w:tblGrid>
      <w:tr w:rsidR="0066332C" w:rsidRPr="00D55FA1" w14:paraId="4337384F" w14:textId="77777777" w:rsidTr="00961037">
        <w:trPr>
          <w:cantSplit/>
          <w:trHeight w:val="320"/>
          <w:tblHeader/>
        </w:trPr>
        <w:tc>
          <w:tcPr>
            <w:tcW w:w="2043" w:type="dxa"/>
            <w:tcBorders>
              <w:top w:val="single" w:sz="4" w:space="0" w:color="auto"/>
              <w:left w:val="single" w:sz="4" w:space="0" w:color="auto"/>
              <w:bottom w:val="single" w:sz="4" w:space="0" w:color="auto"/>
              <w:right w:val="single" w:sz="4" w:space="0" w:color="auto"/>
            </w:tcBorders>
            <w:vAlign w:val="center"/>
            <w:hideMark/>
          </w:tcPr>
          <w:p w14:paraId="3DAB4979" w14:textId="77777777" w:rsidR="0066332C" w:rsidRPr="00D55FA1" w:rsidRDefault="0066332C" w:rsidP="00961037">
            <w:pPr>
              <w:widowControl w:val="0"/>
              <w:overflowPunct w:val="0"/>
              <w:autoSpaceDE w:val="0"/>
              <w:autoSpaceDN w:val="0"/>
              <w:adjustRightInd w:val="0"/>
              <w:jc w:val="center"/>
              <w:rPr>
                <w:rFonts w:cs="Arial"/>
                <w:b/>
                <w:bCs/>
                <w:szCs w:val="22"/>
              </w:rPr>
            </w:pPr>
            <w:r w:rsidRPr="00D55FA1">
              <w:rPr>
                <w:rFonts w:cs="Arial"/>
                <w:b/>
                <w:bCs/>
              </w:rPr>
              <w:t>Indicator 4b</w:t>
            </w:r>
          </w:p>
        </w:tc>
        <w:tc>
          <w:tcPr>
            <w:tcW w:w="1193" w:type="dxa"/>
            <w:tcBorders>
              <w:top w:val="single" w:sz="4" w:space="0" w:color="auto"/>
              <w:left w:val="single" w:sz="4" w:space="0" w:color="auto"/>
              <w:bottom w:val="single" w:sz="4" w:space="0" w:color="auto"/>
              <w:right w:val="single" w:sz="4" w:space="0" w:color="auto"/>
            </w:tcBorders>
            <w:vAlign w:val="center"/>
            <w:hideMark/>
          </w:tcPr>
          <w:p w14:paraId="0FC2CB27"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2020</w:t>
            </w:r>
          </w:p>
        </w:tc>
        <w:tc>
          <w:tcPr>
            <w:tcW w:w="1154" w:type="dxa"/>
            <w:tcBorders>
              <w:top w:val="single" w:sz="4" w:space="0" w:color="auto"/>
              <w:left w:val="single" w:sz="4" w:space="0" w:color="auto"/>
              <w:bottom w:val="single" w:sz="4" w:space="0" w:color="auto"/>
              <w:right w:val="single" w:sz="4" w:space="0" w:color="auto"/>
            </w:tcBorders>
            <w:vAlign w:val="center"/>
            <w:hideMark/>
          </w:tcPr>
          <w:p w14:paraId="116D4EA9"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2021</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FF5363C"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2022</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94D2E42"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2023</w:t>
            </w:r>
          </w:p>
        </w:tc>
        <w:tc>
          <w:tcPr>
            <w:tcW w:w="1154" w:type="dxa"/>
            <w:tcBorders>
              <w:top w:val="single" w:sz="4" w:space="0" w:color="auto"/>
              <w:left w:val="single" w:sz="4" w:space="0" w:color="auto"/>
              <w:bottom w:val="single" w:sz="4" w:space="0" w:color="auto"/>
              <w:right w:val="single" w:sz="4" w:space="0" w:color="auto"/>
            </w:tcBorders>
            <w:vAlign w:val="center"/>
            <w:hideMark/>
          </w:tcPr>
          <w:p w14:paraId="154BFC85"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2024</w:t>
            </w:r>
          </w:p>
        </w:tc>
        <w:tc>
          <w:tcPr>
            <w:tcW w:w="1154" w:type="dxa"/>
            <w:tcBorders>
              <w:top w:val="single" w:sz="4" w:space="0" w:color="auto"/>
              <w:left w:val="single" w:sz="4" w:space="0" w:color="auto"/>
              <w:bottom w:val="single" w:sz="4" w:space="0" w:color="auto"/>
              <w:right w:val="single" w:sz="4" w:space="0" w:color="auto"/>
            </w:tcBorders>
            <w:vAlign w:val="center"/>
            <w:hideMark/>
          </w:tcPr>
          <w:p w14:paraId="6D5FC6E2" w14:textId="77777777" w:rsidR="0066332C" w:rsidRPr="00D55FA1" w:rsidRDefault="0066332C" w:rsidP="00961037">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7F7F1403" w14:textId="77777777" w:rsidTr="00961037">
        <w:trPr>
          <w:cantSplit/>
          <w:trHeight w:val="320"/>
        </w:trPr>
        <w:tc>
          <w:tcPr>
            <w:tcW w:w="2043" w:type="dxa"/>
            <w:tcBorders>
              <w:top w:val="single" w:sz="4" w:space="0" w:color="auto"/>
              <w:left w:val="single" w:sz="4" w:space="0" w:color="auto"/>
              <w:bottom w:val="single" w:sz="4" w:space="0" w:color="auto"/>
              <w:right w:val="single" w:sz="4" w:space="0" w:color="auto"/>
            </w:tcBorders>
            <w:vAlign w:val="center"/>
            <w:hideMark/>
          </w:tcPr>
          <w:p w14:paraId="67009B04"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Target</w:t>
            </w:r>
          </w:p>
        </w:tc>
        <w:tc>
          <w:tcPr>
            <w:tcW w:w="1193" w:type="dxa"/>
            <w:tcBorders>
              <w:top w:val="single" w:sz="4" w:space="0" w:color="auto"/>
              <w:left w:val="single" w:sz="4" w:space="0" w:color="auto"/>
              <w:bottom w:val="single" w:sz="4" w:space="0" w:color="auto"/>
              <w:right w:val="single" w:sz="4" w:space="0" w:color="auto"/>
            </w:tcBorders>
            <w:vAlign w:val="center"/>
            <w:hideMark/>
          </w:tcPr>
          <w:p w14:paraId="284A9CAB"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0%</w:t>
            </w:r>
          </w:p>
        </w:tc>
        <w:tc>
          <w:tcPr>
            <w:tcW w:w="1154" w:type="dxa"/>
            <w:tcBorders>
              <w:top w:val="single" w:sz="4" w:space="0" w:color="auto"/>
              <w:left w:val="single" w:sz="4" w:space="0" w:color="auto"/>
              <w:bottom w:val="single" w:sz="4" w:space="0" w:color="auto"/>
              <w:right w:val="single" w:sz="4" w:space="0" w:color="auto"/>
            </w:tcBorders>
            <w:vAlign w:val="center"/>
            <w:hideMark/>
          </w:tcPr>
          <w:p w14:paraId="5B385FE2"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0%</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C7C4B8A"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0%</w:t>
            </w:r>
          </w:p>
        </w:tc>
        <w:tc>
          <w:tcPr>
            <w:tcW w:w="1154" w:type="dxa"/>
            <w:tcBorders>
              <w:top w:val="single" w:sz="4" w:space="0" w:color="auto"/>
              <w:left w:val="single" w:sz="4" w:space="0" w:color="auto"/>
              <w:bottom w:val="single" w:sz="4" w:space="0" w:color="auto"/>
              <w:right w:val="single" w:sz="4" w:space="0" w:color="auto"/>
            </w:tcBorders>
            <w:vAlign w:val="center"/>
            <w:hideMark/>
          </w:tcPr>
          <w:p w14:paraId="1BEFDE1A"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0%</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0550101"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0%</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A65C63F" w14:textId="77777777" w:rsidR="0066332C" w:rsidRPr="00D55FA1" w:rsidRDefault="0066332C" w:rsidP="00961037">
            <w:pPr>
              <w:widowControl w:val="0"/>
              <w:overflowPunct w:val="0"/>
              <w:autoSpaceDE w:val="0"/>
              <w:autoSpaceDN w:val="0"/>
              <w:adjustRightInd w:val="0"/>
              <w:jc w:val="center"/>
              <w:rPr>
                <w:rFonts w:cs="Arial"/>
                <w:bCs/>
              </w:rPr>
            </w:pPr>
            <w:r w:rsidRPr="00D55FA1">
              <w:rPr>
                <w:rFonts w:cs="Arial"/>
                <w:bCs/>
              </w:rPr>
              <w:t>0%</w:t>
            </w:r>
          </w:p>
        </w:tc>
      </w:tr>
      <w:tr w:rsidR="00DF008C" w:rsidRPr="00D55FA1" w14:paraId="6C744038" w14:textId="77777777" w:rsidTr="00DF008C">
        <w:trPr>
          <w:cantSplit/>
          <w:trHeight w:val="320"/>
        </w:trPr>
        <w:tc>
          <w:tcPr>
            <w:tcW w:w="2043" w:type="dxa"/>
            <w:tcBorders>
              <w:top w:val="single" w:sz="4" w:space="0" w:color="auto"/>
              <w:left w:val="single" w:sz="4" w:space="0" w:color="auto"/>
              <w:bottom w:val="single" w:sz="4" w:space="0" w:color="auto"/>
              <w:right w:val="single" w:sz="4" w:space="0" w:color="auto"/>
            </w:tcBorders>
            <w:vAlign w:val="center"/>
          </w:tcPr>
          <w:p w14:paraId="2399EC42"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w:t>
            </w:r>
          </w:p>
        </w:tc>
        <w:tc>
          <w:tcPr>
            <w:tcW w:w="1193" w:type="dxa"/>
            <w:tcBorders>
              <w:top w:val="single" w:sz="4" w:space="0" w:color="auto"/>
              <w:left w:val="single" w:sz="4" w:space="0" w:color="auto"/>
              <w:bottom w:val="single" w:sz="4" w:space="0" w:color="auto"/>
              <w:right w:val="single" w:sz="4" w:space="0" w:color="auto"/>
            </w:tcBorders>
            <w:vAlign w:val="center"/>
          </w:tcPr>
          <w:p w14:paraId="6EAC9681"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1.47%</w:t>
            </w:r>
          </w:p>
        </w:tc>
        <w:tc>
          <w:tcPr>
            <w:tcW w:w="1154" w:type="dxa"/>
            <w:tcBorders>
              <w:top w:val="single" w:sz="4" w:space="0" w:color="auto"/>
              <w:left w:val="single" w:sz="4" w:space="0" w:color="auto"/>
              <w:bottom w:val="single" w:sz="4" w:space="0" w:color="auto"/>
              <w:right w:val="single" w:sz="4" w:space="0" w:color="auto"/>
            </w:tcBorders>
            <w:vAlign w:val="center"/>
          </w:tcPr>
          <w:p w14:paraId="41F9AE5E" w14:textId="28F86A4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0%</w:t>
            </w:r>
          </w:p>
        </w:tc>
        <w:tc>
          <w:tcPr>
            <w:tcW w:w="1154" w:type="dxa"/>
            <w:tcBorders>
              <w:top w:val="single" w:sz="4" w:space="0" w:color="auto"/>
              <w:left w:val="single" w:sz="4" w:space="0" w:color="auto"/>
              <w:bottom w:val="single" w:sz="4" w:space="0" w:color="auto"/>
              <w:right w:val="single" w:sz="4" w:space="0" w:color="auto"/>
            </w:tcBorders>
            <w:vAlign w:val="center"/>
          </w:tcPr>
          <w:p w14:paraId="00F03A6D" w14:textId="0E9BFBC0"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0%</w:t>
            </w:r>
          </w:p>
        </w:tc>
        <w:tc>
          <w:tcPr>
            <w:tcW w:w="1154" w:type="dxa"/>
            <w:tcBorders>
              <w:top w:val="single" w:sz="4" w:space="0" w:color="auto"/>
              <w:left w:val="single" w:sz="4" w:space="0" w:color="auto"/>
              <w:bottom w:val="single" w:sz="4" w:space="0" w:color="auto"/>
              <w:right w:val="single" w:sz="4" w:space="0" w:color="auto"/>
            </w:tcBorders>
          </w:tcPr>
          <w:p w14:paraId="6930E822" w14:textId="2AD4148F" w:rsidR="00DF008C" w:rsidRPr="00D55FA1" w:rsidRDefault="00EC27AA" w:rsidP="00DF008C">
            <w:pPr>
              <w:widowControl w:val="0"/>
              <w:overflowPunct w:val="0"/>
              <w:autoSpaceDE w:val="0"/>
              <w:autoSpaceDN w:val="0"/>
              <w:adjustRightInd w:val="0"/>
              <w:jc w:val="center"/>
              <w:rPr>
                <w:rFonts w:cs="Arial"/>
                <w:bCs/>
              </w:rPr>
            </w:pPr>
            <w:r>
              <w:rPr>
                <w:rFonts w:cs="Arial"/>
                <w:bCs/>
              </w:rPr>
              <w:t>0.33%</w:t>
            </w:r>
          </w:p>
        </w:tc>
        <w:tc>
          <w:tcPr>
            <w:tcW w:w="1154" w:type="dxa"/>
            <w:tcBorders>
              <w:top w:val="single" w:sz="4" w:space="0" w:color="auto"/>
              <w:left w:val="single" w:sz="4" w:space="0" w:color="auto"/>
              <w:bottom w:val="single" w:sz="4" w:space="0" w:color="auto"/>
              <w:right w:val="single" w:sz="4" w:space="0" w:color="auto"/>
            </w:tcBorders>
          </w:tcPr>
          <w:p w14:paraId="20E36DAB" w14:textId="51E56AE6" w:rsidR="00DF008C" w:rsidRPr="00D55FA1" w:rsidRDefault="00B67484" w:rsidP="00DF008C">
            <w:pPr>
              <w:widowControl w:val="0"/>
              <w:overflowPunct w:val="0"/>
              <w:autoSpaceDE w:val="0"/>
              <w:autoSpaceDN w:val="0"/>
              <w:adjustRightInd w:val="0"/>
              <w:jc w:val="center"/>
              <w:rPr>
                <w:rFonts w:cs="Arial"/>
                <w:bCs/>
              </w:rPr>
            </w:pPr>
            <w:r>
              <w:rPr>
                <w:rFonts w:cs="Arial"/>
                <w:bCs/>
              </w:rPr>
              <w:t>0.55%</w:t>
            </w:r>
          </w:p>
        </w:tc>
        <w:tc>
          <w:tcPr>
            <w:tcW w:w="1154" w:type="dxa"/>
            <w:tcBorders>
              <w:top w:val="single" w:sz="4" w:space="0" w:color="auto"/>
              <w:left w:val="single" w:sz="4" w:space="0" w:color="auto"/>
              <w:bottom w:val="single" w:sz="4" w:space="0" w:color="auto"/>
              <w:right w:val="single" w:sz="4" w:space="0" w:color="auto"/>
            </w:tcBorders>
          </w:tcPr>
          <w:p w14:paraId="32D85219" w14:textId="498388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54CFCEF0" w14:textId="77777777" w:rsidTr="00DF008C">
        <w:trPr>
          <w:cantSplit/>
          <w:trHeight w:val="320"/>
        </w:trPr>
        <w:tc>
          <w:tcPr>
            <w:tcW w:w="2043" w:type="dxa"/>
            <w:tcBorders>
              <w:top w:val="single" w:sz="4" w:space="0" w:color="auto"/>
              <w:left w:val="single" w:sz="4" w:space="0" w:color="auto"/>
              <w:bottom w:val="single" w:sz="4" w:space="0" w:color="auto"/>
              <w:right w:val="single" w:sz="4" w:space="0" w:color="auto"/>
            </w:tcBorders>
            <w:vAlign w:val="center"/>
          </w:tcPr>
          <w:p w14:paraId="25A94DF8"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193" w:type="dxa"/>
            <w:tcBorders>
              <w:top w:val="single" w:sz="4" w:space="0" w:color="auto"/>
              <w:left w:val="single" w:sz="4" w:space="0" w:color="auto"/>
              <w:bottom w:val="single" w:sz="4" w:space="0" w:color="auto"/>
              <w:right w:val="single" w:sz="4" w:space="0" w:color="auto"/>
            </w:tcBorders>
            <w:vAlign w:val="center"/>
          </w:tcPr>
          <w:p w14:paraId="2B35A0A7"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54" w:type="dxa"/>
            <w:tcBorders>
              <w:top w:val="single" w:sz="4" w:space="0" w:color="auto"/>
              <w:left w:val="single" w:sz="4" w:space="0" w:color="auto"/>
              <w:bottom w:val="single" w:sz="4" w:space="0" w:color="auto"/>
              <w:right w:val="single" w:sz="4" w:space="0" w:color="auto"/>
            </w:tcBorders>
            <w:vAlign w:val="center"/>
          </w:tcPr>
          <w:p w14:paraId="0CE19BC3" w14:textId="119E2156"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154" w:type="dxa"/>
            <w:tcBorders>
              <w:top w:val="single" w:sz="4" w:space="0" w:color="auto"/>
              <w:left w:val="single" w:sz="4" w:space="0" w:color="auto"/>
              <w:bottom w:val="single" w:sz="4" w:space="0" w:color="auto"/>
              <w:right w:val="single" w:sz="4" w:space="0" w:color="auto"/>
            </w:tcBorders>
            <w:vAlign w:val="center"/>
          </w:tcPr>
          <w:p w14:paraId="63966B72" w14:textId="70354991"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154" w:type="dxa"/>
            <w:tcBorders>
              <w:top w:val="single" w:sz="4" w:space="0" w:color="auto"/>
              <w:left w:val="single" w:sz="4" w:space="0" w:color="auto"/>
              <w:bottom w:val="single" w:sz="4" w:space="0" w:color="auto"/>
              <w:right w:val="single" w:sz="4" w:space="0" w:color="auto"/>
            </w:tcBorders>
          </w:tcPr>
          <w:p w14:paraId="23536548" w14:textId="21A58446" w:rsidR="00DF008C" w:rsidRPr="00D55FA1" w:rsidRDefault="00EC27AA" w:rsidP="00DF008C">
            <w:pPr>
              <w:widowControl w:val="0"/>
              <w:overflowPunct w:val="0"/>
              <w:autoSpaceDE w:val="0"/>
              <w:autoSpaceDN w:val="0"/>
              <w:adjustRightInd w:val="0"/>
              <w:jc w:val="center"/>
              <w:rPr>
                <w:rFonts w:cs="Arial"/>
                <w:bCs/>
              </w:rPr>
            </w:pPr>
            <w:r>
              <w:rPr>
                <w:rFonts w:cs="Arial"/>
                <w:bCs/>
              </w:rPr>
              <w:t>No</w:t>
            </w:r>
          </w:p>
        </w:tc>
        <w:tc>
          <w:tcPr>
            <w:tcW w:w="1154" w:type="dxa"/>
            <w:tcBorders>
              <w:top w:val="single" w:sz="4" w:space="0" w:color="auto"/>
              <w:left w:val="single" w:sz="4" w:space="0" w:color="auto"/>
              <w:bottom w:val="single" w:sz="4" w:space="0" w:color="auto"/>
              <w:right w:val="single" w:sz="4" w:space="0" w:color="auto"/>
            </w:tcBorders>
          </w:tcPr>
          <w:p w14:paraId="271AE1F2" w14:textId="5508C8FF" w:rsidR="00DF008C" w:rsidRPr="00D55FA1" w:rsidRDefault="00B67484" w:rsidP="00DF008C">
            <w:pPr>
              <w:widowControl w:val="0"/>
              <w:overflowPunct w:val="0"/>
              <w:autoSpaceDE w:val="0"/>
              <w:autoSpaceDN w:val="0"/>
              <w:adjustRightInd w:val="0"/>
              <w:jc w:val="center"/>
              <w:rPr>
                <w:rFonts w:cs="Arial"/>
                <w:bCs/>
              </w:rPr>
            </w:pPr>
            <w:r>
              <w:rPr>
                <w:rFonts w:cs="Arial"/>
                <w:bCs/>
              </w:rPr>
              <w:t>No</w:t>
            </w:r>
          </w:p>
        </w:tc>
        <w:tc>
          <w:tcPr>
            <w:tcW w:w="1154" w:type="dxa"/>
            <w:tcBorders>
              <w:top w:val="single" w:sz="4" w:space="0" w:color="auto"/>
              <w:left w:val="single" w:sz="4" w:space="0" w:color="auto"/>
              <w:bottom w:val="single" w:sz="4" w:space="0" w:color="auto"/>
              <w:right w:val="single" w:sz="4" w:space="0" w:color="auto"/>
            </w:tcBorders>
          </w:tcPr>
          <w:p w14:paraId="4AE5B7AF" w14:textId="5617296D"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bl>
    <w:p w14:paraId="3955E093" w14:textId="77777777" w:rsidR="00EB1E42" w:rsidRPr="00D55FA1" w:rsidRDefault="00EB1E42" w:rsidP="00EB1E42"/>
    <w:p w14:paraId="12C42424" w14:textId="77777777" w:rsidR="001807C2" w:rsidRPr="00D55FA1" w:rsidRDefault="001807C2">
      <w:pPr>
        <w:spacing w:after="160" w:line="259" w:lineRule="auto"/>
      </w:pPr>
      <w:r w:rsidRPr="00D55FA1">
        <w:br w:type="page"/>
      </w:r>
    </w:p>
    <w:p w14:paraId="41E6AC33" w14:textId="77777777" w:rsidR="00EB1E42" w:rsidRPr="00D55FA1" w:rsidRDefault="00EB1E42" w:rsidP="00EB1E42">
      <w:pPr>
        <w:pStyle w:val="Heading2"/>
        <w:spacing w:before="840"/>
        <w:jc w:val="center"/>
      </w:pPr>
      <w:bookmarkStart w:id="127" w:name="_Toc212718046"/>
      <w:r w:rsidRPr="00D55FA1">
        <w:lastRenderedPageBreak/>
        <w:t>Indicator 5: Education Environments</w:t>
      </w:r>
      <w:bookmarkEnd w:id="127"/>
    </w:p>
    <w:p w14:paraId="34E8A8B8" w14:textId="77777777" w:rsidR="00EB1E42" w:rsidRPr="00D55FA1" w:rsidRDefault="00FF4673" w:rsidP="00EB1E42">
      <w:pPr>
        <w:pStyle w:val="Heading3"/>
        <w:spacing w:before="0"/>
      </w:pPr>
      <w:bookmarkStart w:id="128" w:name="_Toc212718047"/>
      <w:r w:rsidRPr="00D55FA1">
        <w:t>Description</w:t>
      </w:r>
      <w:bookmarkEnd w:id="128"/>
    </w:p>
    <w:p w14:paraId="73407045" w14:textId="3AA1A853" w:rsidR="001F5D16" w:rsidRPr="00D55FA1" w:rsidRDefault="00EB1E42" w:rsidP="00EB1E42">
      <w:pPr>
        <w:spacing w:after="240"/>
        <w:rPr>
          <w:rFonts w:cs="Arial"/>
        </w:rPr>
      </w:pPr>
      <w:bookmarkStart w:id="129" w:name="_Hlk118736244"/>
      <w:r w:rsidRPr="00D55FA1">
        <w:rPr>
          <w:rFonts w:cs="Arial"/>
        </w:rPr>
        <w:t>Indicator 5 is a performance indicator that measures the percent of students with disabilities, aged five who are enrolled in kindergarten</w:t>
      </w:r>
      <w:r w:rsidR="0085131D" w:rsidRPr="00D55FA1">
        <w:rPr>
          <w:rFonts w:cs="Arial"/>
        </w:rPr>
        <w:t>,</w:t>
      </w:r>
      <w:r w:rsidR="00A334AB" w:rsidRPr="00D55FA1">
        <w:t xml:space="preserve"> includ</w:t>
      </w:r>
      <w:r w:rsidR="0091682E" w:rsidRPr="00D55FA1">
        <w:t>ing</w:t>
      </w:r>
      <w:r w:rsidR="00A334AB" w:rsidRPr="00D55FA1">
        <w:t xml:space="preserve"> five-year old’s who are enrolled in </w:t>
      </w:r>
      <w:r w:rsidR="00357778">
        <w:t>TK</w:t>
      </w:r>
      <w:r w:rsidR="0085131D" w:rsidRPr="00D55FA1">
        <w:t>,</w:t>
      </w:r>
      <w:r w:rsidRPr="00D55FA1">
        <w:rPr>
          <w:rFonts w:cs="Arial"/>
        </w:rPr>
        <w:t xml:space="preserve"> and aged six to twenty-two, served</w:t>
      </w:r>
      <w:r w:rsidR="001F5D16" w:rsidRPr="00D55FA1">
        <w:rPr>
          <w:rFonts w:cs="Arial"/>
        </w:rPr>
        <w:t xml:space="preserve">: </w:t>
      </w:r>
    </w:p>
    <w:bookmarkEnd w:id="129"/>
    <w:p w14:paraId="352A381F" w14:textId="03E28029" w:rsidR="001F5D16" w:rsidRPr="00D55FA1" w:rsidRDefault="00EB1E42" w:rsidP="005E62B2">
      <w:pPr>
        <w:pStyle w:val="ListParagraph"/>
        <w:numPr>
          <w:ilvl w:val="0"/>
          <w:numId w:val="11"/>
        </w:numPr>
        <w:spacing w:after="240"/>
        <w:contextualSpacing w:val="0"/>
        <w:rPr>
          <w:rFonts w:cs="Arial"/>
        </w:rPr>
      </w:pPr>
      <w:r w:rsidRPr="00D55FA1">
        <w:rPr>
          <w:rFonts w:cs="Arial"/>
        </w:rPr>
        <w:t xml:space="preserve">inside the regular class 80 percent or more of the </w:t>
      </w:r>
      <w:proofErr w:type="gramStart"/>
      <w:r w:rsidRPr="00D55FA1">
        <w:rPr>
          <w:rFonts w:cs="Arial"/>
        </w:rPr>
        <w:t>day;</w:t>
      </w:r>
      <w:proofErr w:type="gramEnd"/>
      <w:r w:rsidRPr="00D55FA1">
        <w:rPr>
          <w:rFonts w:cs="Arial"/>
        </w:rPr>
        <w:t xml:space="preserve"> </w:t>
      </w:r>
    </w:p>
    <w:p w14:paraId="02DFB7EA" w14:textId="5A334E4A" w:rsidR="001F5D16" w:rsidRPr="00D55FA1" w:rsidRDefault="00EB1E42" w:rsidP="005E62B2">
      <w:pPr>
        <w:pStyle w:val="ListParagraph"/>
        <w:numPr>
          <w:ilvl w:val="0"/>
          <w:numId w:val="11"/>
        </w:numPr>
        <w:spacing w:after="240"/>
        <w:contextualSpacing w:val="0"/>
        <w:rPr>
          <w:rFonts w:cs="Arial"/>
        </w:rPr>
      </w:pPr>
      <w:r w:rsidRPr="00D55FA1">
        <w:rPr>
          <w:rFonts w:cs="Arial"/>
        </w:rPr>
        <w:t>inside the regular class less than 40 percent of the day</w:t>
      </w:r>
      <w:r w:rsidR="00343C75">
        <w:rPr>
          <w:rFonts w:cs="Arial"/>
        </w:rPr>
        <w:t>;</w:t>
      </w:r>
      <w:r w:rsidRPr="00D55FA1">
        <w:rPr>
          <w:rFonts w:cs="Arial"/>
        </w:rPr>
        <w:t xml:space="preserve"> and </w:t>
      </w:r>
    </w:p>
    <w:p w14:paraId="3314492F" w14:textId="0EE999A6" w:rsidR="00F768B3" w:rsidRPr="00D55FA1" w:rsidRDefault="00EB1E42" w:rsidP="0058564A">
      <w:pPr>
        <w:pStyle w:val="ListParagraph"/>
        <w:numPr>
          <w:ilvl w:val="0"/>
          <w:numId w:val="11"/>
        </w:numPr>
        <w:spacing w:after="240"/>
        <w:contextualSpacing w:val="0"/>
      </w:pPr>
      <w:r w:rsidRPr="005E62B2">
        <w:rPr>
          <w:rFonts w:cs="Arial"/>
        </w:rPr>
        <w:t>served in public or private separate schools</w:t>
      </w:r>
      <w:r w:rsidRPr="005E62B2">
        <w:rPr>
          <w:rFonts w:cs="Arial"/>
          <w:caps/>
        </w:rPr>
        <w:t xml:space="preserve">, </w:t>
      </w:r>
      <w:r w:rsidRPr="005E62B2">
        <w:rPr>
          <w:rFonts w:cs="Arial"/>
        </w:rPr>
        <w:t>residential facilities, or homebound/hospital placement.</w:t>
      </w:r>
    </w:p>
    <w:p w14:paraId="03A4B546" w14:textId="77777777" w:rsidR="00EB1E42" w:rsidRPr="00D55FA1" w:rsidRDefault="00FF4673" w:rsidP="00EB1E42">
      <w:pPr>
        <w:pStyle w:val="Heading3"/>
        <w:spacing w:before="0"/>
      </w:pPr>
      <w:bookmarkStart w:id="130" w:name="_Toc212718048"/>
      <w:r w:rsidRPr="00D55FA1">
        <w:t>Measurement</w:t>
      </w:r>
      <w:bookmarkEnd w:id="130"/>
    </w:p>
    <w:p w14:paraId="0598F523" w14:textId="45EFDAC0" w:rsidR="001F5D16" w:rsidRPr="00D55FA1" w:rsidRDefault="001F5D16" w:rsidP="005E62B2">
      <w:pPr>
        <w:pStyle w:val="ListParagraph"/>
        <w:numPr>
          <w:ilvl w:val="0"/>
          <w:numId w:val="12"/>
        </w:numPr>
        <w:spacing w:after="240"/>
        <w:contextualSpacing w:val="0"/>
      </w:pPr>
      <w:r w:rsidRPr="00D55FA1">
        <w:t xml:space="preserve">Percent </w:t>
      </w:r>
      <w:proofErr w:type="gramStart"/>
      <w:r w:rsidRPr="00D55FA1">
        <w:t>= [(</w:t>
      </w:r>
      <w:proofErr w:type="gramEnd"/>
      <w:r w:rsidR="00C7167F" w:rsidRPr="00D55FA1">
        <w:t>number</w:t>
      </w:r>
      <w:r w:rsidRPr="00D55FA1">
        <w:t xml:space="preserve"> of children with IEPs aged </w:t>
      </w:r>
      <w:r w:rsidR="00395A79">
        <w:t>five</w:t>
      </w:r>
      <w:r w:rsidRPr="00D55FA1">
        <w:t xml:space="preserve"> who are enrolled in </w:t>
      </w:r>
      <w:r w:rsidR="006A0451">
        <w:t xml:space="preserve">TK and </w:t>
      </w:r>
      <w:r w:rsidRPr="00D55FA1">
        <w:t xml:space="preserve">kindergarten and aged </w:t>
      </w:r>
      <w:r w:rsidR="00395A79">
        <w:t>six</w:t>
      </w:r>
      <w:r w:rsidRPr="00D55FA1">
        <w:t xml:space="preserve"> through </w:t>
      </w:r>
      <w:r w:rsidR="00395A79">
        <w:t>twenty</w:t>
      </w:r>
      <w:r w:rsidR="009877C7">
        <w:t>-one</w:t>
      </w:r>
      <w:r w:rsidRPr="00D55FA1">
        <w:t xml:space="preserve"> served inside the regular class 80</w:t>
      </w:r>
      <w:r w:rsidR="00343C75">
        <w:t xml:space="preserve"> percent</w:t>
      </w:r>
      <w:r w:rsidRPr="00D55FA1">
        <w:t xml:space="preserve"> or more of the day) divided by the (total </w:t>
      </w:r>
      <w:r w:rsidR="00C7167F" w:rsidRPr="00D55FA1">
        <w:t>number</w:t>
      </w:r>
      <w:r w:rsidRPr="00D55FA1">
        <w:t xml:space="preserve"> of students aged </w:t>
      </w:r>
      <w:r w:rsidR="005C414A">
        <w:t>five</w:t>
      </w:r>
      <w:r w:rsidRPr="00D55FA1">
        <w:t xml:space="preserve"> who are enrolled in </w:t>
      </w:r>
      <w:r w:rsidR="006A0451">
        <w:t xml:space="preserve">TK and </w:t>
      </w:r>
      <w:r w:rsidRPr="00D55FA1">
        <w:t xml:space="preserve">kindergarten and aged </w:t>
      </w:r>
      <w:r w:rsidR="00395A79">
        <w:t>six</w:t>
      </w:r>
      <w:r w:rsidRPr="00D55FA1">
        <w:t xml:space="preserve"> through </w:t>
      </w:r>
      <w:r w:rsidR="00395A79">
        <w:t>twenty</w:t>
      </w:r>
      <w:r w:rsidR="009877C7">
        <w:t>-one</w:t>
      </w:r>
      <w:r w:rsidRPr="00D55FA1">
        <w:t xml:space="preserve"> with IEPs)] times 100.</w:t>
      </w:r>
    </w:p>
    <w:p w14:paraId="5E050E29" w14:textId="0D0D7292" w:rsidR="001F5D16" w:rsidRPr="00D55FA1" w:rsidRDefault="001F5D16" w:rsidP="005E62B2">
      <w:pPr>
        <w:pStyle w:val="ListParagraph"/>
        <w:numPr>
          <w:ilvl w:val="0"/>
          <w:numId w:val="12"/>
        </w:numPr>
        <w:spacing w:after="240"/>
        <w:contextualSpacing w:val="0"/>
      </w:pPr>
      <w:r w:rsidRPr="00D55FA1">
        <w:t>Percent = [(</w:t>
      </w:r>
      <w:r w:rsidR="00C7167F" w:rsidRPr="00D55FA1">
        <w:t>number</w:t>
      </w:r>
      <w:r w:rsidRPr="00D55FA1">
        <w:t xml:space="preserve"> of children with IEPs aged </w:t>
      </w:r>
      <w:r w:rsidR="00395A79">
        <w:t>five</w:t>
      </w:r>
      <w:r w:rsidRPr="00D55FA1">
        <w:t xml:space="preserve"> who are enrolled in </w:t>
      </w:r>
      <w:r w:rsidR="006A0451">
        <w:t xml:space="preserve">TK and </w:t>
      </w:r>
      <w:r w:rsidRPr="00D55FA1">
        <w:t xml:space="preserve">kindergarten and aged </w:t>
      </w:r>
      <w:r w:rsidR="00395A79">
        <w:t>six</w:t>
      </w:r>
      <w:r w:rsidRPr="00D55FA1">
        <w:t xml:space="preserve"> through </w:t>
      </w:r>
      <w:r w:rsidR="00395A79">
        <w:t>twenty</w:t>
      </w:r>
      <w:r w:rsidR="009877C7">
        <w:t>-one</w:t>
      </w:r>
      <w:r w:rsidRPr="00D55FA1">
        <w:t xml:space="preserve"> served inside the regular class less than 40</w:t>
      </w:r>
      <w:r w:rsidR="00343C75">
        <w:t xml:space="preserve"> percent</w:t>
      </w:r>
      <w:r w:rsidRPr="00D55FA1">
        <w:t xml:space="preserve"> of the day) divided by the (total </w:t>
      </w:r>
      <w:r w:rsidR="00C7167F" w:rsidRPr="00D55FA1">
        <w:t>number</w:t>
      </w:r>
      <w:r w:rsidRPr="00D55FA1">
        <w:t xml:space="preserve"> of students aged </w:t>
      </w:r>
      <w:r w:rsidR="00395A79">
        <w:t>five</w:t>
      </w:r>
      <w:r w:rsidRPr="00D55FA1">
        <w:t xml:space="preserve"> who are enrolled in </w:t>
      </w:r>
      <w:r w:rsidR="006A0451">
        <w:t xml:space="preserve">TK and </w:t>
      </w:r>
      <w:r w:rsidRPr="00D55FA1">
        <w:t xml:space="preserve">kindergarten and aged </w:t>
      </w:r>
      <w:r w:rsidR="00395A79">
        <w:t>six</w:t>
      </w:r>
      <w:r w:rsidRPr="00D55FA1">
        <w:t xml:space="preserve"> through </w:t>
      </w:r>
      <w:r w:rsidR="00395A79">
        <w:t>twenty</w:t>
      </w:r>
      <w:r w:rsidR="009877C7">
        <w:t>-one</w:t>
      </w:r>
      <w:r w:rsidRPr="00D55FA1">
        <w:t xml:space="preserve"> with IEPs)] times 100.</w:t>
      </w:r>
    </w:p>
    <w:p w14:paraId="379CA55B" w14:textId="773EA3E4" w:rsidR="001F5D16" w:rsidRPr="00D55FA1" w:rsidRDefault="001F5D16" w:rsidP="00910066">
      <w:pPr>
        <w:pStyle w:val="ListParagraph"/>
        <w:numPr>
          <w:ilvl w:val="0"/>
          <w:numId w:val="12"/>
        </w:numPr>
        <w:spacing w:after="240"/>
        <w:contextualSpacing w:val="0"/>
      </w:pPr>
      <w:r w:rsidRPr="00D55FA1">
        <w:t xml:space="preserve">Percent </w:t>
      </w:r>
      <w:proofErr w:type="gramStart"/>
      <w:r w:rsidRPr="00D55FA1">
        <w:t>= [(</w:t>
      </w:r>
      <w:proofErr w:type="gramEnd"/>
      <w:r w:rsidR="00C7167F" w:rsidRPr="00D55FA1">
        <w:t>number</w:t>
      </w:r>
      <w:r w:rsidRPr="00D55FA1">
        <w:t xml:space="preserve"> of children with IEPs aged </w:t>
      </w:r>
      <w:r w:rsidR="00395A79">
        <w:t>five</w:t>
      </w:r>
      <w:r w:rsidRPr="00D55FA1">
        <w:t xml:space="preserve"> who are enrolled in </w:t>
      </w:r>
      <w:r w:rsidR="006A0451">
        <w:t xml:space="preserve">TK and </w:t>
      </w:r>
      <w:r w:rsidRPr="00D55FA1">
        <w:t xml:space="preserve">kindergarten and aged </w:t>
      </w:r>
      <w:r w:rsidR="00731555">
        <w:t>six</w:t>
      </w:r>
      <w:r w:rsidRPr="00D55FA1">
        <w:t xml:space="preserve"> through </w:t>
      </w:r>
      <w:r w:rsidR="00731555">
        <w:t>twenty</w:t>
      </w:r>
      <w:r w:rsidR="008A2B50">
        <w:t>-one</w:t>
      </w:r>
      <w:r w:rsidRPr="00D55FA1">
        <w:t xml:space="preserve"> served in separate schools, residential facilities, or homebound/hospital placements) divided by the (total </w:t>
      </w:r>
      <w:r w:rsidR="00C7167F" w:rsidRPr="00D55FA1">
        <w:t>number</w:t>
      </w:r>
      <w:r w:rsidRPr="00D55FA1">
        <w:t xml:space="preserve"> of students aged </w:t>
      </w:r>
      <w:r w:rsidR="00395A79">
        <w:t>five</w:t>
      </w:r>
      <w:r w:rsidRPr="00D55FA1">
        <w:t xml:space="preserve"> who are enrolled in </w:t>
      </w:r>
      <w:r w:rsidR="006A0451">
        <w:t xml:space="preserve">TK and </w:t>
      </w:r>
      <w:r w:rsidRPr="00D55FA1">
        <w:t xml:space="preserve">kindergarten and aged </w:t>
      </w:r>
      <w:r w:rsidR="00395A79">
        <w:t>six</w:t>
      </w:r>
      <w:r w:rsidRPr="00D55FA1">
        <w:t xml:space="preserve"> through </w:t>
      </w:r>
      <w:r w:rsidR="00395A79">
        <w:t>twenty</w:t>
      </w:r>
      <w:r w:rsidR="00ED7D64">
        <w:t>-one</w:t>
      </w:r>
      <w:r w:rsidRPr="00D55FA1">
        <w:t xml:space="preserve"> with IEPs)] times 100.</w:t>
      </w:r>
    </w:p>
    <w:p w14:paraId="163E08BB" w14:textId="77777777" w:rsidR="00EB1E42" w:rsidRPr="00DE00BD" w:rsidRDefault="00FF4673" w:rsidP="00DE00BD">
      <w:pPr>
        <w:spacing w:after="240"/>
        <w:rPr>
          <w:b/>
          <w:bCs/>
        </w:rPr>
      </w:pPr>
      <w:r w:rsidRPr="00DE00BD">
        <w:rPr>
          <w:b/>
          <w:bCs/>
        </w:rPr>
        <w:t>Target Met</w:t>
      </w:r>
    </w:p>
    <w:p w14:paraId="3189CE12" w14:textId="4C4582B4" w:rsidR="00EB1E42" w:rsidRPr="00D55FA1" w:rsidRDefault="00CF035F" w:rsidP="00664876">
      <w:pPr>
        <w:pStyle w:val="ListParagraph"/>
        <w:numPr>
          <w:ilvl w:val="0"/>
          <w:numId w:val="6"/>
        </w:numPr>
        <w:tabs>
          <w:tab w:val="left" w:pos="720"/>
          <w:tab w:val="center" w:pos="4680"/>
          <w:tab w:val="right" w:pos="9360"/>
        </w:tabs>
        <w:spacing w:after="240"/>
        <w:rPr>
          <w:rFonts w:cs="Arial"/>
        </w:rPr>
      </w:pPr>
      <w:r w:rsidRPr="00D55FA1">
        <w:t>No</w:t>
      </w:r>
    </w:p>
    <w:p w14:paraId="6C69ABCF" w14:textId="089D4162" w:rsidR="00EB1E42" w:rsidRPr="00D55FA1" w:rsidRDefault="00761884" w:rsidP="00664876">
      <w:pPr>
        <w:pStyle w:val="ListParagraph"/>
        <w:numPr>
          <w:ilvl w:val="0"/>
          <w:numId w:val="6"/>
        </w:numPr>
        <w:rPr>
          <w:szCs w:val="22"/>
        </w:rPr>
      </w:pPr>
      <w:r w:rsidRPr="00D55FA1">
        <w:t>No</w:t>
      </w:r>
    </w:p>
    <w:p w14:paraId="5ABF93C4" w14:textId="7892944D" w:rsidR="00D448D5" w:rsidRPr="005E62B2" w:rsidRDefault="00FF4673" w:rsidP="00A22F5A">
      <w:pPr>
        <w:pStyle w:val="ListParagraph"/>
        <w:numPr>
          <w:ilvl w:val="0"/>
          <w:numId w:val="6"/>
        </w:numPr>
        <w:spacing w:after="240"/>
        <w:contextualSpacing w:val="0"/>
        <w:rPr>
          <w:szCs w:val="22"/>
        </w:rPr>
      </w:pPr>
      <w:r w:rsidRPr="00D55FA1">
        <w:t>Yes</w:t>
      </w:r>
    </w:p>
    <w:p w14:paraId="12AA6441" w14:textId="312D967E" w:rsidR="007C7CEC" w:rsidRPr="00DC17C4" w:rsidRDefault="00DE00BD" w:rsidP="00DC17C4">
      <w:pPr>
        <w:spacing w:after="240"/>
        <w:rPr>
          <w:b/>
          <w:bCs/>
        </w:rPr>
      </w:pPr>
      <w:r w:rsidRPr="00DC17C4">
        <w:rPr>
          <w:b/>
          <w:bCs/>
        </w:rPr>
        <w:t xml:space="preserve">Table 10: </w:t>
      </w:r>
      <w:r w:rsidR="00EB1E42" w:rsidRPr="00DC17C4">
        <w:rPr>
          <w:b/>
          <w:bCs/>
        </w:rPr>
        <w:t xml:space="preserve">Education Environment </w:t>
      </w:r>
      <w:r w:rsidR="007C7CEC" w:rsidRPr="00DC17C4">
        <w:rPr>
          <w:b/>
          <w:bCs/>
        </w:rPr>
        <w:t xml:space="preserve">Targets and Results for FFYs </w:t>
      </w:r>
      <w:r w:rsidR="0066332C" w:rsidRPr="00DC17C4">
        <w:rPr>
          <w:b/>
          <w:bCs/>
        </w:rPr>
        <w:t>2020</w:t>
      </w:r>
      <w:r w:rsidR="0066332C" w:rsidRPr="00DC17C4">
        <w:rPr>
          <w:rFonts w:cs="Arial"/>
          <w:b/>
          <w:bCs/>
        </w:rPr>
        <w:t>–25</w:t>
      </w:r>
    </w:p>
    <w:tbl>
      <w:tblPr>
        <w:tblStyle w:val="TableGrid1"/>
        <w:tblW w:w="9355" w:type="dxa"/>
        <w:tblLook w:val="04A0" w:firstRow="1" w:lastRow="0" w:firstColumn="1" w:lastColumn="0" w:noHBand="0" w:noVBand="1"/>
        <w:tblDescription w:val="Indicator 5 Targets and Results"/>
      </w:tblPr>
      <w:tblGrid>
        <w:gridCol w:w="2155"/>
        <w:gridCol w:w="1200"/>
        <w:gridCol w:w="1200"/>
        <w:gridCol w:w="1200"/>
        <w:gridCol w:w="1200"/>
        <w:gridCol w:w="1200"/>
        <w:gridCol w:w="1200"/>
      </w:tblGrid>
      <w:tr w:rsidR="0066332C" w:rsidRPr="00D55FA1" w14:paraId="52C224FF" w14:textId="77777777" w:rsidTr="00CF035F">
        <w:trPr>
          <w:cantSplit/>
          <w:trHeight w:val="377"/>
          <w:tblHeader/>
        </w:trPr>
        <w:tc>
          <w:tcPr>
            <w:tcW w:w="2155" w:type="dxa"/>
            <w:tcBorders>
              <w:top w:val="single" w:sz="4" w:space="0" w:color="auto"/>
              <w:left w:val="single" w:sz="4" w:space="0" w:color="auto"/>
              <w:bottom w:val="single" w:sz="4" w:space="0" w:color="auto"/>
              <w:right w:val="single" w:sz="4" w:space="0" w:color="auto"/>
            </w:tcBorders>
            <w:vAlign w:val="center"/>
            <w:hideMark/>
          </w:tcPr>
          <w:p w14:paraId="5FE3BBD3" w14:textId="77777777" w:rsidR="0066332C" w:rsidRPr="00D55FA1" w:rsidRDefault="0066332C" w:rsidP="00CF035F">
            <w:pPr>
              <w:widowControl w:val="0"/>
              <w:overflowPunct w:val="0"/>
              <w:autoSpaceDE w:val="0"/>
              <w:autoSpaceDN w:val="0"/>
              <w:adjustRightInd w:val="0"/>
              <w:jc w:val="center"/>
              <w:rPr>
                <w:rFonts w:cs="Arial"/>
                <w:b/>
                <w:bCs/>
                <w:szCs w:val="22"/>
              </w:rPr>
            </w:pPr>
            <w:bookmarkStart w:id="131" w:name="_Hlk74820536"/>
            <w:r w:rsidRPr="00D55FA1">
              <w:rPr>
                <w:rFonts w:cs="Arial"/>
                <w:b/>
                <w:bCs/>
              </w:rPr>
              <w:lastRenderedPageBreak/>
              <w:t>Indicator 5</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A464598"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351E708"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B19E796"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063B540"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2023</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81EB26B"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2024</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1EAD39A"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61321782" w14:textId="77777777" w:rsidTr="00CF035F">
        <w:trPr>
          <w:cantSplit/>
          <w:trHeight w:val="350"/>
        </w:trPr>
        <w:tc>
          <w:tcPr>
            <w:tcW w:w="2155" w:type="dxa"/>
            <w:tcBorders>
              <w:top w:val="single" w:sz="4" w:space="0" w:color="auto"/>
              <w:left w:val="single" w:sz="4" w:space="0" w:color="auto"/>
              <w:bottom w:val="single" w:sz="4" w:space="0" w:color="auto"/>
              <w:right w:val="single" w:sz="4" w:space="0" w:color="auto"/>
            </w:tcBorders>
            <w:vAlign w:val="center"/>
            <w:hideMark/>
          </w:tcPr>
          <w:p w14:paraId="7F74DC71"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5a Target</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25616FB"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58%</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84D513D"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60%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B7E48BC"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62%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E8F4525"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64%</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08D722F"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67%</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0697F6D"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70%</w:t>
            </w:r>
          </w:p>
        </w:tc>
        <w:bookmarkEnd w:id="131"/>
      </w:tr>
      <w:tr w:rsidR="00DF008C" w:rsidRPr="00D55FA1" w14:paraId="60100521" w14:textId="77777777" w:rsidTr="00DF008C">
        <w:trPr>
          <w:cantSplit/>
          <w:trHeight w:val="350"/>
        </w:trPr>
        <w:tc>
          <w:tcPr>
            <w:tcW w:w="2155" w:type="dxa"/>
            <w:tcBorders>
              <w:top w:val="single" w:sz="4" w:space="0" w:color="auto"/>
              <w:left w:val="single" w:sz="4" w:space="0" w:color="auto"/>
              <w:bottom w:val="single" w:sz="4" w:space="0" w:color="auto"/>
              <w:right w:val="single" w:sz="4" w:space="0" w:color="auto"/>
            </w:tcBorders>
            <w:vAlign w:val="center"/>
          </w:tcPr>
          <w:p w14:paraId="6410EEC1"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5a Result</w:t>
            </w:r>
          </w:p>
        </w:tc>
        <w:tc>
          <w:tcPr>
            <w:tcW w:w="1200" w:type="dxa"/>
            <w:tcBorders>
              <w:top w:val="single" w:sz="4" w:space="0" w:color="auto"/>
              <w:left w:val="single" w:sz="4" w:space="0" w:color="auto"/>
              <w:bottom w:val="single" w:sz="4" w:space="0" w:color="auto"/>
              <w:right w:val="single" w:sz="4" w:space="0" w:color="auto"/>
            </w:tcBorders>
            <w:vAlign w:val="center"/>
          </w:tcPr>
          <w:p w14:paraId="3260307C"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57.82%</w:t>
            </w:r>
          </w:p>
        </w:tc>
        <w:tc>
          <w:tcPr>
            <w:tcW w:w="1200" w:type="dxa"/>
            <w:tcBorders>
              <w:top w:val="single" w:sz="4" w:space="0" w:color="auto"/>
              <w:left w:val="single" w:sz="4" w:space="0" w:color="auto"/>
              <w:bottom w:val="single" w:sz="4" w:space="0" w:color="auto"/>
              <w:right w:val="single" w:sz="4" w:space="0" w:color="auto"/>
            </w:tcBorders>
            <w:vAlign w:val="center"/>
          </w:tcPr>
          <w:p w14:paraId="71DCB018" w14:textId="10E66660"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60.82%</w:t>
            </w:r>
          </w:p>
        </w:tc>
        <w:tc>
          <w:tcPr>
            <w:tcW w:w="1200" w:type="dxa"/>
            <w:tcBorders>
              <w:top w:val="single" w:sz="4" w:space="0" w:color="auto"/>
              <w:left w:val="single" w:sz="4" w:space="0" w:color="auto"/>
              <w:bottom w:val="single" w:sz="4" w:space="0" w:color="auto"/>
              <w:right w:val="single" w:sz="4" w:space="0" w:color="auto"/>
            </w:tcBorders>
            <w:vAlign w:val="center"/>
          </w:tcPr>
          <w:p w14:paraId="4B644A8D" w14:textId="108511B6"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61.3%</w:t>
            </w:r>
          </w:p>
        </w:tc>
        <w:tc>
          <w:tcPr>
            <w:tcW w:w="1200" w:type="dxa"/>
            <w:tcBorders>
              <w:top w:val="single" w:sz="4" w:space="0" w:color="auto"/>
              <w:left w:val="single" w:sz="4" w:space="0" w:color="auto"/>
              <w:bottom w:val="single" w:sz="4" w:space="0" w:color="auto"/>
              <w:right w:val="single" w:sz="4" w:space="0" w:color="auto"/>
            </w:tcBorders>
          </w:tcPr>
          <w:p w14:paraId="082C48EB" w14:textId="066C8152" w:rsidR="00DF008C" w:rsidRPr="00D55FA1" w:rsidRDefault="00EC27AA" w:rsidP="00DF008C">
            <w:pPr>
              <w:widowControl w:val="0"/>
              <w:overflowPunct w:val="0"/>
              <w:autoSpaceDE w:val="0"/>
              <w:autoSpaceDN w:val="0"/>
              <w:adjustRightInd w:val="0"/>
              <w:jc w:val="center"/>
              <w:rPr>
                <w:rFonts w:cs="Arial"/>
                <w:bCs/>
              </w:rPr>
            </w:pPr>
            <w:r>
              <w:rPr>
                <w:rFonts w:cs="Arial"/>
                <w:bCs/>
              </w:rPr>
              <w:t>62.66%</w:t>
            </w:r>
          </w:p>
        </w:tc>
        <w:tc>
          <w:tcPr>
            <w:tcW w:w="1200" w:type="dxa"/>
            <w:tcBorders>
              <w:top w:val="single" w:sz="4" w:space="0" w:color="auto"/>
              <w:left w:val="single" w:sz="4" w:space="0" w:color="auto"/>
              <w:bottom w:val="single" w:sz="4" w:space="0" w:color="auto"/>
              <w:right w:val="single" w:sz="4" w:space="0" w:color="auto"/>
            </w:tcBorders>
          </w:tcPr>
          <w:p w14:paraId="2677290C" w14:textId="3C98071A" w:rsidR="00DF008C" w:rsidRPr="00D55FA1" w:rsidRDefault="008C4A86" w:rsidP="00DF008C">
            <w:pPr>
              <w:widowControl w:val="0"/>
              <w:overflowPunct w:val="0"/>
              <w:autoSpaceDE w:val="0"/>
              <w:autoSpaceDN w:val="0"/>
              <w:adjustRightInd w:val="0"/>
              <w:jc w:val="center"/>
              <w:rPr>
                <w:rFonts w:cs="Arial"/>
                <w:bCs/>
              </w:rPr>
            </w:pPr>
            <w:r>
              <w:rPr>
                <w:rFonts w:cs="Arial"/>
                <w:bCs/>
              </w:rPr>
              <w:t>63</w:t>
            </w:r>
            <w:r w:rsidR="00D2395B">
              <w:rPr>
                <w:rFonts w:cs="Arial"/>
                <w:bCs/>
              </w:rPr>
              <w:t>.88%</w:t>
            </w:r>
          </w:p>
        </w:tc>
        <w:tc>
          <w:tcPr>
            <w:tcW w:w="1200" w:type="dxa"/>
            <w:tcBorders>
              <w:top w:val="single" w:sz="4" w:space="0" w:color="auto"/>
              <w:left w:val="single" w:sz="4" w:space="0" w:color="auto"/>
              <w:bottom w:val="single" w:sz="4" w:space="0" w:color="auto"/>
              <w:right w:val="single" w:sz="4" w:space="0" w:color="auto"/>
            </w:tcBorders>
          </w:tcPr>
          <w:p w14:paraId="249BF8C6" w14:textId="632C9955"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79F3F2EC" w14:textId="77777777" w:rsidTr="00DF008C">
        <w:trPr>
          <w:cantSplit/>
          <w:trHeight w:val="350"/>
        </w:trPr>
        <w:tc>
          <w:tcPr>
            <w:tcW w:w="2155" w:type="dxa"/>
            <w:tcBorders>
              <w:top w:val="single" w:sz="4" w:space="0" w:color="auto"/>
              <w:left w:val="single" w:sz="4" w:space="0" w:color="auto"/>
              <w:bottom w:val="single" w:sz="4" w:space="0" w:color="auto"/>
              <w:right w:val="single" w:sz="4" w:space="0" w:color="auto"/>
            </w:tcBorders>
            <w:vAlign w:val="center"/>
          </w:tcPr>
          <w:p w14:paraId="4504B0BB"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5a Target Met</w:t>
            </w:r>
          </w:p>
        </w:tc>
        <w:tc>
          <w:tcPr>
            <w:tcW w:w="1200" w:type="dxa"/>
            <w:tcBorders>
              <w:top w:val="single" w:sz="4" w:space="0" w:color="auto"/>
              <w:left w:val="single" w:sz="4" w:space="0" w:color="auto"/>
              <w:bottom w:val="single" w:sz="4" w:space="0" w:color="auto"/>
              <w:right w:val="single" w:sz="4" w:space="0" w:color="auto"/>
            </w:tcBorders>
            <w:vAlign w:val="center"/>
          </w:tcPr>
          <w:p w14:paraId="57690B15"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0" w:type="dxa"/>
            <w:tcBorders>
              <w:top w:val="single" w:sz="4" w:space="0" w:color="auto"/>
              <w:left w:val="single" w:sz="4" w:space="0" w:color="auto"/>
              <w:bottom w:val="single" w:sz="4" w:space="0" w:color="auto"/>
              <w:right w:val="single" w:sz="4" w:space="0" w:color="auto"/>
            </w:tcBorders>
            <w:vAlign w:val="center"/>
          </w:tcPr>
          <w:p w14:paraId="0EF46479" w14:textId="08369A2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200" w:type="dxa"/>
            <w:tcBorders>
              <w:top w:val="single" w:sz="4" w:space="0" w:color="auto"/>
              <w:left w:val="single" w:sz="4" w:space="0" w:color="auto"/>
              <w:bottom w:val="single" w:sz="4" w:space="0" w:color="auto"/>
              <w:right w:val="single" w:sz="4" w:space="0" w:color="auto"/>
            </w:tcBorders>
            <w:vAlign w:val="center"/>
          </w:tcPr>
          <w:p w14:paraId="3AB58C42" w14:textId="4C364BEF"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0" w:type="dxa"/>
            <w:tcBorders>
              <w:top w:val="single" w:sz="4" w:space="0" w:color="auto"/>
              <w:left w:val="single" w:sz="4" w:space="0" w:color="auto"/>
              <w:bottom w:val="single" w:sz="4" w:space="0" w:color="auto"/>
              <w:right w:val="single" w:sz="4" w:space="0" w:color="auto"/>
            </w:tcBorders>
          </w:tcPr>
          <w:p w14:paraId="4EA9BA15" w14:textId="214129A2" w:rsidR="00DF008C" w:rsidRPr="00D55FA1" w:rsidRDefault="00EC27AA" w:rsidP="00DF008C">
            <w:pPr>
              <w:widowControl w:val="0"/>
              <w:overflowPunct w:val="0"/>
              <w:autoSpaceDE w:val="0"/>
              <w:autoSpaceDN w:val="0"/>
              <w:adjustRightInd w:val="0"/>
              <w:jc w:val="center"/>
              <w:rPr>
                <w:rFonts w:cs="Arial"/>
                <w:bCs/>
              </w:rPr>
            </w:pPr>
            <w:r>
              <w:rPr>
                <w:rFonts w:cs="Arial"/>
                <w:bCs/>
              </w:rPr>
              <w:t>No</w:t>
            </w:r>
          </w:p>
        </w:tc>
        <w:tc>
          <w:tcPr>
            <w:tcW w:w="1200" w:type="dxa"/>
            <w:tcBorders>
              <w:top w:val="single" w:sz="4" w:space="0" w:color="auto"/>
              <w:left w:val="single" w:sz="4" w:space="0" w:color="auto"/>
              <w:bottom w:val="single" w:sz="4" w:space="0" w:color="auto"/>
              <w:right w:val="single" w:sz="4" w:space="0" w:color="auto"/>
            </w:tcBorders>
          </w:tcPr>
          <w:p w14:paraId="7332107B" w14:textId="25CDCE81" w:rsidR="00DF008C" w:rsidRPr="00D55FA1" w:rsidRDefault="00D2395B" w:rsidP="00DF008C">
            <w:pPr>
              <w:widowControl w:val="0"/>
              <w:overflowPunct w:val="0"/>
              <w:autoSpaceDE w:val="0"/>
              <w:autoSpaceDN w:val="0"/>
              <w:adjustRightInd w:val="0"/>
              <w:jc w:val="center"/>
              <w:rPr>
                <w:rFonts w:cs="Arial"/>
                <w:bCs/>
              </w:rPr>
            </w:pPr>
            <w:r>
              <w:rPr>
                <w:rFonts w:cs="Arial"/>
                <w:bCs/>
              </w:rPr>
              <w:t>No</w:t>
            </w:r>
          </w:p>
        </w:tc>
        <w:tc>
          <w:tcPr>
            <w:tcW w:w="1200" w:type="dxa"/>
            <w:tcBorders>
              <w:top w:val="single" w:sz="4" w:space="0" w:color="auto"/>
              <w:left w:val="single" w:sz="4" w:space="0" w:color="auto"/>
              <w:bottom w:val="single" w:sz="4" w:space="0" w:color="auto"/>
              <w:right w:val="single" w:sz="4" w:space="0" w:color="auto"/>
            </w:tcBorders>
          </w:tcPr>
          <w:p w14:paraId="5D98A3F1" w14:textId="410340B3"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66332C" w:rsidRPr="00D55FA1" w14:paraId="1405B010" w14:textId="77777777" w:rsidTr="00CF035F">
        <w:trPr>
          <w:cantSplit/>
          <w:trHeight w:val="350"/>
        </w:trPr>
        <w:tc>
          <w:tcPr>
            <w:tcW w:w="2155" w:type="dxa"/>
            <w:tcBorders>
              <w:top w:val="single" w:sz="4" w:space="0" w:color="auto"/>
              <w:left w:val="single" w:sz="4" w:space="0" w:color="auto"/>
              <w:bottom w:val="single" w:sz="4" w:space="0" w:color="auto"/>
              <w:right w:val="single" w:sz="4" w:space="0" w:color="auto"/>
            </w:tcBorders>
            <w:vAlign w:val="center"/>
          </w:tcPr>
          <w:p w14:paraId="2C1DC8BA"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5b Target</w:t>
            </w:r>
          </w:p>
        </w:tc>
        <w:tc>
          <w:tcPr>
            <w:tcW w:w="1200" w:type="dxa"/>
            <w:tcBorders>
              <w:top w:val="single" w:sz="4" w:space="0" w:color="auto"/>
              <w:left w:val="single" w:sz="4" w:space="0" w:color="auto"/>
              <w:bottom w:val="single" w:sz="4" w:space="0" w:color="auto"/>
              <w:right w:val="single" w:sz="4" w:space="0" w:color="auto"/>
            </w:tcBorders>
            <w:vAlign w:val="center"/>
          </w:tcPr>
          <w:p w14:paraId="25238E9A"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19.5%</w:t>
            </w:r>
          </w:p>
        </w:tc>
        <w:tc>
          <w:tcPr>
            <w:tcW w:w="1200" w:type="dxa"/>
            <w:tcBorders>
              <w:top w:val="single" w:sz="4" w:space="0" w:color="auto"/>
              <w:left w:val="single" w:sz="4" w:space="0" w:color="auto"/>
              <w:bottom w:val="single" w:sz="4" w:space="0" w:color="auto"/>
              <w:right w:val="single" w:sz="4" w:space="0" w:color="auto"/>
            </w:tcBorders>
            <w:vAlign w:val="center"/>
          </w:tcPr>
          <w:p w14:paraId="3975E1C6"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18%</w:t>
            </w:r>
          </w:p>
        </w:tc>
        <w:tc>
          <w:tcPr>
            <w:tcW w:w="1200" w:type="dxa"/>
            <w:tcBorders>
              <w:top w:val="single" w:sz="4" w:space="0" w:color="auto"/>
              <w:left w:val="single" w:sz="4" w:space="0" w:color="auto"/>
              <w:bottom w:val="single" w:sz="4" w:space="0" w:color="auto"/>
              <w:right w:val="single" w:sz="4" w:space="0" w:color="auto"/>
            </w:tcBorders>
            <w:vAlign w:val="center"/>
          </w:tcPr>
          <w:p w14:paraId="40997A97"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16.5%</w:t>
            </w:r>
          </w:p>
        </w:tc>
        <w:tc>
          <w:tcPr>
            <w:tcW w:w="1200" w:type="dxa"/>
            <w:tcBorders>
              <w:top w:val="single" w:sz="4" w:space="0" w:color="auto"/>
              <w:left w:val="single" w:sz="4" w:space="0" w:color="auto"/>
              <w:bottom w:val="single" w:sz="4" w:space="0" w:color="auto"/>
              <w:right w:val="single" w:sz="4" w:space="0" w:color="auto"/>
            </w:tcBorders>
            <w:vAlign w:val="center"/>
          </w:tcPr>
          <w:p w14:paraId="5BA8C05C"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15%</w:t>
            </w:r>
          </w:p>
        </w:tc>
        <w:tc>
          <w:tcPr>
            <w:tcW w:w="1200" w:type="dxa"/>
            <w:tcBorders>
              <w:top w:val="single" w:sz="4" w:space="0" w:color="auto"/>
              <w:left w:val="single" w:sz="4" w:space="0" w:color="auto"/>
              <w:bottom w:val="single" w:sz="4" w:space="0" w:color="auto"/>
              <w:right w:val="single" w:sz="4" w:space="0" w:color="auto"/>
            </w:tcBorders>
            <w:vAlign w:val="center"/>
          </w:tcPr>
          <w:p w14:paraId="38359C84"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13.5%</w:t>
            </w:r>
          </w:p>
        </w:tc>
        <w:tc>
          <w:tcPr>
            <w:tcW w:w="1200" w:type="dxa"/>
            <w:tcBorders>
              <w:top w:val="single" w:sz="4" w:space="0" w:color="auto"/>
              <w:left w:val="single" w:sz="4" w:space="0" w:color="auto"/>
              <w:bottom w:val="single" w:sz="4" w:space="0" w:color="auto"/>
              <w:right w:val="single" w:sz="4" w:space="0" w:color="auto"/>
            </w:tcBorders>
            <w:vAlign w:val="center"/>
          </w:tcPr>
          <w:p w14:paraId="19FF617D"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12%</w:t>
            </w:r>
          </w:p>
        </w:tc>
      </w:tr>
      <w:tr w:rsidR="00DF008C" w:rsidRPr="00D55FA1" w14:paraId="02E3D66B" w14:textId="77777777" w:rsidTr="00DF008C">
        <w:trPr>
          <w:cantSplit/>
          <w:trHeight w:val="368"/>
        </w:trPr>
        <w:tc>
          <w:tcPr>
            <w:tcW w:w="2155" w:type="dxa"/>
            <w:tcBorders>
              <w:top w:val="single" w:sz="4" w:space="0" w:color="auto"/>
              <w:left w:val="single" w:sz="4" w:space="0" w:color="auto"/>
              <w:bottom w:val="single" w:sz="4" w:space="0" w:color="auto"/>
              <w:right w:val="single" w:sz="4" w:space="0" w:color="auto"/>
            </w:tcBorders>
            <w:vAlign w:val="center"/>
          </w:tcPr>
          <w:p w14:paraId="2D859344"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5b Result</w:t>
            </w:r>
          </w:p>
        </w:tc>
        <w:tc>
          <w:tcPr>
            <w:tcW w:w="1200" w:type="dxa"/>
            <w:tcBorders>
              <w:top w:val="single" w:sz="4" w:space="0" w:color="auto"/>
              <w:left w:val="single" w:sz="4" w:space="0" w:color="auto"/>
              <w:bottom w:val="single" w:sz="4" w:space="0" w:color="auto"/>
              <w:right w:val="single" w:sz="4" w:space="0" w:color="auto"/>
            </w:tcBorders>
            <w:vAlign w:val="center"/>
          </w:tcPr>
          <w:p w14:paraId="35E69F2D"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17.73%</w:t>
            </w:r>
          </w:p>
        </w:tc>
        <w:tc>
          <w:tcPr>
            <w:tcW w:w="1200" w:type="dxa"/>
            <w:tcBorders>
              <w:top w:val="single" w:sz="4" w:space="0" w:color="auto"/>
              <w:left w:val="single" w:sz="4" w:space="0" w:color="auto"/>
              <w:bottom w:val="single" w:sz="4" w:space="0" w:color="auto"/>
              <w:right w:val="single" w:sz="4" w:space="0" w:color="auto"/>
            </w:tcBorders>
            <w:vAlign w:val="center"/>
          </w:tcPr>
          <w:p w14:paraId="50C86B8C" w14:textId="64EDA354"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18.60%</w:t>
            </w:r>
          </w:p>
        </w:tc>
        <w:tc>
          <w:tcPr>
            <w:tcW w:w="1200" w:type="dxa"/>
            <w:tcBorders>
              <w:top w:val="single" w:sz="4" w:space="0" w:color="auto"/>
              <w:left w:val="single" w:sz="4" w:space="0" w:color="auto"/>
              <w:bottom w:val="single" w:sz="4" w:space="0" w:color="auto"/>
              <w:right w:val="single" w:sz="4" w:space="0" w:color="auto"/>
            </w:tcBorders>
            <w:vAlign w:val="center"/>
          </w:tcPr>
          <w:p w14:paraId="60EDCC55" w14:textId="31E1E7E0"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18.38%</w:t>
            </w:r>
          </w:p>
        </w:tc>
        <w:tc>
          <w:tcPr>
            <w:tcW w:w="1200" w:type="dxa"/>
            <w:tcBorders>
              <w:top w:val="single" w:sz="4" w:space="0" w:color="auto"/>
              <w:left w:val="single" w:sz="4" w:space="0" w:color="auto"/>
              <w:bottom w:val="single" w:sz="4" w:space="0" w:color="auto"/>
              <w:right w:val="single" w:sz="4" w:space="0" w:color="auto"/>
            </w:tcBorders>
          </w:tcPr>
          <w:p w14:paraId="3BBB8815" w14:textId="7260F995" w:rsidR="00DF008C" w:rsidRPr="00D55FA1" w:rsidRDefault="00EC27AA" w:rsidP="00DF008C">
            <w:pPr>
              <w:widowControl w:val="0"/>
              <w:overflowPunct w:val="0"/>
              <w:autoSpaceDE w:val="0"/>
              <w:autoSpaceDN w:val="0"/>
              <w:adjustRightInd w:val="0"/>
              <w:jc w:val="center"/>
              <w:rPr>
                <w:rFonts w:cs="Arial"/>
                <w:bCs/>
              </w:rPr>
            </w:pPr>
            <w:r>
              <w:rPr>
                <w:rFonts w:cs="Arial"/>
                <w:bCs/>
              </w:rPr>
              <w:t>18.11%</w:t>
            </w:r>
          </w:p>
        </w:tc>
        <w:tc>
          <w:tcPr>
            <w:tcW w:w="1200" w:type="dxa"/>
            <w:tcBorders>
              <w:top w:val="single" w:sz="4" w:space="0" w:color="auto"/>
              <w:left w:val="single" w:sz="4" w:space="0" w:color="auto"/>
              <w:bottom w:val="single" w:sz="4" w:space="0" w:color="auto"/>
              <w:right w:val="single" w:sz="4" w:space="0" w:color="auto"/>
            </w:tcBorders>
          </w:tcPr>
          <w:p w14:paraId="55B91B0D" w14:textId="64891CC5" w:rsidR="00DF008C" w:rsidRPr="00D55FA1" w:rsidRDefault="00D2395B" w:rsidP="00DF008C">
            <w:pPr>
              <w:widowControl w:val="0"/>
              <w:overflowPunct w:val="0"/>
              <w:autoSpaceDE w:val="0"/>
              <w:autoSpaceDN w:val="0"/>
              <w:adjustRightInd w:val="0"/>
              <w:jc w:val="center"/>
              <w:rPr>
                <w:rFonts w:cs="Arial"/>
                <w:bCs/>
              </w:rPr>
            </w:pPr>
            <w:r>
              <w:rPr>
                <w:rFonts w:cs="Arial"/>
                <w:bCs/>
              </w:rPr>
              <w:t>17.79%</w:t>
            </w:r>
          </w:p>
        </w:tc>
        <w:tc>
          <w:tcPr>
            <w:tcW w:w="1200" w:type="dxa"/>
            <w:tcBorders>
              <w:top w:val="single" w:sz="4" w:space="0" w:color="auto"/>
              <w:left w:val="single" w:sz="4" w:space="0" w:color="auto"/>
              <w:bottom w:val="single" w:sz="4" w:space="0" w:color="auto"/>
              <w:right w:val="single" w:sz="4" w:space="0" w:color="auto"/>
            </w:tcBorders>
          </w:tcPr>
          <w:p w14:paraId="6810F0D1" w14:textId="79C8B7E1"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0E5F7B5C" w14:textId="77777777" w:rsidTr="00DF008C">
        <w:trPr>
          <w:cantSplit/>
          <w:trHeight w:val="368"/>
        </w:trPr>
        <w:tc>
          <w:tcPr>
            <w:tcW w:w="2155" w:type="dxa"/>
            <w:tcBorders>
              <w:top w:val="single" w:sz="4" w:space="0" w:color="auto"/>
              <w:left w:val="single" w:sz="4" w:space="0" w:color="auto"/>
              <w:bottom w:val="single" w:sz="4" w:space="0" w:color="auto"/>
              <w:right w:val="single" w:sz="4" w:space="0" w:color="auto"/>
            </w:tcBorders>
            <w:vAlign w:val="center"/>
          </w:tcPr>
          <w:p w14:paraId="471442A4"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5b Target Met</w:t>
            </w:r>
          </w:p>
        </w:tc>
        <w:tc>
          <w:tcPr>
            <w:tcW w:w="1200" w:type="dxa"/>
            <w:tcBorders>
              <w:top w:val="single" w:sz="4" w:space="0" w:color="auto"/>
              <w:left w:val="single" w:sz="4" w:space="0" w:color="auto"/>
              <w:bottom w:val="single" w:sz="4" w:space="0" w:color="auto"/>
              <w:right w:val="single" w:sz="4" w:space="0" w:color="auto"/>
            </w:tcBorders>
            <w:vAlign w:val="center"/>
          </w:tcPr>
          <w:p w14:paraId="2055D44D"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200" w:type="dxa"/>
            <w:tcBorders>
              <w:top w:val="single" w:sz="4" w:space="0" w:color="auto"/>
              <w:left w:val="single" w:sz="4" w:space="0" w:color="auto"/>
              <w:bottom w:val="single" w:sz="4" w:space="0" w:color="auto"/>
              <w:right w:val="single" w:sz="4" w:space="0" w:color="auto"/>
            </w:tcBorders>
            <w:vAlign w:val="center"/>
          </w:tcPr>
          <w:p w14:paraId="74E797DC" w14:textId="634FCA4E"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0" w:type="dxa"/>
            <w:tcBorders>
              <w:top w:val="single" w:sz="4" w:space="0" w:color="auto"/>
              <w:left w:val="single" w:sz="4" w:space="0" w:color="auto"/>
              <w:bottom w:val="single" w:sz="4" w:space="0" w:color="auto"/>
              <w:right w:val="single" w:sz="4" w:space="0" w:color="auto"/>
            </w:tcBorders>
            <w:vAlign w:val="center"/>
          </w:tcPr>
          <w:p w14:paraId="25AF7EAE" w14:textId="2798465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0" w:type="dxa"/>
            <w:tcBorders>
              <w:top w:val="single" w:sz="4" w:space="0" w:color="auto"/>
              <w:left w:val="single" w:sz="4" w:space="0" w:color="auto"/>
              <w:bottom w:val="single" w:sz="4" w:space="0" w:color="auto"/>
              <w:right w:val="single" w:sz="4" w:space="0" w:color="auto"/>
            </w:tcBorders>
          </w:tcPr>
          <w:p w14:paraId="2633CEB9" w14:textId="62D1A5A0" w:rsidR="00DF008C" w:rsidRPr="00D55FA1" w:rsidRDefault="00EC27AA" w:rsidP="00DF008C">
            <w:pPr>
              <w:widowControl w:val="0"/>
              <w:overflowPunct w:val="0"/>
              <w:autoSpaceDE w:val="0"/>
              <w:autoSpaceDN w:val="0"/>
              <w:adjustRightInd w:val="0"/>
              <w:jc w:val="center"/>
              <w:rPr>
                <w:rFonts w:cs="Arial"/>
                <w:bCs/>
              </w:rPr>
            </w:pPr>
            <w:r>
              <w:rPr>
                <w:rFonts w:cs="Arial"/>
                <w:bCs/>
              </w:rPr>
              <w:t>No</w:t>
            </w:r>
          </w:p>
        </w:tc>
        <w:tc>
          <w:tcPr>
            <w:tcW w:w="1200" w:type="dxa"/>
            <w:tcBorders>
              <w:top w:val="single" w:sz="4" w:space="0" w:color="auto"/>
              <w:left w:val="single" w:sz="4" w:space="0" w:color="auto"/>
              <w:bottom w:val="single" w:sz="4" w:space="0" w:color="auto"/>
              <w:right w:val="single" w:sz="4" w:space="0" w:color="auto"/>
            </w:tcBorders>
          </w:tcPr>
          <w:p w14:paraId="4B1D477B" w14:textId="2A38F24D" w:rsidR="00DF008C" w:rsidRPr="00D55FA1" w:rsidRDefault="00900DEC" w:rsidP="00DF008C">
            <w:pPr>
              <w:widowControl w:val="0"/>
              <w:overflowPunct w:val="0"/>
              <w:autoSpaceDE w:val="0"/>
              <w:autoSpaceDN w:val="0"/>
              <w:adjustRightInd w:val="0"/>
              <w:jc w:val="center"/>
              <w:rPr>
                <w:rFonts w:cs="Arial"/>
                <w:bCs/>
              </w:rPr>
            </w:pPr>
            <w:r>
              <w:rPr>
                <w:rFonts w:cs="Arial"/>
                <w:bCs/>
              </w:rPr>
              <w:t>No</w:t>
            </w:r>
          </w:p>
        </w:tc>
        <w:tc>
          <w:tcPr>
            <w:tcW w:w="1200" w:type="dxa"/>
            <w:tcBorders>
              <w:top w:val="single" w:sz="4" w:space="0" w:color="auto"/>
              <w:left w:val="single" w:sz="4" w:space="0" w:color="auto"/>
              <w:bottom w:val="single" w:sz="4" w:space="0" w:color="auto"/>
              <w:right w:val="single" w:sz="4" w:space="0" w:color="auto"/>
            </w:tcBorders>
          </w:tcPr>
          <w:p w14:paraId="65BE1F1D" w14:textId="24432CB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66332C" w:rsidRPr="00D55FA1" w14:paraId="7488F842" w14:textId="77777777" w:rsidTr="00CF035F">
        <w:trPr>
          <w:cantSplit/>
          <w:trHeight w:val="368"/>
        </w:trPr>
        <w:tc>
          <w:tcPr>
            <w:tcW w:w="2155" w:type="dxa"/>
            <w:tcBorders>
              <w:top w:val="single" w:sz="4" w:space="0" w:color="auto"/>
              <w:left w:val="single" w:sz="4" w:space="0" w:color="auto"/>
              <w:bottom w:val="single" w:sz="4" w:space="0" w:color="auto"/>
              <w:right w:val="single" w:sz="4" w:space="0" w:color="auto"/>
            </w:tcBorders>
            <w:vAlign w:val="center"/>
          </w:tcPr>
          <w:p w14:paraId="30E57C94"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5c Target</w:t>
            </w:r>
          </w:p>
        </w:tc>
        <w:tc>
          <w:tcPr>
            <w:tcW w:w="1200" w:type="dxa"/>
            <w:tcBorders>
              <w:top w:val="single" w:sz="4" w:space="0" w:color="auto"/>
              <w:left w:val="single" w:sz="4" w:space="0" w:color="auto"/>
              <w:bottom w:val="single" w:sz="4" w:space="0" w:color="auto"/>
              <w:right w:val="single" w:sz="4" w:space="0" w:color="auto"/>
            </w:tcBorders>
            <w:vAlign w:val="center"/>
          </w:tcPr>
          <w:p w14:paraId="7E9C3213"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3.4%</w:t>
            </w:r>
          </w:p>
        </w:tc>
        <w:tc>
          <w:tcPr>
            <w:tcW w:w="1200" w:type="dxa"/>
            <w:tcBorders>
              <w:top w:val="single" w:sz="4" w:space="0" w:color="auto"/>
              <w:left w:val="single" w:sz="4" w:space="0" w:color="auto"/>
              <w:bottom w:val="single" w:sz="4" w:space="0" w:color="auto"/>
              <w:right w:val="single" w:sz="4" w:space="0" w:color="auto"/>
            </w:tcBorders>
            <w:vAlign w:val="center"/>
          </w:tcPr>
          <w:p w14:paraId="2A971C7C"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3.2%</w:t>
            </w:r>
          </w:p>
        </w:tc>
        <w:tc>
          <w:tcPr>
            <w:tcW w:w="1200" w:type="dxa"/>
            <w:tcBorders>
              <w:top w:val="single" w:sz="4" w:space="0" w:color="auto"/>
              <w:left w:val="single" w:sz="4" w:space="0" w:color="auto"/>
              <w:bottom w:val="single" w:sz="4" w:space="0" w:color="auto"/>
              <w:right w:val="single" w:sz="4" w:space="0" w:color="auto"/>
            </w:tcBorders>
            <w:vAlign w:val="center"/>
          </w:tcPr>
          <w:p w14:paraId="48CEAE12"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3.0%</w:t>
            </w:r>
          </w:p>
        </w:tc>
        <w:tc>
          <w:tcPr>
            <w:tcW w:w="1200" w:type="dxa"/>
            <w:tcBorders>
              <w:top w:val="single" w:sz="4" w:space="0" w:color="auto"/>
              <w:left w:val="single" w:sz="4" w:space="0" w:color="auto"/>
              <w:bottom w:val="single" w:sz="4" w:space="0" w:color="auto"/>
              <w:right w:val="single" w:sz="4" w:space="0" w:color="auto"/>
            </w:tcBorders>
            <w:vAlign w:val="center"/>
          </w:tcPr>
          <w:p w14:paraId="5D7D8753"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2.8%</w:t>
            </w:r>
          </w:p>
        </w:tc>
        <w:tc>
          <w:tcPr>
            <w:tcW w:w="1200" w:type="dxa"/>
            <w:tcBorders>
              <w:top w:val="single" w:sz="4" w:space="0" w:color="auto"/>
              <w:left w:val="single" w:sz="4" w:space="0" w:color="auto"/>
              <w:bottom w:val="single" w:sz="4" w:space="0" w:color="auto"/>
              <w:right w:val="single" w:sz="4" w:space="0" w:color="auto"/>
            </w:tcBorders>
            <w:vAlign w:val="center"/>
          </w:tcPr>
          <w:p w14:paraId="19B168A0"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2.6%</w:t>
            </w:r>
          </w:p>
        </w:tc>
        <w:tc>
          <w:tcPr>
            <w:tcW w:w="1200" w:type="dxa"/>
            <w:tcBorders>
              <w:top w:val="single" w:sz="4" w:space="0" w:color="auto"/>
              <w:left w:val="single" w:sz="4" w:space="0" w:color="auto"/>
              <w:bottom w:val="single" w:sz="4" w:space="0" w:color="auto"/>
              <w:right w:val="single" w:sz="4" w:space="0" w:color="auto"/>
            </w:tcBorders>
            <w:vAlign w:val="center"/>
          </w:tcPr>
          <w:p w14:paraId="655129DD"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2.4%</w:t>
            </w:r>
          </w:p>
        </w:tc>
      </w:tr>
      <w:tr w:rsidR="00DF008C" w:rsidRPr="00D55FA1" w14:paraId="4839004F" w14:textId="77777777" w:rsidTr="00EC27AA">
        <w:trPr>
          <w:cantSplit/>
          <w:trHeight w:val="350"/>
        </w:trPr>
        <w:tc>
          <w:tcPr>
            <w:tcW w:w="2155" w:type="dxa"/>
            <w:tcBorders>
              <w:top w:val="single" w:sz="4" w:space="0" w:color="auto"/>
              <w:left w:val="single" w:sz="4" w:space="0" w:color="auto"/>
              <w:bottom w:val="single" w:sz="4" w:space="0" w:color="auto"/>
              <w:right w:val="single" w:sz="4" w:space="0" w:color="auto"/>
            </w:tcBorders>
            <w:vAlign w:val="center"/>
          </w:tcPr>
          <w:p w14:paraId="5BE7AB38"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5c Result</w:t>
            </w:r>
          </w:p>
        </w:tc>
        <w:tc>
          <w:tcPr>
            <w:tcW w:w="1200" w:type="dxa"/>
            <w:tcBorders>
              <w:top w:val="single" w:sz="4" w:space="0" w:color="auto"/>
              <w:left w:val="single" w:sz="4" w:space="0" w:color="auto"/>
              <w:bottom w:val="single" w:sz="4" w:space="0" w:color="auto"/>
              <w:right w:val="single" w:sz="4" w:space="0" w:color="auto"/>
            </w:tcBorders>
            <w:vAlign w:val="center"/>
          </w:tcPr>
          <w:p w14:paraId="2C02F16A"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2.90%</w:t>
            </w:r>
          </w:p>
        </w:tc>
        <w:tc>
          <w:tcPr>
            <w:tcW w:w="1200" w:type="dxa"/>
            <w:tcBorders>
              <w:top w:val="single" w:sz="4" w:space="0" w:color="auto"/>
              <w:left w:val="single" w:sz="4" w:space="0" w:color="auto"/>
              <w:bottom w:val="single" w:sz="4" w:space="0" w:color="auto"/>
              <w:right w:val="single" w:sz="4" w:space="0" w:color="auto"/>
            </w:tcBorders>
            <w:vAlign w:val="center"/>
          </w:tcPr>
          <w:p w14:paraId="6AFAB436" w14:textId="2A4E5D7E"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2.57%</w:t>
            </w:r>
          </w:p>
        </w:tc>
        <w:tc>
          <w:tcPr>
            <w:tcW w:w="1200" w:type="dxa"/>
            <w:tcBorders>
              <w:top w:val="single" w:sz="4" w:space="0" w:color="auto"/>
              <w:left w:val="single" w:sz="4" w:space="0" w:color="auto"/>
              <w:bottom w:val="single" w:sz="4" w:space="0" w:color="auto"/>
              <w:right w:val="single" w:sz="4" w:space="0" w:color="auto"/>
            </w:tcBorders>
            <w:vAlign w:val="center"/>
          </w:tcPr>
          <w:p w14:paraId="042C5D41" w14:textId="0B60C61E"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2.54%</w:t>
            </w:r>
          </w:p>
        </w:tc>
        <w:tc>
          <w:tcPr>
            <w:tcW w:w="1200" w:type="dxa"/>
            <w:tcBorders>
              <w:top w:val="single" w:sz="4" w:space="0" w:color="auto"/>
              <w:left w:val="single" w:sz="4" w:space="0" w:color="auto"/>
              <w:bottom w:val="single" w:sz="4" w:space="0" w:color="auto"/>
              <w:right w:val="single" w:sz="4" w:space="0" w:color="auto"/>
            </w:tcBorders>
            <w:vAlign w:val="center"/>
          </w:tcPr>
          <w:p w14:paraId="4D2E12B8" w14:textId="73254ACD" w:rsidR="00DF008C" w:rsidRPr="00D55FA1" w:rsidRDefault="00EC27AA" w:rsidP="00EC27AA">
            <w:pPr>
              <w:widowControl w:val="0"/>
              <w:overflowPunct w:val="0"/>
              <w:autoSpaceDE w:val="0"/>
              <w:autoSpaceDN w:val="0"/>
              <w:adjustRightInd w:val="0"/>
              <w:jc w:val="center"/>
              <w:rPr>
                <w:rFonts w:cs="Arial"/>
                <w:bCs/>
              </w:rPr>
            </w:pPr>
            <w:r>
              <w:rPr>
                <w:rFonts w:cs="Arial"/>
                <w:bCs/>
              </w:rPr>
              <w:t>2.36%</w:t>
            </w:r>
          </w:p>
        </w:tc>
        <w:tc>
          <w:tcPr>
            <w:tcW w:w="1200" w:type="dxa"/>
            <w:tcBorders>
              <w:top w:val="single" w:sz="4" w:space="0" w:color="auto"/>
              <w:left w:val="single" w:sz="4" w:space="0" w:color="auto"/>
              <w:bottom w:val="single" w:sz="4" w:space="0" w:color="auto"/>
              <w:right w:val="single" w:sz="4" w:space="0" w:color="auto"/>
            </w:tcBorders>
          </w:tcPr>
          <w:p w14:paraId="308F224F" w14:textId="37196BB7" w:rsidR="00DF008C" w:rsidRPr="00D55FA1" w:rsidRDefault="00354AED" w:rsidP="00DF008C">
            <w:pPr>
              <w:widowControl w:val="0"/>
              <w:overflowPunct w:val="0"/>
              <w:autoSpaceDE w:val="0"/>
              <w:autoSpaceDN w:val="0"/>
              <w:adjustRightInd w:val="0"/>
              <w:jc w:val="center"/>
              <w:rPr>
                <w:rFonts w:cs="Arial"/>
                <w:bCs/>
              </w:rPr>
            </w:pPr>
            <w:r>
              <w:rPr>
                <w:rFonts w:cs="Arial"/>
                <w:bCs/>
              </w:rPr>
              <w:t>2.49</w:t>
            </w:r>
            <w:r w:rsidR="00502C43">
              <w:rPr>
                <w:rFonts w:cs="Arial"/>
                <w:bCs/>
              </w:rPr>
              <w:t>%</w:t>
            </w:r>
          </w:p>
        </w:tc>
        <w:tc>
          <w:tcPr>
            <w:tcW w:w="1200" w:type="dxa"/>
            <w:tcBorders>
              <w:top w:val="single" w:sz="4" w:space="0" w:color="auto"/>
              <w:left w:val="single" w:sz="4" w:space="0" w:color="auto"/>
              <w:bottom w:val="single" w:sz="4" w:space="0" w:color="auto"/>
              <w:right w:val="single" w:sz="4" w:space="0" w:color="auto"/>
            </w:tcBorders>
          </w:tcPr>
          <w:p w14:paraId="5E6D6F63" w14:textId="6A170871"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72E9EA25" w14:textId="77777777" w:rsidTr="00DF008C">
        <w:trPr>
          <w:cantSplit/>
          <w:trHeight w:val="350"/>
        </w:trPr>
        <w:tc>
          <w:tcPr>
            <w:tcW w:w="2155" w:type="dxa"/>
            <w:tcBorders>
              <w:top w:val="single" w:sz="4" w:space="0" w:color="auto"/>
              <w:left w:val="single" w:sz="4" w:space="0" w:color="auto"/>
              <w:bottom w:val="single" w:sz="4" w:space="0" w:color="auto"/>
              <w:right w:val="single" w:sz="4" w:space="0" w:color="auto"/>
            </w:tcBorders>
            <w:vAlign w:val="center"/>
          </w:tcPr>
          <w:p w14:paraId="3B8399E7"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5c Target Met</w:t>
            </w:r>
          </w:p>
        </w:tc>
        <w:tc>
          <w:tcPr>
            <w:tcW w:w="1200" w:type="dxa"/>
            <w:tcBorders>
              <w:top w:val="single" w:sz="4" w:space="0" w:color="auto"/>
              <w:left w:val="single" w:sz="4" w:space="0" w:color="auto"/>
              <w:bottom w:val="single" w:sz="4" w:space="0" w:color="auto"/>
              <w:right w:val="single" w:sz="4" w:space="0" w:color="auto"/>
            </w:tcBorders>
            <w:vAlign w:val="center"/>
          </w:tcPr>
          <w:p w14:paraId="1E38E3D1"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200" w:type="dxa"/>
            <w:tcBorders>
              <w:top w:val="single" w:sz="4" w:space="0" w:color="auto"/>
              <w:left w:val="single" w:sz="4" w:space="0" w:color="auto"/>
              <w:bottom w:val="single" w:sz="4" w:space="0" w:color="auto"/>
              <w:right w:val="single" w:sz="4" w:space="0" w:color="auto"/>
            </w:tcBorders>
            <w:vAlign w:val="center"/>
          </w:tcPr>
          <w:p w14:paraId="7B969857" w14:textId="17DFCEB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200" w:type="dxa"/>
            <w:tcBorders>
              <w:top w:val="single" w:sz="4" w:space="0" w:color="auto"/>
              <w:left w:val="single" w:sz="4" w:space="0" w:color="auto"/>
              <w:bottom w:val="single" w:sz="4" w:space="0" w:color="auto"/>
              <w:right w:val="single" w:sz="4" w:space="0" w:color="auto"/>
            </w:tcBorders>
            <w:vAlign w:val="center"/>
          </w:tcPr>
          <w:p w14:paraId="0FE634FD" w14:textId="1BF7F1A2"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0" w:type="dxa"/>
            <w:tcBorders>
              <w:top w:val="single" w:sz="4" w:space="0" w:color="auto"/>
              <w:left w:val="single" w:sz="4" w:space="0" w:color="auto"/>
              <w:bottom w:val="single" w:sz="4" w:space="0" w:color="auto"/>
              <w:right w:val="single" w:sz="4" w:space="0" w:color="auto"/>
            </w:tcBorders>
          </w:tcPr>
          <w:p w14:paraId="62A1F980" w14:textId="1D30A9DC" w:rsidR="00DF008C" w:rsidRPr="00D55FA1" w:rsidRDefault="00EC27AA" w:rsidP="00DF008C">
            <w:pPr>
              <w:widowControl w:val="0"/>
              <w:overflowPunct w:val="0"/>
              <w:autoSpaceDE w:val="0"/>
              <w:autoSpaceDN w:val="0"/>
              <w:adjustRightInd w:val="0"/>
              <w:jc w:val="center"/>
              <w:rPr>
                <w:rFonts w:cs="Arial"/>
                <w:bCs/>
              </w:rPr>
            </w:pPr>
            <w:r>
              <w:rPr>
                <w:rFonts w:cs="Arial"/>
                <w:bCs/>
              </w:rPr>
              <w:t>Yes</w:t>
            </w:r>
          </w:p>
        </w:tc>
        <w:tc>
          <w:tcPr>
            <w:tcW w:w="1200" w:type="dxa"/>
            <w:tcBorders>
              <w:top w:val="single" w:sz="4" w:space="0" w:color="auto"/>
              <w:left w:val="single" w:sz="4" w:space="0" w:color="auto"/>
              <w:bottom w:val="single" w:sz="4" w:space="0" w:color="auto"/>
              <w:right w:val="single" w:sz="4" w:space="0" w:color="auto"/>
            </w:tcBorders>
          </w:tcPr>
          <w:p w14:paraId="300079F4" w14:textId="4005B374" w:rsidR="00DF008C" w:rsidRPr="00D55FA1" w:rsidRDefault="007B0394" w:rsidP="00DF008C">
            <w:pPr>
              <w:widowControl w:val="0"/>
              <w:overflowPunct w:val="0"/>
              <w:autoSpaceDE w:val="0"/>
              <w:autoSpaceDN w:val="0"/>
              <w:adjustRightInd w:val="0"/>
              <w:jc w:val="center"/>
              <w:rPr>
                <w:rFonts w:cs="Arial"/>
                <w:bCs/>
              </w:rPr>
            </w:pPr>
            <w:r>
              <w:rPr>
                <w:rFonts w:cs="Arial"/>
                <w:bCs/>
              </w:rPr>
              <w:t>Yes</w:t>
            </w:r>
          </w:p>
        </w:tc>
        <w:tc>
          <w:tcPr>
            <w:tcW w:w="1200" w:type="dxa"/>
            <w:tcBorders>
              <w:top w:val="single" w:sz="4" w:space="0" w:color="auto"/>
              <w:left w:val="single" w:sz="4" w:space="0" w:color="auto"/>
              <w:bottom w:val="single" w:sz="4" w:space="0" w:color="auto"/>
              <w:right w:val="single" w:sz="4" w:space="0" w:color="auto"/>
            </w:tcBorders>
          </w:tcPr>
          <w:p w14:paraId="299D8616" w14:textId="10ABD4A2"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bl>
    <w:p w14:paraId="491D2769" w14:textId="77777777" w:rsidR="001F5D16" w:rsidRPr="00D55FA1" w:rsidRDefault="001F5D16" w:rsidP="001F5D16"/>
    <w:p w14:paraId="6F5CD9ED" w14:textId="77777777" w:rsidR="001F5D16" w:rsidRPr="00D55FA1" w:rsidRDefault="001F5D16">
      <w:pPr>
        <w:spacing w:after="160" w:line="259" w:lineRule="auto"/>
      </w:pPr>
      <w:r w:rsidRPr="00D55FA1">
        <w:br w:type="page"/>
      </w:r>
    </w:p>
    <w:p w14:paraId="673A7956" w14:textId="77777777" w:rsidR="00EB1E42" w:rsidRPr="00D55FA1" w:rsidRDefault="00EB1E42" w:rsidP="00EB1E42">
      <w:pPr>
        <w:pStyle w:val="Heading2"/>
        <w:jc w:val="center"/>
      </w:pPr>
      <w:bookmarkStart w:id="132" w:name="_Toc212718049"/>
      <w:r w:rsidRPr="00D55FA1">
        <w:lastRenderedPageBreak/>
        <w:t>Indicator 6: Preschool Least Restrictive Environments</w:t>
      </w:r>
      <w:bookmarkEnd w:id="132"/>
    </w:p>
    <w:p w14:paraId="50E4FD80" w14:textId="77777777" w:rsidR="00EB1E42" w:rsidRPr="00D55FA1" w:rsidRDefault="001F5D16" w:rsidP="00EB1E42">
      <w:pPr>
        <w:pStyle w:val="Heading3"/>
      </w:pPr>
      <w:bookmarkStart w:id="133" w:name="_Toc212718050"/>
      <w:r w:rsidRPr="00D55FA1">
        <w:t>Description</w:t>
      </w:r>
      <w:bookmarkEnd w:id="133"/>
    </w:p>
    <w:p w14:paraId="1E5AA5F5" w14:textId="26C0229F" w:rsidR="001F5D16" w:rsidRPr="00D55FA1" w:rsidRDefault="00EB1E42" w:rsidP="00EB1E42">
      <w:pPr>
        <w:spacing w:after="240"/>
        <w:rPr>
          <w:rFonts w:cs="Arial"/>
        </w:rPr>
      </w:pPr>
      <w:r w:rsidRPr="00D55FA1">
        <w:rPr>
          <w:rFonts w:cs="Arial"/>
        </w:rPr>
        <w:t xml:space="preserve">Indicator 6 is a performance indicator that measures the </w:t>
      </w:r>
      <w:proofErr w:type="gramStart"/>
      <w:r w:rsidRPr="00D55FA1">
        <w:rPr>
          <w:rFonts w:cs="Arial"/>
        </w:rPr>
        <w:t>percent</w:t>
      </w:r>
      <w:proofErr w:type="gramEnd"/>
      <w:r w:rsidRPr="00D55FA1">
        <w:rPr>
          <w:rFonts w:cs="Arial"/>
        </w:rPr>
        <w:t xml:space="preserve"> of children with disabilities ages three through five years, enrolled in a preschool program </w:t>
      </w:r>
      <w:r w:rsidR="00447DAE" w:rsidRPr="00D55FA1">
        <w:rPr>
          <w:rFonts w:cs="Arial"/>
        </w:rPr>
        <w:t>and is:</w:t>
      </w:r>
    </w:p>
    <w:p w14:paraId="318386E5" w14:textId="36188636" w:rsidR="001F5D16" w:rsidRPr="00D55FA1" w:rsidRDefault="00447DAE" w:rsidP="005E62B2">
      <w:pPr>
        <w:pStyle w:val="ListParagraph"/>
        <w:numPr>
          <w:ilvl w:val="0"/>
          <w:numId w:val="13"/>
        </w:numPr>
        <w:spacing w:after="240"/>
        <w:ind w:left="778"/>
        <w:contextualSpacing w:val="0"/>
        <w:rPr>
          <w:rFonts w:cs="Arial"/>
        </w:rPr>
      </w:pPr>
      <w:r w:rsidRPr="00D55FA1">
        <w:rPr>
          <w:rFonts w:cs="Arial"/>
        </w:rPr>
        <w:t xml:space="preserve">attending a </w:t>
      </w:r>
      <w:r w:rsidR="00EB1E42" w:rsidRPr="00D55FA1">
        <w:rPr>
          <w:rFonts w:cs="Arial"/>
        </w:rPr>
        <w:t xml:space="preserve">regular early childhood program and receiving </w:t>
      </w:r>
      <w:proofErr w:type="gramStart"/>
      <w:r w:rsidR="00EB1E42" w:rsidRPr="00D55FA1">
        <w:rPr>
          <w:rFonts w:cs="Arial"/>
        </w:rPr>
        <w:t>the majority of</w:t>
      </w:r>
      <w:proofErr w:type="gramEnd"/>
      <w:r w:rsidR="00EB1E42" w:rsidRPr="00D55FA1">
        <w:rPr>
          <w:rFonts w:cs="Arial"/>
        </w:rPr>
        <w:t xml:space="preserve"> special education and related service</w:t>
      </w:r>
      <w:r w:rsidR="0018416B">
        <w:rPr>
          <w:rFonts w:cs="Arial"/>
        </w:rPr>
        <w:t>s</w:t>
      </w:r>
      <w:r w:rsidR="00EB1E42" w:rsidRPr="00D55FA1">
        <w:rPr>
          <w:rFonts w:cs="Arial"/>
        </w:rPr>
        <w:t xml:space="preserve"> in the regular early childhood program; </w:t>
      </w:r>
      <w:r w:rsidR="001F5D16" w:rsidRPr="00D55FA1">
        <w:rPr>
          <w:rFonts w:cs="Arial"/>
        </w:rPr>
        <w:t xml:space="preserve">and </w:t>
      </w:r>
    </w:p>
    <w:p w14:paraId="5C2187EC" w14:textId="0458A9D3" w:rsidR="001F5D16" w:rsidRPr="00D55FA1" w:rsidRDefault="00447DAE" w:rsidP="005E62B2">
      <w:pPr>
        <w:pStyle w:val="ListParagraph"/>
        <w:numPr>
          <w:ilvl w:val="0"/>
          <w:numId w:val="13"/>
        </w:numPr>
        <w:spacing w:after="240"/>
        <w:ind w:left="778"/>
        <w:contextualSpacing w:val="0"/>
        <w:rPr>
          <w:rFonts w:cs="Arial"/>
        </w:rPr>
      </w:pPr>
      <w:r w:rsidRPr="00D55FA1">
        <w:rPr>
          <w:rFonts w:cs="Arial"/>
        </w:rPr>
        <w:t xml:space="preserve">attending a </w:t>
      </w:r>
      <w:r w:rsidR="00EB1E42" w:rsidRPr="00D55FA1">
        <w:rPr>
          <w:rFonts w:cs="Arial"/>
        </w:rPr>
        <w:t xml:space="preserve">separate special education class, separate school, or residential facility; and </w:t>
      </w:r>
    </w:p>
    <w:p w14:paraId="712546E7" w14:textId="09F13203" w:rsidR="00F768B3" w:rsidRPr="00D55FA1" w:rsidRDefault="00EB1E42" w:rsidP="00267EFD">
      <w:pPr>
        <w:pStyle w:val="ListParagraph"/>
        <w:numPr>
          <w:ilvl w:val="0"/>
          <w:numId w:val="13"/>
        </w:numPr>
        <w:spacing w:after="240"/>
        <w:ind w:left="778"/>
        <w:contextualSpacing w:val="0"/>
      </w:pPr>
      <w:r w:rsidRPr="005E62B2">
        <w:rPr>
          <w:rFonts w:cs="Arial"/>
        </w:rPr>
        <w:t>receiving special education and related services in the home.</w:t>
      </w:r>
    </w:p>
    <w:p w14:paraId="10845BBF" w14:textId="77777777" w:rsidR="00EB1E42" w:rsidRPr="00D55FA1" w:rsidRDefault="001F5D16" w:rsidP="00EB1E42">
      <w:pPr>
        <w:pStyle w:val="Heading3"/>
        <w:spacing w:before="0"/>
      </w:pPr>
      <w:bookmarkStart w:id="134" w:name="_Toc212718051"/>
      <w:r w:rsidRPr="00D55FA1">
        <w:t>Measurement</w:t>
      </w:r>
      <w:bookmarkEnd w:id="134"/>
    </w:p>
    <w:p w14:paraId="2ABEB604" w14:textId="1874519F" w:rsidR="00447DAE" w:rsidRPr="00D55FA1" w:rsidRDefault="001F5D16" w:rsidP="0018479D">
      <w:pPr>
        <w:pStyle w:val="ListParagraph"/>
        <w:numPr>
          <w:ilvl w:val="0"/>
          <w:numId w:val="14"/>
        </w:numPr>
        <w:spacing w:after="240"/>
        <w:contextualSpacing w:val="0"/>
      </w:pPr>
      <w:r w:rsidRPr="00D55FA1">
        <w:t>Percent = [(</w:t>
      </w:r>
      <w:r w:rsidR="00C7167F" w:rsidRPr="00D55FA1">
        <w:t>number</w:t>
      </w:r>
      <w:r w:rsidRPr="00D55FA1">
        <w:t xml:space="preserve"> of children ages </w:t>
      </w:r>
      <w:r w:rsidR="00502B92">
        <w:t>three</w:t>
      </w:r>
      <w:r w:rsidRPr="00D55FA1">
        <w:t xml:space="preserve">, </w:t>
      </w:r>
      <w:r w:rsidR="00502B92">
        <w:t>four</w:t>
      </w:r>
      <w:r w:rsidRPr="00D55FA1">
        <w:t xml:space="preserve">, and </w:t>
      </w:r>
      <w:r w:rsidR="00502B92">
        <w:t>five</w:t>
      </w:r>
      <w:r w:rsidRPr="00D55FA1">
        <w:t xml:space="preserve"> with IEPs attending a regular early childhood program and receiving </w:t>
      </w:r>
      <w:proofErr w:type="gramStart"/>
      <w:r w:rsidRPr="00D55FA1">
        <w:t>the majority of</w:t>
      </w:r>
      <w:proofErr w:type="gramEnd"/>
      <w:r w:rsidRPr="00D55FA1">
        <w:t xml:space="preserve"> special education and related services in the regular early childhood program) divided by the (total </w:t>
      </w:r>
      <w:r w:rsidR="00C7167F" w:rsidRPr="00D55FA1">
        <w:t>number</w:t>
      </w:r>
      <w:r w:rsidRPr="00D55FA1">
        <w:t xml:space="preserve"> of children ages </w:t>
      </w:r>
      <w:r w:rsidR="00502B92">
        <w:t>three, four, and five</w:t>
      </w:r>
      <w:r w:rsidRPr="00D55FA1">
        <w:t xml:space="preserve"> with IEPs)] </w:t>
      </w:r>
      <w:proofErr w:type="gramStart"/>
      <w:r w:rsidRPr="00D55FA1">
        <w:t>times 100</w:t>
      </w:r>
      <w:proofErr w:type="gramEnd"/>
      <w:r w:rsidRPr="00D55FA1">
        <w:t>.</w:t>
      </w:r>
    </w:p>
    <w:p w14:paraId="3E1DF2F2" w14:textId="5CC3C6F0" w:rsidR="00F768B3" w:rsidRPr="00D55FA1" w:rsidRDefault="001F5D16" w:rsidP="004F0102">
      <w:pPr>
        <w:pStyle w:val="ListParagraph"/>
        <w:numPr>
          <w:ilvl w:val="0"/>
          <w:numId w:val="14"/>
        </w:numPr>
        <w:spacing w:after="240"/>
        <w:contextualSpacing w:val="0"/>
      </w:pPr>
      <w:r w:rsidRPr="00D55FA1">
        <w:t xml:space="preserve">Percent </w:t>
      </w:r>
      <w:proofErr w:type="gramStart"/>
      <w:r w:rsidRPr="00D55FA1">
        <w:t>= [(</w:t>
      </w:r>
      <w:proofErr w:type="gramEnd"/>
      <w:r w:rsidR="00C7167F" w:rsidRPr="00D55FA1">
        <w:t>number</w:t>
      </w:r>
      <w:r w:rsidRPr="00D55FA1">
        <w:t xml:space="preserve"> of children ages </w:t>
      </w:r>
      <w:r w:rsidR="00502B92">
        <w:t>three, four, and five</w:t>
      </w:r>
      <w:r w:rsidR="00502B92" w:rsidRPr="00D55FA1">
        <w:t xml:space="preserve"> </w:t>
      </w:r>
      <w:r w:rsidRPr="00D55FA1">
        <w:t xml:space="preserve">with IEPs attending a separate special education class, separate </w:t>
      </w:r>
      <w:r w:rsidR="00246FFC" w:rsidRPr="00D55FA1">
        <w:t>school,</w:t>
      </w:r>
      <w:r w:rsidRPr="00D55FA1">
        <w:t xml:space="preserve"> or residential facility) divided by the (total </w:t>
      </w:r>
      <w:r w:rsidR="00C7167F" w:rsidRPr="00D55FA1">
        <w:t>number</w:t>
      </w:r>
      <w:r w:rsidRPr="00D55FA1">
        <w:t xml:space="preserve"> of children ages </w:t>
      </w:r>
      <w:r w:rsidR="00502B92">
        <w:t>three, four, and five</w:t>
      </w:r>
      <w:r w:rsidR="00502B92" w:rsidRPr="00D55FA1">
        <w:t xml:space="preserve"> </w:t>
      </w:r>
      <w:r w:rsidRPr="00D55FA1">
        <w:t>with IEPs)] times 100.</w:t>
      </w:r>
    </w:p>
    <w:p w14:paraId="43861033" w14:textId="1F3E9934" w:rsidR="005E62B2" w:rsidRPr="005E62B2" w:rsidRDefault="001F5D16" w:rsidP="005E62B2">
      <w:pPr>
        <w:pStyle w:val="ListParagraph"/>
        <w:numPr>
          <w:ilvl w:val="0"/>
          <w:numId w:val="14"/>
        </w:numPr>
        <w:spacing w:after="240"/>
        <w:contextualSpacing w:val="0"/>
        <w:rPr>
          <w:bCs/>
        </w:rPr>
      </w:pPr>
      <w:r w:rsidRPr="00D55FA1">
        <w:t xml:space="preserve">Percent </w:t>
      </w:r>
      <w:proofErr w:type="gramStart"/>
      <w:r w:rsidRPr="00D55FA1">
        <w:t>= [(</w:t>
      </w:r>
      <w:proofErr w:type="gramEnd"/>
      <w:r w:rsidR="00C7167F" w:rsidRPr="00D55FA1">
        <w:t>number</w:t>
      </w:r>
      <w:r w:rsidRPr="00D55FA1">
        <w:t xml:space="preserve"> of children ages </w:t>
      </w:r>
      <w:r w:rsidR="00502B92">
        <w:t>three, four, and five</w:t>
      </w:r>
      <w:r w:rsidR="00502B92" w:rsidRPr="00D55FA1">
        <w:t xml:space="preserve"> </w:t>
      </w:r>
      <w:r w:rsidRPr="00D55FA1">
        <w:t xml:space="preserve">with IEPs receiving special education and related services in the home) divided by the (total </w:t>
      </w:r>
      <w:r w:rsidR="00C7167F" w:rsidRPr="00D55FA1">
        <w:t>number</w:t>
      </w:r>
      <w:r w:rsidRPr="00D55FA1">
        <w:t xml:space="preserve"> of children ages </w:t>
      </w:r>
      <w:r w:rsidR="00502B92">
        <w:t>three, four, and five</w:t>
      </w:r>
      <w:r w:rsidR="00502B92" w:rsidRPr="00D55FA1">
        <w:t xml:space="preserve"> </w:t>
      </w:r>
      <w:r w:rsidRPr="00D55FA1">
        <w:t>with IEPs)] times 100.</w:t>
      </w:r>
    </w:p>
    <w:p w14:paraId="213F63E9" w14:textId="77777777" w:rsidR="00EB1E42" w:rsidRPr="00DC17C4" w:rsidRDefault="001F5D16" w:rsidP="00DC17C4">
      <w:pPr>
        <w:spacing w:after="240"/>
        <w:rPr>
          <w:b/>
          <w:bCs/>
        </w:rPr>
      </w:pPr>
      <w:r w:rsidRPr="00DC17C4">
        <w:rPr>
          <w:b/>
          <w:bCs/>
        </w:rPr>
        <w:t>Target Met</w:t>
      </w:r>
    </w:p>
    <w:p w14:paraId="15729439" w14:textId="77777777" w:rsidR="00EB1E42" w:rsidRPr="00D55FA1" w:rsidRDefault="001F5D16" w:rsidP="00664876">
      <w:pPr>
        <w:pStyle w:val="ListParagraph"/>
        <w:widowControl w:val="0"/>
        <w:numPr>
          <w:ilvl w:val="0"/>
          <w:numId w:val="7"/>
        </w:numPr>
        <w:overflowPunct w:val="0"/>
        <w:autoSpaceDE w:val="0"/>
        <w:autoSpaceDN w:val="0"/>
        <w:adjustRightInd w:val="0"/>
        <w:spacing w:after="240"/>
        <w:rPr>
          <w:rFonts w:cs="Arial"/>
        </w:rPr>
      </w:pPr>
      <w:r w:rsidRPr="00D55FA1">
        <w:t>No</w:t>
      </w:r>
    </w:p>
    <w:p w14:paraId="78EB6A77" w14:textId="77777777" w:rsidR="00EB1E42" w:rsidRPr="00D55FA1" w:rsidRDefault="001F5D16" w:rsidP="00664876">
      <w:pPr>
        <w:pStyle w:val="ListParagraph"/>
        <w:numPr>
          <w:ilvl w:val="0"/>
          <w:numId w:val="7"/>
        </w:numPr>
      </w:pPr>
      <w:r w:rsidRPr="00D55FA1">
        <w:t>No</w:t>
      </w:r>
    </w:p>
    <w:p w14:paraId="740C982E" w14:textId="125F6522" w:rsidR="00EB1E42" w:rsidRPr="005E62B2" w:rsidRDefault="001F5D16" w:rsidP="00AA782A">
      <w:pPr>
        <w:pStyle w:val="ListParagraph"/>
        <w:numPr>
          <w:ilvl w:val="0"/>
          <w:numId w:val="7"/>
        </w:numPr>
        <w:spacing w:after="240"/>
        <w:rPr>
          <w:rFonts w:cs="Arial"/>
        </w:rPr>
      </w:pPr>
      <w:r w:rsidRPr="00D55FA1">
        <w:t>No</w:t>
      </w:r>
    </w:p>
    <w:p w14:paraId="05ABFEE9" w14:textId="041940A3" w:rsidR="007C7CEC" w:rsidRPr="00DC17C4" w:rsidRDefault="00DC17C4" w:rsidP="00DC17C4">
      <w:pPr>
        <w:spacing w:after="240"/>
        <w:rPr>
          <w:b/>
          <w:bCs/>
        </w:rPr>
      </w:pPr>
      <w:r w:rsidRPr="00DC17C4">
        <w:rPr>
          <w:b/>
          <w:bCs/>
        </w:rPr>
        <w:t xml:space="preserve">Table 12: </w:t>
      </w:r>
      <w:r w:rsidR="00EB1E42" w:rsidRPr="00DC17C4">
        <w:rPr>
          <w:b/>
          <w:bCs/>
        </w:rPr>
        <w:t xml:space="preserve">Preschool Environments </w:t>
      </w:r>
      <w:r w:rsidR="007C7CEC" w:rsidRPr="00DC17C4">
        <w:rPr>
          <w:b/>
          <w:bCs/>
        </w:rPr>
        <w:t xml:space="preserve">Targets and Results for FFYs </w:t>
      </w:r>
      <w:r w:rsidR="0066332C" w:rsidRPr="00DC17C4">
        <w:rPr>
          <w:b/>
          <w:bCs/>
        </w:rPr>
        <w:t>2020</w:t>
      </w:r>
      <w:r w:rsidR="0066332C" w:rsidRPr="00DC17C4">
        <w:rPr>
          <w:rFonts w:cs="Arial"/>
          <w:b/>
          <w:bCs/>
        </w:rPr>
        <w:t>–25</w:t>
      </w:r>
    </w:p>
    <w:tbl>
      <w:tblPr>
        <w:tblStyle w:val="TableGrid1"/>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dicator 6 Targets and Results"/>
      </w:tblPr>
      <w:tblGrid>
        <w:gridCol w:w="2168"/>
        <w:gridCol w:w="1206"/>
        <w:gridCol w:w="1206"/>
        <w:gridCol w:w="1206"/>
        <w:gridCol w:w="1206"/>
        <w:gridCol w:w="1206"/>
        <w:gridCol w:w="1206"/>
      </w:tblGrid>
      <w:tr w:rsidR="0066332C" w:rsidRPr="00D55FA1" w14:paraId="5A63C02F" w14:textId="77777777" w:rsidTr="002F2CB9">
        <w:trPr>
          <w:cantSplit/>
          <w:trHeight w:val="289"/>
          <w:tblHeader/>
        </w:trPr>
        <w:tc>
          <w:tcPr>
            <w:tcW w:w="2168" w:type="dxa"/>
            <w:vAlign w:val="center"/>
            <w:hideMark/>
          </w:tcPr>
          <w:p w14:paraId="6D60DFB0" w14:textId="77777777" w:rsidR="0066332C" w:rsidRPr="00D55FA1" w:rsidRDefault="0066332C" w:rsidP="00CF035F">
            <w:pPr>
              <w:widowControl w:val="0"/>
              <w:overflowPunct w:val="0"/>
              <w:autoSpaceDE w:val="0"/>
              <w:autoSpaceDN w:val="0"/>
              <w:adjustRightInd w:val="0"/>
              <w:jc w:val="center"/>
              <w:rPr>
                <w:rFonts w:cs="Arial"/>
                <w:b/>
                <w:bCs/>
              </w:rPr>
            </w:pPr>
            <w:bookmarkStart w:id="135" w:name="_Hlk74823418"/>
            <w:r w:rsidRPr="00D55FA1">
              <w:rPr>
                <w:rFonts w:cs="Arial"/>
                <w:b/>
                <w:bCs/>
              </w:rPr>
              <w:t>Indicator 6</w:t>
            </w:r>
          </w:p>
        </w:tc>
        <w:tc>
          <w:tcPr>
            <w:tcW w:w="1206" w:type="dxa"/>
            <w:vAlign w:val="center"/>
            <w:hideMark/>
          </w:tcPr>
          <w:p w14:paraId="24145856"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2020</w:t>
            </w:r>
          </w:p>
        </w:tc>
        <w:tc>
          <w:tcPr>
            <w:tcW w:w="1206" w:type="dxa"/>
            <w:vAlign w:val="center"/>
            <w:hideMark/>
          </w:tcPr>
          <w:p w14:paraId="0054E802"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2021</w:t>
            </w:r>
          </w:p>
        </w:tc>
        <w:tc>
          <w:tcPr>
            <w:tcW w:w="1206" w:type="dxa"/>
            <w:vAlign w:val="center"/>
            <w:hideMark/>
          </w:tcPr>
          <w:p w14:paraId="162C3D42"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2022</w:t>
            </w:r>
          </w:p>
        </w:tc>
        <w:tc>
          <w:tcPr>
            <w:tcW w:w="1206" w:type="dxa"/>
            <w:vAlign w:val="center"/>
            <w:hideMark/>
          </w:tcPr>
          <w:p w14:paraId="1F5307AE"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2023</w:t>
            </w:r>
          </w:p>
        </w:tc>
        <w:tc>
          <w:tcPr>
            <w:tcW w:w="1206" w:type="dxa"/>
            <w:vAlign w:val="center"/>
            <w:hideMark/>
          </w:tcPr>
          <w:p w14:paraId="204DE12B"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2024</w:t>
            </w:r>
          </w:p>
        </w:tc>
        <w:tc>
          <w:tcPr>
            <w:tcW w:w="1206" w:type="dxa"/>
            <w:vAlign w:val="center"/>
          </w:tcPr>
          <w:p w14:paraId="61E52119"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14982078" w14:textId="77777777" w:rsidTr="002F2CB9">
        <w:trPr>
          <w:cantSplit/>
          <w:trHeight w:val="289"/>
        </w:trPr>
        <w:tc>
          <w:tcPr>
            <w:tcW w:w="2168" w:type="dxa"/>
            <w:vAlign w:val="center"/>
            <w:hideMark/>
          </w:tcPr>
          <w:p w14:paraId="7E179670"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6a Target</w:t>
            </w:r>
          </w:p>
        </w:tc>
        <w:tc>
          <w:tcPr>
            <w:tcW w:w="1206" w:type="dxa"/>
            <w:vAlign w:val="center"/>
            <w:hideMark/>
          </w:tcPr>
          <w:p w14:paraId="7E627F7B"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39%</w:t>
            </w:r>
          </w:p>
        </w:tc>
        <w:tc>
          <w:tcPr>
            <w:tcW w:w="1206" w:type="dxa"/>
            <w:vAlign w:val="center"/>
            <w:hideMark/>
          </w:tcPr>
          <w:p w14:paraId="34EC9AC7"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41%</w:t>
            </w:r>
          </w:p>
        </w:tc>
        <w:tc>
          <w:tcPr>
            <w:tcW w:w="1206" w:type="dxa"/>
            <w:vAlign w:val="center"/>
            <w:hideMark/>
          </w:tcPr>
          <w:p w14:paraId="35866ACF"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43%</w:t>
            </w:r>
          </w:p>
        </w:tc>
        <w:tc>
          <w:tcPr>
            <w:tcW w:w="1206" w:type="dxa"/>
            <w:vAlign w:val="center"/>
            <w:hideMark/>
          </w:tcPr>
          <w:p w14:paraId="757FF80B"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45%</w:t>
            </w:r>
          </w:p>
        </w:tc>
        <w:tc>
          <w:tcPr>
            <w:tcW w:w="1206" w:type="dxa"/>
            <w:vAlign w:val="center"/>
            <w:hideMark/>
          </w:tcPr>
          <w:p w14:paraId="70DC1BAA"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47%</w:t>
            </w:r>
          </w:p>
        </w:tc>
        <w:tc>
          <w:tcPr>
            <w:tcW w:w="1206" w:type="dxa"/>
            <w:vAlign w:val="center"/>
          </w:tcPr>
          <w:p w14:paraId="61E08561"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49%</w:t>
            </w:r>
          </w:p>
        </w:tc>
      </w:tr>
      <w:tr w:rsidR="00DF008C" w:rsidRPr="00D55FA1" w14:paraId="33B3CB59" w14:textId="77777777" w:rsidTr="002F2CB9">
        <w:trPr>
          <w:cantSplit/>
          <w:trHeight w:val="289"/>
        </w:trPr>
        <w:tc>
          <w:tcPr>
            <w:tcW w:w="2168" w:type="dxa"/>
            <w:vAlign w:val="center"/>
          </w:tcPr>
          <w:p w14:paraId="6336B7D3"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6a Result</w:t>
            </w:r>
          </w:p>
        </w:tc>
        <w:tc>
          <w:tcPr>
            <w:tcW w:w="1206" w:type="dxa"/>
            <w:vAlign w:val="center"/>
          </w:tcPr>
          <w:p w14:paraId="6149B7C2"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29.16%</w:t>
            </w:r>
          </w:p>
        </w:tc>
        <w:tc>
          <w:tcPr>
            <w:tcW w:w="1206" w:type="dxa"/>
            <w:vAlign w:val="center"/>
          </w:tcPr>
          <w:p w14:paraId="15C78039" w14:textId="3D08AF0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18.86%</w:t>
            </w:r>
          </w:p>
        </w:tc>
        <w:tc>
          <w:tcPr>
            <w:tcW w:w="1206" w:type="dxa"/>
            <w:vAlign w:val="center"/>
          </w:tcPr>
          <w:p w14:paraId="527D639D" w14:textId="1DF891DF"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19.86%</w:t>
            </w:r>
          </w:p>
        </w:tc>
        <w:tc>
          <w:tcPr>
            <w:tcW w:w="1206" w:type="dxa"/>
          </w:tcPr>
          <w:p w14:paraId="5101B52C" w14:textId="31249605" w:rsidR="00DF008C" w:rsidRPr="00D55FA1" w:rsidRDefault="00EC27AA" w:rsidP="00DF008C">
            <w:pPr>
              <w:widowControl w:val="0"/>
              <w:overflowPunct w:val="0"/>
              <w:autoSpaceDE w:val="0"/>
              <w:autoSpaceDN w:val="0"/>
              <w:adjustRightInd w:val="0"/>
              <w:jc w:val="center"/>
              <w:rPr>
                <w:rFonts w:cs="Arial"/>
                <w:bCs/>
              </w:rPr>
            </w:pPr>
            <w:bookmarkStart w:id="136" w:name="_Hlk184748928"/>
            <w:r>
              <w:rPr>
                <w:rFonts w:cs="Arial"/>
                <w:bCs/>
              </w:rPr>
              <w:t>25.36%</w:t>
            </w:r>
            <w:bookmarkEnd w:id="136"/>
          </w:p>
        </w:tc>
        <w:tc>
          <w:tcPr>
            <w:tcW w:w="1206" w:type="dxa"/>
          </w:tcPr>
          <w:p w14:paraId="3C8EC45C" w14:textId="7D1329DB" w:rsidR="00DF008C" w:rsidRPr="00D55FA1" w:rsidRDefault="00C17A09" w:rsidP="00DF008C">
            <w:pPr>
              <w:widowControl w:val="0"/>
              <w:overflowPunct w:val="0"/>
              <w:autoSpaceDE w:val="0"/>
              <w:autoSpaceDN w:val="0"/>
              <w:adjustRightInd w:val="0"/>
              <w:jc w:val="center"/>
              <w:rPr>
                <w:rFonts w:cs="Arial"/>
                <w:bCs/>
              </w:rPr>
            </w:pPr>
            <w:r>
              <w:rPr>
                <w:rFonts w:cs="Arial"/>
                <w:bCs/>
              </w:rPr>
              <w:t>30.85%</w:t>
            </w:r>
          </w:p>
        </w:tc>
        <w:tc>
          <w:tcPr>
            <w:tcW w:w="1206" w:type="dxa"/>
          </w:tcPr>
          <w:p w14:paraId="326DC100" w14:textId="340D86F6"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20E5008F" w14:textId="77777777" w:rsidTr="002F2CB9">
        <w:trPr>
          <w:cantSplit/>
          <w:trHeight w:val="289"/>
        </w:trPr>
        <w:tc>
          <w:tcPr>
            <w:tcW w:w="2168" w:type="dxa"/>
            <w:vAlign w:val="center"/>
          </w:tcPr>
          <w:p w14:paraId="4FC41DE1"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6a Target Met</w:t>
            </w:r>
          </w:p>
        </w:tc>
        <w:tc>
          <w:tcPr>
            <w:tcW w:w="1206" w:type="dxa"/>
            <w:vAlign w:val="center"/>
          </w:tcPr>
          <w:p w14:paraId="2966F3AB"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6" w:type="dxa"/>
            <w:vAlign w:val="center"/>
          </w:tcPr>
          <w:p w14:paraId="0A821549" w14:textId="2B0D66E4"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6" w:type="dxa"/>
            <w:vAlign w:val="center"/>
          </w:tcPr>
          <w:p w14:paraId="66FDCF4E" w14:textId="1159C03E"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6" w:type="dxa"/>
          </w:tcPr>
          <w:p w14:paraId="3BEE236D" w14:textId="34D3D033" w:rsidR="00DF008C" w:rsidRPr="00D55FA1" w:rsidRDefault="00EC27AA" w:rsidP="00DF008C">
            <w:pPr>
              <w:widowControl w:val="0"/>
              <w:overflowPunct w:val="0"/>
              <w:autoSpaceDE w:val="0"/>
              <w:autoSpaceDN w:val="0"/>
              <w:adjustRightInd w:val="0"/>
              <w:jc w:val="center"/>
              <w:rPr>
                <w:rFonts w:cs="Arial"/>
                <w:bCs/>
              </w:rPr>
            </w:pPr>
            <w:r>
              <w:rPr>
                <w:rFonts w:cs="Arial"/>
                <w:bCs/>
              </w:rPr>
              <w:t>No</w:t>
            </w:r>
          </w:p>
        </w:tc>
        <w:tc>
          <w:tcPr>
            <w:tcW w:w="1206" w:type="dxa"/>
          </w:tcPr>
          <w:p w14:paraId="0CCC0888" w14:textId="006AA347" w:rsidR="00DF008C" w:rsidRPr="00D55FA1" w:rsidRDefault="00C17A09" w:rsidP="00DF008C">
            <w:pPr>
              <w:widowControl w:val="0"/>
              <w:overflowPunct w:val="0"/>
              <w:autoSpaceDE w:val="0"/>
              <w:autoSpaceDN w:val="0"/>
              <w:adjustRightInd w:val="0"/>
              <w:jc w:val="center"/>
              <w:rPr>
                <w:rFonts w:cs="Arial"/>
                <w:bCs/>
              </w:rPr>
            </w:pPr>
            <w:r>
              <w:rPr>
                <w:rFonts w:cs="Arial"/>
                <w:bCs/>
              </w:rPr>
              <w:t>No</w:t>
            </w:r>
          </w:p>
        </w:tc>
        <w:tc>
          <w:tcPr>
            <w:tcW w:w="1206" w:type="dxa"/>
          </w:tcPr>
          <w:p w14:paraId="4A990D24" w14:textId="05FF69B5"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66332C" w:rsidRPr="00D55FA1" w14:paraId="5F16DB5F" w14:textId="77777777" w:rsidTr="002F2CB9">
        <w:trPr>
          <w:cantSplit/>
          <w:trHeight w:val="289"/>
        </w:trPr>
        <w:tc>
          <w:tcPr>
            <w:tcW w:w="2168" w:type="dxa"/>
            <w:vAlign w:val="center"/>
          </w:tcPr>
          <w:p w14:paraId="00E6F483"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6b Target</w:t>
            </w:r>
          </w:p>
        </w:tc>
        <w:tc>
          <w:tcPr>
            <w:tcW w:w="1206" w:type="dxa"/>
            <w:vAlign w:val="center"/>
          </w:tcPr>
          <w:p w14:paraId="0CC58163"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33%</w:t>
            </w:r>
          </w:p>
        </w:tc>
        <w:tc>
          <w:tcPr>
            <w:tcW w:w="1206" w:type="dxa"/>
            <w:vAlign w:val="center"/>
          </w:tcPr>
          <w:p w14:paraId="15F812D4"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31%</w:t>
            </w:r>
          </w:p>
        </w:tc>
        <w:tc>
          <w:tcPr>
            <w:tcW w:w="1206" w:type="dxa"/>
            <w:vAlign w:val="center"/>
          </w:tcPr>
          <w:p w14:paraId="71EE81D0"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29%</w:t>
            </w:r>
          </w:p>
        </w:tc>
        <w:tc>
          <w:tcPr>
            <w:tcW w:w="1206" w:type="dxa"/>
            <w:vAlign w:val="center"/>
          </w:tcPr>
          <w:p w14:paraId="14B9CFE3"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27%</w:t>
            </w:r>
          </w:p>
        </w:tc>
        <w:tc>
          <w:tcPr>
            <w:tcW w:w="1206" w:type="dxa"/>
            <w:vAlign w:val="center"/>
          </w:tcPr>
          <w:p w14:paraId="35579432"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25%</w:t>
            </w:r>
          </w:p>
        </w:tc>
        <w:tc>
          <w:tcPr>
            <w:tcW w:w="1206" w:type="dxa"/>
            <w:vAlign w:val="center"/>
          </w:tcPr>
          <w:p w14:paraId="5404FD28"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23%</w:t>
            </w:r>
          </w:p>
        </w:tc>
      </w:tr>
      <w:tr w:rsidR="00DF008C" w:rsidRPr="00D55FA1" w14:paraId="06B1A5AD" w14:textId="77777777" w:rsidTr="002F2CB9">
        <w:trPr>
          <w:cantSplit/>
          <w:trHeight w:val="289"/>
        </w:trPr>
        <w:tc>
          <w:tcPr>
            <w:tcW w:w="2168" w:type="dxa"/>
            <w:vAlign w:val="center"/>
          </w:tcPr>
          <w:p w14:paraId="0395EC52"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6b Result</w:t>
            </w:r>
          </w:p>
        </w:tc>
        <w:tc>
          <w:tcPr>
            <w:tcW w:w="1206" w:type="dxa"/>
            <w:vAlign w:val="center"/>
          </w:tcPr>
          <w:p w14:paraId="2EA2515C"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37.02%</w:t>
            </w:r>
          </w:p>
        </w:tc>
        <w:tc>
          <w:tcPr>
            <w:tcW w:w="1206" w:type="dxa"/>
            <w:vAlign w:val="center"/>
          </w:tcPr>
          <w:p w14:paraId="603CC4DB" w14:textId="6E25E850"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47.87%</w:t>
            </w:r>
          </w:p>
        </w:tc>
        <w:tc>
          <w:tcPr>
            <w:tcW w:w="1206" w:type="dxa"/>
            <w:vAlign w:val="center"/>
          </w:tcPr>
          <w:p w14:paraId="5BAD3425" w14:textId="760E6E9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47.48%</w:t>
            </w:r>
          </w:p>
        </w:tc>
        <w:tc>
          <w:tcPr>
            <w:tcW w:w="1206" w:type="dxa"/>
          </w:tcPr>
          <w:p w14:paraId="0C7D08AC" w14:textId="3C406037" w:rsidR="00DF008C" w:rsidRPr="00D55FA1" w:rsidRDefault="002B28F9" w:rsidP="00DF008C">
            <w:pPr>
              <w:widowControl w:val="0"/>
              <w:overflowPunct w:val="0"/>
              <w:autoSpaceDE w:val="0"/>
              <w:autoSpaceDN w:val="0"/>
              <w:adjustRightInd w:val="0"/>
              <w:jc w:val="center"/>
              <w:rPr>
                <w:rFonts w:cs="Arial"/>
                <w:bCs/>
              </w:rPr>
            </w:pPr>
            <w:r>
              <w:rPr>
                <w:rFonts w:cs="Arial"/>
                <w:bCs/>
              </w:rPr>
              <w:t>45.80</w:t>
            </w:r>
            <w:r w:rsidR="00923DC4">
              <w:rPr>
                <w:rFonts w:cs="Arial"/>
                <w:bCs/>
              </w:rPr>
              <w:t>%</w:t>
            </w:r>
          </w:p>
        </w:tc>
        <w:tc>
          <w:tcPr>
            <w:tcW w:w="1206" w:type="dxa"/>
          </w:tcPr>
          <w:p w14:paraId="37A31054" w14:textId="1DF9F670" w:rsidR="00DF008C" w:rsidRPr="00D55FA1" w:rsidRDefault="0059766A" w:rsidP="00DF008C">
            <w:pPr>
              <w:widowControl w:val="0"/>
              <w:overflowPunct w:val="0"/>
              <w:autoSpaceDE w:val="0"/>
              <w:autoSpaceDN w:val="0"/>
              <w:adjustRightInd w:val="0"/>
              <w:jc w:val="center"/>
              <w:rPr>
                <w:rFonts w:cs="Arial"/>
                <w:bCs/>
              </w:rPr>
            </w:pPr>
            <w:r>
              <w:rPr>
                <w:rFonts w:cs="Arial"/>
                <w:bCs/>
              </w:rPr>
              <w:t>42.52%</w:t>
            </w:r>
          </w:p>
        </w:tc>
        <w:tc>
          <w:tcPr>
            <w:tcW w:w="1206" w:type="dxa"/>
          </w:tcPr>
          <w:p w14:paraId="7DC8C081" w14:textId="68D77DB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5A191AF6" w14:textId="77777777" w:rsidTr="002F2CB9">
        <w:trPr>
          <w:cantSplit/>
          <w:trHeight w:val="289"/>
        </w:trPr>
        <w:tc>
          <w:tcPr>
            <w:tcW w:w="2168" w:type="dxa"/>
            <w:vAlign w:val="center"/>
          </w:tcPr>
          <w:p w14:paraId="017785D5"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6b Target Met</w:t>
            </w:r>
          </w:p>
        </w:tc>
        <w:tc>
          <w:tcPr>
            <w:tcW w:w="1206" w:type="dxa"/>
            <w:vAlign w:val="center"/>
          </w:tcPr>
          <w:p w14:paraId="2890643F"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6" w:type="dxa"/>
            <w:vAlign w:val="center"/>
          </w:tcPr>
          <w:p w14:paraId="0477E574" w14:textId="40754980"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6" w:type="dxa"/>
            <w:vAlign w:val="center"/>
          </w:tcPr>
          <w:p w14:paraId="3FD9042A" w14:textId="2882AE0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6" w:type="dxa"/>
          </w:tcPr>
          <w:p w14:paraId="052D4810" w14:textId="04577D3F" w:rsidR="00DF008C" w:rsidRPr="00D55FA1" w:rsidRDefault="002B28F9" w:rsidP="00DF008C">
            <w:pPr>
              <w:widowControl w:val="0"/>
              <w:overflowPunct w:val="0"/>
              <w:autoSpaceDE w:val="0"/>
              <w:autoSpaceDN w:val="0"/>
              <w:adjustRightInd w:val="0"/>
              <w:jc w:val="center"/>
              <w:rPr>
                <w:rFonts w:cs="Arial"/>
                <w:bCs/>
              </w:rPr>
            </w:pPr>
            <w:r>
              <w:rPr>
                <w:rFonts w:cs="Arial"/>
                <w:bCs/>
              </w:rPr>
              <w:t>No</w:t>
            </w:r>
          </w:p>
        </w:tc>
        <w:tc>
          <w:tcPr>
            <w:tcW w:w="1206" w:type="dxa"/>
          </w:tcPr>
          <w:p w14:paraId="62D3F89E" w14:textId="6DE9D2D3" w:rsidR="00DF008C" w:rsidRPr="00D55FA1" w:rsidRDefault="0059766A" w:rsidP="00DF008C">
            <w:pPr>
              <w:widowControl w:val="0"/>
              <w:overflowPunct w:val="0"/>
              <w:autoSpaceDE w:val="0"/>
              <w:autoSpaceDN w:val="0"/>
              <w:adjustRightInd w:val="0"/>
              <w:jc w:val="center"/>
              <w:rPr>
                <w:rFonts w:cs="Arial"/>
                <w:bCs/>
              </w:rPr>
            </w:pPr>
            <w:r>
              <w:rPr>
                <w:rFonts w:cs="Arial"/>
                <w:bCs/>
              </w:rPr>
              <w:t>No</w:t>
            </w:r>
          </w:p>
        </w:tc>
        <w:tc>
          <w:tcPr>
            <w:tcW w:w="1206" w:type="dxa"/>
          </w:tcPr>
          <w:p w14:paraId="2780AF0D" w14:textId="2DFF5763"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66332C" w:rsidRPr="00D55FA1" w14:paraId="7217130A" w14:textId="77777777" w:rsidTr="002F2CB9">
        <w:trPr>
          <w:cantSplit/>
          <w:trHeight w:val="289"/>
        </w:trPr>
        <w:tc>
          <w:tcPr>
            <w:tcW w:w="2168" w:type="dxa"/>
            <w:vAlign w:val="center"/>
          </w:tcPr>
          <w:p w14:paraId="69FCAEE7"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lastRenderedPageBreak/>
              <w:t>6c Target</w:t>
            </w:r>
          </w:p>
        </w:tc>
        <w:tc>
          <w:tcPr>
            <w:tcW w:w="1206" w:type="dxa"/>
            <w:vAlign w:val="center"/>
          </w:tcPr>
          <w:p w14:paraId="28F46592"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3.5%</w:t>
            </w:r>
          </w:p>
        </w:tc>
        <w:tc>
          <w:tcPr>
            <w:tcW w:w="1206" w:type="dxa"/>
            <w:vAlign w:val="center"/>
          </w:tcPr>
          <w:p w14:paraId="1CE8370E"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3.5%</w:t>
            </w:r>
          </w:p>
        </w:tc>
        <w:tc>
          <w:tcPr>
            <w:tcW w:w="1206" w:type="dxa"/>
            <w:vAlign w:val="center"/>
          </w:tcPr>
          <w:p w14:paraId="0555004D"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3.5%</w:t>
            </w:r>
          </w:p>
        </w:tc>
        <w:tc>
          <w:tcPr>
            <w:tcW w:w="1206" w:type="dxa"/>
            <w:vAlign w:val="center"/>
          </w:tcPr>
          <w:p w14:paraId="024D5D6B"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3.5%</w:t>
            </w:r>
          </w:p>
        </w:tc>
        <w:tc>
          <w:tcPr>
            <w:tcW w:w="1206" w:type="dxa"/>
            <w:vAlign w:val="center"/>
          </w:tcPr>
          <w:p w14:paraId="04DAB59E"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3.5%</w:t>
            </w:r>
          </w:p>
        </w:tc>
        <w:tc>
          <w:tcPr>
            <w:tcW w:w="1206" w:type="dxa"/>
            <w:vAlign w:val="center"/>
          </w:tcPr>
          <w:p w14:paraId="3519BCAB"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3.4%</w:t>
            </w:r>
          </w:p>
        </w:tc>
      </w:tr>
      <w:tr w:rsidR="00DF008C" w:rsidRPr="00D55FA1" w14:paraId="1D83E03E" w14:textId="77777777" w:rsidTr="002F2CB9">
        <w:trPr>
          <w:cantSplit/>
          <w:trHeight w:val="289"/>
        </w:trPr>
        <w:tc>
          <w:tcPr>
            <w:tcW w:w="2168" w:type="dxa"/>
            <w:vAlign w:val="center"/>
          </w:tcPr>
          <w:p w14:paraId="54CAC180"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6c Result</w:t>
            </w:r>
          </w:p>
        </w:tc>
        <w:tc>
          <w:tcPr>
            <w:tcW w:w="1206" w:type="dxa"/>
            <w:vAlign w:val="center"/>
          </w:tcPr>
          <w:p w14:paraId="7BF60231"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5.64%</w:t>
            </w:r>
          </w:p>
        </w:tc>
        <w:tc>
          <w:tcPr>
            <w:tcW w:w="1206" w:type="dxa"/>
            <w:vAlign w:val="center"/>
          </w:tcPr>
          <w:p w14:paraId="46FC4A0D" w14:textId="1C50CF86"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7.97%</w:t>
            </w:r>
          </w:p>
        </w:tc>
        <w:tc>
          <w:tcPr>
            <w:tcW w:w="1206" w:type="dxa"/>
            <w:vAlign w:val="center"/>
          </w:tcPr>
          <w:p w14:paraId="4DC2ECC6" w14:textId="1DBA9636"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5.64%</w:t>
            </w:r>
          </w:p>
        </w:tc>
        <w:tc>
          <w:tcPr>
            <w:tcW w:w="1206" w:type="dxa"/>
          </w:tcPr>
          <w:p w14:paraId="79796693" w14:textId="0414F945" w:rsidR="00DF008C" w:rsidRPr="00D55FA1" w:rsidRDefault="002B28F9" w:rsidP="00DF008C">
            <w:pPr>
              <w:widowControl w:val="0"/>
              <w:overflowPunct w:val="0"/>
              <w:autoSpaceDE w:val="0"/>
              <w:autoSpaceDN w:val="0"/>
              <w:adjustRightInd w:val="0"/>
              <w:jc w:val="center"/>
              <w:rPr>
                <w:rFonts w:cs="Arial"/>
                <w:bCs/>
              </w:rPr>
            </w:pPr>
            <w:r>
              <w:rPr>
                <w:rFonts w:cs="Arial"/>
                <w:bCs/>
              </w:rPr>
              <w:t>4.74%</w:t>
            </w:r>
          </w:p>
        </w:tc>
        <w:tc>
          <w:tcPr>
            <w:tcW w:w="1206" w:type="dxa"/>
          </w:tcPr>
          <w:p w14:paraId="47297C67" w14:textId="4135AB9E" w:rsidR="00DF008C" w:rsidRPr="00D55FA1" w:rsidRDefault="00D846AB" w:rsidP="00DF008C">
            <w:pPr>
              <w:widowControl w:val="0"/>
              <w:overflowPunct w:val="0"/>
              <w:autoSpaceDE w:val="0"/>
              <w:autoSpaceDN w:val="0"/>
              <w:adjustRightInd w:val="0"/>
              <w:jc w:val="center"/>
              <w:rPr>
                <w:rFonts w:cs="Arial"/>
                <w:bCs/>
              </w:rPr>
            </w:pPr>
            <w:r>
              <w:rPr>
                <w:rFonts w:cs="Arial"/>
                <w:bCs/>
              </w:rPr>
              <w:t>2.36%</w:t>
            </w:r>
          </w:p>
        </w:tc>
        <w:tc>
          <w:tcPr>
            <w:tcW w:w="1206" w:type="dxa"/>
          </w:tcPr>
          <w:p w14:paraId="048740F3" w14:textId="557D0A80"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456AC712" w14:textId="77777777" w:rsidTr="002F2CB9">
        <w:trPr>
          <w:cantSplit/>
          <w:trHeight w:val="289"/>
        </w:trPr>
        <w:tc>
          <w:tcPr>
            <w:tcW w:w="2168" w:type="dxa"/>
            <w:vAlign w:val="center"/>
          </w:tcPr>
          <w:p w14:paraId="437D715D"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6c Target Met</w:t>
            </w:r>
          </w:p>
        </w:tc>
        <w:tc>
          <w:tcPr>
            <w:tcW w:w="1206" w:type="dxa"/>
            <w:vAlign w:val="center"/>
          </w:tcPr>
          <w:p w14:paraId="66C61616"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6" w:type="dxa"/>
            <w:vAlign w:val="center"/>
          </w:tcPr>
          <w:p w14:paraId="51371A77" w14:textId="630FFB72"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6" w:type="dxa"/>
            <w:vAlign w:val="center"/>
          </w:tcPr>
          <w:p w14:paraId="732434A0" w14:textId="0E537D7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06" w:type="dxa"/>
          </w:tcPr>
          <w:p w14:paraId="2328BB07" w14:textId="293AA747" w:rsidR="00DF008C" w:rsidRPr="00D55FA1" w:rsidRDefault="002B28F9" w:rsidP="00DF008C">
            <w:pPr>
              <w:widowControl w:val="0"/>
              <w:overflowPunct w:val="0"/>
              <w:autoSpaceDE w:val="0"/>
              <w:autoSpaceDN w:val="0"/>
              <w:adjustRightInd w:val="0"/>
              <w:jc w:val="center"/>
              <w:rPr>
                <w:rFonts w:cs="Arial"/>
                <w:bCs/>
              </w:rPr>
            </w:pPr>
            <w:r>
              <w:rPr>
                <w:rFonts w:cs="Arial"/>
                <w:bCs/>
              </w:rPr>
              <w:t>No</w:t>
            </w:r>
          </w:p>
        </w:tc>
        <w:tc>
          <w:tcPr>
            <w:tcW w:w="1206" w:type="dxa"/>
          </w:tcPr>
          <w:p w14:paraId="256AC6DA" w14:textId="138C5C5D" w:rsidR="00DF008C" w:rsidRPr="00D55FA1" w:rsidRDefault="00D846AB" w:rsidP="00DF008C">
            <w:pPr>
              <w:widowControl w:val="0"/>
              <w:overflowPunct w:val="0"/>
              <w:autoSpaceDE w:val="0"/>
              <w:autoSpaceDN w:val="0"/>
              <w:adjustRightInd w:val="0"/>
              <w:jc w:val="center"/>
              <w:rPr>
                <w:rFonts w:cs="Arial"/>
                <w:bCs/>
              </w:rPr>
            </w:pPr>
            <w:r>
              <w:rPr>
                <w:rFonts w:cs="Arial"/>
                <w:bCs/>
              </w:rPr>
              <w:t>Yes</w:t>
            </w:r>
          </w:p>
        </w:tc>
        <w:tc>
          <w:tcPr>
            <w:tcW w:w="1206" w:type="dxa"/>
          </w:tcPr>
          <w:p w14:paraId="38AA98D6" w14:textId="3908C683"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bookmarkEnd w:id="135"/>
    </w:tbl>
    <w:p w14:paraId="665A1408" w14:textId="77777777" w:rsidR="00EB1E42" w:rsidRPr="00D55FA1" w:rsidRDefault="00EB1E42" w:rsidP="00EB1E42"/>
    <w:p w14:paraId="2B0DA4D6" w14:textId="77777777" w:rsidR="00EB1E42" w:rsidRPr="00D55FA1" w:rsidRDefault="00EB1E42" w:rsidP="002F2CB9">
      <w:pPr>
        <w:pStyle w:val="Heading2"/>
        <w:spacing w:before="9240"/>
      </w:pPr>
      <w:bookmarkStart w:id="137" w:name="_Toc212718052"/>
      <w:r w:rsidRPr="00D55FA1">
        <w:rPr>
          <w:bCs/>
        </w:rPr>
        <w:lastRenderedPageBreak/>
        <w:t xml:space="preserve">Indicator 7A: </w:t>
      </w:r>
      <w:r w:rsidRPr="00D55FA1">
        <w:t>Preschool Assessment–Positive Social-Emotional Skills</w:t>
      </w:r>
      <w:bookmarkEnd w:id="137"/>
    </w:p>
    <w:p w14:paraId="617D99BB" w14:textId="77777777" w:rsidR="00EB1E42" w:rsidRPr="00D55FA1" w:rsidRDefault="007C7CEC" w:rsidP="00EB1E42">
      <w:pPr>
        <w:pStyle w:val="Heading3"/>
        <w:spacing w:before="0"/>
      </w:pPr>
      <w:bookmarkStart w:id="138" w:name="_Toc212718053"/>
      <w:r w:rsidRPr="00D55FA1">
        <w:t>Description</w:t>
      </w:r>
      <w:bookmarkEnd w:id="138"/>
    </w:p>
    <w:p w14:paraId="53756A32" w14:textId="7A191420" w:rsidR="00EB1E42" w:rsidRPr="00D55FA1" w:rsidRDefault="00EB1E42" w:rsidP="00EB1E42">
      <w:pPr>
        <w:spacing w:after="240"/>
        <w:rPr>
          <w:rFonts w:cs="Arial"/>
        </w:rPr>
      </w:pPr>
      <w:r w:rsidRPr="00D55FA1">
        <w:rPr>
          <w:rFonts w:cs="Arial"/>
        </w:rPr>
        <w:t xml:space="preserve">Indicator 7A is a performance indicator that measures the </w:t>
      </w:r>
      <w:r w:rsidR="009A5D47" w:rsidRPr="00D55FA1">
        <w:rPr>
          <w:rFonts w:cs="Arial"/>
        </w:rPr>
        <w:t>percentage</w:t>
      </w:r>
      <w:r w:rsidRPr="00D55FA1">
        <w:rPr>
          <w:rFonts w:cs="Arial"/>
        </w:rPr>
        <w:t xml:space="preserve"> of children </w:t>
      </w:r>
      <w:r w:rsidR="007C7CEC" w:rsidRPr="00D55FA1">
        <w:rPr>
          <w:rFonts w:cs="Arial"/>
        </w:rPr>
        <w:t xml:space="preserve">aged three through five </w:t>
      </w:r>
      <w:r w:rsidRPr="00D55FA1">
        <w:rPr>
          <w:rFonts w:cs="Arial"/>
        </w:rPr>
        <w:t xml:space="preserve">with </w:t>
      </w:r>
      <w:r w:rsidR="007C7CEC" w:rsidRPr="00D55FA1">
        <w:rPr>
          <w:rFonts w:cs="Arial"/>
        </w:rPr>
        <w:t>IEPs</w:t>
      </w:r>
      <w:r w:rsidRPr="00D55FA1">
        <w:rPr>
          <w:rFonts w:cs="Arial"/>
        </w:rPr>
        <w:t xml:space="preserve"> who demonstrate improvement in Positive Social-Emotional Skills, including social relationships.</w:t>
      </w:r>
      <w:r w:rsidR="005E0939" w:rsidRPr="00D55FA1">
        <w:rPr>
          <w:rFonts w:cs="Arial"/>
        </w:rPr>
        <w:t xml:space="preserve"> This data is collected in CALPADS in partnership with </w:t>
      </w:r>
      <w:r w:rsidR="00BB34B0" w:rsidRPr="00D55FA1">
        <w:rPr>
          <w:rFonts w:cs="Arial"/>
        </w:rPr>
        <w:t>Desired Results (</w:t>
      </w:r>
      <w:r w:rsidR="005E0939" w:rsidRPr="00D55FA1">
        <w:rPr>
          <w:rFonts w:cs="Arial"/>
        </w:rPr>
        <w:t>DR</w:t>
      </w:r>
      <w:r w:rsidR="00BB34B0" w:rsidRPr="00D55FA1">
        <w:rPr>
          <w:rFonts w:cs="Arial"/>
        </w:rPr>
        <w:t>)</w:t>
      </w:r>
      <w:r w:rsidR="005E0939" w:rsidRPr="00D55FA1">
        <w:rPr>
          <w:rFonts w:cs="Arial"/>
        </w:rPr>
        <w:t xml:space="preserve"> Access.</w:t>
      </w:r>
    </w:p>
    <w:p w14:paraId="0CDAE448" w14:textId="77777777" w:rsidR="00EB1E42" w:rsidRPr="00D55FA1" w:rsidRDefault="00EB1E42" w:rsidP="00EB1E42">
      <w:pPr>
        <w:spacing w:after="240"/>
        <w:rPr>
          <w:rFonts w:cs="Arial"/>
        </w:rPr>
      </w:pPr>
      <w:r w:rsidRPr="00D55FA1">
        <w:rPr>
          <w:rFonts w:cs="Arial"/>
        </w:rPr>
        <w:t>These are the following progress categories:</w:t>
      </w:r>
    </w:p>
    <w:p w14:paraId="74BA04A6" w14:textId="77777777" w:rsidR="00EB1E42" w:rsidRPr="00D55FA1" w:rsidRDefault="00EB1E42" w:rsidP="00664876">
      <w:pPr>
        <w:numPr>
          <w:ilvl w:val="0"/>
          <w:numId w:val="1"/>
        </w:numPr>
        <w:spacing w:after="240"/>
        <w:rPr>
          <w:rFonts w:cs="Arial"/>
        </w:rPr>
      </w:pPr>
      <w:r w:rsidRPr="00D55FA1">
        <w:rPr>
          <w:rFonts w:cs="Arial"/>
        </w:rPr>
        <w:t>Number of preschool children who did not improve functioning divided by the number of preschool children with IEPs assessed, multiplied by 100.</w:t>
      </w:r>
    </w:p>
    <w:p w14:paraId="667C5568" w14:textId="77777777" w:rsidR="00EB1E42" w:rsidRPr="00D55FA1" w:rsidRDefault="00EB1E42" w:rsidP="00664876">
      <w:pPr>
        <w:numPr>
          <w:ilvl w:val="0"/>
          <w:numId w:val="1"/>
        </w:numPr>
        <w:overflowPunct w:val="0"/>
        <w:autoSpaceDE w:val="0"/>
        <w:autoSpaceDN w:val="0"/>
        <w:adjustRightInd w:val="0"/>
        <w:spacing w:after="240"/>
        <w:rPr>
          <w:rFonts w:cs="Arial"/>
          <w:kern w:val="28"/>
        </w:rPr>
      </w:pPr>
      <w:r w:rsidRPr="00D55FA1">
        <w:rPr>
          <w:rFonts w:cs="Arial"/>
          <w:kern w:val="28"/>
        </w:rPr>
        <w:t>Number of preschool children who improved functioning but not sufficient to move nearer to functioning comparable to same-aged peers divided by the number of preschool children with IEPs assessed</w:t>
      </w:r>
      <w:r w:rsidRPr="00D55FA1">
        <w:rPr>
          <w:rFonts w:cs="Arial"/>
          <w:color w:val="000000"/>
          <w:kern w:val="28"/>
        </w:rPr>
        <w:t xml:space="preserve">, multiplied by </w:t>
      </w:r>
      <w:r w:rsidRPr="00D55FA1">
        <w:rPr>
          <w:rFonts w:cs="Arial"/>
          <w:kern w:val="28"/>
        </w:rPr>
        <w:t>100.</w:t>
      </w:r>
    </w:p>
    <w:p w14:paraId="4B043D97" w14:textId="77777777" w:rsidR="00EB1E42" w:rsidRPr="00D55FA1" w:rsidRDefault="00EB1E42" w:rsidP="00664876">
      <w:pPr>
        <w:numPr>
          <w:ilvl w:val="0"/>
          <w:numId w:val="1"/>
        </w:numPr>
        <w:overflowPunct w:val="0"/>
        <w:autoSpaceDE w:val="0"/>
        <w:autoSpaceDN w:val="0"/>
        <w:adjustRightInd w:val="0"/>
        <w:spacing w:after="240"/>
        <w:rPr>
          <w:rFonts w:cs="Arial"/>
          <w:kern w:val="28"/>
        </w:rPr>
      </w:pPr>
      <w:r w:rsidRPr="00D55FA1">
        <w:rPr>
          <w:rFonts w:cs="Arial"/>
          <w:kern w:val="28"/>
        </w:rPr>
        <w:t>Number of preschool children who improved functioning to a level nearer to same-aged peers but did not reach it divided by the number of preschool children with IEPs assessed</w:t>
      </w:r>
      <w:r w:rsidRPr="00D55FA1">
        <w:rPr>
          <w:rFonts w:cs="Arial"/>
          <w:color w:val="000000"/>
          <w:kern w:val="28"/>
        </w:rPr>
        <w:t xml:space="preserve">, multiplied by </w:t>
      </w:r>
      <w:r w:rsidRPr="00D55FA1">
        <w:rPr>
          <w:rFonts w:cs="Arial"/>
          <w:kern w:val="28"/>
        </w:rPr>
        <w:t>100.</w:t>
      </w:r>
    </w:p>
    <w:p w14:paraId="0428E2AB" w14:textId="77777777" w:rsidR="00EB1E42" w:rsidRPr="00D55FA1" w:rsidRDefault="00EB1E42" w:rsidP="00664876">
      <w:pPr>
        <w:numPr>
          <w:ilvl w:val="0"/>
          <w:numId w:val="1"/>
        </w:numPr>
        <w:overflowPunct w:val="0"/>
        <w:autoSpaceDE w:val="0"/>
        <w:autoSpaceDN w:val="0"/>
        <w:adjustRightInd w:val="0"/>
        <w:spacing w:after="240"/>
        <w:rPr>
          <w:rFonts w:cs="Arial"/>
          <w:kern w:val="28"/>
        </w:rPr>
      </w:pPr>
      <w:r w:rsidRPr="00D55FA1">
        <w:rPr>
          <w:rFonts w:cs="Arial"/>
          <w:kern w:val="28"/>
        </w:rPr>
        <w:t>Number of preschool children who improved functioning to reach a level comparable to same-aged peers divided by the number of preschool children with IEPs assessed</w:t>
      </w:r>
      <w:r w:rsidRPr="00D55FA1">
        <w:rPr>
          <w:rFonts w:cs="Arial"/>
          <w:color w:val="000000"/>
          <w:kern w:val="28"/>
        </w:rPr>
        <w:t xml:space="preserve">, multiplied by </w:t>
      </w:r>
      <w:r w:rsidRPr="00D55FA1">
        <w:rPr>
          <w:rFonts w:cs="Arial"/>
          <w:kern w:val="28"/>
        </w:rPr>
        <w:t>100.</w:t>
      </w:r>
    </w:p>
    <w:p w14:paraId="6BBA1A0A" w14:textId="77777777" w:rsidR="00EB1E42" w:rsidRPr="00D55FA1" w:rsidRDefault="00EB1E42" w:rsidP="00664876">
      <w:pPr>
        <w:numPr>
          <w:ilvl w:val="0"/>
          <w:numId w:val="1"/>
        </w:numPr>
        <w:overflowPunct w:val="0"/>
        <w:autoSpaceDE w:val="0"/>
        <w:autoSpaceDN w:val="0"/>
        <w:adjustRightInd w:val="0"/>
        <w:spacing w:after="240"/>
        <w:rPr>
          <w:rFonts w:cs="Arial"/>
          <w:color w:val="000000"/>
          <w:kern w:val="28"/>
        </w:rPr>
      </w:pPr>
      <w:r w:rsidRPr="00D55FA1">
        <w:rPr>
          <w:rFonts w:cs="Arial"/>
          <w:kern w:val="28"/>
        </w:rPr>
        <w:t>Number of preschool children who maintained functioning at a level comparable to same-aged peers divided by the number of preschool children with IEPs assessed</w:t>
      </w:r>
      <w:r w:rsidRPr="00D55FA1">
        <w:rPr>
          <w:rFonts w:cs="Arial"/>
          <w:color w:val="000000"/>
          <w:kern w:val="28"/>
        </w:rPr>
        <w:t xml:space="preserve">, multiplied by </w:t>
      </w:r>
      <w:r w:rsidRPr="00D55FA1">
        <w:rPr>
          <w:rFonts w:cs="Arial"/>
          <w:kern w:val="28"/>
        </w:rPr>
        <w:t>100.</w:t>
      </w:r>
    </w:p>
    <w:p w14:paraId="34DCBE5C" w14:textId="77777777" w:rsidR="00EB1E42" w:rsidRPr="00D55FA1" w:rsidRDefault="007C7CEC" w:rsidP="00EB1E42">
      <w:pPr>
        <w:pStyle w:val="Heading3"/>
        <w:spacing w:before="0"/>
      </w:pPr>
      <w:bookmarkStart w:id="139" w:name="_Toc212718054"/>
      <w:r w:rsidRPr="00D55FA1">
        <w:t>Measurement</w:t>
      </w:r>
      <w:bookmarkEnd w:id="139"/>
    </w:p>
    <w:p w14:paraId="71049383" w14:textId="68C8F307" w:rsidR="00FA4FB9" w:rsidRPr="00D55FA1" w:rsidRDefault="00FA4FB9" w:rsidP="005E62B2">
      <w:pPr>
        <w:spacing w:after="240"/>
      </w:pPr>
      <w:r w:rsidRPr="00D55FA1">
        <w:t xml:space="preserve">Summary Statement 1: Of those preschool children who entered the preschool program below age expectations in each Outcome, the </w:t>
      </w:r>
      <w:proofErr w:type="gramStart"/>
      <w:r w:rsidRPr="00D55FA1">
        <w:t>percent who</w:t>
      </w:r>
      <w:proofErr w:type="gramEnd"/>
      <w:r w:rsidRPr="00D55FA1">
        <w:t xml:space="preserve"> substantially increased their rate of growth by the time they turned </w:t>
      </w:r>
      <w:r w:rsidR="009F42A7">
        <w:t>six</w:t>
      </w:r>
      <w:r w:rsidRPr="00D55FA1">
        <w:t xml:space="preserve"> years of age or exited the program.</w:t>
      </w:r>
    </w:p>
    <w:p w14:paraId="4D16AC41" w14:textId="002054F3" w:rsidR="00EB1E42" w:rsidRPr="00D55FA1" w:rsidRDefault="00FA4FB9" w:rsidP="005E62B2">
      <w:pPr>
        <w:spacing w:after="240"/>
      </w:pPr>
      <w:r w:rsidRPr="00D55FA1">
        <w:t xml:space="preserve">Summary Statement 2: The </w:t>
      </w:r>
      <w:proofErr w:type="gramStart"/>
      <w:r w:rsidRPr="00D55FA1">
        <w:t>percent</w:t>
      </w:r>
      <w:proofErr w:type="gramEnd"/>
      <w:r w:rsidRPr="00D55FA1">
        <w:t xml:space="preserve"> of preschool children who were functioning within age expectations in each Outcome by the time they turned </w:t>
      </w:r>
      <w:r w:rsidR="009F42A7">
        <w:t>six</w:t>
      </w:r>
      <w:r w:rsidRPr="00D55FA1">
        <w:t xml:space="preserve"> years of age or exited the program.</w:t>
      </w:r>
    </w:p>
    <w:p w14:paraId="743F939E" w14:textId="56CE3DF6" w:rsidR="00EB1E42" w:rsidRPr="00DC17C4" w:rsidRDefault="007C7CEC" w:rsidP="00DC17C4">
      <w:pPr>
        <w:spacing w:after="240"/>
        <w:rPr>
          <w:b/>
          <w:bCs/>
        </w:rPr>
      </w:pPr>
      <w:r w:rsidRPr="00DC17C4">
        <w:rPr>
          <w:b/>
          <w:bCs/>
        </w:rPr>
        <w:t xml:space="preserve">Target Met: </w:t>
      </w:r>
      <w:r w:rsidR="00BA6735" w:rsidRPr="00DC17C4">
        <w:rPr>
          <w:b/>
          <w:bCs/>
        </w:rPr>
        <w:t>No</w:t>
      </w:r>
      <w:r w:rsidR="00013AED" w:rsidRPr="00DC17C4">
        <w:rPr>
          <w:b/>
          <w:bCs/>
        </w:rPr>
        <w:t>/Yes</w:t>
      </w:r>
    </w:p>
    <w:p w14:paraId="004C8640" w14:textId="205019B9" w:rsidR="007C7CEC" w:rsidRPr="00C668E5" w:rsidRDefault="00C668E5" w:rsidP="00C668E5">
      <w:pPr>
        <w:spacing w:after="240"/>
        <w:rPr>
          <w:b/>
          <w:bCs/>
        </w:rPr>
      </w:pPr>
      <w:r>
        <w:rPr>
          <w:b/>
          <w:bCs/>
        </w:rPr>
        <w:lastRenderedPageBreak/>
        <w:t xml:space="preserve">Table 13: </w:t>
      </w:r>
      <w:r w:rsidR="00EB1E42" w:rsidRPr="00C668E5">
        <w:rPr>
          <w:b/>
          <w:bCs/>
        </w:rPr>
        <w:t xml:space="preserve">Preschool Outcomes–Positive Social-Emotional Skills </w:t>
      </w:r>
      <w:r w:rsidR="007C7CEC" w:rsidRPr="00C668E5">
        <w:rPr>
          <w:b/>
          <w:bCs/>
        </w:rPr>
        <w:t xml:space="preserve">Targets and Results for FFYs </w:t>
      </w:r>
      <w:r w:rsidR="0066332C" w:rsidRPr="00C668E5">
        <w:rPr>
          <w:b/>
          <w:bCs/>
        </w:rPr>
        <w:t>2020</w:t>
      </w:r>
      <w:r w:rsidR="0066332C" w:rsidRPr="00C668E5">
        <w:rPr>
          <w:rFonts w:cs="Arial"/>
          <w:b/>
          <w:bCs/>
        </w:rPr>
        <w:t>–25</w:t>
      </w:r>
    </w:p>
    <w:tbl>
      <w:tblPr>
        <w:tblStyle w:val="TableGrid1"/>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dicator 7A Targets and Results"/>
      </w:tblPr>
      <w:tblGrid>
        <w:gridCol w:w="1260"/>
        <w:gridCol w:w="1165"/>
        <w:gridCol w:w="1440"/>
        <w:gridCol w:w="1530"/>
        <w:gridCol w:w="1350"/>
        <w:gridCol w:w="1260"/>
        <w:gridCol w:w="1345"/>
      </w:tblGrid>
      <w:tr w:rsidR="0066332C" w:rsidRPr="00D55FA1" w14:paraId="3CDE549A" w14:textId="77777777" w:rsidTr="00F73A09">
        <w:trPr>
          <w:cantSplit/>
          <w:trHeight w:val="341"/>
          <w:tblHeader/>
        </w:trPr>
        <w:tc>
          <w:tcPr>
            <w:tcW w:w="1260" w:type="dxa"/>
            <w:hideMark/>
          </w:tcPr>
          <w:p w14:paraId="24854BE2" w14:textId="77777777" w:rsidR="0066332C" w:rsidRPr="00D55FA1" w:rsidRDefault="0066332C" w:rsidP="00704E41">
            <w:pPr>
              <w:widowControl w:val="0"/>
              <w:overflowPunct w:val="0"/>
              <w:autoSpaceDE w:val="0"/>
              <w:autoSpaceDN w:val="0"/>
              <w:adjustRightInd w:val="0"/>
              <w:jc w:val="center"/>
              <w:rPr>
                <w:rFonts w:cs="Arial"/>
                <w:b/>
                <w:bCs/>
              </w:rPr>
            </w:pPr>
            <w:bookmarkStart w:id="140" w:name="_Hlk24705442"/>
            <w:r w:rsidRPr="00D55FA1">
              <w:rPr>
                <w:rFonts w:cs="Arial"/>
                <w:b/>
                <w:bCs/>
              </w:rPr>
              <w:t>Indicator 7a</w:t>
            </w:r>
          </w:p>
        </w:tc>
        <w:tc>
          <w:tcPr>
            <w:tcW w:w="1165" w:type="dxa"/>
            <w:hideMark/>
          </w:tcPr>
          <w:p w14:paraId="277B3F34"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2020</w:t>
            </w:r>
          </w:p>
        </w:tc>
        <w:tc>
          <w:tcPr>
            <w:tcW w:w="1440" w:type="dxa"/>
            <w:hideMark/>
          </w:tcPr>
          <w:p w14:paraId="025EA925"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2021</w:t>
            </w:r>
          </w:p>
        </w:tc>
        <w:tc>
          <w:tcPr>
            <w:tcW w:w="1530" w:type="dxa"/>
            <w:hideMark/>
          </w:tcPr>
          <w:p w14:paraId="1DBF8A49"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2022</w:t>
            </w:r>
          </w:p>
        </w:tc>
        <w:tc>
          <w:tcPr>
            <w:tcW w:w="1350" w:type="dxa"/>
            <w:hideMark/>
          </w:tcPr>
          <w:p w14:paraId="000E632F"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2023</w:t>
            </w:r>
          </w:p>
        </w:tc>
        <w:tc>
          <w:tcPr>
            <w:tcW w:w="1260" w:type="dxa"/>
            <w:hideMark/>
          </w:tcPr>
          <w:p w14:paraId="2AD19AC4"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2024</w:t>
            </w:r>
          </w:p>
        </w:tc>
        <w:tc>
          <w:tcPr>
            <w:tcW w:w="1345" w:type="dxa"/>
          </w:tcPr>
          <w:p w14:paraId="6D8190FB"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164C503B" w14:textId="77777777" w:rsidTr="00F73A09">
        <w:trPr>
          <w:cantSplit/>
          <w:trHeight w:val="341"/>
        </w:trPr>
        <w:tc>
          <w:tcPr>
            <w:tcW w:w="1260" w:type="dxa"/>
            <w:hideMark/>
          </w:tcPr>
          <w:p w14:paraId="478566D1" w14:textId="77777777"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Target</w:t>
            </w:r>
          </w:p>
        </w:tc>
        <w:tc>
          <w:tcPr>
            <w:tcW w:w="1165" w:type="dxa"/>
            <w:hideMark/>
          </w:tcPr>
          <w:p w14:paraId="29040C89" w14:textId="77777777" w:rsidR="00296085" w:rsidRDefault="0066332C" w:rsidP="00704E41">
            <w:pPr>
              <w:widowControl w:val="0"/>
              <w:overflowPunct w:val="0"/>
              <w:autoSpaceDE w:val="0"/>
              <w:autoSpaceDN w:val="0"/>
              <w:adjustRightInd w:val="0"/>
              <w:jc w:val="center"/>
              <w:rPr>
                <w:rFonts w:cs="Arial"/>
                <w:bCs/>
              </w:rPr>
            </w:pPr>
            <w:r w:rsidRPr="00D55FA1">
              <w:rPr>
                <w:rFonts w:cs="Arial"/>
                <w:bCs/>
              </w:rPr>
              <w:t>76%/</w:t>
            </w:r>
          </w:p>
          <w:p w14:paraId="5F82A5C3" w14:textId="4588B7E8"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76%</w:t>
            </w:r>
          </w:p>
        </w:tc>
        <w:tc>
          <w:tcPr>
            <w:tcW w:w="1440" w:type="dxa"/>
            <w:hideMark/>
          </w:tcPr>
          <w:p w14:paraId="0B83AB96" w14:textId="77777777" w:rsidR="00296085" w:rsidRDefault="0066332C" w:rsidP="00704E41">
            <w:pPr>
              <w:widowControl w:val="0"/>
              <w:overflowPunct w:val="0"/>
              <w:autoSpaceDE w:val="0"/>
              <w:autoSpaceDN w:val="0"/>
              <w:adjustRightInd w:val="0"/>
              <w:jc w:val="center"/>
              <w:rPr>
                <w:rFonts w:cs="Arial"/>
                <w:bCs/>
              </w:rPr>
            </w:pPr>
            <w:r w:rsidRPr="00D55FA1">
              <w:rPr>
                <w:rFonts w:cs="Arial"/>
                <w:bCs/>
              </w:rPr>
              <w:t>77%/</w:t>
            </w:r>
          </w:p>
          <w:p w14:paraId="31AF3A10" w14:textId="1B61A1AA"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77%</w:t>
            </w:r>
          </w:p>
        </w:tc>
        <w:tc>
          <w:tcPr>
            <w:tcW w:w="1530" w:type="dxa"/>
            <w:hideMark/>
          </w:tcPr>
          <w:p w14:paraId="049AF405" w14:textId="77777777" w:rsidR="00296085" w:rsidRDefault="0066332C" w:rsidP="00704E41">
            <w:pPr>
              <w:widowControl w:val="0"/>
              <w:overflowPunct w:val="0"/>
              <w:autoSpaceDE w:val="0"/>
              <w:autoSpaceDN w:val="0"/>
              <w:adjustRightInd w:val="0"/>
              <w:jc w:val="center"/>
              <w:rPr>
                <w:rFonts w:cs="Arial"/>
                <w:bCs/>
              </w:rPr>
            </w:pPr>
            <w:r w:rsidRPr="00D55FA1">
              <w:rPr>
                <w:rFonts w:cs="Arial"/>
                <w:bCs/>
              </w:rPr>
              <w:t>78%/</w:t>
            </w:r>
          </w:p>
          <w:p w14:paraId="7D9EFF7F" w14:textId="555A4F24"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78%</w:t>
            </w:r>
          </w:p>
        </w:tc>
        <w:tc>
          <w:tcPr>
            <w:tcW w:w="1350" w:type="dxa"/>
            <w:hideMark/>
          </w:tcPr>
          <w:p w14:paraId="7D1F9252" w14:textId="77777777" w:rsidR="00296085" w:rsidRDefault="0066332C" w:rsidP="00704E41">
            <w:pPr>
              <w:widowControl w:val="0"/>
              <w:overflowPunct w:val="0"/>
              <w:autoSpaceDE w:val="0"/>
              <w:autoSpaceDN w:val="0"/>
              <w:adjustRightInd w:val="0"/>
              <w:jc w:val="center"/>
              <w:rPr>
                <w:rFonts w:cs="Arial"/>
                <w:bCs/>
              </w:rPr>
            </w:pPr>
            <w:r w:rsidRPr="00D55FA1">
              <w:rPr>
                <w:rFonts w:cs="Arial"/>
                <w:bCs/>
              </w:rPr>
              <w:t>79%/</w:t>
            </w:r>
          </w:p>
          <w:p w14:paraId="2923B9D2" w14:textId="4790126C"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79%</w:t>
            </w:r>
          </w:p>
        </w:tc>
        <w:tc>
          <w:tcPr>
            <w:tcW w:w="1260" w:type="dxa"/>
            <w:hideMark/>
          </w:tcPr>
          <w:p w14:paraId="2EA0EAE3" w14:textId="77777777" w:rsidR="00296085" w:rsidRDefault="0066332C" w:rsidP="00704E41">
            <w:pPr>
              <w:widowControl w:val="0"/>
              <w:overflowPunct w:val="0"/>
              <w:autoSpaceDE w:val="0"/>
              <w:autoSpaceDN w:val="0"/>
              <w:adjustRightInd w:val="0"/>
              <w:jc w:val="center"/>
              <w:rPr>
                <w:rFonts w:cs="Arial"/>
                <w:bCs/>
              </w:rPr>
            </w:pPr>
            <w:r w:rsidRPr="00D55FA1">
              <w:rPr>
                <w:rFonts w:cs="Arial"/>
                <w:bCs/>
              </w:rPr>
              <w:t>80%/</w:t>
            </w:r>
          </w:p>
          <w:p w14:paraId="4EED01F4" w14:textId="3F3D52DE"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80%</w:t>
            </w:r>
          </w:p>
        </w:tc>
        <w:tc>
          <w:tcPr>
            <w:tcW w:w="1345" w:type="dxa"/>
          </w:tcPr>
          <w:p w14:paraId="6CDF9C84" w14:textId="77777777" w:rsidR="00296085" w:rsidRDefault="0066332C" w:rsidP="00704E41">
            <w:pPr>
              <w:widowControl w:val="0"/>
              <w:overflowPunct w:val="0"/>
              <w:autoSpaceDE w:val="0"/>
              <w:autoSpaceDN w:val="0"/>
              <w:adjustRightInd w:val="0"/>
              <w:jc w:val="center"/>
              <w:rPr>
                <w:rFonts w:cs="Arial"/>
                <w:bCs/>
              </w:rPr>
            </w:pPr>
            <w:r w:rsidRPr="00D55FA1">
              <w:rPr>
                <w:rFonts w:cs="Arial"/>
                <w:bCs/>
              </w:rPr>
              <w:t>81%</w:t>
            </w:r>
          </w:p>
          <w:p w14:paraId="4E36860F" w14:textId="6E5FD0F1"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/81%</w:t>
            </w:r>
          </w:p>
        </w:tc>
      </w:tr>
      <w:tr w:rsidR="00DF008C" w:rsidRPr="00D55FA1" w14:paraId="074EB324" w14:textId="77777777" w:rsidTr="00F73A09">
        <w:trPr>
          <w:cantSplit/>
          <w:trHeight w:val="341"/>
        </w:trPr>
        <w:tc>
          <w:tcPr>
            <w:tcW w:w="1260" w:type="dxa"/>
          </w:tcPr>
          <w:p w14:paraId="33677527"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w:t>
            </w:r>
          </w:p>
        </w:tc>
        <w:tc>
          <w:tcPr>
            <w:tcW w:w="1165" w:type="dxa"/>
          </w:tcPr>
          <w:p w14:paraId="4E652A95" w14:textId="77777777" w:rsidR="00296085" w:rsidRDefault="00DF008C" w:rsidP="00DF008C">
            <w:pPr>
              <w:widowControl w:val="0"/>
              <w:overflowPunct w:val="0"/>
              <w:autoSpaceDE w:val="0"/>
              <w:autoSpaceDN w:val="0"/>
              <w:adjustRightInd w:val="0"/>
              <w:jc w:val="center"/>
              <w:rPr>
                <w:rFonts w:cs="Arial"/>
                <w:szCs w:val="20"/>
              </w:rPr>
            </w:pPr>
            <w:r w:rsidRPr="00D55FA1">
              <w:rPr>
                <w:rFonts w:cs="Arial"/>
                <w:szCs w:val="20"/>
              </w:rPr>
              <w:t>71%/</w:t>
            </w:r>
          </w:p>
          <w:p w14:paraId="629ACF24" w14:textId="5A140DE0" w:rsidR="00DF008C" w:rsidRPr="00D55FA1" w:rsidRDefault="00DF008C" w:rsidP="00DF008C">
            <w:pPr>
              <w:widowControl w:val="0"/>
              <w:overflowPunct w:val="0"/>
              <w:autoSpaceDE w:val="0"/>
              <w:autoSpaceDN w:val="0"/>
              <w:adjustRightInd w:val="0"/>
              <w:jc w:val="center"/>
              <w:rPr>
                <w:rFonts w:cs="Arial"/>
                <w:b/>
                <w:bCs/>
              </w:rPr>
            </w:pPr>
            <w:r w:rsidRPr="00D55FA1">
              <w:rPr>
                <w:rFonts w:cs="Arial"/>
                <w:szCs w:val="20"/>
              </w:rPr>
              <w:t>68%</w:t>
            </w:r>
          </w:p>
        </w:tc>
        <w:tc>
          <w:tcPr>
            <w:tcW w:w="1440" w:type="dxa"/>
          </w:tcPr>
          <w:p w14:paraId="568226B7" w14:textId="77777777" w:rsidR="00296085" w:rsidRDefault="00DF008C" w:rsidP="00DF008C">
            <w:pPr>
              <w:widowControl w:val="0"/>
              <w:overflowPunct w:val="0"/>
              <w:autoSpaceDE w:val="0"/>
              <w:autoSpaceDN w:val="0"/>
              <w:adjustRightInd w:val="0"/>
              <w:jc w:val="center"/>
              <w:rPr>
                <w:rFonts w:cs="Arial"/>
                <w:bCs/>
              </w:rPr>
            </w:pPr>
            <w:r w:rsidRPr="00D55FA1">
              <w:rPr>
                <w:rFonts w:cs="Arial"/>
                <w:bCs/>
              </w:rPr>
              <w:t>69.5%/</w:t>
            </w:r>
          </w:p>
          <w:p w14:paraId="12A4EA11" w14:textId="044497DA"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67.7%</w:t>
            </w:r>
          </w:p>
        </w:tc>
        <w:tc>
          <w:tcPr>
            <w:tcW w:w="1530" w:type="dxa"/>
          </w:tcPr>
          <w:p w14:paraId="2F8B0B7D" w14:textId="77777777" w:rsidR="00296085" w:rsidRDefault="00DF008C" w:rsidP="00DF008C">
            <w:pPr>
              <w:widowControl w:val="0"/>
              <w:overflowPunct w:val="0"/>
              <w:autoSpaceDE w:val="0"/>
              <w:autoSpaceDN w:val="0"/>
              <w:adjustRightInd w:val="0"/>
              <w:jc w:val="center"/>
              <w:rPr>
                <w:rFonts w:cs="Arial"/>
                <w:bCs/>
              </w:rPr>
            </w:pPr>
            <w:r w:rsidRPr="00D55FA1">
              <w:rPr>
                <w:rFonts w:cs="Arial"/>
                <w:bCs/>
              </w:rPr>
              <w:t>69%/</w:t>
            </w:r>
          </w:p>
          <w:p w14:paraId="5A1EA135" w14:textId="7016A37E"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80.4%</w:t>
            </w:r>
          </w:p>
        </w:tc>
        <w:tc>
          <w:tcPr>
            <w:tcW w:w="1350" w:type="dxa"/>
          </w:tcPr>
          <w:p w14:paraId="497A3380" w14:textId="77777777" w:rsidR="00296085" w:rsidRDefault="00D5399B" w:rsidP="00DF008C">
            <w:pPr>
              <w:widowControl w:val="0"/>
              <w:overflowPunct w:val="0"/>
              <w:autoSpaceDE w:val="0"/>
              <w:autoSpaceDN w:val="0"/>
              <w:adjustRightInd w:val="0"/>
              <w:jc w:val="center"/>
              <w:rPr>
                <w:rFonts w:cs="Arial"/>
              </w:rPr>
            </w:pPr>
            <w:r w:rsidRPr="00D5399B">
              <w:rPr>
                <w:rFonts w:cs="Arial"/>
              </w:rPr>
              <w:t>67.4%/</w:t>
            </w:r>
          </w:p>
          <w:p w14:paraId="58717D39" w14:textId="5984749B" w:rsidR="00DF008C" w:rsidRPr="00D55FA1" w:rsidRDefault="00D5399B" w:rsidP="00DF008C">
            <w:pPr>
              <w:widowControl w:val="0"/>
              <w:overflowPunct w:val="0"/>
              <w:autoSpaceDE w:val="0"/>
              <w:autoSpaceDN w:val="0"/>
              <w:adjustRightInd w:val="0"/>
              <w:jc w:val="center"/>
              <w:rPr>
                <w:rFonts w:cs="Arial"/>
                <w:bCs/>
              </w:rPr>
            </w:pPr>
            <w:r w:rsidRPr="00D5399B">
              <w:rPr>
                <w:rFonts w:cs="Arial"/>
              </w:rPr>
              <w:t>81.9%</w:t>
            </w:r>
          </w:p>
        </w:tc>
        <w:tc>
          <w:tcPr>
            <w:tcW w:w="1260" w:type="dxa"/>
          </w:tcPr>
          <w:p w14:paraId="5ACC0B23" w14:textId="77777777" w:rsidR="007351D1" w:rsidRDefault="004344A7" w:rsidP="00DF008C">
            <w:pPr>
              <w:widowControl w:val="0"/>
              <w:overflowPunct w:val="0"/>
              <w:autoSpaceDE w:val="0"/>
              <w:autoSpaceDN w:val="0"/>
              <w:adjustRightInd w:val="0"/>
              <w:jc w:val="center"/>
              <w:rPr>
                <w:rFonts w:cs="Arial"/>
                <w:bCs/>
              </w:rPr>
            </w:pPr>
            <w:r>
              <w:rPr>
                <w:rFonts w:cs="Arial"/>
                <w:bCs/>
              </w:rPr>
              <w:t>64.1%/</w:t>
            </w:r>
          </w:p>
          <w:p w14:paraId="5338A720" w14:textId="7EA6A9C6" w:rsidR="00DF008C" w:rsidRPr="00D55FA1" w:rsidRDefault="007351D1" w:rsidP="00DF008C">
            <w:pPr>
              <w:widowControl w:val="0"/>
              <w:overflowPunct w:val="0"/>
              <w:autoSpaceDE w:val="0"/>
              <w:autoSpaceDN w:val="0"/>
              <w:adjustRightInd w:val="0"/>
              <w:jc w:val="center"/>
              <w:rPr>
                <w:rFonts w:cs="Arial"/>
                <w:bCs/>
              </w:rPr>
            </w:pPr>
            <w:r>
              <w:rPr>
                <w:rFonts w:cs="Arial"/>
                <w:bCs/>
              </w:rPr>
              <w:t>79.9%</w:t>
            </w:r>
            <w:r w:rsidR="00DF008C" w:rsidRPr="00D55FA1">
              <w:rPr>
                <w:rFonts w:cs="Arial"/>
                <w:bCs/>
              </w:rPr>
              <w:t>-</w:t>
            </w:r>
          </w:p>
        </w:tc>
        <w:tc>
          <w:tcPr>
            <w:tcW w:w="1345" w:type="dxa"/>
          </w:tcPr>
          <w:p w14:paraId="61DAA4D5" w14:textId="5CE988DC"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4B77E9D8" w14:textId="77777777" w:rsidTr="00F73A09">
        <w:trPr>
          <w:cantSplit/>
          <w:trHeight w:val="341"/>
        </w:trPr>
        <w:tc>
          <w:tcPr>
            <w:tcW w:w="1260" w:type="dxa"/>
          </w:tcPr>
          <w:p w14:paraId="4A8A298B"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165" w:type="dxa"/>
          </w:tcPr>
          <w:p w14:paraId="5D96F078"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440" w:type="dxa"/>
          </w:tcPr>
          <w:p w14:paraId="2AEAF47F" w14:textId="670E6C93"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530" w:type="dxa"/>
          </w:tcPr>
          <w:p w14:paraId="281B37BA" w14:textId="439C7A1F"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No/Yes</w:t>
            </w:r>
          </w:p>
        </w:tc>
        <w:tc>
          <w:tcPr>
            <w:tcW w:w="1350" w:type="dxa"/>
          </w:tcPr>
          <w:p w14:paraId="2E500C74" w14:textId="477F934E" w:rsidR="00DF008C" w:rsidRPr="00D55FA1" w:rsidRDefault="00D5399B" w:rsidP="00DF008C">
            <w:pPr>
              <w:widowControl w:val="0"/>
              <w:overflowPunct w:val="0"/>
              <w:autoSpaceDE w:val="0"/>
              <w:autoSpaceDN w:val="0"/>
              <w:adjustRightInd w:val="0"/>
              <w:jc w:val="center"/>
              <w:rPr>
                <w:rFonts w:cs="Arial"/>
                <w:bCs/>
              </w:rPr>
            </w:pPr>
            <w:r w:rsidRPr="00D55FA1">
              <w:rPr>
                <w:rFonts w:cs="Arial"/>
                <w:bCs/>
              </w:rPr>
              <w:t>No/Yes</w:t>
            </w:r>
          </w:p>
        </w:tc>
        <w:tc>
          <w:tcPr>
            <w:tcW w:w="1260" w:type="dxa"/>
          </w:tcPr>
          <w:p w14:paraId="74CD1D1F" w14:textId="2A7EE5C5" w:rsidR="00DF008C" w:rsidRPr="00D55FA1" w:rsidRDefault="007351D1" w:rsidP="00DF008C">
            <w:pPr>
              <w:widowControl w:val="0"/>
              <w:overflowPunct w:val="0"/>
              <w:autoSpaceDE w:val="0"/>
              <w:autoSpaceDN w:val="0"/>
              <w:adjustRightInd w:val="0"/>
              <w:jc w:val="center"/>
              <w:rPr>
                <w:rFonts w:cs="Arial"/>
                <w:bCs/>
              </w:rPr>
            </w:pPr>
            <w:r>
              <w:rPr>
                <w:rFonts w:cs="Arial"/>
                <w:bCs/>
              </w:rPr>
              <w:t>No/</w:t>
            </w:r>
            <w:r w:rsidR="00193492">
              <w:rPr>
                <w:rFonts w:cs="Arial"/>
                <w:bCs/>
              </w:rPr>
              <w:t>No</w:t>
            </w:r>
          </w:p>
        </w:tc>
        <w:tc>
          <w:tcPr>
            <w:tcW w:w="1345" w:type="dxa"/>
          </w:tcPr>
          <w:p w14:paraId="1C5BEDD8" w14:textId="063448FA"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bookmarkEnd w:id="140"/>
    </w:tbl>
    <w:p w14:paraId="02915484" w14:textId="77777777" w:rsidR="00FA4FB9" w:rsidRPr="00D55FA1" w:rsidRDefault="00FA4FB9" w:rsidP="00EB1E42"/>
    <w:p w14:paraId="03B94F49" w14:textId="77777777" w:rsidR="00FA4FB9" w:rsidRPr="00D55FA1" w:rsidRDefault="00FA4FB9">
      <w:pPr>
        <w:spacing w:after="160" w:line="259" w:lineRule="auto"/>
      </w:pPr>
      <w:r w:rsidRPr="00D55FA1">
        <w:br w:type="page"/>
      </w:r>
    </w:p>
    <w:p w14:paraId="71BE7FDE" w14:textId="77777777" w:rsidR="00EB1E42" w:rsidRPr="00D55FA1" w:rsidRDefault="00EB1E42" w:rsidP="00EB1E42">
      <w:pPr>
        <w:pStyle w:val="Heading2"/>
        <w:spacing w:before="1080"/>
        <w:jc w:val="center"/>
      </w:pPr>
      <w:bookmarkStart w:id="141" w:name="_Toc212718055"/>
      <w:r w:rsidRPr="00D55FA1">
        <w:rPr>
          <w:bCs/>
        </w:rPr>
        <w:lastRenderedPageBreak/>
        <w:t xml:space="preserve">Indicator 7B: </w:t>
      </w:r>
      <w:r w:rsidRPr="00D55FA1">
        <w:t>Preschool Assessment–Acquisition and Use of Knowledge and Skills</w:t>
      </w:r>
      <w:bookmarkEnd w:id="141"/>
    </w:p>
    <w:p w14:paraId="6CEB3F03" w14:textId="77777777" w:rsidR="00EB1E42" w:rsidRPr="00D55FA1" w:rsidRDefault="00944401" w:rsidP="00EB1E42">
      <w:pPr>
        <w:pStyle w:val="Heading3"/>
        <w:spacing w:before="0"/>
      </w:pPr>
      <w:bookmarkStart w:id="142" w:name="_Toc212718056"/>
      <w:r w:rsidRPr="00D55FA1">
        <w:t>Description</w:t>
      </w:r>
      <w:bookmarkEnd w:id="142"/>
    </w:p>
    <w:p w14:paraId="604E7A8D" w14:textId="2F683A2B" w:rsidR="00EB1E42" w:rsidRPr="00D55FA1" w:rsidRDefault="00EB1E42" w:rsidP="00EB1E42">
      <w:pPr>
        <w:spacing w:after="240"/>
        <w:rPr>
          <w:rFonts w:cs="Arial"/>
        </w:rPr>
      </w:pPr>
      <w:r w:rsidRPr="00D55FA1">
        <w:rPr>
          <w:rFonts w:cs="Arial"/>
        </w:rPr>
        <w:t xml:space="preserve">Indicator 7B is a performance indicator that measures the </w:t>
      </w:r>
      <w:proofErr w:type="gramStart"/>
      <w:r w:rsidRPr="00D55FA1">
        <w:rPr>
          <w:rFonts w:cs="Arial"/>
        </w:rPr>
        <w:t>percent</w:t>
      </w:r>
      <w:proofErr w:type="gramEnd"/>
      <w:r w:rsidRPr="00D55FA1">
        <w:rPr>
          <w:rFonts w:cs="Arial"/>
        </w:rPr>
        <w:t xml:space="preserve"> of children</w:t>
      </w:r>
      <w:r w:rsidR="00944401" w:rsidRPr="00D55FA1">
        <w:rPr>
          <w:rFonts w:cs="Arial"/>
        </w:rPr>
        <w:t xml:space="preserve"> aged three through five</w:t>
      </w:r>
      <w:r w:rsidRPr="00D55FA1">
        <w:rPr>
          <w:rFonts w:cs="Arial"/>
        </w:rPr>
        <w:t xml:space="preserve"> with </w:t>
      </w:r>
      <w:r w:rsidR="00944401" w:rsidRPr="00D55FA1">
        <w:rPr>
          <w:rFonts w:cs="Arial"/>
        </w:rPr>
        <w:t>IEPs</w:t>
      </w:r>
      <w:r w:rsidRPr="00D55FA1">
        <w:rPr>
          <w:rFonts w:cs="Arial"/>
        </w:rPr>
        <w:t xml:space="preserve"> who demonstrate improvement in acquisition and use of knowledge and skills, including early language/communication and early literacy.</w:t>
      </w:r>
      <w:r w:rsidR="000854BA" w:rsidRPr="00D55FA1">
        <w:rPr>
          <w:rFonts w:cs="Arial"/>
        </w:rPr>
        <w:t xml:space="preserve"> This data is collected in CALPADS in partnership with DR Access.</w:t>
      </w:r>
      <w:r w:rsidR="00BA6735" w:rsidRPr="00D55FA1">
        <w:rPr>
          <w:rFonts w:cs="Arial"/>
        </w:rPr>
        <w:t xml:space="preserve"> </w:t>
      </w:r>
      <w:r w:rsidRPr="00D55FA1">
        <w:rPr>
          <w:rFonts w:cs="Arial"/>
        </w:rPr>
        <w:t xml:space="preserve">These are the following progress categories: </w:t>
      </w:r>
    </w:p>
    <w:p w14:paraId="7AF3583F" w14:textId="77777777" w:rsidR="00EB1E42" w:rsidRPr="00D55FA1" w:rsidRDefault="00EB1E42" w:rsidP="00664876">
      <w:pPr>
        <w:numPr>
          <w:ilvl w:val="0"/>
          <w:numId w:val="2"/>
        </w:numPr>
        <w:overflowPunct w:val="0"/>
        <w:autoSpaceDE w:val="0"/>
        <w:autoSpaceDN w:val="0"/>
        <w:adjustRightInd w:val="0"/>
        <w:spacing w:after="240"/>
        <w:rPr>
          <w:rFonts w:cs="Arial"/>
          <w:kern w:val="28"/>
        </w:rPr>
      </w:pPr>
      <w:r w:rsidRPr="00D55FA1">
        <w:rPr>
          <w:rFonts w:cs="Arial"/>
          <w:kern w:val="28"/>
        </w:rPr>
        <w:t xml:space="preserve">Number of preschool children who did not improve functioning divided by the number of preschool </w:t>
      </w:r>
      <w:r w:rsidRPr="00D55FA1">
        <w:rPr>
          <w:rFonts w:cs="Arial"/>
          <w:color w:val="000000"/>
          <w:kern w:val="28"/>
        </w:rPr>
        <w:t xml:space="preserve">children with disabilities </w:t>
      </w:r>
      <w:r w:rsidRPr="00D55FA1">
        <w:rPr>
          <w:rFonts w:cs="Arial"/>
          <w:kern w:val="28"/>
        </w:rPr>
        <w:t>assessed, multiplied by 100.</w:t>
      </w:r>
    </w:p>
    <w:p w14:paraId="6BCB0B5C" w14:textId="77777777" w:rsidR="00EB1E42" w:rsidRPr="00D55FA1" w:rsidRDefault="00EB1E42" w:rsidP="00664876">
      <w:pPr>
        <w:numPr>
          <w:ilvl w:val="0"/>
          <w:numId w:val="2"/>
        </w:numPr>
        <w:overflowPunct w:val="0"/>
        <w:autoSpaceDE w:val="0"/>
        <w:autoSpaceDN w:val="0"/>
        <w:adjustRightInd w:val="0"/>
        <w:spacing w:after="240"/>
        <w:rPr>
          <w:rFonts w:cs="Arial"/>
          <w:kern w:val="28"/>
        </w:rPr>
      </w:pPr>
      <w:r w:rsidRPr="00D55FA1">
        <w:rPr>
          <w:rFonts w:cs="Arial"/>
          <w:kern w:val="28"/>
        </w:rPr>
        <w:t xml:space="preserve">Number of preschool children who improved functioning but not sufficient to move nearer to functioning comparable to same-aged peers divided by the number of preschool </w:t>
      </w:r>
      <w:r w:rsidRPr="00D55FA1">
        <w:rPr>
          <w:rFonts w:cs="Arial"/>
          <w:color w:val="000000"/>
          <w:kern w:val="28"/>
        </w:rPr>
        <w:t xml:space="preserve">children with disabilities </w:t>
      </w:r>
      <w:r w:rsidRPr="00D55FA1">
        <w:rPr>
          <w:rFonts w:cs="Arial"/>
          <w:kern w:val="28"/>
        </w:rPr>
        <w:t>assessed, multiplied by 100.</w:t>
      </w:r>
    </w:p>
    <w:p w14:paraId="30B6D464" w14:textId="77777777" w:rsidR="00EB1E42" w:rsidRPr="00D55FA1" w:rsidRDefault="00EB1E42" w:rsidP="00664876">
      <w:pPr>
        <w:numPr>
          <w:ilvl w:val="0"/>
          <w:numId w:val="2"/>
        </w:numPr>
        <w:overflowPunct w:val="0"/>
        <w:autoSpaceDE w:val="0"/>
        <w:autoSpaceDN w:val="0"/>
        <w:adjustRightInd w:val="0"/>
        <w:spacing w:after="240"/>
        <w:rPr>
          <w:rFonts w:cs="Arial"/>
          <w:kern w:val="28"/>
        </w:rPr>
      </w:pPr>
      <w:r w:rsidRPr="00D55FA1">
        <w:rPr>
          <w:rFonts w:cs="Arial"/>
          <w:kern w:val="28"/>
        </w:rPr>
        <w:t xml:space="preserve">Number of preschool children who improved functioning to a level nearer to same-aged peers but did not reach it divided by the number of preschool </w:t>
      </w:r>
      <w:r w:rsidRPr="00D55FA1">
        <w:rPr>
          <w:rFonts w:cs="Arial"/>
          <w:color w:val="000000"/>
          <w:kern w:val="28"/>
        </w:rPr>
        <w:t>children with disabilities</w:t>
      </w:r>
      <w:r w:rsidRPr="00D55FA1">
        <w:rPr>
          <w:rFonts w:cs="Arial"/>
          <w:kern w:val="28"/>
        </w:rPr>
        <w:t xml:space="preserve"> assessed, multiplied by 100.</w:t>
      </w:r>
    </w:p>
    <w:p w14:paraId="5ECBB639" w14:textId="77777777" w:rsidR="00EB1E42" w:rsidRPr="00D55FA1" w:rsidRDefault="00EB1E42" w:rsidP="00664876">
      <w:pPr>
        <w:numPr>
          <w:ilvl w:val="0"/>
          <w:numId w:val="2"/>
        </w:numPr>
        <w:overflowPunct w:val="0"/>
        <w:autoSpaceDE w:val="0"/>
        <w:autoSpaceDN w:val="0"/>
        <w:adjustRightInd w:val="0"/>
        <w:spacing w:after="240"/>
        <w:rPr>
          <w:rFonts w:cs="Arial"/>
          <w:kern w:val="28"/>
        </w:rPr>
      </w:pPr>
      <w:r w:rsidRPr="00D55FA1">
        <w:rPr>
          <w:rFonts w:cs="Arial"/>
          <w:kern w:val="28"/>
        </w:rPr>
        <w:t xml:space="preserve">Number of preschool children who improved functioning to reach a level comparable to same-aged peers divided by the number of preschool </w:t>
      </w:r>
      <w:r w:rsidRPr="00D55FA1">
        <w:rPr>
          <w:rFonts w:cs="Arial"/>
          <w:color w:val="000000"/>
          <w:kern w:val="28"/>
        </w:rPr>
        <w:t>children with disabilities</w:t>
      </w:r>
      <w:r w:rsidRPr="00D55FA1">
        <w:rPr>
          <w:rFonts w:cs="Arial"/>
          <w:kern w:val="28"/>
        </w:rPr>
        <w:t xml:space="preserve"> assessed, multiplied by 100.</w:t>
      </w:r>
    </w:p>
    <w:p w14:paraId="7BF3C523" w14:textId="77777777" w:rsidR="00EB1E42" w:rsidRPr="00D55FA1" w:rsidRDefault="00EB1E42" w:rsidP="00664876">
      <w:pPr>
        <w:numPr>
          <w:ilvl w:val="0"/>
          <w:numId w:val="2"/>
        </w:numPr>
        <w:overflowPunct w:val="0"/>
        <w:autoSpaceDE w:val="0"/>
        <w:autoSpaceDN w:val="0"/>
        <w:adjustRightInd w:val="0"/>
        <w:spacing w:after="240"/>
        <w:rPr>
          <w:rFonts w:cs="Arial"/>
        </w:rPr>
      </w:pPr>
      <w:r w:rsidRPr="00D55FA1">
        <w:rPr>
          <w:rFonts w:cs="Arial"/>
          <w:kern w:val="28"/>
        </w:rPr>
        <w:t xml:space="preserve">Number of preschool children who maintained functioning at a level comparable to same-aged peers divided by the number of preschool </w:t>
      </w:r>
      <w:r w:rsidRPr="00D55FA1">
        <w:rPr>
          <w:rFonts w:cs="Arial"/>
          <w:color w:val="000000"/>
          <w:kern w:val="28"/>
        </w:rPr>
        <w:t>children with disabilities</w:t>
      </w:r>
      <w:r w:rsidRPr="00D55FA1">
        <w:rPr>
          <w:rFonts w:cs="Arial"/>
          <w:kern w:val="28"/>
        </w:rPr>
        <w:t xml:space="preserve"> assessed, multiplied by 100.</w:t>
      </w:r>
    </w:p>
    <w:p w14:paraId="4FC7ACA4" w14:textId="77777777" w:rsidR="00EB1E42" w:rsidRPr="00D55FA1" w:rsidRDefault="00944401" w:rsidP="00EB1E42">
      <w:pPr>
        <w:pStyle w:val="Heading3"/>
        <w:spacing w:before="0"/>
      </w:pPr>
      <w:bookmarkStart w:id="143" w:name="_Toc212718057"/>
      <w:r w:rsidRPr="00D55FA1">
        <w:t>Measurement</w:t>
      </w:r>
      <w:bookmarkEnd w:id="143"/>
    </w:p>
    <w:p w14:paraId="6D846F5D" w14:textId="71296AC1" w:rsidR="00944401" w:rsidRPr="00D55FA1" w:rsidRDefault="00944401" w:rsidP="005E62B2">
      <w:pPr>
        <w:spacing w:after="240"/>
      </w:pPr>
      <w:r w:rsidRPr="00D55FA1">
        <w:t xml:space="preserve">Summary Statement 1: Of those preschool children who entered the preschool program below age expectations in each </w:t>
      </w:r>
      <w:r w:rsidR="00C668E5">
        <w:t>o</w:t>
      </w:r>
      <w:r w:rsidRPr="00D55FA1">
        <w:t xml:space="preserve">utcome, the </w:t>
      </w:r>
      <w:proofErr w:type="gramStart"/>
      <w:r w:rsidRPr="00D55FA1">
        <w:t>percent who</w:t>
      </w:r>
      <w:proofErr w:type="gramEnd"/>
      <w:r w:rsidRPr="00D55FA1">
        <w:t xml:space="preserve"> substantially increased their rate of growth by the time they turned </w:t>
      </w:r>
      <w:r w:rsidR="00BD016A">
        <w:t>six</w:t>
      </w:r>
      <w:r w:rsidRPr="00D55FA1">
        <w:t xml:space="preserve"> years of age or exited the program.</w:t>
      </w:r>
    </w:p>
    <w:p w14:paraId="62F015AF" w14:textId="5CF16F70" w:rsidR="00944401" w:rsidRPr="00D55FA1" w:rsidRDefault="00944401" w:rsidP="005E62B2">
      <w:pPr>
        <w:spacing w:after="240"/>
      </w:pPr>
      <w:r w:rsidRPr="00D55FA1">
        <w:t xml:space="preserve">Summary Statement 2: The percent of preschool children who were functioning within age expectations in each </w:t>
      </w:r>
      <w:r w:rsidR="00C668E5">
        <w:t>o</w:t>
      </w:r>
      <w:r w:rsidRPr="00D55FA1">
        <w:t xml:space="preserve">utcome by the time they turned </w:t>
      </w:r>
      <w:r w:rsidR="00BD016A">
        <w:t>six</w:t>
      </w:r>
      <w:r w:rsidRPr="00D55FA1">
        <w:t xml:space="preserve"> years of age or exited the program.</w:t>
      </w:r>
    </w:p>
    <w:p w14:paraId="4EEBD988" w14:textId="34E808A9" w:rsidR="00EB1E42" w:rsidRPr="00783B11" w:rsidRDefault="00944401" w:rsidP="00783B11">
      <w:pPr>
        <w:spacing w:after="240"/>
        <w:rPr>
          <w:b/>
          <w:bCs/>
        </w:rPr>
      </w:pPr>
      <w:r w:rsidRPr="00783B11">
        <w:rPr>
          <w:b/>
          <w:bCs/>
        </w:rPr>
        <w:t xml:space="preserve">Target Met: </w:t>
      </w:r>
      <w:r w:rsidR="00BA6735" w:rsidRPr="00783B11">
        <w:rPr>
          <w:b/>
          <w:bCs/>
        </w:rPr>
        <w:t>No</w:t>
      </w:r>
      <w:r w:rsidR="00013AED" w:rsidRPr="00783B11">
        <w:rPr>
          <w:b/>
          <w:bCs/>
        </w:rPr>
        <w:t>/Yes</w:t>
      </w:r>
    </w:p>
    <w:p w14:paraId="67A120E5" w14:textId="54388218" w:rsidR="00EB1E42" w:rsidRPr="00783B11" w:rsidRDefault="00783B11" w:rsidP="00783B11">
      <w:pPr>
        <w:spacing w:after="240"/>
        <w:rPr>
          <w:b/>
          <w:bCs/>
        </w:rPr>
      </w:pPr>
      <w:r w:rsidRPr="00783B11">
        <w:rPr>
          <w:b/>
          <w:bCs/>
        </w:rPr>
        <w:t xml:space="preserve">Table 14: </w:t>
      </w:r>
      <w:r w:rsidR="00EB1E42" w:rsidRPr="00783B11">
        <w:rPr>
          <w:b/>
          <w:bCs/>
        </w:rPr>
        <w:t xml:space="preserve">Preschool Outcomes–Acquisition and Use of Knowledge and Skills </w:t>
      </w:r>
      <w:r w:rsidR="00944401" w:rsidRPr="00783B11">
        <w:rPr>
          <w:b/>
          <w:bCs/>
        </w:rPr>
        <w:t xml:space="preserve">Targets and Results for FFYs </w:t>
      </w:r>
      <w:r w:rsidR="0066332C" w:rsidRPr="00783B11">
        <w:rPr>
          <w:b/>
          <w:bCs/>
        </w:rPr>
        <w:t>2020</w:t>
      </w:r>
      <w:r w:rsidR="0066332C" w:rsidRPr="00783B11">
        <w:rPr>
          <w:rFonts w:cs="Arial"/>
          <w:b/>
          <w:bCs/>
        </w:rPr>
        <w:t>–25</w:t>
      </w:r>
    </w:p>
    <w:tbl>
      <w:tblPr>
        <w:tblStyle w:val="TableGrid1"/>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dicator 7B Targets and Results"/>
      </w:tblPr>
      <w:tblGrid>
        <w:gridCol w:w="1230"/>
        <w:gridCol w:w="1644"/>
        <w:gridCol w:w="1644"/>
        <w:gridCol w:w="1644"/>
        <w:gridCol w:w="1244"/>
        <w:gridCol w:w="1244"/>
        <w:gridCol w:w="1244"/>
      </w:tblGrid>
      <w:tr w:rsidR="0066332C" w:rsidRPr="00D55FA1" w14:paraId="4FE17659" w14:textId="77777777" w:rsidTr="008873B8">
        <w:trPr>
          <w:cantSplit/>
          <w:trHeight w:val="335"/>
          <w:tblHeader/>
        </w:trPr>
        <w:tc>
          <w:tcPr>
            <w:tcW w:w="1230" w:type="dxa"/>
            <w:hideMark/>
          </w:tcPr>
          <w:p w14:paraId="0959B592" w14:textId="77777777" w:rsidR="0066332C" w:rsidRPr="00D55FA1" w:rsidRDefault="0066332C" w:rsidP="00704E41">
            <w:pPr>
              <w:widowControl w:val="0"/>
              <w:overflowPunct w:val="0"/>
              <w:autoSpaceDE w:val="0"/>
              <w:autoSpaceDN w:val="0"/>
              <w:adjustRightInd w:val="0"/>
              <w:jc w:val="center"/>
              <w:rPr>
                <w:rFonts w:cs="Arial"/>
                <w:b/>
                <w:bCs/>
              </w:rPr>
            </w:pPr>
            <w:bookmarkStart w:id="144" w:name="_Hlk26280345"/>
            <w:r w:rsidRPr="00D55FA1">
              <w:rPr>
                <w:rFonts w:cs="Arial"/>
                <w:b/>
                <w:bCs/>
              </w:rPr>
              <w:lastRenderedPageBreak/>
              <w:t>Indicator 7b</w:t>
            </w:r>
          </w:p>
        </w:tc>
        <w:tc>
          <w:tcPr>
            <w:tcW w:w="1644" w:type="dxa"/>
            <w:hideMark/>
          </w:tcPr>
          <w:p w14:paraId="47FB25CC"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2020</w:t>
            </w:r>
          </w:p>
        </w:tc>
        <w:tc>
          <w:tcPr>
            <w:tcW w:w="1644" w:type="dxa"/>
            <w:hideMark/>
          </w:tcPr>
          <w:p w14:paraId="540A27AE"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2021</w:t>
            </w:r>
          </w:p>
        </w:tc>
        <w:tc>
          <w:tcPr>
            <w:tcW w:w="1644" w:type="dxa"/>
            <w:hideMark/>
          </w:tcPr>
          <w:p w14:paraId="69A1ECBD"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2022</w:t>
            </w:r>
          </w:p>
        </w:tc>
        <w:tc>
          <w:tcPr>
            <w:tcW w:w="1244" w:type="dxa"/>
            <w:hideMark/>
          </w:tcPr>
          <w:p w14:paraId="0B50C5A4"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2023</w:t>
            </w:r>
          </w:p>
        </w:tc>
        <w:tc>
          <w:tcPr>
            <w:tcW w:w="1244" w:type="dxa"/>
            <w:hideMark/>
          </w:tcPr>
          <w:p w14:paraId="61459DFD"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2024</w:t>
            </w:r>
          </w:p>
        </w:tc>
        <w:tc>
          <w:tcPr>
            <w:tcW w:w="1244" w:type="dxa"/>
          </w:tcPr>
          <w:p w14:paraId="42764896"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5A71ACF8" w14:textId="77777777" w:rsidTr="008873B8">
        <w:trPr>
          <w:cantSplit/>
          <w:trHeight w:val="335"/>
        </w:trPr>
        <w:tc>
          <w:tcPr>
            <w:tcW w:w="1230" w:type="dxa"/>
            <w:hideMark/>
          </w:tcPr>
          <w:p w14:paraId="1A873CFE" w14:textId="77777777"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Target</w:t>
            </w:r>
          </w:p>
        </w:tc>
        <w:tc>
          <w:tcPr>
            <w:tcW w:w="1644" w:type="dxa"/>
          </w:tcPr>
          <w:p w14:paraId="3DD23A85" w14:textId="77777777" w:rsidR="00926183" w:rsidRDefault="0066332C" w:rsidP="00704E41">
            <w:pPr>
              <w:widowControl w:val="0"/>
              <w:overflowPunct w:val="0"/>
              <w:autoSpaceDE w:val="0"/>
              <w:autoSpaceDN w:val="0"/>
              <w:adjustRightInd w:val="0"/>
              <w:jc w:val="center"/>
              <w:rPr>
                <w:rFonts w:cs="Arial"/>
                <w:bCs/>
              </w:rPr>
            </w:pPr>
            <w:r w:rsidRPr="00D55FA1">
              <w:rPr>
                <w:rFonts w:cs="Arial"/>
                <w:bCs/>
              </w:rPr>
              <w:t>76%/</w:t>
            </w:r>
          </w:p>
          <w:p w14:paraId="7A8FD25C" w14:textId="3B7CCD06"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76%</w:t>
            </w:r>
          </w:p>
        </w:tc>
        <w:tc>
          <w:tcPr>
            <w:tcW w:w="1644" w:type="dxa"/>
          </w:tcPr>
          <w:p w14:paraId="4D96B229" w14:textId="77777777" w:rsidR="00926183" w:rsidRDefault="0066332C" w:rsidP="00704E41">
            <w:pPr>
              <w:widowControl w:val="0"/>
              <w:overflowPunct w:val="0"/>
              <w:autoSpaceDE w:val="0"/>
              <w:autoSpaceDN w:val="0"/>
              <w:adjustRightInd w:val="0"/>
              <w:jc w:val="center"/>
              <w:rPr>
                <w:rFonts w:cs="Arial"/>
                <w:bCs/>
              </w:rPr>
            </w:pPr>
            <w:r w:rsidRPr="00D55FA1">
              <w:rPr>
                <w:rFonts w:cs="Arial"/>
                <w:bCs/>
              </w:rPr>
              <w:t>77%/</w:t>
            </w:r>
          </w:p>
          <w:p w14:paraId="2C4E2F3F" w14:textId="44E984C1"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77%</w:t>
            </w:r>
          </w:p>
        </w:tc>
        <w:tc>
          <w:tcPr>
            <w:tcW w:w="1644" w:type="dxa"/>
          </w:tcPr>
          <w:p w14:paraId="045BCC88" w14:textId="77777777" w:rsidR="00926183" w:rsidRDefault="0066332C" w:rsidP="00704E41">
            <w:pPr>
              <w:widowControl w:val="0"/>
              <w:overflowPunct w:val="0"/>
              <w:autoSpaceDE w:val="0"/>
              <w:autoSpaceDN w:val="0"/>
              <w:adjustRightInd w:val="0"/>
              <w:jc w:val="center"/>
              <w:rPr>
                <w:rFonts w:cs="Arial"/>
                <w:bCs/>
              </w:rPr>
            </w:pPr>
            <w:r w:rsidRPr="00D55FA1">
              <w:rPr>
                <w:rFonts w:cs="Arial"/>
                <w:bCs/>
              </w:rPr>
              <w:t>78%/</w:t>
            </w:r>
          </w:p>
          <w:p w14:paraId="0FB60696" w14:textId="7880E846"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78%</w:t>
            </w:r>
          </w:p>
        </w:tc>
        <w:tc>
          <w:tcPr>
            <w:tcW w:w="1244" w:type="dxa"/>
          </w:tcPr>
          <w:p w14:paraId="361E8C1B" w14:textId="77777777" w:rsidR="00926183" w:rsidRDefault="0066332C" w:rsidP="00704E41">
            <w:pPr>
              <w:widowControl w:val="0"/>
              <w:overflowPunct w:val="0"/>
              <w:autoSpaceDE w:val="0"/>
              <w:autoSpaceDN w:val="0"/>
              <w:adjustRightInd w:val="0"/>
              <w:jc w:val="center"/>
              <w:rPr>
                <w:rFonts w:cs="Arial"/>
                <w:bCs/>
              </w:rPr>
            </w:pPr>
            <w:r w:rsidRPr="00D55FA1">
              <w:rPr>
                <w:rFonts w:cs="Arial"/>
                <w:bCs/>
              </w:rPr>
              <w:t>79%/</w:t>
            </w:r>
          </w:p>
          <w:p w14:paraId="5FB84002" w14:textId="3897E44F"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79%</w:t>
            </w:r>
          </w:p>
        </w:tc>
        <w:tc>
          <w:tcPr>
            <w:tcW w:w="1244" w:type="dxa"/>
          </w:tcPr>
          <w:p w14:paraId="7262462E" w14:textId="77777777" w:rsidR="00926183" w:rsidRDefault="0066332C" w:rsidP="00704E41">
            <w:pPr>
              <w:widowControl w:val="0"/>
              <w:overflowPunct w:val="0"/>
              <w:autoSpaceDE w:val="0"/>
              <w:autoSpaceDN w:val="0"/>
              <w:adjustRightInd w:val="0"/>
              <w:jc w:val="center"/>
              <w:rPr>
                <w:rFonts w:cs="Arial"/>
                <w:bCs/>
              </w:rPr>
            </w:pPr>
            <w:r w:rsidRPr="00D55FA1">
              <w:rPr>
                <w:rFonts w:cs="Arial"/>
                <w:bCs/>
              </w:rPr>
              <w:t>80%/</w:t>
            </w:r>
          </w:p>
          <w:p w14:paraId="0CD75164" w14:textId="4CF1C6BE"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80%</w:t>
            </w:r>
          </w:p>
        </w:tc>
        <w:tc>
          <w:tcPr>
            <w:tcW w:w="1244" w:type="dxa"/>
          </w:tcPr>
          <w:p w14:paraId="7A4701B4" w14:textId="77777777" w:rsidR="00926183" w:rsidRDefault="0066332C" w:rsidP="00704E41">
            <w:pPr>
              <w:widowControl w:val="0"/>
              <w:overflowPunct w:val="0"/>
              <w:autoSpaceDE w:val="0"/>
              <w:autoSpaceDN w:val="0"/>
              <w:adjustRightInd w:val="0"/>
              <w:jc w:val="center"/>
              <w:rPr>
                <w:rFonts w:cs="Arial"/>
                <w:bCs/>
              </w:rPr>
            </w:pPr>
            <w:r w:rsidRPr="00D55FA1">
              <w:rPr>
                <w:rFonts w:cs="Arial"/>
                <w:bCs/>
              </w:rPr>
              <w:t>81%/</w:t>
            </w:r>
          </w:p>
          <w:p w14:paraId="661D6087" w14:textId="3F2B46C6"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81%</w:t>
            </w:r>
          </w:p>
        </w:tc>
      </w:tr>
      <w:tr w:rsidR="00DF008C" w:rsidRPr="00D55FA1" w14:paraId="5EFA124E" w14:textId="77777777" w:rsidTr="008873B8">
        <w:trPr>
          <w:cantSplit/>
          <w:trHeight w:val="335"/>
        </w:trPr>
        <w:tc>
          <w:tcPr>
            <w:tcW w:w="1230" w:type="dxa"/>
          </w:tcPr>
          <w:p w14:paraId="519E67B4"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w:t>
            </w:r>
          </w:p>
        </w:tc>
        <w:tc>
          <w:tcPr>
            <w:tcW w:w="1644" w:type="dxa"/>
          </w:tcPr>
          <w:p w14:paraId="5537489D" w14:textId="77777777" w:rsidR="00926183" w:rsidRDefault="00DF008C" w:rsidP="00DF008C">
            <w:pPr>
              <w:widowControl w:val="0"/>
              <w:overflowPunct w:val="0"/>
              <w:autoSpaceDE w:val="0"/>
              <w:autoSpaceDN w:val="0"/>
              <w:adjustRightInd w:val="0"/>
              <w:jc w:val="center"/>
              <w:rPr>
                <w:rFonts w:cs="Arial"/>
                <w:bCs/>
              </w:rPr>
            </w:pPr>
            <w:r w:rsidRPr="00D55FA1">
              <w:rPr>
                <w:rFonts w:cs="Arial"/>
                <w:bCs/>
              </w:rPr>
              <w:t>69.5%/</w:t>
            </w:r>
          </w:p>
          <w:p w14:paraId="30B3320F" w14:textId="451BC3E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65.7%</w:t>
            </w:r>
          </w:p>
        </w:tc>
        <w:tc>
          <w:tcPr>
            <w:tcW w:w="1644" w:type="dxa"/>
          </w:tcPr>
          <w:p w14:paraId="3CE6ACD3" w14:textId="77777777" w:rsidR="00926183" w:rsidRDefault="00DF008C" w:rsidP="00DF008C">
            <w:pPr>
              <w:widowControl w:val="0"/>
              <w:overflowPunct w:val="0"/>
              <w:autoSpaceDE w:val="0"/>
              <w:autoSpaceDN w:val="0"/>
              <w:adjustRightInd w:val="0"/>
              <w:jc w:val="center"/>
              <w:rPr>
                <w:rFonts w:cs="Arial"/>
                <w:bCs/>
              </w:rPr>
            </w:pPr>
            <w:r w:rsidRPr="00D55FA1">
              <w:rPr>
                <w:rFonts w:cs="Arial"/>
                <w:bCs/>
              </w:rPr>
              <w:t>69.0%/</w:t>
            </w:r>
          </w:p>
          <w:p w14:paraId="1B15DD1D" w14:textId="293DA4C4"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65.2%</w:t>
            </w:r>
          </w:p>
        </w:tc>
        <w:tc>
          <w:tcPr>
            <w:tcW w:w="1644" w:type="dxa"/>
          </w:tcPr>
          <w:p w14:paraId="41FA40E2" w14:textId="77777777" w:rsidR="00926183" w:rsidRDefault="00DF008C" w:rsidP="00DF008C">
            <w:pPr>
              <w:widowControl w:val="0"/>
              <w:overflowPunct w:val="0"/>
              <w:autoSpaceDE w:val="0"/>
              <w:autoSpaceDN w:val="0"/>
              <w:adjustRightInd w:val="0"/>
              <w:jc w:val="center"/>
              <w:rPr>
                <w:rFonts w:cs="Arial"/>
                <w:bCs/>
              </w:rPr>
            </w:pPr>
            <w:r w:rsidRPr="00D55FA1">
              <w:rPr>
                <w:rFonts w:cs="Arial"/>
                <w:bCs/>
              </w:rPr>
              <w:t>70.4%/</w:t>
            </w:r>
          </w:p>
          <w:p w14:paraId="6E681184" w14:textId="50C21DB3"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84.7%</w:t>
            </w:r>
          </w:p>
        </w:tc>
        <w:tc>
          <w:tcPr>
            <w:tcW w:w="1244" w:type="dxa"/>
          </w:tcPr>
          <w:p w14:paraId="3AD82F3A" w14:textId="77777777" w:rsidR="00DF008C" w:rsidRDefault="006E7D83" w:rsidP="00DF008C">
            <w:pPr>
              <w:widowControl w:val="0"/>
              <w:overflowPunct w:val="0"/>
              <w:autoSpaceDE w:val="0"/>
              <w:autoSpaceDN w:val="0"/>
              <w:adjustRightInd w:val="0"/>
              <w:jc w:val="center"/>
              <w:rPr>
                <w:rFonts w:cs="Arial"/>
                <w:bCs/>
              </w:rPr>
            </w:pPr>
            <w:r>
              <w:rPr>
                <w:rFonts w:cs="Arial"/>
                <w:bCs/>
              </w:rPr>
              <w:t>72.2%/</w:t>
            </w:r>
          </w:p>
          <w:p w14:paraId="230165FA" w14:textId="77035BA3" w:rsidR="00DF008C" w:rsidRPr="00D55FA1" w:rsidRDefault="00C00E73" w:rsidP="00DF008C">
            <w:pPr>
              <w:widowControl w:val="0"/>
              <w:overflowPunct w:val="0"/>
              <w:autoSpaceDE w:val="0"/>
              <w:autoSpaceDN w:val="0"/>
              <w:adjustRightInd w:val="0"/>
              <w:jc w:val="center"/>
              <w:rPr>
                <w:rFonts w:cs="Arial"/>
                <w:bCs/>
              </w:rPr>
            </w:pPr>
            <w:r>
              <w:rPr>
                <w:rFonts w:cs="Arial"/>
                <w:bCs/>
              </w:rPr>
              <w:t>85.8%</w:t>
            </w:r>
          </w:p>
        </w:tc>
        <w:tc>
          <w:tcPr>
            <w:tcW w:w="1244" w:type="dxa"/>
          </w:tcPr>
          <w:p w14:paraId="02F609B6" w14:textId="27C82B51" w:rsidR="00DF008C" w:rsidRDefault="004E4A20" w:rsidP="00DF008C">
            <w:pPr>
              <w:widowControl w:val="0"/>
              <w:overflowPunct w:val="0"/>
              <w:autoSpaceDE w:val="0"/>
              <w:autoSpaceDN w:val="0"/>
              <w:adjustRightInd w:val="0"/>
              <w:jc w:val="center"/>
              <w:rPr>
                <w:rFonts w:cs="Arial"/>
                <w:bCs/>
              </w:rPr>
            </w:pPr>
            <w:r>
              <w:rPr>
                <w:rFonts w:cs="Arial"/>
                <w:bCs/>
              </w:rPr>
              <w:t>67.</w:t>
            </w:r>
            <w:r w:rsidR="00754CCB">
              <w:rPr>
                <w:rFonts w:cs="Arial"/>
                <w:bCs/>
              </w:rPr>
              <w:t>4</w:t>
            </w:r>
            <w:r>
              <w:rPr>
                <w:rFonts w:cs="Arial"/>
                <w:bCs/>
              </w:rPr>
              <w:t>%</w:t>
            </w:r>
            <w:r w:rsidR="00F64C9F">
              <w:rPr>
                <w:rFonts w:cs="Arial"/>
                <w:bCs/>
              </w:rPr>
              <w:t>/</w:t>
            </w:r>
          </w:p>
          <w:p w14:paraId="7CB33CA5" w14:textId="6492CE1F" w:rsidR="00F64C9F" w:rsidRPr="00D55FA1" w:rsidRDefault="00F64C9F" w:rsidP="00DF008C">
            <w:pPr>
              <w:widowControl w:val="0"/>
              <w:overflowPunct w:val="0"/>
              <w:autoSpaceDE w:val="0"/>
              <w:autoSpaceDN w:val="0"/>
              <w:adjustRightInd w:val="0"/>
              <w:jc w:val="center"/>
              <w:rPr>
                <w:rFonts w:cs="Arial"/>
                <w:bCs/>
              </w:rPr>
            </w:pPr>
            <w:r>
              <w:rPr>
                <w:rFonts w:cs="Arial"/>
                <w:bCs/>
              </w:rPr>
              <w:t>84.4%</w:t>
            </w:r>
          </w:p>
        </w:tc>
        <w:tc>
          <w:tcPr>
            <w:tcW w:w="1244" w:type="dxa"/>
          </w:tcPr>
          <w:p w14:paraId="17414610" w14:textId="659022D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2812674E" w14:textId="77777777" w:rsidTr="008873B8">
        <w:trPr>
          <w:cantSplit/>
          <w:trHeight w:val="335"/>
        </w:trPr>
        <w:tc>
          <w:tcPr>
            <w:tcW w:w="1230" w:type="dxa"/>
          </w:tcPr>
          <w:p w14:paraId="60FED6CD"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644" w:type="dxa"/>
          </w:tcPr>
          <w:p w14:paraId="2F6C4993"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644" w:type="dxa"/>
          </w:tcPr>
          <w:p w14:paraId="781DF2CB" w14:textId="4F9A321A"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644" w:type="dxa"/>
          </w:tcPr>
          <w:p w14:paraId="16788234" w14:textId="649584C8"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No/Yes</w:t>
            </w:r>
          </w:p>
        </w:tc>
        <w:tc>
          <w:tcPr>
            <w:tcW w:w="1244" w:type="dxa"/>
          </w:tcPr>
          <w:p w14:paraId="57A6A0F0" w14:textId="78A653DD" w:rsidR="00DF008C" w:rsidRPr="00D55FA1" w:rsidRDefault="00C00E73" w:rsidP="00DF008C">
            <w:pPr>
              <w:widowControl w:val="0"/>
              <w:overflowPunct w:val="0"/>
              <w:autoSpaceDE w:val="0"/>
              <w:autoSpaceDN w:val="0"/>
              <w:adjustRightInd w:val="0"/>
              <w:jc w:val="center"/>
              <w:rPr>
                <w:rFonts w:cs="Arial"/>
                <w:bCs/>
              </w:rPr>
            </w:pPr>
            <w:r w:rsidRPr="00D55FA1">
              <w:rPr>
                <w:rFonts w:cs="Arial"/>
                <w:bCs/>
              </w:rPr>
              <w:t>No/Yes</w:t>
            </w:r>
          </w:p>
        </w:tc>
        <w:tc>
          <w:tcPr>
            <w:tcW w:w="1244" w:type="dxa"/>
          </w:tcPr>
          <w:p w14:paraId="7DF0CA62" w14:textId="007D464D" w:rsidR="00DF008C" w:rsidRPr="00D55FA1" w:rsidRDefault="00F64C9F" w:rsidP="00DF008C">
            <w:pPr>
              <w:widowControl w:val="0"/>
              <w:overflowPunct w:val="0"/>
              <w:autoSpaceDE w:val="0"/>
              <w:autoSpaceDN w:val="0"/>
              <w:adjustRightInd w:val="0"/>
              <w:jc w:val="center"/>
              <w:rPr>
                <w:rFonts w:cs="Arial"/>
                <w:bCs/>
              </w:rPr>
            </w:pPr>
            <w:r>
              <w:rPr>
                <w:rFonts w:cs="Arial"/>
                <w:bCs/>
              </w:rPr>
              <w:t>No/Yes</w:t>
            </w:r>
          </w:p>
        </w:tc>
        <w:tc>
          <w:tcPr>
            <w:tcW w:w="1244" w:type="dxa"/>
          </w:tcPr>
          <w:p w14:paraId="44BA3426" w14:textId="65962970"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bookmarkEnd w:id="144"/>
    </w:tbl>
    <w:p w14:paraId="175D53C2" w14:textId="77777777" w:rsidR="00EB1E42" w:rsidRPr="00D55FA1" w:rsidRDefault="00EB1E42" w:rsidP="00EB1E42">
      <w:pPr>
        <w:spacing w:after="160" w:line="259" w:lineRule="auto"/>
        <w:rPr>
          <w:rFonts w:cs="Arial"/>
          <w:bCs/>
        </w:rPr>
      </w:pPr>
      <w:r w:rsidRPr="00D55FA1">
        <w:rPr>
          <w:rFonts w:cs="Arial"/>
          <w:bCs/>
        </w:rPr>
        <w:br w:type="page"/>
      </w:r>
    </w:p>
    <w:p w14:paraId="3352D8E8" w14:textId="77777777" w:rsidR="00EB1E42" w:rsidRPr="00D55FA1" w:rsidRDefault="00EB1E42" w:rsidP="00EB1E42">
      <w:pPr>
        <w:pStyle w:val="Heading2"/>
        <w:spacing w:before="1200"/>
        <w:jc w:val="center"/>
      </w:pPr>
      <w:bookmarkStart w:id="145" w:name="_Toc212718058"/>
      <w:r w:rsidRPr="00D55FA1">
        <w:rPr>
          <w:bCs/>
        </w:rPr>
        <w:lastRenderedPageBreak/>
        <w:t xml:space="preserve">Indicator 7C: </w:t>
      </w:r>
      <w:r w:rsidRPr="00D55FA1">
        <w:t>Preschool Assessment–Use of Appropriate Behaviors</w:t>
      </w:r>
      <w:bookmarkEnd w:id="145"/>
    </w:p>
    <w:p w14:paraId="17BFC678" w14:textId="77777777" w:rsidR="00EB1E42" w:rsidRPr="00D55FA1" w:rsidRDefault="001E06D7" w:rsidP="00EB1E42">
      <w:pPr>
        <w:pStyle w:val="Heading3"/>
        <w:spacing w:before="0"/>
      </w:pPr>
      <w:bookmarkStart w:id="146" w:name="_Toc212718059"/>
      <w:r w:rsidRPr="00D55FA1">
        <w:t>Description</w:t>
      </w:r>
      <w:bookmarkEnd w:id="146"/>
    </w:p>
    <w:p w14:paraId="63B2F4D7" w14:textId="41256DE0" w:rsidR="00EB1E42" w:rsidRPr="00D55FA1" w:rsidRDefault="00EB1E42" w:rsidP="00EB1E42">
      <w:pPr>
        <w:spacing w:after="240"/>
        <w:rPr>
          <w:rFonts w:cs="Arial"/>
        </w:rPr>
      </w:pPr>
      <w:r w:rsidRPr="5E32A801">
        <w:rPr>
          <w:rFonts w:cs="Arial"/>
        </w:rPr>
        <w:t xml:space="preserve">Indicator 7C is a performance indicator that measures the </w:t>
      </w:r>
      <w:proofErr w:type="gramStart"/>
      <w:r w:rsidRPr="5E32A801">
        <w:rPr>
          <w:rFonts w:cs="Arial"/>
        </w:rPr>
        <w:t>percent</w:t>
      </w:r>
      <w:proofErr w:type="gramEnd"/>
      <w:r w:rsidRPr="5E32A801">
        <w:rPr>
          <w:rFonts w:cs="Arial"/>
        </w:rPr>
        <w:t xml:space="preserve"> of children</w:t>
      </w:r>
      <w:r w:rsidR="001E06D7" w:rsidRPr="5E32A801">
        <w:rPr>
          <w:rFonts w:cs="Arial"/>
        </w:rPr>
        <w:t xml:space="preserve"> aged three through five</w:t>
      </w:r>
      <w:r w:rsidRPr="5E32A801">
        <w:rPr>
          <w:rFonts w:cs="Arial"/>
        </w:rPr>
        <w:t xml:space="preserve"> with </w:t>
      </w:r>
      <w:r w:rsidR="001E06D7" w:rsidRPr="5E32A801">
        <w:rPr>
          <w:rFonts w:cs="Arial"/>
        </w:rPr>
        <w:t>IEPs</w:t>
      </w:r>
      <w:r w:rsidRPr="5E32A801">
        <w:rPr>
          <w:rFonts w:cs="Arial"/>
        </w:rPr>
        <w:t xml:space="preserve"> who demonstrate improvement in Use of Appropriate Behaviors to meet their needs.</w:t>
      </w:r>
      <w:r w:rsidR="000854BA" w:rsidRPr="5E32A801">
        <w:rPr>
          <w:rFonts w:cs="Arial"/>
        </w:rPr>
        <w:t xml:space="preserve"> This data is collected in CALPADS in partnership with DR Access.</w:t>
      </w:r>
    </w:p>
    <w:p w14:paraId="10A6F66E" w14:textId="77777777" w:rsidR="00EB1E42" w:rsidRPr="00D55FA1" w:rsidRDefault="00EB1E42" w:rsidP="00EB1E42">
      <w:pPr>
        <w:spacing w:after="240"/>
        <w:rPr>
          <w:rFonts w:cs="Arial"/>
        </w:rPr>
      </w:pPr>
      <w:r w:rsidRPr="00D55FA1">
        <w:rPr>
          <w:rFonts w:cs="Arial"/>
        </w:rPr>
        <w:t>These are the following progress categories:</w:t>
      </w:r>
    </w:p>
    <w:p w14:paraId="5D0F638B" w14:textId="77777777" w:rsidR="00EB1E42" w:rsidRPr="00D55FA1" w:rsidRDefault="00EB1E42" w:rsidP="00664876">
      <w:pPr>
        <w:numPr>
          <w:ilvl w:val="0"/>
          <w:numId w:val="3"/>
        </w:numPr>
        <w:overflowPunct w:val="0"/>
        <w:autoSpaceDE w:val="0"/>
        <w:autoSpaceDN w:val="0"/>
        <w:adjustRightInd w:val="0"/>
        <w:spacing w:after="240"/>
        <w:rPr>
          <w:rFonts w:cs="Arial"/>
          <w:kern w:val="28"/>
        </w:rPr>
      </w:pPr>
      <w:r w:rsidRPr="00D55FA1">
        <w:rPr>
          <w:rFonts w:cs="Arial"/>
          <w:kern w:val="28"/>
        </w:rPr>
        <w:t xml:space="preserve">Number of preschool children who did not improve functioning divided by the number of preschool </w:t>
      </w:r>
      <w:r w:rsidRPr="00D55FA1">
        <w:rPr>
          <w:rFonts w:cs="Arial"/>
          <w:color w:val="000000"/>
          <w:kern w:val="28"/>
        </w:rPr>
        <w:t>children with disabilities</w:t>
      </w:r>
      <w:r w:rsidRPr="00D55FA1">
        <w:rPr>
          <w:rFonts w:cs="Arial"/>
          <w:kern w:val="28"/>
        </w:rPr>
        <w:t xml:space="preserve"> assessed, multiplied by 100.</w:t>
      </w:r>
    </w:p>
    <w:p w14:paraId="20C06195" w14:textId="77777777" w:rsidR="00EB1E42" w:rsidRPr="00D55FA1" w:rsidRDefault="00EB1E42" w:rsidP="00664876">
      <w:pPr>
        <w:numPr>
          <w:ilvl w:val="0"/>
          <w:numId w:val="3"/>
        </w:numPr>
        <w:tabs>
          <w:tab w:val="left" w:pos="720"/>
        </w:tabs>
        <w:overflowPunct w:val="0"/>
        <w:autoSpaceDE w:val="0"/>
        <w:autoSpaceDN w:val="0"/>
        <w:adjustRightInd w:val="0"/>
        <w:spacing w:after="240"/>
        <w:rPr>
          <w:rFonts w:cs="Arial"/>
          <w:kern w:val="28"/>
        </w:rPr>
      </w:pPr>
      <w:r w:rsidRPr="00D55FA1">
        <w:rPr>
          <w:rFonts w:cs="Arial"/>
          <w:kern w:val="28"/>
        </w:rPr>
        <w:t xml:space="preserve">Number of preschool children who improved functioning but not sufficient to move nearer to functioning comparable to same-aged peers divided by the number of preschool </w:t>
      </w:r>
      <w:r w:rsidRPr="00D55FA1">
        <w:rPr>
          <w:rFonts w:cs="Arial"/>
          <w:color w:val="000000"/>
          <w:kern w:val="28"/>
        </w:rPr>
        <w:t>children with disabilities</w:t>
      </w:r>
      <w:r w:rsidRPr="00D55FA1">
        <w:rPr>
          <w:rFonts w:cs="Arial"/>
          <w:kern w:val="28"/>
        </w:rPr>
        <w:t xml:space="preserve"> assessed, multiplied by 100.</w:t>
      </w:r>
    </w:p>
    <w:p w14:paraId="3215ABE7" w14:textId="77777777" w:rsidR="00EB1E42" w:rsidRPr="00D55FA1" w:rsidRDefault="00EB1E42" w:rsidP="00664876">
      <w:pPr>
        <w:numPr>
          <w:ilvl w:val="0"/>
          <w:numId w:val="3"/>
        </w:numPr>
        <w:overflowPunct w:val="0"/>
        <w:autoSpaceDE w:val="0"/>
        <w:autoSpaceDN w:val="0"/>
        <w:adjustRightInd w:val="0"/>
        <w:spacing w:after="240"/>
        <w:rPr>
          <w:rFonts w:cs="Arial"/>
          <w:kern w:val="28"/>
        </w:rPr>
      </w:pPr>
      <w:r w:rsidRPr="00D55FA1">
        <w:rPr>
          <w:rFonts w:cs="Arial"/>
          <w:kern w:val="28"/>
        </w:rPr>
        <w:t xml:space="preserve">Number of preschool children who improved functioning to a level nearer to same-aged peers but did not reach it divided by the number of preschool </w:t>
      </w:r>
      <w:r w:rsidRPr="00D55FA1">
        <w:rPr>
          <w:rFonts w:cs="Arial"/>
          <w:color w:val="000000"/>
          <w:kern w:val="28"/>
        </w:rPr>
        <w:t>children with disabilities</w:t>
      </w:r>
      <w:r w:rsidRPr="00D55FA1">
        <w:rPr>
          <w:rFonts w:cs="Arial"/>
          <w:kern w:val="28"/>
        </w:rPr>
        <w:t xml:space="preserve"> assessed, multiplied by 100.</w:t>
      </w:r>
    </w:p>
    <w:p w14:paraId="372DF177" w14:textId="77777777" w:rsidR="00EB1E42" w:rsidRPr="00D55FA1" w:rsidRDefault="00EB1E42" w:rsidP="00664876">
      <w:pPr>
        <w:numPr>
          <w:ilvl w:val="0"/>
          <w:numId w:val="3"/>
        </w:numPr>
        <w:overflowPunct w:val="0"/>
        <w:autoSpaceDE w:val="0"/>
        <w:autoSpaceDN w:val="0"/>
        <w:adjustRightInd w:val="0"/>
        <w:spacing w:after="240"/>
        <w:rPr>
          <w:rFonts w:cs="Arial"/>
          <w:kern w:val="28"/>
        </w:rPr>
      </w:pPr>
      <w:r w:rsidRPr="00D55FA1">
        <w:rPr>
          <w:rFonts w:cs="Arial"/>
          <w:kern w:val="28"/>
        </w:rPr>
        <w:t xml:space="preserve">Number of preschool children who improved functioning to reach a level comparable to same-aged peers divided by the number of preschool </w:t>
      </w:r>
      <w:r w:rsidRPr="00D55FA1">
        <w:rPr>
          <w:rFonts w:cs="Arial"/>
          <w:color w:val="000000"/>
          <w:kern w:val="28"/>
        </w:rPr>
        <w:t xml:space="preserve">children with disabilities </w:t>
      </w:r>
      <w:r w:rsidRPr="00D55FA1">
        <w:rPr>
          <w:rFonts w:cs="Arial"/>
          <w:kern w:val="28"/>
        </w:rPr>
        <w:t>assessed, multiplied by 100.</w:t>
      </w:r>
    </w:p>
    <w:p w14:paraId="7DDAD082" w14:textId="77777777" w:rsidR="00EB1E42" w:rsidRPr="00D55FA1" w:rsidRDefault="00EB1E42" w:rsidP="00664876">
      <w:pPr>
        <w:numPr>
          <w:ilvl w:val="0"/>
          <w:numId w:val="3"/>
        </w:numPr>
        <w:overflowPunct w:val="0"/>
        <w:autoSpaceDE w:val="0"/>
        <w:autoSpaceDN w:val="0"/>
        <w:adjustRightInd w:val="0"/>
        <w:spacing w:after="240"/>
        <w:rPr>
          <w:rFonts w:cs="Arial"/>
          <w:kern w:val="28"/>
        </w:rPr>
      </w:pPr>
      <w:r w:rsidRPr="00D55FA1">
        <w:rPr>
          <w:rFonts w:cs="Arial"/>
          <w:kern w:val="28"/>
        </w:rPr>
        <w:t xml:space="preserve">Number of preschool children who maintained functioning at a level comparable to same-aged peers divided by the number of preschool </w:t>
      </w:r>
      <w:r w:rsidRPr="00D55FA1">
        <w:rPr>
          <w:rFonts w:cs="Arial"/>
          <w:color w:val="000000"/>
          <w:kern w:val="28"/>
        </w:rPr>
        <w:t xml:space="preserve">children with disabilities </w:t>
      </w:r>
      <w:r w:rsidRPr="00D55FA1">
        <w:rPr>
          <w:rFonts w:cs="Arial"/>
          <w:kern w:val="28"/>
        </w:rPr>
        <w:t>assessed, multiplied by 100.</w:t>
      </w:r>
    </w:p>
    <w:p w14:paraId="13612BE6" w14:textId="77777777" w:rsidR="00EB1E42" w:rsidRPr="00D55FA1" w:rsidRDefault="001E06D7" w:rsidP="00EB1E42">
      <w:pPr>
        <w:pStyle w:val="Heading3"/>
        <w:spacing w:before="0"/>
      </w:pPr>
      <w:bookmarkStart w:id="147" w:name="_Toc212718060"/>
      <w:r w:rsidRPr="00D55FA1">
        <w:t>Measurement</w:t>
      </w:r>
      <w:bookmarkEnd w:id="147"/>
    </w:p>
    <w:p w14:paraId="7DB1D1D4" w14:textId="2C97ADF8" w:rsidR="001E06D7" w:rsidRPr="00D55FA1" w:rsidRDefault="001E06D7" w:rsidP="005E62B2">
      <w:pPr>
        <w:spacing w:after="240"/>
      </w:pPr>
      <w:r w:rsidRPr="00D55FA1">
        <w:t xml:space="preserve">Summary Statement 1: Of those preschool children who entered the preschool program below age expectations in each Outcome, the </w:t>
      </w:r>
      <w:proofErr w:type="gramStart"/>
      <w:r w:rsidRPr="00D55FA1">
        <w:t>percent who</w:t>
      </w:r>
      <w:proofErr w:type="gramEnd"/>
      <w:r w:rsidRPr="00D55FA1">
        <w:t xml:space="preserve"> substantially increased their rate of growth by the time they turned </w:t>
      </w:r>
      <w:r w:rsidR="00D13C83">
        <w:t>six</w:t>
      </w:r>
      <w:r w:rsidRPr="00D55FA1">
        <w:t xml:space="preserve"> years of age or exited the program.</w:t>
      </w:r>
    </w:p>
    <w:p w14:paraId="0841E4F5" w14:textId="51F9C927" w:rsidR="00EB1E42" w:rsidRPr="00D55FA1" w:rsidRDefault="001E06D7" w:rsidP="005E62B2">
      <w:pPr>
        <w:spacing w:after="240"/>
      </w:pPr>
      <w:r w:rsidRPr="00D55FA1">
        <w:t xml:space="preserve">Summary Statement 2: The </w:t>
      </w:r>
      <w:proofErr w:type="gramStart"/>
      <w:r w:rsidRPr="00D55FA1">
        <w:t>percent</w:t>
      </w:r>
      <w:proofErr w:type="gramEnd"/>
      <w:r w:rsidRPr="00D55FA1">
        <w:t xml:space="preserve"> of preschool children who were functioning within age expectations in each Outcome by the time they turned </w:t>
      </w:r>
      <w:r w:rsidR="00D13C83">
        <w:t>six</w:t>
      </w:r>
      <w:r w:rsidRPr="00D55FA1">
        <w:t xml:space="preserve"> years of age or exited the program.</w:t>
      </w:r>
    </w:p>
    <w:p w14:paraId="711A9A35" w14:textId="76A6B0A3" w:rsidR="00EB1E42" w:rsidRPr="00D55FA1" w:rsidRDefault="001E06D7" w:rsidP="005E62B2">
      <w:pPr>
        <w:spacing w:after="240"/>
      </w:pPr>
      <w:r w:rsidRPr="00783B11">
        <w:rPr>
          <w:b/>
          <w:bCs/>
        </w:rPr>
        <w:t xml:space="preserve">Target Met: </w:t>
      </w:r>
      <w:r w:rsidR="00BA6735" w:rsidRPr="00783B11">
        <w:rPr>
          <w:b/>
          <w:bCs/>
        </w:rPr>
        <w:t>No</w:t>
      </w:r>
      <w:r w:rsidR="00013AED" w:rsidRPr="00783B11">
        <w:rPr>
          <w:b/>
          <w:bCs/>
        </w:rPr>
        <w:t>/Yes</w:t>
      </w:r>
    </w:p>
    <w:p w14:paraId="686C1126" w14:textId="7934F938" w:rsidR="00EB1E42" w:rsidRPr="00A92AB9" w:rsidRDefault="00783B11" w:rsidP="00A92AB9">
      <w:pPr>
        <w:spacing w:after="240"/>
        <w:rPr>
          <w:b/>
          <w:bCs/>
        </w:rPr>
      </w:pPr>
      <w:r w:rsidRPr="00A92AB9">
        <w:rPr>
          <w:b/>
          <w:bCs/>
        </w:rPr>
        <w:lastRenderedPageBreak/>
        <w:t xml:space="preserve">Table 15: </w:t>
      </w:r>
      <w:r w:rsidR="00EB1E42" w:rsidRPr="00A92AB9">
        <w:rPr>
          <w:b/>
          <w:bCs/>
        </w:rPr>
        <w:t xml:space="preserve">Preschool Outcomes–Use of Appropriate Behaviors </w:t>
      </w:r>
      <w:r w:rsidR="001E06D7" w:rsidRPr="00A92AB9">
        <w:rPr>
          <w:b/>
          <w:bCs/>
        </w:rPr>
        <w:t xml:space="preserve">Targets and Results for FFYs </w:t>
      </w:r>
      <w:r w:rsidR="0066332C" w:rsidRPr="00A92AB9">
        <w:rPr>
          <w:b/>
          <w:bCs/>
        </w:rPr>
        <w:t>2020</w:t>
      </w:r>
      <w:r w:rsidR="0066332C" w:rsidRPr="00A92AB9">
        <w:rPr>
          <w:rFonts w:cs="Arial"/>
          <w:b/>
          <w:bCs/>
        </w:rPr>
        <w:t>–25</w:t>
      </w:r>
    </w:p>
    <w:tbl>
      <w:tblPr>
        <w:tblStyle w:val="TableGrid1"/>
        <w:tblW w:w="989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dicator 7C Targets and Results"/>
      </w:tblPr>
      <w:tblGrid>
        <w:gridCol w:w="1230"/>
        <w:gridCol w:w="1644"/>
        <w:gridCol w:w="1644"/>
        <w:gridCol w:w="1644"/>
        <w:gridCol w:w="1244"/>
        <w:gridCol w:w="1244"/>
        <w:gridCol w:w="1244"/>
      </w:tblGrid>
      <w:tr w:rsidR="0066332C" w:rsidRPr="00D55FA1" w14:paraId="5F74682C" w14:textId="77777777" w:rsidTr="00F73A09">
        <w:trPr>
          <w:cantSplit/>
          <w:trHeight w:val="308"/>
          <w:tblHeader/>
        </w:trPr>
        <w:tc>
          <w:tcPr>
            <w:tcW w:w="1230" w:type="dxa"/>
            <w:hideMark/>
          </w:tcPr>
          <w:p w14:paraId="468058E9"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Indicator 7c</w:t>
            </w:r>
          </w:p>
        </w:tc>
        <w:tc>
          <w:tcPr>
            <w:tcW w:w="1644" w:type="dxa"/>
            <w:hideMark/>
          </w:tcPr>
          <w:p w14:paraId="6489D325"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2020</w:t>
            </w:r>
          </w:p>
        </w:tc>
        <w:tc>
          <w:tcPr>
            <w:tcW w:w="1644" w:type="dxa"/>
            <w:hideMark/>
          </w:tcPr>
          <w:p w14:paraId="4F3ED00F"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2021</w:t>
            </w:r>
          </w:p>
        </w:tc>
        <w:tc>
          <w:tcPr>
            <w:tcW w:w="1644" w:type="dxa"/>
            <w:hideMark/>
          </w:tcPr>
          <w:p w14:paraId="09F1A918"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2022</w:t>
            </w:r>
          </w:p>
        </w:tc>
        <w:tc>
          <w:tcPr>
            <w:tcW w:w="1244" w:type="dxa"/>
            <w:hideMark/>
          </w:tcPr>
          <w:p w14:paraId="31A5C52D"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2023</w:t>
            </w:r>
          </w:p>
        </w:tc>
        <w:tc>
          <w:tcPr>
            <w:tcW w:w="1244" w:type="dxa"/>
            <w:hideMark/>
          </w:tcPr>
          <w:p w14:paraId="1170BBC9"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2024</w:t>
            </w:r>
          </w:p>
        </w:tc>
        <w:tc>
          <w:tcPr>
            <w:tcW w:w="1244" w:type="dxa"/>
          </w:tcPr>
          <w:p w14:paraId="2A78E455"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1DBBA0A8" w14:textId="77777777" w:rsidTr="00F73A09">
        <w:trPr>
          <w:cantSplit/>
          <w:trHeight w:val="308"/>
        </w:trPr>
        <w:tc>
          <w:tcPr>
            <w:tcW w:w="1230" w:type="dxa"/>
            <w:hideMark/>
          </w:tcPr>
          <w:p w14:paraId="6F285379" w14:textId="77777777"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Target</w:t>
            </w:r>
          </w:p>
        </w:tc>
        <w:tc>
          <w:tcPr>
            <w:tcW w:w="1644" w:type="dxa"/>
          </w:tcPr>
          <w:p w14:paraId="46F8F529" w14:textId="77777777" w:rsidR="00C00E73" w:rsidRDefault="0066332C" w:rsidP="00704E41">
            <w:pPr>
              <w:widowControl w:val="0"/>
              <w:overflowPunct w:val="0"/>
              <w:autoSpaceDE w:val="0"/>
              <w:autoSpaceDN w:val="0"/>
              <w:adjustRightInd w:val="0"/>
              <w:jc w:val="center"/>
              <w:rPr>
                <w:rFonts w:cs="Arial"/>
                <w:bCs/>
              </w:rPr>
            </w:pPr>
            <w:r w:rsidRPr="00D55FA1">
              <w:rPr>
                <w:rFonts w:cs="Arial"/>
                <w:bCs/>
              </w:rPr>
              <w:t>76%/</w:t>
            </w:r>
          </w:p>
          <w:p w14:paraId="6F13435C" w14:textId="1FEC4AA9"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76%</w:t>
            </w:r>
          </w:p>
        </w:tc>
        <w:tc>
          <w:tcPr>
            <w:tcW w:w="1644" w:type="dxa"/>
          </w:tcPr>
          <w:p w14:paraId="69A61E45" w14:textId="77777777" w:rsidR="00C00E73" w:rsidRDefault="0066332C" w:rsidP="00704E41">
            <w:pPr>
              <w:widowControl w:val="0"/>
              <w:overflowPunct w:val="0"/>
              <w:autoSpaceDE w:val="0"/>
              <w:autoSpaceDN w:val="0"/>
              <w:adjustRightInd w:val="0"/>
              <w:jc w:val="center"/>
              <w:rPr>
                <w:rFonts w:cs="Arial"/>
                <w:bCs/>
              </w:rPr>
            </w:pPr>
            <w:r w:rsidRPr="00D55FA1">
              <w:rPr>
                <w:rFonts w:cs="Arial"/>
                <w:bCs/>
              </w:rPr>
              <w:t>77%/</w:t>
            </w:r>
          </w:p>
          <w:p w14:paraId="0F8741FD" w14:textId="2FA86136"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77%</w:t>
            </w:r>
          </w:p>
        </w:tc>
        <w:tc>
          <w:tcPr>
            <w:tcW w:w="1644" w:type="dxa"/>
          </w:tcPr>
          <w:p w14:paraId="2C2AAE8F" w14:textId="77777777" w:rsidR="00C00E73" w:rsidRDefault="0066332C" w:rsidP="00C00E73">
            <w:pPr>
              <w:widowControl w:val="0"/>
              <w:overflowPunct w:val="0"/>
              <w:autoSpaceDE w:val="0"/>
              <w:autoSpaceDN w:val="0"/>
              <w:adjustRightInd w:val="0"/>
              <w:jc w:val="center"/>
              <w:rPr>
                <w:rFonts w:cs="Arial"/>
                <w:bCs/>
              </w:rPr>
            </w:pPr>
            <w:r w:rsidRPr="00D55FA1">
              <w:rPr>
                <w:rFonts w:cs="Arial"/>
                <w:bCs/>
              </w:rPr>
              <w:t>78%/</w:t>
            </w:r>
          </w:p>
          <w:p w14:paraId="20F0DAE0" w14:textId="402D7D3F"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78%</w:t>
            </w:r>
          </w:p>
        </w:tc>
        <w:tc>
          <w:tcPr>
            <w:tcW w:w="1244" w:type="dxa"/>
          </w:tcPr>
          <w:p w14:paraId="5866D316" w14:textId="77777777" w:rsidR="00C00E73" w:rsidRDefault="0066332C" w:rsidP="00704E41">
            <w:pPr>
              <w:widowControl w:val="0"/>
              <w:overflowPunct w:val="0"/>
              <w:autoSpaceDE w:val="0"/>
              <w:autoSpaceDN w:val="0"/>
              <w:adjustRightInd w:val="0"/>
              <w:jc w:val="center"/>
              <w:rPr>
                <w:rFonts w:cs="Arial"/>
                <w:bCs/>
              </w:rPr>
            </w:pPr>
            <w:r w:rsidRPr="00D55FA1">
              <w:rPr>
                <w:rFonts w:cs="Arial"/>
                <w:bCs/>
              </w:rPr>
              <w:t>79%/</w:t>
            </w:r>
          </w:p>
          <w:p w14:paraId="3868C1CB" w14:textId="0628703F"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79%</w:t>
            </w:r>
          </w:p>
        </w:tc>
        <w:tc>
          <w:tcPr>
            <w:tcW w:w="1244" w:type="dxa"/>
          </w:tcPr>
          <w:p w14:paraId="190FEAC1" w14:textId="77777777" w:rsidR="00C00E73" w:rsidRDefault="0066332C" w:rsidP="00704E41">
            <w:pPr>
              <w:widowControl w:val="0"/>
              <w:overflowPunct w:val="0"/>
              <w:autoSpaceDE w:val="0"/>
              <w:autoSpaceDN w:val="0"/>
              <w:adjustRightInd w:val="0"/>
              <w:jc w:val="center"/>
              <w:rPr>
                <w:rFonts w:cs="Arial"/>
                <w:bCs/>
              </w:rPr>
            </w:pPr>
            <w:r w:rsidRPr="00D55FA1">
              <w:rPr>
                <w:rFonts w:cs="Arial"/>
                <w:bCs/>
              </w:rPr>
              <w:t>80%/</w:t>
            </w:r>
          </w:p>
          <w:p w14:paraId="55818450" w14:textId="7BBCE7A7"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80%</w:t>
            </w:r>
          </w:p>
        </w:tc>
        <w:tc>
          <w:tcPr>
            <w:tcW w:w="1244" w:type="dxa"/>
          </w:tcPr>
          <w:p w14:paraId="2D2ACC5A" w14:textId="77777777" w:rsidR="00C00E73" w:rsidRDefault="0066332C" w:rsidP="00704E41">
            <w:pPr>
              <w:widowControl w:val="0"/>
              <w:overflowPunct w:val="0"/>
              <w:autoSpaceDE w:val="0"/>
              <w:autoSpaceDN w:val="0"/>
              <w:adjustRightInd w:val="0"/>
              <w:jc w:val="center"/>
              <w:rPr>
                <w:rFonts w:cs="Arial"/>
                <w:bCs/>
              </w:rPr>
            </w:pPr>
            <w:r w:rsidRPr="00D55FA1">
              <w:rPr>
                <w:rFonts w:cs="Arial"/>
                <w:bCs/>
              </w:rPr>
              <w:t>81%/</w:t>
            </w:r>
          </w:p>
          <w:p w14:paraId="614D951D" w14:textId="12ADB5F9"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81%</w:t>
            </w:r>
          </w:p>
        </w:tc>
      </w:tr>
      <w:tr w:rsidR="00DF008C" w:rsidRPr="00D55FA1" w14:paraId="14C3FEDB" w14:textId="77777777" w:rsidTr="00F73A09">
        <w:trPr>
          <w:cantSplit/>
          <w:trHeight w:val="308"/>
        </w:trPr>
        <w:tc>
          <w:tcPr>
            <w:tcW w:w="1230" w:type="dxa"/>
          </w:tcPr>
          <w:p w14:paraId="60000351"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w:t>
            </w:r>
          </w:p>
        </w:tc>
        <w:tc>
          <w:tcPr>
            <w:tcW w:w="1644" w:type="dxa"/>
          </w:tcPr>
          <w:p w14:paraId="11ACDD09" w14:textId="77777777" w:rsidR="00C00E73" w:rsidRDefault="00DF008C" w:rsidP="00DF008C">
            <w:pPr>
              <w:widowControl w:val="0"/>
              <w:overflowPunct w:val="0"/>
              <w:autoSpaceDE w:val="0"/>
              <w:autoSpaceDN w:val="0"/>
              <w:adjustRightInd w:val="0"/>
              <w:jc w:val="center"/>
              <w:rPr>
                <w:rFonts w:cs="Arial"/>
                <w:bCs/>
              </w:rPr>
            </w:pPr>
            <w:r w:rsidRPr="00D55FA1">
              <w:rPr>
                <w:rFonts w:cs="Arial"/>
                <w:bCs/>
              </w:rPr>
              <w:t>73.7%/</w:t>
            </w:r>
          </w:p>
          <w:p w14:paraId="58272D77" w14:textId="57E1EF7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69.3%</w:t>
            </w:r>
          </w:p>
        </w:tc>
        <w:tc>
          <w:tcPr>
            <w:tcW w:w="1644" w:type="dxa"/>
          </w:tcPr>
          <w:p w14:paraId="607D0F5A" w14:textId="77777777" w:rsidR="00C00E73" w:rsidRDefault="00DF008C" w:rsidP="00DF008C">
            <w:pPr>
              <w:widowControl w:val="0"/>
              <w:overflowPunct w:val="0"/>
              <w:autoSpaceDE w:val="0"/>
              <w:autoSpaceDN w:val="0"/>
              <w:adjustRightInd w:val="0"/>
              <w:jc w:val="center"/>
              <w:rPr>
                <w:rFonts w:cs="Arial"/>
                <w:bCs/>
              </w:rPr>
            </w:pPr>
            <w:r w:rsidRPr="00D55FA1">
              <w:rPr>
                <w:rFonts w:cs="Arial"/>
                <w:bCs/>
              </w:rPr>
              <w:t>71.5%/</w:t>
            </w:r>
          </w:p>
          <w:p w14:paraId="4EE333D4" w14:textId="24E42C1D"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72.2%</w:t>
            </w:r>
          </w:p>
        </w:tc>
        <w:tc>
          <w:tcPr>
            <w:tcW w:w="1644" w:type="dxa"/>
          </w:tcPr>
          <w:p w14:paraId="0AD77176" w14:textId="77777777" w:rsidR="00C00E73" w:rsidRDefault="00DF008C" w:rsidP="00DF008C">
            <w:pPr>
              <w:widowControl w:val="0"/>
              <w:overflowPunct w:val="0"/>
              <w:autoSpaceDE w:val="0"/>
              <w:autoSpaceDN w:val="0"/>
              <w:adjustRightInd w:val="0"/>
              <w:jc w:val="center"/>
              <w:rPr>
                <w:rFonts w:cs="Arial"/>
                <w:bCs/>
              </w:rPr>
            </w:pPr>
            <w:r w:rsidRPr="00D55FA1">
              <w:rPr>
                <w:rFonts w:cs="Arial"/>
                <w:bCs/>
              </w:rPr>
              <w:t>68.3%/</w:t>
            </w:r>
          </w:p>
          <w:p w14:paraId="0D6BC734" w14:textId="7C77612A"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85.3%</w:t>
            </w:r>
          </w:p>
        </w:tc>
        <w:tc>
          <w:tcPr>
            <w:tcW w:w="1244" w:type="dxa"/>
          </w:tcPr>
          <w:p w14:paraId="3FDAF9D4" w14:textId="77777777" w:rsidR="00DF008C" w:rsidRDefault="00503581" w:rsidP="00DF008C">
            <w:pPr>
              <w:widowControl w:val="0"/>
              <w:overflowPunct w:val="0"/>
              <w:autoSpaceDE w:val="0"/>
              <w:autoSpaceDN w:val="0"/>
              <w:adjustRightInd w:val="0"/>
              <w:jc w:val="center"/>
              <w:rPr>
                <w:rFonts w:cs="Arial"/>
                <w:bCs/>
              </w:rPr>
            </w:pPr>
            <w:r>
              <w:rPr>
                <w:rFonts w:cs="Arial"/>
                <w:bCs/>
              </w:rPr>
              <w:t>64.4%/</w:t>
            </w:r>
          </w:p>
          <w:p w14:paraId="34A104AC" w14:textId="2CB3FE61" w:rsidR="00DF008C" w:rsidRPr="00D55FA1" w:rsidRDefault="00821F18" w:rsidP="00DF008C">
            <w:pPr>
              <w:widowControl w:val="0"/>
              <w:overflowPunct w:val="0"/>
              <w:autoSpaceDE w:val="0"/>
              <w:autoSpaceDN w:val="0"/>
              <w:adjustRightInd w:val="0"/>
              <w:jc w:val="center"/>
              <w:rPr>
                <w:rFonts w:cs="Arial"/>
                <w:bCs/>
              </w:rPr>
            </w:pPr>
            <w:r>
              <w:rPr>
                <w:rFonts w:cs="Arial"/>
                <w:bCs/>
              </w:rPr>
              <w:t>85.2%</w:t>
            </w:r>
          </w:p>
        </w:tc>
        <w:tc>
          <w:tcPr>
            <w:tcW w:w="1244" w:type="dxa"/>
          </w:tcPr>
          <w:p w14:paraId="2C049A4B" w14:textId="77777777" w:rsidR="00DF008C" w:rsidRDefault="002077CB" w:rsidP="00DF008C">
            <w:pPr>
              <w:widowControl w:val="0"/>
              <w:overflowPunct w:val="0"/>
              <w:autoSpaceDE w:val="0"/>
              <w:autoSpaceDN w:val="0"/>
              <w:adjustRightInd w:val="0"/>
              <w:jc w:val="center"/>
              <w:rPr>
                <w:rFonts w:cs="Arial"/>
                <w:bCs/>
              </w:rPr>
            </w:pPr>
            <w:r>
              <w:rPr>
                <w:rFonts w:cs="Arial"/>
                <w:bCs/>
              </w:rPr>
              <w:t>65.3%/</w:t>
            </w:r>
          </w:p>
          <w:p w14:paraId="114B4F84" w14:textId="19CE936A" w:rsidR="002077CB" w:rsidRPr="00D55FA1" w:rsidRDefault="002077CB" w:rsidP="00DF008C">
            <w:pPr>
              <w:widowControl w:val="0"/>
              <w:overflowPunct w:val="0"/>
              <w:autoSpaceDE w:val="0"/>
              <w:autoSpaceDN w:val="0"/>
              <w:adjustRightInd w:val="0"/>
              <w:jc w:val="center"/>
              <w:rPr>
                <w:rFonts w:cs="Arial"/>
                <w:bCs/>
              </w:rPr>
            </w:pPr>
            <w:r>
              <w:rPr>
                <w:rFonts w:cs="Arial"/>
                <w:bCs/>
              </w:rPr>
              <w:t>85.3%</w:t>
            </w:r>
          </w:p>
        </w:tc>
        <w:tc>
          <w:tcPr>
            <w:tcW w:w="1244" w:type="dxa"/>
          </w:tcPr>
          <w:p w14:paraId="1AABDC09" w14:textId="20E42E7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5B2EC8A2" w14:textId="77777777" w:rsidTr="00F73A09">
        <w:trPr>
          <w:cantSplit/>
          <w:trHeight w:val="308"/>
        </w:trPr>
        <w:tc>
          <w:tcPr>
            <w:tcW w:w="1230" w:type="dxa"/>
          </w:tcPr>
          <w:p w14:paraId="537F87F5"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644" w:type="dxa"/>
          </w:tcPr>
          <w:p w14:paraId="11BCB14D"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644" w:type="dxa"/>
          </w:tcPr>
          <w:p w14:paraId="3F82752B" w14:textId="2A95960C"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644" w:type="dxa"/>
          </w:tcPr>
          <w:p w14:paraId="6CA203BD" w14:textId="7035CF2A"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No/Yes</w:t>
            </w:r>
          </w:p>
        </w:tc>
        <w:tc>
          <w:tcPr>
            <w:tcW w:w="1244" w:type="dxa"/>
          </w:tcPr>
          <w:p w14:paraId="1EEB5C65" w14:textId="75002829" w:rsidR="00DF008C" w:rsidRPr="00D55FA1" w:rsidRDefault="00821F18" w:rsidP="00DF008C">
            <w:pPr>
              <w:widowControl w:val="0"/>
              <w:overflowPunct w:val="0"/>
              <w:autoSpaceDE w:val="0"/>
              <w:autoSpaceDN w:val="0"/>
              <w:adjustRightInd w:val="0"/>
              <w:jc w:val="center"/>
              <w:rPr>
                <w:rFonts w:cs="Arial"/>
                <w:bCs/>
              </w:rPr>
            </w:pPr>
            <w:r w:rsidRPr="00D55FA1">
              <w:rPr>
                <w:rFonts w:cs="Arial"/>
                <w:bCs/>
              </w:rPr>
              <w:t>No/Yes</w:t>
            </w:r>
          </w:p>
        </w:tc>
        <w:tc>
          <w:tcPr>
            <w:tcW w:w="1244" w:type="dxa"/>
          </w:tcPr>
          <w:p w14:paraId="27EFE50A" w14:textId="747CA2B0" w:rsidR="00DF008C" w:rsidRPr="00D55FA1" w:rsidRDefault="002077CB" w:rsidP="00DF008C">
            <w:pPr>
              <w:widowControl w:val="0"/>
              <w:overflowPunct w:val="0"/>
              <w:autoSpaceDE w:val="0"/>
              <w:autoSpaceDN w:val="0"/>
              <w:adjustRightInd w:val="0"/>
              <w:jc w:val="center"/>
              <w:rPr>
                <w:rFonts w:cs="Arial"/>
                <w:bCs/>
              </w:rPr>
            </w:pPr>
            <w:r>
              <w:rPr>
                <w:rFonts w:cs="Arial"/>
                <w:bCs/>
              </w:rPr>
              <w:t>No/Yes</w:t>
            </w:r>
          </w:p>
        </w:tc>
        <w:tc>
          <w:tcPr>
            <w:tcW w:w="1244" w:type="dxa"/>
          </w:tcPr>
          <w:p w14:paraId="44D1216F" w14:textId="6CD798B1"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bl>
    <w:p w14:paraId="34223B45" w14:textId="77777777" w:rsidR="00EB1E42" w:rsidRPr="00D55FA1" w:rsidRDefault="00EB1E42" w:rsidP="007A43E3">
      <w:r w:rsidRPr="00D55FA1">
        <w:br w:type="page"/>
      </w:r>
    </w:p>
    <w:p w14:paraId="5DB9D956" w14:textId="4992217F" w:rsidR="00EB1E42" w:rsidRPr="00D55FA1" w:rsidRDefault="00EB1E42" w:rsidP="00EB1E42">
      <w:pPr>
        <w:pStyle w:val="Heading2"/>
        <w:spacing w:before="960"/>
        <w:jc w:val="center"/>
      </w:pPr>
      <w:bookmarkStart w:id="148" w:name="_Toc212718061"/>
      <w:r w:rsidRPr="00D55FA1">
        <w:lastRenderedPageBreak/>
        <w:t>Indicator 8: Percent of Parents Reporting the School Facilitated Parental Involvement</w:t>
      </w:r>
      <w:bookmarkEnd w:id="148"/>
    </w:p>
    <w:p w14:paraId="1C0997B6" w14:textId="77777777" w:rsidR="00EB1E42" w:rsidRPr="00D55FA1" w:rsidRDefault="00E4685F" w:rsidP="00EB1E42">
      <w:pPr>
        <w:pStyle w:val="Heading3"/>
        <w:spacing w:before="0"/>
      </w:pPr>
      <w:bookmarkStart w:id="149" w:name="_Toc212718062"/>
      <w:r w:rsidRPr="00D55FA1">
        <w:t>Description</w:t>
      </w:r>
      <w:bookmarkEnd w:id="149"/>
    </w:p>
    <w:p w14:paraId="0FBFD4F9" w14:textId="77777777" w:rsidR="00EB1E42" w:rsidRPr="00D55FA1" w:rsidRDefault="00EB1E42" w:rsidP="00EB1E42">
      <w:pPr>
        <w:spacing w:after="240"/>
        <w:rPr>
          <w:rFonts w:cs="Arial"/>
        </w:rPr>
      </w:pPr>
      <w:r w:rsidRPr="00D55FA1">
        <w:rPr>
          <w:rFonts w:cs="Arial"/>
        </w:rPr>
        <w:t xml:space="preserve">Indicator 8 is a performance indicator that measures the </w:t>
      </w:r>
      <w:proofErr w:type="gramStart"/>
      <w:r w:rsidRPr="00D55FA1">
        <w:rPr>
          <w:rFonts w:cs="Arial"/>
        </w:rPr>
        <w:t>percent</w:t>
      </w:r>
      <w:proofErr w:type="gramEnd"/>
      <w:r w:rsidRPr="00D55FA1">
        <w:rPr>
          <w:rFonts w:cs="Arial"/>
        </w:rPr>
        <w:t xml:space="preserve"> of parents with a student receiving special education services who report that schools facilitated parent involvement as a means of improving services and results for students with disabilities.</w:t>
      </w:r>
    </w:p>
    <w:p w14:paraId="09A45929" w14:textId="77777777" w:rsidR="00EB1E42" w:rsidRPr="00D55FA1" w:rsidRDefault="00EB1E42" w:rsidP="00EB1E42">
      <w:pPr>
        <w:spacing w:after="240"/>
        <w:rPr>
          <w:rFonts w:cs="Arial"/>
        </w:rPr>
      </w:pPr>
      <w:r w:rsidRPr="00D55FA1">
        <w:rPr>
          <w:rFonts w:cs="Arial"/>
        </w:rPr>
        <w:t>Th</w:t>
      </w:r>
      <w:r w:rsidR="004B0CE7" w:rsidRPr="00D55FA1">
        <w:rPr>
          <w:rFonts w:cs="Arial"/>
        </w:rPr>
        <w:t>e</w:t>
      </w:r>
      <w:r w:rsidRPr="00D55FA1">
        <w:rPr>
          <w:rFonts w:cs="Arial"/>
        </w:rPr>
        <w:t xml:space="preserve"> data </w:t>
      </w:r>
      <w:r w:rsidR="004B0CE7" w:rsidRPr="00D55FA1">
        <w:rPr>
          <w:rFonts w:cs="Arial"/>
        </w:rPr>
        <w:t>is</w:t>
      </w:r>
      <w:r w:rsidRPr="00D55FA1">
        <w:rPr>
          <w:rFonts w:cs="Arial"/>
        </w:rPr>
        <w:t xml:space="preserve"> one question in a survey distributed, collected, and reported by the Special Education Local Plan Areas (SELPAs). The measure is the percentage of parents responding “yes” to the following question: “Did the school district facilitate parent involvement as a means of improving services and results for your child?”</w:t>
      </w:r>
    </w:p>
    <w:p w14:paraId="316BFB27" w14:textId="77777777" w:rsidR="00EB1E42" w:rsidRPr="00D55FA1" w:rsidRDefault="00E4685F" w:rsidP="00EB1E42">
      <w:pPr>
        <w:pStyle w:val="Heading3"/>
        <w:spacing w:before="0"/>
      </w:pPr>
      <w:bookmarkStart w:id="150" w:name="_Toc212718063"/>
      <w:r w:rsidRPr="00D55FA1">
        <w:t>Measurement</w:t>
      </w:r>
      <w:bookmarkEnd w:id="150"/>
    </w:p>
    <w:p w14:paraId="256D0C9E" w14:textId="77777777" w:rsidR="0031255D" w:rsidRPr="00D55FA1" w:rsidRDefault="0031255D" w:rsidP="0031255D">
      <w:pPr>
        <w:spacing w:after="240"/>
        <w:rPr>
          <w:rFonts w:cs="Arial"/>
        </w:rPr>
      </w:pPr>
      <w:r w:rsidRPr="00D55FA1">
        <w:rPr>
          <w:rFonts w:cs="Arial"/>
        </w:rPr>
        <w:t>Percent = [(</w:t>
      </w:r>
      <w:r w:rsidR="00C7167F" w:rsidRPr="00D55FA1">
        <w:rPr>
          <w:rFonts w:cs="Arial"/>
        </w:rPr>
        <w:t>number</w:t>
      </w:r>
      <w:r w:rsidRPr="00D55FA1">
        <w:rPr>
          <w:rFonts w:cs="Arial"/>
        </w:rPr>
        <w:t xml:space="preserve"> of respondent parents who report schools facilitated parent involvement as a means of improving services and results for children with disabilities) divided by the (total </w:t>
      </w:r>
      <w:r w:rsidR="00C7167F" w:rsidRPr="00D55FA1">
        <w:rPr>
          <w:rFonts w:cs="Arial"/>
        </w:rPr>
        <w:t>number</w:t>
      </w:r>
      <w:r w:rsidRPr="00D55FA1">
        <w:rPr>
          <w:rFonts w:cs="Arial"/>
        </w:rPr>
        <w:t xml:space="preserve"> of respondent parents of children with disabilities)] times 100.</w:t>
      </w:r>
    </w:p>
    <w:p w14:paraId="6A014CE6" w14:textId="77777777" w:rsidR="00EB1E42" w:rsidRPr="00A92AB9" w:rsidRDefault="00E4685F" w:rsidP="00A92AB9">
      <w:pPr>
        <w:spacing w:after="240"/>
        <w:rPr>
          <w:b/>
          <w:bCs/>
        </w:rPr>
      </w:pPr>
      <w:r w:rsidRPr="00A92AB9">
        <w:rPr>
          <w:b/>
          <w:bCs/>
        </w:rPr>
        <w:t>Target Met: Yes</w:t>
      </w:r>
    </w:p>
    <w:p w14:paraId="03F56185" w14:textId="34BDB617" w:rsidR="0031255D" w:rsidRPr="00A92AB9" w:rsidRDefault="00A92AB9" w:rsidP="00A92AB9">
      <w:pPr>
        <w:spacing w:after="240"/>
        <w:rPr>
          <w:b/>
          <w:bCs/>
        </w:rPr>
      </w:pPr>
      <w:r>
        <w:rPr>
          <w:b/>
          <w:bCs/>
        </w:rPr>
        <w:t xml:space="preserve">Table 16: </w:t>
      </w:r>
      <w:r w:rsidR="00EB1E42" w:rsidRPr="00A92AB9">
        <w:rPr>
          <w:b/>
          <w:bCs/>
        </w:rPr>
        <w:t xml:space="preserve">Parent Involvement/Input </w:t>
      </w:r>
      <w:r w:rsidR="0031255D" w:rsidRPr="00A92AB9">
        <w:rPr>
          <w:b/>
          <w:bCs/>
        </w:rPr>
        <w:t xml:space="preserve">Targets and Results for FFYs </w:t>
      </w:r>
      <w:r w:rsidR="0066332C" w:rsidRPr="00A92AB9">
        <w:rPr>
          <w:b/>
          <w:bCs/>
        </w:rPr>
        <w:t>2020</w:t>
      </w:r>
      <w:r w:rsidR="0066332C" w:rsidRPr="00A92AB9">
        <w:rPr>
          <w:rFonts w:cs="Arial"/>
          <w:b/>
          <w:bCs/>
        </w:rPr>
        <w:t>–25</w:t>
      </w:r>
    </w:p>
    <w:tbl>
      <w:tblPr>
        <w:tblStyle w:val="TableGrid1"/>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dicator 8 Targets and Results"/>
      </w:tblPr>
      <w:tblGrid>
        <w:gridCol w:w="2059"/>
        <w:gridCol w:w="1273"/>
        <w:gridCol w:w="1221"/>
        <w:gridCol w:w="1177"/>
        <w:gridCol w:w="1221"/>
        <w:gridCol w:w="1177"/>
        <w:gridCol w:w="1198"/>
      </w:tblGrid>
      <w:tr w:rsidR="0066332C" w:rsidRPr="00D55FA1" w14:paraId="2013BFC3" w14:textId="77777777" w:rsidTr="00F73A09">
        <w:trPr>
          <w:cantSplit/>
          <w:trHeight w:val="298"/>
          <w:tblHeader/>
        </w:trPr>
        <w:tc>
          <w:tcPr>
            <w:tcW w:w="2059" w:type="dxa"/>
            <w:vAlign w:val="center"/>
            <w:hideMark/>
          </w:tcPr>
          <w:p w14:paraId="2276B6E5"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Indicator 8</w:t>
            </w:r>
          </w:p>
        </w:tc>
        <w:tc>
          <w:tcPr>
            <w:tcW w:w="1273" w:type="dxa"/>
            <w:vAlign w:val="center"/>
            <w:hideMark/>
          </w:tcPr>
          <w:p w14:paraId="6399AA13"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2020</w:t>
            </w:r>
          </w:p>
        </w:tc>
        <w:tc>
          <w:tcPr>
            <w:tcW w:w="1221" w:type="dxa"/>
            <w:vAlign w:val="center"/>
            <w:hideMark/>
          </w:tcPr>
          <w:p w14:paraId="570C5E2B"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2021</w:t>
            </w:r>
          </w:p>
        </w:tc>
        <w:tc>
          <w:tcPr>
            <w:tcW w:w="1177" w:type="dxa"/>
            <w:vAlign w:val="center"/>
            <w:hideMark/>
          </w:tcPr>
          <w:p w14:paraId="2C8BB7A9"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2022</w:t>
            </w:r>
          </w:p>
        </w:tc>
        <w:tc>
          <w:tcPr>
            <w:tcW w:w="1221" w:type="dxa"/>
            <w:vAlign w:val="center"/>
            <w:hideMark/>
          </w:tcPr>
          <w:p w14:paraId="5EC703BC"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2023</w:t>
            </w:r>
          </w:p>
        </w:tc>
        <w:tc>
          <w:tcPr>
            <w:tcW w:w="1177" w:type="dxa"/>
            <w:vAlign w:val="center"/>
            <w:hideMark/>
          </w:tcPr>
          <w:p w14:paraId="690AA31F"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2024</w:t>
            </w:r>
          </w:p>
        </w:tc>
        <w:tc>
          <w:tcPr>
            <w:tcW w:w="1198" w:type="dxa"/>
            <w:vAlign w:val="center"/>
          </w:tcPr>
          <w:p w14:paraId="1FF1C3E2"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77A4710F" w14:textId="77777777" w:rsidTr="00F73A09">
        <w:trPr>
          <w:cantSplit/>
          <w:trHeight w:val="298"/>
        </w:trPr>
        <w:tc>
          <w:tcPr>
            <w:tcW w:w="2059" w:type="dxa"/>
            <w:vAlign w:val="center"/>
            <w:hideMark/>
          </w:tcPr>
          <w:p w14:paraId="1687BC1C"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Target</w:t>
            </w:r>
          </w:p>
        </w:tc>
        <w:tc>
          <w:tcPr>
            <w:tcW w:w="1273" w:type="dxa"/>
            <w:vAlign w:val="center"/>
            <w:hideMark/>
          </w:tcPr>
          <w:p w14:paraId="3B021C0C"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95%</w:t>
            </w:r>
          </w:p>
        </w:tc>
        <w:tc>
          <w:tcPr>
            <w:tcW w:w="1221" w:type="dxa"/>
            <w:vAlign w:val="center"/>
            <w:hideMark/>
          </w:tcPr>
          <w:p w14:paraId="7BC91EAA"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95.5%</w:t>
            </w:r>
          </w:p>
        </w:tc>
        <w:tc>
          <w:tcPr>
            <w:tcW w:w="1177" w:type="dxa"/>
            <w:vAlign w:val="center"/>
            <w:hideMark/>
          </w:tcPr>
          <w:p w14:paraId="7B557F38"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96%</w:t>
            </w:r>
          </w:p>
        </w:tc>
        <w:tc>
          <w:tcPr>
            <w:tcW w:w="1221" w:type="dxa"/>
            <w:vAlign w:val="center"/>
            <w:hideMark/>
          </w:tcPr>
          <w:p w14:paraId="524F15FF"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96.5%</w:t>
            </w:r>
          </w:p>
        </w:tc>
        <w:tc>
          <w:tcPr>
            <w:tcW w:w="1177" w:type="dxa"/>
            <w:vAlign w:val="center"/>
            <w:hideMark/>
          </w:tcPr>
          <w:p w14:paraId="3FA656A2"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97%</w:t>
            </w:r>
          </w:p>
        </w:tc>
        <w:tc>
          <w:tcPr>
            <w:tcW w:w="1198" w:type="dxa"/>
            <w:vAlign w:val="center"/>
          </w:tcPr>
          <w:p w14:paraId="2B2C2B2F"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97.5%</w:t>
            </w:r>
          </w:p>
        </w:tc>
      </w:tr>
      <w:tr w:rsidR="00DF008C" w:rsidRPr="00D55FA1" w14:paraId="3B7DD1CC" w14:textId="77777777" w:rsidTr="00F73A09">
        <w:trPr>
          <w:cantSplit/>
          <w:trHeight w:val="298"/>
        </w:trPr>
        <w:tc>
          <w:tcPr>
            <w:tcW w:w="2059" w:type="dxa"/>
            <w:vAlign w:val="center"/>
          </w:tcPr>
          <w:p w14:paraId="52670E68"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w:t>
            </w:r>
          </w:p>
        </w:tc>
        <w:tc>
          <w:tcPr>
            <w:tcW w:w="1273" w:type="dxa"/>
            <w:vAlign w:val="center"/>
          </w:tcPr>
          <w:p w14:paraId="29CF085C"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99.64%</w:t>
            </w:r>
          </w:p>
        </w:tc>
        <w:tc>
          <w:tcPr>
            <w:tcW w:w="1221" w:type="dxa"/>
            <w:vAlign w:val="center"/>
          </w:tcPr>
          <w:p w14:paraId="539CD7A1" w14:textId="542575FF"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99.63%</w:t>
            </w:r>
          </w:p>
        </w:tc>
        <w:tc>
          <w:tcPr>
            <w:tcW w:w="1177" w:type="dxa"/>
            <w:vAlign w:val="center"/>
          </w:tcPr>
          <w:p w14:paraId="6A9A2604" w14:textId="0180DEA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99.67%</w:t>
            </w:r>
          </w:p>
        </w:tc>
        <w:tc>
          <w:tcPr>
            <w:tcW w:w="1221" w:type="dxa"/>
          </w:tcPr>
          <w:p w14:paraId="3DD220FA" w14:textId="1C0C1460" w:rsidR="00DF008C" w:rsidRPr="00D55FA1" w:rsidRDefault="002B28F9" w:rsidP="00DF008C">
            <w:pPr>
              <w:widowControl w:val="0"/>
              <w:overflowPunct w:val="0"/>
              <w:autoSpaceDE w:val="0"/>
              <w:autoSpaceDN w:val="0"/>
              <w:adjustRightInd w:val="0"/>
              <w:jc w:val="center"/>
              <w:rPr>
                <w:rFonts w:cs="Arial"/>
                <w:bCs/>
              </w:rPr>
            </w:pPr>
            <w:r>
              <w:rPr>
                <w:rFonts w:cs="Arial"/>
                <w:bCs/>
              </w:rPr>
              <w:t>99.69%</w:t>
            </w:r>
          </w:p>
        </w:tc>
        <w:tc>
          <w:tcPr>
            <w:tcW w:w="1177" w:type="dxa"/>
          </w:tcPr>
          <w:p w14:paraId="7B186A81" w14:textId="60D315FD" w:rsidR="00DF008C" w:rsidRPr="00D55FA1" w:rsidRDefault="001C4FF3" w:rsidP="00DF008C">
            <w:pPr>
              <w:widowControl w:val="0"/>
              <w:overflowPunct w:val="0"/>
              <w:autoSpaceDE w:val="0"/>
              <w:autoSpaceDN w:val="0"/>
              <w:adjustRightInd w:val="0"/>
              <w:jc w:val="center"/>
              <w:rPr>
                <w:rFonts w:cs="Arial"/>
                <w:bCs/>
              </w:rPr>
            </w:pPr>
            <w:r>
              <w:rPr>
                <w:rFonts w:cs="Arial"/>
                <w:bCs/>
              </w:rPr>
              <w:t>99.7</w:t>
            </w:r>
            <w:r w:rsidR="00345934">
              <w:rPr>
                <w:rFonts w:cs="Arial"/>
                <w:bCs/>
              </w:rPr>
              <w:t>3%</w:t>
            </w:r>
          </w:p>
        </w:tc>
        <w:tc>
          <w:tcPr>
            <w:tcW w:w="1198" w:type="dxa"/>
          </w:tcPr>
          <w:p w14:paraId="4F24943C" w14:textId="1766568A"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65F3E43F" w14:textId="77777777" w:rsidTr="00F73A09">
        <w:trPr>
          <w:cantSplit/>
          <w:trHeight w:val="298"/>
        </w:trPr>
        <w:tc>
          <w:tcPr>
            <w:tcW w:w="2059" w:type="dxa"/>
            <w:vAlign w:val="center"/>
          </w:tcPr>
          <w:p w14:paraId="2DAA4E89"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273" w:type="dxa"/>
            <w:vAlign w:val="center"/>
          </w:tcPr>
          <w:p w14:paraId="7D0AD10F"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221" w:type="dxa"/>
            <w:vAlign w:val="center"/>
          </w:tcPr>
          <w:p w14:paraId="6AD9664E" w14:textId="098DE59C"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177" w:type="dxa"/>
            <w:vAlign w:val="center"/>
          </w:tcPr>
          <w:p w14:paraId="6BF7610E" w14:textId="1000735E"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221" w:type="dxa"/>
          </w:tcPr>
          <w:p w14:paraId="25DC539F" w14:textId="58ABFD92" w:rsidR="00DF008C" w:rsidRPr="00D55FA1" w:rsidRDefault="002B28F9" w:rsidP="00DF008C">
            <w:pPr>
              <w:widowControl w:val="0"/>
              <w:overflowPunct w:val="0"/>
              <w:autoSpaceDE w:val="0"/>
              <w:autoSpaceDN w:val="0"/>
              <w:adjustRightInd w:val="0"/>
              <w:jc w:val="center"/>
              <w:rPr>
                <w:rFonts w:cs="Arial"/>
                <w:bCs/>
              </w:rPr>
            </w:pPr>
            <w:r>
              <w:rPr>
                <w:rFonts w:cs="Arial"/>
                <w:bCs/>
              </w:rPr>
              <w:t>Yes</w:t>
            </w:r>
          </w:p>
        </w:tc>
        <w:tc>
          <w:tcPr>
            <w:tcW w:w="1177" w:type="dxa"/>
          </w:tcPr>
          <w:p w14:paraId="63E83F18" w14:textId="7754C2C7" w:rsidR="00DF008C" w:rsidRPr="00D55FA1" w:rsidRDefault="00345934" w:rsidP="00DF008C">
            <w:pPr>
              <w:widowControl w:val="0"/>
              <w:overflowPunct w:val="0"/>
              <w:autoSpaceDE w:val="0"/>
              <w:autoSpaceDN w:val="0"/>
              <w:adjustRightInd w:val="0"/>
              <w:jc w:val="center"/>
              <w:rPr>
                <w:rFonts w:cs="Arial"/>
                <w:bCs/>
              </w:rPr>
            </w:pPr>
            <w:r>
              <w:rPr>
                <w:rFonts w:cs="Arial"/>
                <w:bCs/>
              </w:rPr>
              <w:t>Yes</w:t>
            </w:r>
          </w:p>
        </w:tc>
        <w:tc>
          <w:tcPr>
            <w:tcW w:w="1198" w:type="dxa"/>
          </w:tcPr>
          <w:p w14:paraId="6FBAD364" w14:textId="4C129964"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bl>
    <w:p w14:paraId="71E9947C" w14:textId="77777777" w:rsidR="00EB1E42" w:rsidRPr="00D55FA1" w:rsidRDefault="00EB1E42" w:rsidP="00EB1E42">
      <w:r w:rsidRPr="00D55FA1">
        <w:br w:type="page"/>
      </w:r>
    </w:p>
    <w:p w14:paraId="5283B3BE" w14:textId="77777777" w:rsidR="00EB1E42" w:rsidRPr="00D55FA1" w:rsidRDefault="00EB1E42" w:rsidP="00EB1E42">
      <w:pPr>
        <w:pStyle w:val="Heading2"/>
        <w:spacing w:before="0"/>
        <w:jc w:val="center"/>
        <w:rPr>
          <w:bCs/>
        </w:rPr>
      </w:pPr>
      <w:bookmarkStart w:id="151" w:name="_Toc212718064"/>
      <w:r w:rsidRPr="00D55FA1">
        <w:lastRenderedPageBreak/>
        <w:t xml:space="preserve">Indicator </w:t>
      </w:r>
      <w:r w:rsidRPr="00D55FA1">
        <w:rPr>
          <w:bCs/>
        </w:rPr>
        <w:t xml:space="preserve">9: </w:t>
      </w:r>
      <w:r w:rsidRPr="00D55FA1">
        <w:t>Disproportionate Representation</w:t>
      </w:r>
      <w:bookmarkEnd w:id="151"/>
    </w:p>
    <w:p w14:paraId="1767B8A2" w14:textId="77777777" w:rsidR="00EB1E42" w:rsidRPr="00D55FA1" w:rsidRDefault="00E45599" w:rsidP="00EB1E42">
      <w:pPr>
        <w:pStyle w:val="Heading3"/>
        <w:spacing w:before="0"/>
      </w:pPr>
      <w:bookmarkStart w:id="152" w:name="_Toc212718065"/>
      <w:r w:rsidRPr="00D55FA1">
        <w:t>Description</w:t>
      </w:r>
      <w:bookmarkEnd w:id="152"/>
    </w:p>
    <w:p w14:paraId="49E909DF" w14:textId="77777777" w:rsidR="00EB1E42" w:rsidRPr="00D55FA1" w:rsidRDefault="00EB1E42" w:rsidP="00EB1E42">
      <w:pPr>
        <w:tabs>
          <w:tab w:val="left" w:pos="720"/>
          <w:tab w:val="center" w:pos="4680"/>
          <w:tab w:val="right" w:pos="9360"/>
        </w:tabs>
        <w:spacing w:after="240"/>
        <w:rPr>
          <w:rFonts w:cs="Arial"/>
        </w:rPr>
      </w:pPr>
      <w:r w:rsidRPr="00D55FA1">
        <w:rPr>
          <w:rFonts w:cs="Arial"/>
        </w:rPr>
        <w:t xml:space="preserve">Indicator 9 is a compliance indicator that measures the </w:t>
      </w:r>
      <w:proofErr w:type="gramStart"/>
      <w:r w:rsidRPr="00D55FA1">
        <w:rPr>
          <w:rFonts w:cs="Arial"/>
        </w:rPr>
        <w:t>percent</w:t>
      </w:r>
      <w:proofErr w:type="gramEnd"/>
      <w:r w:rsidRPr="00D55FA1">
        <w:rPr>
          <w:rFonts w:cs="Arial"/>
        </w:rPr>
        <w:t xml:space="preserve"> of LEAs with disproportionate representation of racial and ethnic groups in special education and related services that is the result of inappropriate identification.</w:t>
      </w:r>
      <w:r w:rsidR="00E45599" w:rsidRPr="00D55FA1">
        <w:rPr>
          <w:rFonts w:cs="Arial"/>
        </w:rPr>
        <w:t xml:space="preserve"> Effective FFY 2016, the CDE uses the risk ratio (or the alternate risk ratio when appropriate) to make identification of disproportionate representation. LEAs selected are required to go through a review of policies, practices, and procedures.</w:t>
      </w:r>
    </w:p>
    <w:p w14:paraId="77DC8601" w14:textId="77777777" w:rsidR="00EB1E42" w:rsidRPr="00D55FA1" w:rsidRDefault="00E45599" w:rsidP="00EB1E42">
      <w:pPr>
        <w:pStyle w:val="Heading3"/>
        <w:spacing w:before="0"/>
      </w:pPr>
      <w:bookmarkStart w:id="153" w:name="_Toc212718066"/>
      <w:r w:rsidRPr="00D55FA1">
        <w:t>Measurement</w:t>
      </w:r>
      <w:bookmarkEnd w:id="153"/>
    </w:p>
    <w:p w14:paraId="1413D853" w14:textId="60D1011F" w:rsidR="00E45599" w:rsidRPr="00D55FA1" w:rsidRDefault="00E45599" w:rsidP="007A43E3">
      <w:pPr>
        <w:spacing w:after="240"/>
      </w:pPr>
      <w:r w:rsidRPr="00D55FA1">
        <w:t>Percent = [(</w:t>
      </w:r>
      <w:r w:rsidR="00C7167F" w:rsidRPr="00D55FA1">
        <w:t>number</w:t>
      </w:r>
      <w:r w:rsidRPr="00D55FA1">
        <w:t xml:space="preserve">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w:t>
      </w:r>
      <w:r w:rsidR="00C7167F" w:rsidRPr="00D55FA1">
        <w:t>number</w:t>
      </w:r>
      <w:r w:rsidRPr="00D55FA1">
        <w:t xml:space="preserve"> of districts in the State that meet the State-established n and/or cell size (if applicable) for one or more racial/ethnic groups)] times 100.</w:t>
      </w:r>
    </w:p>
    <w:p w14:paraId="1F0DC971" w14:textId="77777777" w:rsidR="00EB1E42" w:rsidRPr="00A92AB9" w:rsidRDefault="00E45599" w:rsidP="00A92AB9">
      <w:pPr>
        <w:spacing w:after="240"/>
        <w:rPr>
          <w:b/>
          <w:bCs/>
        </w:rPr>
      </w:pPr>
      <w:r w:rsidRPr="00A92AB9">
        <w:rPr>
          <w:b/>
          <w:bCs/>
        </w:rPr>
        <w:t>Target Met: No</w:t>
      </w:r>
    </w:p>
    <w:p w14:paraId="657B0AEB" w14:textId="42BAF428" w:rsidR="00EB1E42" w:rsidRPr="00A92AB9" w:rsidRDefault="00A92AB9" w:rsidP="00A92AB9">
      <w:pPr>
        <w:spacing w:after="240"/>
        <w:rPr>
          <w:b/>
          <w:bCs/>
        </w:rPr>
      </w:pPr>
      <w:r>
        <w:rPr>
          <w:b/>
          <w:bCs/>
        </w:rPr>
        <w:t xml:space="preserve">Table 17: </w:t>
      </w:r>
      <w:r w:rsidR="00EB1E42" w:rsidRPr="00A92AB9">
        <w:rPr>
          <w:b/>
          <w:bCs/>
        </w:rPr>
        <w:t xml:space="preserve">Disproportionate Representation </w:t>
      </w:r>
      <w:r w:rsidR="00E45599" w:rsidRPr="00A92AB9">
        <w:rPr>
          <w:b/>
          <w:bCs/>
        </w:rPr>
        <w:t xml:space="preserve">Targets and Results for FFYs </w:t>
      </w:r>
      <w:r w:rsidR="0066332C" w:rsidRPr="00A92AB9">
        <w:rPr>
          <w:b/>
          <w:bCs/>
        </w:rPr>
        <w:t>2020</w:t>
      </w:r>
      <w:r w:rsidR="0066332C" w:rsidRPr="00A92AB9">
        <w:rPr>
          <w:rFonts w:cs="Arial"/>
          <w:b/>
          <w:bCs/>
        </w:rPr>
        <w:t>–25</w:t>
      </w:r>
    </w:p>
    <w:tbl>
      <w:tblPr>
        <w:tblStyle w:val="TableGrid1"/>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dicator 9 Targets and Results"/>
      </w:tblPr>
      <w:tblGrid>
        <w:gridCol w:w="2083"/>
        <w:gridCol w:w="1224"/>
        <w:gridCol w:w="1181"/>
        <w:gridCol w:w="1181"/>
        <w:gridCol w:w="1181"/>
        <w:gridCol w:w="1181"/>
        <w:gridCol w:w="1159"/>
      </w:tblGrid>
      <w:tr w:rsidR="0066332C" w:rsidRPr="00D55FA1" w14:paraId="7A9B1F1E" w14:textId="77777777" w:rsidTr="00F73A09">
        <w:trPr>
          <w:cantSplit/>
          <w:trHeight w:val="313"/>
          <w:tblHeader/>
        </w:trPr>
        <w:tc>
          <w:tcPr>
            <w:tcW w:w="2083" w:type="dxa"/>
            <w:vAlign w:val="center"/>
            <w:hideMark/>
          </w:tcPr>
          <w:p w14:paraId="40D749C6"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Indicator 9</w:t>
            </w:r>
          </w:p>
        </w:tc>
        <w:tc>
          <w:tcPr>
            <w:tcW w:w="1224" w:type="dxa"/>
            <w:vAlign w:val="center"/>
            <w:hideMark/>
          </w:tcPr>
          <w:p w14:paraId="6192651C"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2020</w:t>
            </w:r>
          </w:p>
        </w:tc>
        <w:tc>
          <w:tcPr>
            <w:tcW w:w="1181" w:type="dxa"/>
            <w:vAlign w:val="center"/>
            <w:hideMark/>
          </w:tcPr>
          <w:p w14:paraId="74FE0207"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2021</w:t>
            </w:r>
          </w:p>
        </w:tc>
        <w:tc>
          <w:tcPr>
            <w:tcW w:w="1181" w:type="dxa"/>
            <w:vAlign w:val="center"/>
            <w:hideMark/>
          </w:tcPr>
          <w:p w14:paraId="2CA49D28"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2022</w:t>
            </w:r>
          </w:p>
        </w:tc>
        <w:tc>
          <w:tcPr>
            <w:tcW w:w="1181" w:type="dxa"/>
            <w:vAlign w:val="center"/>
            <w:hideMark/>
          </w:tcPr>
          <w:p w14:paraId="72C583B8"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2023</w:t>
            </w:r>
          </w:p>
        </w:tc>
        <w:tc>
          <w:tcPr>
            <w:tcW w:w="1181" w:type="dxa"/>
            <w:vAlign w:val="center"/>
            <w:hideMark/>
          </w:tcPr>
          <w:p w14:paraId="49CA08BC"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2024</w:t>
            </w:r>
          </w:p>
        </w:tc>
        <w:tc>
          <w:tcPr>
            <w:tcW w:w="1159" w:type="dxa"/>
            <w:vAlign w:val="center"/>
          </w:tcPr>
          <w:p w14:paraId="1402C41F"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68FC2677" w14:textId="77777777" w:rsidTr="00F73A09">
        <w:trPr>
          <w:cantSplit/>
          <w:trHeight w:val="313"/>
        </w:trPr>
        <w:tc>
          <w:tcPr>
            <w:tcW w:w="2083" w:type="dxa"/>
            <w:vAlign w:val="center"/>
            <w:hideMark/>
          </w:tcPr>
          <w:p w14:paraId="2BC70DA8"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Target</w:t>
            </w:r>
          </w:p>
        </w:tc>
        <w:tc>
          <w:tcPr>
            <w:tcW w:w="1224" w:type="dxa"/>
            <w:vAlign w:val="center"/>
            <w:hideMark/>
          </w:tcPr>
          <w:p w14:paraId="644A590A"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0%</w:t>
            </w:r>
          </w:p>
        </w:tc>
        <w:tc>
          <w:tcPr>
            <w:tcW w:w="1181" w:type="dxa"/>
            <w:vAlign w:val="center"/>
            <w:hideMark/>
          </w:tcPr>
          <w:p w14:paraId="68E976C6"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0%</w:t>
            </w:r>
          </w:p>
        </w:tc>
        <w:tc>
          <w:tcPr>
            <w:tcW w:w="1181" w:type="dxa"/>
            <w:vAlign w:val="center"/>
            <w:hideMark/>
          </w:tcPr>
          <w:p w14:paraId="54AE0EB2"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0%</w:t>
            </w:r>
          </w:p>
        </w:tc>
        <w:tc>
          <w:tcPr>
            <w:tcW w:w="1181" w:type="dxa"/>
            <w:vAlign w:val="center"/>
            <w:hideMark/>
          </w:tcPr>
          <w:p w14:paraId="02802A07"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0%</w:t>
            </w:r>
          </w:p>
        </w:tc>
        <w:tc>
          <w:tcPr>
            <w:tcW w:w="1181" w:type="dxa"/>
            <w:vAlign w:val="center"/>
            <w:hideMark/>
          </w:tcPr>
          <w:p w14:paraId="4045ABDD"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0%</w:t>
            </w:r>
          </w:p>
        </w:tc>
        <w:tc>
          <w:tcPr>
            <w:tcW w:w="1159" w:type="dxa"/>
            <w:vAlign w:val="center"/>
          </w:tcPr>
          <w:p w14:paraId="4F336DFC"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0%</w:t>
            </w:r>
          </w:p>
        </w:tc>
      </w:tr>
      <w:tr w:rsidR="00DF008C" w:rsidRPr="00D55FA1" w14:paraId="7DCDA0FD" w14:textId="77777777" w:rsidTr="00F73A09">
        <w:trPr>
          <w:cantSplit/>
          <w:trHeight w:val="313"/>
        </w:trPr>
        <w:tc>
          <w:tcPr>
            <w:tcW w:w="2083" w:type="dxa"/>
            <w:vAlign w:val="center"/>
          </w:tcPr>
          <w:p w14:paraId="541F83E0"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w:t>
            </w:r>
          </w:p>
        </w:tc>
        <w:tc>
          <w:tcPr>
            <w:tcW w:w="1224" w:type="dxa"/>
            <w:vAlign w:val="center"/>
          </w:tcPr>
          <w:p w14:paraId="1C86FB6D"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0.27%</w:t>
            </w:r>
          </w:p>
        </w:tc>
        <w:tc>
          <w:tcPr>
            <w:tcW w:w="1181" w:type="dxa"/>
            <w:vAlign w:val="center"/>
          </w:tcPr>
          <w:p w14:paraId="2A7A9836" w14:textId="4B24A715"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0.47%</w:t>
            </w:r>
          </w:p>
        </w:tc>
        <w:tc>
          <w:tcPr>
            <w:tcW w:w="1181" w:type="dxa"/>
            <w:vAlign w:val="center"/>
          </w:tcPr>
          <w:p w14:paraId="47CE7A2C" w14:textId="47D7F2A0"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0.33%</w:t>
            </w:r>
          </w:p>
        </w:tc>
        <w:tc>
          <w:tcPr>
            <w:tcW w:w="1181" w:type="dxa"/>
          </w:tcPr>
          <w:p w14:paraId="2C7DA92C" w14:textId="5E586248" w:rsidR="00DF008C" w:rsidRPr="00D55FA1" w:rsidRDefault="002B28F9" w:rsidP="00DF008C">
            <w:pPr>
              <w:widowControl w:val="0"/>
              <w:overflowPunct w:val="0"/>
              <w:autoSpaceDE w:val="0"/>
              <w:autoSpaceDN w:val="0"/>
              <w:adjustRightInd w:val="0"/>
              <w:jc w:val="center"/>
              <w:rPr>
                <w:rFonts w:cs="Arial"/>
                <w:bCs/>
              </w:rPr>
            </w:pPr>
            <w:r>
              <w:rPr>
                <w:rFonts w:cs="Arial"/>
                <w:bCs/>
              </w:rPr>
              <w:t>0.43</w:t>
            </w:r>
            <w:r w:rsidR="00B26603">
              <w:rPr>
                <w:rFonts w:cs="Arial"/>
                <w:bCs/>
              </w:rPr>
              <w:t>%</w:t>
            </w:r>
          </w:p>
        </w:tc>
        <w:tc>
          <w:tcPr>
            <w:tcW w:w="1181" w:type="dxa"/>
          </w:tcPr>
          <w:p w14:paraId="3F904CCB" w14:textId="7E57A926" w:rsidR="00DF008C" w:rsidRPr="00D55FA1" w:rsidRDefault="007F4F12" w:rsidP="00DF008C">
            <w:pPr>
              <w:widowControl w:val="0"/>
              <w:overflowPunct w:val="0"/>
              <w:autoSpaceDE w:val="0"/>
              <w:autoSpaceDN w:val="0"/>
              <w:adjustRightInd w:val="0"/>
              <w:jc w:val="center"/>
              <w:rPr>
                <w:rFonts w:cs="Arial"/>
                <w:bCs/>
              </w:rPr>
            </w:pPr>
            <w:r>
              <w:rPr>
                <w:rFonts w:cs="Arial"/>
                <w:bCs/>
              </w:rPr>
              <w:t>0.19%</w:t>
            </w:r>
          </w:p>
        </w:tc>
        <w:tc>
          <w:tcPr>
            <w:tcW w:w="1159" w:type="dxa"/>
          </w:tcPr>
          <w:p w14:paraId="040360B8" w14:textId="05397EA4"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17DDD756" w14:textId="77777777" w:rsidTr="00F73A09">
        <w:trPr>
          <w:cantSplit/>
          <w:trHeight w:val="313"/>
        </w:trPr>
        <w:tc>
          <w:tcPr>
            <w:tcW w:w="2083" w:type="dxa"/>
            <w:vAlign w:val="center"/>
          </w:tcPr>
          <w:p w14:paraId="71A7FEFF"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224" w:type="dxa"/>
            <w:vAlign w:val="center"/>
          </w:tcPr>
          <w:p w14:paraId="010BB925"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1" w:type="dxa"/>
            <w:vAlign w:val="center"/>
          </w:tcPr>
          <w:p w14:paraId="17A1CA98" w14:textId="7595E963"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1" w:type="dxa"/>
            <w:vAlign w:val="center"/>
          </w:tcPr>
          <w:p w14:paraId="1A55251A" w14:textId="212897A4"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1" w:type="dxa"/>
          </w:tcPr>
          <w:p w14:paraId="4F6D2C48" w14:textId="46FD0727" w:rsidR="00DF008C" w:rsidRPr="00D55FA1" w:rsidRDefault="002B28F9" w:rsidP="00DF008C">
            <w:pPr>
              <w:widowControl w:val="0"/>
              <w:overflowPunct w:val="0"/>
              <w:autoSpaceDE w:val="0"/>
              <w:autoSpaceDN w:val="0"/>
              <w:adjustRightInd w:val="0"/>
              <w:jc w:val="center"/>
              <w:rPr>
                <w:rFonts w:cs="Arial"/>
                <w:bCs/>
              </w:rPr>
            </w:pPr>
            <w:r>
              <w:rPr>
                <w:rFonts w:cs="Arial"/>
                <w:bCs/>
              </w:rPr>
              <w:t>No</w:t>
            </w:r>
          </w:p>
        </w:tc>
        <w:tc>
          <w:tcPr>
            <w:tcW w:w="1181" w:type="dxa"/>
          </w:tcPr>
          <w:p w14:paraId="31F27C88" w14:textId="18881EDA" w:rsidR="00DF008C" w:rsidRPr="00D55FA1" w:rsidRDefault="007F4F12" w:rsidP="00DF008C">
            <w:pPr>
              <w:widowControl w:val="0"/>
              <w:overflowPunct w:val="0"/>
              <w:autoSpaceDE w:val="0"/>
              <w:autoSpaceDN w:val="0"/>
              <w:adjustRightInd w:val="0"/>
              <w:jc w:val="center"/>
              <w:rPr>
                <w:rFonts w:cs="Arial"/>
                <w:bCs/>
              </w:rPr>
            </w:pPr>
            <w:r>
              <w:rPr>
                <w:rFonts w:cs="Arial"/>
                <w:bCs/>
              </w:rPr>
              <w:t>No</w:t>
            </w:r>
          </w:p>
        </w:tc>
        <w:tc>
          <w:tcPr>
            <w:tcW w:w="1159" w:type="dxa"/>
          </w:tcPr>
          <w:p w14:paraId="79B88F8C" w14:textId="09BC0BC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bl>
    <w:p w14:paraId="145C11DD" w14:textId="77777777" w:rsidR="00EB1E42" w:rsidRPr="00D55FA1" w:rsidRDefault="00EB1E42" w:rsidP="00EB1E42">
      <w:r w:rsidRPr="00D55FA1">
        <w:br w:type="page"/>
      </w:r>
    </w:p>
    <w:p w14:paraId="3762A029" w14:textId="77777777" w:rsidR="00EB1E42" w:rsidRPr="00D55FA1" w:rsidRDefault="00EB1E42" w:rsidP="00EB1E42">
      <w:pPr>
        <w:pStyle w:val="Heading2"/>
        <w:spacing w:before="0"/>
        <w:jc w:val="center"/>
        <w:rPr>
          <w:bCs/>
        </w:rPr>
      </w:pPr>
      <w:bookmarkStart w:id="154" w:name="_Toc212718067"/>
      <w:bookmarkStart w:id="155" w:name="_Hlk184750352"/>
      <w:r w:rsidRPr="00D55FA1">
        <w:rPr>
          <w:bCs/>
        </w:rPr>
        <w:lastRenderedPageBreak/>
        <w:t xml:space="preserve">Indicator 10: </w:t>
      </w:r>
      <w:bookmarkStart w:id="156" w:name="_Hlk184750762"/>
      <w:r w:rsidRPr="00D55FA1">
        <w:t>Disproportionate Representation by Disability Categories</w:t>
      </w:r>
      <w:bookmarkEnd w:id="154"/>
      <w:bookmarkEnd w:id="156"/>
    </w:p>
    <w:p w14:paraId="146BE5ED" w14:textId="77777777" w:rsidR="00EB1E42" w:rsidRPr="00D55FA1" w:rsidRDefault="00B01328" w:rsidP="00EB1E42">
      <w:pPr>
        <w:pStyle w:val="Heading3"/>
        <w:spacing w:before="0"/>
      </w:pPr>
      <w:bookmarkStart w:id="157" w:name="_Toc212718068"/>
      <w:bookmarkEnd w:id="155"/>
      <w:r w:rsidRPr="00D55FA1">
        <w:t>Description</w:t>
      </w:r>
      <w:bookmarkEnd w:id="157"/>
    </w:p>
    <w:p w14:paraId="29CEF985" w14:textId="1D786368" w:rsidR="00EB1E42" w:rsidRPr="00D55FA1" w:rsidRDefault="00EB1E42" w:rsidP="00EB1E42">
      <w:pPr>
        <w:tabs>
          <w:tab w:val="left" w:pos="720"/>
          <w:tab w:val="center" w:pos="4680"/>
          <w:tab w:val="right" w:pos="9360"/>
        </w:tabs>
        <w:spacing w:after="240"/>
        <w:rPr>
          <w:rFonts w:cs="Arial"/>
        </w:rPr>
      </w:pPr>
      <w:r w:rsidRPr="5E32A801">
        <w:rPr>
          <w:rFonts w:cs="Arial"/>
        </w:rPr>
        <w:t xml:space="preserve">Indicator 10 is a compliance indicator that measures the </w:t>
      </w:r>
      <w:proofErr w:type="gramStart"/>
      <w:r w:rsidR="37F738FE" w:rsidRPr="5E32A801">
        <w:rPr>
          <w:rFonts w:cs="Arial"/>
        </w:rPr>
        <w:t>percent</w:t>
      </w:r>
      <w:proofErr w:type="gramEnd"/>
      <w:r w:rsidRPr="5E32A801">
        <w:rPr>
          <w:rFonts w:cs="Arial"/>
        </w:rPr>
        <w:t xml:space="preserve"> of LEAs with disproportionate representation of racial and ethnic groups in specific disability categories that is the result of inappropriate identification. </w:t>
      </w:r>
      <w:r w:rsidR="00B01328" w:rsidRPr="5E32A801">
        <w:rPr>
          <w:rFonts w:cs="Arial"/>
        </w:rPr>
        <w:t>The calculation for Indicator 10 (Ethnicity by Disability) has been changed to match the new federal regulations in</w:t>
      </w:r>
      <w:r w:rsidR="001D35B8">
        <w:rPr>
          <w:rFonts w:cs="Arial"/>
        </w:rPr>
        <w:t xml:space="preserve"> </w:t>
      </w:r>
      <w:r w:rsidR="00096BF3">
        <w:rPr>
          <w:rFonts w:cs="Arial"/>
          <w:i/>
          <w:iCs/>
        </w:rPr>
        <w:t>Code of</w:t>
      </w:r>
      <w:r w:rsidR="00096BF3" w:rsidRPr="5E32A801">
        <w:rPr>
          <w:rFonts w:cs="Arial"/>
          <w:i/>
          <w:iCs/>
        </w:rPr>
        <w:t xml:space="preserve"> </w:t>
      </w:r>
      <w:r w:rsidR="00B01328" w:rsidRPr="5E32A801">
        <w:rPr>
          <w:rFonts w:cs="Arial"/>
          <w:i/>
          <w:iCs/>
        </w:rPr>
        <w:t>F</w:t>
      </w:r>
      <w:r w:rsidR="000854BA" w:rsidRPr="5E32A801">
        <w:rPr>
          <w:rFonts w:cs="Arial"/>
          <w:i/>
          <w:iCs/>
        </w:rPr>
        <w:t xml:space="preserve">ederal </w:t>
      </w:r>
      <w:r w:rsidR="00B01328" w:rsidRPr="5E32A801">
        <w:rPr>
          <w:rFonts w:cs="Arial"/>
          <w:i/>
          <w:iCs/>
        </w:rPr>
        <w:t>R</w:t>
      </w:r>
      <w:r w:rsidR="000854BA" w:rsidRPr="5E32A801">
        <w:rPr>
          <w:rFonts w:cs="Arial"/>
          <w:i/>
          <w:iCs/>
        </w:rPr>
        <w:t>egulations</w:t>
      </w:r>
      <w:r w:rsidR="005342FD">
        <w:rPr>
          <w:rFonts w:cs="Arial"/>
          <w:i/>
          <w:iCs/>
        </w:rPr>
        <w:t xml:space="preserve">, </w:t>
      </w:r>
      <w:r w:rsidR="005342FD" w:rsidRPr="00142473">
        <w:rPr>
          <w:rFonts w:cs="Arial"/>
        </w:rPr>
        <w:t>Title 34,</w:t>
      </w:r>
      <w:r w:rsidR="00B01328" w:rsidRPr="5E32A801">
        <w:rPr>
          <w:rFonts w:cs="Arial"/>
        </w:rPr>
        <w:t xml:space="preserve"> </w:t>
      </w:r>
      <w:r w:rsidR="005342FD">
        <w:rPr>
          <w:rFonts w:cs="Arial"/>
        </w:rPr>
        <w:t xml:space="preserve">Section </w:t>
      </w:r>
      <w:r w:rsidR="00B01328" w:rsidRPr="5E32A801">
        <w:rPr>
          <w:rFonts w:cs="Arial"/>
        </w:rPr>
        <w:t>300.647. Effective FFY 2016, the CDE uses the risk ratio (or the alternate risk ratio when appropriate) to make identification of disproportionate representation. LEAs selected are required to go through a review of policies, practices, and procedures. LEAs identified below had non-compliance in those reviews.</w:t>
      </w:r>
    </w:p>
    <w:p w14:paraId="0AECDD84" w14:textId="77777777" w:rsidR="00EB1E42" w:rsidRPr="00D55FA1" w:rsidRDefault="00B01328" w:rsidP="00EB1E42">
      <w:pPr>
        <w:pStyle w:val="Heading3"/>
        <w:spacing w:before="0"/>
      </w:pPr>
      <w:bookmarkStart w:id="158" w:name="_Toc212718069"/>
      <w:r w:rsidRPr="00D55FA1">
        <w:t>Measurement</w:t>
      </w:r>
      <w:bookmarkEnd w:id="158"/>
    </w:p>
    <w:p w14:paraId="6B40E7A7" w14:textId="53865D7A" w:rsidR="00B01328" w:rsidRPr="00D55FA1" w:rsidRDefault="00B01328" w:rsidP="007A43E3">
      <w:pPr>
        <w:spacing w:after="240"/>
      </w:pPr>
      <w:r w:rsidRPr="00D55FA1">
        <w:t>Percent = [(</w:t>
      </w:r>
      <w:r w:rsidR="00C7167F" w:rsidRPr="00D55FA1">
        <w:t>number</w:t>
      </w:r>
      <w:r w:rsidRPr="00D55FA1">
        <w:t xml:space="preserve"> of districts, that meet the State-established n and/or cell size (if applicable) for one or more racial/ethnic groups, with disproportionate representation of racial and ethnic groups in specific disability categories that is the result of inappropriate identification) divided by the (</w:t>
      </w:r>
      <w:r w:rsidR="00C7167F" w:rsidRPr="00D55FA1">
        <w:t>number</w:t>
      </w:r>
      <w:r w:rsidRPr="00D55FA1">
        <w:t xml:space="preserve"> of districts in the State that meet a </w:t>
      </w:r>
      <w:r w:rsidR="00A32D16">
        <w:t>s</w:t>
      </w:r>
      <w:r w:rsidRPr="00D55FA1">
        <w:t>tate-established n and/or cell size (if applicable) for one or more racial/ethnic groups)] times 100.</w:t>
      </w:r>
    </w:p>
    <w:p w14:paraId="33025FC6" w14:textId="77777777" w:rsidR="00EB1E42" w:rsidRPr="00972232" w:rsidRDefault="00B01328" w:rsidP="00972232">
      <w:pPr>
        <w:spacing w:after="240"/>
        <w:rPr>
          <w:b/>
          <w:bCs/>
        </w:rPr>
      </w:pPr>
      <w:r w:rsidRPr="00972232">
        <w:rPr>
          <w:b/>
          <w:bCs/>
        </w:rPr>
        <w:t>Target Met: No</w:t>
      </w:r>
    </w:p>
    <w:p w14:paraId="65F94A59" w14:textId="1C538B3D" w:rsidR="00EB1E42" w:rsidRPr="00972232" w:rsidRDefault="00972232" w:rsidP="00972232">
      <w:pPr>
        <w:spacing w:after="240"/>
        <w:rPr>
          <w:b/>
          <w:bCs/>
        </w:rPr>
      </w:pPr>
      <w:r>
        <w:rPr>
          <w:b/>
          <w:bCs/>
        </w:rPr>
        <w:t xml:space="preserve">Table 18: </w:t>
      </w:r>
      <w:r w:rsidR="00EB1E42" w:rsidRPr="00972232">
        <w:rPr>
          <w:b/>
          <w:bCs/>
        </w:rPr>
        <w:t xml:space="preserve">Disproportionate Representation in Specific Disability Categories </w:t>
      </w:r>
      <w:r w:rsidR="00B01328" w:rsidRPr="00972232">
        <w:rPr>
          <w:b/>
          <w:bCs/>
        </w:rPr>
        <w:t xml:space="preserve">Targets and Results for FFYs </w:t>
      </w:r>
      <w:r w:rsidR="0066332C" w:rsidRPr="00972232">
        <w:rPr>
          <w:b/>
          <w:bCs/>
        </w:rPr>
        <w:t>2020</w:t>
      </w:r>
      <w:r w:rsidR="0066332C" w:rsidRPr="00972232">
        <w:rPr>
          <w:rFonts w:cs="Arial"/>
          <w:b/>
          <w:bCs/>
        </w:rPr>
        <w:t>–25</w:t>
      </w:r>
    </w:p>
    <w:tbl>
      <w:tblPr>
        <w:tblStyle w:val="TableGrid1"/>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dicator 10 Targets and Results"/>
      </w:tblPr>
      <w:tblGrid>
        <w:gridCol w:w="2097"/>
        <w:gridCol w:w="1195"/>
        <w:gridCol w:w="1191"/>
        <w:gridCol w:w="1191"/>
        <w:gridCol w:w="1191"/>
        <w:gridCol w:w="1191"/>
        <w:gridCol w:w="1168"/>
      </w:tblGrid>
      <w:tr w:rsidR="0066332C" w:rsidRPr="00D55FA1" w14:paraId="299A6FCA" w14:textId="77777777" w:rsidTr="00F73A09">
        <w:trPr>
          <w:cantSplit/>
          <w:trHeight w:val="288"/>
          <w:tblHeader/>
        </w:trPr>
        <w:tc>
          <w:tcPr>
            <w:tcW w:w="2097" w:type="dxa"/>
            <w:vAlign w:val="center"/>
            <w:hideMark/>
          </w:tcPr>
          <w:p w14:paraId="4D99ACF3"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Indicator 10</w:t>
            </w:r>
          </w:p>
        </w:tc>
        <w:tc>
          <w:tcPr>
            <w:tcW w:w="1195" w:type="dxa"/>
            <w:vAlign w:val="center"/>
            <w:hideMark/>
          </w:tcPr>
          <w:p w14:paraId="2AC24BFC"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2020</w:t>
            </w:r>
          </w:p>
        </w:tc>
        <w:tc>
          <w:tcPr>
            <w:tcW w:w="1191" w:type="dxa"/>
            <w:vAlign w:val="center"/>
            <w:hideMark/>
          </w:tcPr>
          <w:p w14:paraId="5A81648A"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2021</w:t>
            </w:r>
          </w:p>
        </w:tc>
        <w:tc>
          <w:tcPr>
            <w:tcW w:w="1191" w:type="dxa"/>
            <w:vAlign w:val="center"/>
            <w:hideMark/>
          </w:tcPr>
          <w:p w14:paraId="7269043E"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2022</w:t>
            </w:r>
          </w:p>
        </w:tc>
        <w:tc>
          <w:tcPr>
            <w:tcW w:w="1191" w:type="dxa"/>
            <w:vAlign w:val="center"/>
            <w:hideMark/>
          </w:tcPr>
          <w:p w14:paraId="62B4D3A0"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2023</w:t>
            </w:r>
          </w:p>
        </w:tc>
        <w:tc>
          <w:tcPr>
            <w:tcW w:w="1191" w:type="dxa"/>
            <w:vAlign w:val="center"/>
            <w:hideMark/>
          </w:tcPr>
          <w:p w14:paraId="2C4AE2EA"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2024</w:t>
            </w:r>
          </w:p>
        </w:tc>
        <w:tc>
          <w:tcPr>
            <w:tcW w:w="1168" w:type="dxa"/>
            <w:vAlign w:val="center"/>
          </w:tcPr>
          <w:p w14:paraId="792E6999" w14:textId="77777777" w:rsidR="0066332C" w:rsidRPr="00D55FA1" w:rsidRDefault="0066332C" w:rsidP="00CF035F">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364F9D2E" w14:textId="77777777" w:rsidTr="00F73A09">
        <w:trPr>
          <w:cantSplit/>
          <w:trHeight w:val="288"/>
        </w:trPr>
        <w:tc>
          <w:tcPr>
            <w:tcW w:w="2097" w:type="dxa"/>
            <w:vAlign w:val="center"/>
            <w:hideMark/>
          </w:tcPr>
          <w:p w14:paraId="089BCD0E"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Target</w:t>
            </w:r>
          </w:p>
        </w:tc>
        <w:tc>
          <w:tcPr>
            <w:tcW w:w="1195" w:type="dxa"/>
            <w:vAlign w:val="center"/>
            <w:hideMark/>
          </w:tcPr>
          <w:p w14:paraId="6EB33133"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0%</w:t>
            </w:r>
          </w:p>
        </w:tc>
        <w:tc>
          <w:tcPr>
            <w:tcW w:w="1191" w:type="dxa"/>
            <w:vAlign w:val="center"/>
            <w:hideMark/>
          </w:tcPr>
          <w:p w14:paraId="41F19CC3"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0%</w:t>
            </w:r>
          </w:p>
        </w:tc>
        <w:tc>
          <w:tcPr>
            <w:tcW w:w="1191" w:type="dxa"/>
            <w:vAlign w:val="center"/>
            <w:hideMark/>
          </w:tcPr>
          <w:p w14:paraId="79CF4B51"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0%</w:t>
            </w:r>
          </w:p>
        </w:tc>
        <w:tc>
          <w:tcPr>
            <w:tcW w:w="1191" w:type="dxa"/>
            <w:vAlign w:val="center"/>
            <w:hideMark/>
          </w:tcPr>
          <w:p w14:paraId="36A884BF"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0%</w:t>
            </w:r>
          </w:p>
        </w:tc>
        <w:tc>
          <w:tcPr>
            <w:tcW w:w="1191" w:type="dxa"/>
            <w:vAlign w:val="center"/>
            <w:hideMark/>
          </w:tcPr>
          <w:p w14:paraId="6B22ABB3"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0%</w:t>
            </w:r>
          </w:p>
        </w:tc>
        <w:tc>
          <w:tcPr>
            <w:tcW w:w="1168" w:type="dxa"/>
            <w:vAlign w:val="center"/>
          </w:tcPr>
          <w:p w14:paraId="754D8858" w14:textId="77777777" w:rsidR="0066332C" w:rsidRPr="00D55FA1" w:rsidRDefault="0066332C" w:rsidP="00CF035F">
            <w:pPr>
              <w:widowControl w:val="0"/>
              <w:overflowPunct w:val="0"/>
              <w:autoSpaceDE w:val="0"/>
              <w:autoSpaceDN w:val="0"/>
              <w:adjustRightInd w:val="0"/>
              <w:jc w:val="center"/>
              <w:rPr>
                <w:rFonts w:cs="Arial"/>
                <w:bCs/>
              </w:rPr>
            </w:pPr>
            <w:r w:rsidRPr="00D55FA1">
              <w:rPr>
                <w:rFonts w:cs="Arial"/>
                <w:bCs/>
              </w:rPr>
              <w:t>0%</w:t>
            </w:r>
          </w:p>
        </w:tc>
      </w:tr>
      <w:tr w:rsidR="00DF008C" w:rsidRPr="00D55FA1" w14:paraId="682AA6B2" w14:textId="77777777" w:rsidTr="00F73A09">
        <w:trPr>
          <w:cantSplit/>
          <w:trHeight w:val="288"/>
        </w:trPr>
        <w:tc>
          <w:tcPr>
            <w:tcW w:w="2097" w:type="dxa"/>
            <w:vAlign w:val="center"/>
          </w:tcPr>
          <w:p w14:paraId="434442CF"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Results</w:t>
            </w:r>
          </w:p>
        </w:tc>
        <w:tc>
          <w:tcPr>
            <w:tcW w:w="1195" w:type="dxa"/>
            <w:vAlign w:val="center"/>
          </w:tcPr>
          <w:p w14:paraId="76BBEBB6"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6.0%</w:t>
            </w:r>
          </w:p>
        </w:tc>
        <w:tc>
          <w:tcPr>
            <w:tcW w:w="1191" w:type="dxa"/>
            <w:vAlign w:val="center"/>
          </w:tcPr>
          <w:p w14:paraId="3FFF7D4A" w14:textId="07C99EB6"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4.43%</w:t>
            </w:r>
          </w:p>
        </w:tc>
        <w:tc>
          <w:tcPr>
            <w:tcW w:w="1191" w:type="dxa"/>
            <w:vAlign w:val="center"/>
          </w:tcPr>
          <w:p w14:paraId="287B69A3" w14:textId="0D1E64A5"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2.98%</w:t>
            </w:r>
          </w:p>
        </w:tc>
        <w:tc>
          <w:tcPr>
            <w:tcW w:w="1191" w:type="dxa"/>
          </w:tcPr>
          <w:p w14:paraId="63A0829D" w14:textId="29986D30" w:rsidR="00DF008C" w:rsidRPr="00D55FA1" w:rsidRDefault="002B28F9" w:rsidP="00DF008C">
            <w:pPr>
              <w:widowControl w:val="0"/>
              <w:overflowPunct w:val="0"/>
              <w:autoSpaceDE w:val="0"/>
              <w:autoSpaceDN w:val="0"/>
              <w:adjustRightInd w:val="0"/>
              <w:jc w:val="center"/>
              <w:rPr>
                <w:rFonts w:cs="Arial"/>
                <w:bCs/>
              </w:rPr>
            </w:pPr>
            <w:r>
              <w:rPr>
                <w:rFonts w:cs="Arial"/>
                <w:bCs/>
              </w:rPr>
              <w:t>2.5%</w:t>
            </w:r>
          </w:p>
        </w:tc>
        <w:tc>
          <w:tcPr>
            <w:tcW w:w="1191" w:type="dxa"/>
          </w:tcPr>
          <w:p w14:paraId="39CA8924" w14:textId="4043EE8F" w:rsidR="00DF008C" w:rsidRPr="00D55FA1" w:rsidRDefault="007F4F12" w:rsidP="00DF008C">
            <w:pPr>
              <w:widowControl w:val="0"/>
              <w:overflowPunct w:val="0"/>
              <w:autoSpaceDE w:val="0"/>
              <w:autoSpaceDN w:val="0"/>
              <w:adjustRightInd w:val="0"/>
              <w:jc w:val="center"/>
              <w:rPr>
                <w:rFonts w:cs="Arial"/>
                <w:bCs/>
              </w:rPr>
            </w:pPr>
            <w:r>
              <w:rPr>
                <w:rFonts w:cs="Arial"/>
                <w:bCs/>
              </w:rPr>
              <w:t>3.21%</w:t>
            </w:r>
          </w:p>
        </w:tc>
        <w:tc>
          <w:tcPr>
            <w:tcW w:w="1168" w:type="dxa"/>
          </w:tcPr>
          <w:p w14:paraId="1BB6F150" w14:textId="344CF9A4"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61702088" w14:textId="77777777" w:rsidTr="00F73A09">
        <w:trPr>
          <w:cantSplit/>
          <w:trHeight w:val="288"/>
        </w:trPr>
        <w:tc>
          <w:tcPr>
            <w:tcW w:w="2097" w:type="dxa"/>
            <w:vAlign w:val="center"/>
          </w:tcPr>
          <w:p w14:paraId="67A3F6C0"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195" w:type="dxa"/>
            <w:vAlign w:val="center"/>
          </w:tcPr>
          <w:p w14:paraId="7AA599D9"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91" w:type="dxa"/>
            <w:vAlign w:val="center"/>
          </w:tcPr>
          <w:p w14:paraId="04338875" w14:textId="422489C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91" w:type="dxa"/>
            <w:vAlign w:val="center"/>
          </w:tcPr>
          <w:p w14:paraId="2CCB938B" w14:textId="5E88780F"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91" w:type="dxa"/>
          </w:tcPr>
          <w:p w14:paraId="796B98D5" w14:textId="0609C776" w:rsidR="00DF008C" w:rsidRPr="00D55FA1" w:rsidRDefault="002B28F9" w:rsidP="00DF008C">
            <w:pPr>
              <w:widowControl w:val="0"/>
              <w:overflowPunct w:val="0"/>
              <w:autoSpaceDE w:val="0"/>
              <w:autoSpaceDN w:val="0"/>
              <w:adjustRightInd w:val="0"/>
              <w:jc w:val="center"/>
              <w:rPr>
                <w:rFonts w:cs="Arial"/>
                <w:bCs/>
              </w:rPr>
            </w:pPr>
            <w:r>
              <w:rPr>
                <w:rFonts w:cs="Arial"/>
                <w:bCs/>
              </w:rPr>
              <w:t>No</w:t>
            </w:r>
          </w:p>
        </w:tc>
        <w:tc>
          <w:tcPr>
            <w:tcW w:w="1191" w:type="dxa"/>
          </w:tcPr>
          <w:p w14:paraId="344BE600" w14:textId="642A3BD0" w:rsidR="00DF008C" w:rsidRPr="00D55FA1" w:rsidRDefault="007F4F12" w:rsidP="00DF008C">
            <w:pPr>
              <w:widowControl w:val="0"/>
              <w:overflowPunct w:val="0"/>
              <w:autoSpaceDE w:val="0"/>
              <w:autoSpaceDN w:val="0"/>
              <w:adjustRightInd w:val="0"/>
              <w:jc w:val="center"/>
              <w:rPr>
                <w:rFonts w:cs="Arial"/>
                <w:bCs/>
              </w:rPr>
            </w:pPr>
            <w:r>
              <w:rPr>
                <w:rFonts w:cs="Arial"/>
                <w:bCs/>
              </w:rPr>
              <w:t>No</w:t>
            </w:r>
          </w:p>
        </w:tc>
        <w:tc>
          <w:tcPr>
            <w:tcW w:w="1168" w:type="dxa"/>
          </w:tcPr>
          <w:p w14:paraId="7EE3B4B9" w14:textId="0811E605"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bl>
    <w:p w14:paraId="52E608EF" w14:textId="77777777" w:rsidR="00EB1E42" w:rsidRPr="00D55FA1" w:rsidRDefault="00EB1E42" w:rsidP="007A43E3">
      <w:pPr>
        <w:rPr>
          <w:rFonts w:eastAsiaTheme="majorEastAsia"/>
        </w:rPr>
      </w:pPr>
      <w:r w:rsidRPr="00D55FA1">
        <w:br w:type="page"/>
      </w:r>
    </w:p>
    <w:p w14:paraId="168B24F1" w14:textId="77777777" w:rsidR="00EB1E42" w:rsidRPr="00D55FA1" w:rsidRDefault="00EB1E42" w:rsidP="00EB1E42">
      <w:pPr>
        <w:pStyle w:val="Heading2"/>
        <w:spacing w:before="0"/>
        <w:jc w:val="center"/>
      </w:pPr>
      <w:bookmarkStart w:id="159" w:name="_Toc212718070"/>
      <w:r w:rsidRPr="00D55FA1">
        <w:lastRenderedPageBreak/>
        <w:t>Indicator 11: Child Find</w:t>
      </w:r>
      <w:bookmarkEnd w:id="159"/>
    </w:p>
    <w:p w14:paraId="7F8397A5" w14:textId="77777777" w:rsidR="00EB1E42" w:rsidRPr="00D55FA1" w:rsidRDefault="00B01328" w:rsidP="00EB1E42">
      <w:pPr>
        <w:pStyle w:val="Heading3"/>
        <w:spacing w:before="0"/>
      </w:pPr>
      <w:bookmarkStart w:id="160" w:name="_Toc212718071"/>
      <w:r w:rsidRPr="00D55FA1">
        <w:t>Description</w:t>
      </w:r>
      <w:bookmarkEnd w:id="160"/>
    </w:p>
    <w:p w14:paraId="6C5266E5" w14:textId="77777777" w:rsidR="00EB1E42" w:rsidRPr="00D55FA1" w:rsidRDefault="00EB1E42" w:rsidP="00EB1E42">
      <w:pPr>
        <w:tabs>
          <w:tab w:val="left" w:pos="720"/>
          <w:tab w:val="center" w:pos="4680"/>
          <w:tab w:val="right" w:pos="9360"/>
        </w:tabs>
        <w:spacing w:after="240"/>
        <w:rPr>
          <w:rFonts w:cs="Arial"/>
        </w:rPr>
      </w:pPr>
      <w:r w:rsidRPr="00D55FA1">
        <w:rPr>
          <w:rFonts w:cs="Arial"/>
        </w:rPr>
        <w:t xml:space="preserve">Indicator 11 is a compliance indicator that measures the </w:t>
      </w:r>
      <w:proofErr w:type="gramStart"/>
      <w:r w:rsidRPr="00D55FA1">
        <w:rPr>
          <w:rFonts w:cs="Arial"/>
        </w:rPr>
        <w:t>percent</w:t>
      </w:r>
      <w:proofErr w:type="gramEnd"/>
      <w:r w:rsidRPr="00D55FA1">
        <w:rPr>
          <w:rFonts w:cs="Arial"/>
        </w:rPr>
        <w:t xml:space="preserve"> of students who were evaluated within 60 days of receiving parental consent for initial evaluation </w:t>
      </w:r>
      <w:proofErr w:type="gramStart"/>
      <w:r w:rsidRPr="00D55FA1">
        <w:rPr>
          <w:rFonts w:cs="Arial"/>
        </w:rPr>
        <w:t>or,</w:t>
      </w:r>
      <w:proofErr w:type="gramEnd"/>
      <w:r w:rsidRPr="00D55FA1">
        <w:rPr>
          <w:rFonts w:cs="Arial"/>
        </w:rPr>
        <w:t xml:space="preserve"> if the state establishes a timeframe within which the evaluation must be conducted, within that timeframe. </w:t>
      </w:r>
      <w:r w:rsidR="00DE718E" w:rsidRPr="00D55FA1">
        <w:rPr>
          <w:rFonts w:cs="Arial"/>
        </w:rPr>
        <w:t>If the parent of a student repeatedly failed or refused to bring the student for the evaluation, or a student enrolled in a school of another public agency after the timeframe for initial evaluations had begun, and prior to a determination by the student's previous public agency as to whether the student is a student with a disability, then the student was eliminated from both the numerator and the denominator.</w:t>
      </w:r>
    </w:p>
    <w:p w14:paraId="6CE0523C" w14:textId="0A833648" w:rsidR="00EB1E42" w:rsidRPr="00D55FA1" w:rsidRDefault="00EB1E42" w:rsidP="00EB1E42">
      <w:pPr>
        <w:tabs>
          <w:tab w:val="left" w:pos="720"/>
          <w:tab w:val="center" w:pos="4680"/>
          <w:tab w:val="right" w:pos="9360"/>
        </w:tabs>
        <w:spacing w:after="240"/>
        <w:rPr>
          <w:rFonts w:cs="Arial"/>
          <w:b/>
          <w:bCs/>
        </w:rPr>
      </w:pPr>
      <w:r w:rsidRPr="5E32A801">
        <w:rPr>
          <w:rFonts w:cs="Arial"/>
        </w:rPr>
        <w:t>Th</w:t>
      </w:r>
      <w:r w:rsidR="00ED8039" w:rsidRPr="5E32A801">
        <w:rPr>
          <w:rFonts w:cs="Arial"/>
        </w:rPr>
        <w:t>is</w:t>
      </w:r>
      <w:r w:rsidRPr="5E32A801">
        <w:rPr>
          <w:rFonts w:cs="Arial"/>
        </w:rPr>
        <w:t xml:space="preserve"> data w</w:t>
      </w:r>
      <w:r w:rsidR="2BAF720C" w:rsidRPr="5E32A801">
        <w:rPr>
          <w:rFonts w:cs="Arial"/>
        </w:rPr>
        <w:t>as</w:t>
      </w:r>
      <w:r w:rsidRPr="5E32A801">
        <w:rPr>
          <w:rFonts w:cs="Arial"/>
        </w:rPr>
        <w:t xml:space="preserve"> calculated using CALPADS data fields related to parental consent date and initial evaluation dat</w:t>
      </w:r>
      <w:r w:rsidR="00D368E8" w:rsidRPr="5E32A801">
        <w:rPr>
          <w:rFonts w:cs="Arial"/>
        </w:rPr>
        <w:t>e</w:t>
      </w:r>
      <w:r w:rsidRPr="5E32A801">
        <w:rPr>
          <w:rFonts w:cs="Arial"/>
        </w:rPr>
        <w:t xml:space="preserve">. </w:t>
      </w:r>
    </w:p>
    <w:p w14:paraId="442A0DBE" w14:textId="77777777" w:rsidR="00EB1E42" w:rsidRPr="00D55FA1" w:rsidRDefault="00B01328" w:rsidP="00EB1E42">
      <w:pPr>
        <w:pStyle w:val="Heading3"/>
        <w:spacing w:before="0"/>
      </w:pPr>
      <w:bookmarkStart w:id="161" w:name="_Toc212718072"/>
      <w:r w:rsidRPr="00D55FA1">
        <w:t>Measurement</w:t>
      </w:r>
      <w:bookmarkEnd w:id="161"/>
    </w:p>
    <w:p w14:paraId="074E47F7" w14:textId="055D52B0" w:rsidR="00EB1E42" w:rsidRPr="00D55FA1" w:rsidRDefault="00CC0499" w:rsidP="007A43E3">
      <w:pPr>
        <w:spacing w:after="240"/>
      </w:pPr>
      <w:r w:rsidRPr="00D55FA1">
        <w:t xml:space="preserve">Percent = [number of children whose evaluations were completed within 60 days (or </w:t>
      </w:r>
      <w:r w:rsidR="00A32D16">
        <w:t>s</w:t>
      </w:r>
      <w:r w:rsidRPr="00D55FA1">
        <w:t>tate-established timeline)</w:t>
      </w:r>
      <w:r w:rsidR="00DE718E" w:rsidRPr="00D55FA1">
        <w:t xml:space="preserve"> divided by the number of children for whom parental consent to evaluate was received] times 100.</w:t>
      </w:r>
    </w:p>
    <w:p w14:paraId="1297244E" w14:textId="77777777" w:rsidR="00EB1E42" w:rsidRPr="00972232" w:rsidRDefault="00B01328" w:rsidP="00972232">
      <w:pPr>
        <w:spacing w:after="240"/>
        <w:rPr>
          <w:b/>
          <w:bCs/>
        </w:rPr>
      </w:pPr>
      <w:r w:rsidRPr="00972232">
        <w:rPr>
          <w:b/>
          <w:bCs/>
        </w:rPr>
        <w:t>Target Met: No</w:t>
      </w:r>
    </w:p>
    <w:p w14:paraId="662F6587" w14:textId="5F76BD7D" w:rsidR="00B01328" w:rsidRPr="00972232" w:rsidRDefault="00972232" w:rsidP="00972232">
      <w:pPr>
        <w:spacing w:after="240"/>
        <w:rPr>
          <w:b/>
          <w:bCs/>
        </w:rPr>
      </w:pPr>
      <w:r>
        <w:rPr>
          <w:b/>
          <w:bCs/>
        </w:rPr>
        <w:t xml:space="preserve">Table 19: </w:t>
      </w:r>
      <w:r w:rsidR="00EB1E42" w:rsidRPr="00972232">
        <w:rPr>
          <w:b/>
          <w:bCs/>
        </w:rPr>
        <w:t xml:space="preserve">Child Find </w:t>
      </w:r>
      <w:r w:rsidR="00B01328" w:rsidRPr="00972232">
        <w:rPr>
          <w:b/>
          <w:bCs/>
        </w:rPr>
        <w:t xml:space="preserve">Targets and Results for FFYs </w:t>
      </w:r>
      <w:r w:rsidR="0066332C" w:rsidRPr="00972232">
        <w:rPr>
          <w:b/>
          <w:bCs/>
        </w:rPr>
        <w:t>2020</w:t>
      </w:r>
      <w:r w:rsidR="0066332C" w:rsidRPr="00972232">
        <w:rPr>
          <w:rFonts w:cs="Arial"/>
          <w:b/>
          <w:bCs/>
        </w:rPr>
        <w:t>–25</w:t>
      </w:r>
    </w:p>
    <w:tbl>
      <w:tblPr>
        <w:tblStyle w:val="TableGrid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dicator 11 Targets and Results"/>
      </w:tblPr>
      <w:tblGrid>
        <w:gridCol w:w="2010"/>
        <w:gridCol w:w="1257"/>
        <w:gridCol w:w="1180"/>
        <w:gridCol w:w="1180"/>
        <w:gridCol w:w="1180"/>
        <w:gridCol w:w="1180"/>
        <w:gridCol w:w="1155"/>
      </w:tblGrid>
      <w:tr w:rsidR="0066332C" w:rsidRPr="00D55FA1" w14:paraId="5541E694" w14:textId="77777777" w:rsidTr="00F73A09">
        <w:trPr>
          <w:cantSplit/>
          <w:trHeight w:val="306"/>
          <w:tblHeader/>
        </w:trPr>
        <w:tc>
          <w:tcPr>
            <w:tcW w:w="2010" w:type="dxa"/>
            <w:hideMark/>
          </w:tcPr>
          <w:p w14:paraId="4D46A67F"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Indicator 11</w:t>
            </w:r>
          </w:p>
        </w:tc>
        <w:tc>
          <w:tcPr>
            <w:tcW w:w="1257" w:type="dxa"/>
            <w:hideMark/>
          </w:tcPr>
          <w:p w14:paraId="2004A3B4"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2020</w:t>
            </w:r>
          </w:p>
        </w:tc>
        <w:tc>
          <w:tcPr>
            <w:tcW w:w="1180" w:type="dxa"/>
            <w:hideMark/>
          </w:tcPr>
          <w:p w14:paraId="6B935A80"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2021</w:t>
            </w:r>
          </w:p>
        </w:tc>
        <w:tc>
          <w:tcPr>
            <w:tcW w:w="1180" w:type="dxa"/>
            <w:hideMark/>
          </w:tcPr>
          <w:p w14:paraId="7506936E"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2022</w:t>
            </w:r>
          </w:p>
        </w:tc>
        <w:tc>
          <w:tcPr>
            <w:tcW w:w="1180" w:type="dxa"/>
            <w:hideMark/>
          </w:tcPr>
          <w:p w14:paraId="6D02A2FE"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2023</w:t>
            </w:r>
          </w:p>
        </w:tc>
        <w:tc>
          <w:tcPr>
            <w:tcW w:w="1180" w:type="dxa"/>
            <w:hideMark/>
          </w:tcPr>
          <w:p w14:paraId="3A6490EF"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2024</w:t>
            </w:r>
          </w:p>
        </w:tc>
        <w:tc>
          <w:tcPr>
            <w:tcW w:w="1155" w:type="dxa"/>
          </w:tcPr>
          <w:p w14:paraId="059B3AFD" w14:textId="77777777" w:rsidR="0066332C" w:rsidRPr="00D55FA1" w:rsidRDefault="0066332C" w:rsidP="00704E41">
            <w:pPr>
              <w:widowControl w:val="0"/>
              <w:overflowPunct w:val="0"/>
              <w:autoSpaceDE w:val="0"/>
              <w:autoSpaceDN w:val="0"/>
              <w:adjustRightInd w:val="0"/>
              <w:jc w:val="center"/>
              <w:rPr>
                <w:rFonts w:cs="Arial"/>
                <w:b/>
                <w:bCs/>
              </w:rPr>
            </w:pPr>
            <w:r w:rsidRPr="00D55FA1">
              <w:rPr>
                <w:rFonts w:cs="Arial"/>
                <w:b/>
                <w:bCs/>
              </w:rPr>
              <w:t>2025</w:t>
            </w:r>
          </w:p>
        </w:tc>
      </w:tr>
      <w:tr w:rsidR="0066332C" w:rsidRPr="00D55FA1" w14:paraId="315E0A16" w14:textId="77777777" w:rsidTr="00F73A09">
        <w:trPr>
          <w:cantSplit/>
          <w:trHeight w:val="306"/>
        </w:trPr>
        <w:tc>
          <w:tcPr>
            <w:tcW w:w="2010" w:type="dxa"/>
            <w:hideMark/>
          </w:tcPr>
          <w:p w14:paraId="5143153B" w14:textId="77777777"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Target</w:t>
            </w:r>
          </w:p>
        </w:tc>
        <w:tc>
          <w:tcPr>
            <w:tcW w:w="1257" w:type="dxa"/>
            <w:hideMark/>
          </w:tcPr>
          <w:p w14:paraId="2F3284AD" w14:textId="77777777"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100%</w:t>
            </w:r>
          </w:p>
        </w:tc>
        <w:tc>
          <w:tcPr>
            <w:tcW w:w="1180" w:type="dxa"/>
            <w:hideMark/>
          </w:tcPr>
          <w:p w14:paraId="39D59C2A" w14:textId="77777777"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100%</w:t>
            </w:r>
          </w:p>
        </w:tc>
        <w:tc>
          <w:tcPr>
            <w:tcW w:w="1180" w:type="dxa"/>
            <w:hideMark/>
          </w:tcPr>
          <w:p w14:paraId="03D8A5B9" w14:textId="77777777"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100%</w:t>
            </w:r>
          </w:p>
        </w:tc>
        <w:tc>
          <w:tcPr>
            <w:tcW w:w="1180" w:type="dxa"/>
            <w:hideMark/>
          </w:tcPr>
          <w:p w14:paraId="025B5076" w14:textId="77777777"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100%</w:t>
            </w:r>
          </w:p>
        </w:tc>
        <w:tc>
          <w:tcPr>
            <w:tcW w:w="1180" w:type="dxa"/>
            <w:hideMark/>
          </w:tcPr>
          <w:p w14:paraId="3B58FD41" w14:textId="77777777"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100%</w:t>
            </w:r>
          </w:p>
        </w:tc>
        <w:tc>
          <w:tcPr>
            <w:tcW w:w="1155" w:type="dxa"/>
          </w:tcPr>
          <w:p w14:paraId="247114ED" w14:textId="77777777" w:rsidR="0066332C" w:rsidRPr="00D55FA1" w:rsidRDefault="0066332C" w:rsidP="00704E41">
            <w:pPr>
              <w:widowControl w:val="0"/>
              <w:overflowPunct w:val="0"/>
              <w:autoSpaceDE w:val="0"/>
              <w:autoSpaceDN w:val="0"/>
              <w:adjustRightInd w:val="0"/>
              <w:jc w:val="center"/>
              <w:rPr>
                <w:rFonts w:cs="Arial"/>
                <w:bCs/>
              </w:rPr>
            </w:pPr>
            <w:r w:rsidRPr="00D55FA1">
              <w:rPr>
                <w:rFonts w:cs="Arial"/>
                <w:bCs/>
              </w:rPr>
              <w:t>100%</w:t>
            </w:r>
          </w:p>
        </w:tc>
      </w:tr>
      <w:tr w:rsidR="00DF008C" w:rsidRPr="00D55FA1" w14:paraId="3FF12446" w14:textId="77777777" w:rsidTr="00F73A09">
        <w:trPr>
          <w:cantSplit/>
          <w:trHeight w:val="306"/>
        </w:trPr>
        <w:tc>
          <w:tcPr>
            <w:tcW w:w="2010" w:type="dxa"/>
          </w:tcPr>
          <w:p w14:paraId="6C2BE079"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w:t>
            </w:r>
          </w:p>
        </w:tc>
        <w:tc>
          <w:tcPr>
            <w:tcW w:w="1257" w:type="dxa"/>
          </w:tcPr>
          <w:p w14:paraId="62600E7E"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97.62%</w:t>
            </w:r>
          </w:p>
        </w:tc>
        <w:tc>
          <w:tcPr>
            <w:tcW w:w="1180" w:type="dxa"/>
          </w:tcPr>
          <w:p w14:paraId="4A852BA6" w14:textId="7A32E7FF"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93.99%</w:t>
            </w:r>
          </w:p>
        </w:tc>
        <w:tc>
          <w:tcPr>
            <w:tcW w:w="1180" w:type="dxa"/>
          </w:tcPr>
          <w:p w14:paraId="1299FC03" w14:textId="4A291C18"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94.03%</w:t>
            </w:r>
          </w:p>
        </w:tc>
        <w:tc>
          <w:tcPr>
            <w:tcW w:w="1180" w:type="dxa"/>
          </w:tcPr>
          <w:p w14:paraId="53508331" w14:textId="76CB53DB" w:rsidR="00DF008C" w:rsidRPr="00D55FA1" w:rsidRDefault="002B28F9" w:rsidP="00DF008C">
            <w:pPr>
              <w:widowControl w:val="0"/>
              <w:overflowPunct w:val="0"/>
              <w:autoSpaceDE w:val="0"/>
              <w:autoSpaceDN w:val="0"/>
              <w:adjustRightInd w:val="0"/>
              <w:jc w:val="center"/>
              <w:rPr>
                <w:rFonts w:cs="Arial"/>
                <w:bCs/>
              </w:rPr>
            </w:pPr>
            <w:r>
              <w:rPr>
                <w:rFonts w:cs="Arial"/>
                <w:bCs/>
              </w:rPr>
              <w:t>94.06%</w:t>
            </w:r>
          </w:p>
        </w:tc>
        <w:tc>
          <w:tcPr>
            <w:tcW w:w="1180" w:type="dxa"/>
          </w:tcPr>
          <w:p w14:paraId="4C694B97" w14:textId="3FB07E4F" w:rsidR="00DF008C" w:rsidRPr="00D55FA1" w:rsidRDefault="007F4F12" w:rsidP="00DF008C">
            <w:pPr>
              <w:widowControl w:val="0"/>
              <w:overflowPunct w:val="0"/>
              <w:autoSpaceDE w:val="0"/>
              <w:autoSpaceDN w:val="0"/>
              <w:adjustRightInd w:val="0"/>
              <w:jc w:val="center"/>
              <w:rPr>
                <w:rFonts w:cs="Arial"/>
                <w:bCs/>
              </w:rPr>
            </w:pPr>
            <w:r>
              <w:rPr>
                <w:rFonts w:cs="Arial"/>
                <w:bCs/>
              </w:rPr>
              <w:t>93.95%</w:t>
            </w:r>
          </w:p>
        </w:tc>
        <w:tc>
          <w:tcPr>
            <w:tcW w:w="1155" w:type="dxa"/>
          </w:tcPr>
          <w:p w14:paraId="5EB26D91" w14:textId="2588E413"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0AF3DAA5" w14:textId="77777777" w:rsidTr="00F73A09">
        <w:trPr>
          <w:cantSplit/>
          <w:trHeight w:val="306"/>
        </w:trPr>
        <w:tc>
          <w:tcPr>
            <w:tcW w:w="2010" w:type="dxa"/>
          </w:tcPr>
          <w:p w14:paraId="3D613CA4"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257" w:type="dxa"/>
          </w:tcPr>
          <w:p w14:paraId="7DA138D1"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0" w:type="dxa"/>
          </w:tcPr>
          <w:p w14:paraId="3BC8F9AD" w14:textId="75DDEBD1"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0" w:type="dxa"/>
          </w:tcPr>
          <w:p w14:paraId="18D160CB" w14:textId="5B170D4E"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0" w:type="dxa"/>
          </w:tcPr>
          <w:p w14:paraId="61AC30FB" w14:textId="1F52712A" w:rsidR="00DF008C" w:rsidRPr="00D55FA1" w:rsidRDefault="002B28F9" w:rsidP="00DF008C">
            <w:pPr>
              <w:widowControl w:val="0"/>
              <w:overflowPunct w:val="0"/>
              <w:autoSpaceDE w:val="0"/>
              <w:autoSpaceDN w:val="0"/>
              <w:adjustRightInd w:val="0"/>
              <w:jc w:val="center"/>
              <w:rPr>
                <w:rFonts w:cs="Arial"/>
                <w:bCs/>
              </w:rPr>
            </w:pPr>
            <w:r>
              <w:rPr>
                <w:rFonts w:cs="Arial"/>
                <w:bCs/>
              </w:rPr>
              <w:t>No</w:t>
            </w:r>
          </w:p>
        </w:tc>
        <w:tc>
          <w:tcPr>
            <w:tcW w:w="1180" w:type="dxa"/>
          </w:tcPr>
          <w:p w14:paraId="26B1A375" w14:textId="48323240" w:rsidR="00DF008C" w:rsidRPr="00D55FA1" w:rsidRDefault="007F4F12" w:rsidP="00DF008C">
            <w:pPr>
              <w:widowControl w:val="0"/>
              <w:overflowPunct w:val="0"/>
              <w:autoSpaceDE w:val="0"/>
              <w:autoSpaceDN w:val="0"/>
              <w:adjustRightInd w:val="0"/>
              <w:jc w:val="center"/>
              <w:rPr>
                <w:rFonts w:cs="Arial"/>
                <w:bCs/>
              </w:rPr>
            </w:pPr>
            <w:r>
              <w:rPr>
                <w:rFonts w:cs="Arial"/>
                <w:bCs/>
              </w:rPr>
              <w:t>No</w:t>
            </w:r>
          </w:p>
        </w:tc>
        <w:tc>
          <w:tcPr>
            <w:tcW w:w="1155" w:type="dxa"/>
          </w:tcPr>
          <w:p w14:paraId="211FC6EA" w14:textId="0FA2656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bl>
    <w:p w14:paraId="0AB93745" w14:textId="77777777" w:rsidR="00B01328" w:rsidRPr="00D55FA1" w:rsidRDefault="00B01328" w:rsidP="007A43E3">
      <w:pPr>
        <w:rPr>
          <w:rFonts w:eastAsiaTheme="majorEastAsia"/>
        </w:rPr>
      </w:pPr>
      <w:r w:rsidRPr="00D55FA1">
        <w:br w:type="page"/>
      </w:r>
    </w:p>
    <w:p w14:paraId="432D796C" w14:textId="77777777" w:rsidR="00EB1E42" w:rsidRPr="00D55FA1" w:rsidRDefault="00EB1E42" w:rsidP="00EB1E42">
      <w:pPr>
        <w:pStyle w:val="Heading2"/>
        <w:spacing w:before="0"/>
        <w:jc w:val="center"/>
      </w:pPr>
      <w:bookmarkStart w:id="162" w:name="_Toc212718073"/>
      <w:r w:rsidRPr="00D55FA1">
        <w:lastRenderedPageBreak/>
        <w:t>Indicator 12: Early Childhood Transition</w:t>
      </w:r>
      <w:bookmarkEnd w:id="162"/>
    </w:p>
    <w:p w14:paraId="326406E6" w14:textId="77777777" w:rsidR="00EB1E42" w:rsidRPr="00D55FA1" w:rsidRDefault="00710B39" w:rsidP="00EB1E42">
      <w:pPr>
        <w:pStyle w:val="Heading3"/>
        <w:spacing w:before="0"/>
      </w:pPr>
      <w:bookmarkStart w:id="163" w:name="_Toc212718074"/>
      <w:r w:rsidRPr="00D55FA1">
        <w:t>Description</w:t>
      </w:r>
      <w:bookmarkEnd w:id="163"/>
    </w:p>
    <w:p w14:paraId="27320D8F" w14:textId="48E032E1" w:rsidR="00EB1E42" w:rsidRPr="00D55FA1" w:rsidRDefault="00EB1E42" w:rsidP="00EB1E42">
      <w:pPr>
        <w:tabs>
          <w:tab w:val="left" w:pos="720"/>
          <w:tab w:val="center" w:pos="4680"/>
          <w:tab w:val="right" w:pos="9360"/>
        </w:tabs>
        <w:spacing w:after="240"/>
        <w:rPr>
          <w:rFonts w:cs="Arial"/>
        </w:rPr>
      </w:pPr>
      <w:r w:rsidRPr="00D55FA1">
        <w:rPr>
          <w:rFonts w:cs="Arial"/>
        </w:rPr>
        <w:t xml:space="preserve">Indicator 12 is a compliance indicator that measures the </w:t>
      </w:r>
      <w:proofErr w:type="gramStart"/>
      <w:r w:rsidRPr="00D55FA1">
        <w:rPr>
          <w:rFonts w:cs="Arial"/>
        </w:rPr>
        <w:t>percent</w:t>
      </w:r>
      <w:proofErr w:type="gramEnd"/>
      <w:r w:rsidRPr="00D55FA1">
        <w:rPr>
          <w:rFonts w:cs="Arial"/>
        </w:rPr>
        <w:t xml:space="preserve"> of children </w:t>
      </w:r>
      <w:proofErr w:type="gramStart"/>
      <w:r w:rsidRPr="00D55FA1">
        <w:rPr>
          <w:rFonts w:cs="Arial"/>
        </w:rPr>
        <w:t>referred</w:t>
      </w:r>
      <w:proofErr w:type="gramEnd"/>
      <w:r w:rsidRPr="00D55FA1">
        <w:rPr>
          <w:rFonts w:cs="Arial"/>
        </w:rPr>
        <w:t xml:space="preserve"> by the infant program (IDEA Part C</w:t>
      </w:r>
      <w:r w:rsidR="00C92D26" w:rsidRPr="00D55FA1">
        <w:rPr>
          <w:rFonts w:cs="Arial"/>
        </w:rPr>
        <w:t xml:space="preserve">, early intervention services for children birth through age </w:t>
      </w:r>
      <w:r w:rsidR="00A30073">
        <w:rPr>
          <w:rFonts w:cs="Arial"/>
        </w:rPr>
        <w:t>two</w:t>
      </w:r>
      <w:r w:rsidRPr="00D55FA1">
        <w:rPr>
          <w:rFonts w:cs="Arial"/>
        </w:rPr>
        <w:t>) prior to age three, who are found eligible for Part B, and who have an IEP developed and implemented by their third birthday. These data were collected through CALPADS and data from the Department of Developmental Services</w:t>
      </w:r>
      <w:r w:rsidR="12BDE97E" w:rsidRPr="00D55FA1">
        <w:rPr>
          <w:rFonts w:cs="Arial"/>
        </w:rPr>
        <w:t xml:space="preserve"> (DDS)</w:t>
      </w:r>
      <w:r w:rsidRPr="00D55FA1">
        <w:rPr>
          <w:rFonts w:cs="Arial"/>
        </w:rPr>
        <w:t>.</w:t>
      </w:r>
      <w:r w:rsidR="506FD3E3" w:rsidRPr="00D55FA1">
        <w:rPr>
          <w:rFonts w:cs="Arial"/>
        </w:rPr>
        <w:t xml:space="preserve"> The DDS is the lead agency for IDEA Part C.</w:t>
      </w:r>
    </w:p>
    <w:p w14:paraId="07C3D026" w14:textId="77777777" w:rsidR="00EB1E42" w:rsidRPr="00D55FA1" w:rsidRDefault="00710B39" w:rsidP="00EB1E42">
      <w:pPr>
        <w:pStyle w:val="Heading3"/>
        <w:spacing w:before="0"/>
      </w:pPr>
      <w:bookmarkStart w:id="164" w:name="_Toc212718075"/>
      <w:r w:rsidRPr="00D55FA1">
        <w:t>Measurement</w:t>
      </w:r>
      <w:bookmarkEnd w:id="164"/>
    </w:p>
    <w:p w14:paraId="63308261" w14:textId="77777777" w:rsidR="00710B39" w:rsidRPr="00D55FA1" w:rsidRDefault="00710B39" w:rsidP="00710B39">
      <w:pPr>
        <w:tabs>
          <w:tab w:val="left" w:pos="720"/>
          <w:tab w:val="center" w:pos="4680"/>
          <w:tab w:val="right" w:pos="9360"/>
        </w:tabs>
        <w:spacing w:after="240"/>
        <w:rPr>
          <w:rFonts w:cs="Arial"/>
        </w:rPr>
      </w:pPr>
      <w:r w:rsidRPr="00D55FA1">
        <w:rPr>
          <w:rFonts w:cs="Arial"/>
        </w:rPr>
        <w:t>The indicator is calculated as follows:</w:t>
      </w:r>
    </w:p>
    <w:p w14:paraId="2288A496" w14:textId="77777777" w:rsidR="00710B39" w:rsidRPr="00D55FA1" w:rsidRDefault="00710B39" w:rsidP="00664876">
      <w:pPr>
        <w:pStyle w:val="ListParagraph"/>
        <w:numPr>
          <w:ilvl w:val="0"/>
          <w:numId w:val="4"/>
        </w:numPr>
        <w:tabs>
          <w:tab w:val="left" w:pos="720"/>
          <w:tab w:val="center" w:pos="4320"/>
          <w:tab w:val="right" w:pos="8640"/>
        </w:tabs>
        <w:spacing w:after="240"/>
        <w:contextualSpacing w:val="0"/>
        <w:rPr>
          <w:rFonts w:cs="Arial"/>
        </w:rPr>
      </w:pPr>
      <w:r w:rsidRPr="00D55FA1">
        <w:rPr>
          <w:rFonts w:cs="Arial"/>
        </w:rPr>
        <w:t>Number of children who have been served in Part C and referred to Part B (LEA notified pursuant to the IDEA section 637[a][9][A] for Part B eligibility determination).</w:t>
      </w:r>
    </w:p>
    <w:p w14:paraId="3EBCCFBB" w14:textId="47AE9428" w:rsidR="00710B39" w:rsidRPr="00D55FA1" w:rsidRDefault="00710B39" w:rsidP="00664876">
      <w:pPr>
        <w:pStyle w:val="ListParagraph"/>
        <w:numPr>
          <w:ilvl w:val="0"/>
          <w:numId w:val="4"/>
        </w:numPr>
        <w:tabs>
          <w:tab w:val="left" w:pos="720"/>
          <w:tab w:val="center" w:pos="4320"/>
          <w:tab w:val="right" w:pos="8640"/>
        </w:tabs>
        <w:spacing w:after="240"/>
        <w:contextualSpacing w:val="0"/>
        <w:rPr>
          <w:rFonts w:cs="Arial"/>
        </w:rPr>
      </w:pPr>
      <w:r w:rsidRPr="00D55FA1">
        <w:rPr>
          <w:rFonts w:cs="Arial"/>
        </w:rPr>
        <w:t xml:space="preserve">Number of children referred determined </w:t>
      </w:r>
      <w:proofErr w:type="gramStart"/>
      <w:r w:rsidRPr="00D55FA1">
        <w:rPr>
          <w:rFonts w:cs="Arial"/>
        </w:rPr>
        <w:t xml:space="preserve">to </w:t>
      </w:r>
      <w:r w:rsidRPr="00D55FA1">
        <w:rPr>
          <w:rFonts w:cs="Arial"/>
          <w:b/>
        </w:rPr>
        <w:t>not</w:t>
      </w:r>
      <w:proofErr w:type="gramEnd"/>
      <w:r w:rsidRPr="00D55FA1">
        <w:rPr>
          <w:rFonts w:cs="Arial"/>
        </w:rPr>
        <w:t xml:space="preserve"> be eligible and whose </w:t>
      </w:r>
      <w:r w:rsidR="00BC42C0" w:rsidRPr="00D55FA1">
        <w:rPr>
          <w:rFonts w:cs="Arial"/>
        </w:rPr>
        <w:t>eligibility was</w:t>
      </w:r>
      <w:r w:rsidRPr="00D55FA1">
        <w:rPr>
          <w:rFonts w:cs="Arial"/>
        </w:rPr>
        <w:t xml:space="preserve"> determined prior to their third birthday.</w:t>
      </w:r>
    </w:p>
    <w:p w14:paraId="25A4837A" w14:textId="77777777" w:rsidR="00710B39" w:rsidRPr="00D55FA1" w:rsidRDefault="00710B39" w:rsidP="00664876">
      <w:pPr>
        <w:pStyle w:val="ListParagraph"/>
        <w:numPr>
          <w:ilvl w:val="0"/>
          <w:numId w:val="4"/>
        </w:numPr>
        <w:tabs>
          <w:tab w:val="left" w:pos="720"/>
          <w:tab w:val="center" w:pos="4320"/>
          <w:tab w:val="right" w:pos="8640"/>
        </w:tabs>
        <w:spacing w:after="240"/>
        <w:contextualSpacing w:val="0"/>
        <w:rPr>
          <w:rFonts w:cs="Arial"/>
        </w:rPr>
      </w:pPr>
      <w:r w:rsidRPr="00D55FA1">
        <w:rPr>
          <w:rFonts w:cs="Arial"/>
        </w:rPr>
        <w:t>Number of children found eligible who have an IEP developed and implemented by their third birthday.</w:t>
      </w:r>
    </w:p>
    <w:p w14:paraId="43B2FBFC" w14:textId="77777777" w:rsidR="00710B39" w:rsidRPr="00D55FA1" w:rsidRDefault="00710B39" w:rsidP="00664876">
      <w:pPr>
        <w:pStyle w:val="ListParagraph"/>
        <w:numPr>
          <w:ilvl w:val="0"/>
          <w:numId w:val="4"/>
        </w:numPr>
        <w:tabs>
          <w:tab w:val="left" w:pos="720"/>
          <w:tab w:val="center" w:pos="4320"/>
          <w:tab w:val="right" w:pos="8640"/>
        </w:tabs>
        <w:spacing w:after="240"/>
        <w:contextualSpacing w:val="0"/>
        <w:rPr>
          <w:rFonts w:cs="Arial"/>
        </w:rPr>
      </w:pPr>
      <w:r w:rsidRPr="00D55FA1">
        <w:rPr>
          <w:rFonts w:cs="Arial"/>
        </w:rPr>
        <w:t>Number of children for whom parental refusal to provide consent caused delays in evaluation or initial services.</w:t>
      </w:r>
    </w:p>
    <w:p w14:paraId="300FD380" w14:textId="77777777" w:rsidR="00710B39" w:rsidRPr="00D55FA1" w:rsidRDefault="00710B39" w:rsidP="00664876">
      <w:pPr>
        <w:pStyle w:val="ListParagraph"/>
        <w:numPr>
          <w:ilvl w:val="0"/>
          <w:numId w:val="4"/>
        </w:numPr>
        <w:tabs>
          <w:tab w:val="left" w:pos="720"/>
          <w:tab w:val="center" w:pos="4320"/>
          <w:tab w:val="right" w:pos="8640"/>
        </w:tabs>
        <w:spacing w:after="240"/>
        <w:contextualSpacing w:val="0"/>
        <w:rPr>
          <w:rFonts w:cs="Arial"/>
        </w:rPr>
      </w:pPr>
      <w:r w:rsidRPr="00D55FA1">
        <w:rPr>
          <w:rFonts w:cs="Arial"/>
        </w:rPr>
        <w:t>Number of children who were referred to Part C less than 90 days before their third birthdays.</w:t>
      </w:r>
    </w:p>
    <w:p w14:paraId="189BF188" w14:textId="77777777" w:rsidR="00EB1E42" w:rsidRPr="00D55FA1" w:rsidRDefault="00710B39" w:rsidP="00710B39">
      <w:pPr>
        <w:tabs>
          <w:tab w:val="left" w:pos="720"/>
          <w:tab w:val="center" w:pos="4320"/>
          <w:tab w:val="right" w:pos="8640"/>
        </w:tabs>
        <w:spacing w:after="240"/>
        <w:rPr>
          <w:rFonts w:cs="Arial"/>
        </w:rPr>
      </w:pPr>
      <w:r w:rsidRPr="00D55FA1">
        <w:rPr>
          <w:rFonts w:cs="Arial"/>
        </w:rPr>
        <w:t xml:space="preserve">Percent of children referred equals (c) divided by (a-b-d-e) times 100. </w:t>
      </w:r>
    </w:p>
    <w:p w14:paraId="6AA61D31" w14:textId="77777777" w:rsidR="00EB1E42" w:rsidRPr="00972232" w:rsidRDefault="00710B39" w:rsidP="00972232">
      <w:pPr>
        <w:spacing w:after="240"/>
        <w:rPr>
          <w:b/>
          <w:bCs/>
        </w:rPr>
      </w:pPr>
      <w:r w:rsidRPr="00972232">
        <w:rPr>
          <w:b/>
          <w:bCs/>
        </w:rPr>
        <w:t>Target Met: No</w:t>
      </w:r>
    </w:p>
    <w:p w14:paraId="71157110" w14:textId="16DA9A5B" w:rsidR="00EB1E42" w:rsidRPr="00972232" w:rsidRDefault="00972232" w:rsidP="00972232">
      <w:pPr>
        <w:spacing w:after="240"/>
        <w:rPr>
          <w:b/>
          <w:bCs/>
        </w:rPr>
      </w:pPr>
      <w:r>
        <w:rPr>
          <w:b/>
          <w:bCs/>
        </w:rPr>
        <w:t xml:space="preserve">Table </w:t>
      </w:r>
      <w:r w:rsidR="00955301">
        <w:rPr>
          <w:b/>
          <w:bCs/>
        </w:rPr>
        <w:t xml:space="preserve">20: </w:t>
      </w:r>
      <w:r w:rsidR="00EB1E42" w:rsidRPr="00972232">
        <w:rPr>
          <w:b/>
          <w:bCs/>
        </w:rPr>
        <w:t xml:space="preserve">Early Childhood Transition </w:t>
      </w:r>
      <w:r w:rsidR="00710B39" w:rsidRPr="00972232">
        <w:rPr>
          <w:b/>
          <w:bCs/>
        </w:rPr>
        <w:t xml:space="preserve">Targets and Results for FFYs </w:t>
      </w:r>
      <w:r w:rsidR="0066332C" w:rsidRPr="00972232">
        <w:rPr>
          <w:b/>
          <w:bCs/>
        </w:rPr>
        <w:t>2020</w:t>
      </w:r>
      <w:r w:rsidR="0066332C" w:rsidRPr="00972232">
        <w:rPr>
          <w:rFonts w:cs="Arial"/>
          <w:b/>
          <w:bCs/>
        </w:rPr>
        <w:t>–25</w:t>
      </w:r>
    </w:p>
    <w:tbl>
      <w:tblPr>
        <w:tblStyle w:val="TableGrid1"/>
        <w:tblW w:w="9230" w:type="dxa"/>
        <w:tblLook w:val="04A0" w:firstRow="1" w:lastRow="0" w:firstColumn="1" w:lastColumn="0" w:noHBand="0" w:noVBand="1"/>
        <w:tblDescription w:val="Indicator 12 Targets and Results"/>
      </w:tblPr>
      <w:tblGrid>
        <w:gridCol w:w="2037"/>
        <w:gridCol w:w="1261"/>
        <w:gridCol w:w="1194"/>
        <w:gridCol w:w="1191"/>
        <w:gridCol w:w="1191"/>
        <w:gridCol w:w="1191"/>
        <w:gridCol w:w="1165"/>
      </w:tblGrid>
      <w:tr w:rsidR="000860C9" w:rsidRPr="00D55FA1" w14:paraId="237FF5DA" w14:textId="77777777" w:rsidTr="000860C9">
        <w:trPr>
          <w:cantSplit/>
          <w:trHeight w:val="320"/>
          <w:tblHeader/>
        </w:trPr>
        <w:tc>
          <w:tcPr>
            <w:tcW w:w="2037" w:type="dxa"/>
            <w:tcBorders>
              <w:top w:val="single" w:sz="4" w:space="0" w:color="auto"/>
              <w:left w:val="single" w:sz="4" w:space="0" w:color="auto"/>
              <w:bottom w:val="single" w:sz="4" w:space="0" w:color="auto"/>
              <w:right w:val="single" w:sz="4" w:space="0" w:color="auto"/>
            </w:tcBorders>
            <w:hideMark/>
          </w:tcPr>
          <w:p w14:paraId="7AD2775C" w14:textId="77777777" w:rsidR="000860C9" w:rsidRPr="00D55FA1" w:rsidRDefault="000860C9" w:rsidP="00704E41">
            <w:pPr>
              <w:widowControl w:val="0"/>
              <w:overflowPunct w:val="0"/>
              <w:autoSpaceDE w:val="0"/>
              <w:autoSpaceDN w:val="0"/>
              <w:adjustRightInd w:val="0"/>
              <w:jc w:val="center"/>
              <w:rPr>
                <w:rFonts w:cs="Arial"/>
                <w:b/>
                <w:bCs/>
                <w:szCs w:val="22"/>
              </w:rPr>
            </w:pPr>
            <w:r w:rsidRPr="00D55FA1">
              <w:rPr>
                <w:rFonts w:cs="Arial"/>
                <w:b/>
                <w:bCs/>
              </w:rPr>
              <w:t>Indicator 12</w:t>
            </w:r>
          </w:p>
        </w:tc>
        <w:tc>
          <w:tcPr>
            <w:tcW w:w="1261" w:type="dxa"/>
            <w:tcBorders>
              <w:top w:val="single" w:sz="4" w:space="0" w:color="auto"/>
              <w:left w:val="single" w:sz="4" w:space="0" w:color="auto"/>
              <w:bottom w:val="single" w:sz="4" w:space="0" w:color="auto"/>
              <w:right w:val="single" w:sz="4" w:space="0" w:color="auto"/>
            </w:tcBorders>
            <w:hideMark/>
          </w:tcPr>
          <w:p w14:paraId="6DB399CE"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2020</w:t>
            </w:r>
          </w:p>
        </w:tc>
        <w:tc>
          <w:tcPr>
            <w:tcW w:w="1194" w:type="dxa"/>
            <w:tcBorders>
              <w:top w:val="single" w:sz="4" w:space="0" w:color="auto"/>
              <w:left w:val="single" w:sz="4" w:space="0" w:color="auto"/>
              <w:bottom w:val="single" w:sz="4" w:space="0" w:color="auto"/>
              <w:right w:val="single" w:sz="4" w:space="0" w:color="auto"/>
            </w:tcBorders>
            <w:hideMark/>
          </w:tcPr>
          <w:p w14:paraId="22841305"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2021</w:t>
            </w:r>
          </w:p>
        </w:tc>
        <w:tc>
          <w:tcPr>
            <w:tcW w:w="1191" w:type="dxa"/>
            <w:tcBorders>
              <w:top w:val="single" w:sz="4" w:space="0" w:color="auto"/>
              <w:left w:val="single" w:sz="4" w:space="0" w:color="auto"/>
              <w:bottom w:val="single" w:sz="4" w:space="0" w:color="auto"/>
              <w:right w:val="single" w:sz="4" w:space="0" w:color="auto"/>
            </w:tcBorders>
            <w:hideMark/>
          </w:tcPr>
          <w:p w14:paraId="10646892"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2022</w:t>
            </w:r>
          </w:p>
        </w:tc>
        <w:tc>
          <w:tcPr>
            <w:tcW w:w="1191" w:type="dxa"/>
            <w:tcBorders>
              <w:top w:val="single" w:sz="4" w:space="0" w:color="auto"/>
              <w:left w:val="single" w:sz="4" w:space="0" w:color="auto"/>
              <w:bottom w:val="single" w:sz="4" w:space="0" w:color="auto"/>
              <w:right w:val="single" w:sz="4" w:space="0" w:color="auto"/>
            </w:tcBorders>
            <w:hideMark/>
          </w:tcPr>
          <w:p w14:paraId="4E8F09C0"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2023</w:t>
            </w:r>
          </w:p>
        </w:tc>
        <w:tc>
          <w:tcPr>
            <w:tcW w:w="1191" w:type="dxa"/>
            <w:tcBorders>
              <w:top w:val="single" w:sz="4" w:space="0" w:color="auto"/>
              <w:left w:val="single" w:sz="4" w:space="0" w:color="auto"/>
              <w:bottom w:val="single" w:sz="4" w:space="0" w:color="auto"/>
              <w:right w:val="single" w:sz="4" w:space="0" w:color="auto"/>
            </w:tcBorders>
            <w:hideMark/>
          </w:tcPr>
          <w:p w14:paraId="07882030"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2024</w:t>
            </w:r>
          </w:p>
        </w:tc>
        <w:tc>
          <w:tcPr>
            <w:tcW w:w="1165" w:type="dxa"/>
            <w:tcBorders>
              <w:top w:val="single" w:sz="4" w:space="0" w:color="auto"/>
              <w:left w:val="single" w:sz="4" w:space="0" w:color="auto"/>
              <w:bottom w:val="single" w:sz="4" w:space="0" w:color="auto"/>
              <w:right w:val="single" w:sz="4" w:space="0" w:color="auto"/>
            </w:tcBorders>
            <w:hideMark/>
          </w:tcPr>
          <w:p w14:paraId="33E99C84"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2025</w:t>
            </w:r>
          </w:p>
        </w:tc>
      </w:tr>
      <w:tr w:rsidR="000860C9" w:rsidRPr="00C322C7" w14:paraId="5E30EDA6" w14:textId="77777777" w:rsidTr="000860C9">
        <w:trPr>
          <w:cantSplit/>
          <w:trHeight w:val="320"/>
        </w:trPr>
        <w:tc>
          <w:tcPr>
            <w:tcW w:w="2037" w:type="dxa"/>
            <w:tcBorders>
              <w:top w:val="single" w:sz="4" w:space="0" w:color="auto"/>
              <w:left w:val="single" w:sz="4" w:space="0" w:color="auto"/>
              <w:bottom w:val="single" w:sz="4" w:space="0" w:color="auto"/>
              <w:right w:val="single" w:sz="4" w:space="0" w:color="auto"/>
            </w:tcBorders>
            <w:hideMark/>
          </w:tcPr>
          <w:p w14:paraId="18A27E43" w14:textId="77777777" w:rsidR="000860C9" w:rsidRPr="00C322C7" w:rsidRDefault="000860C9" w:rsidP="00704E41">
            <w:pPr>
              <w:widowControl w:val="0"/>
              <w:overflowPunct w:val="0"/>
              <w:autoSpaceDE w:val="0"/>
              <w:autoSpaceDN w:val="0"/>
              <w:adjustRightInd w:val="0"/>
              <w:jc w:val="center"/>
              <w:rPr>
                <w:rFonts w:cs="Arial"/>
                <w:bCs/>
              </w:rPr>
            </w:pPr>
            <w:r w:rsidRPr="00C322C7">
              <w:rPr>
                <w:rFonts w:cs="Arial"/>
                <w:bCs/>
              </w:rPr>
              <w:t>Target</w:t>
            </w:r>
          </w:p>
        </w:tc>
        <w:tc>
          <w:tcPr>
            <w:tcW w:w="1261" w:type="dxa"/>
            <w:tcBorders>
              <w:top w:val="single" w:sz="4" w:space="0" w:color="auto"/>
              <w:left w:val="single" w:sz="4" w:space="0" w:color="auto"/>
              <w:bottom w:val="single" w:sz="4" w:space="0" w:color="auto"/>
              <w:right w:val="single" w:sz="4" w:space="0" w:color="auto"/>
            </w:tcBorders>
            <w:hideMark/>
          </w:tcPr>
          <w:p w14:paraId="1BC29B0B" w14:textId="77777777" w:rsidR="000860C9" w:rsidRPr="00C322C7" w:rsidRDefault="000860C9" w:rsidP="00704E41">
            <w:pPr>
              <w:widowControl w:val="0"/>
              <w:overflowPunct w:val="0"/>
              <w:autoSpaceDE w:val="0"/>
              <w:autoSpaceDN w:val="0"/>
              <w:adjustRightInd w:val="0"/>
              <w:jc w:val="center"/>
              <w:rPr>
                <w:rFonts w:cs="Arial"/>
                <w:bCs/>
              </w:rPr>
            </w:pPr>
            <w:r w:rsidRPr="00C322C7">
              <w:rPr>
                <w:rFonts w:cs="Arial"/>
                <w:bCs/>
              </w:rPr>
              <w:t>100%</w:t>
            </w:r>
          </w:p>
        </w:tc>
        <w:tc>
          <w:tcPr>
            <w:tcW w:w="1194" w:type="dxa"/>
            <w:tcBorders>
              <w:top w:val="single" w:sz="4" w:space="0" w:color="auto"/>
              <w:left w:val="single" w:sz="4" w:space="0" w:color="auto"/>
              <w:bottom w:val="single" w:sz="4" w:space="0" w:color="auto"/>
              <w:right w:val="single" w:sz="4" w:space="0" w:color="auto"/>
            </w:tcBorders>
            <w:hideMark/>
          </w:tcPr>
          <w:p w14:paraId="3CD34E3B" w14:textId="77777777" w:rsidR="000860C9" w:rsidRPr="00C322C7" w:rsidRDefault="000860C9" w:rsidP="00704E41">
            <w:pPr>
              <w:widowControl w:val="0"/>
              <w:overflowPunct w:val="0"/>
              <w:autoSpaceDE w:val="0"/>
              <w:autoSpaceDN w:val="0"/>
              <w:adjustRightInd w:val="0"/>
              <w:jc w:val="center"/>
              <w:rPr>
                <w:rFonts w:cs="Arial"/>
                <w:bCs/>
              </w:rPr>
            </w:pPr>
            <w:r w:rsidRPr="00C322C7">
              <w:rPr>
                <w:rFonts w:cs="Arial"/>
                <w:bCs/>
              </w:rPr>
              <w:t>100%</w:t>
            </w:r>
          </w:p>
        </w:tc>
        <w:tc>
          <w:tcPr>
            <w:tcW w:w="1191" w:type="dxa"/>
            <w:tcBorders>
              <w:top w:val="single" w:sz="4" w:space="0" w:color="auto"/>
              <w:left w:val="single" w:sz="4" w:space="0" w:color="auto"/>
              <w:bottom w:val="single" w:sz="4" w:space="0" w:color="auto"/>
              <w:right w:val="single" w:sz="4" w:space="0" w:color="auto"/>
            </w:tcBorders>
            <w:hideMark/>
          </w:tcPr>
          <w:p w14:paraId="00509FFE" w14:textId="77777777" w:rsidR="000860C9" w:rsidRPr="00C322C7" w:rsidRDefault="000860C9" w:rsidP="00704E41">
            <w:pPr>
              <w:widowControl w:val="0"/>
              <w:overflowPunct w:val="0"/>
              <w:autoSpaceDE w:val="0"/>
              <w:autoSpaceDN w:val="0"/>
              <w:adjustRightInd w:val="0"/>
              <w:jc w:val="center"/>
              <w:rPr>
                <w:rFonts w:cs="Arial"/>
                <w:bCs/>
              </w:rPr>
            </w:pPr>
            <w:r w:rsidRPr="00C322C7">
              <w:rPr>
                <w:rFonts w:cs="Arial"/>
                <w:bCs/>
              </w:rPr>
              <w:t>100%</w:t>
            </w:r>
          </w:p>
        </w:tc>
        <w:tc>
          <w:tcPr>
            <w:tcW w:w="1191" w:type="dxa"/>
            <w:tcBorders>
              <w:top w:val="single" w:sz="4" w:space="0" w:color="auto"/>
              <w:left w:val="single" w:sz="4" w:space="0" w:color="auto"/>
              <w:bottom w:val="single" w:sz="4" w:space="0" w:color="auto"/>
              <w:right w:val="single" w:sz="4" w:space="0" w:color="auto"/>
            </w:tcBorders>
            <w:hideMark/>
          </w:tcPr>
          <w:p w14:paraId="5B16EF0A" w14:textId="77777777" w:rsidR="000860C9" w:rsidRPr="00C322C7" w:rsidRDefault="000860C9" w:rsidP="00704E41">
            <w:pPr>
              <w:widowControl w:val="0"/>
              <w:overflowPunct w:val="0"/>
              <w:autoSpaceDE w:val="0"/>
              <w:autoSpaceDN w:val="0"/>
              <w:adjustRightInd w:val="0"/>
              <w:jc w:val="center"/>
              <w:rPr>
                <w:rFonts w:cs="Arial"/>
                <w:bCs/>
              </w:rPr>
            </w:pPr>
            <w:r w:rsidRPr="00C322C7">
              <w:rPr>
                <w:rFonts w:cs="Arial"/>
                <w:bCs/>
              </w:rPr>
              <w:t>100%</w:t>
            </w:r>
          </w:p>
        </w:tc>
        <w:tc>
          <w:tcPr>
            <w:tcW w:w="1191" w:type="dxa"/>
            <w:tcBorders>
              <w:top w:val="single" w:sz="4" w:space="0" w:color="auto"/>
              <w:left w:val="single" w:sz="4" w:space="0" w:color="auto"/>
              <w:bottom w:val="single" w:sz="4" w:space="0" w:color="auto"/>
              <w:right w:val="single" w:sz="4" w:space="0" w:color="auto"/>
            </w:tcBorders>
            <w:hideMark/>
          </w:tcPr>
          <w:p w14:paraId="7F0F5EB9" w14:textId="77777777" w:rsidR="000860C9" w:rsidRPr="00C322C7" w:rsidRDefault="000860C9" w:rsidP="00704E41">
            <w:pPr>
              <w:widowControl w:val="0"/>
              <w:overflowPunct w:val="0"/>
              <w:autoSpaceDE w:val="0"/>
              <w:autoSpaceDN w:val="0"/>
              <w:adjustRightInd w:val="0"/>
              <w:jc w:val="center"/>
              <w:rPr>
                <w:rFonts w:cs="Arial"/>
                <w:bCs/>
              </w:rPr>
            </w:pPr>
            <w:r w:rsidRPr="00C322C7">
              <w:rPr>
                <w:rFonts w:cs="Arial"/>
                <w:bCs/>
              </w:rPr>
              <w:t>100%</w:t>
            </w:r>
          </w:p>
        </w:tc>
        <w:tc>
          <w:tcPr>
            <w:tcW w:w="1165" w:type="dxa"/>
            <w:tcBorders>
              <w:top w:val="single" w:sz="4" w:space="0" w:color="auto"/>
              <w:left w:val="single" w:sz="4" w:space="0" w:color="auto"/>
              <w:bottom w:val="single" w:sz="4" w:space="0" w:color="auto"/>
              <w:right w:val="single" w:sz="4" w:space="0" w:color="auto"/>
            </w:tcBorders>
            <w:hideMark/>
          </w:tcPr>
          <w:p w14:paraId="35FF7EF4" w14:textId="77777777" w:rsidR="000860C9" w:rsidRPr="00C322C7" w:rsidRDefault="000860C9" w:rsidP="00704E41">
            <w:pPr>
              <w:widowControl w:val="0"/>
              <w:overflowPunct w:val="0"/>
              <w:autoSpaceDE w:val="0"/>
              <w:autoSpaceDN w:val="0"/>
              <w:adjustRightInd w:val="0"/>
              <w:jc w:val="center"/>
              <w:rPr>
                <w:rFonts w:cs="Arial"/>
                <w:bCs/>
              </w:rPr>
            </w:pPr>
            <w:r w:rsidRPr="00C322C7">
              <w:rPr>
                <w:rFonts w:cs="Arial"/>
                <w:bCs/>
              </w:rPr>
              <w:t>100%</w:t>
            </w:r>
          </w:p>
        </w:tc>
      </w:tr>
      <w:tr w:rsidR="00DF008C" w:rsidRPr="00C322C7" w14:paraId="67F82996" w14:textId="77777777" w:rsidTr="000860C9">
        <w:trPr>
          <w:cantSplit/>
          <w:trHeight w:val="320"/>
        </w:trPr>
        <w:tc>
          <w:tcPr>
            <w:tcW w:w="2037" w:type="dxa"/>
            <w:tcBorders>
              <w:top w:val="single" w:sz="4" w:space="0" w:color="auto"/>
              <w:left w:val="single" w:sz="4" w:space="0" w:color="auto"/>
              <w:bottom w:val="single" w:sz="4" w:space="0" w:color="auto"/>
              <w:right w:val="single" w:sz="4" w:space="0" w:color="auto"/>
            </w:tcBorders>
          </w:tcPr>
          <w:p w14:paraId="2E36244D" w14:textId="77777777" w:rsidR="00DF008C" w:rsidRPr="00C322C7" w:rsidRDefault="00DF008C" w:rsidP="00DF008C">
            <w:pPr>
              <w:widowControl w:val="0"/>
              <w:overflowPunct w:val="0"/>
              <w:autoSpaceDE w:val="0"/>
              <w:autoSpaceDN w:val="0"/>
              <w:adjustRightInd w:val="0"/>
              <w:jc w:val="center"/>
              <w:rPr>
                <w:rFonts w:cs="Arial"/>
                <w:bCs/>
              </w:rPr>
            </w:pPr>
            <w:r w:rsidRPr="00C322C7">
              <w:rPr>
                <w:rFonts w:cs="Arial"/>
                <w:bCs/>
              </w:rPr>
              <w:t>Result</w:t>
            </w:r>
          </w:p>
        </w:tc>
        <w:tc>
          <w:tcPr>
            <w:tcW w:w="1261" w:type="dxa"/>
            <w:tcBorders>
              <w:top w:val="single" w:sz="4" w:space="0" w:color="auto"/>
              <w:left w:val="single" w:sz="4" w:space="0" w:color="auto"/>
              <w:bottom w:val="single" w:sz="4" w:space="0" w:color="auto"/>
              <w:right w:val="single" w:sz="4" w:space="0" w:color="auto"/>
            </w:tcBorders>
          </w:tcPr>
          <w:p w14:paraId="3F261EA7" w14:textId="77777777" w:rsidR="00DF008C" w:rsidRPr="00C322C7" w:rsidRDefault="00DF008C" w:rsidP="00DF008C">
            <w:pPr>
              <w:widowControl w:val="0"/>
              <w:overflowPunct w:val="0"/>
              <w:autoSpaceDE w:val="0"/>
              <w:autoSpaceDN w:val="0"/>
              <w:adjustRightInd w:val="0"/>
              <w:jc w:val="center"/>
              <w:rPr>
                <w:rFonts w:cs="Arial"/>
                <w:bCs/>
              </w:rPr>
            </w:pPr>
            <w:r w:rsidRPr="00C322C7">
              <w:rPr>
                <w:rFonts w:cs="Arial"/>
                <w:bCs/>
              </w:rPr>
              <w:t>72.59%</w:t>
            </w:r>
          </w:p>
        </w:tc>
        <w:tc>
          <w:tcPr>
            <w:tcW w:w="1194" w:type="dxa"/>
            <w:tcBorders>
              <w:top w:val="single" w:sz="4" w:space="0" w:color="auto"/>
              <w:left w:val="single" w:sz="4" w:space="0" w:color="auto"/>
              <w:bottom w:val="single" w:sz="4" w:space="0" w:color="auto"/>
              <w:right w:val="single" w:sz="4" w:space="0" w:color="auto"/>
            </w:tcBorders>
          </w:tcPr>
          <w:p w14:paraId="49635555" w14:textId="7759A3C7" w:rsidR="00DF008C" w:rsidRPr="00C322C7" w:rsidRDefault="00DF008C" w:rsidP="00DF008C">
            <w:pPr>
              <w:widowControl w:val="0"/>
              <w:overflowPunct w:val="0"/>
              <w:autoSpaceDE w:val="0"/>
              <w:autoSpaceDN w:val="0"/>
              <w:adjustRightInd w:val="0"/>
              <w:jc w:val="center"/>
              <w:rPr>
                <w:rFonts w:cs="Arial"/>
                <w:bCs/>
              </w:rPr>
            </w:pPr>
            <w:r w:rsidRPr="00C322C7">
              <w:rPr>
                <w:rFonts w:cs="Arial"/>
                <w:bCs/>
              </w:rPr>
              <w:t>78.15%</w:t>
            </w:r>
          </w:p>
        </w:tc>
        <w:tc>
          <w:tcPr>
            <w:tcW w:w="1191" w:type="dxa"/>
            <w:tcBorders>
              <w:top w:val="single" w:sz="4" w:space="0" w:color="auto"/>
              <w:left w:val="single" w:sz="4" w:space="0" w:color="auto"/>
              <w:bottom w:val="single" w:sz="4" w:space="0" w:color="auto"/>
              <w:right w:val="single" w:sz="4" w:space="0" w:color="auto"/>
            </w:tcBorders>
          </w:tcPr>
          <w:p w14:paraId="17A53FC6" w14:textId="03214DAF" w:rsidR="00DF008C" w:rsidRPr="00C322C7" w:rsidRDefault="00DF008C" w:rsidP="00DF008C">
            <w:pPr>
              <w:widowControl w:val="0"/>
              <w:overflowPunct w:val="0"/>
              <w:autoSpaceDE w:val="0"/>
              <w:autoSpaceDN w:val="0"/>
              <w:adjustRightInd w:val="0"/>
              <w:jc w:val="center"/>
              <w:rPr>
                <w:rFonts w:cs="Arial"/>
                <w:bCs/>
              </w:rPr>
            </w:pPr>
            <w:r w:rsidRPr="00C322C7">
              <w:rPr>
                <w:rFonts w:cs="Arial"/>
                <w:bCs/>
              </w:rPr>
              <w:t>76.09%</w:t>
            </w:r>
          </w:p>
        </w:tc>
        <w:tc>
          <w:tcPr>
            <w:tcW w:w="1191" w:type="dxa"/>
            <w:tcBorders>
              <w:top w:val="single" w:sz="4" w:space="0" w:color="auto"/>
              <w:left w:val="single" w:sz="4" w:space="0" w:color="auto"/>
              <w:bottom w:val="single" w:sz="4" w:space="0" w:color="auto"/>
              <w:right w:val="single" w:sz="4" w:space="0" w:color="auto"/>
            </w:tcBorders>
          </w:tcPr>
          <w:p w14:paraId="1CDEAE01" w14:textId="3EE63251" w:rsidR="00DF008C" w:rsidRPr="00C322C7" w:rsidRDefault="00272381" w:rsidP="00DF008C">
            <w:pPr>
              <w:widowControl w:val="0"/>
              <w:overflowPunct w:val="0"/>
              <w:autoSpaceDE w:val="0"/>
              <w:autoSpaceDN w:val="0"/>
              <w:adjustRightInd w:val="0"/>
              <w:jc w:val="center"/>
              <w:rPr>
                <w:rFonts w:cs="Arial"/>
                <w:bCs/>
              </w:rPr>
            </w:pPr>
            <w:r w:rsidRPr="00C322C7">
              <w:rPr>
                <w:rFonts w:cs="Arial"/>
                <w:bCs/>
              </w:rPr>
              <w:t>85.05%</w:t>
            </w:r>
          </w:p>
        </w:tc>
        <w:tc>
          <w:tcPr>
            <w:tcW w:w="1191" w:type="dxa"/>
            <w:tcBorders>
              <w:top w:val="single" w:sz="4" w:space="0" w:color="auto"/>
              <w:left w:val="single" w:sz="4" w:space="0" w:color="auto"/>
              <w:bottom w:val="single" w:sz="4" w:space="0" w:color="auto"/>
              <w:right w:val="single" w:sz="4" w:space="0" w:color="auto"/>
            </w:tcBorders>
          </w:tcPr>
          <w:p w14:paraId="50F07069" w14:textId="1C6F2C2B" w:rsidR="00DF008C" w:rsidRPr="00C322C7" w:rsidRDefault="00681C8A" w:rsidP="00DF008C">
            <w:pPr>
              <w:widowControl w:val="0"/>
              <w:overflowPunct w:val="0"/>
              <w:autoSpaceDE w:val="0"/>
              <w:autoSpaceDN w:val="0"/>
              <w:adjustRightInd w:val="0"/>
              <w:jc w:val="center"/>
              <w:rPr>
                <w:rFonts w:cs="Arial"/>
                <w:bCs/>
              </w:rPr>
            </w:pPr>
            <w:r>
              <w:rPr>
                <w:rFonts w:cs="Arial"/>
                <w:bCs/>
              </w:rPr>
              <w:t>85.</w:t>
            </w:r>
            <w:r w:rsidR="005F36D4">
              <w:rPr>
                <w:rFonts w:cs="Arial"/>
                <w:bCs/>
              </w:rPr>
              <w:t>47</w:t>
            </w:r>
            <w:r w:rsidR="00E51D0E">
              <w:rPr>
                <w:rFonts w:cs="Arial"/>
                <w:bCs/>
              </w:rPr>
              <w:t>%</w:t>
            </w:r>
          </w:p>
        </w:tc>
        <w:tc>
          <w:tcPr>
            <w:tcW w:w="1165" w:type="dxa"/>
            <w:tcBorders>
              <w:top w:val="single" w:sz="4" w:space="0" w:color="auto"/>
              <w:left w:val="single" w:sz="4" w:space="0" w:color="auto"/>
              <w:bottom w:val="single" w:sz="4" w:space="0" w:color="auto"/>
              <w:right w:val="single" w:sz="4" w:space="0" w:color="auto"/>
            </w:tcBorders>
          </w:tcPr>
          <w:p w14:paraId="2FF85D32" w14:textId="2F9BC57F" w:rsidR="00DF008C" w:rsidRPr="00C322C7" w:rsidRDefault="00DF008C" w:rsidP="00DF008C">
            <w:pPr>
              <w:widowControl w:val="0"/>
              <w:overflowPunct w:val="0"/>
              <w:autoSpaceDE w:val="0"/>
              <w:autoSpaceDN w:val="0"/>
              <w:adjustRightInd w:val="0"/>
              <w:jc w:val="center"/>
              <w:rPr>
                <w:rFonts w:cs="Arial"/>
                <w:bCs/>
              </w:rPr>
            </w:pPr>
            <w:r w:rsidRPr="00C322C7">
              <w:rPr>
                <w:rFonts w:cs="Arial"/>
                <w:bCs/>
              </w:rPr>
              <w:t>-</w:t>
            </w:r>
          </w:p>
        </w:tc>
      </w:tr>
      <w:tr w:rsidR="00DF008C" w:rsidRPr="00D55FA1" w14:paraId="1655D266" w14:textId="77777777" w:rsidTr="000860C9">
        <w:trPr>
          <w:cantSplit/>
          <w:trHeight w:val="320"/>
        </w:trPr>
        <w:tc>
          <w:tcPr>
            <w:tcW w:w="2037" w:type="dxa"/>
            <w:tcBorders>
              <w:top w:val="single" w:sz="4" w:space="0" w:color="auto"/>
              <w:left w:val="single" w:sz="4" w:space="0" w:color="auto"/>
              <w:bottom w:val="single" w:sz="4" w:space="0" w:color="auto"/>
              <w:right w:val="single" w:sz="4" w:space="0" w:color="auto"/>
            </w:tcBorders>
          </w:tcPr>
          <w:p w14:paraId="3DD1BA6D" w14:textId="77777777" w:rsidR="00DF008C" w:rsidRPr="00C322C7" w:rsidRDefault="00DF008C" w:rsidP="00DF008C">
            <w:pPr>
              <w:widowControl w:val="0"/>
              <w:overflowPunct w:val="0"/>
              <w:autoSpaceDE w:val="0"/>
              <w:autoSpaceDN w:val="0"/>
              <w:adjustRightInd w:val="0"/>
              <w:jc w:val="center"/>
              <w:rPr>
                <w:rFonts w:cs="Arial"/>
                <w:bCs/>
              </w:rPr>
            </w:pPr>
            <w:r w:rsidRPr="00C322C7">
              <w:rPr>
                <w:rFonts w:cs="Arial"/>
                <w:bCs/>
              </w:rPr>
              <w:t>Target Met</w:t>
            </w:r>
          </w:p>
        </w:tc>
        <w:tc>
          <w:tcPr>
            <w:tcW w:w="1261" w:type="dxa"/>
            <w:tcBorders>
              <w:top w:val="single" w:sz="4" w:space="0" w:color="auto"/>
              <w:left w:val="single" w:sz="4" w:space="0" w:color="auto"/>
              <w:bottom w:val="single" w:sz="4" w:space="0" w:color="auto"/>
              <w:right w:val="single" w:sz="4" w:space="0" w:color="auto"/>
            </w:tcBorders>
          </w:tcPr>
          <w:p w14:paraId="6767D938" w14:textId="77777777" w:rsidR="00DF008C" w:rsidRPr="00C322C7" w:rsidRDefault="00DF008C" w:rsidP="00DF008C">
            <w:pPr>
              <w:widowControl w:val="0"/>
              <w:overflowPunct w:val="0"/>
              <w:autoSpaceDE w:val="0"/>
              <w:autoSpaceDN w:val="0"/>
              <w:adjustRightInd w:val="0"/>
              <w:jc w:val="center"/>
              <w:rPr>
                <w:rFonts w:cs="Arial"/>
                <w:bCs/>
              </w:rPr>
            </w:pPr>
            <w:r w:rsidRPr="00C322C7">
              <w:rPr>
                <w:rFonts w:cs="Arial"/>
                <w:bCs/>
              </w:rPr>
              <w:t>No</w:t>
            </w:r>
          </w:p>
        </w:tc>
        <w:tc>
          <w:tcPr>
            <w:tcW w:w="1194" w:type="dxa"/>
            <w:tcBorders>
              <w:top w:val="single" w:sz="4" w:space="0" w:color="auto"/>
              <w:left w:val="single" w:sz="4" w:space="0" w:color="auto"/>
              <w:bottom w:val="single" w:sz="4" w:space="0" w:color="auto"/>
              <w:right w:val="single" w:sz="4" w:space="0" w:color="auto"/>
            </w:tcBorders>
          </w:tcPr>
          <w:p w14:paraId="1E954643" w14:textId="34C3214A" w:rsidR="00DF008C" w:rsidRPr="00C322C7" w:rsidRDefault="00DF008C" w:rsidP="00DF008C">
            <w:pPr>
              <w:widowControl w:val="0"/>
              <w:overflowPunct w:val="0"/>
              <w:autoSpaceDE w:val="0"/>
              <w:autoSpaceDN w:val="0"/>
              <w:adjustRightInd w:val="0"/>
              <w:jc w:val="center"/>
              <w:rPr>
                <w:rFonts w:cs="Arial"/>
                <w:bCs/>
              </w:rPr>
            </w:pPr>
            <w:r w:rsidRPr="00C322C7">
              <w:rPr>
                <w:rFonts w:cs="Arial"/>
                <w:bCs/>
              </w:rPr>
              <w:t>No</w:t>
            </w:r>
          </w:p>
        </w:tc>
        <w:tc>
          <w:tcPr>
            <w:tcW w:w="1191" w:type="dxa"/>
            <w:tcBorders>
              <w:top w:val="single" w:sz="4" w:space="0" w:color="auto"/>
              <w:left w:val="single" w:sz="4" w:space="0" w:color="auto"/>
              <w:bottom w:val="single" w:sz="4" w:space="0" w:color="auto"/>
              <w:right w:val="single" w:sz="4" w:space="0" w:color="auto"/>
            </w:tcBorders>
          </w:tcPr>
          <w:p w14:paraId="627AA0AC" w14:textId="3D6AD1E1" w:rsidR="00DF008C" w:rsidRPr="00C322C7" w:rsidRDefault="00DF008C" w:rsidP="00DF008C">
            <w:pPr>
              <w:widowControl w:val="0"/>
              <w:overflowPunct w:val="0"/>
              <w:autoSpaceDE w:val="0"/>
              <w:autoSpaceDN w:val="0"/>
              <w:adjustRightInd w:val="0"/>
              <w:jc w:val="center"/>
              <w:rPr>
                <w:rFonts w:cs="Arial"/>
                <w:bCs/>
              </w:rPr>
            </w:pPr>
            <w:r w:rsidRPr="00C322C7">
              <w:rPr>
                <w:rFonts w:cs="Arial"/>
                <w:bCs/>
              </w:rPr>
              <w:t>No</w:t>
            </w:r>
          </w:p>
        </w:tc>
        <w:tc>
          <w:tcPr>
            <w:tcW w:w="1191" w:type="dxa"/>
            <w:tcBorders>
              <w:top w:val="single" w:sz="4" w:space="0" w:color="auto"/>
              <w:left w:val="single" w:sz="4" w:space="0" w:color="auto"/>
              <w:bottom w:val="single" w:sz="4" w:space="0" w:color="auto"/>
              <w:right w:val="single" w:sz="4" w:space="0" w:color="auto"/>
            </w:tcBorders>
          </w:tcPr>
          <w:p w14:paraId="5A7AF15D" w14:textId="13C8778A" w:rsidR="00DF008C" w:rsidRPr="00C322C7" w:rsidRDefault="00272381" w:rsidP="00DF008C">
            <w:pPr>
              <w:widowControl w:val="0"/>
              <w:overflowPunct w:val="0"/>
              <w:autoSpaceDE w:val="0"/>
              <w:autoSpaceDN w:val="0"/>
              <w:adjustRightInd w:val="0"/>
              <w:jc w:val="center"/>
              <w:rPr>
                <w:rFonts w:cs="Arial"/>
                <w:bCs/>
              </w:rPr>
            </w:pPr>
            <w:r w:rsidRPr="00C322C7">
              <w:rPr>
                <w:rFonts w:cs="Arial"/>
                <w:bCs/>
              </w:rPr>
              <w:t>No</w:t>
            </w:r>
          </w:p>
        </w:tc>
        <w:tc>
          <w:tcPr>
            <w:tcW w:w="1191" w:type="dxa"/>
            <w:tcBorders>
              <w:top w:val="single" w:sz="4" w:space="0" w:color="auto"/>
              <w:left w:val="single" w:sz="4" w:space="0" w:color="auto"/>
              <w:bottom w:val="single" w:sz="4" w:space="0" w:color="auto"/>
              <w:right w:val="single" w:sz="4" w:space="0" w:color="auto"/>
            </w:tcBorders>
          </w:tcPr>
          <w:p w14:paraId="06686FEF" w14:textId="3EABBD68" w:rsidR="00DF008C" w:rsidRPr="00C322C7" w:rsidRDefault="00E51D0E" w:rsidP="00DF008C">
            <w:pPr>
              <w:widowControl w:val="0"/>
              <w:overflowPunct w:val="0"/>
              <w:autoSpaceDE w:val="0"/>
              <w:autoSpaceDN w:val="0"/>
              <w:adjustRightInd w:val="0"/>
              <w:jc w:val="center"/>
              <w:rPr>
                <w:rFonts w:cs="Arial"/>
                <w:bCs/>
              </w:rPr>
            </w:pPr>
            <w:r>
              <w:rPr>
                <w:rFonts w:cs="Arial"/>
                <w:bCs/>
              </w:rPr>
              <w:t>No</w:t>
            </w:r>
          </w:p>
        </w:tc>
        <w:tc>
          <w:tcPr>
            <w:tcW w:w="1165" w:type="dxa"/>
            <w:tcBorders>
              <w:top w:val="single" w:sz="4" w:space="0" w:color="auto"/>
              <w:left w:val="single" w:sz="4" w:space="0" w:color="auto"/>
              <w:bottom w:val="single" w:sz="4" w:space="0" w:color="auto"/>
              <w:right w:val="single" w:sz="4" w:space="0" w:color="auto"/>
            </w:tcBorders>
          </w:tcPr>
          <w:p w14:paraId="401A7268" w14:textId="05F473E1" w:rsidR="00DF008C" w:rsidRPr="00D55FA1" w:rsidRDefault="00DF008C" w:rsidP="00DF008C">
            <w:pPr>
              <w:widowControl w:val="0"/>
              <w:overflowPunct w:val="0"/>
              <w:autoSpaceDE w:val="0"/>
              <w:autoSpaceDN w:val="0"/>
              <w:adjustRightInd w:val="0"/>
              <w:jc w:val="center"/>
              <w:rPr>
                <w:rFonts w:cs="Arial"/>
                <w:bCs/>
              </w:rPr>
            </w:pPr>
            <w:r w:rsidRPr="00C322C7">
              <w:rPr>
                <w:rFonts w:cs="Arial"/>
                <w:bCs/>
              </w:rPr>
              <w:t>-</w:t>
            </w:r>
          </w:p>
        </w:tc>
      </w:tr>
    </w:tbl>
    <w:p w14:paraId="752F30A4" w14:textId="77777777" w:rsidR="00EB1E42" w:rsidRPr="00D55FA1" w:rsidRDefault="00EB1E42" w:rsidP="00A32D16">
      <w:r w:rsidRPr="00D55FA1">
        <w:br w:type="page"/>
      </w:r>
    </w:p>
    <w:p w14:paraId="6F3487FD" w14:textId="77777777" w:rsidR="00EB1E42" w:rsidRPr="00D55FA1" w:rsidRDefault="00EB1E42" w:rsidP="00EB1E42">
      <w:pPr>
        <w:pStyle w:val="Heading2"/>
        <w:spacing w:before="0"/>
        <w:jc w:val="center"/>
      </w:pPr>
      <w:bookmarkStart w:id="165" w:name="_Toc212718076"/>
      <w:r w:rsidRPr="00D55FA1">
        <w:lastRenderedPageBreak/>
        <w:t>Indicator 13: Secondary Transition</w:t>
      </w:r>
      <w:bookmarkEnd w:id="165"/>
    </w:p>
    <w:p w14:paraId="6693A9D0" w14:textId="77777777" w:rsidR="00EB1E42" w:rsidRPr="00D55FA1" w:rsidRDefault="0048342C" w:rsidP="00EB1E42">
      <w:pPr>
        <w:pStyle w:val="Heading3"/>
        <w:spacing w:before="0"/>
      </w:pPr>
      <w:bookmarkStart w:id="166" w:name="_Toc212718077"/>
      <w:r w:rsidRPr="00D55FA1">
        <w:t>Description</w:t>
      </w:r>
      <w:bookmarkEnd w:id="166"/>
    </w:p>
    <w:p w14:paraId="35478485" w14:textId="36A024C7" w:rsidR="00EB1E42" w:rsidRPr="00D55FA1" w:rsidRDefault="00EB1E42" w:rsidP="00EB1E42">
      <w:pPr>
        <w:tabs>
          <w:tab w:val="left" w:pos="720"/>
          <w:tab w:val="center" w:pos="4680"/>
          <w:tab w:val="right" w:pos="9360"/>
        </w:tabs>
        <w:spacing w:after="240"/>
        <w:rPr>
          <w:rFonts w:cs="Arial"/>
        </w:rPr>
      </w:pPr>
      <w:r w:rsidRPr="00D55FA1">
        <w:rPr>
          <w:rFonts w:cs="Arial"/>
        </w:rPr>
        <w:t xml:space="preserve">Indicator 13 is a compliance indicator that measures the percent of </w:t>
      </w:r>
      <w:r w:rsidR="00E34275" w:rsidRPr="00D55FA1">
        <w:rPr>
          <w:rFonts w:cs="Arial"/>
        </w:rPr>
        <w:t xml:space="preserve">SWDs </w:t>
      </w:r>
      <w:r w:rsidRPr="00D55FA1">
        <w:rPr>
          <w:rFonts w:cs="Arial"/>
        </w:rPr>
        <w:t>ages sixteen and above with an IEP that includes appropriate measurable postsecondary goals annually updated and based upon an age-appropriate transition assessment and transition services, including courses of study that will reasonably enable the student to meet those postsecondary goals, and annual IEP goals related to the student’s transition service needs. There must also be evidence that the student was invited to the IEP meeting where transition services are to be discussed and evidence that, if appropriate, a representative of any participating agency was invited to the IEP team meeting with the prior consent of the parent or student who has reached the age of majority.</w:t>
      </w:r>
    </w:p>
    <w:p w14:paraId="0561EC71" w14:textId="77777777" w:rsidR="00EB1E42" w:rsidRPr="00D55FA1" w:rsidRDefault="0048342C" w:rsidP="00EB1E42">
      <w:pPr>
        <w:pStyle w:val="Heading3"/>
        <w:spacing w:before="0"/>
      </w:pPr>
      <w:bookmarkStart w:id="167" w:name="_Toc212718078"/>
      <w:r w:rsidRPr="00D55FA1">
        <w:t>Measurement</w:t>
      </w:r>
      <w:bookmarkEnd w:id="167"/>
    </w:p>
    <w:p w14:paraId="6033EA05" w14:textId="704098D3" w:rsidR="00EB1E42" w:rsidRPr="00D55FA1" w:rsidRDefault="0048342C" w:rsidP="00DF008C">
      <w:pPr>
        <w:spacing w:after="240"/>
      </w:pPr>
      <w:r w:rsidRPr="00D55FA1">
        <w:t xml:space="preserve">Percent </w:t>
      </w:r>
      <w:proofErr w:type="gramStart"/>
      <w:r w:rsidRPr="00D55FA1">
        <w:t>= [(</w:t>
      </w:r>
      <w:proofErr w:type="gramEnd"/>
      <w:r w:rsidR="00C7167F" w:rsidRPr="00D55FA1">
        <w:t>number</w:t>
      </w:r>
      <w:r w:rsidRPr="00D55FA1">
        <w:t xml:space="preserve"> of </w:t>
      </w:r>
      <w:r w:rsidR="00D368E8" w:rsidRPr="00D55FA1">
        <w:t>youths</w:t>
      </w:r>
      <w:r w:rsidRPr="00D55FA1">
        <w:t xml:space="preserve"> with IEPs aged </w:t>
      </w:r>
      <w:r w:rsidR="003E4681">
        <w:t>sixteen</w:t>
      </w:r>
      <w:r w:rsidRPr="00D55FA1">
        <w:t xml:space="preserve"> and above with an IEP that includes appropriate measurable postsecondary goals that are annually updated and based upon an age</w:t>
      </w:r>
      <w:r w:rsidR="49B62823" w:rsidRPr="00D55FA1">
        <w:t>-</w:t>
      </w:r>
      <w:r w:rsidRPr="00D55FA1">
        <w:t>appropriate transition assessment) divided by the (</w:t>
      </w:r>
      <w:r w:rsidR="00C7167F" w:rsidRPr="00D55FA1">
        <w:t>number</w:t>
      </w:r>
      <w:r w:rsidRPr="00D55FA1">
        <w:t xml:space="preserve"> of </w:t>
      </w:r>
      <w:r w:rsidR="00D368E8" w:rsidRPr="00D55FA1">
        <w:t>youths</w:t>
      </w:r>
      <w:r w:rsidRPr="00D55FA1">
        <w:t xml:space="preserve"> with an IEP age </w:t>
      </w:r>
      <w:r w:rsidR="00F0535C">
        <w:t>sixteen</w:t>
      </w:r>
      <w:r w:rsidRPr="00D55FA1">
        <w:t xml:space="preserve"> and above)] times 100.</w:t>
      </w:r>
    </w:p>
    <w:p w14:paraId="263014C4" w14:textId="77777777" w:rsidR="00EB1E42" w:rsidRPr="00955301" w:rsidRDefault="0048342C" w:rsidP="00955301">
      <w:pPr>
        <w:spacing w:after="240"/>
        <w:rPr>
          <w:b/>
          <w:bCs/>
        </w:rPr>
      </w:pPr>
      <w:r w:rsidRPr="00955301">
        <w:rPr>
          <w:b/>
          <w:bCs/>
        </w:rPr>
        <w:t>Target Met: No</w:t>
      </w:r>
    </w:p>
    <w:p w14:paraId="2370B325" w14:textId="46044319" w:rsidR="00EB1E42" w:rsidRPr="00955301" w:rsidRDefault="00955301" w:rsidP="00955301">
      <w:pPr>
        <w:spacing w:after="240"/>
        <w:rPr>
          <w:b/>
          <w:bCs/>
        </w:rPr>
      </w:pPr>
      <w:r>
        <w:rPr>
          <w:b/>
          <w:bCs/>
        </w:rPr>
        <w:t xml:space="preserve">Table 21: </w:t>
      </w:r>
      <w:r w:rsidR="00EB1E42" w:rsidRPr="00955301">
        <w:rPr>
          <w:b/>
          <w:bCs/>
        </w:rPr>
        <w:t xml:space="preserve">Secondary Transition </w:t>
      </w:r>
      <w:r w:rsidR="0048342C" w:rsidRPr="00955301">
        <w:rPr>
          <w:b/>
          <w:bCs/>
        </w:rPr>
        <w:t xml:space="preserve">Targets and Results for FFYs </w:t>
      </w:r>
      <w:r w:rsidR="000860C9" w:rsidRPr="00955301">
        <w:rPr>
          <w:b/>
          <w:bCs/>
        </w:rPr>
        <w:t>2020</w:t>
      </w:r>
      <w:r w:rsidR="000860C9" w:rsidRPr="00955301">
        <w:rPr>
          <w:rFonts w:cs="Arial"/>
          <w:b/>
          <w:bCs/>
        </w:rPr>
        <w:t>–25</w:t>
      </w:r>
    </w:p>
    <w:tbl>
      <w:tblPr>
        <w:tblStyle w:val="TableGrid1"/>
        <w:tblW w:w="9182" w:type="dxa"/>
        <w:tblLook w:val="04A0" w:firstRow="1" w:lastRow="0" w:firstColumn="1" w:lastColumn="0" w:noHBand="0" w:noVBand="1"/>
        <w:tblDescription w:val="Indicator 13 Targets and Results"/>
      </w:tblPr>
      <w:tblGrid>
        <w:gridCol w:w="2019"/>
        <w:gridCol w:w="1263"/>
        <w:gridCol w:w="1185"/>
        <w:gridCol w:w="1185"/>
        <w:gridCol w:w="1185"/>
        <w:gridCol w:w="1185"/>
        <w:gridCol w:w="1160"/>
      </w:tblGrid>
      <w:tr w:rsidR="000860C9" w:rsidRPr="00D55FA1" w14:paraId="1C7847DB" w14:textId="77777777" w:rsidTr="00EF763D">
        <w:trPr>
          <w:cantSplit/>
          <w:trHeight w:val="302"/>
          <w:tblHeader/>
        </w:trPr>
        <w:tc>
          <w:tcPr>
            <w:tcW w:w="2019" w:type="dxa"/>
            <w:tcBorders>
              <w:top w:val="single" w:sz="4" w:space="0" w:color="auto"/>
              <w:left w:val="single" w:sz="4" w:space="0" w:color="auto"/>
              <w:bottom w:val="single" w:sz="4" w:space="0" w:color="auto"/>
              <w:right w:val="single" w:sz="4" w:space="0" w:color="auto"/>
            </w:tcBorders>
            <w:vAlign w:val="center"/>
            <w:hideMark/>
          </w:tcPr>
          <w:p w14:paraId="7CEAA5FF" w14:textId="77777777" w:rsidR="000860C9" w:rsidRPr="00D55FA1" w:rsidRDefault="000860C9" w:rsidP="00EF763D">
            <w:pPr>
              <w:widowControl w:val="0"/>
              <w:overflowPunct w:val="0"/>
              <w:autoSpaceDE w:val="0"/>
              <w:autoSpaceDN w:val="0"/>
              <w:adjustRightInd w:val="0"/>
              <w:jc w:val="center"/>
              <w:rPr>
                <w:rFonts w:cs="Arial"/>
                <w:b/>
                <w:bCs/>
                <w:szCs w:val="22"/>
              </w:rPr>
            </w:pPr>
            <w:r w:rsidRPr="00D55FA1">
              <w:rPr>
                <w:rFonts w:cs="Arial"/>
                <w:b/>
                <w:bCs/>
              </w:rPr>
              <w:t>Indicator 13</w:t>
            </w:r>
          </w:p>
        </w:tc>
        <w:tc>
          <w:tcPr>
            <w:tcW w:w="1263" w:type="dxa"/>
            <w:tcBorders>
              <w:top w:val="single" w:sz="4" w:space="0" w:color="auto"/>
              <w:left w:val="single" w:sz="4" w:space="0" w:color="auto"/>
              <w:bottom w:val="single" w:sz="4" w:space="0" w:color="auto"/>
              <w:right w:val="single" w:sz="4" w:space="0" w:color="auto"/>
            </w:tcBorders>
            <w:vAlign w:val="center"/>
            <w:hideMark/>
          </w:tcPr>
          <w:p w14:paraId="2336CD96"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2020</w:t>
            </w:r>
          </w:p>
        </w:tc>
        <w:tc>
          <w:tcPr>
            <w:tcW w:w="1185" w:type="dxa"/>
            <w:tcBorders>
              <w:top w:val="single" w:sz="4" w:space="0" w:color="auto"/>
              <w:left w:val="single" w:sz="4" w:space="0" w:color="auto"/>
              <w:bottom w:val="single" w:sz="4" w:space="0" w:color="auto"/>
              <w:right w:val="single" w:sz="4" w:space="0" w:color="auto"/>
            </w:tcBorders>
            <w:vAlign w:val="center"/>
            <w:hideMark/>
          </w:tcPr>
          <w:p w14:paraId="6266B6BF"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2021</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C646597"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2022</w:t>
            </w:r>
          </w:p>
        </w:tc>
        <w:tc>
          <w:tcPr>
            <w:tcW w:w="1185" w:type="dxa"/>
            <w:tcBorders>
              <w:top w:val="single" w:sz="4" w:space="0" w:color="auto"/>
              <w:left w:val="single" w:sz="4" w:space="0" w:color="auto"/>
              <w:bottom w:val="single" w:sz="4" w:space="0" w:color="auto"/>
              <w:right w:val="single" w:sz="4" w:space="0" w:color="auto"/>
            </w:tcBorders>
            <w:vAlign w:val="center"/>
            <w:hideMark/>
          </w:tcPr>
          <w:p w14:paraId="5DA843A6"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2023</w:t>
            </w:r>
          </w:p>
        </w:tc>
        <w:tc>
          <w:tcPr>
            <w:tcW w:w="1185" w:type="dxa"/>
            <w:tcBorders>
              <w:top w:val="single" w:sz="4" w:space="0" w:color="auto"/>
              <w:left w:val="single" w:sz="4" w:space="0" w:color="auto"/>
              <w:bottom w:val="single" w:sz="4" w:space="0" w:color="auto"/>
              <w:right w:val="single" w:sz="4" w:space="0" w:color="auto"/>
            </w:tcBorders>
            <w:vAlign w:val="center"/>
            <w:hideMark/>
          </w:tcPr>
          <w:p w14:paraId="5BAA4A02"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14:paraId="4678A3B1"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2025</w:t>
            </w:r>
          </w:p>
        </w:tc>
      </w:tr>
      <w:tr w:rsidR="000860C9" w:rsidRPr="00D55FA1" w14:paraId="6BD13479" w14:textId="77777777" w:rsidTr="00EF763D">
        <w:trPr>
          <w:cantSplit/>
          <w:trHeight w:val="302"/>
        </w:trPr>
        <w:tc>
          <w:tcPr>
            <w:tcW w:w="2019" w:type="dxa"/>
            <w:tcBorders>
              <w:top w:val="single" w:sz="4" w:space="0" w:color="auto"/>
              <w:left w:val="single" w:sz="4" w:space="0" w:color="auto"/>
              <w:bottom w:val="single" w:sz="4" w:space="0" w:color="auto"/>
              <w:right w:val="single" w:sz="4" w:space="0" w:color="auto"/>
            </w:tcBorders>
            <w:vAlign w:val="center"/>
            <w:hideMark/>
          </w:tcPr>
          <w:p w14:paraId="4E99B13E"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Target</w:t>
            </w:r>
          </w:p>
        </w:tc>
        <w:tc>
          <w:tcPr>
            <w:tcW w:w="1263" w:type="dxa"/>
            <w:tcBorders>
              <w:top w:val="single" w:sz="4" w:space="0" w:color="auto"/>
              <w:left w:val="single" w:sz="4" w:space="0" w:color="auto"/>
              <w:bottom w:val="single" w:sz="4" w:space="0" w:color="auto"/>
              <w:right w:val="single" w:sz="4" w:space="0" w:color="auto"/>
            </w:tcBorders>
            <w:vAlign w:val="center"/>
            <w:hideMark/>
          </w:tcPr>
          <w:p w14:paraId="0899125D"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100%</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D2110C2"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100%</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90DE29B"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100%</w:t>
            </w:r>
          </w:p>
        </w:tc>
        <w:tc>
          <w:tcPr>
            <w:tcW w:w="1185" w:type="dxa"/>
            <w:tcBorders>
              <w:top w:val="single" w:sz="4" w:space="0" w:color="auto"/>
              <w:left w:val="single" w:sz="4" w:space="0" w:color="auto"/>
              <w:bottom w:val="single" w:sz="4" w:space="0" w:color="auto"/>
              <w:right w:val="single" w:sz="4" w:space="0" w:color="auto"/>
            </w:tcBorders>
            <w:vAlign w:val="center"/>
            <w:hideMark/>
          </w:tcPr>
          <w:p w14:paraId="0E83949F"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100%</w:t>
            </w:r>
          </w:p>
        </w:tc>
        <w:tc>
          <w:tcPr>
            <w:tcW w:w="1185" w:type="dxa"/>
            <w:tcBorders>
              <w:top w:val="single" w:sz="4" w:space="0" w:color="auto"/>
              <w:left w:val="single" w:sz="4" w:space="0" w:color="auto"/>
              <w:bottom w:val="single" w:sz="4" w:space="0" w:color="auto"/>
              <w:right w:val="single" w:sz="4" w:space="0" w:color="auto"/>
            </w:tcBorders>
            <w:vAlign w:val="center"/>
            <w:hideMark/>
          </w:tcPr>
          <w:p w14:paraId="63E095C7"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100%</w:t>
            </w:r>
          </w:p>
        </w:tc>
        <w:tc>
          <w:tcPr>
            <w:tcW w:w="1160" w:type="dxa"/>
            <w:tcBorders>
              <w:top w:val="single" w:sz="4" w:space="0" w:color="auto"/>
              <w:left w:val="single" w:sz="4" w:space="0" w:color="auto"/>
              <w:bottom w:val="single" w:sz="4" w:space="0" w:color="auto"/>
              <w:right w:val="single" w:sz="4" w:space="0" w:color="auto"/>
            </w:tcBorders>
            <w:vAlign w:val="center"/>
            <w:hideMark/>
          </w:tcPr>
          <w:p w14:paraId="749EDF8C"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100%</w:t>
            </w:r>
          </w:p>
        </w:tc>
      </w:tr>
      <w:tr w:rsidR="00DF008C" w:rsidRPr="00D55FA1" w14:paraId="49D6C37D" w14:textId="77777777" w:rsidTr="00DF008C">
        <w:trPr>
          <w:cantSplit/>
          <w:trHeight w:val="302"/>
        </w:trPr>
        <w:tc>
          <w:tcPr>
            <w:tcW w:w="2019" w:type="dxa"/>
            <w:tcBorders>
              <w:top w:val="single" w:sz="4" w:space="0" w:color="auto"/>
              <w:left w:val="single" w:sz="4" w:space="0" w:color="auto"/>
              <w:bottom w:val="single" w:sz="4" w:space="0" w:color="auto"/>
              <w:right w:val="single" w:sz="4" w:space="0" w:color="auto"/>
            </w:tcBorders>
            <w:vAlign w:val="center"/>
          </w:tcPr>
          <w:p w14:paraId="418C85E0"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Results</w:t>
            </w:r>
          </w:p>
        </w:tc>
        <w:tc>
          <w:tcPr>
            <w:tcW w:w="1263" w:type="dxa"/>
            <w:tcBorders>
              <w:top w:val="single" w:sz="4" w:space="0" w:color="auto"/>
              <w:left w:val="single" w:sz="4" w:space="0" w:color="auto"/>
              <w:bottom w:val="single" w:sz="4" w:space="0" w:color="auto"/>
              <w:right w:val="single" w:sz="4" w:space="0" w:color="auto"/>
            </w:tcBorders>
            <w:vAlign w:val="center"/>
          </w:tcPr>
          <w:p w14:paraId="39598E22"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95.33%</w:t>
            </w:r>
          </w:p>
        </w:tc>
        <w:tc>
          <w:tcPr>
            <w:tcW w:w="1185" w:type="dxa"/>
            <w:tcBorders>
              <w:top w:val="single" w:sz="4" w:space="0" w:color="auto"/>
              <w:left w:val="single" w:sz="4" w:space="0" w:color="auto"/>
              <w:bottom w:val="single" w:sz="4" w:space="0" w:color="auto"/>
              <w:right w:val="single" w:sz="4" w:space="0" w:color="auto"/>
            </w:tcBorders>
            <w:vAlign w:val="center"/>
          </w:tcPr>
          <w:p w14:paraId="3793568E" w14:textId="4510B77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94.89%</w:t>
            </w:r>
          </w:p>
        </w:tc>
        <w:tc>
          <w:tcPr>
            <w:tcW w:w="1185" w:type="dxa"/>
            <w:tcBorders>
              <w:top w:val="single" w:sz="4" w:space="0" w:color="auto"/>
              <w:left w:val="single" w:sz="4" w:space="0" w:color="auto"/>
              <w:bottom w:val="single" w:sz="4" w:space="0" w:color="auto"/>
              <w:right w:val="single" w:sz="4" w:space="0" w:color="auto"/>
            </w:tcBorders>
            <w:vAlign w:val="center"/>
          </w:tcPr>
          <w:p w14:paraId="081CEB47" w14:textId="0465B574"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95.25%</w:t>
            </w:r>
          </w:p>
        </w:tc>
        <w:tc>
          <w:tcPr>
            <w:tcW w:w="1185" w:type="dxa"/>
            <w:tcBorders>
              <w:top w:val="single" w:sz="4" w:space="0" w:color="auto"/>
              <w:left w:val="single" w:sz="4" w:space="0" w:color="auto"/>
              <w:bottom w:val="single" w:sz="4" w:space="0" w:color="auto"/>
              <w:right w:val="single" w:sz="4" w:space="0" w:color="auto"/>
            </w:tcBorders>
          </w:tcPr>
          <w:p w14:paraId="54D4AFED" w14:textId="1765761C" w:rsidR="00DF008C" w:rsidRPr="00D55FA1" w:rsidRDefault="002B28F9" w:rsidP="00DF008C">
            <w:pPr>
              <w:widowControl w:val="0"/>
              <w:overflowPunct w:val="0"/>
              <w:autoSpaceDE w:val="0"/>
              <w:autoSpaceDN w:val="0"/>
              <w:adjustRightInd w:val="0"/>
              <w:jc w:val="center"/>
              <w:rPr>
                <w:rFonts w:cs="Arial"/>
                <w:bCs/>
              </w:rPr>
            </w:pPr>
            <w:r>
              <w:rPr>
                <w:rFonts w:cs="Arial"/>
                <w:bCs/>
              </w:rPr>
              <w:t>94.4%</w:t>
            </w:r>
          </w:p>
        </w:tc>
        <w:tc>
          <w:tcPr>
            <w:tcW w:w="1185" w:type="dxa"/>
            <w:tcBorders>
              <w:top w:val="single" w:sz="4" w:space="0" w:color="auto"/>
              <w:left w:val="single" w:sz="4" w:space="0" w:color="auto"/>
              <w:bottom w:val="single" w:sz="4" w:space="0" w:color="auto"/>
              <w:right w:val="single" w:sz="4" w:space="0" w:color="auto"/>
            </w:tcBorders>
          </w:tcPr>
          <w:p w14:paraId="0FBA7733" w14:textId="639F5D69" w:rsidR="00DF008C" w:rsidRPr="00D55FA1" w:rsidRDefault="000815A0" w:rsidP="00DF008C">
            <w:pPr>
              <w:widowControl w:val="0"/>
              <w:overflowPunct w:val="0"/>
              <w:autoSpaceDE w:val="0"/>
              <w:autoSpaceDN w:val="0"/>
              <w:adjustRightInd w:val="0"/>
              <w:jc w:val="center"/>
              <w:rPr>
                <w:rFonts w:cs="Arial"/>
                <w:bCs/>
              </w:rPr>
            </w:pPr>
            <w:r>
              <w:rPr>
                <w:rFonts w:cs="Arial"/>
                <w:bCs/>
              </w:rPr>
              <w:t>96.14%</w:t>
            </w:r>
          </w:p>
        </w:tc>
        <w:tc>
          <w:tcPr>
            <w:tcW w:w="1160" w:type="dxa"/>
            <w:tcBorders>
              <w:top w:val="single" w:sz="4" w:space="0" w:color="auto"/>
              <w:left w:val="single" w:sz="4" w:space="0" w:color="auto"/>
              <w:bottom w:val="single" w:sz="4" w:space="0" w:color="auto"/>
              <w:right w:val="single" w:sz="4" w:space="0" w:color="auto"/>
            </w:tcBorders>
          </w:tcPr>
          <w:p w14:paraId="506B019F" w14:textId="6CFFD094"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6B4E98A0" w14:textId="77777777" w:rsidTr="00DF008C">
        <w:trPr>
          <w:cantSplit/>
          <w:trHeight w:val="302"/>
        </w:trPr>
        <w:tc>
          <w:tcPr>
            <w:tcW w:w="2019" w:type="dxa"/>
            <w:tcBorders>
              <w:top w:val="single" w:sz="4" w:space="0" w:color="auto"/>
              <w:left w:val="single" w:sz="4" w:space="0" w:color="auto"/>
              <w:bottom w:val="single" w:sz="4" w:space="0" w:color="auto"/>
              <w:right w:val="single" w:sz="4" w:space="0" w:color="auto"/>
            </w:tcBorders>
            <w:vAlign w:val="center"/>
          </w:tcPr>
          <w:p w14:paraId="06FD88FC"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263" w:type="dxa"/>
            <w:tcBorders>
              <w:top w:val="single" w:sz="4" w:space="0" w:color="auto"/>
              <w:left w:val="single" w:sz="4" w:space="0" w:color="auto"/>
              <w:bottom w:val="single" w:sz="4" w:space="0" w:color="auto"/>
              <w:right w:val="single" w:sz="4" w:space="0" w:color="auto"/>
            </w:tcBorders>
            <w:vAlign w:val="center"/>
          </w:tcPr>
          <w:p w14:paraId="6665AD48"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5" w:type="dxa"/>
            <w:tcBorders>
              <w:top w:val="single" w:sz="4" w:space="0" w:color="auto"/>
              <w:left w:val="single" w:sz="4" w:space="0" w:color="auto"/>
              <w:bottom w:val="single" w:sz="4" w:space="0" w:color="auto"/>
              <w:right w:val="single" w:sz="4" w:space="0" w:color="auto"/>
            </w:tcBorders>
            <w:vAlign w:val="center"/>
          </w:tcPr>
          <w:p w14:paraId="4F7836D1" w14:textId="262061D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5" w:type="dxa"/>
            <w:tcBorders>
              <w:top w:val="single" w:sz="4" w:space="0" w:color="auto"/>
              <w:left w:val="single" w:sz="4" w:space="0" w:color="auto"/>
              <w:bottom w:val="single" w:sz="4" w:space="0" w:color="auto"/>
              <w:right w:val="single" w:sz="4" w:space="0" w:color="auto"/>
            </w:tcBorders>
            <w:vAlign w:val="center"/>
          </w:tcPr>
          <w:p w14:paraId="478D7399" w14:textId="0255D572"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5" w:type="dxa"/>
            <w:tcBorders>
              <w:top w:val="single" w:sz="4" w:space="0" w:color="auto"/>
              <w:left w:val="single" w:sz="4" w:space="0" w:color="auto"/>
              <w:bottom w:val="single" w:sz="4" w:space="0" w:color="auto"/>
              <w:right w:val="single" w:sz="4" w:space="0" w:color="auto"/>
            </w:tcBorders>
          </w:tcPr>
          <w:p w14:paraId="1AB2B8F9" w14:textId="4B15CC01" w:rsidR="00DF008C" w:rsidRPr="00D55FA1" w:rsidRDefault="002B28F9" w:rsidP="00DF008C">
            <w:pPr>
              <w:widowControl w:val="0"/>
              <w:overflowPunct w:val="0"/>
              <w:autoSpaceDE w:val="0"/>
              <w:autoSpaceDN w:val="0"/>
              <w:adjustRightInd w:val="0"/>
              <w:jc w:val="center"/>
              <w:rPr>
                <w:rFonts w:cs="Arial"/>
                <w:bCs/>
              </w:rPr>
            </w:pPr>
            <w:r>
              <w:rPr>
                <w:rFonts w:cs="Arial"/>
                <w:bCs/>
              </w:rPr>
              <w:t>No</w:t>
            </w:r>
          </w:p>
        </w:tc>
        <w:tc>
          <w:tcPr>
            <w:tcW w:w="1185" w:type="dxa"/>
            <w:tcBorders>
              <w:top w:val="single" w:sz="4" w:space="0" w:color="auto"/>
              <w:left w:val="single" w:sz="4" w:space="0" w:color="auto"/>
              <w:bottom w:val="single" w:sz="4" w:space="0" w:color="auto"/>
              <w:right w:val="single" w:sz="4" w:space="0" w:color="auto"/>
            </w:tcBorders>
          </w:tcPr>
          <w:p w14:paraId="3FBF0C5E" w14:textId="717E4D72" w:rsidR="00DF008C" w:rsidRPr="00D55FA1" w:rsidRDefault="000815A0" w:rsidP="00DF008C">
            <w:pPr>
              <w:widowControl w:val="0"/>
              <w:overflowPunct w:val="0"/>
              <w:autoSpaceDE w:val="0"/>
              <w:autoSpaceDN w:val="0"/>
              <w:adjustRightInd w:val="0"/>
              <w:jc w:val="center"/>
              <w:rPr>
                <w:rFonts w:cs="Arial"/>
                <w:bCs/>
              </w:rPr>
            </w:pPr>
            <w:r>
              <w:rPr>
                <w:rFonts w:cs="Arial"/>
                <w:bCs/>
              </w:rPr>
              <w:t>No</w:t>
            </w:r>
          </w:p>
        </w:tc>
        <w:tc>
          <w:tcPr>
            <w:tcW w:w="1160" w:type="dxa"/>
            <w:tcBorders>
              <w:top w:val="single" w:sz="4" w:space="0" w:color="auto"/>
              <w:left w:val="single" w:sz="4" w:space="0" w:color="auto"/>
              <w:bottom w:val="single" w:sz="4" w:space="0" w:color="auto"/>
              <w:right w:val="single" w:sz="4" w:space="0" w:color="auto"/>
            </w:tcBorders>
          </w:tcPr>
          <w:p w14:paraId="7896E9D9" w14:textId="2CF1A804"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bl>
    <w:p w14:paraId="54DDDF37" w14:textId="4C3115C6" w:rsidR="001C0BFD" w:rsidRDefault="001C0BFD" w:rsidP="008C1971">
      <w:bookmarkStart w:id="168" w:name="_Toc212718079"/>
    </w:p>
    <w:p w14:paraId="121D1E61" w14:textId="77777777" w:rsidR="001C0BFD" w:rsidRDefault="001C0BFD">
      <w:pPr>
        <w:spacing w:after="160" w:line="259" w:lineRule="auto"/>
      </w:pPr>
      <w:r>
        <w:br w:type="page"/>
      </w:r>
    </w:p>
    <w:p w14:paraId="092B20F4" w14:textId="29B9B83E" w:rsidR="00EB1E42" w:rsidRPr="00D55FA1" w:rsidRDefault="00EB1E42" w:rsidP="008C1971">
      <w:pPr>
        <w:pStyle w:val="Heading2"/>
        <w:spacing w:before="0"/>
        <w:jc w:val="center"/>
      </w:pPr>
      <w:r w:rsidRPr="00D55FA1">
        <w:lastRenderedPageBreak/>
        <w:t>Indicator 14: Post-school Outcomes</w:t>
      </w:r>
      <w:bookmarkEnd w:id="168"/>
    </w:p>
    <w:p w14:paraId="617C06BC" w14:textId="4917B563" w:rsidR="00EB1E42" w:rsidRPr="00D55FA1" w:rsidRDefault="002227BA" w:rsidP="00EB1E42">
      <w:pPr>
        <w:pStyle w:val="Heading3"/>
        <w:spacing w:before="0"/>
      </w:pPr>
      <w:bookmarkStart w:id="169" w:name="_Toc212718080"/>
      <w:r w:rsidRPr="00D55FA1">
        <w:t>Description</w:t>
      </w:r>
      <w:bookmarkEnd w:id="169"/>
    </w:p>
    <w:p w14:paraId="487DBD80" w14:textId="77777777" w:rsidR="00664876" w:rsidRPr="00D55FA1" w:rsidRDefault="00EB1E42" w:rsidP="00EB1E42">
      <w:pPr>
        <w:tabs>
          <w:tab w:val="left" w:pos="720"/>
          <w:tab w:val="center" w:pos="4680"/>
          <w:tab w:val="right" w:pos="9360"/>
        </w:tabs>
        <w:spacing w:after="240"/>
        <w:rPr>
          <w:rFonts w:cs="Arial"/>
        </w:rPr>
      </w:pPr>
      <w:r w:rsidRPr="00D55FA1">
        <w:rPr>
          <w:rFonts w:cs="Arial"/>
        </w:rPr>
        <w:t xml:space="preserve">Indicator 14 is a performance indicator that measures the </w:t>
      </w:r>
      <w:proofErr w:type="gramStart"/>
      <w:r w:rsidRPr="00D55FA1">
        <w:rPr>
          <w:rFonts w:cs="Arial"/>
        </w:rPr>
        <w:t>percent</w:t>
      </w:r>
      <w:proofErr w:type="gramEnd"/>
      <w:r w:rsidRPr="00D55FA1">
        <w:rPr>
          <w:rFonts w:cs="Arial"/>
        </w:rPr>
        <w:t xml:space="preserve"> of youth who are no longer in secondary school but had IEPs in effect at the time they left school, and were</w:t>
      </w:r>
      <w:r w:rsidR="00664876" w:rsidRPr="00D55FA1">
        <w:rPr>
          <w:rFonts w:cs="Arial"/>
        </w:rPr>
        <w:t>:</w:t>
      </w:r>
    </w:p>
    <w:p w14:paraId="630F7711" w14:textId="0EA3DABF" w:rsidR="00F768B3" w:rsidRPr="00D55FA1" w:rsidRDefault="00EB1E42" w:rsidP="007A43E3">
      <w:pPr>
        <w:pStyle w:val="ListParagraph"/>
        <w:numPr>
          <w:ilvl w:val="0"/>
          <w:numId w:val="15"/>
        </w:numPr>
        <w:tabs>
          <w:tab w:val="left" w:pos="720"/>
          <w:tab w:val="center" w:pos="4680"/>
          <w:tab w:val="right" w:pos="9360"/>
        </w:tabs>
        <w:spacing w:after="240"/>
        <w:contextualSpacing w:val="0"/>
        <w:rPr>
          <w:rFonts w:cs="Arial"/>
        </w:rPr>
      </w:pPr>
      <w:r w:rsidRPr="00D55FA1">
        <w:rPr>
          <w:rFonts w:cs="Arial"/>
        </w:rPr>
        <w:t>enrolled in higher education within one year of leaving high school</w:t>
      </w:r>
      <w:r w:rsidR="00F4123F">
        <w:rPr>
          <w:rFonts w:cs="Arial"/>
        </w:rPr>
        <w:t>,</w:t>
      </w:r>
      <w:r w:rsidRPr="00D55FA1">
        <w:rPr>
          <w:rFonts w:cs="Arial"/>
        </w:rPr>
        <w:t xml:space="preserve"> </w:t>
      </w:r>
    </w:p>
    <w:p w14:paraId="17506E35" w14:textId="3A0C68D2" w:rsidR="00F768B3" w:rsidRPr="00D55FA1" w:rsidRDefault="00EB1E42" w:rsidP="007A43E3">
      <w:pPr>
        <w:pStyle w:val="ListParagraph"/>
        <w:numPr>
          <w:ilvl w:val="0"/>
          <w:numId w:val="15"/>
        </w:numPr>
        <w:tabs>
          <w:tab w:val="left" w:pos="720"/>
          <w:tab w:val="center" w:pos="4680"/>
          <w:tab w:val="right" w:pos="9360"/>
        </w:tabs>
        <w:spacing w:after="240"/>
        <w:contextualSpacing w:val="0"/>
        <w:rPr>
          <w:rFonts w:cs="Arial"/>
        </w:rPr>
      </w:pPr>
      <w:r w:rsidRPr="00D55FA1">
        <w:rPr>
          <w:rFonts w:cs="Arial"/>
        </w:rPr>
        <w:t>enrolled in higher education or competitively employed within one year of leaving high school</w:t>
      </w:r>
      <w:r w:rsidR="000B3EC7">
        <w:rPr>
          <w:rFonts w:cs="Arial"/>
        </w:rPr>
        <w:t>,</w:t>
      </w:r>
      <w:r w:rsidRPr="00D55FA1">
        <w:rPr>
          <w:rFonts w:cs="Arial"/>
        </w:rPr>
        <w:t xml:space="preserve"> </w:t>
      </w:r>
    </w:p>
    <w:p w14:paraId="33D5C4FC" w14:textId="500C7956" w:rsidR="0067132D" w:rsidRDefault="00EB1E42" w:rsidP="007A43E3">
      <w:pPr>
        <w:pStyle w:val="ListParagraph"/>
        <w:numPr>
          <w:ilvl w:val="0"/>
          <w:numId w:val="15"/>
        </w:numPr>
        <w:tabs>
          <w:tab w:val="left" w:pos="720"/>
          <w:tab w:val="center" w:pos="4680"/>
          <w:tab w:val="right" w:pos="9360"/>
        </w:tabs>
        <w:spacing w:after="240"/>
        <w:contextualSpacing w:val="0"/>
        <w:rPr>
          <w:rFonts w:cs="Arial"/>
        </w:rPr>
      </w:pPr>
      <w:r w:rsidRPr="00D55FA1">
        <w:rPr>
          <w:rFonts w:cs="Arial"/>
        </w:rPr>
        <w:t>enrolled in higher education or in some other postsecondary education or training program</w:t>
      </w:r>
      <w:r w:rsidR="000B3EC7">
        <w:rPr>
          <w:rFonts w:cs="Arial"/>
        </w:rPr>
        <w:t>,</w:t>
      </w:r>
    </w:p>
    <w:p w14:paraId="05556057" w14:textId="77777777" w:rsidR="00C112BC" w:rsidRDefault="00EB1E42" w:rsidP="007A43E3">
      <w:pPr>
        <w:pStyle w:val="ListParagraph"/>
        <w:numPr>
          <w:ilvl w:val="0"/>
          <w:numId w:val="15"/>
        </w:numPr>
        <w:tabs>
          <w:tab w:val="left" w:pos="720"/>
          <w:tab w:val="center" w:pos="4680"/>
          <w:tab w:val="right" w:pos="9360"/>
        </w:tabs>
        <w:spacing w:after="240"/>
        <w:contextualSpacing w:val="0"/>
        <w:rPr>
          <w:rFonts w:cs="Arial"/>
        </w:rPr>
      </w:pPr>
      <w:r w:rsidRPr="00D55FA1">
        <w:rPr>
          <w:rFonts w:cs="Arial"/>
        </w:rPr>
        <w:t>competitively employed</w:t>
      </w:r>
      <w:r w:rsidR="00C112BC">
        <w:rPr>
          <w:rFonts w:cs="Arial"/>
        </w:rPr>
        <w:t>,</w:t>
      </w:r>
      <w:r w:rsidRPr="00D55FA1">
        <w:rPr>
          <w:rFonts w:cs="Arial"/>
        </w:rPr>
        <w:t xml:space="preserve"> or </w:t>
      </w:r>
    </w:p>
    <w:p w14:paraId="79635D15" w14:textId="1CD3D314" w:rsidR="00EB1E42" w:rsidRPr="00D55FA1" w:rsidRDefault="00EB1E42" w:rsidP="007A43E3">
      <w:pPr>
        <w:pStyle w:val="ListParagraph"/>
        <w:numPr>
          <w:ilvl w:val="0"/>
          <w:numId w:val="15"/>
        </w:numPr>
        <w:tabs>
          <w:tab w:val="left" w:pos="720"/>
          <w:tab w:val="center" w:pos="4680"/>
          <w:tab w:val="right" w:pos="9360"/>
        </w:tabs>
        <w:spacing w:after="240"/>
        <w:contextualSpacing w:val="0"/>
        <w:rPr>
          <w:rFonts w:cs="Arial"/>
        </w:rPr>
      </w:pPr>
      <w:r w:rsidRPr="00D55FA1">
        <w:rPr>
          <w:rFonts w:cs="Arial"/>
        </w:rPr>
        <w:t>in some other employment within one year of leaving high school.</w:t>
      </w:r>
    </w:p>
    <w:p w14:paraId="23BAF992" w14:textId="77777777" w:rsidR="00545563" w:rsidRPr="00D55FA1" w:rsidRDefault="002227BA" w:rsidP="00545563">
      <w:pPr>
        <w:pStyle w:val="Heading3"/>
        <w:spacing w:before="0"/>
      </w:pPr>
      <w:bookmarkStart w:id="170" w:name="_Toc212718081"/>
      <w:r w:rsidRPr="00D55FA1">
        <w:t>Measurement</w:t>
      </w:r>
      <w:bookmarkEnd w:id="170"/>
    </w:p>
    <w:p w14:paraId="3AF612CF" w14:textId="00DB782C" w:rsidR="00545563" w:rsidRPr="00D55FA1" w:rsidRDefault="00545563" w:rsidP="007A43E3">
      <w:pPr>
        <w:spacing w:after="240"/>
      </w:pPr>
      <w:r w:rsidRPr="00D55FA1">
        <w:t xml:space="preserve">In California, LEAs are responsible for surveying and contacting youth who are no longer in secondary school. </w:t>
      </w:r>
      <w:proofErr w:type="gramStart"/>
      <w:r w:rsidRPr="00D55FA1">
        <w:t>In an attempt to</w:t>
      </w:r>
      <w:proofErr w:type="gramEnd"/>
      <w:r w:rsidRPr="00D55FA1">
        <w:t xml:space="preserve"> increase the response rate year over year, LEAs survey students in a variety of different ways, including but not limited </w:t>
      </w:r>
      <w:r w:rsidR="21ED25B7" w:rsidRPr="00D55FA1">
        <w:t>to</w:t>
      </w:r>
      <w:r w:rsidRPr="00D55FA1">
        <w:t xml:space="preserve"> traditional paper mail, e-mail, social media messages, and phone calls. LEAs use these various methods to reach as many students as possible, especially for those in underrepresented groups. These increased efforts have been successful as seen in the increased response rate.</w:t>
      </w:r>
    </w:p>
    <w:p w14:paraId="5E111903" w14:textId="060CE859" w:rsidR="00F768B3" w:rsidRPr="007A43E3" w:rsidRDefault="00545563" w:rsidP="004A3E50">
      <w:pPr>
        <w:pStyle w:val="ListParagraph"/>
        <w:numPr>
          <w:ilvl w:val="0"/>
          <w:numId w:val="16"/>
        </w:numPr>
        <w:spacing w:after="240"/>
        <w:contextualSpacing w:val="0"/>
        <w:rPr>
          <w:rFonts w:cstheme="majorBidi"/>
        </w:rPr>
      </w:pPr>
      <w:r w:rsidRPr="007A43E3">
        <w:rPr>
          <w:rFonts w:cs="Arial"/>
        </w:rPr>
        <w:t>P</w:t>
      </w:r>
      <w:r w:rsidR="00664876" w:rsidRPr="007A43E3">
        <w:rPr>
          <w:rFonts w:cs="Arial"/>
        </w:rPr>
        <w:t>ercent = [</w:t>
      </w:r>
      <w:r w:rsidR="00C92670" w:rsidRPr="007A43E3">
        <w:rPr>
          <w:rFonts w:cs="Arial"/>
        </w:rPr>
        <w:t>The number of youths who are no longer in secondary school, had IEPs in effect when they left school, and were enrolled in higher education within one year of leaving high school divided by the number of respondent youth who are no longer in secondary school</w:t>
      </w:r>
      <w:r w:rsidR="00664876" w:rsidRPr="007A43E3">
        <w:rPr>
          <w:rFonts w:cs="Arial"/>
        </w:rPr>
        <w:t>] times 100</w:t>
      </w:r>
      <w:r w:rsidR="00C92670" w:rsidRPr="007A43E3">
        <w:rPr>
          <w:rFonts w:cs="Arial"/>
        </w:rPr>
        <w:t>.</w:t>
      </w:r>
    </w:p>
    <w:p w14:paraId="41BE9A7F" w14:textId="77928CC6" w:rsidR="00F768B3" w:rsidRPr="007A43E3" w:rsidRDefault="00664876" w:rsidP="00A13BAC">
      <w:pPr>
        <w:pStyle w:val="ListParagraph"/>
        <w:numPr>
          <w:ilvl w:val="0"/>
          <w:numId w:val="16"/>
        </w:numPr>
        <w:spacing w:after="240"/>
        <w:contextualSpacing w:val="0"/>
        <w:rPr>
          <w:rFonts w:cstheme="majorBidi"/>
        </w:rPr>
      </w:pPr>
      <w:r w:rsidRPr="007A43E3">
        <w:rPr>
          <w:rFonts w:cs="Arial"/>
        </w:rPr>
        <w:t>Percent = [</w:t>
      </w:r>
      <w:r w:rsidR="00C92670" w:rsidRPr="007A43E3">
        <w:rPr>
          <w:rFonts w:cs="Arial"/>
        </w:rPr>
        <w:t>Number of youths who are no longer in secondary school, had IEPs in effect when they left school, and were enrolled in higher education or competitively employed within one year of leaving high school divided by the number of respondent youth who are no longer in secondary school</w:t>
      </w:r>
      <w:r w:rsidRPr="007A43E3">
        <w:rPr>
          <w:rFonts w:cs="Arial"/>
        </w:rPr>
        <w:t>] times 100</w:t>
      </w:r>
      <w:r w:rsidR="00C92670" w:rsidRPr="007A43E3">
        <w:rPr>
          <w:rFonts w:cs="Arial"/>
        </w:rPr>
        <w:t>.</w:t>
      </w:r>
    </w:p>
    <w:p w14:paraId="46C268ED" w14:textId="0808D156" w:rsidR="00545563" w:rsidRPr="007A43E3" w:rsidRDefault="00664876" w:rsidP="00A5008F">
      <w:pPr>
        <w:pStyle w:val="ListParagraph"/>
        <w:numPr>
          <w:ilvl w:val="0"/>
          <w:numId w:val="16"/>
        </w:numPr>
        <w:spacing w:after="240"/>
        <w:contextualSpacing w:val="0"/>
        <w:rPr>
          <w:rFonts w:cstheme="majorBidi"/>
        </w:rPr>
      </w:pPr>
      <w:r w:rsidRPr="007A43E3">
        <w:rPr>
          <w:rFonts w:cs="Arial"/>
        </w:rPr>
        <w:t>Percent = [</w:t>
      </w:r>
      <w:r w:rsidR="00C92670" w:rsidRPr="007A43E3">
        <w:rPr>
          <w:rFonts w:cs="Arial"/>
        </w:rPr>
        <w:t>Number of youths who are no longer in secondary school, had IEPs in effect when they left school, and were enrolled in higher education, or in some other postsecondary education or training program; or competitively employed or in some other employment divided by the number of respondent youth who are no longer in secondary school</w:t>
      </w:r>
      <w:r w:rsidRPr="007A43E3">
        <w:rPr>
          <w:rFonts w:cs="Arial"/>
        </w:rPr>
        <w:t>] times 100</w:t>
      </w:r>
      <w:r w:rsidR="00C92670" w:rsidRPr="007A43E3">
        <w:rPr>
          <w:rFonts w:cs="Arial"/>
        </w:rPr>
        <w:t>.</w:t>
      </w:r>
    </w:p>
    <w:p w14:paraId="15E60B85" w14:textId="0D3C5170" w:rsidR="00EB1E42" w:rsidRPr="00DF56DF" w:rsidRDefault="002227BA" w:rsidP="00DF56DF">
      <w:pPr>
        <w:spacing w:after="240"/>
        <w:rPr>
          <w:b/>
          <w:bCs/>
        </w:rPr>
      </w:pPr>
      <w:r w:rsidRPr="00DF56DF">
        <w:rPr>
          <w:b/>
          <w:bCs/>
        </w:rPr>
        <w:lastRenderedPageBreak/>
        <w:t>Target Met:</w:t>
      </w:r>
    </w:p>
    <w:p w14:paraId="4F4BB38B" w14:textId="77777777" w:rsidR="00EB1E42" w:rsidRPr="00D55FA1" w:rsidRDefault="002227BA" w:rsidP="00664876">
      <w:pPr>
        <w:pStyle w:val="ListParagraph"/>
        <w:numPr>
          <w:ilvl w:val="0"/>
          <w:numId w:val="8"/>
        </w:numPr>
        <w:tabs>
          <w:tab w:val="center" w:pos="4320"/>
          <w:tab w:val="right" w:pos="8640"/>
        </w:tabs>
        <w:spacing w:after="240"/>
        <w:rPr>
          <w:rFonts w:cs="Arial"/>
        </w:rPr>
      </w:pPr>
      <w:r w:rsidRPr="00D55FA1">
        <w:t>No</w:t>
      </w:r>
    </w:p>
    <w:p w14:paraId="006814E7" w14:textId="77777777" w:rsidR="00EB1E42" w:rsidRPr="00D55FA1" w:rsidRDefault="002227BA" w:rsidP="00664876">
      <w:pPr>
        <w:pStyle w:val="ListParagraph"/>
        <w:numPr>
          <w:ilvl w:val="0"/>
          <w:numId w:val="8"/>
        </w:numPr>
        <w:tabs>
          <w:tab w:val="center" w:pos="4320"/>
          <w:tab w:val="right" w:pos="8640"/>
        </w:tabs>
        <w:spacing w:after="240"/>
        <w:rPr>
          <w:rFonts w:cs="Arial"/>
        </w:rPr>
      </w:pPr>
      <w:r w:rsidRPr="00D55FA1">
        <w:t>No</w:t>
      </w:r>
    </w:p>
    <w:p w14:paraId="753B789C" w14:textId="77777777" w:rsidR="00EB1E42" w:rsidRPr="00D55FA1" w:rsidRDefault="002227BA" w:rsidP="00664876">
      <w:pPr>
        <w:pStyle w:val="ListParagraph"/>
        <w:numPr>
          <w:ilvl w:val="0"/>
          <w:numId w:val="8"/>
        </w:numPr>
        <w:spacing w:after="240"/>
        <w:rPr>
          <w:rFonts w:cs="Arial"/>
        </w:rPr>
      </w:pPr>
      <w:r w:rsidRPr="00D55FA1">
        <w:t>Yes</w:t>
      </w:r>
    </w:p>
    <w:p w14:paraId="1B1F577C" w14:textId="52749075" w:rsidR="00EB1E42" w:rsidRPr="00DF56DF" w:rsidRDefault="00DF56DF" w:rsidP="00DF56DF">
      <w:pPr>
        <w:spacing w:after="240"/>
        <w:rPr>
          <w:b/>
          <w:bCs/>
        </w:rPr>
      </w:pPr>
      <w:r>
        <w:rPr>
          <w:b/>
          <w:bCs/>
        </w:rPr>
        <w:t xml:space="preserve">Table 22: </w:t>
      </w:r>
      <w:r w:rsidR="00EB1E42" w:rsidRPr="00DF56DF">
        <w:rPr>
          <w:b/>
          <w:bCs/>
        </w:rPr>
        <w:t xml:space="preserve">Post-school Outcomes </w:t>
      </w:r>
      <w:r w:rsidR="002227BA" w:rsidRPr="00DF56DF">
        <w:rPr>
          <w:b/>
          <w:bCs/>
        </w:rPr>
        <w:t xml:space="preserve">Targets and Results for FFYs </w:t>
      </w:r>
      <w:r w:rsidR="000860C9" w:rsidRPr="00DF56DF">
        <w:rPr>
          <w:b/>
          <w:bCs/>
        </w:rPr>
        <w:t>2020</w:t>
      </w:r>
      <w:r w:rsidR="000860C9" w:rsidRPr="00DF56DF">
        <w:rPr>
          <w:rFonts w:cs="Arial"/>
          <w:b/>
          <w:bCs/>
        </w:rPr>
        <w:t>–25</w:t>
      </w:r>
    </w:p>
    <w:tbl>
      <w:tblPr>
        <w:tblStyle w:val="TableGrid1"/>
        <w:tblW w:w="9275" w:type="dxa"/>
        <w:tblLook w:val="04A0" w:firstRow="1" w:lastRow="0" w:firstColumn="1" w:lastColumn="0" w:noHBand="0" w:noVBand="1"/>
        <w:tblDescription w:val="Indicator 14 Targets and Results"/>
      </w:tblPr>
      <w:tblGrid>
        <w:gridCol w:w="2061"/>
        <w:gridCol w:w="1221"/>
        <w:gridCol w:w="1224"/>
        <w:gridCol w:w="1173"/>
        <w:gridCol w:w="1223"/>
        <w:gridCol w:w="1173"/>
        <w:gridCol w:w="1200"/>
      </w:tblGrid>
      <w:tr w:rsidR="000860C9" w:rsidRPr="00D55FA1" w14:paraId="21933388" w14:textId="77777777" w:rsidTr="000860C9">
        <w:trPr>
          <w:cantSplit/>
          <w:trHeight w:val="377"/>
          <w:tblHeader/>
        </w:trPr>
        <w:tc>
          <w:tcPr>
            <w:tcW w:w="2061" w:type="dxa"/>
            <w:tcBorders>
              <w:top w:val="single" w:sz="4" w:space="0" w:color="auto"/>
              <w:left w:val="single" w:sz="4" w:space="0" w:color="auto"/>
              <w:bottom w:val="single" w:sz="4" w:space="0" w:color="auto"/>
              <w:right w:val="single" w:sz="4" w:space="0" w:color="auto"/>
            </w:tcBorders>
            <w:hideMark/>
          </w:tcPr>
          <w:p w14:paraId="4BE2457C" w14:textId="77777777" w:rsidR="000860C9" w:rsidRPr="00D55FA1" w:rsidRDefault="000860C9" w:rsidP="00704E41">
            <w:pPr>
              <w:widowControl w:val="0"/>
              <w:overflowPunct w:val="0"/>
              <w:autoSpaceDE w:val="0"/>
              <w:autoSpaceDN w:val="0"/>
              <w:adjustRightInd w:val="0"/>
              <w:jc w:val="center"/>
              <w:rPr>
                <w:rFonts w:cs="Arial"/>
                <w:b/>
                <w:bCs/>
                <w:szCs w:val="22"/>
              </w:rPr>
            </w:pPr>
            <w:r w:rsidRPr="00D55FA1">
              <w:rPr>
                <w:rFonts w:cs="Arial"/>
                <w:b/>
                <w:bCs/>
              </w:rPr>
              <w:t>Indicator 14</w:t>
            </w:r>
          </w:p>
        </w:tc>
        <w:tc>
          <w:tcPr>
            <w:tcW w:w="1221" w:type="dxa"/>
            <w:tcBorders>
              <w:top w:val="single" w:sz="4" w:space="0" w:color="auto"/>
              <w:left w:val="single" w:sz="4" w:space="0" w:color="auto"/>
              <w:bottom w:val="single" w:sz="4" w:space="0" w:color="auto"/>
              <w:right w:val="single" w:sz="4" w:space="0" w:color="auto"/>
            </w:tcBorders>
            <w:hideMark/>
          </w:tcPr>
          <w:p w14:paraId="07EEAF88"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2020</w:t>
            </w:r>
          </w:p>
        </w:tc>
        <w:tc>
          <w:tcPr>
            <w:tcW w:w="1224" w:type="dxa"/>
            <w:tcBorders>
              <w:top w:val="single" w:sz="4" w:space="0" w:color="auto"/>
              <w:left w:val="single" w:sz="4" w:space="0" w:color="auto"/>
              <w:bottom w:val="single" w:sz="4" w:space="0" w:color="auto"/>
              <w:right w:val="single" w:sz="4" w:space="0" w:color="auto"/>
            </w:tcBorders>
            <w:hideMark/>
          </w:tcPr>
          <w:p w14:paraId="5FE74AEE"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2021</w:t>
            </w:r>
          </w:p>
        </w:tc>
        <w:tc>
          <w:tcPr>
            <w:tcW w:w="1173" w:type="dxa"/>
            <w:tcBorders>
              <w:top w:val="single" w:sz="4" w:space="0" w:color="auto"/>
              <w:left w:val="single" w:sz="4" w:space="0" w:color="auto"/>
              <w:bottom w:val="single" w:sz="4" w:space="0" w:color="auto"/>
              <w:right w:val="single" w:sz="4" w:space="0" w:color="auto"/>
            </w:tcBorders>
            <w:hideMark/>
          </w:tcPr>
          <w:p w14:paraId="069484E3"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2022</w:t>
            </w:r>
          </w:p>
        </w:tc>
        <w:tc>
          <w:tcPr>
            <w:tcW w:w="1223" w:type="dxa"/>
            <w:tcBorders>
              <w:top w:val="single" w:sz="4" w:space="0" w:color="auto"/>
              <w:left w:val="single" w:sz="4" w:space="0" w:color="auto"/>
              <w:bottom w:val="single" w:sz="4" w:space="0" w:color="auto"/>
              <w:right w:val="single" w:sz="4" w:space="0" w:color="auto"/>
            </w:tcBorders>
            <w:hideMark/>
          </w:tcPr>
          <w:p w14:paraId="5D71C2FD"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2023</w:t>
            </w:r>
          </w:p>
        </w:tc>
        <w:tc>
          <w:tcPr>
            <w:tcW w:w="1173" w:type="dxa"/>
            <w:tcBorders>
              <w:top w:val="single" w:sz="4" w:space="0" w:color="auto"/>
              <w:left w:val="single" w:sz="4" w:space="0" w:color="auto"/>
              <w:bottom w:val="single" w:sz="4" w:space="0" w:color="auto"/>
              <w:right w:val="single" w:sz="4" w:space="0" w:color="auto"/>
            </w:tcBorders>
            <w:hideMark/>
          </w:tcPr>
          <w:p w14:paraId="449A3AE3"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2024</w:t>
            </w:r>
          </w:p>
        </w:tc>
        <w:tc>
          <w:tcPr>
            <w:tcW w:w="1200" w:type="dxa"/>
            <w:tcBorders>
              <w:top w:val="single" w:sz="4" w:space="0" w:color="auto"/>
              <w:left w:val="single" w:sz="4" w:space="0" w:color="auto"/>
              <w:bottom w:val="single" w:sz="4" w:space="0" w:color="auto"/>
              <w:right w:val="single" w:sz="4" w:space="0" w:color="auto"/>
            </w:tcBorders>
            <w:hideMark/>
          </w:tcPr>
          <w:p w14:paraId="5A0BE9CD"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2025</w:t>
            </w:r>
          </w:p>
        </w:tc>
      </w:tr>
      <w:tr w:rsidR="000860C9" w:rsidRPr="00D55FA1" w14:paraId="37A28BD0" w14:textId="77777777" w:rsidTr="000860C9">
        <w:trPr>
          <w:cantSplit/>
          <w:trHeight w:val="260"/>
        </w:trPr>
        <w:tc>
          <w:tcPr>
            <w:tcW w:w="2061" w:type="dxa"/>
            <w:tcBorders>
              <w:top w:val="single" w:sz="4" w:space="0" w:color="auto"/>
              <w:left w:val="single" w:sz="4" w:space="0" w:color="auto"/>
              <w:bottom w:val="single" w:sz="4" w:space="0" w:color="auto"/>
              <w:right w:val="single" w:sz="4" w:space="0" w:color="auto"/>
            </w:tcBorders>
            <w:vAlign w:val="bottom"/>
            <w:hideMark/>
          </w:tcPr>
          <w:p w14:paraId="32C4FD65" w14:textId="77777777" w:rsidR="000860C9" w:rsidRPr="00D55FA1" w:rsidRDefault="000860C9" w:rsidP="002227BA">
            <w:pPr>
              <w:widowControl w:val="0"/>
              <w:overflowPunct w:val="0"/>
              <w:autoSpaceDE w:val="0"/>
              <w:autoSpaceDN w:val="0"/>
              <w:adjustRightInd w:val="0"/>
              <w:jc w:val="center"/>
              <w:rPr>
                <w:rFonts w:cs="Arial"/>
                <w:bCs/>
              </w:rPr>
            </w:pPr>
            <w:r w:rsidRPr="00D55FA1">
              <w:rPr>
                <w:rFonts w:cs="Arial"/>
                <w:bCs/>
              </w:rPr>
              <w:t>14a Target</w:t>
            </w:r>
          </w:p>
        </w:tc>
        <w:tc>
          <w:tcPr>
            <w:tcW w:w="1221" w:type="dxa"/>
            <w:tcBorders>
              <w:top w:val="single" w:sz="4" w:space="0" w:color="auto"/>
              <w:left w:val="single" w:sz="4" w:space="0" w:color="auto"/>
              <w:bottom w:val="single" w:sz="4" w:space="0" w:color="auto"/>
              <w:right w:val="single" w:sz="4" w:space="0" w:color="auto"/>
            </w:tcBorders>
            <w:hideMark/>
          </w:tcPr>
          <w:p w14:paraId="2CAFFCA4"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55%</w:t>
            </w:r>
          </w:p>
        </w:tc>
        <w:tc>
          <w:tcPr>
            <w:tcW w:w="1224" w:type="dxa"/>
            <w:tcBorders>
              <w:top w:val="single" w:sz="4" w:space="0" w:color="auto"/>
              <w:left w:val="single" w:sz="4" w:space="0" w:color="auto"/>
              <w:bottom w:val="single" w:sz="4" w:space="0" w:color="auto"/>
              <w:right w:val="single" w:sz="4" w:space="0" w:color="auto"/>
            </w:tcBorders>
            <w:hideMark/>
          </w:tcPr>
          <w:p w14:paraId="262EE23F"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56%</w:t>
            </w:r>
          </w:p>
        </w:tc>
        <w:tc>
          <w:tcPr>
            <w:tcW w:w="1173" w:type="dxa"/>
            <w:tcBorders>
              <w:top w:val="single" w:sz="4" w:space="0" w:color="auto"/>
              <w:left w:val="single" w:sz="4" w:space="0" w:color="auto"/>
              <w:bottom w:val="single" w:sz="4" w:space="0" w:color="auto"/>
              <w:right w:val="single" w:sz="4" w:space="0" w:color="auto"/>
            </w:tcBorders>
            <w:hideMark/>
          </w:tcPr>
          <w:p w14:paraId="45D4189B"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57%</w:t>
            </w:r>
          </w:p>
        </w:tc>
        <w:tc>
          <w:tcPr>
            <w:tcW w:w="1223" w:type="dxa"/>
            <w:tcBorders>
              <w:top w:val="single" w:sz="4" w:space="0" w:color="auto"/>
              <w:left w:val="single" w:sz="4" w:space="0" w:color="auto"/>
              <w:bottom w:val="single" w:sz="4" w:space="0" w:color="auto"/>
              <w:right w:val="single" w:sz="4" w:space="0" w:color="auto"/>
            </w:tcBorders>
            <w:hideMark/>
          </w:tcPr>
          <w:p w14:paraId="35B901F9"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58%</w:t>
            </w:r>
          </w:p>
        </w:tc>
        <w:tc>
          <w:tcPr>
            <w:tcW w:w="1173" w:type="dxa"/>
            <w:tcBorders>
              <w:top w:val="single" w:sz="4" w:space="0" w:color="auto"/>
              <w:left w:val="single" w:sz="4" w:space="0" w:color="auto"/>
              <w:bottom w:val="single" w:sz="4" w:space="0" w:color="auto"/>
              <w:right w:val="single" w:sz="4" w:space="0" w:color="auto"/>
            </w:tcBorders>
            <w:hideMark/>
          </w:tcPr>
          <w:p w14:paraId="44AD4A62"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59%</w:t>
            </w:r>
          </w:p>
        </w:tc>
        <w:tc>
          <w:tcPr>
            <w:tcW w:w="1200" w:type="dxa"/>
            <w:tcBorders>
              <w:top w:val="single" w:sz="4" w:space="0" w:color="auto"/>
              <w:left w:val="single" w:sz="4" w:space="0" w:color="auto"/>
              <w:bottom w:val="single" w:sz="4" w:space="0" w:color="auto"/>
              <w:right w:val="single" w:sz="4" w:space="0" w:color="auto"/>
            </w:tcBorders>
            <w:hideMark/>
          </w:tcPr>
          <w:p w14:paraId="4E8D77EE"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60%</w:t>
            </w:r>
          </w:p>
        </w:tc>
      </w:tr>
      <w:tr w:rsidR="00DF008C" w:rsidRPr="00D55FA1" w14:paraId="6FD84ADA" w14:textId="77777777" w:rsidTr="000860C9">
        <w:trPr>
          <w:cantSplit/>
          <w:trHeight w:val="242"/>
        </w:trPr>
        <w:tc>
          <w:tcPr>
            <w:tcW w:w="2061" w:type="dxa"/>
            <w:tcBorders>
              <w:top w:val="single" w:sz="4" w:space="0" w:color="auto"/>
              <w:left w:val="single" w:sz="4" w:space="0" w:color="auto"/>
              <w:bottom w:val="single" w:sz="4" w:space="0" w:color="auto"/>
              <w:right w:val="single" w:sz="4" w:space="0" w:color="auto"/>
            </w:tcBorders>
            <w:vAlign w:val="bottom"/>
          </w:tcPr>
          <w:p w14:paraId="6FB2DE63"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14a Result</w:t>
            </w:r>
          </w:p>
        </w:tc>
        <w:tc>
          <w:tcPr>
            <w:tcW w:w="1221" w:type="dxa"/>
            <w:tcBorders>
              <w:top w:val="single" w:sz="4" w:space="0" w:color="auto"/>
              <w:left w:val="single" w:sz="4" w:space="0" w:color="auto"/>
              <w:bottom w:val="single" w:sz="4" w:space="0" w:color="auto"/>
              <w:right w:val="single" w:sz="4" w:space="0" w:color="auto"/>
            </w:tcBorders>
          </w:tcPr>
          <w:p w14:paraId="08BB5665"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46.6%</w:t>
            </w:r>
          </w:p>
        </w:tc>
        <w:tc>
          <w:tcPr>
            <w:tcW w:w="1224" w:type="dxa"/>
            <w:tcBorders>
              <w:top w:val="single" w:sz="4" w:space="0" w:color="auto"/>
              <w:left w:val="single" w:sz="4" w:space="0" w:color="auto"/>
              <w:bottom w:val="single" w:sz="4" w:space="0" w:color="auto"/>
              <w:right w:val="single" w:sz="4" w:space="0" w:color="auto"/>
            </w:tcBorders>
          </w:tcPr>
          <w:p w14:paraId="1B319C6E" w14:textId="3F4E27A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47.93%</w:t>
            </w:r>
          </w:p>
        </w:tc>
        <w:tc>
          <w:tcPr>
            <w:tcW w:w="1173" w:type="dxa"/>
            <w:tcBorders>
              <w:top w:val="single" w:sz="4" w:space="0" w:color="auto"/>
              <w:left w:val="single" w:sz="4" w:space="0" w:color="auto"/>
              <w:bottom w:val="single" w:sz="4" w:space="0" w:color="auto"/>
              <w:right w:val="single" w:sz="4" w:space="0" w:color="auto"/>
            </w:tcBorders>
          </w:tcPr>
          <w:p w14:paraId="1DCF0334" w14:textId="2A2A087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50.81%</w:t>
            </w:r>
          </w:p>
        </w:tc>
        <w:tc>
          <w:tcPr>
            <w:tcW w:w="1223" w:type="dxa"/>
            <w:tcBorders>
              <w:top w:val="single" w:sz="4" w:space="0" w:color="auto"/>
              <w:left w:val="single" w:sz="4" w:space="0" w:color="auto"/>
              <w:bottom w:val="single" w:sz="4" w:space="0" w:color="auto"/>
              <w:right w:val="single" w:sz="4" w:space="0" w:color="auto"/>
            </w:tcBorders>
          </w:tcPr>
          <w:p w14:paraId="2E780729" w14:textId="036527BE" w:rsidR="00DF008C" w:rsidRPr="00D55FA1" w:rsidRDefault="00EC7B0D" w:rsidP="00DF008C">
            <w:pPr>
              <w:widowControl w:val="0"/>
              <w:overflowPunct w:val="0"/>
              <w:autoSpaceDE w:val="0"/>
              <w:autoSpaceDN w:val="0"/>
              <w:adjustRightInd w:val="0"/>
              <w:jc w:val="center"/>
              <w:rPr>
                <w:rFonts w:cs="Arial"/>
                <w:bCs/>
              </w:rPr>
            </w:pPr>
            <w:r>
              <w:rPr>
                <w:rFonts w:cs="Arial"/>
                <w:bCs/>
              </w:rPr>
              <w:t>53.2%</w:t>
            </w:r>
          </w:p>
        </w:tc>
        <w:tc>
          <w:tcPr>
            <w:tcW w:w="1173" w:type="dxa"/>
            <w:tcBorders>
              <w:top w:val="single" w:sz="4" w:space="0" w:color="auto"/>
              <w:left w:val="single" w:sz="4" w:space="0" w:color="auto"/>
              <w:bottom w:val="single" w:sz="4" w:space="0" w:color="auto"/>
              <w:right w:val="single" w:sz="4" w:space="0" w:color="auto"/>
            </w:tcBorders>
          </w:tcPr>
          <w:p w14:paraId="7118DC78" w14:textId="6F2E8439" w:rsidR="00DF008C" w:rsidRPr="00D55FA1" w:rsidRDefault="00556492" w:rsidP="00DF008C">
            <w:pPr>
              <w:widowControl w:val="0"/>
              <w:overflowPunct w:val="0"/>
              <w:autoSpaceDE w:val="0"/>
              <w:autoSpaceDN w:val="0"/>
              <w:adjustRightInd w:val="0"/>
              <w:jc w:val="center"/>
              <w:rPr>
                <w:rFonts w:cs="Arial"/>
                <w:bCs/>
              </w:rPr>
            </w:pPr>
            <w:r>
              <w:rPr>
                <w:rFonts w:cs="Arial"/>
                <w:bCs/>
              </w:rPr>
              <w:t>55.6%</w:t>
            </w:r>
          </w:p>
        </w:tc>
        <w:tc>
          <w:tcPr>
            <w:tcW w:w="1200" w:type="dxa"/>
            <w:tcBorders>
              <w:top w:val="single" w:sz="4" w:space="0" w:color="auto"/>
              <w:left w:val="single" w:sz="4" w:space="0" w:color="auto"/>
              <w:bottom w:val="single" w:sz="4" w:space="0" w:color="auto"/>
              <w:right w:val="single" w:sz="4" w:space="0" w:color="auto"/>
            </w:tcBorders>
          </w:tcPr>
          <w:p w14:paraId="7876FC12" w14:textId="2D5D4136"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05AE7D1F" w14:textId="77777777" w:rsidTr="000860C9">
        <w:trPr>
          <w:cantSplit/>
          <w:trHeight w:val="233"/>
        </w:trPr>
        <w:tc>
          <w:tcPr>
            <w:tcW w:w="2061" w:type="dxa"/>
            <w:tcBorders>
              <w:top w:val="single" w:sz="4" w:space="0" w:color="auto"/>
              <w:left w:val="single" w:sz="4" w:space="0" w:color="auto"/>
              <w:bottom w:val="single" w:sz="4" w:space="0" w:color="auto"/>
              <w:right w:val="single" w:sz="4" w:space="0" w:color="auto"/>
            </w:tcBorders>
            <w:vAlign w:val="bottom"/>
          </w:tcPr>
          <w:p w14:paraId="7C86B2D4"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14a Target Met</w:t>
            </w:r>
          </w:p>
        </w:tc>
        <w:tc>
          <w:tcPr>
            <w:tcW w:w="1221" w:type="dxa"/>
            <w:tcBorders>
              <w:top w:val="single" w:sz="4" w:space="0" w:color="auto"/>
              <w:left w:val="single" w:sz="4" w:space="0" w:color="auto"/>
              <w:bottom w:val="single" w:sz="4" w:space="0" w:color="auto"/>
              <w:right w:val="single" w:sz="4" w:space="0" w:color="auto"/>
            </w:tcBorders>
          </w:tcPr>
          <w:p w14:paraId="30A1E60C"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24" w:type="dxa"/>
            <w:tcBorders>
              <w:top w:val="single" w:sz="4" w:space="0" w:color="auto"/>
              <w:left w:val="single" w:sz="4" w:space="0" w:color="auto"/>
              <w:bottom w:val="single" w:sz="4" w:space="0" w:color="auto"/>
              <w:right w:val="single" w:sz="4" w:space="0" w:color="auto"/>
            </w:tcBorders>
          </w:tcPr>
          <w:p w14:paraId="35703EDE" w14:textId="06160C2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73" w:type="dxa"/>
            <w:tcBorders>
              <w:top w:val="single" w:sz="4" w:space="0" w:color="auto"/>
              <w:left w:val="single" w:sz="4" w:space="0" w:color="auto"/>
              <w:bottom w:val="single" w:sz="4" w:space="0" w:color="auto"/>
              <w:right w:val="single" w:sz="4" w:space="0" w:color="auto"/>
            </w:tcBorders>
          </w:tcPr>
          <w:p w14:paraId="5E86F948" w14:textId="279A11AC"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23" w:type="dxa"/>
            <w:tcBorders>
              <w:top w:val="single" w:sz="4" w:space="0" w:color="auto"/>
              <w:left w:val="single" w:sz="4" w:space="0" w:color="auto"/>
              <w:bottom w:val="single" w:sz="4" w:space="0" w:color="auto"/>
              <w:right w:val="single" w:sz="4" w:space="0" w:color="auto"/>
            </w:tcBorders>
          </w:tcPr>
          <w:p w14:paraId="1946BE5E" w14:textId="6F60488A" w:rsidR="00DF008C" w:rsidRPr="00D55FA1" w:rsidRDefault="00EC7B0D" w:rsidP="00DF008C">
            <w:pPr>
              <w:widowControl w:val="0"/>
              <w:overflowPunct w:val="0"/>
              <w:autoSpaceDE w:val="0"/>
              <w:autoSpaceDN w:val="0"/>
              <w:adjustRightInd w:val="0"/>
              <w:jc w:val="center"/>
              <w:rPr>
                <w:rFonts w:cs="Arial"/>
                <w:bCs/>
              </w:rPr>
            </w:pPr>
            <w:r>
              <w:rPr>
                <w:rFonts w:cs="Arial"/>
                <w:bCs/>
              </w:rPr>
              <w:t>No</w:t>
            </w:r>
          </w:p>
        </w:tc>
        <w:tc>
          <w:tcPr>
            <w:tcW w:w="1173" w:type="dxa"/>
            <w:tcBorders>
              <w:top w:val="single" w:sz="4" w:space="0" w:color="auto"/>
              <w:left w:val="single" w:sz="4" w:space="0" w:color="auto"/>
              <w:bottom w:val="single" w:sz="4" w:space="0" w:color="auto"/>
              <w:right w:val="single" w:sz="4" w:space="0" w:color="auto"/>
            </w:tcBorders>
          </w:tcPr>
          <w:p w14:paraId="51C34A15" w14:textId="1104A89B" w:rsidR="00DF008C" w:rsidRPr="00D55FA1" w:rsidRDefault="00556492" w:rsidP="00DF008C">
            <w:pPr>
              <w:widowControl w:val="0"/>
              <w:overflowPunct w:val="0"/>
              <w:autoSpaceDE w:val="0"/>
              <w:autoSpaceDN w:val="0"/>
              <w:adjustRightInd w:val="0"/>
              <w:jc w:val="center"/>
              <w:rPr>
                <w:rFonts w:cs="Arial"/>
                <w:bCs/>
              </w:rPr>
            </w:pPr>
            <w:r>
              <w:rPr>
                <w:rFonts w:cs="Arial"/>
                <w:bCs/>
              </w:rPr>
              <w:t>No</w:t>
            </w:r>
          </w:p>
        </w:tc>
        <w:tc>
          <w:tcPr>
            <w:tcW w:w="1200" w:type="dxa"/>
            <w:tcBorders>
              <w:top w:val="single" w:sz="4" w:space="0" w:color="auto"/>
              <w:left w:val="single" w:sz="4" w:space="0" w:color="auto"/>
              <w:bottom w:val="single" w:sz="4" w:space="0" w:color="auto"/>
              <w:right w:val="single" w:sz="4" w:space="0" w:color="auto"/>
            </w:tcBorders>
          </w:tcPr>
          <w:p w14:paraId="7E051CA8" w14:textId="6D9B70D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0860C9" w:rsidRPr="00D55FA1" w14:paraId="0DD77304" w14:textId="77777777" w:rsidTr="000860C9">
        <w:trPr>
          <w:cantSplit/>
          <w:trHeight w:val="188"/>
        </w:trPr>
        <w:tc>
          <w:tcPr>
            <w:tcW w:w="2061" w:type="dxa"/>
            <w:tcBorders>
              <w:top w:val="single" w:sz="4" w:space="0" w:color="auto"/>
              <w:left w:val="single" w:sz="4" w:space="0" w:color="auto"/>
              <w:bottom w:val="single" w:sz="4" w:space="0" w:color="auto"/>
              <w:right w:val="single" w:sz="4" w:space="0" w:color="auto"/>
            </w:tcBorders>
            <w:vAlign w:val="bottom"/>
          </w:tcPr>
          <w:p w14:paraId="11203CCD" w14:textId="77777777" w:rsidR="000860C9" w:rsidRPr="00D55FA1" w:rsidRDefault="000860C9" w:rsidP="002227BA">
            <w:pPr>
              <w:widowControl w:val="0"/>
              <w:overflowPunct w:val="0"/>
              <w:autoSpaceDE w:val="0"/>
              <w:autoSpaceDN w:val="0"/>
              <w:adjustRightInd w:val="0"/>
              <w:jc w:val="center"/>
              <w:rPr>
                <w:rFonts w:cs="Arial"/>
                <w:bCs/>
              </w:rPr>
            </w:pPr>
            <w:r w:rsidRPr="00D55FA1">
              <w:rPr>
                <w:rFonts w:cs="Arial"/>
                <w:bCs/>
              </w:rPr>
              <w:t>14b Target</w:t>
            </w:r>
          </w:p>
        </w:tc>
        <w:tc>
          <w:tcPr>
            <w:tcW w:w="1221" w:type="dxa"/>
            <w:tcBorders>
              <w:top w:val="single" w:sz="4" w:space="0" w:color="auto"/>
              <w:left w:val="single" w:sz="4" w:space="0" w:color="auto"/>
              <w:bottom w:val="single" w:sz="4" w:space="0" w:color="auto"/>
              <w:right w:val="single" w:sz="4" w:space="0" w:color="auto"/>
            </w:tcBorders>
          </w:tcPr>
          <w:p w14:paraId="3A68B751"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75%</w:t>
            </w:r>
          </w:p>
        </w:tc>
        <w:tc>
          <w:tcPr>
            <w:tcW w:w="1224" w:type="dxa"/>
            <w:tcBorders>
              <w:top w:val="single" w:sz="4" w:space="0" w:color="auto"/>
              <w:left w:val="single" w:sz="4" w:space="0" w:color="auto"/>
              <w:bottom w:val="single" w:sz="4" w:space="0" w:color="auto"/>
              <w:right w:val="single" w:sz="4" w:space="0" w:color="auto"/>
            </w:tcBorders>
          </w:tcPr>
          <w:p w14:paraId="39B6E119"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76.5%</w:t>
            </w:r>
          </w:p>
        </w:tc>
        <w:tc>
          <w:tcPr>
            <w:tcW w:w="1173" w:type="dxa"/>
            <w:tcBorders>
              <w:top w:val="single" w:sz="4" w:space="0" w:color="auto"/>
              <w:left w:val="single" w:sz="4" w:space="0" w:color="auto"/>
              <w:bottom w:val="single" w:sz="4" w:space="0" w:color="auto"/>
              <w:right w:val="single" w:sz="4" w:space="0" w:color="auto"/>
            </w:tcBorders>
          </w:tcPr>
          <w:p w14:paraId="77D28C64"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78%</w:t>
            </w:r>
          </w:p>
        </w:tc>
        <w:tc>
          <w:tcPr>
            <w:tcW w:w="1223" w:type="dxa"/>
            <w:tcBorders>
              <w:top w:val="single" w:sz="4" w:space="0" w:color="auto"/>
              <w:left w:val="single" w:sz="4" w:space="0" w:color="auto"/>
              <w:bottom w:val="single" w:sz="4" w:space="0" w:color="auto"/>
              <w:right w:val="single" w:sz="4" w:space="0" w:color="auto"/>
            </w:tcBorders>
          </w:tcPr>
          <w:p w14:paraId="00CF3530"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79.5%</w:t>
            </w:r>
          </w:p>
        </w:tc>
        <w:tc>
          <w:tcPr>
            <w:tcW w:w="1173" w:type="dxa"/>
            <w:tcBorders>
              <w:top w:val="single" w:sz="4" w:space="0" w:color="auto"/>
              <w:left w:val="single" w:sz="4" w:space="0" w:color="auto"/>
              <w:bottom w:val="single" w:sz="4" w:space="0" w:color="auto"/>
              <w:right w:val="single" w:sz="4" w:space="0" w:color="auto"/>
            </w:tcBorders>
          </w:tcPr>
          <w:p w14:paraId="25133D08"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81%</w:t>
            </w:r>
          </w:p>
        </w:tc>
        <w:tc>
          <w:tcPr>
            <w:tcW w:w="1200" w:type="dxa"/>
            <w:tcBorders>
              <w:top w:val="single" w:sz="4" w:space="0" w:color="auto"/>
              <w:left w:val="single" w:sz="4" w:space="0" w:color="auto"/>
              <w:bottom w:val="single" w:sz="4" w:space="0" w:color="auto"/>
              <w:right w:val="single" w:sz="4" w:space="0" w:color="auto"/>
            </w:tcBorders>
          </w:tcPr>
          <w:p w14:paraId="275B2096" w14:textId="3F0C46AC"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82.5%</w:t>
            </w:r>
          </w:p>
        </w:tc>
      </w:tr>
      <w:tr w:rsidR="00DF008C" w:rsidRPr="00D55FA1" w14:paraId="1946BED7" w14:textId="77777777" w:rsidTr="000860C9">
        <w:trPr>
          <w:cantSplit/>
          <w:trHeight w:val="188"/>
        </w:trPr>
        <w:tc>
          <w:tcPr>
            <w:tcW w:w="2061" w:type="dxa"/>
            <w:tcBorders>
              <w:top w:val="single" w:sz="4" w:space="0" w:color="auto"/>
              <w:left w:val="single" w:sz="4" w:space="0" w:color="auto"/>
              <w:bottom w:val="single" w:sz="4" w:space="0" w:color="auto"/>
              <w:right w:val="single" w:sz="4" w:space="0" w:color="auto"/>
            </w:tcBorders>
            <w:vAlign w:val="bottom"/>
          </w:tcPr>
          <w:p w14:paraId="49E6B90C"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14b Result</w:t>
            </w:r>
          </w:p>
        </w:tc>
        <w:tc>
          <w:tcPr>
            <w:tcW w:w="1221" w:type="dxa"/>
            <w:tcBorders>
              <w:top w:val="single" w:sz="4" w:space="0" w:color="auto"/>
              <w:left w:val="single" w:sz="4" w:space="0" w:color="auto"/>
              <w:bottom w:val="single" w:sz="4" w:space="0" w:color="auto"/>
              <w:right w:val="single" w:sz="4" w:space="0" w:color="auto"/>
            </w:tcBorders>
          </w:tcPr>
          <w:p w14:paraId="001DF650"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70.3%</w:t>
            </w:r>
          </w:p>
        </w:tc>
        <w:tc>
          <w:tcPr>
            <w:tcW w:w="1224" w:type="dxa"/>
            <w:tcBorders>
              <w:top w:val="single" w:sz="4" w:space="0" w:color="auto"/>
              <w:left w:val="single" w:sz="4" w:space="0" w:color="auto"/>
              <w:bottom w:val="single" w:sz="4" w:space="0" w:color="auto"/>
              <w:right w:val="single" w:sz="4" w:space="0" w:color="auto"/>
            </w:tcBorders>
          </w:tcPr>
          <w:p w14:paraId="126953D2" w14:textId="18D0F8CE"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74.53%</w:t>
            </w:r>
          </w:p>
        </w:tc>
        <w:tc>
          <w:tcPr>
            <w:tcW w:w="1173" w:type="dxa"/>
            <w:tcBorders>
              <w:top w:val="single" w:sz="4" w:space="0" w:color="auto"/>
              <w:left w:val="single" w:sz="4" w:space="0" w:color="auto"/>
              <w:bottom w:val="single" w:sz="4" w:space="0" w:color="auto"/>
              <w:right w:val="single" w:sz="4" w:space="0" w:color="auto"/>
            </w:tcBorders>
          </w:tcPr>
          <w:p w14:paraId="1E5BF58C" w14:textId="33FD2BE8"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75.06</w:t>
            </w:r>
          </w:p>
        </w:tc>
        <w:tc>
          <w:tcPr>
            <w:tcW w:w="1223" w:type="dxa"/>
            <w:tcBorders>
              <w:top w:val="single" w:sz="4" w:space="0" w:color="auto"/>
              <w:left w:val="single" w:sz="4" w:space="0" w:color="auto"/>
              <w:bottom w:val="single" w:sz="4" w:space="0" w:color="auto"/>
              <w:right w:val="single" w:sz="4" w:space="0" w:color="auto"/>
            </w:tcBorders>
          </w:tcPr>
          <w:p w14:paraId="053A08E0" w14:textId="0A6C07F8" w:rsidR="00DF008C" w:rsidRPr="00D55FA1" w:rsidRDefault="00EC7B0D" w:rsidP="00DF008C">
            <w:pPr>
              <w:widowControl w:val="0"/>
              <w:overflowPunct w:val="0"/>
              <w:autoSpaceDE w:val="0"/>
              <w:autoSpaceDN w:val="0"/>
              <w:adjustRightInd w:val="0"/>
              <w:jc w:val="center"/>
              <w:rPr>
                <w:rFonts w:cs="Arial"/>
                <w:bCs/>
              </w:rPr>
            </w:pPr>
            <w:r>
              <w:rPr>
                <w:rFonts w:cs="Arial"/>
                <w:bCs/>
              </w:rPr>
              <w:t>74.5%</w:t>
            </w:r>
          </w:p>
        </w:tc>
        <w:tc>
          <w:tcPr>
            <w:tcW w:w="1173" w:type="dxa"/>
            <w:tcBorders>
              <w:top w:val="single" w:sz="4" w:space="0" w:color="auto"/>
              <w:left w:val="single" w:sz="4" w:space="0" w:color="auto"/>
              <w:bottom w:val="single" w:sz="4" w:space="0" w:color="auto"/>
              <w:right w:val="single" w:sz="4" w:space="0" w:color="auto"/>
            </w:tcBorders>
          </w:tcPr>
          <w:p w14:paraId="1674D195" w14:textId="1B9A75C0" w:rsidR="00DF008C" w:rsidRPr="00D55FA1" w:rsidRDefault="00AA56BB" w:rsidP="00DF008C">
            <w:pPr>
              <w:widowControl w:val="0"/>
              <w:overflowPunct w:val="0"/>
              <w:autoSpaceDE w:val="0"/>
              <w:autoSpaceDN w:val="0"/>
              <w:adjustRightInd w:val="0"/>
              <w:jc w:val="center"/>
              <w:rPr>
                <w:rFonts w:cs="Arial"/>
                <w:bCs/>
              </w:rPr>
            </w:pPr>
            <w:r>
              <w:rPr>
                <w:rFonts w:cs="Arial"/>
                <w:bCs/>
              </w:rPr>
              <w:t>74.0%</w:t>
            </w:r>
          </w:p>
        </w:tc>
        <w:tc>
          <w:tcPr>
            <w:tcW w:w="1200" w:type="dxa"/>
            <w:tcBorders>
              <w:top w:val="single" w:sz="4" w:space="0" w:color="auto"/>
              <w:left w:val="single" w:sz="4" w:space="0" w:color="auto"/>
              <w:bottom w:val="single" w:sz="4" w:space="0" w:color="auto"/>
              <w:right w:val="single" w:sz="4" w:space="0" w:color="auto"/>
            </w:tcBorders>
          </w:tcPr>
          <w:p w14:paraId="3C72A837" w14:textId="12E9475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2F6C06A8" w14:textId="77777777" w:rsidTr="000860C9">
        <w:trPr>
          <w:cantSplit/>
          <w:trHeight w:val="98"/>
        </w:trPr>
        <w:tc>
          <w:tcPr>
            <w:tcW w:w="2061" w:type="dxa"/>
            <w:tcBorders>
              <w:top w:val="single" w:sz="4" w:space="0" w:color="auto"/>
              <w:left w:val="single" w:sz="4" w:space="0" w:color="auto"/>
              <w:bottom w:val="single" w:sz="4" w:space="0" w:color="auto"/>
              <w:right w:val="single" w:sz="4" w:space="0" w:color="auto"/>
            </w:tcBorders>
            <w:vAlign w:val="bottom"/>
          </w:tcPr>
          <w:p w14:paraId="12DC84FA"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14b Target Met</w:t>
            </w:r>
          </w:p>
        </w:tc>
        <w:tc>
          <w:tcPr>
            <w:tcW w:w="1221" w:type="dxa"/>
            <w:tcBorders>
              <w:top w:val="single" w:sz="4" w:space="0" w:color="auto"/>
              <w:left w:val="single" w:sz="4" w:space="0" w:color="auto"/>
              <w:bottom w:val="single" w:sz="4" w:space="0" w:color="auto"/>
              <w:right w:val="single" w:sz="4" w:space="0" w:color="auto"/>
            </w:tcBorders>
          </w:tcPr>
          <w:p w14:paraId="40B8CAB2"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24" w:type="dxa"/>
            <w:tcBorders>
              <w:top w:val="single" w:sz="4" w:space="0" w:color="auto"/>
              <w:left w:val="single" w:sz="4" w:space="0" w:color="auto"/>
              <w:bottom w:val="single" w:sz="4" w:space="0" w:color="auto"/>
              <w:right w:val="single" w:sz="4" w:space="0" w:color="auto"/>
            </w:tcBorders>
          </w:tcPr>
          <w:p w14:paraId="7A9A139D" w14:textId="3CA26F8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73" w:type="dxa"/>
            <w:tcBorders>
              <w:top w:val="single" w:sz="4" w:space="0" w:color="auto"/>
              <w:left w:val="single" w:sz="4" w:space="0" w:color="auto"/>
              <w:bottom w:val="single" w:sz="4" w:space="0" w:color="auto"/>
              <w:right w:val="single" w:sz="4" w:space="0" w:color="auto"/>
            </w:tcBorders>
          </w:tcPr>
          <w:p w14:paraId="56A0069A" w14:textId="5838AF65"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223" w:type="dxa"/>
            <w:tcBorders>
              <w:top w:val="single" w:sz="4" w:space="0" w:color="auto"/>
              <w:left w:val="single" w:sz="4" w:space="0" w:color="auto"/>
              <w:bottom w:val="single" w:sz="4" w:space="0" w:color="auto"/>
              <w:right w:val="single" w:sz="4" w:space="0" w:color="auto"/>
            </w:tcBorders>
          </w:tcPr>
          <w:p w14:paraId="7DF6F7AA" w14:textId="2E95A9DC" w:rsidR="00DF008C" w:rsidRPr="00D55FA1" w:rsidRDefault="00EC7B0D" w:rsidP="00DF008C">
            <w:pPr>
              <w:widowControl w:val="0"/>
              <w:overflowPunct w:val="0"/>
              <w:autoSpaceDE w:val="0"/>
              <w:autoSpaceDN w:val="0"/>
              <w:adjustRightInd w:val="0"/>
              <w:jc w:val="center"/>
              <w:rPr>
                <w:rFonts w:cs="Arial"/>
                <w:bCs/>
              </w:rPr>
            </w:pPr>
            <w:r>
              <w:rPr>
                <w:rFonts w:cs="Arial"/>
                <w:bCs/>
              </w:rPr>
              <w:t>No</w:t>
            </w:r>
          </w:p>
        </w:tc>
        <w:tc>
          <w:tcPr>
            <w:tcW w:w="1173" w:type="dxa"/>
            <w:tcBorders>
              <w:top w:val="single" w:sz="4" w:space="0" w:color="auto"/>
              <w:left w:val="single" w:sz="4" w:space="0" w:color="auto"/>
              <w:bottom w:val="single" w:sz="4" w:space="0" w:color="auto"/>
              <w:right w:val="single" w:sz="4" w:space="0" w:color="auto"/>
            </w:tcBorders>
          </w:tcPr>
          <w:p w14:paraId="320646EB" w14:textId="46E19D51" w:rsidR="00DF008C" w:rsidRPr="00D55FA1" w:rsidRDefault="00AA56BB" w:rsidP="00DF008C">
            <w:pPr>
              <w:widowControl w:val="0"/>
              <w:overflowPunct w:val="0"/>
              <w:autoSpaceDE w:val="0"/>
              <w:autoSpaceDN w:val="0"/>
              <w:adjustRightInd w:val="0"/>
              <w:jc w:val="center"/>
              <w:rPr>
                <w:rFonts w:cs="Arial"/>
                <w:bCs/>
              </w:rPr>
            </w:pPr>
            <w:r>
              <w:rPr>
                <w:rFonts w:cs="Arial"/>
                <w:bCs/>
              </w:rPr>
              <w:t>No</w:t>
            </w:r>
          </w:p>
        </w:tc>
        <w:tc>
          <w:tcPr>
            <w:tcW w:w="1200" w:type="dxa"/>
            <w:tcBorders>
              <w:top w:val="single" w:sz="4" w:space="0" w:color="auto"/>
              <w:left w:val="single" w:sz="4" w:space="0" w:color="auto"/>
              <w:bottom w:val="single" w:sz="4" w:space="0" w:color="auto"/>
              <w:right w:val="single" w:sz="4" w:space="0" w:color="auto"/>
            </w:tcBorders>
          </w:tcPr>
          <w:p w14:paraId="31ED7778" w14:textId="1A633C70"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0860C9" w:rsidRPr="00D55FA1" w14:paraId="0E6B2960" w14:textId="77777777" w:rsidTr="000860C9">
        <w:trPr>
          <w:cantSplit/>
          <w:trHeight w:val="260"/>
        </w:trPr>
        <w:tc>
          <w:tcPr>
            <w:tcW w:w="2061" w:type="dxa"/>
            <w:tcBorders>
              <w:top w:val="single" w:sz="4" w:space="0" w:color="auto"/>
              <w:left w:val="single" w:sz="4" w:space="0" w:color="auto"/>
              <w:bottom w:val="single" w:sz="4" w:space="0" w:color="auto"/>
              <w:right w:val="single" w:sz="4" w:space="0" w:color="auto"/>
            </w:tcBorders>
            <w:vAlign w:val="bottom"/>
          </w:tcPr>
          <w:p w14:paraId="1204C2EB" w14:textId="77777777" w:rsidR="000860C9" w:rsidRPr="00D55FA1" w:rsidRDefault="000860C9" w:rsidP="002227BA">
            <w:pPr>
              <w:widowControl w:val="0"/>
              <w:overflowPunct w:val="0"/>
              <w:autoSpaceDE w:val="0"/>
              <w:autoSpaceDN w:val="0"/>
              <w:adjustRightInd w:val="0"/>
              <w:jc w:val="center"/>
              <w:rPr>
                <w:rFonts w:cs="Arial"/>
                <w:bCs/>
              </w:rPr>
            </w:pPr>
            <w:r w:rsidRPr="00D55FA1">
              <w:rPr>
                <w:rFonts w:cs="Arial"/>
                <w:bCs/>
              </w:rPr>
              <w:t>14c Target</w:t>
            </w:r>
          </w:p>
        </w:tc>
        <w:tc>
          <w:tcPr>
            <w:tcW w:w="1221" w:type="dxa"/>
            <w:tcBorders>
              <w:top w:val="single" w:sz="4" w:space="0" w:color="auto"/>
              <w:left w:val="single" w:sz="4" w:space="0" w:color="auto"/>
              <w:bottom w:val="single" w:sz="4" w:space="0" w:color="auto"/>
              <w:right w:val="single" w:sz="4" w:space="0" w:color="auto"/>
            </w:tcBorders>
          </w:tcPr>
          <w:p w14:paraId="3BFDC96C"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87%</w:t>
            </w:r>
          </w:p>
        </w:tc>
        <w:tc>
          <w:tcPr>
            <w:tcW w:w="1224" w:type="dxa"/>
            <w:tcBorders>
              <w:top w:val="single" w:sz="4" w:space="0" w:color="auto"/>
              <w:left w:val="single" w:sz="4" w:space="0" w:color="auto"/>
              <w:bottom w:val="single" w:sz="4" w:space="0" w:color="auto"/>
              <w:right w:val="single" w:sz="4" w:space="0" w:color="auto"/>
            </w:tcBorders>
          </w:tcPr>
          <w:p w14:paraId="1DBAF079"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87.5%</w:t>
            </w:r>
          </w:p>
        </w:tc>
        <w:tc>
          <w:tcPr>
            <w:tcW w:w="1173" w:type="dxa"/>
            <w:tcBorders>
              <w:top w:val="single" w:sz="4" w:space="0" w:color="auto"/>
              <w:left w:val="single" w:sz="4" w:space="0" w:color="auto"/>
              <w:bottom w:val="single" w:sz="4" w:space="0" w:color="auto"/>
              <w:right w:val="single" w:sz="4" w:space="0" w:color="auto"/>
            </w:tcBorders>
          </w:tcPr>
          <w:p w14:paraId="773E40BB"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88%</w:t>
            </w:r>
          </w:p>
        </w:tc>
        <w:tc>
          <w:tcPr>
            <w:tcW w:w="1223" w:type="dxa"/>
            <w:tcBorders>
              <w:top w:val="single" w:sz="4" w:space="0" w:color="auto"/>
              <w:left w:val="single" w:sz="4" w:space="0" w:color="auto"/>
              <w:bottom w:val="single" w:sz="4" w:space="0" w:color="auto"/>
              <w:right w:val="single" w:sz="4" w:space="0" w:color="auto"/>
            </w:tcBorders>
          </w:tcPr>
          <w:p w14:paraId="3E38B7D5"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88.5%</w:t>
            </w:r>
          </w:p>
        </w:tc>
        <w:tc>
          <w:tcPr>
            <w:tcW w:w="1173" w:type="dxa"/>
            <w:tcBorders>
              <w:top w:val="single" w:sz="4" w:space="0" w:color="auto"/>
              <w:left w:val="single" w:sz="4" w:space="0" w:color="auto"/>
              <w:bottom w:val="single" w:sz="4" w:space="0" w:color="auto"/>
              <w:right w:val="single" w:sz="4" w:space="0" w:color="auto"/>
            </w:tcBorders>
          </w:tcPr>
          <w:p w14:paraId="362F0263"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89%</w:t>
            </w:r>
          </w:p>
        </w:tc>
        <w:tc>
          <w:tcPr>
            <w:tcW w:w="1200" w:type="dxa"/>
            <w:tcBorders>
              <w:top w:val="single" w:sz="4" w:space="0" w:color="auto"/>
              <w:left w:val="single" w:sz="4" w:space="0" w:color="auto"/>
              <w:bottom w:val="single" w:sz="4" w:space="0" w:color="auto"/>
              <w:right w:val="single" w:sz="4" w:space="0" w:color="auto"/>
            </w:tcBorders>
          </w:tcPr>
          <w:p w14:paraId="42CA5394"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89.5%</w:t>
            </w:r>
          </w:p>
        </w:tc>
      </w:tr>
      <w:tr w:rsidR="00DF008C" w:rsidRPr="00D55FA1" w14:paraId="390044B0" w14:textId="77777777" w:rsidTr="000860C9">
        <w:trPr>
          <w:cantSplit/>
          <w:trHeight w:val="152"/>
        </w:trPr>
        <w:tc>
          <w:tcPr>
            <w:tcW w:w="2061" w:type="dxa"/>
            <w:tcBorders>
              <w:top w:val="single" w:sz="4" w:space="0" w:color="auto"/>
              <w:left w:val="single" w:sz="4" w:space="0" w:color="auto"/>
              <w:bottom w:val="single" w:sz="4" w:space="0" w:color="auto"/>
              <w:right w:val="single" w:sz="4" w:space="0" w:color="auto"/>
            </w:tcBorders>
            <w:vAlign w:val="bottom"/>
          </w:tcPr>
          <w:p w14:paraId="0AE1486B"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14c Result</w:t>
            </w:r>
          </w:p>
        </w:tc>
        <w:tc>
          <w:tcPr>
            <w:tcW w:w="1221" w:type="dxa"/>
            <w:tcBorders>
              <w:top w:val="single" w:sz="4" w:space="0" w:color="auto"/>
              <w:left w:val="single" w:sz="4" w:space="0" w:color="auto"/>
              <w:bottom w:val="single" w:sz="4" w:space="0" w:color="auto"/>
              <w:right w:val="single" w:sz="4" w:space="0" w:color="auto"/>
            </w:tcBorders>
          </w:tcPr>
          <w:p w14:paraId="7DA51517"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88.9%</w:t>
            </w:r>
          </w:p>
        </w:tc>
        <w:tc>
          <w:tcPr>
            <w:tcW w:w="1224" w:type="dxa"/>
            <w:tcBorders>
              <w:top w:val="single" w:sz="4" w:space="0" w:color="auto"/>
              <w:left w:val="single" w:sz="4" w:space="0" w:color="auto"/>
              <w:bottom w:val="single" w:sz="4" w:space="0" w:color="auto"/>
              <w:right w:val="single" w:sz="4" w:space="0" w:color="auto"/>
            </w:tcBorders>
          </w:tcPr>
          <w:p w14:paraId="532070F0" w14:textId="3D61A99F"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91.12%</w:t>
            </w:r>
          </w:p>
        </w:tc>
        <w:tc>
          <w:tcPr>
            <w:tcW w:w="1173" w:type="dxa"/>
            <w:tcBorders>
              <w:top w:val="single" w:sz="4" w:space="0" w:color="auto"/>
              <w:left w:val="single" w:sz="4" w:space="0" w:color="auto"/>
              <w:bottom w:val="single" w:sz="4" w:space="0" w:color="auto"/>
              <w:right w:val="single" w:sz="4" w:space="0" w:color="auto"/>
            </w:tcBorders>
          </w:tcPr>
          <w:p w14:paraId="1A9B60E1" w14:textId="732DBB0A"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90.46%</w:t>
            </w:r>
          </w:p>
        </w:tc>
        <w:tc>
          <w:tcPr>
            <w:tcW w:w="1223" w:type="dxa"/>
            <w:tcBorders>
              <w:top w:val="single" w:sz="4" w:space="0" w:color="auto"/>
              <w:left w:val="single" w:sz="4" w:space="0" w:color="auto"/>
              <w:bottom w:val="single" w:sz="4" w:space="0" w:color="auto"/>
              <w:right w:val="single" w:sz="4" w:space="0" w:color="auto"/>
            </w:tcBorders>
          </w:tcPr>
          <w:p w14:paraId="3E190F5E" w14:textId="4A58ACEF" w:rsidR="00DF008C" w:rsidRPr="00D55FA1" w:rsidRDefault="00EC7B0D" w:rsidP="00DF008C">
            <w:pPr>
              <w:widowControl w:val="0"/>
              <w:overflowPunct w:val="0"/>
              <w:autoSpaceDE w:val="0"/>
              <w:autoSpaceDN w:val="0"/>
              <w:adjustRightInd w:val="0"/>
              <w:jc w:val="center"/>
              <w:rPr>
                <w:rFonts w:cs="Arial"/>
                <w:bCs/>
              </w:rPr>
            </w:pPr>
            <w:r>
              <w:rPr>
                <w:rFonts w:cs="Arial"/>
                <w:bCs/>
              </w:rPr>
              <w:t>90.3%</w:t>
            </w:r>
          </w:p>
        </w:tc>
        <w:tc>
          <w:tcPr>
            <w:tcW w:w="1173" w:type="dxa"/>
            <w:tcBorders>
              <w:top w:val="single" w:sz="4" w:space="0" w:color="auto"/>
              <w:left w:val="single" w:sz="4" w:space="0" w:color="auto"/>
              <w:bottom w:val="single" w:sz="4" w:space="0" w:color="auto"/>
              <w:right w:val="single" w:sz="4" w:space="0" w:color="auto"/>
            </w:tcBorders>
          </w:tcPr>
          <w:p w14:paraId="0FB76C7C" w14:textId="3364B04D" w:rsidR="00DF008C" w:rsidRPr="00D55FA1" w:rsidRDefault="00AA56BB" w:rsidP="00DF008C">
            <w:pPr>
              <w:widowControl w:val="0"/>
              <w:overflowPunct w:val="0"/>
              <w:autoSpaceDE w:val="0"/>
              <w:autoSpaceDN w:val="0"/>
              <w:adjustRightInd w:val="0"/>
              <w:jc w:val="center"/>
              <w:rPr>
                <w:rFonts w:cs="Arial"/>
                <w:bCs/>
              </w:rPr>
            </w:pPr>
            <w:r>
              <w:rPr>
                <w:rFonts w:cs="Arial"/>
                <w:bCs/>
              </w:rPr>
              <w:t>91.4%</w:t>
            </w:r>
          </w:p>
        </w:tc>
        <w:tc>
          <w:tcPr>
            <w:tcW w:w="1200" w:type="dxa"/>
            <w:tcBorders>
              <w:top w:val="single" w:sz="4" w:space="0" w:color="auto"/>
              <w:left w:val="single" w:sz="4" w:space="0" w:color="auto"/>
              <w:bottom w:val="single" w:sz="4" w:space="0" w:color="auto"/>
              <w:right w:val="single" w:sz="4" w:space="0" w:color="auto"/>
            </w:tcBorders>
          </w:tcPr>
          <w:p w14:paraId="00EE7A80" w14:textId="6F83624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3953E3FC" w14:textId="77777777" w:rsidTr="000860C9">
        <w:trPr>
          <w:cantSplit/>
          <w:trHeight w:val="323"/>
        </w:trPr>
        <w:tc>
          <w:tcPr>
            <w:tcW w:w="2061" w:type="dxa"/>
            <w:tcBorders>
              <w:top w:val="single" w:sz="4" w:space="0" w:color="auto"/>
              <w:left w:val="single" w:sz="4" w:space="0" w:color="auto"/>
              <w:bottom w:val="single" w:sz="4" w:space="0" w:color="auto"/>
              <w:right w:val="single" w:sz="4" w:space="0" w:color="auto"/>
            </w:tcBorders>
            <w:vAlign w:val="bottom"/>
          </w:tcPr>
          <w:p w14:paraId="1B8BBBAE"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14c Target Met</w:t>
            </w:r>
          </w:p>
        </w:tc>
        <w:tc>
          <w:tcPr>
            <w:tcW w:w="1221" w:type="dxa"/>
            <w:tcBorders>
              <w:top w:val="single" w:sz="4" w:space="0" w:color="auto"/>
              <w:left w:val="single" w:sz="4" w:space="0" w:color="auto"/>
              <w:bottom w:val="single" w:sz="4" w:space="0" w:color="auto"/>
              <w:right w:val="single" w:sz="4" w:space="0" w:color="auto"/>
            </w:tcBorders>
          </w:tcPr>
          <w:p w14:paraId="4AD7F9E3"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224" w:type="dxa"/>
            <w:tcBorders>
              <w:top w:val="single" w:sz="4" w:space="0" w:color="auto"/>
              <w:left w:val="single" w:sz="4" w:space="0" w:color="auto"/>
              <w:bottom w:val="single" w:sz="4" w:space="0" w:color="auto"/>
              <w:right w:val="single" w:sz="4" w:space="0" w:color="auto"/>
            </w:tcBorders>
          </w:tcPr>
          <w:p w14:paraId="1E8E47C2" w14:textId="0DBF507F"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173" w:type="dxa"/>
            <w:tcBorders>
              <w:top w:val="single" w:sz="4" w:space="0" w:color="auto"/>
              <w:left w:val="single" w:sz="4" w:space="0" w:color="auto"/>
              <w:bottom w:val="single" w:sz="4" w:space="0" w:color="auto"/>
              <w:right w:val="single" w:sz="4" w:space="0" w:color="auto"/>
            </w:tcBorders>
          </w:tcPr>
          <w:p w14:paraId="52E12EC1" w14:textId="76C9E789"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223" w:type="dxa"/>
            <w:tcBorders>
              <w:top w:val="single" w:sz="4" w:space="0" w:color="auto"/>
              <w:left w:val="single" w:sz="4" w:space="0" w:color="auto"/>
              <w:bottom w:val="single" w:sz="4" w:space="0" w:color="auto"/>
              <w:right w:val="single" w:sz="4" w:space="0" w:color="auto"/>
            </w:tcBorders>
          </w:tcPr>
          <w:p w14:paraId="6A2BC471" w14:textId="7A61569D" w:rsidR="00DF008C" w:rsidRPr="00D55FA1" w:rsidRDefault="00EC7B0D" w:rsidP="00DF008C">
            <w:pPr>
              <w:widowControl w:val="0"/>
              <w:overflowPunct w:val="0"/>
              <w:autoSpaceDE w:val="0"/>
              <w:autoSpaceDN w:val="0"/>
              <w:adjustRightInd w:val="0"/>
              <w:jc w:val="center"/>
              <w:rPr>
                <w:rFonts w:cs="Arial"/>
                <w:bCs/>
              </w:rPr>
            </w:pPr>
            <w:r>
              <w:rPr>
                <w:rFonts w:cs="Arial"/>
                <w:bCs/>
              </w:rPr>
              <w:t>Yes</w:t>
            </w:r>
          </w:p>
        </w:tc>
        <w:tc>
          <w:tcPr>
            <w:tcW w:w="1173" w:type="dxa"/>
            <w:tcBorders>
              <w:top w:val="single" w:sz="4" w:space="0" w:color="auto"/>
              <w:left w:val="single" w:sz="4" w:space="0" w:color="auto"/>
              <w:bottom w:val="single" w:sz="4" w:space="0" w:color="auto"/>
              <w:right w:val="single" w:sz="4" w:space="0" w:color="auto"/>
            </w:tcBorders>
          </w:tcPr>
          <w:p w14:paraId="4DCC6F47" w14:textId="71FA4F45" w:rsidR="00DF008C" w:rsidRPr="00D55FA1" w:rsidRDefault="00AA56BB" w:rsidP="00DF008C">
            <w:pPr>
              <w:widowControl w:val="0"/>
              <w:overflowPunct w:val="0"/>
              <w:autoSpaceDE w:val="0"/>
              <w:autoSpaceDN w:val="0"/>
              <w:adjustRightInd w:val="0"/>
              <w:jc w:val="center"/>
              <w:rPr>
                <w:rFonts w:cs="Arial"/>
                <w:bCs/>
              </w:rPr>
            </w:pPr>
            <w:r>
              <w:rPr>
                <w:rFonts w:cs="Arial"/>
                <w:bCs/>
              </w:rPr>
              <w:t>Yes</w:t>
            </w:r>
          </w:p>
        </w:tc>
        <w:tc>
          <w:tcPr>
            <w:tcW w:w="1200" w:type="dxa"/>
            <w:tcBorders>
              <w:top w:val="single" w:sz="4" w:space="0" w:color="auto"/>
              <w:left w:val="single" w:sz="4" w:space="0" w:color="auto"/>
              <w:bottom w:val="single" w:sz="4" w:space="0" w:color="auto"/>
              <w:right w:val="single" w:sz="4" w:space="0" w:color="auto"/>
            </w:tcBorders>
          </w:tcPr>
          <w:p w14:paraId="1B5E47D9" w14:textId="1E5E79CA"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bl>
    <w:p w14:paraId="18E7D592" w14:textId="77777777" w:rsidR="00EB1E42" w:rsidRPr="00D55FA1" w:rsidRDefault="00EB1E42" w:rsidP="00EB1E42">
      <w:pPr>
        <w:spacing w:after="160" w:line="259" w:lineRule="auto"/>
        <w:rPr>
          <w:rFonts w:eastAsiaTheme="majorEastAsia" w:cstheme="majorBidi"/>
          <w:b/>
          <w:sz w:val="28"/>
          <w:szCs w:val="26"/>
        </w:rPr>
      </w:pPr>
      <w:r w:rsidRPr="00D55FA1">
        <w:br w:type="page"/>
      </w:r>
    </w:p>
    <w:p w14:paraId="71A8589B" w14:textId="77777777" w:rsidR="00EB1E42" w:rsidRPr="00D55FA1" w:rsidRDefault="00EB1E42" w:rsidP="00EB1E42">
      <w:pPr>
        <w:pStyle w:val="Heading2"/>
        <w:tabs>
          <w:tab w:val="center" w:pos="4680"/>
        </w:tabs>
        <w:spacing w:before="0"/>
        <w:jc w:val="center"/>
      </w:pPr>
      <w:bookmarkStart w:id="171" w:name="_Toc212718082"/>
      <w:r w:rsidRPr="00D55FA1">
        <w:lastRenderedPageBreak/>
        <w:t>Indicator 15: Resolution Sessions</w:t>
      </w:r>
      <w:bookmarkEnd w:id="171"/>
    </w:p>
    <w:p w14:paraId="03B436A2" w14:textId="77777777" w:rsidR="00EB1E42" w:rsidRPr="00D55FA1" w:rsidRDefault="001F30A1" w:rsidP="00EB1E42">
      <w:pPr>
        <w:pStyle w:val="Heading3"/>
      </w:pPr>
      <w:bookmarkStart w:id="172" w:name="_Toc212718083"/>
      <w:r w:rsidRPr="00D55FA1">
        <w:t>Description</w:t>
      </w:r>
      <w:bookmarkEnd w:id="172"/>
    </w:p>
    <w:p w14:paraId="3C6DC0A3" w14:textId="156B438A" w:rsidR="00EB1E42" w:rsidRPr="00D55FA1" w:rsidRDefault="00EB1E42" w:rsidP="00EB1E42">
      <w:pPr>
        <w:spacing w:after="240"/>
        <w:rPr>
          <w:rFonts w:cs="Arial"/>
        </w:rPr>
      </w:pPr>
      <w:r w:rsidRPr="5E32A801">
        <w:rPr>
          <w:rFonts w:cs="Arial"/>
        </w:rPr>
        <w:t xml:space="preserve">Indicator 15 is a performance indicator that measures </w:t>
      </w:r>
      <w:bookmarkStart w:id="173" w:name="_Hlk184750609"/>
      <w:r w:rsidRPr="5E32A801">
        <w:rPr>
          <w:rFonts w:cs="Arial"/>
        </w:rPr>
        <w:t xml:space="preserve">the </w:t>
      </w:r>
      <w:bookmarkStart w:id="174" w:name="_Int_XGAllPfy"/>
      <w:proofErr w:type="gramStart"/>
      <w:r w:rsidRPr="5E32A801">
        <w:rPr>
          <w:rFonts w:cs="Arial"/>
        </w:rPr>
        <w:t>percent</w:t>
      </w:r>
      <w:bookmarkEnd w:id="174"/>
      <w:proofErr w:type="gramEnd"/>
      <w:r w:rsidRPr="5E32A801">
        <w:rPr>
          <w:rFonts w:cs="Arial"/>
        </w:rPr>
        <w:t xml:space="preserve"> of hearing requests that went to resolution sessions that were resolved through resolution session settlement agreements.</w:t>
      </w:r>
      <w:r w:rsidR="006B5C68" w:rsidRPr="5E32A801">
        <w:rPr>
          <w:rFonts w:cs="Arial"/>
        </w:rPr>
        <w:t xml:space="preserve"> T</w:t>
      </w:r>
      <w:bookmarkEnd w:id="173"/>
      <w:r w:rsidR="006B5C68" w:rsidRPr="5E32A801">
        <w:rPr>
          <w:rFonts w:cs="Arial"/>
        </w:rPr>
        <w:t xml:space="preserve">his data is collected by the </w:t>
      </w:r>
      <w:r w:rsidR="00077553" w:rsidRPr="5E32A801">
        <w:rPr>
          <w:rFonts w:cs="Arial"/>
        </w:rPr>
        <w:t xml:space="preserve">California State </w:t>
      </w:r>
      <w:r w:rsidR="006B5C68" w:rsidRPr="5E32A801">
        <w:rPr>
          <w:rFonts w:cs="Arial"/>
        </w:rPr>
        <w:t>Office of Administrative Hearings</w:t>
      </w:r>
      <w:r w:rsidR="00670163" w:rsidRPr="5E32A801">
        <w:rPr>
          <w:rFonts w:cs="Arial"/>
        </w:rPr>
        <w:t xml:space="preserve"> and reported to the CDE.</w:t>
      </w:r>
      <w:r w:rsidR="006B5C68" w:rsidRPr="5E32A801">
        <w:rPr>
          <w:rFonts w:cs="Arial"/>
        </w:rPr>
        <w:t xml:space="preserve"> </w:t>
      </w:r>
    </w:p>
    <w:p w14:paraId="36AEC9FE" w14:textId="77777777" w:rsidR="00EB1E42" w:rsidRPr="00D55FA1" w:rsidRDefault="001F30A1" w:rsidP="00EB1E42">
      <w:pPr>
        <w:pStyle w:val="Heading3"/>
        <w:spacing w:before="0"/>
        <w:rPr>
          <w:rFonts w:cs="Arial"/>
          <w:bCs/>
        </w:rPr>
      </w:pPr>
      <w:bookmarkStart w:id="175" w:name="_Toc212718084"/>
      <w:r w:rsidRPr="00D55FA1">
        <w:t>Measurement</w:t>
      </w:r>
      <w:bookmarkEnd w:id="175"/>
    </w:p>
    <w:p w14:paraId="6DE1D323" w14:textId="77777777" w:rsidR="00EB1E42" w:rsidRPr="00D55FA1" w:rsidRDefault="001F30A1" w:rsidP="001F30A1">
      <w:pPr>
        <w:spacing w:after="240"/>
        <w:rPr>
          <w:rFonts w:cs="Arial"/>
          <w:b/>
          <w:bCs/>
        </w:rPr>
      </w:pPr>
      <w:r w:rsidRPr="00D55FA1">
        <w:rPr>
          <w:rFonts w:cs="Arial"/>
        </w:rPr>
        <w:t>Percent equals the number of resolution sessions resolved through settlement agreements divided by the number of resolution sessions multiplied by 100.</w:t>
      </w:r>
    </w:p>
    <w:p w14:paraId="53CADA53" w14:textId="77777777" w:rsidR="00EB1E42" w:rsidRPr="00DF56DF" w:rsidRDefault="001F30A1" w:rsidP="00DF56DF">
      <w:pPr>
        <w:spacing w:after="240"/>
        <w:rPr>
          <w:rFonts w:cs="Arial"/>
          <w:b/>
          <w:bCs/>
        </w:rPr>
      </w:pPr>
      <w:r w:rsidRPr="00DF56DF">
        <w:rPr>
          <w:b/>
          <w:bCs/>
        </w:rPr>
        <w:t>Target Met: No</w:t>
      </w:r>
    </w:p>
    <w:p w14:paraId="2BEF02C4" w14:textId="51DB1C0E" w:rsidR="00EB1E42" w:rsidRPr="00DF56DF" w:rsidRDefault="00DF56DF" w:rsidP="00DF56DF">
      <w:pPr>
        <w:spacing w:after="240"/>
        <w:rPr>
          <w:b/>
          <w:bCs/>
        </w:rPr>
      </w:pPr>
      <w:r w:rsidRPr="00DF56DF">
        <w:rPr>
          <w:b/>
          <w:bCs/>
        </w:rPr>
        <w:t xml:space="preserve">Table 23: </w:t>
      </w:r>
      <w:r w:rsidR="00EB1E42" w:rsidRPr="00DF56DF">
        <w:rPr>
          <w:b/>
          <w:bCs/>
        </w:rPr>
        <w:t xml:space="preserve">Resolution Sessions </w:t>
      </w:r>
      <w:r w:rsidR="001F30A1" w:rsidRPr="00DF56DF">
        <w:rPr>
          <w:b/>
          <w:bCs/>
        </w:rPr>
        <w:t xml:space="preserve">Targets and Results for FFYs </w:t>
      </w:r>
      <w:r w:rsidR="000860C9" w:rsidRPr="00DF56DF">
        <w:rPr>
          <w:b/>
          <w:bCs/>
        </w:rPr>
        <w:t>2020</w:t>
      </w:r>
      <w:r w:rsidR="000860C9" w:rsidRPr="00DF56DF">
        <w:rPr>
          <w:rFonts w:cs="Arial"/>
          <w:b/>
          <w:bCs/>
        </w:rPr>
        <w:t>–25</w:t>
      </w:r>
    </w:p>
    <w:tbl>
      <w:tblPr>
        <w:tblStyle w:val="TableGrid1"/>
        <w:tblW w:w="9184" w:type="dxa"/>
        <w:tblLook w:val="04A0" w:firstRow="1" w:lastRow="0" w:firstColumn="1" w:lastColumn="0" w:noHBand="0" w:noVBand="1"/>
        <w:tblDescription w:val="Indicator 15 Targets and Results"/>
      </w:tblPr>
      <w:tblGrid>
        <w:gridCol w:w="2078"/>
        <w:gridCol w:w="1227"/>
        <w:gridCol w:w="1180"/>
        <w:gridCol w:w="1180"/>
        <w:gridCol w:w="1180"/>
        <w:gridCol w:w="1180"/>
        <w:gridCol w:w="1159"/>
      </w:tblGrid>
      <w:tr w:rsidR="000860C9" w:rsidRPr="00D55FA1" w14:paraId="1CEF0C8B" w14:textId="77777777" w:rsidTr="00EF763D">
        <w:trPr>
          <w:cantSplit/>
          <w:trHeight w:val="309"/>
          <w:tblHeader/>
        </w:trPr>
        <w:tc>
          <w:tcPr>
            <w:tcW w:w="2078" w:type="dxa"/>
            <w:tcBorders>
              <w:top w:val="single" w:sz="4" w:space="0" w:color="auto"/>
              <w:left w:val="single" w:sz="4" w:space="0" w:color="auto"/>
              <w:bottom w:val="single" w:sz="4" w:space="0" w:color="auto"/>
              <w:right w:val="single" w:sz="4" w:space="0" w:color="auto"/>
            </w:tcBorders>
            <w:vAlign w:val="center"/>
            <w:hideMark/>
          </w:tcPr>
          <w:p w14:paraId="067DB920" w14:textId="77777777" w:rsidR="000860C9" w:rsidRPr="00D55FA1" w:rsidRDefault="000860C9" w:rsidP="00EF763D">
            <w:pPr>
              <w:widowControl w:val="0"/>
              <w:overflowPunct w:val="0"/>
              <w:autoSpaceDE w:val="0"/>
              <w:autoSpaceDN w:val="0"/>
              <w:adjustRightInd w:val="0"/>
              <w:jc w:val="center"/>
              <w:rPr>
                <w:rFonts w:cs="Arial"/>
                <w:b/>
                <w:bCs/>
                <w:szCs w:val="22"/>
              </w:rPr>
            </w:pPr>
            <w:bookmarkStart w:id="176" w:name="_Hlk181622265"/>
            <w:r w:rsidRPr="00D55FA1">
              <w:rPr>
                <w:rFonts w:cs="Arial"/>
                <w:b/>
                <w:bCs/>
              </w:rPr>
              <w:t>Indicator 15</w:t>
            </w:r>
          </w:p>
        </w:tc>
        <w:tc>
          <w:tcPr>
            <w:tcW w:w="1227" w:type="dxa"/>
            <w:tcBorders>
              <w:top w:val="single" w:sz="4" w:space="0" w:color="auto"/>
              <w:left w:val="single" w:sz="4" w:space="0" w:color="auto"/>
              <w:bottom w:val="single" w:sz="4" w:space="0" w:color="auto"/>
              <w:right w:val="single" w:sz="4" w:space="0" w:color="auto"/>
            </w:tcBorders>
            <w:vAlign w:val="center"/>
            <w:hideMark/>
          </w:tcPr>
          <w:p w14:paraId="4166FA72"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2E67541"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2021</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2CB7BC4"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2022</w:t>
            </w:r>
          </w:p>
        </w:tc>
        <w:tc>
          <w:tcPr>
            <w:tcW w:w="1180" w:type="dxa"/>
            <w:tcBorders>
              <w:top w:val="single" w:sz="4" w:space="0" w:color="auto"/>
              <w:left w:val="single" w:sz="4" w:space="0" w:color="auto"/>
              <w:bottom w:val="single" w:sz="4" w:space="0" w:color="auto"/>
              <w:right w:val="single" w:sz="4" w:space="0" w:color="auto"/>
            </w:tcBorders>
            <w:vAlign w:val="center"/>
            <w:hideMark/>
          </w:tcPr>
          <w:p w14:paraId="1C934F3F"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CB13529"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2024</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073C9FE"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2025</w:t>
            </w:r>
          </w:p>
        </w:tc>
      </w:tr>
      <w:tr w:rsidR="000860C9" w:rsidRPr="00D55FA1" w14:paraId="7F473DB0" w14:textId="77777777" w:rsidTr="00EF763D">
        <w:trPr>
          <w:cantSplit/>
          <w:trHeight w:val="309"/>
        </w:trPr>
        <w:tc>
          <w:tcPr>
            <w:tcW w:w="2078" w:type="dxa"/>
            <w:tcBorders>
              <w:top w:val="single" w:sz="4" w:space="0" w:color="auto"/>
              <w:left w:val="single" w:sz="4" w:space="0" w:color="auto"/>
              <w:bottom w:val="single" w:sz="4" w:space="0" w:color="auto"/>
              <w:right w:val="single" w:sz="4" w:space="0" w:color="auto"/>
            </w:tcBorders>
            <w:vAlign w:val="center"/>
            <w:hideMark/>
          </w:tcPr>
          <w:p w14:paraId="274B3D98"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Target</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CD518F5"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40%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8EE9BE2"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41%</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28AFEB0"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42%</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9A0602B"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43%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11B0EBD"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44%</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697D846"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45%</w:t>
            </w:r>
          </w:p>
        </w:tc>
      </w:tr>
      <w:tr w:rsidR="00DF008C" w:rsidRPr="00D55FA1" w14:paraId="4E9F4CFF" w14:textId="77777777" w:rsidTr="00DF008C">
        <w:trPr>
          <w:cantSplit/>
          <w:trHeight w:val="309"/>
        </w:trPr>
        <w:tc>
          <w:tcPr>
            <w:tcW w:w="2078" w:type="dxa"/>
            <w:tcBorders>
              <w:top w:val="single" w:sz="4" w:space="0" w:color="auto"/>
              <w:left w:val="single" w:sz="4" w:space="0" w:color="auto"/>
              <w:bottom w:val="single" w:sz="4" w:space="0" w:color="auto"/>
              <w:right w:val="single" w:sz="4" w:space="0" w:color="auto"/>
            </w:tcBorders>
            <w:vAlign w:val="center"/>
          </w:tcPr>
          <w:p w14:paraId="40F078A5"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w:t>
            </w:r>
          </w:p>
        </w:tc>
        <w:tc>
          <w:tcPr>
            <w:tcW w:w="1227" w:type="dxa"/>
            <w:tcBorders>
              <w:top w:val="single" w:sz="4" w:space="0" w:color="auto"/>
              <w:left w:val="single" w:sz="4" w:space="0" w:color="auto"/>
              <w:bottom w:val="single" w:sz="4" w:space="0" w:color="auto"/>
              <w:right w:val="single" w:sz="4" w:space="0" w:color="auto"/>
            </w:tcBorders>
            <w:vAlign w:val="center"/>
          </w:tcPr>
          <w:p w14:paraId="5DDDB332"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9.86%</w:t>
            </w:r>
          </w:p>
        </w:tc>
        <w:tc>
          <w:tcPr>
            <w:tcW w:w="1180" w:type="dxa"/>
            <w:tcBorders>
              <w:top w:val="single" w:sz="4" w:space="0" w:color="auto"/>
              <w:left w:val="single" w:sz="4" w:space="0" w:color="auto"/>
              <w:bottom w:val="single" w:sz="4" w:space="0" w:color="auto"/>
              <w:right w:val="single" w:sz="4" w:space="0" w:color="auto"/>
            </w:tcBorders>
            <w:vAlign w:val="center"/>
          </w:tcPr>
          <w:p w14:paraId="4CC8AA0D" w14:textId="6925226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8.18%</w:t>
            </w:r>
          </w:p>
        </w:tc>
        <w:tc>
          <w:tcPr>
            <w:tcW w:w="1180" w:type="dxa"/>
            <w:tcBorders>
              <w:top w:val="single" w:sz="4" w:space="0" w:color="auto"/>
              <w:left w:val="single" w:sz="4" w:space="0" w:color="auto"/>
              <w:bottom w:val="single" w:sz="4" w:space="0" w:color="auto"/>
              <w:right w:val="single" w:sz="4" w:space="0" w:color="auto"/>
            </w:tcBorders>
            <w:vAlign w:val="center"/>
          </w:tcPr>
          <w:p w14:paraId="0387D0D6" w14:textId="060691DA"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5.38%</w:t>
            </w:r>
          </w:p>
        </w:tc>
        <w:tc>
          <w:tcPr>
            <w:tcW w:w="1180" w:type="dxa"/>
            <w:tcBorders>
              <w:top w:val="single" w:sz="4" w:space="0" w:color="auto"/>
              <w:left w:val="single" w:sz="4" w:space="0" w:color="auto"/>
              <w:bottom w:val="single" w:sz="4" w:space="0" w:color="auto"/>
              <w:right w:val="single" w:sz="4" w:space="0" w:color="auto"/>
            </w:tcBorders>
          </w:tcPr>
          <w:p w14:paraId="565BFF5B" w14:textId="7105B739" w:rsidR="00DF008C" w:rsidRPr="00D55FA1" w:rsidRDefault="00EC7B0D" w:rsidP="00DF008C">
            <w:pPr>
              <w:widowControl w:val="0"/>
              <w:overflowPunct w:val="0"/>
              <w:autoSpaceDE w:val="0"/>
              <w:autoSpaceDN w:val="0"/>
              <w:adjustRightInd w:val="0"/>
              <w:jc w:val="center"/>
              <w:rPr>
                <w:rFonts w:cs="Arial"/>
                <w:bCs/>
              </w:rPr>
            </w:pPr>
            <w:r>
              <w:rPr>
                <w:rFonts w:cs="Arial"/>
                <w:bCs/>
              </w:rPr>
              <w:t>4.49%</w:t>
            </w:r>
          </w:p>
        </w:tc>
        <w:tc>
          <w:tcPr>
            <w:tcW w:w="1180" w:type="dxa"/>
            <w:tcBorders>
              <w:top w:val="single" w:sz="4" w:space="0" w:color="auto"/>
              <w:left w:val="single" w:sz="4" w:space="0" w:color="auto"/>
              <w:bottom w:val="single" w:sz="4" w:space="0" w:color="auto"/>
              <w:right w:val="single" w:sz="4" w:space="0" w:color="auto"/>
            </w:tcBorders>
          </w:tcPr>
          <w:p w14:paraId="34CDD9EB" w14:textId="5A516D70" w:rsidR="00DF008C" w:rsidRPr="00D55FA1" w:rsidRDefault="00FD04B5" w:rsidP="00DF008C">
            <w:pPr>
              <w:widowControl w:val="0"/>
              <w:overflowPunct w:val="0"/>
              <w:autoSpaceDE w:val="0"/>
              <w:autoSpaceDN w:val="0"/>
              <w:adjustRightInd w:val="0"/>
              <w:jc w:val="center"/>
              <w:rPr>
                <w:rFonts w:cs="Arial"/>
                <w:bCs/>
              </w:rPr>
            </w:pPr>
            <w:r>
              <w:rPr>
                <w:rFonts w:cs="Arial"/>
                <w:bCs/>
              </w:rPr>
              <w:t>4.63%</w:t>
            </w:r>
          </w:p>
        </w:tc>
        <w:tc>
          <w:tcPr>
            <w:tcW w:w="1159" w:type="dxa"/>
            <w:tcBorders>
              <w:top w:val="single" w:sz="4" w:space="0" w:color="auto"/>
              <w:left w:val="single" w:sz="4" w:space="0" w:color="auto"/>
              <w:bottom w:val="single" w:sz="4" w:space="0" w:color="auto"/>
              <w:right w:val="single" w:sz="4" w:space="0" w:color="auto"/>
            </w:tcBorders>
          </w:tcPr>
          <w:p w14:paraId="498AF0D8" w14:textId="50BCD226"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0184C6BF" w14:textId="77777777" w:rsidTr="00DF008C">
        <w:trPr>
          <w:cantSplit/>
          <w:trHeight w:val="309"/>
        </w:trPr>
        <w:tc>
          <w:tcPr>
            <w:tcW w:w="2078" w:type="dxa"/>
            <w:tcBorders>
              <w:top w:val="single" w:sz="4" w:space="0" w:color="auto"/>
              <w:left w:val="single" w:sz="4" w:space="0" w:color="auto"/>
              <w:bottom w:val="single" w:sz="4" w:space="0" w:color="auto"/>
              <w:right w:val="single" w:sz="4" w:space="0" w:color="auto"/>
            </w:tcBorders>
            <w:vAlign w:val="center"/>
          </w:tcPr>
          <w:p w14:paraId="65EC9A31"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227" w:type="dxa"/>
            <w:tcBorders>
              <w:top w:val="single" w:sz="4" w:space="0" w:color="auto"/>
              <w:left w:val="single" w:sz="4" w:space="0" w:color="auto"/>
              <w:bottom w:val="single" w:sz="4" w:space="0" w:color="auto"/>
              <w:right w:val="single" w:sz="4" w:space="0" w:color="auto"/>
            </w:tcBorders>
            <w:vAlign w:val="center"/>
          </w:tcPr>
          <w:p w14:paraId="7B1298D0"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0" w:type="dxa"/>
            <w:tcBorders>
              <w:top w:val="single" w:sz="4" w:space="0" w:color="auto"/>
              <w:left w:val="single" w:sz="4" w:space="0" w:color="auto"/>
              <w:bottom w:val="single" w:sz="4" w:space="0" w:color="auto"/>
              <w:right w:val="single" w:sz="4" w:space="0" w:color="auto"/>
            </w:tcBorders>
            <w:vAlign w:val="center"/>
          </w:tcPr>
          <w:p w14:paraId="263F3B9E" w14:textId="1878F57E"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0" w:type="dxa"/>
            <w:tcBorders>
              <w:top w:val="single" w:sz="4" w:space="0" w:color="auto"/>
              <w:left w:val="single" w:sz="4" w:space="0" w:color="auto"/>
              <w:bottom w:val="single" w:sz="4" w:space="0" w:color="auto"/>
              <w:right w:val="single" w:sz="4" w:space="0" w:color="auto"/>
            </w:tcBorders>
            <w:vAlign w:val="center"/>
          </w:tcPr>
          <w:p w14:paraId="16E5E008" w14:textId="7712F673"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0" w:type="dxa"/>
            <w:tcBorders>
              <w:top w:val="single" w:sz="4" w:space="0" w:color="auto"/>
              <w:left w:val="single" w:sz="4" w:space="0" w:color="auto"/>
              <w:bottom w:val="single" w:sz="4" w:space="0" w:color="auto"/>
              <w:right w:val="single" w:sz="4" w:space="0" w:color="auto"/>
            </w:tcBorders>
          </w:tcPr>
          <w:p w14:paraId="40D2860B" w14:textId="16154754" w:rsidR="00DF008C" w:rsidRPr="00D55FA1" w:rsidRDefault="00EC7B0D" w:rsidP="00DF008C">
            <w:pPr>
              <w:widowControl w:val="0"/>
              <w:overflowPunct w:val="0"/>
              <w:autoSpaceDE w:val="0"/>
              <w:autoSpaceDN w:val="0"/>
              <w:adjustRightInd w:val="0"/>
              <w:jc w:val="center"/>
              <w:rPr>
                <w:rFonts w:cs="Arial"/>
                <w:bCs/>
              </w:rPr>
            </w:pPr>
            <w:r>
              <w:rPr>
                <w:rFonts w:cs="Arial"/>
                <w:bCs/>
              </w:rPr>
              <w:t>No</w:t>
            </w:r>
          </w:p>
        </w:tc>
        <w:tc>
          <w:tcPr>
            <w:tcW w:w="1180" w:type="dxa"/>
            <w:tcBorders>
              <w:top w:val="single" w:sz="4" w:space="0" w:color="auto"/>
              <w:left w:val="single" w:sz="4" w:space="0" w:color="auto"/>
              <w:bottom w:val="single" w:sz="4" w:space="0" w:color="auto"/>
              <w:right w:val="single" w:sz="4" w:space="0" w:color="auto"/>
            </w:tcBorders>
          </w:tcPr>
          <w:p w14:paraId="42050CB3" w14:textId="7E4DFF3E" w:rsidR="00DF008C" w:rsidRPr="00D55FA1" w:rsidRDefault="00FD04B5" w:rsidP="00DF008C">
            <w:pPr>
              <w:widowControl w:val="0"/>
              <w:overflowPunct w:val="0"/>
              <w:autoSpaceDE w:val="0"/>
              <w:autoSpaceDN w:val="0"/>
              <w:adjustRightInd w:val="0"/>
              <w:jc w:val="center"/>
              <w:rPr>
                <w:rFonts w:cs="Arial"/>
                <w:bCs/>
              </w:rPr>
            </w:pPr>
            <w:r>
              <w:rPr>
                <w:rFonts w:cs="Arial"/>
                <w:bCs/>
              </w:rPr>
              <w:t>No</w:t>
            </w:r>
          </w:p>
        </w:tc>
        <w:tc>
          <w:tcPr>
            <w:tcW w:w="1159" w:type="dxa"/>
            <w:tcBorders>
              <w:top w:val="single" w:sz="4" w:space="0" w:color="auto"/>
              <w:left w:val="single" w:sz="4" w:space="0" w:color="auto"/>
              <w:bottom w:val="single" w:sz="4" w:space="0" w:color="auto"/>
              <w:right w:val="single" w:sz="4" w:space="0" w:color="auto"/>
            </w:tcBorders>
          </w:tcPr>
          <w:p w14:paraId="130CC4CD" w14:textId="76D6E274"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bookmarkEnd w:id="176"/>
    </w:tbl>
    <w:p w14:paraId="38E78751" w14:textId="77777777" w:rsidR="001F30A1" w:rsidRPr="00D55FA1" w:rsidRDefault="001F30A1">
      <w:pPr>
        <w:spacing w:after="160" w:line="259" w:lineRule="auto"/>
        <w:rPr>
          <w:rFonts w:eastAsiaTheme="majorEastAsia" w:cstheme="majorBidi"/>
          <w:b/>
          <w:sz w:val="28"/>
          <w:szCs w:val="26"/>
        </w:rPr>
      </w:pPr>
      <w:r w:rsidRPr="00D55FA1">
        <w:br w:type="page"/>
      </w:r>
    </w:p>
    <w:p w14:paraId="524DDB09" w14:textId="77777777" w:rsidR="00EB1E42" w:rsidRPr="00D55FA1" w:rsidRDefault="00EB1E42" w:rsidP="00EB1E42">
      <w:pPr>
        <w:pStyle w:val="Heading2"/>
        <w:spacing w:before="4560"/>
        <w:jc w:val="center"/>
      </w:pPr>
      <w:bookmarkStart w:id="177" w:name="_Toc212718085"/>
      <w:r w:rsidRPr="00D55FA1">
        <w:lastRenderedPageBreak/>
        <w:t>Indicator 16: Mediation</w:t>
      </w:r>
      <w:bookmarkEnd w:id="177"/>
    </w:p>
    <w:p w14:paraId="2E29F70C" w14:textId="77777777" w:rsidR="00EB1E42" w:rsidRPr="00D55FA1" w:rsidRDefault="001F30A1" w:rsidP="00EB1E42">
      <w:pPr>
        <w:pStyle w:val="Heading3"/>
        <w:spacing w:before="0"/>
        <w:rPr>
          <w:rFonts w:cs="Arial"/>
          <w:bCs/>
        </w:rPr>
      </w:pPr>
      <w:bookmarkStart w:id="178" w:name="_Toc212718086"/>
      <w:r w:rsidRPr="00D55FA1">
        <w:t>Description</w:t>
      </w:r>
      <w:bookmarkEnd w:id="178"/>
    </w:p>
    <w:p w14:paraId="67866ADE" w14:textId="7BAFA950" w:rsidR="00EB1E42" w:rsidRPr="00D55FA1" w:rsidRDefault="00EB1E42" w:rsidP="00EB1E42">
      <w:pPr>
        <w:spacing w:after="240"/>
        <w:rPr>
          <w:rFonts w:cs="Arial"/>
        </w:rPr>
      </w:pPr>
      <w:r w:rsidRPr="5E32A801">
        <w:rPr>
          <w:rFonts w:cs="Arial"/>
        </w:rPr>
        <w:t xml:space="preserve">Indicator 16 is a performance indicator that measures the </w:t>
      </w:r>
      <w:bookmarkStart w:id="179" w:name="_Int_dlQWMmn8"/>
      <w:proofErr w:type="gramStart"/>
      <w:r w:rsidRPr="5E32A801">
        <w:rPr>
          <w:rFonts w:cs="Arial"/>
        </w:rPr>
        <w:t>percent</w:t>
      </w:r>
      <w:bookmarkEnd w:id="179"/>
      <w:proofErr w:type="gramEnd"/>
      <w:r w:rsidRPr="5E32A801">
        <w:rPr>
          <w:rFonts w:cs="Arial"/>
        </w:rPr>
        <w:t xml:space="preserve"> </w:t>
      </w:r>
      <w:bookmarkStart w:id="180" w:name="_Hlk184750676"/>
      <w:r w:rsidRPr="5E32A801">
        <w:rPr>
          <w:rFonts w:cs="Arial"/>
        </w:rPr>
        <w:t>of mediations held that resulted in mediation agreements</w:t>
      </w:r>
      <w:bookmarkEnd w:id="180"/>
      <w:r w:rsidRPr="5E32A801">
        <w:rPr>
          <w:rFonts w:cs="Arial"/>
        </w:rPr>
        <w:t>.</w:t>
      </w:r>
      <w:r w:rsidR="006B5C68" w:rsidRPr="5E32A801">
        <w:rPr>
          <w:rFonts w:cs="Arial"/>
        </w:rPr>
        <w:t xml:space="preserve"> This data is collected by the </w:t>
      </w:r>
      <w:r w:rsidR="00077553" w:rsidRPr="5E32A801">
        <w:rPr>
          <w:rFonts w:cs="Arial"/>
        </w:rPr>
        <w:t xml:space="preserve">California State </w:t>
      </w:r>
      <w:r w:rsidR="006B5C68" w:rsidRPr="5E32A801">
        <w:rPr>
          <w:rFonts w:cs="Arial"/>
        </w:rPr>
        <w:t>Office of Administrative Hearings</w:t>
      </w:r>
      <w:r w:rsidR="00670163" w:rsidRPr="5E32A801">
        <w:rPr>
          <w:rFonts w:cs="Arial"/>
        </w:rPr>
        <w:t xml:space="preserve"> and reported to the CDE.</w:t>
      </w:r>
    </w:p>
    <w:p w14:paraId="7A027C19" w14:textId="77777777" w:rsidR="00EB1E42" w:rsidRPr="00D55FA1" w:rsidRDefault="001F30A1" w:rsidP="00EB1E42">
      <w:pPr>
        <w:pStyle w:val="Heading3"/>
        <w:spacing w:before="0"/>
      </w:pPr>
      <w:bookmarkStart w:id="181" w:name="_Toc212718087"/>
      <w:r w:rsidRPr="00D55FA1">
        <w:t>Measurement</w:t>
      </w:r>
      <w:bookmarkEnd w:id="181"/>
    </w:p>
    <w:p w14:paraId="0A3C0FAE" w14:textId="77777777" w:rsidR="00EB1E42" w:rsidRPr="00D55FA1" w:rsidRDefault="001F30A1" w:rsidP="001F30A1">
      <w:pPr>
        <w:spacing w:after="240"/>
        <w:rPr>
          <w:rFonts w:cs="Arial"/>
        </w:rPr>
      </w:pPr>
      <w:r w:rsidRPr="00D55FA1">
        <w:rPr>
          <w:rFonts w:cs="Arial"/>
        </w:rPr>
        <w:t>The indicator is calculated by mediation agreements related to due process complaints plus mediation agreements not related to due process complaints divided by number of mediations held, multiplied by 100.</w:t>
      </w:r>
    </w:p>
    <w:p w14:paraId="4278D902" w14:textId="77777777" w:rsidR="00EB1E42" w:rsidRPr="008B0921" w:rsidRDefault="001F30A1" w:rsidP="008B0921">
      <w:pPr>
        <w:spacing w:after="240"/>
        <w:rPr>
          <w:rFonts w:cs="Arial"/>
          <w:b/>
          <w:bCs/>
        </w:rPr>
      </w:pPr>
      <w:r w:rsidRPr="008B0921">
        <w:rPr>
          <w:b/>
          <w:bCs/>
        </w:rPr>
        <w:t>Target Met: No</w:t>
      </w:r>
    </w:p>
    <w:p w14:paraId="2BEADC0E" w14:textId="60FA76CF" w:rsidR="00EB1E42" w:rsidRPr="008B0921" w:rsidRDefault="008B0921" w:rsidP="008B0921">
      <w:pPr>
        <w:spacing w:after="240"/>
        <w:rPr>
          <w:b/>
          <w:bCs/>
        </w:rPr>
      </w:pPr>
      <w:r w:rsidRPr="008B0921">
        <w:rPr>
          <w:b/>
          <w:bCs/>
        </w:rPr>
        <w:t xml:space="preserve">Table 24: </w:t>
      </w:r>
      <w:r w:rsidR="00EB1E42" w:rsidRPr="008B0921">
        <w:rPr>
          <w:b/>
          <w:bCs/>
        </w:rPr>
        <w:t xml:space="preserve">Mediation </w:t>
      </w:r>
      <w:r w:rsidR="001F30A1" w:rsidRPr="008B0921">
        <w:rPr>
          <w:b/>
          <w:bCs/>
        </w:rPr>
        <w:t xml:space="preserve">Targets and Results for FFYs </w:t>
      </w:r>
      <w:r w:rsidR="000860C9" w:rsidRPr="008B0921">
        <w:rPr>
          <w:b/>
          <w:bCs/>
        </w:rPr>
        <w:t>2020</w:t>
      </w:r>
      <w:r w:rsidR="000860C9" w:rsidRPr="008B0921">
        <w:rPr>
          <w:rFonts w:cs="Arial"/>
          <w:b/>
          <w:bCs/>
        </w:rPr>
        <w:t>–25</w:t>
      </w:r>
    </w:p>
    <w:tbl>
      <w:tblPr>
        <w:tblStyle w:val="TableGrid1"/>
        <w:tblW w:w="9247" w:type="dxa"/>
        <w:tblLook w:val="04A0" w:firstRow="1" w:lastRow="0" w:firstColumn="1" w:lastColumn="0" w:noHBand="0" w:noVBand="1"/>
        <w:tblDescription w:val="Indicator 16 Targets and Results"/>
      </w:tblPr>
      <w:tblGrid>
        <w:gridCol w:w="2081"/>
        <w:gridCol w:w="1268"/>
        <w:gridCol w:w="1185"/>
        <w:gridCol w:w="1184"/>
        <w:gridCol w:w="1184"/>
        <w:gridCol w:w="1184"/>
        <w:gridCol w:w="1161"/>
      </w:tblGrid>
      <w:tr w:rsidR="000860C9" w:rsidRPr="00D55FA1" w14:paraId="2632F3AA" w14:textId="77777777" w:rsidTr="00EF763D">
        <w:trPr>
          <w:cantSplit/>
          <w:trHeight w:val="295"/>
          <w:tblHeader/>
        </w:trPr>
        <w:tc>
          <w:tcPr>
            <w:tcW w:w="2081" w:type="dxa"/>
            <w:tcBorders>
              <w:top w:val="single" w:sz="4" w:space="0" w:color="auto"/>
              <w:left w:val="single" w:sz="4" w:space="0" w:color="auto"/>
              <w:bottom w:val="single" w:sz="4" w:space="0" w:color="auto"/>
              <w:right w:val="single" w:sz="4" w:space="0" w:color="auto"/>
            </w:tcBorders>
            <w:vAlign w:val="center"/>
            <w:hideMark/>
          </w:tcPr>
          <w:p w14:paraId="1925D622" w14:textId="77777777" w:rsidR="000860C9" w:rsidRPr="00D55FA1" w:rsidRDefault="000860C9" w:rsidP="00EF763D">
            <w:pPr>
              <w:widowControl w:val="0"/>
              <w:overflowPunct w:val="0"/>
              <w:autoSpaceDE w:val="0"/>
              <w:autoSpaceDN w:val="0"/>
              <w:adjustRightInd w:val="0"/>
              <w:jc w:val="center"/>
              <w:rPr>
                <w:rFonts w:cs="Arial"/>
                <w:b/>
                <w:bCs/>
                <w:szCs w:val="22"/>
              </w:rPr>
            </w:pPr>
            <w:r w:rsidRPr="00D55FA1">
              <w:rPr>
                <w:rFonts w:cs="Arial"/>
                <w:b/>
                <w:bCs/>
              </w:rPr>
              <w:t>Indicator 16</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91E7704"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2020</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8CB61B2"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2021</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E312855"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2022</w:t>
            </w:r>
          </w:p>
        </w:tc>
        <w:tc>
          <w:tcPr>
            <w:tcW w:w="1184" w:type="dxa"/>
            <w:tcBorders>
              <w:top w:val="single" w:sz="4" w:space="0" w:color="auto"/>
              <w:left w:val="single" w:sz="4" w:space="0" w:color="auto"/>
              <w:bottom w:val="single" w:sz="4" w:space="0" w:color="auto"/>
              <w:right w:val="single" w:sz="4" w:space="0" w:color="auto"/>
            </w:tcBorders>
            <w:vAlign w:val="center"/>
            <w:hideMark/>
          </w:tcPr>
          <w:p w14:paraId="665C4E8C"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2023</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C3277A"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2024</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CCF64FE" w14:textId="77777777" w:rsidR="000860C9" w:rsidRPr="00D55FA1" w:rsidRDefault="000860C9" w:rsidP="00EF763D">
            <w:pPr>
              <w:widowControl w:val="0"/>
              <w:overflowPunct w:val="0"/>
              <w:autoSpaceDE w:val="0"/>
              <w:autoSpaceDN w:val="0"/>
              <w:adjustRightInd w:val="0"/>
              <w:jc w:val="center"/>
              <w:rPr>
                <w:rFonts w:cs="Arial"/>
                <w:b/>
                <w:bCs/>
              </w:rPr>
            </w:pPr>
            <w:r w:rsidRPr="00D55FA1">
              <w:rPr>
                <w:rFonts w:cs="Arial"/>
                <w:b/>
                <w:bCs/>
              </w:rPr>
              <w:t>2025</w:t>
            </w:r>
          </w:p>
        </w:tc>
      </w:tr>
      <w:tr w:rsidR="000860C9" w:rsidRPr="00D55FA1" w14:paraId="6149EFF6" w14:textId="77777777" w:rsidTr="00EF763D">
        <w:trPr>
          <w:cantSplit/>
          <w:trHeight w:val="295"/>
        </w:trPr>
        <w:tc>
          <w:tcPr>
            <w:tcW w:w="2081" w:type="dxa"/>
            <w:tcBorders>
              <w:top w:val="single" w:sz="4" w:space="0" w:color="auto"/>
              <w:left w:val="single" w:sz="4" w:space="0" w:color="auto"/>
              <w:bottom w:val="single" w:sz="4" w:space="0" w:color="auto"/>
              <w:right w:val="single" w:sz="4" w:space="0" w:color="auto"/>
            </w:tcBorders>
            <w:vAlign w:val="center"/>
            <w:hideMark/>
          </w:tcPr>
          <w:p w14:paraId="043B317A"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Target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5C13F6F"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65%</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33D48C7"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66%</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D8FE334"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67%</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A901CBB"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68%</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9FC0BBD"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69%</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628A188" w14:textId="77777777" w:rsidR="000860C9" w:rsidRPr="00D55FA1" w:rsidRDefault="000860C9" w:rsidP="00EF763D">
            <w:pPr>
              <w:widowControl w:val="0"/>
              <w:overflowPunct w:val="0"/>
              <w:autoSpaceDE w:val="0"/>
              <w:autoSpaceDN w:val="0"/>
              <w:adjustRightInd w:val="0"/>
              <w:jc w:val="center"/>
              <w:rPr>
                <w:rFonts w:cs="Arial"/>
                <w:bCs/>
              </w:rPr>
            </w:pPr>
            <w:r w:rsidRPr="00D55FA1">
              <w:rPr>
                <w:rFonts w:cs="Arial"/>
                <w:bCs/>
              </w:rPr>
              <w:t>70%</w:t>
            </w:r>
          </w:p>
        </w:tc>
      </w:tr>
      <w:tr w:rsidR="00DF008C" w:rsidRPr="00D55FA1" w14:paraId="09D35156" w14:textId="77777777" w:rsidTr="00DF008C">
        <w:trPr>
          <w:cantSplit/>
          <w:trHeight w:val="295"/>
        </w:trPr>
        <w:tc>
          <w:tcPr>
            <w:tcW w:w="2081" w:type="dxa"/>
            <w:tcBorders>
              <w:top w:val="single" w:sz="4" w:space="0" w:color="auto"/>
              <w:left w:val="single" w:sz="4" w:space="0" w:color="auto"/>
              <w:bottom w:val="single" w:sz="4" w:space="0" w:color="auto"/>
              <w:right w:val="single" w:sz="4" w:space="0" w:color="auto"/>
            </w:tcBorders>
            <w:vAlign w:val="center"/>
          </w:tcPr>
          <w:p w14:paraId="03FF530D"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w:t>
            </w:r>
          </w:p>
        </w:tc>
        <w:tc>
          <w:tcPr>
            <w:tcW w:w="1268" w:type="dxa"/>
            <w:tcBorders>
              <w:top w:val="single" w:sz="4" w:space="0" w:color="auto"/>
              <w:left w:val="single" w:sz="4" w:space="0" w:color="auto"/>
              <w:bottom w:val="single" w:sz="4" w:space="0" w:color="auto"/>
              <w:right w:val="single" w:sz="4" w:space="0" w:color="auto"/>
            </w:tcBorders>
            <w:vAlign w:val="center"/>
          </w:tcPr>
          <w:p w14:paraId="56D1BF5C"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18.79%</w:t>
            </w:r>
          </w:p>
        </w:tc>
        <w:tc>
          <w:tcPr>
            <w:tcW w:w="1185" w:type="dxa"/>
            <w:tcBorders>
              <w:top w:val="single" w:sz="4" w:space="0" w:color="auto"/>
              <w:left w:val="single" w:sz="4" w:space="0" w:color="auto"/>
              <w:bottom w:val="single" w:sz="4" w:space="0" w:color="auto"/>
              <w:right w:val="single" w:sz="4" w:space="0" w:color="auto"/>
            </w:tcBorders>
            <w:vAlign w:val="center"/>
          </w:tcPr>
          <w:p w14:paraId="62A75F99" w14:textId="45F5B55A"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16.92%</w:t>
            </w:r>
          </w:p>
        </w:tc>
        <w:tc>
          <w:tcPr>
            <w:tcW w:w="1184" w:type="dxa"/>
            <w:tcBorders>
              <w:top w:val="single" w:sz="4" w:space="0" w:color="auto"/>
              <w:left w:val="single" w:sz="4" w:space="0" w:color="auto"/>
              <w:bottom w:val="single" w:sz="4" w:space="0" w:color="auto"/>
              <w:right w:val="single" w:sz="4" w:space="0" w:color="auto"/>
            </w:tcBorders>
            <w:vAlign w:val="center"/>
          </w:tcPr>
          <w:p w14:paraId="2ECAA31B" w14:textId="1E86569C"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9.15%</w:t>
            </w:r>
          </w:p>
        </w:tc>
        <w:tc>
          <w:tcPr>
            <w:tcW w:w="1184" w:type="dxa"/>
            <w:tcBorders>
              <w:top w:val="single" w:sz="4" w:space="0" w:color="auto"/>
              <w:left w:val="single" w:sz="4" w:space="0" w:color="auto"/>
              <w:bottom w:val="single" w:sz="4" w:space="0" w:color="auto"/>
              <w:right w:val="single" w:sz="4" w:space="0" w:color="auto"/>
            </w:tcBorders>
          </w:tcPr>
          <w:p w14:paraId="2FBD1CFD" w14:textId="33DC51B4" w:rsidR="00DF008C" w:rsidRPr="00D55FA1" w:rsidRDefault="00EC7B0D" w:rsidP="00DF008C">
            <w:pPr>
              <w:widowControl w:val="0"/>
              <w:overflowPunct w:val="0"/>
              <w:autoSpaceDE w:val="0"/>
              <w:autoSpaceDN w:val="0"/>
              <w:adjustRightInd w:val="0"/>
              <w:jc w:val="center"/>
              <w:rPr>
                <w:rFonts w:cs="Arial"/>
                <w:bCs/>
              </w:rPr>
            </w:pPr>
            <w:r>
              <w:rPr>
                <w:rFonts w:cs="Arial"/>
                <w:bCs/>
              </w:rPr>
              <w:t>8.68%</w:t>
            </w:r>
          </w:p>
        </w:tc>
        <w:tc>
          <w:tcPr>
            <w:tcW w:w="1184" w:type="dxa"/>
            <w:tcBorders>
              <w:top w:val="single" w:sz="4" w:space="0" w:color="auto"/>
              <w:left w:val="single" w:sz="4" w:space="0" w:color="auto"/>
              <w:bottom w:val="single" w:sz="4" w:space="0" w:color="auto"/>
              <w:right w:val="single" w:sz="4" w:space="0" w:color="auto"/>
            </w:tcBorders>
          </w:tcPr>
          <w:p w14:paraId="3FDCE676" w14:textId="1D46CC77" w:rsidR="00DF008C" w:rsidRPr="00D55FA1" w:rsidRDefault="00B704BB" w:rsidP="00DF008C">
            <w:pPr>
              <w:widowControl w:val="0"/>
              <w:overflowPunct w:val="0"/>
              <w:autoSpaceDE w:val="0"/>
              <w:autoSpaceDN w:val="0"/>
              <w:adjustRightInd w:val="0"/>
              <w:jc w:val="center"/>
              <w:rPr>
                <w:rFonts w:cs="Arial"/>
                <w:bCs/>
              </w:rPr>
            </w:pPr>
            <w:r>
              <w:rPr>
                <w:rFonts w:cs="Arial"/>
                <w:bCs/>
              </w:rPr>
              <w:t>7.03%</w:t>
            </w:r>
          </w:p>
        </w:tc>
        <w:tc>
          <w:tcPr>
            <w:tcW w:w="1161" w:type="dxa"/>
            <w:tcBorders>
              <w:top w:val="single" w:sz="4" w:space="0" w:color="auto"/>
              <w:left w:val="single" w:sz="4" w:space="0" w:color="auto"/>
              <w:bottom w:val="single" w:sz="4" w:space="0" w:color="auto"/>
              <w:right w:val="single" w:sz="4" w:space="0" w:color="auto"/>
            </w:tcBorders>
          </w:tcPr>
          <w:p w14:paraId="2FC0A1CB" w14:textId="5EE9D4EB"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30DDCDFE" w14:textId="77777777" w:rsidTr="00DF008C">
        <w:trPr>
          <w:cantSplit/>
          <w:trHeight w:val="295"/>
        </w:trPr>
        <w:tc>
          <w:tcPr>
            <w:tcW w:w="2081" w:type="dxa"/>
            <w:tcBorders>
              <w:top w:val="single" w:sz="4" w:space="0" w:color="auto"/>
              <w:left w:val="single" w:sz="4" w:space="0" w:color="auto"/>
              <w:bottom w:val="single" w:sz="4" w:space="0" w:color="auto"/>
              <w:right w:val="single" w:sz="4" w:space="0" w:color="auto"/>
            </w:tcBorders>
            <w:vAlign w:val="center"/>
          </w:tcPr>
          <w:p w14:paraId="4A168648"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268" w:type="dxa"/>
            <w:tcBorders>
              <w:top w:val="single" w:sz="4" w:space="0" w:color="auto"/>
              <w:left w:val="single" w:sz="4" w:space="0" w:color="auto"/>
              <w:bottom w:val="single" w:sz="4" w:space="0" w:color="auto"/>
              <w:right w:val="single" w:sz="4" w:space="0" w:color="auto"/>
            </w:tcBorders>
            <w:vAlign w:val="center"/>
          </w:tcPr>
          <w:p w14:paraId="7906FBC1"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5" w:type="dxa"/>
            <w:tcBorders>
              <w:top w:val="single" w:sz="4" w:space="0" w:color="auto"/>
              <w:left w:val="single" w:sz="4" w:space="0" w:color="auto"/>
              <w:bottom w:val="single" w:sz="4" w:space="0" w:color="auto"/>
              <w:right w:val="single" w:sz="4" w:space="0" w:color="auto"/>
            </w:tcBorders>
            <w:vAlign w:val="center"/>
          </w:tcPr>
          <w:p w14:paraId="3A2BAADD" w14:textId="2BB709F5"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4" w:type="dxa"/>
            <w:tcBorders>
              <w:top w:val="single" w:sz="4" w:space="0" w:color="auto"/>
              <w:left w:val="single" w:sz="4" w:space="0" w:color="auto"/>
              <w:bottom w:val="single" w:sz="4" w:space="0" w:color="auto"/>
              <w:right w:val="single" w:sz="4" w:space="0" w:color="auto"/>
            </w:tcBorders>
            <w:vAlign w:val="center"/>
          </w:tcPr>
          <w:p w14:paraId="2E4B6A3E" w14:textId="24BAE3D6"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184" w:type="dxa"/>
            <w:tcBorders>
              <w:top w:val="single" w:sz="4" w:space="0" w:color="auto"/>
              <w:left w:val="single" w:sz="4" w:space="0" w:color="auto"/>
              <w:bottom w:val="single" w:sz="4" w:space="0" w:color="auto"/>
              <w:right w:val="single" w:sz="4" w:space="0" w:color="auto"/>
            </w:tcBorders>
          </w:tcPr>
          <w:p w14:paraId="7EF37AA3" w14:textId="0D275BA4" w:rsidR="00DF008C" w:rsidRPr="00D55FA1" w:rsidRDefault="00EC7B0D" w:rsidP="00DF008C">
            <w:pPr>
              <w:widowControl w:val="0"/>
              <w:overflowPunct w:val="0"/>
              <w:autoSpaceDE w:val="0"/>
              <w:autoSpaceDN w:val="0"/>
              <w:adjustRightInd w:val="0"/>
              <w:jc w:val="center"/>
              <w:rPr>
                <w:rFonts w:cs="Arial"/>
                <w:bCs/>
              </w:rPr>
            </w:pPr>
            <w:r>
              <w:rPr>
                <w:rFonts w:cs="Arial"/>
                <w:bCs/>
              </w:rPr>
              <w:t>No</w:t>
            </w:r>
          </w:p>
        </w:tc>
        <w:tc>
          <w:tcPr>
            <w:tcW w:w="1184" w:type="dxa"/>
            <w:tcBorders>
              <w:top w:val="single" w:sz="4" w:space="0" w:color="auto"/>
              <w:left w:val="single" w:sz="4" w:space="0" w:color="auto"/>
              <w:bottom w:val="single" w:sz="4" w:space="0" w:color="auto"/>
              <w:right w:val="single" w:sz="4" w:space="0" w:color="auto"/>
            </w:tcBorders>
          </w:tcPr>
          <w:p w14:paraId="3C7576EC" w14:textId="6E770819" w:rsidR="00DF008C" w:rsidRPr="00D55FA1" w:rsidRDefault="00B704BB" w:rsidP="00DF008C">
            <w:pPr>
              <w:widowControl w:val="0"/>
              <w:overflowPunct w:val="0"/>
              <w:autoSpaceDE w:val="0"/>
              <w:autoSpaceDN w:val="0"/>
              <w:adjustRightInd w:val="0"/>
              <w:jc w:val="center"/>
              <w:rPr>
                <w:rFonts w:cs="Arial"/>
                <w:bCs/>
              </w:rPr>
            </w:pPr>
            <w:r>
              <w:rPr>
                <w:rFonts w:cs="Arial"/>
                <w:bCs/>
              </w:rPr>
              <w:t>No</w:t>
            </w:r>
          </w:p>
        </w:tc>
        <w:tc>
          <w:tcPr>
            <w:tcW w:w="1161" w:type="dxa"/>
            <w:tcBorders>
              <w:top w:val="single" w:sz="4" w:space="0" w:color="auto"/>
              <w:left w:val="single" w:sz="4" w:space="0" w:color="auto"/>
              <w:bottom w:val="single" w:sz="4" w:space="0" w:color="auto"/>
              <w:right w:val="single" w:sz="4" w:space="0" w:color="auto"/>
            </w:tcBorders>
          </w:tcPr>
          <w:p w14:paraId="6000547E" w14:textId="4B9A33C8"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bl>
    <w:p w14:paraId="55194696" w14:textId="77777777" w:rsidR="00F90C6F" w:rsidRPr="00D55FA1" w:rsidRDefault="00F90C6F">
      <w:pPr>
        <w:spacing w:after="160" w:line="259" w:lineRule="auto"/>
      </w:pPr>
      <w:r w:rsidRPr="00D55FA1">
        <w:br w:type="page"/>
      </w:r>
    </w:p>
    <w:p w14:paraId="18379EFB" w14:textId="60434E84" w:rsidR="00EB1E42" w:rsidRPr="00D55FA1" w:rsidRDefault="00EB1E42" w:rsidP="00DF008C">
      <w:pPr>
        <w:pStyle w:val="Heading2"/>
        <w:jc w:val="center"/>
        <w:rPr>
          <w:b w:val="0"/>
        </w:rPr>
      </w:pPr>
      <w:bookmarkStart w:id="182" w:name="_Toc212718088"/>
      <w:r w:rsidRPr="00D55FA1">
        <w:lastRenderedPageBreak/>
        <w:t>Indicator 17: State Systemic Improvement Plan</w:t>
      </w:r>
      <w:bookmarkEnd w:id="182"/>
    </w:p>
    <w:p w14:paraId="0547764F" w14:textId="77777777" w:rsidR="00EB1E42" w:rsidRPr="00AA4B26" w:rsidRDefault="00315234" w:rsidP="00F90C6F">
      <w:pPr>
        <w:pStyle w:val="Heading3"/>
        <w:rPr>
          <w:szCs w:val="28"/>
        </w:rPr>
      </w:pPr>
      <w:bookmarkStart w:id="183" w:name="_Toc212718089"/>
      <w:r w:rsidRPr="00AA4B26">
        <w:rPr>
          <w:szCs w:val="28"/>
        </w:rPr>
        <w:t>Section A: Data Analysis</w:t>
      </w:r>
      <w:bookmarkEnd w:id="183"/>
    </w:p>
    <w:p w14:paraId="3B65BEEA" w14:textId="1C52C6D3" w:rsidR="00F86BD8" w:rsidRPr="00D55FA1" w:rsidRDefault="00F86BD8" w:rsidP="00DF008C">
      <w:pPr>
        <w:spacing w:after="240"/>
      </w:pPr>
      <w:r w:rsidRPr="00D55FA1">
        <w:t>California’s S</w:t>
      </w:r>
      <w:r w:rsidR="00DD5D40">
        <w:t xml:space="preserve">tate </w:t>
      </w:r>
      <w:r w:rsidRPr="00D55FA1">
        <w:t>S</w:t>
      </w:r>
      <w:r w:rsidR="00DD5D40">
        <w:t xml:space="preserve">ystemic </w:t>
      </w:r>
      <w:r w:rsidRPr="00D55FA1">
        <w:t>I</w:t>
      </w:r>
      <w:r w:rsidR="00DD5D40">
        <w:t xml:space="preserve">mprovement </w:t>
      </w:r>
      <w:r w:rsidRPr="00D55FA1">
        <w:t>P</w:t>
      </w:r>
      <w:r w:rsidR="00DD5D40">
        <w:t>lan (SSIP)</w:t>
      </w:r>
      <w:r w:rsidRPr="00D55FA1">
        <w:t xml:space="preserve"> continues to be a critical driver of change, resulting in special education and SWD</w:t>
      </w:r>
      <w:r w:rsidR="00105B47" w:rsidRPr="00D55FA1">
        <w:t>s</w:t>
      </w:r>
      <w:r w:rsidRPr="00D55FA1">
        <w:t xml:space="preserve"> being meaningfully represented and addressed in the overall statewide system of accountability and support. Developed in 2013, prior to the launch of California’s new accountability system, the</w:t>
      </w:r>
      <w:r w:rsidR="00C62048" w:rsidRPr="00D55FA1">
        <w:t xml:space="preserve"> </w:t>
      </w:r>
      <w:r w:rsidRPr="00D55FA1">
        <w:t>CDE hypothesized in the SSIP that by leveraging the intersectionality of SWD</w:t>
      </w:r>
      <w:r w:rsidR="00105B47" w:rsidRPr="00D55FA1">
        <w:t>s</w:t>
      </w:r>
      <w:r w:rsidRPr="00D55FA1">
        <w:t xml:space="preserve"> with the new Local Control Funding Formula weighted student groups (students who are Foster Youth, English Language Learners, and/or socio-economically disadvantaged), all students would benefit. By aligning and integrating special education activities and </w:t>
      </w:r>
      <w:r w:rsidR="00A16088">
        <w:t>technical assistance (</w:t>
      </w:r>
      <w:r w:rsidRPr="00D55FA1">
        <w:t>TA</w:t>
      </w:r>
      <w:r w:rsidR="00A16088">
        <w:t>)</w:t>
      </w:r>
      <w:r w:rsidRPr="00D55FA1">
        <w:t xml:space="preserve"> </w:t>
      </w:r>
      <w:proofErr w:type="gramStart"/>
      <w:r w:rsidRPr="00D55FA1">
        <w:t>to</w:t>
      </w:r>
      <w:proofErr w:type="gramEnd"/>
      <w:r w:rsidRPr="00D55FA1">
        <w:t xml:space="preserve"> the larger system of support for LEAs, it would lead to coherenc</w:t>
      </w:r>
      <w:r w:rsidR="00DE0FB7" w:rsidRPr="00D55FA1">
        <w:t>e</w:t>
      </w:r>
      <w:r w:rsidRPr="00D55FA1">
        <w:t xml:space="preserve"> among services for SWD and improve outcomes.</w:t>
      </w:r>
    </w:p>
    <w:p w14:paraId="4EC05C50" w14:textId="642873A6" w:rsidR="00F768B3" w:rsidRPr="00D55FA1" w:rsidRDefault="00F86BD8" w:rsidP="00DF008C">
      <w:pPr>
        <w:spacing w:after="240"/>
      </w:pPr>
      <w:r w:rsidRPr="00D55FA1">
        <w:t>The comprehensive improvement efforts initiated by LEAs are outlined in their local control and accountability plans (LCAPs). The</w:t>
      </w:r>
      <w:r w:rsidR="00C62048" w:rsidRPr="00D55FA1">
        <w:t xml:space="preserve"> Theory of Action</w:t>
      </w:r>
      <w:r w:rsidRPr="00D55FA1">
        <w:t xml:space="preserve"> for California’s SSIP hypothesized that if California required each LEA to establish a comprehensive improvement plan and developed instructions to ensure that the plan included appropriate improvement activities for SWD</w:t>
      </w:r>
      <w:r w:rsidR="00B60204" w:rsidRPr="00D55FA1">
        <w:t>s</w:t>
      </w:r>
      <w:r w:rsidRPr="00D55FA1">
        <w:t>, then each LEA would create an improvement plan that included evidence-based strategies and goals targeting high-needs students, including SWD</w:t>
      </w:r>
      <w:r w:rsidR="00C33C61" w:rsidRPr="00D55FA1">
        <w:t>s</w:t>
      </w:r>
      <w:r w:rsidRPr="00D55FA1">
        <w:t>, which would result in increased access to instruction for SWD</w:t>
      </w:r>
      <w:r w:rsidR="00C33C61" w:rsidRPr="00D55FA1">
        <w:t>s</w:t>
      </w:r>
      <w:r w:rsidRPr="00D55FA1">
        <w:t xml:space="preserve"> and improved academic outcomes accordingly.</w:t>
      </w:r>
      <w:r w:rsidR="00695D48" w:rsidRPr="00D55FA1">
        <w:t xml:space="preserve"> Since</w:t>
      </w:r>
      <w:r w:rsidRPr="00D55FA1">
        <w:t xml:space="preserve"> </w:t>
      </w:r>
      <w:r w:rsidR="00C33C61" w:rsidRPr="00D55FA1">
        <w:t>P</w:t>
      </w:r>
      <w:r w:rsidRPr="00D55FA1">
        <w:t>hase III, California progress</w:t>
      </w:r>
      <w:r w:rsidR="00695D48" w:rsidRPr="00D55FA1">
        <w:t>ed</w:t>
      </w:r>
      <w:r w:rsidRPr="00D55FA1">
        <w:t xml:space="preserve"> toward ensuring that LCAPs include and address performance of SWD</w:t>
      </w:r>
      <w:r w:rsidR="00C33C61" w:rsidRPr="00D55FA1">
        <w:t>s</w:t>
      </w:r>
      <w:r w:rsidRPr="00D55FA1">
        <w:t xml:space="preserve">, including the passage of legislation </w:t>
      </w:r>
      <w:r w:rsidR="00D5787A" w:rsidRPr="00D55FA1">
        <w:t>[</w:t>
      </w:r>
      <w:r w:rsidRPr="00D55FA1">
        <w:t>Assembly Bill 1808, Chapter 32, Statutes of 2018</w:t>
      </w:r>
      <w:r w:rsidR="00D5787A" w:rsidRPr="00D55FA1">
        <w:t>]</w:t>
      </w:r>
      <w:r w:rsidRPr="00D55FA1">
        <w:t xml:space="preserve"> to ensure the integration of LEA efforts to improve outcomes for SWD and the LCAP specifically.</w:t>
      </w:r>
      <w:r w:rsidR="00F768B3" w:rsidRPr="00D55FA1">
        <w:t xml:space="preserve"> The Theory of Action can be found </w:t>
      </w:r>
      <w:r w:rsidR="004F2D0E">
        <w:t>on the CDE SBE web page at</w:t>
      </w:r>
      <w:r w:rsidR="00F768B3" w:rsidRPr="00D55FA1">
        <w:t xml:space="preserve">: </w:t>
      </w:r>
      <w:hyperlink r:id="rId22" w:tooltip="California State Board of Education, March 2017 Agenda Item 1" w:history="1">
        <w:r w:rsidR="00F768B3" w:rsidRPr="00D55FA1">
          <w:rPr>
            <w:rStyle w:val="Hyperlink"/>
          </w:rPr>
          <w:t>https://www.cde.ca.gov/be/ag/ag/yr17/documents/mar17item01.doc</w:t>
        </w:r>
      </w:hyperlink>
      <w:r w:rsidR="00F768B3" w:rsidRPr="00D55FA1">
        <w:t xml:space="preserve">, </w:t>
      </w:r>
      <w:r w:rsidR="00771F7A">
        <w:t>(see A</w:t>
      </w:r>
      <w:r w:rsidR="00F768B3" w:rsidRPr="00D55FA1">
        <w:t>ttachment 4</w:t>
      </w:r>
      <w:r w:rsidR="00B33585">
        <w:t>)</w:t>
      </w:r>
      <w:r w:rsidR="00F768B3" w:rsidRPr="00D55FA1">
        <w:t>.</w:t>
      </w:r>
    </w:p>
    <w:p w14:paraId="0DC08DDF" w14:textId="28AAB783" w:rsidR="00E9428A" w:rsidRPr="00D55FA1" w:rsidRDefault="0089174C" w:rsidP="00DF008C">
      <w:pPr>
        <w:spacing w:after="240"/>
      </w:pPr>
      <w:r w:rsidRPr="00D55FA1">
        <w:t xml:space="preserve">California has made significant progress in building </w:t>
      </w:r>
      <w:r w:rsidR="00255BBF" w:rsidRPr="00D55FA1">
        <w:t>a</w:t>
      </w:r>
      <w:r w:rsidR="00C71C61">
        <w:t xml:space="preserve"> Statewide System of Support</w:t>
      </w:r>
      <w:r w:rsidR="00255BBF" w:rsidRPr="00D55FA1">
        <w:t xml:space="preserve"> </w:t>
      </w:r>
      <w:r w:rsidR="00C71C61">
        <w:t>(</w:t>
      </w:r>
      <w:r w:rsidR="00255BBF" w:rsidRPr="00D55FA1">
        <w:t>SSOS</w:t>
      </w:r>
      <w:r w:rsidR="00C71C61">
        <w:t>)</w:t>
      </w:r>
      <w:r w:rsidRPr="00D55FA1">
        <w:t xml:space="preserve"> that effectively assists LEAs to design and implement effective improvement strategies for SWD</w:t>
      </w:r>
      <w:r w:rsidR="00C33C61" w:rsidRPr="00D55FA1">
        <w:t>s</w:t>
      </w:r>
      <w:r w:rsidRPr="00D55FA1">
        <w:t>.</w:t>
      </w:r>
      <w:r w:rsidR="00075C88" w:rsidRPr="00D55FA1">
        <w:t xml:space="preserve"> </w:t>
      </w:r>
      <w:r w:rsidR="008066BD" w:rsidRPr="00D55FA1">
        <w:t>A</w:t>
      </w:r>
      <w:r w:rsidRPr="00D55FA1">
        <w:t xml:space="preserve"> robust LCAP that meaningfully includes </w:t>
      </w:r>
      <w:r w:rsidR="00A10B94" w:rsidRPr="00D55FA1">
        <w:t>support</w:t>
      </w:r>
      <w:r w:rsidRPr="00D55FA1">
        <w:t xml:space="preserve"> for SWD</w:t>
      </w:r>
      <w:r w:rsidR="00C33C61" w:rsidRPr="00D55FA1">
        <w:t>s</w:t>
      </w:r>
      <w:r w:rsidRPr="00D55FA1">
        <w:t xml:space="preserve"> is a critical component of improving student outcomes. The comprehensive system of </w:t>
      </w:r>
      <w:r w:rsidR="00BC436C" w:rsidRPr="00D55FA1">
        <w:t>TA</w:t>
      </w:r>
      <w:r w:rsidRPr="00D55FA1">
        <w:t xml:space="preserve"> available through the SSOS include</w:t>
      </w:r>
      <w:r w:rsidR="008066BD" w:rsidRPr="00D55FA1">
        <w:t>s</w:t>
      </w:r>
      <w:r w:rsidRPr="00D55FA1">
        <w:t xml:space="preserve"> access to </w:t>
      </w:r>
      <w:r w:rsidR="00335C12" w:rsidRPr="00D55FA1">
        <w:t>evidence-based</w:t>
      </w:r>
      <w:r w:rsidRPr="00D55FA1">
        <w:t xml:space="preserve"> practices </w:t>
      </w:r>
      <w:r w:rsidR="0058523A">
        <w:t>(EBP</w:t>
      </w:r>
      <w:r w:rsidR="00EE2DBD">
        <w:t>s</w:t>
      </w:r>
      <w:r w:rsidR="0058523A">
        <w:t>)</w:t>
      </w:r>
      <w:r w:rsidR="00EE2DBD">
        <w:t xml:space="preserve"> </w:t>
      </w:r>
      <w:r w:rsidRPr="00D55FA1">
        <w:t>to effectively serve SWD</w:t>
      </w:r>
      <w:r w:rsidR="00C33C61" w:rsidRPr="00D55FA1">
        <w:t>s</w:t>
      </w:r>
      <w:r w:rsidRPr="00D55FA1">
        <w:t xml:space="preserve">. </w:t>
      </w:r>
    </w:p>
    <w:p w14:paraId="6C8CB44F" w14:textId="7145D543" w:rsidR="0089174C" w:rsidRPr="00D55FA1" w:rsidRDefault="0089174C" w:rsidP="00DF008C">
      <w:pPr>
        <w:spacing w:after="240"/>
        <w:rPr>
          <w:rFonts w:cs="Arial"/>
        </w:rPr>
      </w:pPr>
      <w:r w:rsidRPr="00D55FA1">
        <w:t xml:space="preserve">The SSOS seeks to support LEA efforts to implement the improvement strategies outlined in their LCAPs and monitor intended improvement. </w:t>
      </w:r>
      <w:r w:rsidRPr="00D55FA1">
        <w:rPr>
          <w:rFonts w:cs="Arial"/>
        </w:rPr>
        <w:t xml:space="preserve">California is now in year </w:t>
      </w:r>
      <w:r w:rsidR="00EE552A">
        <w:rPr>
          <w:rFonts w:cs="Arial"/>
        </w:rPr>
        <w:t>eight</w:t>
      </w:r>
      <w:r w:rsidR="00EE552A" w:rsidRPr="00D55FA1">
        <w:rPr>
          <w:rFonts w:cs="Arial"/>
        </w:rPr>
        <w:t xml:space="preserve"> </w:t>
      </w:r>
      <w:r w:rsidRPr="00D55FA1">
        <w:rPr>
          <w:rFonts w:cs="Arial"/>
        </w:rPr>
        <w:t xml:space="preserve">of creating a coordinated and coherent state structure to ensure that LEAs receive the assistance necessary to address disparities in student outcomes. California’s SSIP is focused on creating systemic and sustainable changes, including necessary alignment in statewide accountability and improvement structures like the </w:t>
      </w:r>
      <w:r w:rsidR="00695D48" w:rsidRPr="00D55FA1">
        <w:rPr>
          <w:rFonts w:cs="Arial"/>
        </w:rPr>
        <w:t>S</w:t>
      </w:r>
      <w:r w:rsidRPr="00D55FA1">
        <w:rPr>
          <w:rFonts w:cs="Arial"/>
        </w:rPr>
        <w:t>SOS to improve outcomes for SWD</w:t>
      </w:r>
      <w:r w:rsidR="00C33C61" w:rsidRPr="00D55FA1">
        <w:rPr>
          <w:rFonts w:cs="Arial"/>
        </w:rPr>
        <w:t>s</w:t>
      </w:r>
      <w:r w:rsidRPr="00D55FA1">
        <w:rPr>
          <w:rFonts w:cs="Arial"/>
        </w:rPr>
        <w:t>.</w:t>
      </w:r>
    </w:p>
    <w:p w14:paraId="21AF43A2" w14:textId="3E1C60B0" w:rsidR="00E9428A" w:rsidRPr="00BC7330" w:rsidRDefault="00E9428A" w:rsidP="00BC7330">
      <w:pPr>
        <w:pStyle w:val="Heading4"/>
      </w:pPr>
      <w:bookmarkStart w:id="184" w:name="_Hlk184656314"/>
      <w:r w:rsidRPr="00BC7330">
        <w:lastRenderedPageBreak/>
        <w:t>The State-</w:t>
      </w:r>
      <w:r w:rsidR="2B407312" w:rsidRPr="00BC7330">
        <w:t>I</w:t>
      </w:r>
      <w:r w:rsidRPr="00BC7330">
        <w:t xml:space="preserve">dentified Measurable Result </w:t>
      </w:r>
    </w:p>
    <w:p w14:paraId="5BC25273" w14:textId="736DD99B" w:rsidR="00E9428A" w:rsidRPr="00D55FA1" w:rsidRDefault="00E9428A" w:rsidP="00DF008C">
      <w:pPr>
        <w:spacing w:after="240"/>
        <w:rPr>
          <w:rFonts w:eastAsia="Calibri"/>
        </w:rPr>
      </w:pPr>
      <w:r w:rsidRPr="5E32A801">
        <w:rPr>
          <w:rFonts w:eastAsia="Calibri"/>
        </w:rPr>
        <w:t xml:space="preserve">California’s </w:t>
      </w:r>
      <w:r w:rsidR="46832A27" w:rsidRPr="5E32A801">
        <w:rPr>
          <w:rFonts w:eastAsia="Calibri"/>
        </w:rPr>
        <w:t>State-identified Measurable Result (</w:t>
      </w:r>
      <w:proofErr w:type="spellStart"/>
      <w:r w:rsidRPr="5E32A801">
        <w:rPr>
          <w:rFonts w:eastAsia="Calibri"/>
        </w:rPr>
        <w:t>SiMR</w:t>
      </w:r>
      <w:proofErr w:type="spellEnd"/>
      <w:r w:rsidR="41BF3F7A" w:rsidRPr="5E32A801">
        <w:rPr>
          <w:rFonts w:eastAsia="Calibri"/>
        </w:rPr>
        <w:t>)</w:t>
      </w:r>
      <w:r w:rsidRPr="5E32A801">
        <w:rPr>
          <w:rFonts w:eastAsia="Calibri"/>
        </w:rPr>
        <w:t xml:space="preserve"> is the performance of all SWDs who took the California Assessment of Student Performance and Progress in both English Language Arts and Mathematics. California’s SSIP is focused on creating systemic and sustainable changes, including necessary alignment in statewide accountability and improvement structures like the SSOS to improve outcomes for SWDs.</w:t>
      </w:r>
    </w:p>
    <w:p w14:paraId="3ACCDE38" w14:textId="598C1A34" w:rsidR="007F4779" w:rsidRPr="00D55FA1" w:rsidRDefault="007F4779" w:rsidP="00DF008C">
      <w:pPr>
        <w:spacing w:after="240"/>
      </w:pPr>
      <w:r w:rsidRPr="00D55FA1">
        <w:t xml:space="preserve">Reflected in the table below is the percentage of students with IEPs who </w:t>
      </w:r>
      <w:r w:rsidR="00DE1C2D">
        <w:t xml:space="preserve">scored </w:t>
      </w:r>
      <w:r w:rsidRPr="00D55FA1">
        <w:t>proficien</w:t>
      </w:r>
      <w:r w:rsidR="00DE1C2D">
        <w:t>t</w:t>
      </w:r>
      <w:r w:rsidRPr="00D55FA1">
        <w:t xml:space="preserve"> </w:t>
      </w:r>
      <w:proofErr w:type="gramStart"/>
      <w:r w:rsidR="00DE1C2D">
        <w:t>on</w:t>
      </w:r>
      <w:proofErr w:type="gramEnd"/>
      <w:r w:rsidR="00DE1C2D" w:rsidRPr="00D55FA1">
        <w:t xml:space="preserve"> </w:t>
      </w:r>
      <w:r w:rsidRPr="00D55FA1">
        <w:t>the assessment</w:t>
      </w:r>
      <w:r w:rsidR="00DE1C2D">
        <w:t>s</w:t>
      </w:r>
      <w:r w:rsidR="00583FEC" w:rsidRPr="00D55FA1">
        <w:t xml:space="preserve">. </w:t>
      </w:r>
    </w:p>
    <w:p w14:paraId="0E1FAD29" w14:textId="372448FF" w:rsidR="008854F5" w:rsidRPr="008B0921" w:rsidRDefault="008B0921" w:rsidP="008B0921">
      <w:pPr>
        <w:spacing w:after="240"/>
        <w:rPr>
          <w:b/>
          <w:bCs/>
        </w:rPr>
      </w:pPr>
      <w:r>
        <w:rPr>
          <w:b/>
          <w:bCs/>
        </w:rPr>
        <w:t xml:space="preserve">Table 25: </w:t>
      </w:r>
      <w:r w:rsidR="00A33A00" w:rsidRPr="008B0921">
        <w:rPr>
          <w:b/>
          <w:bCs/>
        </w:rPr>
        <w:t xml:space="preserve">Progress toward the </w:t>
      </w:r>
      <w:proofErr w:type="spellStart"/>
      <w:r w:rsidR="00A33A00" w:rsidRPr="008B0921">
        <w:rPr>
          <w:b/>
          <w:bCs/>
        </w:rPr>
        <w:t>SiMR</w:t>
      </w:r>
      <w:proofErr w:type="spellEnd"/>
    </w:p>
    <w:tbl>
      <w:tblPr>
        <w:tblStyle w:val="TableGrid1"/>
        <w:tblW w:w="8411" w:type="dxa"/>
        <w:tblLook w:val="04A0" w:firstRow="1" w:lastRow="0" w:firstColumn="1" w:lastColumn="0" w:noHBand="0" w:noVBand="1"/>
        <w:tblDescription w:val="Indicator 17 Targets and Results"/>
      </w:tblPr>
      <w:tblGrid>
        <w:gridCol w:w="1906"/>
        <w:gridCol w:w="1120"/>
        <w:gridCol w:w="1081"/>
        <w:gridCol w:w="1081"/>
        <w:gridCol w:w="1081"/>
        <w:gridCol w:w="1081"/>
        <w:gridCol w:w="1061"/>
      </w:tblGrid>
      <w:tr w:rsidR="000860C9" w:rsidRPr="00D55FA1" w14:paraId="5606322A" w14:textId="77777777" w:rsidTr="000860C9">
        <w:trPr>
          <w:cantSplit/>
          <w:trHeight w:val="288"/>
          <w:tblHeader/>
        </w:trPr>
        <w:tc>
          <w:tcPr>
            <w:tcW w:w="1906" w:type="dxa"/>
            <w:tcBorders>
              <w:top w:val="single" w:sz="4" w:space="0" w:color="auto"/>
              <w:left w:val="single" w:sz="4" w:space="0" w:color="auto"/>
              <w:bottom w:val="single" w:sz="4" w:space="0" w:color="auto"/>
              <w:right w:val="single" w:sz="4" w:space="0" w:color="auto"/>
            </w:tcBorders>
            <w:hideMark/>
          </w:tcPr>
          <w:p w14:paraId="5972AB4F" w14:textId="77777777" w:rsidR="000860C9" w:rsidRPr="00D55FA1" w:rsidRDefault="000860C9" w:rsidP="00704E41">
            <w:pPr>
              <w:widowControl w:val="0"/>
              <w:overflowPunct w:val="0"/>
              <w:autoSpaceDE w:val="0"/>
              <w:autoSpaceDN w:val="0"/>
              <w:adjustRightInd w:val="0"/>
              <w:jc w:val="center"/>
              <w:rPr>
                <w:rFonts w:cs="Arial"/>
                <w:b/>
                <w:bCs/>
                <w:szCs w:val="22"/>
              </w:rPr>
            </w:pPr>
            <w:r w:rsidRPr="00D55FA1">
              <w:rPr>
                <w:rFonts w:cs="Arial"/>
                <w:b/>
                <w:bCs/>
              </w:rPr>
              <w:t>Indicator 17</w:t>
            </w:r>
          </w:p>
        </w:tc>
        <w:tc>
          <w:tcPr>
            <w:tcW w:w="1120" w:type="dxa"/>
            <w:tcBorders>
              <w:top w:val="single" w:sz="4" w:space="0" w:color="auto"/>
              <w:left w:val="single" w:sz="4" w:space="0" w:color="auto"/>
              <w:bottom w:val="single" w:sz="4" w:space="0" w:color="auto"/>
              <w:right w:val="single" w:sz="4" w:space="0" w:color="auto"/>
            </w:tcBorders>
            <w:hideMark/>
          </w:tcPr>
          <w:p w14:paraId="0ACFFB61"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2020</w:t>
            </w:r>
          </w:p>
        </w:tc>
        <w:tc>
          <w:tcPr>
            <w:tcW w:w="1081" w:type="dxa"/>
            <w:tcBorders>
              <w:top w:val="single" w:sz="4" w:space="0" w:color="auto"/>
              <w:left w:val="single" w:sz="4" w:space="0" w:color="auto"/>
              <w:bottom w:val="single" w:sz="4" w:space="0" w:color="auto"/>
              <w:right w:val="single" w:sz="4" w:space="0" w:color="auto"/>
            </w:tcBorders>
            <w:hideMark/>
          </w:tcPr>
          <w:p w14:paraId="4481B6A1"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2021</w:t>
            </w:r>
          </w:p>
        </w:tc>
        <w:tc>
          <w:tcPr>
            <w:tcW w:w="1081" w:type="dxa"/>
            <w:tcBorders>
              <w:top w:val="single" w:sz="4" w:space="0" w:color="auto"/>
              <w:left w:val="single" w:sz="4" w:space="0" w:color="auto"/>
              <w:bottom w:val="single" w:sz="4" w:space="0" w:color="auto"/>
              <w:right w:val="single" w:sz="4" w:space="0" w:color="auto"/>
            </w:tcBorders>
            <w:hideMark/>
          </w:tcPr>
          <w:p w14:paraId="0BA06E4D"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2022</w:t>
            </w:r>
          </w:p>
        </w:tc>
        <w:tc>
          <w:tcPr>
            <w:tcW w:w="1081" w:type="dxa"/>
            <w:tcBorders>
              <w:top w:val="single" w:sz="4" w:space="0" w:color="auto"/>
              <w:left w:val="single" w:sz="4" w:space="0" w:color="auto"/>
              <w:bottom w:val="single" w:sz="4" w:space="0" w:color="auto"/>
              <w:right w:val="single" w:sz="4" w:space="0" w:color="auto"/>
            </w:tcBorders>
            <w:hideMark/>
          </w:tcPr>
          <w:p w14:paraId="6C9F1CE5"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2023</w:t>
            </w:r>
          </w:p>
        </w:tc>
        <w:tc>
          <w:tcPr>
            <w:tcW w:w="1081" w:type="dxa"/>
            <w:tcBorders>
              <w:top w:val="single" w:sz="4" w:space="0" w:color="auto"/>
              <w:left w:val="single" w:sz="4" w:space="0" w:color="auto"/>
              <w:bottom w:val="single" w:sz="4" w:space="0" w:color="auto"/>
              <w:right w:val="single" w:sz="4" w:space="0" w:color="auto"/>
            </w:tcBorders>
            <w:hideMark/>
          </w:tcPr>
          <w:p w14:paraId="4B4369A0"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2024</w:t>
            </w:r>
          </w:p>
        </w:tc>
        <w:tc>
          <w:tcPr>
            <w:tcW w:w="1061" w:type="dxa"/>
            <w:tcBorders>
              <w:top w:val="single" w:sz="4" w:space="0" w:color="auto"/>
              <w:left w:val="single" w:sz="4" w:space="0" w:color="auto"/>
              <w:bottom w:val="single" w:sz="4" w:space="0" w:color="auto"/>
              <w:right w:val="single" w:sz="4" w:space="0" w:color="auto"/>
            </w:tcBorders>
            <w:hideMark/>
          </w:tcPr>
          <w:p w14:paraId="30121D7F" w14:textId="77777777" w:rsidR="000860C9" w:rsidRPr="00D55FA1" w:rsidRDefault="000860C9" w:rsidP="00704E41">
            <w:pPr>
              <w:widowControl w:val="0"/>
              <w:overflowPunct w:val="0"/>
              <w:autoSpaceDE w:val="0"/>
              <w:autoSpaceDN w:val="0"/>
              <w:adjustRightInd w:val="0"/>
              <w:jc w:val="center"/>
              <w:rPr>
                <w:rFonts w:cs="Arial"/>
                <w:b/>
                <w:bCs/>
              </w:rPr>
            </w:pPr>
            <w:r w:rsidRPr="00D55FA1">
              <w:rPr>
                <w:rFonts w:cs="Arial"/>
                <w:b/>
                <w:bCs/>
              </w:rPr>
              <w:t>2025</w:t>
            </w:r>
          </w:p>
        </w:tc>
      </w:tr>
      <w:tr w:rsidR="000860C9" w:rsidRPr="00D55FA1" w14:paraId="75A9A74A" w14:textId="77777777" w:rsidTr="000860C9">
        <w:trPr>
          <w:cantSplit/>
          <w:trHeight w:val="288"/>
        </w:trPr>
        <w:tc>
          <w:tcPr>
            <w:tcW w:w="1906" w:type="dxa"/>
            <w:tcBorders>
              <w:top w:val="single" w:sz="4" w:space="0" w:color="auto"/>
              <w:left w:val="single" w:sz="4" w:space="0" w:color="auto"/>
              <w:bottom w:val="single" w:sz="4" w:space="0" w:color="auto"/>
              <w:right w:val="single" w:sz="4" w:space="0" w:color="auto"/>
            </w:tcBorders>
            <w:hideMark/>
          </w:tcPr>
          <w:p w14:paraId="03BE4008"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Target</w:t>
            </w:r>
          </w:p>
        </w:tc>
        <w:tc>
          <w:tcPr>
            <w:tcW w:w="1120" w:type="dxa"/>
            <w:tcBorders>
              <w:top w:val="single" w:sz="4" w:space="0" w:color="auto"/>
              <w:left w:val="single" w:sz="4" w:space="0" w:color="auto"/>
              <w:bottom w:val="single" w:sz="4" w:space="0" w:color="auto"/>
              <w:right w:val="single" w:sz="4" w:space="0" w:color="auto"/>
            </w:tcBorders>
            <w:hideMark/>
          </w:tcPr>
          <w:p w14:paraId="38BBB783"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14%</w:t>
            </w:r>
          </w:p>
        </w:tc>
        <w:tc>
          <w:tcPr>
            <w:tcW w:w="1081" w:type="dxa"/>
            <w:tcBorders>
              <w:top w:val="single" w:sz="4" w:space="0" w:color="auto"/>
              <w:left w:val="single" w:sz="4" w:space="0" w:color="auto"/>
              <w:bottom w:val="single" w:sz="4" w:space="0" w:color="auto"/>
              <w:right w:val="single" w:sz="4" w:space="0" w:color="auto"/>
            </w:tcBorders>
            <w:hideMark/>
          </w:tcPr>
          <w:p w14:paraId="64DB2FB9"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14%</w:t>
            </w:r>
          </w:p>
        </w:tc>
        <w:tc>
          <w:tcPr>
            <w:tcW w:w="1081" w:type="dxa"/>
            <w:tcBorders>
              <w:top w:val="single" w:sz="4" w:space="0" w:color="auto"/>
              <w:left w:val="single" w:sz="4" w:space="0" w:color="auto"/>
              <w:bottom w:val="single" w:sz="4" w:space="0" w:color="auto"/>
              <w:right w:val="single" w:sz="4" w:space="0" w:color="auto"/>
            </w:tcBorders>
            <w:hideMark/>
          </w:tcPr>
          <w:p w14:paraId="4A4612BD"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15%</w:t>
            </w:r>
          </w:p>
        </w:tc>
        <w:tc>
          <w:tcPr>
            <w:tcW w:w="1081" w:type="dxa"/>
            <w:tcBorders>
              <w:top w:val="single" w:sz="4" w:space="0" w:color="auto"/>
              <w:left w:val="single" w:sz="4" w:space="0" w:color="auto"/>
              <w:bottom w:val="single" w:sz="4" w:space="0" w:color="auto"/>
              <w:right w:val="single" w:sz="4" w:space="0" w:color="auto"/>
            </w:tcBorders>
            <w:hideMark/>
          </w:tcPr>
          <w:p w14:paraId="320C6836"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16%</w:t>
            </w:r>
          </w:p>
        </w:tc>
        <w:tc>
          <w:tcPr>
            <w:tcW w:w="1081" w:type="dxa"/>
            <w:tcBorders>
              <w:top w:val="single" w:sz="4" w:space="0" w:color="auto"/>
              <w:left w:val="single" w:sz="4" w:space="0" w:color="auto"/>
              <w:bottom w:val="single" w:sz="4" w:space="0" w:color="auto"/>
              <w:right w:val="single" w:sz="4" w:space="0" w:color="auto"/>
            </w:tcBorders>
            <w:hideMark/>
          </w:tcPr>
          <w:p w14:paraId="7879FD12"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17%</w:t>
            </w:r>
          </w:p>
        </w:tc>
        <w:tc>
          <w:tcPr>
            <w:tcW w:w="1061" w:type="dxa"/>
            <w:tcBorders>
              <w:top w:val="single" w:sz="4" w:space="0" w:color="auto"/>
              <w:left w:val="single" w:sz="4" w:space="0" w:color="auto"/>
              <w:bottom w:val="single" w:sz="4" w:space="0" w:color="auto"/>
              <w:right w:val="single" w:sz="4" w:space="0" w:color="auto"/>
            </w:tcBorders>
            <w:hideMark/>
          </w:tcPr>
          <w:p w14:paraId="278D6379" w14:textId="77777777" w:rsidR="000860C9" w:rsidRPr="00D55FA1" w:rsidRDefault="000860C9" w:rsidP="00704E41">
            <w:pPr>
              <w:widowControl w:val="0"/>
              <w:overflowPunct w:val="0"/>
              <w:autoSpaceDE w:val="0"/>
              <w:autoSpaceDN w:val="0"/>
              <w:adjustRightInd w:val="0"/>
              <w:jc w:val="center"/>
              <w:rPr>
                <w:rFonts w:cs="Arial"/>
                <w:bCs/>
              </w:rPr>
            </w:pPr>
            <w:r w:rsidRPr="00D55FA1">
              <w:rPr>
                <w:rFonts w:cs="Arial"/>
                <w:bCs/>
              </w:rPr>
              <w:t>18%</w:t>
            </w:r>
          </w:p>
        </w:tc>
      </w:tr>
      <w:tr w:rsidR="00DF008C" w:rsidRPr="00D55FA1" w14:paraId="33D29F3F" w14:textId="77777777" w:rsidTr="000860C9">
        <w:trPr>
          <w:cantSplit/>
          <w:trHeight w:val="288"/>
        </w:trPr>
        <w:tc>
          <w:tcPr>
            <w:tcW w:w="1906" w:type="dxa"/>
            <w:tcBorders>
              <w:top w:val="single" w:sz="4" w:space="0" w:color="auto"/>
              <w:left w:val="single" w:sz="4" w:space="0" w:color="auto"/>
              <w:bottom w:val="single" w:sz="4" w:space="0" w:color="auto"/>
              <w:right w:val="single" w:sz="4" w:space="0" w:color="auto"/>
            </w:tcBorders>
          </w:tcPr>
          <w:p w14:paraId="3FF2D83F"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Result</w:t>
            </w:r>
          </w:p>
        </w:tc>
        <w:tc>
          <w:tcPr>
            <w:tcW w:w="1120" w:type="dxa"/>
            <w:tcBorders>
              <w:top w:val="single" w:sz="4" w:space="0" w:color="auto"/>
              <w:left w:val="single" w:sz="4" w:space="0" w:color="auto"/>
              <w:bottom w:val="single" w:sz="4" w:space="0" w:color="auto"/>
              <w:right w:val="single" w:sz="4" w:space="0" w:color="auto"/>
            </w:tcBorders>
          </w:tcPr>
          <w:p w14:paraId="1107EE43"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12.2%</w:t>
            </w:r>
          </w:p>
        </w:tc>
        <w:tc>
          <w:tcPr>
            <w:tcW w:w="1081" w:type="dxa"/>
            <w:tcBorders>
              <w:top w:val="single" w:sz="4" w:space="0" w:color="auto"/>
              <w:left w:val="single" w:sz="4" w:space="0" w:color="auto"/>
              <w:bottom w:val="single" w:sz="4" w:space="0" w:color="auto"/>
              <w:right w:val="single" w:sz="4" w:space="0" w:color="auto"/>
            </w:tcBorders>
          </w:tcPr>
          <w:p w14:paraId="43A65479" w14:textId="7F95CD7D"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14.07%</w:t>
            </w:r>
          </w:p>
        </w:tc>
        <w:tc>
          <w:tcPr>
            <w:tcW w:w="1081" w:type="dxa"/>
            <w:tcBorders>
              <w:top w:val="single" w:sz="4" w:space="0" w:color="auto"/>
              <w:left w:val="single" w:sz="4" w:space="0" w:color="auto"/>
              <w:bottom w:val="single" w:sz="4" w:space="0" w:color="auto"/>
              <w:right w:val="single" w:sz="4" w:space="0" w:color="auto"/>
            </w:tcBorders>
          </w:tcPr>
          <w:p w14:paraId="70648378" w14:textId="7AFC19E8"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14.57%</w:t>
            </w:r>
          </w:p>
        </w:tc>
        <w:tc>
          <w:tcPr>
            <w:tcW w:w="1081" w:type="dxa"/>
            <w:tcBorders>
              <w:top w:val="single" w:sz="4" w:space="0" w:color="auto"/>
              <w:left w:val="single" w:sz="4" w:space="0" w:color="auto"/>
              <w:bottom w:val="single" w:sz="4" w:space="0" w:color="auto"/>
              <w:right w:val="single" w:sz="4" w:space="0" w:color="auto"/>
            </w:tcBorders>
          </w:tcPr>
          <w:p w14:paraId="50040504" w14:textId="6D7A9366" w:rsidR="00DF008C" w:rsidRPr="00C322C7" w:rsidRDefault="00272381" w:rsidP="00DF008C">
            <w:pPr>
              <w:widowControl w:val="0"/>
              <w:overflowPunct w:val="0"/>
              <w:autoSpaceDE w:val="0"/>
              <w:autoSpaceDN w:val="0"/>
              <w:adjustRightInd w:val="0"/>
              <w:jc w:val="center"/>
              <w:rPr>
                <w:rFonts w:cs="Arial"/>
                <w:bCs/>
              </w:rPr>
            </w:pPr>
            <w:r w:rsidRPr="00C322C7">
              <w:rPr>
                <w:rFonts w:cs="Arial"/>
                <w:bCs/>
              </w:rPr>
              <w:t>14.98%</w:t>
            </w:r>
          </w:p>
        </w:tc>
        <w:tc>
          <w:tcPr>
            <w:tcW w:w="1081" w:type="dxa"/>
            <w:tcBorders>
              <w:top w:val="single" w:sz="4" w:space="0" w:color="auto"/>
              <w:left w:val="single" w:sz="4" w:space="0" w:color="auto"/>
              <w:bottom w:val="single" w:sz="4" w:space="0" w:color="auto"/>
              <w:right w:val="single" w:sz="4" w:space="0" w:color="auto"/>
            </w:tcBorders>
          </w:tcPr>
          <w:p w14:paraId="1F28F27C" w14:textId="2AD301A1" w:rsidR="00DF008C" w:rsidRPr="00D55FA1" w:rsidRDefault="005D013E" w:rsidP="00DF008C">
            <w:pPr>
              <w:widowControl w:val="0"/>
              <w:overflowPunct w:val="0"/>
              <w:autoSpaceDE w:val="0"/>
              <w:autoSpaceDN w:val="0"/>
              <w:adjustRightInd w:val="0"/>
              <w:jc w:val="center"/>
              <w:rPr>
                <w:rFonts w:cs="Arial"/>
                <w:bCs/>
              </w:rPr>
            </w:pPr>
            <w:r>
              <w:rPr>
                <w:rFonts w:cs="Arial"/>
                <w:bCs/>
              </w:rPr>
              <w:t>15.80%</w:t>
            </w:r>
          </w:p>
        </w:tc>
        <w:tc>
          <w:tcPr>
            <w:tcW w:w="1061" w:type="dxa"/>
            <w:tcBorders>
              <w:top w:val="single" w:sz="4" w:space="0" w:color="auto"/>
              <w:left w:val="single" w:sz="4" w:space="0" w:color="auto"/>
              <w:bottom w:val="single" w:sz="4" w:space="0" w:color="auto"/>
              <w:right w:val="single" w:sz="4" w:space="0" w:color="auto"/>
            </w:tcBorders>
          </w:tcPr>
          <w:p w14:paraId="4A87C363" w14:textId="380C5E45"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r w:rsidR="00DF008C" w:rsidRPr="00D55FA1" w14:paraId="51044824" w14:textId="77777777" w:rsidTr="000860C9">
        <w:trPr>
          <w:cantSplit/>
          <w:trHeight w:val="288"/>
        </w:trPr>
        <w:tc>
          <w:tcPr>
            <w:tcW w:w="1906" w:type="dxa"/>
            <w:tcBorders>
              <w:top w:val="single" w:sz="4" w:space="0" w:color="auto"/>
              <w:left w:val="single" w:sz="4" w:space="0" w:color="auto"/>
              <w:bottom w:val="single" w:sz="4" w:space="0" w:color="auto"/>
              <w:right w:val="single" w:sz="4" w:space="0" w:color="auto"/>
            </w:tcBorders>
          </w:tcPr>
          <w:p w14:paraId="60A84A5B"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Target Met</w:t>
            </w:r>
          </w:p>
        </w:tc>
        <w:tc>
          <w:tcPr>
            <w:tcW w:w="1120" w:type="dxa"/>
            <w:tcBorders>
              <w:top w:val="single" w:sz="4" w:space="0" w:color="auto"/>
              <w:left w:val="single" w:sz="4" w:space="0" w:color="auto"/>
              <w:bottom w:val="single" w:sz="4" w:space="0" w:color="auto"/>
              <w:right w:val="single" w:sz="4" w:space="0" w:color="auto"/>
            </w:tcBorders>
          </w:tcPr>
          <w:p w14:paraId="68818616" w14:textId="77777777"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081" w:type="dxa"/>
            <w:tcBorders>
              <w:top w:val="single" w:sz="4" w:space="0" w:color="auto"/>
              <w:left w:val="single" w:sz="4" w:space="0" w:color="auto"/>
              <w:bottom w:val="single" w:sz="4" w:space="0" w:color="auto"/>
              <w:right w:val="single" w:sz="4" w:space="0" w:color="auto"/>
            </w:tcBorders>
          </w:tcPr>
          <w:p w14:paraId="4DF9E10C" w14:textId="7FD3085E"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Yes</w:t>
            </w:r>
          </w:p>
        </w:tc>
        <w:tc>
          <w:tcPr>
            <w:tcW w:w="1081" w:type="dxa"/>
            <w:tcBorders>
              <w:top w:val="single" w:sz="4" w:space="0" w:color="auto"/>
              <w:left w:val="single" w:sz="4" w:space="0" w:color="auto"/>
              <w:bottom w:val="single" w:sz="4" w:space="0" w:color="auto"/>
              <w:right w:val="single" w:sz="4" w:space="0" w:color="auto"/>
            </w:tcBorders>
          </w:tcPr>
          <w:p w14:paraId="2A243E61" w14:textId="6A9D95AD"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No</w:t>
            </w:r>
          </w:p>
        </w:tc>
        <w:tc>
          <w:tcPr>
            <w:tcW w:w="1081" w:type="dxa"/>
            <w:tcBorders>
              <w:top w:val="single" w:sz="4" w:space="0" w:color="auto"/>
              <w:left w:val="single" w:sz="4" w:space="0" w:color="auto"/>
              <w:bottom w:val="single" w:sz="4" w:space="0" w:color="auto"/>
              <w:right w:val="single" w:sz="4" w:space="0" w:color="auto"/>
            </w:tcBorders>
          </w:tcPr>
          <w:p w14:paraId="43D98CF8" w14:textId="13B03FEC" w:rsidR="00DF008C" w:rsidRPr="00C322C7" w:rsidRDefault="00272381" w:rsidP="00DF008C">
            <w:pPr>
              <w:widowControl w:val="0"/>
              <w:overflowPunct w:val="0"/>
              <w:autoSpaceDE w:val="0"/>
              <w:autoSpaceDN w:val="0"/>
              <w:adjustRightInd w:val="0"/>
              <w:jc w:val="center"/>
              <w:rPr>
                <w:rFonts w:cs="Arial"/>
                <w:bCs/>
              </w:rPr>
            </w:pPr>
            <w:r w:rsidRPr="00C322C7">
              <w:rPr>
                <w:rFonts w:cs="Arial"/>
                <w:bCs/>
              </w:rPr>
              <w:t>No</w:t>
            </w:r>
          </w:p>
        </w:tc>
        <w:tc>
          <w:tcPr>
            <w:tcW w:w="1081" w:type="dxa"/>
            <w:tcBorders>
              <w:top w:val="single" w:sz="4" w:space="0" w:color="auto"/>
              <w:left w:val="single" w:sz="4" w:space="0" w:color="auto"/>
              <w:bottom w:val="single" w:sz="4" w:space="0" w:color="auto"/>
              <w:right w:val="single" w:sz="4" w:space="0" w:color="auto"/>
            </w:tcBorders>
          </w:tcPr>
          <w:p w14:paraId="75C32BFB" w14:textId="44E7F4BA" w:rsidR="00DF008C" w:rsidRPr="00D55FA1" w:rsidRDefault="005D013E" w:rsidP="00DF008C">
            <w:pPr>
              <w:widowControl w:val="0"/>
              <w:overflowPunct w:val="0"/>
              <w:autoSpaceDE w:val="0"/>
              <w:autoSpaceDN w:val="0"/>
              <w:adjustRightInd w:val="0"/>
              <w:jc w:val="center"/>
              <w:rPr>
                <w:rFonts w:cs="Arial"/>
                <w:bCs/>
              </w:rPr>
            </w:pPr>
            <w:r>
              <w:rPr>
                <w:rFonts w:cs="Arial"/>
                <w:bCs/>
              </w:rPr>
              <w:t>No</w:t>
            </w:r>
          </w:p>
        </w:tc>
        <w:tc>
          <w:tcPr>
            <w:tcW w:w="1061" w:type="dxa"/>
            <w:tcBorders>
              <w:top w:val="single" w:sz="4" w:space="0" w:color="auto"/>
              <w:left w:val="single" w:sz="4" w:space="0" w:color="auto"/>
              <w:bottom w:val="single" w:sz="4" w:space="0" w:color="auto"/>
              <w:right w:val="single" w:sz="4" w:space="0" w:color="auto"/>
            </w:tcBorders>
          </w:tcPr>
          <w:p w14:paraId="0662AD45" w14:textId="4D8953C2" w:rsidR="00DF008C" w:rsidRPr="00D55FA1" w:rsidRDefault="00DF008C" w:rsidP="00DF008C">
            <w:pPr>
              <w:widowControl w:val="0"/>
              <w:overflowPunct w:val="0"/>
              <w:autoSpaceDE w:val="0"/>
              <w:autoSpaceDN w:val="0"/>
              <w:adjustRightInd w:val="0"/>
              <w:jc w:val="center"/>
              <w:rPr>
                <w:rFonts w:cs="Arial"/>
                <w:bCs/>
              </w:rPr>
            </w:pPr>
            <w:r w:rsidRPr="00D55FA1">
              <w:rPr>
                <w:rFonts w:cs="Arial"/>
                <w:bCs/>
              </w:rPr>
              <w:t>-</w:t>
            </w:r>
          </w:p>
        </w:tc>
      </w:tr>
    </w:tbl>
    <w:p w14:paraId="4616EBF9" w14:textId="4E05B860" w:rsidR="00935497" w:rsidRPr="00AA4B26" w:rsidRDefault="00F45A75" w:rsidP="009215A3">
      <w:pPr>
        <w:pStyle w:val="Heading3"/>
        <w:rPr>
          <w:iCs/>
          <w:szCs w:val="28"/>
        </w:rPr>
      </w:pPr>
      <w:bookmarkStart w:id="185" w:name="_Toc212718090"/>
      <w:bookmarkEnd w:id="184"/>
      <w:r w:rsidRPr="00AA4B26">
        <w:rPr>
          <w:iCs/>
          <w:szCs w:val="28"/>
        </w:rPr>
        <w:t>Section B: Implementation, Analysis, and Evaluation</w:t>
      </w:r>
      <w:bookmarkEnd w:id="185"/>
    </w:p>
    <w:p w14:paraId="6343B38C" w14:textId="1AD9B029" w:rsidR="001707A6" w:rsidRDefault="003E25E6" w:rsidP="00DF008C">
      <w:pPr>
        <w:spacing w:before="240" w:after="240"/>
      </w:pPr>
      <w:r>
        <w:t>Section B</w:t>
      </w:r>
      <w:r w:rsidR="00360F6B" w:rsidRPr="00D55FA1">
        <w:t xml:space="preserve"> highlights the principal activities, measures, and outcomes that were implemented since the last SSIP submission. </w:t>
      </w:r>
    </w:p>
    <w:p w14:paraId="53DBAC7D" w14:textId="7BFAA11D" w:rsidR="00BC7D46" w:rsidRDefault="00360F6B" w:rsidP="00DF008C">
      <w:pPr>
        <w:spacing w:before="240" w:after="240"/>
      </w:pPr>
      <w:r w:rsidRPr="00D55FA1">
        <w:t xml:space="preserve">The </w:t>
      </w:r>
      <w:r w:rsidR="00E67F5B" w:rsidRPr="00D55FA1">
        <w:t>next</w:t>
      </w:r>
      <w:r w:rsidRPr="00D55FA1">
        <w:t xml:space="preserve"> sections illustrate the improvement strategies that were implemented and the short-term outcomes that were achieved. Additionally, specific </w:t>
      </w:r>
      <w:r w:rsidR="00EE2DBD">
        <w:t>EBPs</w:t>
      </w:r>
      <w:r w:rsidRPr="00D55FA1">
        <w:t xml:space="preserve"> that were implemented and the strategies or activities </w:t>
      </w:r>
      <w:r w:rsidR="006645BE" w:rsidRPr="00D55FA1">
        <w:t xml:space="preserve">which </w:t>
      </w:r>
      <w:r w:rsidRPr="00D55FA1">
        <w:t>demonstrate</w:t>
      </w:r>
      <w:r w:rsidR="006645BE" w:rsidRPr="00D55FA1">
        <w:t>d an</w:t>
      </w:r>
      <w:r w:rsidRPr="00D55FA1">
        <w:t xml:space="preserve"> impact </w:t>
      </w:r>
      <w:proofErr w:type="gramStart"/>
      <w:r w:rsidRPr="00D55FA1">
        <w:t>to</w:t>
      </w:r>
      <w:proofErr w:type="gramEnd"/>
      <w:r w:rsidRPr="00D55FA1">
        <w:t xml:space="preserve"> the </w:t>
      </w:r>
      <w:proofErr w:type="spellStart"/>
      <w:r w:rsidRPr="00D55FA1">
        <w:t>SiMR</w:t>
      </w:r>
      <w:proofErr w:type="spellEnd"/>
      <w:r w:rsidR="00E310D6" w:rsidRPr="00D55FA1">
        <w:t xml:space="preserve"> are also outlined</w:t>
      </w:r>
      <w:r w:rsidR="006645BE" w:rsidRPr="00D55FA1">
        <w:t>.</w:t>
      </w:r>
    </w:p>
    <w:p w14:paraId="7268841A" w14:textId="77777777" w:rsidR="00340810" w:rsidRPr="008B0921" w:rsidRDefault="007876B6" w:rsidP="00BC7330">
      <w:pPr>
        <w:pStyle w:val="Heading4"/>
      </w:pPr>
      <w:proofErr w:type="gramStart"/>
      <w:r w:rsidRPr="008B0921">
        <w:t>T</w:t>
      </w:r>
      <w:r w:rsidR="00340810" w:rsidRPr="008B0921">
        <w:rPr>
          <w:color w:val="000000"/>
        </w:rPr>
        <w:t>he</w:t>
      </w:r>
      <w:r w:rsidR="00340810" w:rsidRPr="008B0921">
        <w:t xml:space="preserve"> System</w:t>
      </w:r>
      <w:proofErr w:type="gramEnd"/>
      <w:r w:rsidR="00340810" w:rsidRPr="008B0921">
        <w:t xml:space="preserve"> Improvement Leads</w:t>
      </w:r>
    </w:p>
    <w:p w14:paraId="2C60D8A8" w14:textId="3ECF4733" w:rsidR="00EF1A71" w:rsidRPr="00EF1A71" w:rsidRDefault="00EF1A71" w:rsidP="00EF1A71">
      <w:pPr>
        <w:spacing w:before="100" w:beforeAutospacing="1" w:after="100" w:afterAutospacing="1" w:line="300" w:lineRule="atLeast"/>
        <w:rPr>
          <w:rFonts w:cs="Arial"/>
        </w:rPr>
      </w:pPr>
      <w:bookmarkStart w:id="186" w:name="_Hlk79661652"/>
      <w:r w:rsidRPr="00EF1A71">
        <w:rPr>
          <w:rFonts w:cs="Arial"/>
        </w:rPr>
        <w:t>The System Improvement Leads</w:t>
      </w:r>
      <w:r w:rsidR="00774C5F">
        <w:rPr>
          <w:rFonts w:cs="Arial"/>
        </w:rPr>
        <w:t xml:space="preserve"> (SIL)</w:t>
      </w:r>
      <w:r w:rsidRPr="00EF1A71">
        <w:rPr>
          <w:rFonts w:cs="Arial"/>
        </w:rPr>
        <w:t xml:space="preserve"> initiative is a statewide collaboration between the El Dorado County Office of Education</w:t>
      </w:r>
      <w:r w:rsidR="005A405F">
        <w:rPr>
          <w:rFonts w:cs="Arial"/>
        </w:rPr>
        <w:t xml:space="preserve"> (COE)</w:t>
      </w:r>
      <w:r w:rsidRPr="00EF1A71">
        <w:rPr>
          <w:rFonts w:cs="Arial"/>
        </w:rPr>
        <w:t>, El Dorado County SELPA, and Riverside County SELPA. SIL provides tiered support to California education teams to improve outcomes for students with disabilities through data-driven, sustainable practices.</w:t>
      </w:r>
    </w:p>
    <w:p w14:paraId="1A6466BF" w14:textId="7769AF33" w:rsidR="00EF1A71" w:rsidRDefault="00EF1A71" w:rsidP="00F01771">
      <w:pPr>
        <w:numPr>
          <w:ilvl w:val="0"/>
          <w:numId w:val="17"/>
        </w:numPr>
        <w:spacing w:before="100" w:beforeAutospacing="1" w:after="100" w:afterAutospacing="1" w:line="300" w:lineRule="atLeast"/>
        <w:rPr>
          <w:rFonts w:cs="Arial"/>
        </w:rPr>
      </w:pPr>
      <w:r w:rsidRPr="00EF1A71">
        <w:rPr>
          <w:rFonts w:cs="Arial"/>
          <w:b/>
          <w:bCs/>
        </w:rPr>
        <w:t>Universal Supports</w:t>
      </w:r>
      <w:r w:rsidRPr="00EF1A71">
        <w:rPr>
          <w:rFonts w:cs="Arial"/>
        </w:rPr>
        <w:t xml:space="preserve">: Free, on-demand tools, guides, and learning resources available to all educators </w:t>
      </w:r>
      <w:r w:rsidR="00072CC8">
        <w:rPr>
          <w:rFonts w:cs="Arial"/>
        </w:rPr>
        <w:t xml:space="preserve">and can be accessed by the CDE </w:t>
      </w:r>
      <w:r w:rsidR="00072CC8">
        <w:rPr>
          <w:rFonts w:cs="Arial"/>
          <w:color w:val="000000"/>
        </w:rPr>
        <w:t xml:space="preserve">sponsored website the California Technical Assistance Network (CALTAN) </w:t>
      </w:r>
      <w:r w:rsidR="00072CC8" w:rsidRPr="00234C6F">
        <w:rPr>
          <w:rFonts w:cs="Arial"/>
          <w:color w:val="000000"/>
        </w:rPr>
        <w:t xml:space="preserve">at </w:t>
      </w:r>
      <w:hyperlink r:id="rId23" w:tooltip="CalTan Website" w:history="1">
        <w:r w:rsidR="00072CC8" w:rsidRPr="00B84496">
          <w:rPr>
            <w:rStyle w:val="Hyperlink"/>
            <w:rFonts w:eastAsiaTheme="majorEastAsia" w:cs="Arial"/>
          </w:rPr>
          <w:t>https://caltan.info/partners</w:t>
        </w:r>
      </w:hyperlink>
      <w:r w:rsidRPr="00EF1A71">
        <w:rPr>
          <w:rFonts w:cs="Arial"/>
        </w:rPr>
        <w:t>.</w:t>
      </w:r>
    </w:p>
    <w:p w14:paraId="2E7EFAB2" w14:textId="77777777" w:rsidR="00C9677F" w:rsidRPr="00EF1A71" w:rsidRDefault="00C9677F" w:rsidP="00811E18">
      <w:pPr>
        <w:spacing w:before="100" w:beforeAutospacing="1" w:after="100" w:afterAutospacing="1" w:line="300" w:lineRule="atLeast"/>
        <w:ind w:left="720"/>
        <w:rPr>
          <w:rFonts w:cs="Arial"/>
        </w:rPr>
      </w:pPr>
    </w:p>
    <w:p w14:paraId="18C66C54" w14:textId="77777777" w:rsidR="00EF1A71" w:rsidRDefault="00EF1A71" w:rsidP="00F01771">
      <w:pPr>
        <w:numPr>
          <w:ilvl w:val="0"/>
          <w:numId w:val="17"/>
        </w:numPr>
        <w:spacing w:before="100" w:beforeAutospacing="1" w:after="100" w:afterAutospacing="1" w:line="300" w:lineRule="atLeast"/>
        <w:rPr>
          <w:rFonts w:cs="Arial"/>
        </w:rPr>
      </w:pPr>
      <w:r w:rsidRPr="00EF1A71">
        <w:rPr>
          <w:rFonts w:cs="Arial"/>
          <w:b/>
          <w:bCs/>
        </w:rPr>
        <w:lastRenderedPageBreak/>
        <w:t>Targeted Supports</w:t>
      </w:r>
      <w:r w:rsidRPr="00EF1A71">
        <w:rPr>
          <w:rFonts w:cs="Arial"/>
        </w:rPr>
        <w:t>: Coaching and networked learning communities offered to districts, SELPAs, COEs, and System of Support partners.</w:t>
      </w:r>
    </w:p>
    <w:p w14:paraId="0F369C2C" w14:textId="40CF341D" w:rsidR="00EF1A71" w:rsidRPr="00EF1A71" w:rsidRDefault="00EF1A71" w:rsidP="00F01771">
      <w:pPr>
        <w:numPr>
          <w:ilvl w:val="0"/>
          <w:numId w:val="17"/>
        </w:numPr>
        <w:spacing w:before="100" w:beforeAutospacing="1" w:after="100" w:afterAutospacing="1" w:line="300" w:lineRule="atLeast"/>
        <w:rPr>
          <w:rFonts w:cs="Arial"/>
        </w:rPr>
      </w:pPr>
      <w:r w:rsidRPr="00EF1A71">
        <w:rPr>
          <w:rFonts w:cs="Arial"/>
          <w:b/>
          <w:bCs/>
        </w:rPr>
        <w:t>Intensive Supports</w:t>
      </w:r>
      <w:r w:rsidRPr="00EF1A71">
        <w:rPr>
          <w:rFonts w:cs="Arial"/>
        </w:rPr>
        <w:t xml:space="preserve">: Multi-year partnerships coordinated through the </w:t>
      </w:r>
      <w:r w:rsidR="00A63D04">
        <w:rPr>
          <w:rFonts w:cs="Arial"/>
        </w:rPr>
        <w:t>CDE</w:t>
      </w:r>
      <w:r w:rsidRPr="00EF1A71">
        <w:rPr>
          <w:rFonts w:cs="Arial"/>
        </w:rPr>
        <w:t>’s Compliance and Improvement Monitoring (CIM) process to support systemic transformation.</w:t>
      </w:r>
    </w:p>
    <w:p w14:paraId="5DFEEDB5" w14:textId="14A52211" w:rsidR="00954F0F" w:rsidRPr="000815A0" w:rsidRDefault="00EF1A71" w:rsidP="00716B6B">
      <w:pPr>
        <w:spacing w:before="100" w:beforeAutospacing="1" w:after="100" w:afterAutospacing="1" w:line="300" w:lineRule="atLeast"/>
        <w:rPr>
          <w:rFonts w:cs="Arial"/>
          <w:b/>
          <w:bCs/>
          <w:color w:val="000000"/>
        </w:rPr>
      </w:pPr>
      <w:r w:rsidRPr="00EF1A71">
        <w:rPr>
          <w:rFonts w:cs="Arial"/>
        </w:rPr>
        <w:t>SIL equips educators with expertise in continuous improvement, systems change, and root cause analysis, helping districts align resources and strategies to improve graduation rates, attendance, and IEP quality for students with disabilities.</w:t>
      </w:r>
    </w:p>
    <w:p w14:paraId="2CDDB906" w14:textId="3D6474D4" w:rsidR="00D92F3A" w:rsidRPr="000815A0" w:rsidRDefault="00954F0F" w:rsidP="00BC7330">
      <w:pPr>
        <w:pStyle w:val="Heading4"/>
      </w:pPr>
      <w:r w:rsidRPr="000815A0">
        <w:t>Imperial County SELPA</w:t>
      </w:r>
      <w:r w:rsidR="00062D71" w:rsidRPr="000815A0">
        <w:t xml:space="preserve">: </w:t>
      </w:r>
      <w:r w:rsidRPr="000815A0">
        <w:t xml:space="preserve">Project </w:t>
      </w:r>
      <w:proofErr w:type="spellStart"/>
      <w:r w:rsidRPr="000815A0">
        <w:t>MuSE</w:t>
      </w:r>
      <w:proofErr w:type="spellEnd"/>
    </w:p>
    <w:p w14:paraId="544A0DFD" w14:textId="14E077AC" w:rsidR="00B453D2" w:rsidRPr="00E01E6F" w:rsidRDefault="00B453D2" w:rsidP="00B453D2">
      <w:pPr>
        <w:pStyle w:val="NormalWeb"/>
        <w:spacing w:line="300" w:lineRule="atLeast"/>
        <w:rPr>
          <w:rFonts w:ascii="Arial" w:hAnsi="Arial" w:cs="Arial"/>
        </w:rPr>
      </w:pPr>
      <w:r w:rsidRPr="00E01E6F">
        <w:rPr>
          <w:rFonts w:ascii="Arial" w:hAnsi="Arial" w:cs="Arial"/>
        </w:rPr>
        <w:t xml:space="preserve">Project </w:t>
      </w:r>
      <w:proofErr w:type="spellStart"/>
      <w:r w:rsidRPr="00E01E6F">
        <w:rPr>
          <w:rFonts w:ascii="Arial" w:hAnsi="Arial" w:cs="Arial"/>
        </w:rPr>
        <w:t>MuSE</w:t>
      </w:r>
      <w:proofErr w:type="spellEnd"/>
      <w:r w:rsidRPr="00E01E6F">
        <w:rPr>
          <w:rFonts w:ascii="Arial" w:hAnsi="Arial" w:cs="Arial"/>
        </w:rPr>
        <w:t xml:space="preserve"> implemented three key strategies aligned with California’s </w:t>
      </w:r>
      <w:r w:rsidR="00543DB5">
        <w:rPr>
          <w:rFonts w:ascii="Arial" w:hAnsi="Arial" w:cs="Arial"/>
        </w:rPr>
        <w:t>SSOS</w:t>
      </w:r>
      <w:r w:rsidRPr="00E01E6F">
        <w:rPr>
          <w:rFonts w:ascii="Arial" w:hAnsi="Arial" w:cs="Arial"/>
        </w:rPr>
        <w:t xml:space="preserve"> to improve educational outcomes for students with disabilities:</w:t>
      </w:r>
    </w:p>
    <w:p w14:paraId="70554E3E" w14:textId="5FFC9874" w:rsidR="00932B8B" w:rsidRPr="007A43E3" w:rsidRDefault="00B453D2" w:rsidP="007A43E3">
      <w:pPr>
        <w:pStyle w:val="NormalWeb"/>
        <w:numPr>
          <w:ilvl w:val="0"/>
          <w:numId w:val="18"/>
        </w:numPr>
        <w:spacing w:after="240" w:afterAutospacing="0" w:line="300" w:lineRule="atLeast"/>
        <w:rPr>
          <w:rFonts w:ascii="Arial" w:hAnsi="Arial" w:cs="Arial"/>
        </w:rPr>
      </w:pPr>
      <w:r w:rsidRPr="007A43E3">
        <w:rPr>
          <w:rStyle w:val="Strong"/>
          <w:rFonts w:ascii="Arial" w:hAnsi="Arial" w:cs="Arial"/>
        </w:rPr>
        <w:t>Expanding Access to the Least Restrictive Environment (LRE):</w:t>
      </w:r>
      <w:r w:rsidRPr="007A43E3">
        <w:rPr>
          <w:rFonts w:ascii="Arial" w:hAnsi="Arial" w:cs="Arial"/>
        </w:rPr>
        <w:br/>
        <w:t>Partnered with Regional English Learner Leads (RELS) to support equitable English Language Development (ELD) instruction and improve reclassification practices for dually identified students. Statewide tools like a reclassification flowchart promoted consistent placement decisions and strengthened alignment between Title III and special education.</w:t>
      </w:r>
    </w:p>
    <w:p w14:paraId="20ADE1EE" w14:textId="7763F6F0" w:rsidR="002A78BF" w:rsidRPr="007A43E3" w:rsidRDefault="00B453D2" w:rsidP="00390370">
      <w:pPr>
        <w:pStyle w:val="NormalWeb"/>
        <w:numPr>
          <w:ilvl w:val="0"/>
          <w:numId w:val="18"/>
        </w:numPr>
        <w:spacing w:after="240" w:afterAutospacing="0" w:line="300" w:lineRule="atLeast"/>
        <w:rPr>
          <w:rFonts w:ascii="Arial" w:hAnsi="Arial" w:cs="Arial"/>
        </w:rPr>
      </w:pPr>
      <w:r w:rsidRPr="007A43E3">
        <w:rPr>
          <w:rStyle w:val="Strong"/>
          <w:rFonts w:ascii="Arial" w:hAnsi="Arial" w:cs="Arial"/>
        </w:rPr>
        <w:t>Aligning Instruction through Universal Design for Learning (UDL):</w:t>
      </w:r>
      <w:r w:rsidRPr="007A43E3">
        <w:rPr>
          <w:rFonts w:ascii="Arial" w:hAnsi="Arial" w:cs="Arial"/>
        </w:rPr>
        <w:br/>
        <w:t>Collaborated with the California Coalition for Inclusive Learning</w:t>
      </w:r>
      <w:r w:rsidR="00994D9E" w:rsidRPr="007A43E3">
        <w:rPr>
          <w:rFonts w:ascii="Arial" w:hAnsi="Arial" w:cs="Arial"/>
        </w:rPr>
        <w:t xml:space="preserve"> </w:t>
      </w:r>
      <w:r w:rsidRPr="007A43E3">
        <w:rPr>
          <w:rFonts w:ascii="Arial" w:hAnsi="Arial" w:cs="Arial"/>
        </w:rPr>
        <w:t xml:space="preserve">and districts including Heber, Carlsbad, and Oceanside </w:t>
      </w:r>
      <w:r w:rsidR="00B65249" w:rsidRPr="007A43E3">
        <w:rPr>
          <w:rFonts w:ascii="Arial" w:hAnsi="Arial" w:cs="Arial"/>
        </w:rPr>
        <w:t>Unified School Districts (</w:t>
      </w:r>
      <w:r w:rsidRPr="007A43E3">
        <w:rPr>
          <w:rFonts w:ascii="Arial" w:hAnsi="Arial" w:cs="Arial"/>
        </w:rPr>
        <w:t>USDs</w:t>
      </w:r>
      <w:r w:rsidR="00B65249" w:rsidRPr="007A43E3">
        <w:rPr>
          <w:rFonts w:ascii="Arial" w:hAnsi="Arial" w:cs="Arial"/>
        </w:rPr>
        <w:t>)</w:t>
      </w:r>
      <w:r w:rsidRPr="007A43E3">
        <w:rPr>
          <w:rFonts w:ascii="Arial" w:hAnsi="Arial" w:cs="Arial"/>
        </w:rPr>
        <w:t xml:space="preserve"> to develop linguistically appropriate IEPs, integrate Title III and special education services, and expand accessibility tool use. A Regional Training-of-Trainers model helped scale evidence-based practices across regions.</w:t>
      </w:r>
    </w:p>
    <w:p w14:paraId="148094B7" w14:textId="68179353" w:rsidR="00BD7E19" w:rsidRPr="004C53DE" w:rsidRDefault="00B453D2">
      <w:pPr>
        <w:pStyle w:val="NormalWeb"/>
        <w:numPr>
          <w:ilvl w:val="0"/>
          <w:numId w:val="18"/>
        </w:numPr>
        <w:spacing w:line="300" w:lineRule="atLeast"/>
        <w:rPr>
          <w:rFonts w:ascii="Arial" w:hAnsi="Arial" w:cs="Arial"/>
          <w:b/>
          <w:bCs/>
          <w:color w:val="000000"/>
        </w:rPr>
      </w:pPr>
      <w:r w:rsidRPr="004C53DE">
        <w:rPr>
          <w:rStyle w:val="Strong"/>
          <w:rFonts w:ascii="Arial" w:hAnsi="Arial" w:cs="Arial"/>
        </w:rPr>
        <w:t>Expanding Professional Learning Access:</w:t>
      </w:r>
      <w:r w:rsidRPr="004C53DE">
        <w:rPr>
          <w:rFonts w:ascii="Arial" w:hAnsi="Arial" w:cs="Arial"/>
        </w:rPr>
        <w:br/>
        <w:t xml:space="preserve">Developed statewide, self-paced Canvas courses covering linguistically appropriate IEPs, pre-referral processes, reclassification, and accessibility tools. These courses included embedded analytics to monitor engagement and were designed for flexible use by individuals or multidisciplinary teams across LEAs and </w:t>
      </w:r>
      <w:r w:rsidR="00847190">
        <w:rPr>
          <w:rFonts w:ascii="Arial" w:hAnsi="Arial" w:cs="Arial"/>
        </w:rPr>
        <w:t>COEs</w:t>
      </w:r>
      <w:r w:rsidRPr="004C53DE">
        <w:rPr>
          <w:rFonts w:ascii="Arial" w:hAnsi="Arial" w:cs="Arial"/>
        </w:rPr>
        <w:t>.</w:t>
      </w:r>
    </w:p>
    <w:p w14:paraId="267760AB" w14:textId="2AC06E7A" w:rsidR="004B744E" w:rsidRDefault="004B744E" w:rsidP="00BC7330">
      <w:pPr>
        <w:pStyle w:val="Heading4"/>
      </w:pPr>
      <w:r w:rsidRPr="004B744E">
        <w:t xml:space="preserve">The State Performance </w:t>
      </w:r>
      <w:r w:rsidR="007A6BCF">
        <w:t xml:space="preserve">Plan </w:t>
      </w:r>
      <w:r w:rsidRPr="004B744E">
        <w:t xml:space="preserve">Technical Assistance Project </w:t>
      </w:r>
    </w:p>
    <w:p w14:paraId="4B6358F8" w14:textId="2F70A81D" w:rsidR="00A909FA" w:rsidRPr="00A909FA" w:rsidRDefault="00A909FA" w:rsidP="00A909FA">
      <w:pPr>
        <w:pStyle w:val="NormalWeb"/>
        <w:spacing w:line="300" w:lineRule="atLeast"/>
        <w:rPr>
          <w:rFonts w:ascii="Arial" w:hAnsi="Arial" w:cs="Arial"/>
        </w:rPr>
      </w:pPr>
      <w:r w:rsidRPr="00A909FA">
        <w:rPr>
          <w:rFonts w:ascii="Arial" w:hAnsi="Arial" w:cs="Arial"/>
        </w:rPr>
        <w:t xml:space="preserve">The State Performance Plan Technical Assistance Project (SPP-TAP) provides targeted support to </w:t>
      </w:r>
      <w:r w:rsidR="00CB317E">
        <w:rPr>
          <w:rFonts w:ascii="Arial" w:hAnsi="Arial" w:cs="Arial"/>
        </w:rPr>
        <w:t>LEAs</w:t>
      </w:r>
      <w:r w:rsidRPr="00A909FA">
        <w:rPr>
          <w:rFonts w:ascii="Arial" w:hAnsi="Arial" w:cs="Arial"/>
        </w:rPr>
        <w:t xml:space="preserve"> identified by the </w:t>
      </w:r>
      <w:r w:rsidR="00CB317E">
        <w:rPr>
          <w:rFonts w:ascii="Arial" w:hAnsi="Arial" w:cs="Arial"/>
        </w:rPr>
        <w:t>CDE</w:t>
      </w:r>
      <w:r w:rsidRPr="00A909FA">
        <w:rPr>
          <w:rFonts w:ascii="Arial" w:hAnsi="Arial" w:cs="Arial"/>
        </w:rPr>
        <w:t xml:space="preserve"> as having disproportionate or significantly disproportionate outcomes for students with disabilities. Its primary goal is to help LEAs address both compliance and performance issues under the </w:t>
      </w:r>
      <w:r w:rsidR="00740A4D">
        <w:rPr>
          <w:rFonts w:ascii="Arial" w:hAnsi="Arial" w:cs="Arial"/>
        </w:rPr>
        <w:t>IDEA.</w:t>
      </w:r>
    </w:p>
    <w:p w14:paraId="6EC8411A" w14:textId="51055F94" w:rsidR="00954F0F" w:rsidRPr="000815A0" w:rsidRDefault="00A909FA" w:rsidP="007A43E3">
      <w:pPr>
        <w:pStyle w:val="NormalWeb"/>
        <w:spacing w:line="300" w:lineRule="atLeast"/>
        <w:rPr>
          <w:rFonts w:cs="Arial"/>
          <w:b/>
          <w:bCs/>
          <w:color w:val="000000"/>
        </w:rPr>
      </w:pPr>
      <w:r w:rsidRPr="00A909FA">
        <w:rPr>
          <w:rFonts w:ascii="Arial" w:hAnsi="Arial" w:cs="Arial"/>
        </w:rPr>
        <w:lastRenderedPageBreak/>
        <w:t xml:space="preserve">SPP-TAP offers direct, individualized technical assistance through trained facilitators, and delivers virtual and in-person workshops to guide LEAs through the CDE’s </w:t>
      </w:r>
      <w:r w:rsidR="00CB317E">
        <w:rPr>
          <w:rFonts w:ascii="Arial" w:hAnsi="Arial" w:cs="Arial"/>
        </w:rPr>
        <w:t>CIM</w:t>
      </w:r>
      <w:r w:rsidRPr="00A909FA">
        <w:rPr>
          <w:rFonts w:ascii="Arial" w:hAnsi="Arial" w:cs="Arial"/>
        </w:rPr>
        <w:t xml:space="preserve"> process. It also disseminates resources, including research-based practices and referrals to effective strategies. In the 2024–25 program year, SPP-TAP supported 144 LEAs and 64 </w:t>
      </w:r>
      <w:r w:rsidR="00E015F0">
        <w:rPr>
          <w:rFonts w:ascii="Arial" w:hAnsi="Arial" w:cs="Arial"/>
        </w:rPr>
        <w:t>SELPAs</w:t>
      </w:r>
      <w:r w:rsidRPr="00A909FA">
        <w:rPr>
          <w:rFonts w:ascii="Arial" w:hAnsi="Arial" w:cs="Arial"/>
        </w:rPr>
        <w:t>, helping them implement systemic improvements to better serve students with disabilities.</w:t>
      </w:r>
    </w:p>
    <w:p w14:paraId="0F47448B" w14:textId="0C90B2F1" w:rsidR="007A6BCF" w:rsidRPr="000815A0" w:rsidRDefault="000C238A" w:rsidP="00BC7330">
      <w:pPr>
        <w:pStyle w:val="Heading4"/>
      </w:pPr>
      <w:r w:rsidRPr="000815A0">
        <w:t>Alternative Dispute Resolution Pathways to Partnership</w:t>
      </w:r>
      <w:r w:rsidR="00954F0F" w:rsidRPr="000815A0">
        <w:t xml:space="preserve"> </w:t>
      </w:r>
    </w:p>
    <w:p w14:paraId="7ADACEE6" w14:textId="6E5E40CB" w:rsidR="00025F98" w:rsidRPr="00025F98" w:rsidRDefault="00025F98" w:rsidP="00025F98">
      <w:pPr>
        <w:pStyle w:val="NormalWeb"/>
        <w:spacing w:line="300" w:lineRule="atLeast"/>
        <w:rPr>
          <w:rFonts w:ascii="Arial" w:hAnsi="Arial" w:cs="Arial"/>
        </w:rPr>
      </w:pPr>
      <w:r w:rsidRPr="00025F98">
        <w:rPr>
          <w:rFonts w:ascii="Arial" w:hAnsi="Arial" w:cs="Arial"/>
        </w:rPr>
        <w:t>The Alternative Dispute Resolution</w:t>
      </w:r>
      <w:r w:rsidR="008F4496">
        <w:rPr>
          <w:rFonts w:ascii="Arial" w:hAnsi="Arial" w:cs="Arial"/>
        </w:rPr>
        <w:t xml:space="preserve"> (ADR)</w:t>
      </w:r>
      <w:r w:rsidRPr="00025F98">
        <w:rPr>
          <w:rFonts w:ascii="Arial" w:hAnsi="Arial" w:cs="Arial"/>
        </w:rPr>
        <w:t xml:space="preserve"> Pathways to Partnership</w:t>
      </w:r>
      <w:r w:rsidR="008F4496">
        <w:rPr>
          <w:rFonts w:ascii="Arial" w:hAnsi="Arial" w:cs="Arial"/>
        </w:rPr>
        <w:t xml:space="preserve"> (P2P)</w:t>
      </w:r>
      <w:r w:rsidRPr="00025F98">
        <w:rPr>
          <w:rFonts w:ascii="Arial" w:hAnsi="Arial" w:cs="Arial"/>
        </w:rPr>
        <w:t xml:space="preserve"> initiative focuses on strengthening California’s special education system through collaborative, equitable, and scalable practices. Key infrastructure improvements include the establishment of Regional Implementation Leads (RILs) to ensure statewide access and governance, and technical assistance to the </w:t>
      </w:r>
      <w:r w:rsidR="00F97F1C">
        <w:rPr>
          <w:rFonts w:ascii="Arial" w:hAnsi="Arial" w:cs="Arial"/>
        </w:rPr>
        <w:t>CDE</w:t>
      </w:r>
      <w:r w:rsidRPr="00025F98">
        <w:rPr>
          <w:rFonts w:ascii="Arial" w:hAnsi="Arial" w:cs="Arial"/>
        </w:rPr>
        <w:t xml:space="preserve"> Complaints Unit to enhance consistency and timeliness in case resolution. The initiative also emphasizes professional development through Facilitated IEP (FIEP) trainer-of-trainers sessions across multiple regions and the creation of an IEP Companion Guide to standardize meeting practices. Ongoing engagement is supported through Communities of Practice (CoPs), partnerships with Family Empowerment Centers</w:t>
      </w:r>
      <w:r w:rsidR="0038689D">
        <w:rPr>
          <w:rFonts w:ascii="Arial" w:hAnsi="Arial" w:cs="Arial"/>
        </w:rPr>
        <w:t xml:space="preserve"> (FECs)</w:t>
      </w:r>
      <w:r w:rsidRPr="00025F98">
        <w:rPr>
          <w:rFonts w:ascii="Arial" w:hAnsi="Arial" w:cs="Arial"/>
        </w:rPr>
        <w:t xml:space="preserve"> and Seeds of Partnership, and national collaboration with </w:t>
      </w:r>
      <w:r w:rsidR="00EE384E">
        <w:rPr>
          <w:rFonts w:ascii="Arial" w:hAnsi="Arial" w:cs="Arial"/>
        </w:rPr>
        <w:t>the Center for Appropriate Dispute Resolution in Special Education (</w:t>
      </w:r>
      <w:r w:rsidRPr="00025F98">
        <w:rPr>
          <w:rFonts w:ascii="Arial" w:hAnsi="Arial" w:cs="Arial"/>
        </w:rPr>
        <w:t>CADRE</w:t>
      </w:r>
      <w:r w:rsidR="00EE384E">
        <w:rPr>
          <w:rFonts w:ascii="Arial" w:hAnsi="Arial" w:cs="Arial"/>
        </w:rPr>
        <w:t>)</w:t>
      </w:r>
      <w:r w:rsidRPr="00025F98">
        <w:rPr>
          <w:rFonts w:ascii="Arial" w:hAnsi="Arial" w:cs="Arial"/>
        </w:rPr>
        <w:t xml:space="preserve"> and </w:t>
      </w:r>
      <w:r w:rsidR="006464A2">
        <w:rPr>
          <w:rFonts w:ascii="Arial" w:hAnsi="Arial" w:cs="Arial"/>
        </w:rPr>
        <w:t>the Disability Ri</w:t>
      </w:r>
      <w:r w:rsidR="00581F53">
        <w:rPr>
          <w:rFonts w:ascii="Arial" w:hAnsi="Arial" w:cs="Arial"/>
        </w:rPr>
        <w:t>ghts Education and Defense Fund (</w:t>
      </w:r>
      <w:r w:rsidRPr="00025F98">
        <w:rPr>
          <w:rFonts w:ascii="Arial" w:hAnsi="Arial" w:cs="Arial"/>
        </w:rPr>
        <w:t>DREDF</w:t>
      </w:r>
      <w:r w:rsidR="00581F53">
        <w:rPr>
          <w:rFonts w:ascii="Arial" w:hAnsi="Arial" w:cs="Arial"/>
        </w:rPr>
        <w:t>)</w:t>
      </w:r>
      <w:r w:rsidRPr="00025F98">
        <w:rPr>
          <w:rFonts w:ascii="Arial" w:hAnsi="Arial" w:cs="Arial"/>
        </w:rPr>
        <w:t xml:space="preserve"> to align with federal standards. Additionally, CDE staff receive coaching to improve dispute resolution practices, and advanced mediation training is provided in partnership with Pepperdine Law to build statewide capacity among education professionals.</w:t>
      </w:r>
    </w:p>
    <w:p w14:paraId="14E0DB2B" w14:textId="77777777" w:rsidR="00AF5BCD" w:rsidRPr="000815A0" w:rsidRDefault="00AF5BCD" w:rsidP="00BC7330">
      <w:pPr>
        <w:pStyle w:val="Heading4"/>
      </w:pPr>
      <w:r w:rsidRPr="000815A0">
        <w:t xml:space="preserve">The California Early Childhood Special Education Network </w:t>
      </w:r>
    </w:p>
    <w:p w14:paraId="7AEFC4FB" w14:textId="4F7B1A3C" w:rsidR="00595D7C" w:rsidRPr="00595D7C" w:rsidRDefault="009D3452" w:rsidP="002D2DA1">
      <w:pPr>
        <w:pStyle w:val="NormalWeb"/>
        <w:spacing w:line="300" w:lineRule="atLeast"/>
        <w:rPr>
          <w:rFonts w:ascii="Arial" w:hAnsi="Arial" w:cs="Arial"/>
        </w:rPr>
      </w:pPr>
      <w:r w:rsidRPr="002D2DA1">
        <w:rPr>
          <w:rFonts w:ascii="Arial" w:hAnsi="Arial" w:cs="Arial"/>
          <w:color w:val="000000"/>
        </w:rPr>
        <w:t>The California Early Childhood Special Education (</w:t>
      </w:r>
      <w:proofErr w:type="spellStart"/>
      <w:r w:rsidRPr="002D2DA1">
        <w:rPr>
          <w:rFonts w:ascii="Arial" w:hAnsi="Arial" w:cs="Arial"/>
          <w:color w:val="000000"/>
        </w:rPr>
        <w:t>CalECSE</w:t>
      </w:r>
      <w:proofErr w:type="spellEnd"/>
      <w:r w:rsidRPr="002D2DA1">
        <w:rPr>
          <w:rFonts w:ascii="Arial" w:hAnsi="Arial" w:cs="Arial"/>
          <w:color w:val="000000"/>
        </w:rPr>
        <w:t>) Network</w:t>
      </w:r>
      <w:r w:rsidR="002D2DA1" w:rsidRPr="002D2DA1">
        <w:rPr>
          <w:rFonts w:ascii="Arial" w:hAnsi="Arial" w:cs="Arial"/>
          <w:color w:val="000000"/>
        </w:rPr>
        <w:t xml:space="preserve"> </w:t>
      </w:r>
      <w:r w:rsidR="00595D7C" w:rsidRPr="00595D7C">
        <w:rPr>
          <w:rFonts w:ascii="Arial" w:hAnsi="Arial" w:cs="Arial"/>
        </w:rPr>
        <w:t xml:space="preserve">is a statewide initiative funded by the </w:t>
      </w:r>
      <w:r w:rsidR="007D2D57">
        <w:rPr>
          <w:rFonts w:ascii="Arial" w:hAnsi="Arial" w:cs="Arial"/>
        </w:rPr>
        <w:t>CDE</w:t>
      </w:r>
      <w:r w:rsidR="00595D7C" w:rsidRPr="00595D7C">
        <w:rPr>
          <w:rFonts w:ascii="Arial" w:hAnsi="Arial" w:cs="Arial"/>
        </w:rPr>
        <w:t xml:space="preserve"> to improve outcomes for young children with disabilities and their families. It brings together early childhood special education professionals—including project administrators, Exemplar Lead Agencies, and Geographic Technical Assistance Facilitators—to address barriers to successful transitions, high-quality assessments, and access to inclusive educational programs.</w:t>
      </w:r>
    </w:p>
    <w:p w14:paraId="5B64D0C9" w14:textId="23833DD9" w:rsidR="00595D7C" w:rsidRPr="00595D7C" w:rsidRDefault="00595D7C" w:rsidP="00595D7C">
      <w:pPr>
        <w:spacing w:before="100" w:beforeAutospacing="1" w:after="100" w:afterAutospacing="1" w:line="300" w:lineRule="atLeast"/>
        <w:rPr>
          <w:rFonts w:cs="Arial"/>
        </w:rPr>
      </w:pPr>
      <w:r w:rsidRPr="00595D7C">
        <w:rPr>
          <w:rFonts w:cs="Arial"/>
        </w:rPr>
        <w:t xml:space="preserve">As part of the </w:t>
      </w:r>
      <w:r w:rsidR="00F97F1C">
        <w:rPr>
          <w:rFonts w:cs="Arial"/>
        </w:rPr>
        <w:t>SSOS,</w:t>
      </w:r>
      <w:r w:rsidRPr="00595D7C">
        <w:rPr>
          <w:rFonts w:cs="Arial"/>
        </w:rPr>
        <w:t xml:space="preserve"> </w:t>
      </w:r>
      <w:proofErr w:type="spellStart"/>
      <w:r w:rsidRPr="00595D7C">
        <w:rPr>
          <w:rFonts w:cs="Arial"/>
        </w:rPr>
        <w:t>CalECSE</w:t>
      </w:r>
      <w:proofErr w:type="spellEnd"/>
      <w:r w:rsidRPr="00595D7C">
        <w:rPr>
          <w:rFonts w:cs="Arial"/>
        </w:rPr>
        <w:t xml:space="preserve"> provides coordinated assistance to </w:t>
      </w:r>
      <w:r w:rsidR="00F97F1C">
        <w:rPr>
          <w:rFonts w:cs="Arial"/>
        </w:rPr>
        <w:t>LEAs</w:t>
      </w:r>
      <w:r w:rsidRPr="00595D7C">
        <w:rPr>
          <w:rFonts w:cs="Arial"/>
        </w:rPr>
        <w:t xml:space="preserve"> seeking to improve performance or compliance with </w:t>
      </w:r>
      <w:r w:rsidR="00E91886">
        <w:rPr>
          <w:rFonts w:cs="Arial"/>
        </w:rPr>
        <w:t>SPP</w:t>
      </w:r>
      <w:r w:rsidRPr="00595D7C">
        <w:rPr>
          <w:rFonts w:cs="Arial"/>
        </w:rPr>
        <w:t xml:space="preserve"> indicators. Core supports include professional development in evidence-based practices, facilitation of </w:t>
      </w:r>
      <w:r w:rsidR="00F97F1C">
        <w:rPr>
          <w:rFonts w:cs="Arial"/>
        </w:rPr>
        <w:t>CoP</w:t>
      </w:r>
      <w:r w:rsidR="00CD01E2">
        <w:rPr>
          <w:rFonts w:cs="Arial"/>
        </w:rPr>
        <w:t>s</w:t>
      </w:r>
      <w:r w:rsidRPr="00595D7C">
        <w:rPr>
          <w:rFonts w:cs="Arial"/>
        </w:rPr>
        <w:t xml:space="preserve"> and technical assistance through the </w:t>
      </w:r>
      <w:r w:rsidR="00CD01E2">
        <w:rPr>
          <w:rFonts w:cs="Arial"/>
        </w:rPr>
        <w:t xml:space="preserve">CIM </w:t>
      </w:r>
      <w:r w:rsidRPr="00595D7C">
        <w:rPr>
          <w:rFonts w:cs="Arial"/>
        </w:rPr>
        <w:t>process.</w:t>
      </w:r>
    </w:p>
    <w:p w14:paraId="45AA95BF" w14:textId="77777777" w:rsidR="00595D7C" w:rsidRPr="00595D7C" w:rsidRDefault="00595D7C" w:rsidP="00595D7C">
      <w:pPr>
        <w:spacing w:before="100" w:beforeAutospacing="1" w:after="100" w:afterAutospacing="1" w:line="300" w:lineRule="atLeast"/>
        <w:rPr>
          <w:rFonts w:cs="Arial"/>
        </w:rPr>
      </w:pPr>
      <w:proofErr w:type="spellStart"/>
      <w:r w:rsidRPr="00595D7C">
        <w:rPr>
          <w:rFonts w:cs="Arial"/>
        </w:rPr>
        <w:lastRenderedPageBreak/>
        <w:t>CalECSE</w:t>
      </w:r>
      <w:proofErr w:type="spellEnd"/>
      <w:r w:rsidRPr="00595D7C">
        <w:rPr>
          <w:rFonts w:cs="Arial"/>
        </w:rPr>
        <w:t xml:space="preserve"> directly supports CDE’s efforts to improve outcomes aligned with key SPP indicators: </w:t>
      </w:r>
    </w:p>
    <w:p w14:paraId="3C3F9B5A" w14:textId="77777777" w:rsidR="00595D7C" w:rsidRPr="00595D7C" w:rsidRDefault="00595D7C" w:rsidP="00595D7C">
      <w:pPr>
        <w:numPr>
          <w:ilvl w:val="0"/>
          <w:numId w:val="19"/>
        </w:numPr>
        <w:spacing w:before="100" w:beforeAutospacing="1" w:after="100" w:afterAutospacing="1" w:line="300" w:lineRule="atLeast"/>
        <w:rPr>
          <w:rFonts w:cs="Arial"/>
        </w:rPr>
      </w:pPr>
      <w:r w:rsidRPr="00595D7C">
        <w:rPr>
          <w:rFonts w:cs="Arial"/>
          <w:b/>
          <w:bCs/>
        </w:rPr>
        <w:t>Indicator 6</w:t>
      </w:r>
      <w:r w:rsidRPr="00595D7C">
        <w:rPr>
          <w:rFonts w:cs="Arial"/>
        </w:rPr>
        <w:t xml:space="preserve">: Preschool Least Restrictive Environment </w:t>
      </w:r>
    </w:p>
    <w:p w14:paraId="6F3792CD" w14:textId="77777777" w:rsidR="00595D7C" w:rsidRPr="00595D7C" w:rsidRDefault="00595D7C" w:rsidP="00595D7C">
      <w:pPr>
        <w:numPr>
          <w:ilvl w:val="0"/>
          <w:numId w:val="19"/>
        </w:numPr>
        <w:spacing w:before="100" w:beforeAutospacing="1" w:after="100" w:afterAutospacing="1" w:line="300" w:lineRule="atLeast"/>
        <w:rPr>
          <w:rFonts w:cs="Arial"/>
        </w:rPr>
      </w:pPr>
      <w:r w:rsidRPr="00595D7C">
        <w:rPr>
          <w:rFonts w:cs="Arial"/>
          <w:b/>
          <w:bCs/>
        </w:rPr>
        <w:t>Indicator 7</w:t>
      </w:r>
      <w:r w:rsidRPr="00595D7C">
        <w:rPr>
          <w:rFonts w:cs="Arial"/>
        </w:rPr>
        <w:t xml:space="preserve">: Preschool Outcomes </w:t>
      </w:r>
    </w:p>
    <w:p w14:paraId="4207AAC6" w14:textId="77777777" w:rsidR="00595D7C" w:rsidRPr="00595D7C" w:rsidRDefault="00595D7C" w:rsidP="00595D7C">
      <w:pPr>
        <w:numPr>
          <w:ilvl w:val="0"/>
          <w:numId w:val="19"/>
        </w:numPr>
        <w:spacing w:before="100" w:beforeAutospacing="1" w:after="100" w:afterAutospacing="1" w:line="300" w:lineRule="atLeast"/>
        <w:rPr>
          <w:rFonts w:cs="Arial"/>
        </w:rPr>
      </w:pPr>
      <w:r w:rsidRPr="00595D7C">
        <w:rPr>
          <w:rFonts w:cs="Arial"/>
          <w:b/>
          <w:bCs/>
        </w:rPr>
        <w:t>Indicator 12</w:t>
      </w:r>
      <w:r w:rsidRPr="00595D7C">
        <w:rPr>
          <w:rFonts w:cs="Arial"/>
        </w:rPr>
        <w:t>: Early Childhood Transition</w:t>
      </w:r>
    </w:p>
    <w:p w14:paraId="3B2F41C6" w14:textId="77777777" w:rsidR="00595D7C" w:rsidRPr="00595D7C" w:rsidRDefault="00595D7C" w:rsidP="00595D7C">
      <w:pPr>
        <w:spacing w:before="100" w:beforeAutospacing="1" w:after="100" w:afterAutospacing="1" w:line="300" w:lineRule="atLeast"/>
        <w:rPr>
          <w:rFonts w:cs="Arial"/>
        </w:rPr>
      </w:pPr>
      <w:r w:rsidRPr="00595D7C">
        <w:rPr>
          <w:rFonts w:cs="Arial"/>
        </w:rPr>
        <w:t xml:space="preserve">Through targeted support and collaboration, </w:t>
      </w:r>
      <w:proofErr w:type="spellStart"/>
      <w:r w:rsidRPr="00595D7C">
        <w:rPr>
          <w:rFonts w:cs="Arial"/>
        </w:rPr>
        <w:t>CalECSE</w:t>
      </w:r>
      <w:proofErr w:type="spellEnd"/>
      <w:r w:rsidRPr="00595D7C">
        <w:rPr>
          <w:rFonts w:cs="Arial"/>
        </w:rPr>
        <w:t xml:space="preserve"> strengthens Child Find efforts and promotes inclusive, developmentally appropriate instruction for preschool-aged children with disabilities.</w:t>
      </w:r>
    </w:p>
    <w:p w14:paraId="1A4668F4" w14:textId="1EFB2C96" w:rsidR="00454E0C" w:rsidRPr="00306D2E" w:rsidRDefault="00512814" w:rsidP="00595D7C">
      <w:pPr>
        <w:pStyle w:val="NormalWeb"/>
        <w:rPr>
          <w:rFonts w:ascii="Arial" w:hAnsi="Arial" w:cs="Arial"/>
          <w:b/>
        </w:rPr>
      </w:pPr>
      <w:r w:rsidRPr="00306D2E">
        <w:rPr>
          <w:rFonts w:ascii="Arial" w:hAnsi="Arial" w:cs="Arial"/>
          <w:b/>
        </w:rPr>
        <w:t>S</w:t>
      </w:r>
      <w:r w:rsidR="00454E0C" w:rsidRPr="00306D2E">
        <w:rPr>
          <w:rFonts w:ascii="Arial" w:hAnsi="Arial" w:cs="Arial"/>
          <w:b/>
        </w:rPr>
        <w:t>hort-term or intermediate outcomes achieved for each infrastructure improvement strategy</w:t>
      </w:r>
      <w:r w:rsidR="00BC2170" w:rsidRPr="00306D2E">
        <w:rPr>
          <w:rFonts w:ascii="Arial" w:hAnsi="Arial" w:cs="Arial"/>
          <w:b/>
        </w:rPr>
        <w:t xml:space="preserve">, </w:t>
      </w:r>
      <w:r w:rsidR="00454E0C" w:rsidRPr="00306D2E">
        <w:rPr>
          <w:rFonts w:ascii="Arial" w:hAnsi="Arial" w:cs="Arial"/>
          <w:b/>
        </w:rPr>
        <w:t>including the measures or rationale used to assess and communicate achievement.</w:t>
      </w:r>
      <w:bookmarkEnd w:id="186"/>
    </w:p>
    <w:p w14:paraId="1E95F20B" w14:textId="77777777" w:rsidR="00B31715" w:rsidRPr="00BD200D" w:rsidRDefault="00B31715" w:rsidP="00BC7330">
      <w:pPr>
        <w:pStyle w:val="Heading4"/>
      </w:pPr>
      <w:bookmarkStart w:id="187" w:name="_Hlk79661691"/>
      <w:proofErr w:type="gramStart"/>
      <w:r w:rsidRPr="00BD200D">
        <w:t>T</w:t>
      </w:r>
      <w:r w:rsidRPr="00BD200D">
        <w:rPr>
          <w:color w:val="000000"/>
        </w:rPr>
        <w:t>he</w:t>
      </w:r>
      <w:r w:rsidRPr="00BD200D">
        <w:t xml:space="preserve"> System</w:t>
      </w:r>
      <w:proofErr w:type="gramEnd"/>
      <w:r w:rsidRPr="00BD200D">
        <w:t xml:space="preserve"> Improvement Leads</w:t>
      </w:r>
    </w:p>
    <w:p w14:paraId="0006B420" w14:textId="522ED0C5" w:rsidR="00085D40" w:rsidRPr="00085D40" w:rsidRDefault="00CD01E2" w:rsidP="00085D40">
      <w:pPr>
        <w:pStyle w:val="NormalWeb"/>
        <w:spacing w:line="300" w:lineRule="atLeast"/>
        <w:rPr>
          <w:rFonts w:ascii="Arial" w:hAnsi="Arial" w:cs="Arial"/>
        </w:rPr>
      </w:pPr>
      <w:r>
        <w:rPr>
          <w:rFonts w:ascii="Arial" w:hAnsi="Arial" w:cs="Arial"/>
        </w:rPr>
        <w:t xml:space="preserve">SIL </w:t>
      </w:r>
      <w:r w:rsidR="00085D40" w:rsidRPr="00085D40">
        <w:rPr>
          <w:rFonts w:ascii="Arial" w:hAnsi="Arial" w:cs="Arial"/>
        </w:rPr>
        <w:t>provides statewide, tiered support to improve outcomes for students with disabilities through data-driven, sustainable practices. SIL’s resources are widely accessed, including the Improvement Data Center (IDC), which now serves over 7,500 users. The IDC helps districts monitor performance and drive meaningful change, with strong user feedback highlighting its value for local data analysis.</w:t>
      </w:r>
    </w:p>
    <w:p w14:paraId="1C38D28B" w14:textId="289D7961" w:rsidR="00085D40" w:rsidRPr="00085D40" w:rsidRDefault="00085D40" w:rsidP="00085D40">
      <w:pPr>
        <w:pStyle w:val="NormalWeb"/>
        <w:spacing w:line="300" w:lineRule="atLeast"/>
        <w:rPr>
          <w:rFonts w:ascii="Arial" w:hAnsi="Arial" w:cs="Arial"/>
        </w:rPr>
      </w:pPr>
      <w:r w:rsidRPr="00085D40">
        <w:rPr>
          <w:rFonts w:ascii="Arial" w:hAnsi="Arial" w:cs="Arial"/>
        </w:rPr>
        <w:t>In 2024–25, SIL’s targeted supports—such as improvement networks and coaching—served over 37,000 students with disabilities. These efforts led to a 32</w:t>
      </w:r>
      <w:r w:rsidR="00CF5378">
        <w:rPr>
          <w:rFonts w:ascii="Arial" w:hAnsi="Arial" w:cs="Arial"/>
        </w:rPr>
        <w:t xml:space="preserve"> percent</w:t>
      </w:r>
      <w:r w:rsidRPr="00085D40">
        <w:rPr>
          <w:rFonts w:ascii="Arial" w:hAnsi="Arial" w:cs="Arial"/>
        </w:rPr>
        <w:t xml:space="preserve"> reduction in chronic absenteeism and a 10</w:t>
      </w:r>
      <w:r w:rsidR="00CF5378">
        <w:rPr>
          <w:rFonts w:ascii="Arial" w:hAnsi="Arial" w:cs="Arial"/>
        </w:rPr>
        <w:t xml:space="preserve"> percent</w:t>
      </w:r>
      <w:r w:rsidRPr="00085D40">
        <w:rPr>
          <w:rFonts w:ascii="Arial" w:hAnsi="Arial" w:cs="Arial"/>
        </w:rPr>
        <w:t xml:space="preserve"> increase in graduation rates. For LEAs requiring intensive support, SIL worked with 45 districts through the </w:t>
      </w:r>
      <w:r w:rsidR="00CD01E2">
        <w:rPr>
          <w:rFonts w:ascii="Arial" w:hAnsi="Arial" w:cs="Arial"/>
        </w:rPr>
        <w:t xml:space="preserve">CIM </w:t>
      </w:r>
      <w:r w:rsidRPr="00085D40">
        <w:rPr>
          <w:rFonts w:ascii="Arial" w:hAnsi="Arial" w:cs="Arial"/>
        </w:rPr>
        <w:t>process, offering guidance on data analysis, root cause identification, and improvement planning. An additional 15 LEAs received coaching to implement their plans effectively. All participating teams reported that SIL coaching facilitated meaningful discussions and led to positive changes in student outcomes.</w:t>
      </w:r>
    </w:p>
    <w:p w14:paraId="2297BDAF" w14:textId="49F2DE90" w:rsidR="008927E9" w:rsidRPr="000815A0" w:rsidRDefault="008927E9" w:rsidP="00BC7330">
      <w:pPr>
        <w:pStyle w:val="Heading4"/>
      </w:pPr>
      <w:r w:rsidRPr="000815A0">
        <w:t>Imperial County SELPA</w:t>
      </w:r>
      <w:r w:rsidR="009F5E59" w:rsidRPr="000815A0">
        <w:t xml:space="preserve">: </w:t>
      </w:r>
      <w:r w:rsidRPr="000815A0">
        <w:t xml:space="preserve">Project </w:t>
      </w:r>
      <w:proofErr w:type="spellStart"/>
      <w:r w:rsidRPr="000815A0">
        <w:t>MuSE</w:t>
      </w:r>
      <w:proofErr w:type="spellEnd"/>
      <w:r w:rsidR="00400A47" w:rsidRPr="000815A0">
        <w:t xml:space="preserve"> </w:t>
      </w:r>
    </w:p>
    <w:p w14:paraId="7F5EBBC6" w14:textId="77777777" w:rsidR="00C75416" w:rsidRPr="00411AD7" w:rsidRDefault="00C75416" w:rsidP="00C75416">
      <w:pPr>
        <w:pStyle w:val="NormalWeb"/>
        <w:spacing w:line="300" w:lineRule="atLeast"/>
        <w:rPr>
          <w:rFonts w:ascii="Arial" w:hAnsi="Arial" w:cs="Arial"/>
        </w:rPr>
      </w:pPr>
      <w:r w:rsidRPr="00411AD7">
        <w:rPr>
          <w:rFonts w:ascii="Arial" w:hAnsi="Arial" w:cs="Arial"/>
        </w:rPr>
        <w:t xml:space="preserve">Project </w:t>
      </w:r>
      <w:proofErr w:type="spellStart"/>
      <w:r w:rsidRPr="00411AD7">
        <w:rPr>
          <w:rFonts w:ascii="Arial" w:hAnsi="Arial" w:cs="Arial"/>
        </w:rPr>
        <w:t>MuSE</w:t>
      </w:r>
      <w:proofErr w:type="spellEnd"/>
      <w:r w:rsidRPr="00411AD7">
        <w:rPr>
          <w:rFonts w:ascii="Arial" w:hAnsi="Arial" w:cs="Arial"/>
        </w:rPr>
        <w:t xml:space="preserve"> implemented three strategic initiatives to improve outcomes for students with disabilities, focusing on equity, instructional alignment, and professional learning:</w:t>
      </w:r>
    </w:p>
    <w:p w14:paraId="1BC31A07" w14:textId="3E79C6FF" w:rsidR="00B742A8" w:rsidRPr="007A43E3" w:rsidRDefault="00C75416" w:rsidP="00A427D3">
      <w:pPr>
        <w:pStyle w:val="NormalWeb"/>
        <w:numPr>
          <w:ilvl w:val="0"/>
          <w:numId w:val="20"/>
        </w:numPr>
        <w:spacing w:after="240" w:afterAutospacing="0" w:line="300" w:lineRule="atLeast"/>
        <w:rPr>
          <w:rFonts w:ascii="Arial" w:hAnsi="Arial" w:cs="Arial"/>
        </w:rPr>
      </w:pPr>
      <w:r w:rsidRPr="007A43E3">
        <w:rPr>
          <w:rStyle w:val="Strong"/>
          <w:rFonts w:ascii="Arial" w:hAnsi="Arial" w:cs="Arial"/>
        </w:rPr>
        <w:t>LRE:</w:t>
      </w:r>
      <w:r w:rsidRPr="007A43E3">
        <w:rPr>
          <w:rFonts w:ascii="Arial" w:hAnsi="Arial" w:cs="Arial"/>
        </w:rPr>
        <w:t xml:space="preserve"> Collaborated with RELS to improve reclassification practices for dually identified students and align Title III and special education services. Tools like the statewide reclassification flowchart helped promote consistent placement decisions and increased access to general education.</w:t>
      </w:r>
    </w:p>
    <w:p w14:paraId="5E19571C" w14:textId="051AF8A2" w:rsidR="00B742A8" w:rsidRPr="007A43E3" w:rsidRDefault="00C75416" w:rsidP="007C2E27">
      <w:pPr>
        <w:pStyle w:val="NormalWeb"/>
        <w:numPr>
          <w:ilvl w:val="0"/>
          <w:numId w:val="20"/>
        </w:numPr>
        <w:spacing w:after="240" w:afterAutospacing="0" w:line="300" w:lineRule="atLeast"/>
        <w:rPr>
          <w:rFonts w:ascii="Arial" w:hAnsi="Arial" w:cs="Arial"/>
        </w:rPr>
      </w:pPr>
      <w:r w:rsidRPr="007A43E3">
        <w:rPr>
          <w:rStyle w:val="Strong"/>
          <w:rFonts w:ascii="Arial" w:hAnsi="Arial" w:cs="Arial"/>
        </w:rPr>
        <w:lastRenderedPageBreak/>
        <w:t>UDL:</w:t>
      </w:r>
      <w:r w:rsidRPr="007A43E3">
        <w:rPr>
          <w:rFonts w:ascii="Arial" w:hAnsi="Arial" w:cs="Arial"/>
        </w:rPr>
        <w:t xml:space="preserve"> Partnered with districts such as Heber, Carlsbad, and Oceanside USDs to develop linguistically appropriate IEPs and expand the use of accessibility tools. Oceanside USD notably increased the percentage of dually identified students served in general education from 39.9</w:t>
      </w:r>
      <w:r w:rsidR="00EC4F69" w:rsidRPr="007A43E3">
        <w:rPr>
          <w:rFonts w:ascii="Arial" w:hAnsi="Arial" w:cs="Arial"/>
        </w:rPr>
        <w:t xml:space="preserve"> percent</w:t>
      </w:r>
      <w:r w:rsidRPr="007A43E3">
        <w:rPr>
          <w:rFonts w:ascii="Arial" w:hAnsi="Arial" w:cs="Arial"/>
        </w:rPr>
        <w:t xml:space="preserve"> to 57.1</w:t>
      </w:r>
      <w:r w:rsidR="00EC4F69" w:rsidRPr="007A43E3">
        <w:rPr>
          <w:rFonts w:ascii="Arial" w:hAnsi="Arial" w:cs="Arial"/>
        </w:rPr>
        <w:t xml:space="preserve"> percent</w:t>
      </w:r>
      <w:r w:rsidRPr="007A43E3">
        <w:rPr>
          <w:rFonts w:ascii="Arial" w:hAnsi="Arial" w:cs="Arial"/>
        </w:rPr>
        <w:t>, reflecting reduced pull-out practices and improved staff confidence.</w:t>
      </w:r>
    </w:p>
    <w:p w14:paraId="2C29026C" w14:textId="77777777" w:rsidR="00C75416" w:rsidRPr="00411AD7" w:rsidRDefault="00C75416" w:rsidP="007A43E3">
      <w:pPr>
        <w:pStyle w:val="NormalWeb"/>
        <w:numPr>
          <w:ilvl w:val="0"/>
          <w:numId w:val="20"/>
        </w:numPr>
        <w:spacing w:after="240" w:afterAutospacing="0" w:line="300" w:lineRule="atLeast"/>
        <w:rPr>
          <w:rFonts w:ascii="Arial" w:hAnsi="Arial" w:cs="Arial"/>
        </w:rPr>
      </w:pPr>
      <w:r w:rsidRPr="00411AD7">
        <w:rPr>
          <w:rStyle w:val="Strong"/>
          <w:rFonts w:ascii="Arial" w:hAnsi="Arial" w:cs="Arial"/>
        </w:rPr>
        <w:t>Professional Learning Access:</w:t>
      </w:r>
      <w:r w:rsidRPr="00411AD7">
        <w:rPr>
          <w:rFonts w:ascii="Arial" w:hAnsi="Arial" w:cs="Arial"/>
        </w:rPr>
        <w:t xml:space="preserve"> Delivered self-paced Canvas courses on IEP development, pre-referral processes, and reclassification. These courses reached educators statewide and included analytics to monitor engagement. Feedback showed increased confidence and consistency in practice across LEAs.</w:t>
      </w:r>
    </w:p>
    <w:p w14:paraId="04EA81BB" w14:textId="34B0899A" w:rsidR="00400A47" w:rsidRPr="000815A0" w:rsidRDefault="00C75416" w:rsidP="00EA5172">
      <w:pPr>
        <w:pStyle w:val="NormalWeb"/>
        <w:spacing w:line="300" w:lineRule="atLeast"/>
        <w:rPr>
          <w:rFonts w:ascii="Arial" w:hAnsi="Arial" w:cs="Arial"/>
          <w:b/>
          <w:bCs/>
          <w:color w:val="000000"/>
        </w:rPr>
      </w:pPr>
      <w:r w:rsidRPr="00411AD7">
        <w:rPr>
          <w:rFonts w:ascii="Arial" w:hAnsi="Arial" w:cs="Arial"/>
        </w:rPr>
        <w:t xml:space="preserve">Together, these strategies advanced system-wide change by embedding equity-focused practices, building educator capacity, and fostering cross-agency coherence—all contributing to improved outcomes aligned with California’s </w:t>
      </w:r>
      <w:proofErr w:type="spellStart"/>
      <w:r w:rsidR="00BE0095">
        <w:rPr>
          <w:rFonts w:ascii="Arial" w:hAnsi="Arial" w:cs="Arial"/>
        </w:rPr>
        <w:t>SiMR</w:t>
      </w:r>
      <w:proofErr w:type="spellEnd"/>
      <w:r w:rsidR="00BE0095">
        <w:rPr>
          <w:rFonts w:ascii="Arial" w:hAnsi="Arial" w:cs="Arial"/>
        </w:rPr>
        <w:t>.</w:t>
      </w:r>
    </w:p>
    <w:p w14:paraId="18127833" w14:textId="77777777" w:rsidR="006F6459" w:rsidRPr="00BD200D" w:rsidRDefault="006F6459" w:rsidP="00BC7330">
      <w:pPr>
        <w:pStyle w:val="Heading4"/>
      </w:pPr>
      <w:r w:rsidRPr="00BD200D">
        <w:t xml:space="preserve">The State Performance Plan Technical Assistance Project </w:t>
      </w:r>
    </w:p>
    <w:p w14:paraId="701811BE" w14:textId="3E19AF92" w:rsidR="00240B1C" w:rsidRPr="00240B1C" w:rsidRDefault="00240B1C" w:rsidP="00240B1C">
      <w:pPr>
        <w:pStyle w:val="NormalWeb"/>
        <w:spacing w:line="300" w:lineRule="atLeast"/>
        <w:rPr>
          <w:rFonts w:ascii="Arial" w:hAnsi="Arial" w:cs="Arial"/>
        </w:rPr>
      </w:pPr>
      <w:r w:rsidRPr="00240B1C">
        <w:rPr>
          <w:rFonts w:ascii="Arial" w:hAnsi="Arial" w:cs="Arial"/>
        </w:rPr>
        <w:t xml:space="preserve">During the 2024–25 fiscal year, </w:t>
      </w:r>
      <w:r w:rsidR="004A6151">
        <w:rPr>
          <w:rFonts w:ascii="Arial" w:hAnsi="Arial" w:cs="Arial"/>
        </w:rPr>
        <w:t xml:space="preserve">SPP-TAP </w:t>
      </w:r>
      <w:r w:rsidRPr="00240B1C">
        <w:rPr>
          <w:rFonts w:ascii="Arial" w:hAnsi="Arial" w:cs="Arial"/>
        </w:rPr>
        <w:t xml:space="preserve">provided targeted support </w:t>
      </w:r>
      <w:r w:rsidR="004A6151">
        <w:rPr>
          <w:rFonts w:ascii="Arial" w:hAnsi="Arial" w:cs="Arial"/>
        </w:rPr>
        <w:t>LEAs</w:t>
      </w:r>
      <w:r w:rsidRPr="00240B1C">
        <w:rPr>
          <w:rFonts w:ascii="Arial" w:hAnsi="Arial" w:cs="Arial"/>
        </w:rPr>
        <w:t xml:space="preserve"> working to address disproportionality in special education. The project delivered 25 professional development events, reaching 521 educational staff, and offered ongoing support to CDE staff, TA facilitators, and other partners.</w:t>
      </w:r>
    </w:p>
    <w:p w14:paraId="666DABD8" w14:textId="5EF9A4DD" w:rsidR="00240B1C" w:rsidRPr="00240B1C" w:rsidRDefault="00240B1C" w:rsidP="00240B1C">
      <w:pPr>
        <w:pStyle w:val="NormalWeb"/>
        <w:spacing w:line="300" w:lineRule="atLeast"/>
        <w:rPr>
          <w:rFonts w:ascii="Arial" w:hAnsi="Arial" w:cs="Arial"/>
        </w:rPr>
      </w:pPr>
      <w:r w:rsidRPr="00240B1C">
        <w:rPr>
          <w:rFonts w:ascii="Arial" w:hAnsi="Arial" w:cs="Arial"/>
        </w:rPr>
        <w:t>SPP-TAP continuously monitors and evaluates its services to improve effectiveness. Over 90</w:t>
      </w:r>
      <w:r w:rsidR="001A5DCD">
        <w:rPr>
          <w:rFonts w:ascii="Arial" w:hAnsi="Arial" w:cs="Arial"/>
        </w:rPr>
        <w:t xml:space="preserve"> percent</w:t>
      </w:r>
      <w:r w:rsidRPr="00240B1C">
        <w:rPr>
          <w:rFonts w:ascii="Arial" w:hAnsi="Arial" w:cs="Arial"/>
        </w:rPr>
        <w:t xml:space="preserve"> of participants rated the support highly (</w:t>
      </w:r>
      <w:r w:rsidR="0046718D">
        <w:rPr>
          <w:rFonts w:ascii="Arial" w:hAnsi="Arial" w:cs="Arial"/>
        </w:rPr>
        <w:t>four</w:t>
      </w:r>
      <w:r w:rsidRPr="00240B1C">
        <w:rPr>
          <w:rFonts w:ascii="Arial" w:hAnsi="Arial" w:cs="Arial"/>
        </w:rPr>
        <w:t xml:space="preserve"> or </w:t>
      </w:r>
      <w:r w:rsidR="0046718D">
        <w:rPr>
          <w:rFonts w:ascii="Arial" w:hAnsi="Arial" w:cs="Arial"/>
        </w:rPr>
        <w:t>five</w:t>
      </w:r>
      <w:r w:rsidRPr="00240B1C">
        <w:rPr>
          <w:rFonts w:ascii="Arial" w:hAnsi="Arial" w:cs="Arial"/>
        </w:rPr>
        <w:t xml:space="preserve"> on a </w:t>
      </w:r>
      <w:r w:rsidR="0046718D">
        <w:rPr>
          <w:rFonts w:ascii="Arial" w:hAnsi="Arial" w:cs="Arial"/>
        </w:rPr>
        <w:t>five</w:t>
      </w:r>
      <w:r w:rsidRPr="00240B1C">
        <w:rPr>
          <w:rFonts w:ascii="Arial" w:hAnsi="Arial" w:cs="Arial"/>
        </w:rPr>
        <w:t>-point scale). The project also conducted an annual analysis of CIM Plans for Improvement submitted between 2020 and 2023, identifying trends in root causes, outcomes, and success rates.</w:t>
      </w:r>
    </w:p>
    <w:p w14:paraId="3730132E" w14:textId="74B6080E" w:rsidR="00C722C1" w:rsidRDefault="00240B1C" w:rsidP="00240B1C">
      <w:pPr>
        <w:pStyle w:val="NormalWeb"/>
        <w:spacing w:line="300" w:lineRule="atLeast"/>
        <w:rPr>
          <w:rFonts w:ascii="Arial" w:hAnsi="Arial" w:cs="Arial"/>
        </w:rPr>
      </w:pPr>
      <w:r w:rsidRPr="00240B1C">
        <w:rPr>
          <w:rFonts w:ascii="Arial" w:hAnsi="Arial" w:cs="Arial"/>
        </w:rPr>
        <w:t>Of the 145 LEAs identified as significantly disproportionate in 2020 or 2021, 102 successfully reduced disproportionality and exited identification status by 2025—a 70</w:t>
      </w:r>
      <w:r w:rsidR="00112736">
        <w:rPr>
          <w:rFonts w:ascii="Arial" w:hAnsi="Arial" w:cs="Arial"/>
        </w:rPr>
        <w:t xml:space="preserve"> percent</w:t>
      </w:r>
      <w:r w:rsidRPr="00240B1C">
        <w:rPr>
          <w:rFonts w:ascii="Arial" w:hAnsi="Arial" w:cs="Arial"/>
        </w:rPr>
        <w:t xml:space="preserve"> success rate. The sustained success rate, accounting for recidivism, was 65.5</w:t>
      </w:r>
      <w:r w:rsidR="001A5DCD">
        <w:rPr>
          <w:rFonts w:ascii="Arial" w:hAnsi="Arial" w:cs="Arial"/>
        </w:rPr>
        <w:t xml:space="preserve"> percent</w:t>
      </w:r>
      <w:r w:rsidRPr="00240B1C">
        <w:rPr>
          <w:rFonts w:ascii="Arial" w:hAnsi="Arial" w:cs="Arial"/>
        </w:rPr>
        <w:t>, demonstrating the long-term impact of SPP-TAP’s support in improving equity and outcomes for students with disabilities.</w:t>
      </w:r>
    </w:p>
    <w:p w14:paraId="666008DD" w14:textId="66FF3765" w:rsidR="00C2369D" w:rsidRPr="000815A0" w:rsidRDefault="00C2369D" w:rsidP="00BC7330">
      <w:pPr>
        <w:pStyle w:val="Heading4"/>
      </w:pPr>
      <w:r w:rsidRPr="000815A0">
        <w:t>Alternative Dispute Resolution Pathways to Partnership</w:t>
      </w:r>
    </w:p>
    <w:p w14:paraId="5939DA6C" w14:textId="7A07AF69" w:rsidR="00C722C1" w:rsidRPr="00C722C1" w:rsidRDefault="00C722C1" w:rsidP="00C722C1">
      <w:pPr>
        <w:pStyle w:val="NormalWeb"/>
        <w:spacing w:line="300" w:lineRule="atLeast"/>
        <w:rPr>
          <w:rFonts w:ascii="Arial" w:hAnsi="Arial" w:cs="Arial"/>
        </w:rPr>
      </w:pPr>
      <w:r w:rsidRPr="00C722C1">
        <w:rPr>
          <w:rFonts w:ascii="Arial" w:hAnsi="Arial" w:cs="Arial"/>
        </w:rPr>
        <w:t xml:space="preserve">The ADR </w:t>
      </w:r>
      <w:r w:rsidR="00247D6C">
        <w:rPr>
          <w:rFonts w:ascii="Arial" w:hAnsi="Arial" w:cs="Arial"/>
        </w:rPr>
        <w:t>P2P</w:t>
      </w:r>
      <w:r w:rsidRPr="00C722C1">
        <w:rPr>
          <w:rFonts w:ascii="Arial" w:hAnsi="Arial" w:cs="Arial"/>
        </w:rPr>
        <w:t xml:space="preserve"> initiative strengthens California’s special education system by promoting collaborative, equitable, and scalable dispute resolution practices. In 2024–25, the initiative focused on four key areas:</w:t>
      </w:r>
    </w:p>
    <w:p w14:paraId="7B0DAB35" w14:textId="73353261" w:rsidR="00B742A8" w:rsidRPr="007A43E3" w:rsidRDefault="00C722C1" w:rsidP="00702891">
      <w:pPr>
        <w:pStyle w:val="NormalWeb"/>
        <w:numPr>
          <w:ilvl w:val="0"/>
          <w:numId w:val="21"/>
        </w:numPr>
        <w:spacing w:after="240" w:afterAutospacing="0" w:line="300" w:lineRule="atLeast"/>
        <w:rPr>
          <w:rFonts w:ascii="Arial" w:hAnsi="Arial" w:cs="Arial"/>
        </w:rPr>
      </w:pPr>
      <w:r w:rsidRPr="007A43E3">
        <w:rPr>
          <w:rStyle w:val="Strong"/>
          <w:rFonts w:ascii="Arial" w:hAnsi="Arial" w:cs="Arial"/>
        </w:rPr>
        <w:lastRenderedPageBreak/>
        <w:t>Governance and Capacity Building</w:t>
      </w:r>
      <w:r w:rsidRPr="007A43E3">
        <w:rPr>
          <w:rFonts w:ascii="Arial" w:hAnsi="Arial" w:cs="Arial"/>
        </w:rPr>
        <w:t xml:space="preserve">: </w:t>
      </w:r>
      <w:r w:rsidR="006F437B" w:rsidRPr="007A43E3">
        <w:rPr>
          <w:rFonts w:ascii="Arial" w:hAnsi="Arial" w:cs="Arial"/>
        </w:rPr>
        <w:t>RILs</w:t>
      </w:r>
      <w:r w:rsidRPr="007A43E3">
        <w:rPr>
          <w:rFonts w:ascii="Arial" w:hAnsi="Arial" w:cs="Arial"/>
        </w:rPr>
        <w:t xml:space="preserve"> were established statewide to ensure consistent leadership and equitable access to ADR </w:t>
      </w:r>
      <w:r w:rsidR="001F4C85" w:rsidRPr="007A43E3">
        <w:rPr>
          <w:rFonts w:ascii="Arial" w:hAnsi="Arial" w:cs="Arial"/>
        </w:rPr>
        <w:t>support</w:t>
      </w:r>
      <w:r w:rsidRPr="007A43E3">
        <w:rPr>
          <w:rFonts w:ascii="Arial" w:hAnsi="Arial" w:cs="Arial"/>
        </w:rPr>
        <w:t xml:space="preserve">. Partnerships with SELPA Administrators, </w:t>
      </w:r>
      <w:r w:rsidR="0038689D" w:rsidRPr="007A43E3">
        <w:rPr>
          <w:rFonts w:ascii="Arial" w:hAnsi="Arial" w:cs="Arial"/>
        </w:rPr>
        <w:t>FECs,</w:t>
      </w:r>
      <w:r w:rsidRPr="007A43E3">
        <w:rPr>
          <w:rFonts w:ascii="Arial" w:hAnsi="Arial" w:cs="Arial"/>
        </w:rPr>
        <w:t xml:space="preserve"> Seeds of Partnership, and CADRE embedded family voice into decision-making.</w:t>
      </w:r>
    </w:p>
    <w:p w14:paraId="4802EC1D" w14:textId="06D4F31C" w:rsidR="00B742A8" w:rsidRPr="007A43E3" w:rsidRDefault="00C722C1" w:rsidP="009F3CE9">
      <w:pPr>
        <w:pStyle w:val="NormalWeb"/>
        <w:numPr>
          <w:ilvl w:val="0"/>
          <w:numId w:val="21"/>
        </w:numPr>
        <w:spacing w:after="240" w:afterAutospacing="0" w:line="300" w:lineRule="atLeast"/>
        <w:rPr>
          <w:rFonts w:ascii="Arial" w:hAnsi="Arial" w:cs="Arial"/>
        </w:rPr>
      </w:pPr>
      <w:r w:rsidRPr="007A43E3">
        <w:rPr>
          <w:rStyle w:val="Strong"/>
          <w:rFonts w:ascii="Arial" w:hAnsi="Arial" w:cs="Arial"/>
        </w:rPr>
        <w:t>Technical Assistance and Quality Standards</w:t>
      </w:r>
      <w:r w:rsidRPr="007A43E3">
        <w:rPr>
          <w:rFonts w:ascii="Arial" w:hAnsi="Arial" w:cs="Arial"/>
        </w:rPr>
        <w:t>: The initiative supported the CDE Complaints Unit and released the IEP Companion Guide to improve consistency and effectiveness in IEP meetings. Success was measured through case resolution data and stakeholder feedback.</w:t>
      </w:r>
    </w:p>
    <w:p w14:paraId="323F4A96" w14:textId="3DCB24FF" w:rsidR="00B742A8" w:rsidRPr="007A43E3" w:rsidRDefault="00C722C1" w:rsidP="008A254D">
      <w:pPr>
        <w:pStyle w:val="NormalWeb"/>
        <w:numPr>
          <w:ilvl w:val="0"/>
          <w:numId w:val="21"/>
        </w:numPr>
        <w:spacing w:after="240" w:afterAutospacing="0" w:line="300" w:lineRule="atLeast"/>
        <w:rPr>
          <w:rFonts w:ascii="Arial" w:hAnsi="Arial" w:cs="Arial"/>
        </w:rPr>
      </w:pPr>
      <w:r w:rsidRPr="007A43E3">
        <w:rPr>
          <w:rStyle w:val="Strong"/>
          <w:rFonts w:ascii="Arial" w:hAnsi="Arial" w:cs="Arial"/>
        </w:rPr>
        <w:t>Professional Development</w:t>
      </w:r>
      <w:r w:rsidRPr="007A43E3">
        <w:rPr>
          <w:rFonts w:ascii="Arial" w:hAnsi="Arial" w:cs="Arial"/>
        </w:rPr>
        <w:t xml:space="preserve">: </w:t>
      </w:r>
      <w:r w:rsidR="00B92663" w:rsidRPr="007A43E3">
        <w:rPr>
          <w:rFonts w:ascii="Arial" w:hAnsi="Arial" w:cs="Arial"/>
        </w:rPr>
        <w:t>FIEP</w:t>
      </w:r>
      <w:r w:rsidRPr="007A43E3">
        <w:rPr>
          <w:rFonts w:ascii="Arial" w:hAnsi="Arial" w:cs="Arial"/>
        </w:rPr>
        <w:t xml:space="preserve"> training was delivered across multiple regions using a trainer-of-trainers model. </w:t>
      </w:r>
      <w:r w:rsidR="004A6151" w:rsidRPr="007A43E3">
        <w:rPr>
          <w:rFonts w:ascii="Arial" w:hAnsi="Arial" w:cs="Arial"/>
        </w:rPr>
        <w:t>CoPs</w:t>
      </w:r>
      <w:r w:rsidRPr="007A43E3">
        <w:rPr>
          <w:rFonts w:ascii="Arial" w:hAnsi="Arial" w:cs="Arial"/>
        </w:rPr>
        <w:t xml:space="preserve"> were built to sustain collaboration among educators, families, and advocates. Advanced mediation training was co-hosted with Pepperdine Law to build statewide capacity.</w:t>
      </w:r>
    </w:p>
    <w:p w14:paraId="0114E5F1" w14:textId="5E819369" w:rsidR="00C722C1" w:rsidRPr="00C722C1" w:rsidRDefault="000C57DE" w:rsidP="007A43E3">
      <w:pPr>
        <w:pStyle w:val="NormalWeb"/>
        <w:numPr>
          <w:ilvl w:val="0"/>
          <w:numId w:val="21"/>
        </w:numPr>
        <w:spacing w:after="240" w:afterAutospacing="0" w:line="300" w:lineRule="atLeast"/>
        <w:rPr>
          <w:rFonts w:ascii="Arial" w:hAnsi="Arial" w:cs="Arial"/>
        </w:rPr>
      </w:pPr>
      <w:r>
        <w:rPr>
          <w:rStyle w:val="Strong"/>
          <w:rFonts w:ascii="Arial" w:hAnsi="Arial" w:cs="Arial"/>
        </w:rPr>
        <w:t>Interest H</w:t>
      </w:r>
      <w:r w:rsidR="00C722C1" w:rsidRPr="00C722C1">
        <w:rPr>
          <w:rStyle w:val="Strong"/>
          <w:rFonts w:ascii="Arial" w:hAnsi="Arial" w:cs="Arial"/>
        </w:rPr>
        <w:t>older Engagement and National Collaboration</w:t>
      </w:r>
      <w:r w:rsidR="00C722C1" w:rsidRPr="00C722C1">
        <w:rPr>
          <w:rFonts w:ascii="Arial" w:hAnsi="Arial" w:cs="Arial"/>
        </w:rPr>
        <w:t>: The initiative partnered with DREDF and CADRE to align California’s ADR efforts with national standards and expand access to best practices.</w:t>
      </w:r>
    </w:p>
    <w:p w14:paraId="19C6124A" w14:textId="0518712D" w:rsidR="00C722C1" w:rsidRPr="00C722C1" w:rsidRDefault="00C722C1" w:rsidP="00C722C1">
      <w:pPr>
        <w:pStyle w:val="NormalWeb"/>
        <w:spacing w:line="300" w:lineRule="atLeast"/>
        <w:rPr>
          <w:rFonts w:ascii="Arial" w:hAnsi="Arial" w:cs="Arial"/>
        </w:rPr>
      </w:pPr>
      <w:r w:rsidRPr="00C722C1">
        <w:rPr>
          <w:rFonts w:ascii="Arial" w:hAnsi="Arial" w:cs="Arial"/>
        </w:rPr>
        <w:t xml:space="preserve">These strategies directly support California’s </w:t>
      </w:r>
      <w:proofErr w:type="spellStart"/>
      <w:r w:rsidR="00BE0095">
        <w:rPr>
          <w:rFonts w:ascii="Arial" w:hAnsi="Arial" w:cs="Arial"/>
        </w:rPr>
        <w:t>SiMR</w:t>
      </w:r>
      <w:proofErr w:type="spellEnd"/>
      <w:r w:rsidRPr="00C722C1">
        <w:rPr>
          <w:rFonts w:ascii="Arial" w:hAnsi="Arial" w:cs="Arial"/>
        </w:rPr>
        <w:t xml:space="preserve"> by improving dispute resolution infrastructure, enhancing family engagement, and promoting sustainable systems change.</w:t>
      </w:r>
    </w:p>
    <w:p w14:paraId="45B913E1" w14:textId="77777777" w:rsidR="00656019" w:rsidRPr="000815A0" w:rsidRDefault="00656019" w:rsidP="00BC7330">
      <w:pPr>
        <w:pStyle w:val="Heading4"/>
      </w:pPr>
      <w:r w:rsidRPr="000815A0">
        <w:t xml:space="preserve">The California Early Childhood Special Education Network </w:t>
      </w:r>
    </w:p>
    <w:p w14:paraId="2A42D0FC" w14:textId="22A94B0C" w:rsidR="001F4C85" w:rsidRPr="001F4C85" w:rsidRDefault="001F4C85" w:rsidP="001F4C85">
      <w:pPr>
        <w:spacing w:before="100" w:beforeAutospacing="1" w:after="100" w:afterAutospacing="1" w:line="300" w:lineRule="atLeast"/>
        <w:rPr>
          <w:rFonts w:cs="Arial"/>
        </w:rPr>
      </w:pPr>
      <w:r w:rsidRPr="001F4C85">
        <w:rPr>
          <w:rFonts w:cs="Arial"/>
        </w:rPr>
        <w:t xml:space="preserve">In the 2024–25 school year, the </w:t>
      </w:r>
      <w:proofErr w:type="spellStart"/>
      <w:r w:rsidRPr="001F4C85">
        <w:rPr>
          <w:rFonts w:cs="Arial"/>
        </w:rPr>
        <w:t>CalECSE</w:t>
      </w:r>
      <w:proofErr w:type="spellEnd"/>
      <w:r w:rsidRPr="001F4C85">
        <w:rPr>
          <w:rFonts w:cs="Arial"/>
        </w:rPr>
        <w:t xml:space="preserve"> Network significantly expanded its statewide impact by strengthening local capacity and promoting inclusive practices for young children with disabilities. The initiative facilitated 28 </w:t>
      </w:r>
      <w:r w:rsidR="004A6151">
        <w:rPr>
          <w:rFonts w:cs="Arial"/>
        </w:rPr>
        <w:t>CoPs</w:t>
      </w:r>
      <w:r w:rsidRPr="001F4C85">
        <w:rPr>
          <w:rFonts w:cs="Arial"/>
        </w:rPr>
        <w:t xml:space="preserve"> across all 11 regions and a statewide CoP for rural districts, engaging 747 early childhood </w:t>
      </w:r>
      <w:r w:rsidR="00C1238C">
        <w:rPr>
          <w:rFonts w:cs="Arial"/>
        </w:rPr>
        <w:t xml:space="preserve">interest </w:t>
      </w:r>
      <w:r w:rsidRPr="001F4C85">
        <w:rPr>
          <w:rFonts w:cs="Arial"/>
        </w:rPr>
        <w:t xml:space="preserve">holders in collaborative problem-solving and resource sharing. Additionally, </w:t>
      </w:r>
      <w:proofErr w:type="spellStart"/>
      <w:r w:rsidRPr="001F4C85">
        <w:rPr>
          <w:rFonts w:cs="Arial"/>
        </w:rPr>
        <w:t>CalECSE</w:t>
      </w:r>
      <w:proofErr w:type="spellEnd"/>
      <w:r w:rsidRPr="001F4C85">
        <w:rPr>
          <w:rFonts w:cs="Arial"/>
        </w:rPr>
        <w:t xml:space="preserve"> hosted 12 statewide virtual training sessions aligned with core practices, reaching 2,679 participants. Post-session survey results indicated that over 85 percent of attendees gained new insights to improve their professional practice. The network also provided targeted support to LEAs, SELPAs, and </w:t>
      </w:r>
      <w:r w:rsidR="00C1238C">
        <w:rPr>
          <w:rFonts w:cs="Arial"/>
        </w:rPr>
        <w:t>COEs</w:t>
      </w:r>
      <w:r w:rsidRPr="001F4C85">
        <w:rPr>
          <w:rFonts w:cs="Arial"/>
        </w:rPr>
        <w:t xml:space="preserve"> to enhance systems related to assessment, transition planning, and inclusive instruction. Survey data confirmed the value of </w:t>
      </w:r>
      <w:proofErr w:type="spellStart"/>
      <w:r w:rsidRPr="001F4C85">
        <w:rPr>
          <w:rFonts w:cs="Arial"/>
        </w:rPr>
        <w:t>CalECSE’s</w:t>
      </w:r>
      <w:proofErr w:type="spellEnd"/>
      <w:r w:rsidRPr="001F4C85">
        <w:rPr>
          <w:rFonts w:cs="Arial"/>
        </w:rPr>
        <w:t xml:space="preserve"> efforts, with more than 86 percent of CoP participants and 85 percent of training attendees reporting positive impacts on their work.</w:t>
      </w:r>
    </w:p>
    <w:p w14:paraId="201CDB30" w14:textId="63B15864" w:rsidR="00454E0C" w:rsidRPr="000815A0" w:rsidRDefault="003625FE" w:rsidP="00DF008C">
      <w:pPr>
        <w:spacing w:before="240" w:after="240"/>
        <w:rPr>
          <w:rFonts w:cs="Arial"/>
          <w:b/>
          <w:bCs/>
          <w:i/>
          <w:iCs/>
        </w:rPr>
      </w:pPr>
      <w:r w:rsidRPr="000815A0">
        <w:rPr>
          <w:rFonts w:cs="Arial"/>
          <w:b/>
          <w:i/>
        </w:rPr>
        <w:t>N</w:t>
      </w:r>
      <w:r w:rsidR="00454E0C" w:rsidRPr="000815A0">
        <w:rPr>
          <w:rFonts w:cs="Arial"/>
          <w:b/>
          <w:i/>
        </w:rPr>
        <w:t>ew</w:t>
      </w:r>
      <w:r w:rsidR="00454E0C" w:rsidRPr="000815A0">
        <w:rPr>
          <w:rFonts w:cs="Arial"/>
          <w:b/>
        </w:rPr>
        <w:t xml:space="preserve"> infrastructure improvement strategy and the short-term or intermediate outcomes achieved</w:t>
      </w:r>
      <w:r w:rsidR="00454E0C" w:rsidRPr="000815A0">
        <w:rPr>
          <w:rFonts w:cs="Arial"/>
          <w:b/>
          <w:bCs/>
          <w:i/>
          <w:iCs/>
        </w:rPr>
        <w:t xml:space="preserve">. </w:t>
      </w:r>
      <w:bookmarkEnd w:id="187"/>
    </w:p>
    <w:p w14:paraId="3393439D" w14:textId="79593D32" w:rsidR="00A53160" w:rsidRPr="00AA4B26" w:rsidRDefault="00B31715" w:rsidP="00BC7330">
      <w:pPr>
        <w:pStyle w:val="Heading4"/>
      </w:pPr>
      <w:proofErr w:type="gramStart"/>
      <w:r w:rsidRPr="00AA4B26">
        <w:lastRenderedPageBreak/>
        <w:t xml:space="preserve">The </w:t>
      </w:r>
      <w:r w:rsidR="00A53160" w:rsidRPr="00AA4B26">
        <w:t>System</w:t>
      </w:r>
      <w:proofErr w:type="gramEnd"/>
      <w:r w:rsidR="00A53160" w:rsidRPr="00AA4B26">
        <w:t xml:space="preserve"> Improvement Leads</w:t>
      </w:r>
    </w:p>
    <w:p w14:paraId="4F78A394" w14:textId="0D99D509" w:rsidR="0097246E" w:rsidRPr="000815A0" w:rsidRDefault="0097246E" w:rsidP="0097246E">
      <w:pPr>
        <w:pStyle w:val="NormalWeb"/>
        <w:rPr>
          <w:rFonts w:ascii="Arial" w:hAnsi="Arial" w:cs="Arial"/>
          <w:color w:val="000000"/>
        </w:rPr>
      </w:pPr>
      <w:r w:rsidRPr="000815A0">
        <w:rPr>
          <w:rFonts w:ascii="Arial" w:hAnsi="Arial" w:cs="Arial"/>
          <w:color w:val="000000"/>
        </w:rPr>
        <w:t xml:space="preserve">In collaboration with </w:t>
      </w:r>
      <w:r w:rsidR="00C1238C">
        <w:rPr>
          <w:rFonts w:ascii="Arial" w:hAnsi="Arial" w:cs="Arial"/>
          <w:color w:val="000000"/>
        </w:rPr>
        <w:t xml:space="preserve">the </w:t>
      </w:r>
      <w:r w:rsidRPr="000815A0">
        <w:rPr>
          <w:rFonts w:ascii="Arial" w:hAnsi="Arial" w:cs="Arial"/>
          <w:color w:val="000000"/>
        </w:rPr>
        <w:t xml:space="preserve">CDE and Seeds of partnership, the SIL project created and published the SPP summary series to broaden knowledge and awareness of the indicators among California’s educational partners. These handouts provide user friendly descriptions of each indicator, provide state-level performance data, and links to helpful resources. The series can be accessed on the CDE </w:t>
      </w:r>
      <w:r w:rsidR="00210C28">
        <w:rPr>
          <w:rFonts w:ascii="Arial" w:hAnsi="Arial" w:cs="Arial"/>
          <w:color w:val="000000"/>
        </w:rPr>
        <w:t xml:space="preserve">sponsored website the CALTAN </w:t>
      </w:r>
      <w:r w:rsidR="00210C28" w:rsidRPr="00234C6F">
        <w:rPr>
          <w:rFonts w:ascii="Arial" w:hAnsi="Arial" w:cs="Arial"/>
          <w:color w:val="000000"/>
        </w:rPr>
        <w:t xml:space="preserve">at </w:t>
      </w:r>
      <w:hyperlink r:id="rId24" w:tooltip="CalTan Website" w:history="1">
        <w:r w:rsidR="00234C6F" w:rsidRPr="00811E18">
          <w:rPr>
            <w:rStyle w:val="Hyperlink"/>
            <w:rFonts w:ascii="Arial" w:eastAsiaTheme="majorEastAsia" w:hAnsi="Arial" w:cs="Arial"/>
          </w:rPr>
          <w:t>https://caltan.info/partners</w:t>
        </w:r>
      </w:hyperlink>
      <w:r w:rsidR="00A92D38">
        <w:rPr>
          <w:rFonts w:ascii="Arial" w:hAnsi="Arial" w:cs="Arial"/>
          <w:color w:val="000000"/>
        </w:rPr>
        <w:t>.</w:t>
      </w:r>
    </w:p>
    <w:p w14:paraId="622847BE" w14:textId="03DA625F" w:rsidR="0097246E" w:rsidRPr="000815A0" w:rsidRDefault="0097246E" w:rsidP="0097246E">
      <w:pPr>
        <w:pStyle w:val="NormalWeb"/>
        <w:rPr>
          <w:rFonts w:ascii="Arial" w:hAnsi="Arial" w:cs="Arial"/>
          <w:color w:val="000000"/>
        </w:rPr>
      </w:pPr>
      <w:r w:rsidRPr="000815A0">
        <w:rPr>
          <w:rFonts w:ascii="Arial" w:hAnsi="Arial" w:cs="Arial"/>
          <w:color w:val="000000"/>
        </w:rPr>
        <w:t>In 2024</w:t>
      </w:r>
      <w:r w:rsidR="00BD5A17" w:rsidRPr="001F4C85">
        <w:rPr>
          <w:rFonts w:cs="Arial"/>
        </w:rPr>
        <w:t>–</w:t>
      </w:r>
      <w:r w:rsidRPr="000815A0">
        <w:rPr>
          <w:rFonts w:ascii="Arial" w:hAnsi="Arial" w:cs="Arial"/>
          <w:color w:val="000000"/>
        </w:rPr>
        <w:t>25</w:t>
      </w:r>
      <w:r w:rsidR="009A31E2">
        <w:rPr>
          <w:rFonts w:ascii="Arial" w:hAnsi="Arial" w:cs="Arial"/>
          <w:color w:val="000000"/>
        </w:rPr>
        <w:t>,</w:t>
      </w:r>
      <w:r w:rsidRPr="000815A0">
        <w:rPr>
          <w:rFonts w:ascii="Arial" w:hAnsi="Arial" w:cs="Arial"/>
          <w:color w:val="000000"/>
        </w:rPr>
        <w:t xml:space="preserve"> SIL released a new resource series titled </w:t>
      </w:r>
      <w:r w:rsidR="00C1238C">
        <w:rPr>
          <w:rFonts w:ascii="Arial" w:hAnsi="Arial" w:cs="Arial"/>
          <w:color w:val="000000"/>
        </w:rPr>
        <w:t>“</w:t>
      </w:r>
      <w:r w:rsidRPr="000815A0">
        <w:rPr>
          <w:rFonts w:ascii="Arial" w:hAnsi="Arial" w:cs="Arial"/>
          <w:color w:val="000000"/>
        </w:rPr>
        <w:t>Strategies That Work</w:t>
      </w:r>
      <w:r w:rsidR="00C1238C">
        <w:rPr>
          <w:rFonts w:ascii="Arial" w:hAnsi="Arial" w:cs="Arial"/>
          <w:color w:val="000000"/>
        </w:rPr>
        <w:t>”</w:t>
      </w:r>
      <w:r w:rsidR="008319AD">
        <w:rPr>
          <w:rFonts w:ascii="Arial" w:hAnsi="Arial" w:cs="Arial"/>
          <w:color w:val="000000"/>
        </w:rPr>
        <w:t>,</w:t>
      </w:r>
      <w:r w:rsidRPr="000815A0">
        <w:rPr>
          <w:rFonts w:ascii="Arial" w:hAnsi="Arial" w:cs="Arial"/>
          <w:color w:val="000000"/>
        </w:rPr>
        <w:t xml:space="preserve"> designed to help educators improve outcomes for students with disabilities. These resources are rooted in real practice—</w:t>
      </w:r>
      <w:r w:rsidR="00B058B6" w:rsidRPr="000815A0">
        <w:rPr>
          <w:rFonts w:ascii="Arial" w:hAnsi="Arial" w:cs="Arial"/>
          <w:color w:val="000000"/>
        </w:rPr>
        <w:t>they have</w:t>
      </w:r>
      <w:r w:rsidRPr="000815A0">
        <w:rPr>
          <w:rFonts w:ascii="Arial" w:hAnsi="Arial" w:cs="Arial"/>
          <w:color w:val="000000"/>
        </w:rPr>
        <w:t xml:space="preserve"> been tested and refined through implementation in school districts across California and have demonstrated measurable improvements in areas such as graduation, attendance, and IEP quality. The strategies emerged from California’s CIM process and SIL’s Graduation, </w:t>
      </w:r>
      <w:r w:rsidR="00583FEC" w:rsidRPr="000815A0">
        <w:rPr>
          <w:rFonts w:ascii="Arial" w:hAnsi="Arial" w:cs="Arial"/>
          <w:color w:val="000000"/>
        </w:rPr>
        <w:t>Attendance,</w:t>
      </w:r>
      <w:r w:rsidRPr="000815A0">
        <w:rPr>
          <w:rFonts w:ascii="Arial" w:hAnsi="Arial" w:cs="Arial"/>
          <w:color w:val="000000"/>
        </w:rPr>
        <w:t xml:space="preserve"> and Innovating for Student Success Networks. The strategies are intentionally practical, meaning </w:t>
      </w:r>
      <w:r w:rsidR="00B058B6" w:rsidRPr="000815A0">
        <w:rPr>
          <w:rFonts w:ascii="Arial" w:hAnsi="Arial" w:cs="Arial"/>
          <w:color w:val="000000"/>
        </w:rPr>
        <w:t>they are</w:t>
      </w:r>
      <w:r w:rsidRPr="000815A0">
        <w:rPr>
          <w:rFonts w:ascii="Arial" w:hAnsi="Arial" w:cs="Arial"/>
          <w:color w:val="000000"/>
        </w:rPr>
        <w:t xml:space="preserve"> ready to implement and designed to fit into existing school processes without requiring extensive new training or resources. The series can be accessed via the </w:t>
      </w:r>
      <w:r w:rsidR="00234C6F">
        <w:rPr>
          <w:rFonts w:ascii="Arial" w:hAnsi="Arial" w:cs="Arial"/>
          <w:color w:val="000000"/>
        </w:rPr>
        <w:t xml:space="preserve">CDE sponsored website the CALTAN </w:t>
      </w:r>
      <w:r w:rsidR="00234C6F" w:rsidRPr="00234C6F">
        <w:rPr>
          <w:rFonts w:ascii="Arial" w:hAnsi="Arial" w:cs="Arial"/>
          <w:color w:val="000000"/>
        </w:rPr>
        <w:t xml:space="preserve">at </w:t>
      </w:r>
      <w:hyperlink r:id="rId25" w:tooltip="CalTan Website" w:history="1">
        <w:r w:rsidR="00234C6F" w:rsidRPr="00B84496">
          <w:rPr>
            <w:rStyle w:val="Hyperlink"/>
            <w:rFonts w:ascii="Arial" w:eastAsiaTheme="majorEastAsia" w:hAnsi="Arial" w:cs="Arial"/>
          </w:rPr>
          <w:t>https://caltan.info/partners</w:t>
        </w:r>
      </w:hyperlink>
      <w:r w:rsidR="00A92D38">
        <w:rPr>
          <w:rFonts w:ascii="Arial" w:hAnsi="Arial" w:cs="Arial"/>
          <w:color w:val="000000"/>
        </w:rPr>
        <w:t>.</w:t>
      </w:r>
    </w:p>
    <w:p w14:paraId="5E73644B" w14:textId="77777777" w:rsidR="00974398" w:rsidRPr="00BD200D" w:rsidRDefault="00974398" w:rsidP="00BC7330">
      <w:pPr>
        <w:pStyle w:val="Heading4"/>
      </w:pPr>
      <w:bookmarkStart w:id="188" w:name="_Hlk79661698"/>
      <w:r w:rsidRPr="00BD200D">
        <w:t xml:space="preserve">The State Performance Plan Technical Assistance Project </w:t>
      </w:r>
    </w:p>
    <w:p w14:paraId="7238C145" w14:textId="33520397" w:rsidR="00DD024F" w:rsidRPr="000815A0" w:rsidRDefault="00DD024F" w:rsidP="00DD024F">
      <w:pPr>
        <w:shd w:val="clear" w:color="auto" w:fill="FFFFFF"/>
        <w:spacing w:before="100" w:beforeAutospacing="1" w:after="100" w:afterAutospacing="1"/>
        <w:textAlignment w:val="baseline"/>
        <w:rPr>
          <w:rFonts w:cs="Arial"/>
        </w:rPr>
      </w:pPr>
      <w:r w:rsidRPr="000815A0">
        <w:rPr>
          <w:rFonts w:cs="Arial"/>
        </w:rPr>
        <w:t xml:space="preserve">As the CDE has continued to refine its </w:t>
      </w:r>
      <w:r w:rsidR="004A6151">
        <w:rPr>
          <w:rFonts w:cs="Arial"/>
        </w:rPr>
        <w:t>CI</w:t>
      </w:r>
      <w:r w:rsidR="003654F6">
        <w:rPr>
          <w:rFonts w:cs="Arial"/>
        </w:rPr>
        <w:t xml:space="preserve">M </w:t>
      </w:r>
      <w:r w:rsidRPr="000815A0">
        <w:rPr>
          <w:rFonts w:cs="Arial"/>
        </w:rPr>
        <w:t xml:space="preserve">process, SPP-TAP made some changes to the </w:t>
      </w:r>
      <w:r w:rsidR="003B48A9" w:rsidRPr="000815A0">
        <w:rPr>
          <w:rFonts w:cs="Arial"/>
        </w:rPr>
        <w:t>support</w:t>
      </w:r>
      <w:r w:rsidRPr="000815A0">
        <w:rPr>
          <w:rFonts w:cs="Arial"/>
        </w:rPr>
        <w:t xml:space="preserve"> provided to LEAs to support improvement in student outcomes. In the </w:t>
      </w:r>
      <w:r w:rsidR="003B48A9" w:rsidRPr="000815A0">
        <w:rPr>
          <w:rFonts w:cs="Arial"/>
        </w:rPr>
        <w:t>20</w:t>
      </w:r>
      <w:r w:rsidRPr="000815A0">
        <w:rPr>
          <w:rFonts w:cs="Arial"/>
        </w:rPr>
        <w:t>24</w:t>
      </w:r>
      <w:r w:rsidR="00E851C9" w:rsidRPr="001F4C85">
        <w:rPr>
          <w:rFonts w:cs="Arial"/>
        </w:rPr>
        <w:t>–</w:t>
      </w:r>
      <w:r w:rsidRPr="000815A0">
        <w:rPr>
          <w:rFonts w:cs="Arial"/>
        </w:rPr>
        <w:t xml:space="preserve">25 fiscal year, SPP-TAP was able to increase the support hours provided to the 13 LEAs that were newly identified as significantly disproportionate in 2025 allowing for individualized support in the development of their Plan for Improvement. The CDE also identified 14 LEAs with ongoing identification of significant disproportionality who have struggled to reach compliance. SPP-TAP was able to provide more intensive </w:t>
      </w:r>
      <w:r w:rsidR="003B48A9" w:rsidRPr="000815A0">
        <w:rPr>
          <w:rFonts w:cs="Arial"/>
        </w:rPr>
        <w:t>support</w:t>
      </w:r>
      <w:r w:rsidRPr="000815A0">
        <w:rPr>
          <w:rFonts w:cs="Arial"/>
        </w:rPr>
        <w:t xml:space="preserve"> to these LEAs in collaboration with the CDE Focused Monitoring and Technical Assistance </w:t>
      </w:r>
      <w:r w:rsidR="003A3427">
        <w:rPr>
          <w:rFonts w:cs="Arial"/>
        </w:rPr>
        <w:t>s</w:t>
      </w:r>
      <w:r w:rsidR="005D02E0">
        <w:rPr>
          <w:rFonts w:cs="Arial"/>
        </w:rPr>
        <w:t>taff</w:t>
      </w:r>
      <w:r w:rsidRPr="000815A0">
        <w:rPr>
          <w:rFonts w:cs="Arial"/>
        </w:rPr>
        <w:t xml:space="preserve">. SPP-TAP also developed new offerings for LEAs that are identified as disproportionate to provide foundational information and optional strategies to improve systems and student outcomes tied to identification, placement, and discipline. </w:t>
      </w:r>
    </w:p>
    <w:p w14:paraId="794C9DA4" w14:textId="6B814586" w:rsidR="00DD024F" w:rsidRPr="000815A0" w:rsidRDefault="0094295C" w:rsidP="007A43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Arial"/>
        </w:rPr>
      </w:pPr>
      <w:r>
        <w:rPr>
          <w:rFonts w:cs="Arial"/>
        </w:rPr>
        <w:t xml:space="preserve">The </w:t>
      </w:r>
      <w:r w:rsidR="00DD024F" w:rsidRPr="000815A0">
        <w:rPr>
          <w:rFonts w:cs="Arial"/>
        </w:rPr>
        <w:t xml:space="preserve">CDE </w:t>
      </w:r>
      <w:r>
        <w:rPr>
          <w:rFonts w:cs="Arial"/>
        </w:rPr>
        <w:t xml:space="preserve">has </w:t>
      </w:r>
      <w:r w:rsidR="00DD024F" w:rsidRPr="000815A0">
        <w:rPr>
          <w:rFonts w:cs="Arial"/>
        </w:rPr>
        <w:t xml:space="preserve">requested Implementation </w:t>
      </w:r>
      <w:r w:rsidR="00EB4F2A">
        <w:rPr>
          <w:rFonts w:cs="Arial"/>
        </w:rPr>
        <w:t>CoP</w:t>
      </w:r>
      <w:r w:rsidR="00DD024F" w:rsidRPr="000815A0">
        <w:rPr>
          <w:rFonts w:cs="Arial"/>
        </w:rPr>
        <w:t xml:space="preserve"> sessions for persons responsible for implementation, monitoring, and reporting on their CIM Plan for Improvement addressing significant disproportionality. The purpose of the CoPs was to share successful strategies </w:t>
      </w:r>
      <w:r w:rsidR="003B48A9" w:rsidRPr="000815A0">
        <w:rPr>
          <w:rFonts w:cs="Arial"/>
        </w:rPr>
        <w:t>for,</w:t>
      </w:r>
      <w:r w:rsidR="00DD024F" w:rsidRPr="000815A0">
        <w:rPr>
          <w:rFonts w:cs="Arial"/>
        </w:rPr>
        <w:t xml:space="preserve"> and barriers faced in</w:t>
      </w:r>
      <w:r w:rsidR="00744AA3">
        <w:rPr>
          <w:rFonts w:cs="Arial"/>
        </w:rPr>
        <w:t>,</w:t>
      </w:r>
      <w:r w:rsidR="00DD024F" w:rsidRPr="000815A0">
        <w:rPr>
          <w:rFonts w:cs="Arial"/>
        </w:rPr>
        <w:t xml:space="preserve"> implementation to ensure the longevity of their reduction in disproportionality. SPP-TAP conducted four Implementation CoP sessions.</w:t>
      </w:r>
    </w:p>
    <w:p w14:paraId="7AD6206F" w14:textId="767B5450" w:rsidR="00DD024F" w:rsidRPr="000815A0" w:rsidRDefault="00DD024F" w:rsidP="007A43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Arial"/>
        </w:rPr>
      </w:pPr>
      <w:r w:rsidRPr="000815A0">
        <w:rPr>
          <w:rFonts w:cs="Arial"/>
        </w:rPr>
        <w:t xml:space="preserve">SPP-TAP offered three additional </w:t>
      </w:r>
      <w:r w:rsidR="00955DA3">
        <w:rPr>
          <w:rFonts w:cs="Arial"/>
        </w:rPr>
        <w:t>CoP</w:t>
      </w:r>
      <w:r w:rsidRPr="000815A0">
        <w:rPr>
          <w:rFonts w:cs="Arial"/>
        </w:rPr>
        <w:t xml:space="preserve"> sessions at the request and with the approval of CDE. These targeted CoP sessions focused on the challenges that </w:t>
      </w:r>
      <w:r w:rsidR="00CB37CD">
        <w:rPr>
          <w:rFonts w:cs="Arial"/>
        </w:rPr>
        <w:t>h</w:t>
      </w:r>
      <w:r w:rsidRPr="000815A0">
        <w:rPr>
          <w:rFonts w:cs="Arial"/>
        </w:rPr>
        <w:t xml:space="preserve">igh </w:t>
      </w:r>
      <w:r w:rsidR="00CB37CD">
        <w:rPr>
          <w:rFonts w:cs="Arial"/>
        </w:rPr>
        <w:t>s</w:t>
      </w:r>
      <w:r w:rsidRPr="000815A0">
        <w:rPr>
          <w:rFonts w:cs="Arial"/>
        </w:rPr>
        <w:t xml:space="preserve">chool LEAs </w:t>
      </w:r>
      <w:r w:rsidRPr="000815A0">
        <w:rPr>
          <w:rFonts w:cs="Arial"/>
        </w:rPr>
        <w:lastRenderedPageBreak/>
        <w:t xml:space="preserve">and LEAs with small student populations face, as well as addressing the over-identification of Hispanic </w:t>
      </w:r>
      <w:r w:rsidR="00CB37CD">
        <w:rPr>
          <w:rFonts w:cs="Arial"/>
        </w:rPr>
        <w:t>s</w:t>
      </w:r>
      <w:r w:rsidRPr="000815A0">
        <w:rPr>
          <w:rFonts w:cs="Arial"/>
        </w:rPr>
        <w:t>tudents with Specific Learning Disability</w:t>
      </w:r>
      <w:r w:rsidR="00583FEC" w:rsidRPr="000815A0">
        <w:rPr>
          <w:rFonts w:cs="Arial"/>
        </w:rPr>
        <w:t>.</w:t>
      </w:r>
    </w:p>
    <w:p w14:paraId="6EE54390" w14:textId="745E7486" w:rsidR="00FB4C25" w:rsidRPr="00BD200D" w:rsidRDefault="00DD024F" w:rsidP="007A43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color w:val="000000" w:themeColor="text1"/>
        </w:rPr>
      </w:pPr>
      <w:r w:rsidRPr="000815A0">
        <w:rPr>
          <w:rFonts w:cs="Arial"/>
        </w:rPr>
        <w:t xml:space="preserve">SPP-TAP also designed and offered four office hour sessions at the request and with the approval of </w:t>
      </w:r>
      <w:r w:rsidR="000E5CAE">
        <w:rPr>
          <w:rFonts w:cs="Arial"/>
        </w:rPr>
        <w:t xml:space="preserve">the </w:t>
      </w:r>
      <w:r w:rsidRPr="000815A0">
        <w:rPr>
          <w:rFonts w:cs="Arial"/>
        </w:rPr>
        <w:t>CDE for disproportionate LEAs and on topics relevant to those LEAs.</w:t>
      </w:r>
    </w:p>
    <w:p w14:paraId="32B3C853" w14:textId="40A994F1" w:rsidR="00C06C99" w:rsidRPr="000815A0" w:rsidRDefault="00C06C99" w:rsidP="00BC7330">
      <w:pPr>
        <w:pStyle w:val="Heading4"/>
      </w:pPr>
      <w:r w:rsidRPr="000815A0">
        <w:t xml:space="preserve">Alternative Dispute Resolution Pathways to Partnership </w:t>
      </w:r>
    </w:p>
    <w:p w14:paraId="157FBFFB" w14:textId="584236DE" w:rsidR="00081476" w:rsidRPr="003F2657" w:rsidRDefault="00EE681E" w:rsidP="003F2657">
      <w:pPr>
        <w:pStyle w:val="NormalWeb"/>
        <w:spacing w:line="300" w:lineRule="atLeast"/>
        <w:rPr>
          <w:rFonts w:ascii="Arial" w:hAnsi="Arial" w:cs="Arial"/>
          <w:color w:val="000000"/>
        </w:rPr>
      </w:pPr>
      <w:r w:rsidRPr="000815A0">
        <w:rPr>
          <w:rFonts w:ascii="Arial" w:hAnsi="Arial" w:cs="Arial"/>
          <w:color w:val="000000"/>
        </w:rPr>
        <w:t xml:space="preserve">The CDE created a new department, the Constituent Support Services Office. The Constituent’s Office, within the Special Education Division of the </w:t>
      </w:r>
      <w:r w:rsidR="000B5B34">
        <w:rPr>
          <w:rFonts w:ascii="Arial" w:hAnsi="Arial" w:cs="Arial"/>
          <w:color w:val="000000"/>
        </w:rPr>
        <w:t>CDE</w:t>
      </w:r>
      <w:r w:rsidRPr="000815A0">
        <w:rPr>
          <w:rFonts w:ascii="Arial" w:hAnsi="Arial" w:cs="Arial"/>
          <w:color w:val="000000"/>
        </w:rPr>
        <w:t>, is dedicated to enhancing communications and support for families</w:t>
      </w:r>
      <w:r w:rsidR="0045435C">
        <w:rPr>
          <w:rFonts w:ascii="Arial" w:hAnsi="Arial" w:cs="Arial"/>
          <w:color w:val="000000"/>
        </w:rPr>
        <w:t>. The</w:t>
      </w:r>
      <w:r w:rsidRPr="000815A0">
        <w:rPr>
          <w:rFonts w:ascii="Arial" w:hAnsi="Arial" w:cs="Arial"/>
          <w:color w:val="000000"/>
        </w:rPr>
        <w:t xml:space="preserve"> </w:t>
      </w:r>
      <w:r w:rsidR="000B5B34">
        <w:rPr>
          <w:rFonts w:ascii="Arial" w:hAnsi="Arial" w:cs="Arial"/>
          <w:color w:val="000000"/>
        </w:rPr>
        <w:t>CDE</w:t>
      </w:r>
      <w:r w:rsidRPr="000815A0">
        <w:rPr>
          <w:rFonts w:ascii="Arial" w:hAnsi="Arial" w:cs="Arial"/>
          <w:color w:val="000000"/>
        </w:rPr>
        <w:t xml:space="preserve"> </w:t>
      </w:r>
      <w:r w:rsidR="0045435C">
        <w:rPr>
          <w:rFonts w:ascii="Arial" w:hAnsi="Arial" w:cs="Arial"/>
          <w:color w:val="000000"/>
        </w:rPr>
        <w:t>is</w:t>
      </w:r>
      <w:r w:rsidRPr="000815A0">
        <w:rPr>
          <w:rFonts w:ascii="Arial" w:hAnsi="Arial" w:cs="Arial"/>
          <w:color w:val="000000"/>
        </w:rPr>
        <w:t xml:space="preserve"> committed to ensuring that every family feels heard, valued, and supported. Constituent Office staff are available to take call</w:t>
      </w:r>
      <w:r w:rsidR="00DD5A68">
        <w:rPr>
          <w:rFonts w:ascii="Arial" w:hAnsi="Arial" w:cs="Arial"/>
          <w:color w:val="000000"/>
        </w:rPr>
        <w:t>s</w:t>
      </w:r>
      <w:r w:rsidRPr="000815A0">
        <w:rPr>
          <w:rFonts w:ascii="Arial" w:hAnsi="Arial" w:cs="Arial"/>
          <w:color w:val="000000"/>
        </w:rPr>
        <w:t xml:space="preserve"> and help with any </w:t>
      </w:r>
      <w:r w:rsidR="008F4496" w:rsidRPr="000815A0">
        <w:rPr>
          <w:rFonts w:ascii="Arial" w:hAnsi="Arial" w:cs="Arial"/>
          <w:color w:val="000000"/>
        </w:rPr>
        <w:t>questions or</w:t>
      </w:r>
      <w:r w:rsidRPr="000815A0">
        <w:rPr>
          <w:rFonts w:ascii="Arial" w:hAnsi="Arial" w:cs="Arial"/>
          <w:color w:val="000000"/>
        </w:rPr>
        <w:t xml:space="preserve"> refer </w:t>
      </w:r>
      <w:r w:rsidR="00F17A2A">
        <w:rPr>
          <w:rFonts w:ascii="Arial" w:hAnsi="Arial" w:cs="Arial"/>
          <w:color w:val="000000"/>
        </w:rPr>
        <w:t>callers</w:t>
      </w:r>
      <w:r w:rsidRPr="000815A0">
        <w:rPr>
          <w:rFonts w:ascii="Arial" w:hAnsi="Arial" w:cs="Arial"/>
          <w:color w:val="000000"/>
        </w:rPr>
        <w:t xml:space="preserve"> to </w:t>
      </w:r>
      <w:r w:rsidR="00F17A2A">
        <w:rPr>
          <w:rFonts w:ascii="Arial" w:hAnsi="Arial" w:cs="Arial"/>
          <w:color w:val="000000"/>
        </w:rPr>
        <w:t xml:space="preserve">the </w:t>
      </w:r>
      <w:r w:rsidRPr="000815A0">
        <w:rPr>
          <w:rFonts w:ascii="Arial" w:hAnsi="Arial" w:cs="Arial"/>
          <w:color w:val="000000"/>
        </w:rPr>
        <w:t>appropriate department level staff</w:t>
      </w:r>
      <w:r w:rsidR="00B058B6">
        <w:rPr>
          <w:rFonts w:ascii="Arial" w:hAnsi="Arial" w:cs="Arial"/>
          <w:color w:val="000000"/>
        </w:rPr>
        <w:t>.</w:t>
      </w:r>
      <w:r w:rsidR="00B058B6" w:rsidRPr="000815A0">
        <w:rPr>
          <w:rFonts w:ascii="Arial" w:hAnsi="Arial" w:cs="Arial"/>
          <w:color w:val="000000"/>
        </w:rPr>
        <w:t xml:space="preserve"> </w:t>
      </w:r>
      <w:r w:rsidRPr="000815A0">
        <w:rPr>
          <w:rFonts w:ascii="Arial" w:hAnsi="Arial" w:cs="Arial"/>
          <w:color w:val="000000"/>
        </w:rPr>
        <w:t>P2P provides direct technical assistance to this office, supporting the CDE staff in training</w:t>
      </w:r>
      <w:r w:rsidR="003F2657">
        <w:rPr>
          <w:rFonts w:ascii="Arial" w:hAnsi="Arial" w:cs="Arial"/>
          <w:color w:val="000000"/>
        </w:rPr>
        <w:t xml:space="preserve">. </w:t>
      </w:r>
      <w:r w:rsidR="00081476" w:rsidRPr="003F2657">
        <w:rPr>
          <w:rFonts w:ascii="Arial" w:hAnsi="Arial" w:cs="Arial"/>
        </w:rPr>
        <w:t xml:space="preserve">P2P also offers direct support to parents, families, advocates, and LEAs who choose to participate in an </w:t>
      </w:r>
      <w:r w:rsidR="003F2657" w:rsidRPr="003F2657">
        <w:rPr>
          <w:rFonts w:ascii="Arial" w:hAnsi="Arial" w:cs="Arial"/>
        </w:rPr>
        <w:t>ADR</w:t>
      </w:r>
      <w:r w:rsidR="00081476" w:rsidRPr="003F2657">
        <w:rPr>
          <w:rFonts w:ascii="Arial" w:hAnsi="Arial" w:cs="Arial"/>
        </w:rPr>
        <w:t xml:space="preserve"> process.</w:t>
      </w:r>
    </w:p>
    <w:p w14:paraId="135356DD" w14:textId="60F4B408" w:rsidR="00A61501" w:rsidRPr="000815A0" w:rsidRDefault="003625FE" w:rsidP="00AA4B26">
      <w:pPr>
        <w:pStyle w:val="Heading3"/>
        <w:rPr>
          <w:bCs/>
        </w:rPr>
      </w:pPr>
      <w:bookmarkStart w:id="189" w:name="_Toc212718091"/>
      <w:r w:rsidRPr="000815A0">
        <w:t xml:space="preserve">A </w:t>
      </w:r>
      <w:r w:rsidR="001A0DA2" w:rsidRPr="000815A0">
        <w:t>S</w:t>
      </w:r>
      <w:r w:rsidRPr="000815A0">
        <w:t xml:space="preserve">ummary of </w:t>
      </w:r>
      <w:r w:rsidR="001A0DA2" w:rsidRPr="000815A0">
        <w:t>E</w:t>
      </w:r>
      <w:r w:rsidR="00A61501" w:rsidRPr="000815A0">
        <w:t xml:space="preserve">ach </w:t>
      </w:r>
      <w:r w:rsidR="001A0DA2" w:rsidRPr="000815A0">
        <w:t>I</w:t>
      </w:r>
      <w:r w:rsidR="00A61501" w:rsidRPr="000815A0">
        <w:t xml:space="preserve">nfrastructure </w:t>
      </w:r>
      <w:r w:rsidR="001A0DA2" w:rsidRPr="000815A0">
        <w:t>I</w:t>
      </w:r>
      <w:r w:rsidR="00A61501" w:rsidRPr="000815A0">
        <w:t xml:space="preserve">mprovement </w:t>
      </w:r>
      <w:r w:rsidR="001A0DA2" w:rsidRPr="000815A0">
        <w:t>S</w:t>
      </w:r>
      <w:r w:rsidR="00A61501" w:rsidRPr="000815A0">
        <w:t>trateg</w:t>
      </w:r>
      <w:r w:rsidR="001A0DA2" w:rsidRPr="000815A0">
        <w:t>y</w:t>
      </w:r>
      <w:r w:rsidR="00783601" w:rsidRPr="000815A0">
        <w:t xml:space="preserve"> </w:t>
      </w:r>
      <w:r w:rsidR="00A61501" w:rsidRPr="000815A0">
        <w:t xml:space="preserve">and the </w:t>
      </w:r>
      <w:r w:rsidR="001A0DA2" w:rsidRPr="000815A0">
        <w:t>A</w:t>
      </w:r>
      <w:r w:rsidR="00A61501" w:rsidRPr="000815A0">
        <w:t xml:space="preserve">nticipated </w:t>
      </w:r>
      <w:r w:rsidR="001A0DA2" w:rsidRPr="000815A0">
        <w:t>O</w:t>
      </w:r>
      <w:r w:rsidR="00A61501" w:rsidRPr="000815A0">
        <w:t>utcomes</w:t>
      </w:r>
      <w:bookmarkEnd w:id="189"/>
      <w:r w:rsidR="00A61501" w:rsidRPr="000815A0">
        <w:t xml:space="preserve"> </w:t>
      </w:r>
      <w:bookmarkEnd w:id="188"/>
    </w:p>
    <w:p w14:paraId="5F7F6FAB" w14:textId="737F5D47" w:rsidR="00034AB5" w:rsidRPr="000815A0" w:rsidRDefault="00034AB5" w:rsidP="007A43E3">
      <w:pPr>
        <w:pStyle w:val="Heading4"/>
        <w:rPr>
          <w:rFonts w:cs="Arial"/>
          <w:color w:val="000000"/>
        </w:rPr>
      </w:pPr>
      <w:bookmarkStart w:id="190" w:name="_Hlk79661708"/>
      <w:proofErr w:type="gramStart"/>
      <w:r w:rsidRPr="00BD200D">
        <w:t>T</w:t>
      </w:r>
      <w:r w:rsidRPr="00BD200D">
        <w:rPr>
          <w:color w:val="000000"/>
        </w:rPr>
        <w:t>he</w:t>
      </w:r>
      <w:r w:rsidRPr="00BD200D">
        <w:t xml:space="preserve"> System</w:t>
      </w:r>
      <w:proofErr w:type="gramEnd"/>
      <w:r w:rsidRPr="00BD200D">
        <w:t xml:space="preserve"> Improvement Leads</w:t>
      </w:r>
    </w:p>
    <w:p w14:paraId="2A401FEA" w14:textId="782A5AB6" w:rsidR="001F0126" w:rsidRPr="000815A0" w:rsidRDefault="003B5E4A" w:rsidP="007A43E3">
      <w:pPr>
        <w:pStyle w:val="NoSpacing"/>
        <w:rPr>
          <w:rFonts w:cs="Arial"/>
          <w:b/>
          <w:bCs/>
          <w:color w:val="000000"/>
          <w:szCs w:val="24"/>
        </w:rPr>
      </w:pPr>
      <w:r w:rsidRPr="003B5E4A">
        <w:rPr>
          <w:color w:val="000000"/>
          <w:szCs w:val="24"/>
        </w:rPr>
        <w:t xml:space="preserve">In </w:t>
      </w:r>
      <w:r>
        <w:rPr>
          <w:color w:val="000000"/>
          <w:szCs w:val="24"/>
        </w:rPr>
        <w:t>2025</w:t>
      </w:r>
      <w:r w:rsidR="001A24D1" w:rsidRPr="001F4C85">
        <w:rPr>
          <w:rFonts w:cs="Arial"/>
        </w:rPr>
        <w:t>–</w:t>
      </w:r>
      <w:r>
        <w:rPr>
          <w:color w:val="000000"/>
          <w:szCs w:val="24"/>
        </w:rPr>
        <w:t>26</w:t>
      </w:r>
      <w:r w:rsidRPr="003B5E4A">
        <w:rPr>
          <w:color w:val="000000"/>
          <w:szCs w:val="24"/>
        </w:rPr>
        <w:t xml:space="preserve">, the SIL project will continue to offer tiered </w:t>
      </w:r>
      <w:r w:rsidR="00B27320" w:rsidRPr="003B5E4A">
        <w:rPr>
          <w:color w:val="000000"/>
          <w:szCs w:val="24"/>
        </w:rPr>
        <w:t>support</w:t>
      </w:r>
      <w:r w:rsidRPr="003B5E4A">
        <w:rPr>
          <w:color w:val="000000"/>
          <w:szCs w:val="24"/>
        </w:rPr>
        <w:t xml:space="preserve"> to LEAs, SELPAs, COEs, and system of support partners</w:t>
      </w:r>
      <w:r w:rsidRPr="000815A0">
        <w:rPr>
          <w:rFonts w:cs="Arial"/>
          <w:color w:val="000000"/>
          <w:szCs w:val="24"/>
        </w:rPr>
        <w:t xml:space="preserve">. </w:t>
      </w:r>
      <w:r w:rsidR="001F0126" w:rsidRPr="00BD200D">
        <w:rPr>
          <w:color w:val="000000"/>
          <w:szCs w:val="24"/>
        </w:rPr>
        <w:t>The SIL team is committed to walking alongside teams as they tackle their most pressing challenges and will continue to scale support across California in service of improving outcomes for students with disabilities.</w:t>
      </w:r>
    </w:p>
    <w:p w14:paraId="4EF927F7" w14:textId="0BE6E3F1" w:rsidR="000508FA" w:rsidRPr="000815A0" w:rsidRDefault="00836D3B" w:rsidP="007A43E3">
      <w:pPr>
        <w:pStyle w:val="Heading4"/>
      </w:pPr>
      <w:r w:rsidRPr="000815A0">
        <w:t xml:space="preserve">Imperial County SELPA/Project </w:t>
      </w:r>
      <w:proofErr w:type="spellStart"/>
      <w:r w:rsidRPr="000815A0">
        <w:t>MuSE</w:t>
      </w:r>
      <w:proofErr w:type="spellEnd"/>
    </w:p>
    <w:p w14:paraId="70E35E82" w14:textId="5A998FA8" w:rsidR="000508FA" w:rsidRPr="000815A0" w:rsidRDefault="000508FA" w:rsidP="007A43E3">
      <w:pPr>
        <w:pStyle w:val="Default"/>
        <w:spacing w:after="240"/>
      </w:pPr>
      <w:r w:rsidRPr="000815A0">
        <w:rPr>
          <w:color w:val="auto"/>
        </w:rPr>
        <w:t xml:space="preserve">Project </w:t>
      </w:r>
      <w:proofErr w:type="spellStart"/>
      <w:r w:rsidRPr="000815A0">
        <w:rPr>
          <w:color w:val="auto"/>
        </w:rPr>
        <w:t>MuSE</w:t>
      </w:r>
      <w:proofErr w:type="spellEnd"/>
      <w:r w:rsidRPr="000815A0">
        <w:rPr>
          <w:color w:val="auto"/>
        </w:rPr>
        <w:t xml:space="preserve"> will continue advancing all three infrastructure improvement strategies with a focus on scale-up, sustainability, and coherence across </w:t>
      </w:r>
      <w:r w:rsidR="00785DAF">
        <w:rPr>
          <w:color w:val="auto"/>
        </w:rPr>
        <w:t>SSOS.</w:t>
      </w:r>
    </w:p>
    <w:p w14:paraId="34E8D392" w14:textId="5028FA05" w:rsidR="00382431" w:rsidRPr="000815A0" w:rsidRDefault="00D1506D" w:rsidP="007A43E3">
      <w:pPr>
        <w:pStyle w:val="NoSpacing"/>
        <w:spacing w:after="240"/>
      </w:pPr>
      <w:r w:rsidRPr="000815A0">
        <w:rPr>
          <w:rFonts w:cs="Arial"/>
          <w:szCs w:val="24"/>
        </w:rPr>
        <w:t xml:space="preserve">For the LRE strategy, next steps include expanding RELS </w:t>
      </w:r>
      <w:r w:rsidR="00E137FD">
        <w:rPr>
          <w:rFonts w:cs="Arial"/>
          <w:szCs w:val="24"/>
        </w:rPr>
        <w:t>CoPs</w:t>
      </w:r>
      <w:r w:rsidRPr="000815A0">
        <w:rPr>
          <w:rFonts w:cs="Arial"/>
          <w:szCs w:val="24"/>
        </w:rPr>
        <w:t xml:space="preserve"> to additional regions and deepening technical assistance on equitable reclassification practices, Long Term English Learners, Bilingual Programs, Dual Language Programs, and ELD instruction for dually identified students. This will involve working at a deeper level by collaborating directly with RELS and </w:t>
      </w:r>
      <w:r w:rsidR="00D1581C">
        <w:rPr>
          <w:rFonts w:cs="Arial"/>
          <w:szCs w:val="24"/>
        </w:rPr>
        <w:t xml:space="preserve">COEs </w:t>
      </w:r>
      <w:r w:rsidRPr="000815A0">
        <w:rPr>
          <w:rFonts w:cs="Arial"/>
          <w:szCs w:val="24"/>
        </w:rPr>
        <w:t>in San Joaquin, Santa Clara, San Diego, Contra Costa, and Los Angeles to scale up efforts and analyze more granular regional data. Anticipated outcomes include increased consistency in placement decisions, improved integration of Title III and special education services, and greater access for students with disabilities to grade-level general education content.</w:t>
      </w:r>
    </w:p>
    <w:p w14:paraId="5AE9D0BA" w14:textId="2B6833BF" w:rsidR="00C42592" w:rsidRPr="000815A0" w:rsidRDefault="00382431" w:rsidP="007A43E3">
      <w:pPr>
        <w:pStyle w:val="Default"/>
        <w:spacing w:after="240"/>
        <w:rPr>
          <w:color w:val="auto"/>
        </w:rPr>
      </w:pPr>
      <w:r w:rsidRPr="000815A0">
        <w:rPr>
          <w:color w:val="auto"/>
        </w:rPr>
        <w:lastRenderedPageBreak/>
        <w:t xml:space="preserve">For the UDL/IEP strategy, Project </w:t>
      </w:r>
      <w:proofErr w:type="spellStart"/>
      <w:r w:rsidRPr="000815A0">
        <w:rPr>
          <w:color w:val="auto"/>
        </w:rPr>
        <w:t>MuSE</w:t>
      </w:r>
      <w:proofErr w:type="spellEnd"/>
      <w:r w:rsidRPr="000815A0">
        <w:rPr>
          <w:color w:val="auto"/>
        </w:rPr>
        <w:t xml:space="preserve"> will integrate UDL guidelines and principles into LRE activities and pre-referral processes to strengthen Tier 1, first-best instruction. Professional learning will emphasize accessibility tools and strategies that align with UDL to ensure equitable access to core instruction for all students. Specific areas of focus include the IEP’s special factors page, language supports that account for learner variability and students’ language proficiency levels, and the development of linguistically appropriate IEP goals. Anticipated outcomes include increased educator capacity to design inclusive, linguistically responsive IEPs, more consistent integration of language and disability </w:t>
      </w:r>
      <w:r w:rsidR="00062569" w:rsidRPr="000815A0">
        <w:rPr>
          <w:color w:val="auto"/>
        </w:rPr>
        <w:t>support</w:t>
      </w:r>
      <w:r w:rsidRPr="000815A0">
        <w:rPr>
          <w:color w:val="auto"/>
        </w:rPr>
        <w:t xml:space="preserve"> within general education, and stronger alignment between instructional practices and equity-focused system change.</w:t>
      </w:r>
    </w:p>
    <w:p w14:paraId="65E28ABA" w14:textId="2EF2B57F" w:rsidR="00452560" w:rsidRPr="000815A0" w:rsidRDefault="00382431" w:rsidP="007A43E3">
      <w:pPr>
        <w:pStyle w:val="Default"/>
        <w:spacing w:after="240"/>
        <w:rPr>
          <w:color w:val="auto"/>
        </w:rPr>
      </w:pPr>
      <w:r w:rsidRPr="000815A0">
        <w:rPr>
          <w:color w:val="auto"/>
        </w:rPr>
        <w:t xml:space="preserve">Finally, for the Canvas course strategy, Project </w:t>
      </w:r>
      <w:proofErr w:type="spellStart"/>
      <w:r w:rsidRPr="000815A0">
        <w:rPr>
          <w:color w:val="auto"/>
        </w:rPr>
        <w:t>MuSE</w:t>
      </w:r>
      <w:proofErr w:type="spellEnd"/>
      <w:r w:rsidRPr="000815A0">
        <w:rPr>
          <w:color w:val="auto"/>
        </w:rPr>
        <w:t xml:space="preserve"> will enhance existing modules with updated content and expand the portfolio to include new topics identified through </w:t>
      </w:r>
      <w:r w:rsidR="006E71EF">
        <w:rPr>
          <w:color w:val="auto"/>
        </w:rPr>
        <w:t xml:space="preserve">interest </w:t>
      </w:r>
      <w:r w:rsidRPr="000815A0">
        <w:rPr>
          <w:color w:val="auto"/>
        </w:rPr>
        <w:t>holder feedback, such as advanced use of accessibility tools and culturally responsive instructional practices. Using Catalog, outreach efforts will increase participation by educators across diverse roles and regions. Anticipated outcomes include expanded statewide reach, stronger data on professional learning engagement through embedded analytics, and sustained professional development systems that ensure consistency of practice across LEAs.</w:t>
      </w:r>
    </w:p>
    <w:p w14:paraId="172DAB1D" w14:textId="30299245" w:rsidR="008F634B" w:rsidRPr="000815A0" w:rsidRDefault="00382431" w:rsidP="007A43E3">
      <w:pPr>
        <w:pStyle w:val="NoSpacing"/>
        <w:spacing w:after="240"/>
        <w:rPr>
          <w:rFonts w:cs="Arial"/>
          <w:b/>
          <w:bCs/>
          <w:color w:val="000000"/>
          <w:szCs w:val="24"/>
        </w:rPr>
      </w:pPr>
      <w:r w:rsidRPr="000815A0">
        <w:rPr>
          <w:rFonts w:cs="Arial"/>
          <w:szCs w:val="24"/>
        </w:rPr>
        <w:t>Collectively, these next steps are expected to strengthen system alignment, increase educator capacity, and expand equitable access to general education for students with disabilities, thereby contributing to improved performance in English Language Arts and Mathematics.</w:t>
      </w:r>
    </w:p>
    <w:p w14:paraId="2B6842CB" w14:textId="77777777" w:rsidR="00E55ADC" w:rsidRPr="00BD200D" w:rsidRDefault="00E55ADC" w:rsidP="00AF3695">
      <w:pPr>
        <w:pStyle w:val="Heading4"/>
      </w:pPr>
      <w:r w:rsidRPr="00BD200D">
        <w:t xml:space="preserve">The State Performance Plan Technical Assistance Project </w:t>
      </w:r>
    </w:p>
    <w:p w14:paraId="23BB000A" w14:textId="788BD074" w:rsidR="0025578B" w:rsidRPr="000815A0" w:rsidRDefault="0025578B" w:rsidP="0025578B">
      <w:pPr>
        <w:shd w:val="clear" w:color="auto" w:fill="FFFFFF"/>
        <w:spacing w:before="100" w:beforeAutospacing="1" w:after="100" w:afterAutospacing="1"/>
        <w:textAlignment w:val="baseline"/>
        <w:rPr>
          <w:rFonts w:cs="Arial"/>
        </w:rPr>
      </w:pPr>
      <w:r w:rsidRPr="000815A0">
        <w:rPr>
          <w:rFonts w:cs="Arial"/>
        </w:rPr>
        <w:t xml:space="preserve">SPP-TAP continues to work collaboratively with the CDE and other CDE TA providers to improve the CIM process and improve the outcomes for students based on the implementation of meaningful systemic improvements that address disproportionality in LEAs with compliance and performance issues. For the </w:t>
      </w:r>
      <w:r w:rsidR="006E71EF">
        <w:rPr>
          <w:rFonts w:cs="Arial"/>
        </w:rPr>
        <w:t>20</w:t>
      </w:r>
      <w:r w:rsidRPr="000815A0">
        <w:rPr>
          <w:rFonts w:cs="Arial"/>
        </w:rPr>
        <w:t>25</w:t>
      </w:r>
      <w:r w:rsidR="006E71EF" w:rsidRPr="001F4C85">
        <w:rPr>
          <w:rFonts w:cs="Arial"/>
        </w:rPr>
        <w:t>–</w:t>
      </w:r>
      <w:r w:rsidRPr="000815A0">
        <w:rPr>
          <w:rFonts w:cs="Arial"/>
        </w:rPr>
        <w:t xml:space="preserve">26 year, </w:t>
      </w:r>
      <w:r w:rsidR="00924353">
        <w:rPr>
          <w:rFonts w:cs="Arial"/>
        </w:rPr>
        <w:t xml:space="preserve">the </w:t>
      </w:r>
      <w:r w:rsidRPr="000815A0">
        <w:rPr>
          <w:rFonts w:cs="Arial"/>
        </w:rPr>
        <w:t xml:space="preserve">CDE has asked SPP-TAP to </w:t>
      </w:r>
      <w:r w:rsidR="00D35D4D" w:rsidRPr="000815A0">
        <w:rPr>
          <w:rFonts w:cs="Arial"/>
        </w:rPr>
        <w:t>close out</w:t>
      </w:r>
      <w:r w:rsidRPr="000815A0">
        <w:rPr>
          <w:rFonts w:cs="Arial"/>
        </w:rPr>
        <w:t xml:space="preserve"> the current model of TA </w:t>
      </w:r>
      <w:r w:rsidR="00D35D4D" w:rsidRPr="000815A0">
        <w:rPr>
          <w:rFonts w:cs="Arial"/>
        </w:rPr>
        <w:t>support</w:t>
      </w:r>
      <w:r w:rsidRPr="000815A0">
        <w:rPr>
          <w:rFonts w:cs="Arial"/>
        </w:rPr>
        <w:t xml:space="preserve"> by </w:t>
      </w:r>
      <w:r w:rsidR="003A30B2">
        <w:rPr>
          <w:rFonts w:cs="Arial"/>
        </w:rPr>
        <w:t>December 30, 2025</w:t>
      </w:r>
      <w:r w:rsidR="00B058B6" w:rsidRPr="000815A0">
        <w:rPr>
          <w:rFonts w:cs="Arial"/>
        </w:rPr>
        <w:t xml:space="preserve">. </w:t>
      </w:r>
      <w:r w:rsidRPr="000815A0">
        <w:rPr>
          <w:rFonts w:cs="Arial"/>
        </w:rPr>
        <w:t xml:space="preserve">Starting January 1, </w:t>
      </w:r>
      <w:r w:rsidR="00D35D4D" w:rsidRPr="000815A0">
        <w:rPr>
          <w:rFonts w:cs="Arial"/>
        </w:rPr>
        <w:t>2026,</w:t>
      </w:r>
      <w:r w:rsidRPr="000815A0">
        <w:rPr>
          <w:rFonts w:cs="Arial"/>
        </w:rPr>
        <w:t xml:space="preserve"> SPP-TAP will be known as The ASPEN Partnership</w:t>
      </w:r>
      <w:r w:rsidR="00B058B6" w:rsidRPr="000815A0">
        <w:rPr>
          <w:rFonts w:cs="Arial"/>
        </w:rPr>
        <w:t xml:space="preserve">. </w:t>
      </w:r>
      <w:r w:rsidRPr="000815A0">
        <w:rPr>
          <w:rFonts w:cs="Arial"/>
        </w:rPr>
        <w:t xml:space="preserve">Between July 1, </w:t>
      </w:r>
      <w:r w:rsidR="00871D81" w:rsidRPr="000815A0">
        <w:rPr>
          <w:rFonts w:cs="Arial"/>
        </w:rPr>
        <w:t>2025,</w:t>
      </w:r>
      <w:r w:rsidRPr="000815A0">
        <w:rPr>
          <w:rFonts w:cs="Arial"/>
        </w:rPr>
        <w:t xml:space="preserve"> and December 31, </w:t>
      </w:r>
      <w:r w:rsidR="00D35D4D" w:rsidRPr="000815A0">
        <w:rPr>
          <w:rFonts w:cs="Arial"/>
        </w:rPr>
        <w:t>2025,</w:t>
      </w:r>
      <w:r w:rsidRPr="000815A0">
        <w:rPr>
          <w:rFonts w:cs="Arial"/>
        </w:rPr>
        <w:t xml:space="preserve"> SPP-TAP will be developing a coaching model of technical assistance, hiring those coaches as N</w:t>
      </w:r>
      <w:r w:rsidR="00F3659B">
        <w:rPr>
          <w:rFonts w:cs="Arial"/>
        </w:rPr>
        <w:t xml:space="preserve">apa </w:t>
      </w:r>
      <w:r w:rsidRPr="000815A0">
        <w:rPr>
          <w:rFonts w:cs="Arial"/>
        </w:rPr>
        <w:t>COE employees, and providing orientation and training to these Implementation Coaches.</w:t>
      </w:r>
    </w:p>
    <w:p w14:paraId="57FD4F0E" w14:textId="0757390D" w:rsidR="0025578B" w:rsidRPr="000815A0" w:rsidRDefault="0025578B" w:rsidP="0025578B">
      <w:pPr>
        <w:shd w:val="clear" w:color="auto" w:fill="FFFFFF"/>
        <w:spacing w:before="100" w:beforeAutospacing="1" w:after="100" w:afterAutospacing="1"/>
        <w:textAlignment w:val="baseline"/>
        <w:rPr>
          <w:rFonts w:cs="Arial"/>
        </w:rPr>
      </w:pPr>
      <w:r w:rsidRPr="000815A0">
        <w:rPr>
          <w:rFonts w:cs="Arial"/>
        </w:rPr>
        <w:t>In January, the Implementation Coaches will be assigned to Intensive Level 3 significantly disproportionate LEAs to provide 1:1 technical assistance</w:t>
      </w:r>
      <w:r w:rsidR="00B058B6" w:rsidRPr="000815A0">
        <w:rPr>
          <w:rFonts w:cs="Arial"/>
        </w:rPr>
        <w:t xml:space="preserve">. </w:t>
      </w:r>
      <w:r w:rsidRPr="000815A0">
        <w:rPr>
          <w:rFonts w:cs="Arial"/>
        </w:rPr>
        <w:t>The Coaches will focus their support on the LEAs’ implementation of their CIM plan.</w:t>
      </w:r>
    </w:p>
    <w:p w14:paraId="16D1763E" w14:textId="77777777" w:rsidR="002336B4" w:rsidRPr="000815A0" w:rsidRDefault="002336B4" w:rsidP="00AF3695">
      <w:pPr>
        <w:pStyle w:val="Heading4"/>
      </w:pPr>
      <w:r w:rsidRPr="000815A0">
        <w:t xml:space="preserve">Alternative Dispute Resolution Pathways to Partnership </w:t>
      </w:r>
    </w:p>
    <w:p w14:paraId="2241BD89" w14:textId="3395A410" w:rsidR="0034430D" w:rsidRPr="000815A0" w:rsidRDefault="0034430D" w:rsidP="0034430D">
      <w:pPr>
        <w:pStyle w:val="NormalWeb"/>
        <w:spacing w:before="240" w:beforeAutospacing="0" w:after="240" w:afterAutospacing="0"/>
        <w:jc w:val="both"/>
        <w:rPr>
          <w:rFonts w:ascii="Arial" w:hAnsi="Arial" w:cs="Arial"/>
        </w:rPr>
      </w:pPr>
      <w:r w:rsidRPr="000815A0">
        <w:rPr>
          <w:rFonts w:ascii="Arial" w:hAnsi="Arial" w:cs="Arial"/>
          <w:color w:val="000000"/>
        </w:rPr>
        <w:t xml:space="preserve">During the next reporting period, the state will further build out the continuum of ADR </w:t>
      </w:r>
      <w:r w:rsidR="00871D81" w:rsidRPr="000815A0">
        <w:rPr>
          <w:rFonts w:ascii="Arial" w:hAnsi="Arial" w:cs="Arial"/>
          <w:color w:val="000000"/>
        </w:rPr>
        <w:t>support</w:t>
      </w:r>
      <w:r w:rsidRPr="000815A0">
        <w:rPr>
          <w:rFonts w:ascii="Arial" w:hAnsi="Arial" w:cs="Arial"/>
          <w:color w:val="000000"/>
        </w:rPr>
        <w:t xml:space="preserve"> within the technical assistance model in partnership with CDE, ensuring </w:t>
      </w:r>
      <w:r w:rsidRPr="000815A0">
        <w:rPr>
          <w:rFonts w:ascii="Arial" w:hAnsi="Arial" w:cs="Arial"/>
          <w:color w:val="000000"/>
        </w:rPr>
        <w:lastRenderedPageBreak/>
        <w:t xml:space="preserve">consistent, high-quality dispute prevention and resolution services. Roles and responsibilities for </w:t>
      </w:r>
      <w:r w:rsidR="006F437B">
        <w:rPr>
          <w:rFonts w:ascii="Arial" w:hAnsi="Arial" w:cs="Arial"/>
          <w:color w:val="000000"/>
        </w:rPr>
        <w:t>RILs</w:t>
      </w:r>
      <w:r w:rsidRPr="000815A0">
        <w:rPr>
          <w:rFonts w:ascii="Arial" w:hAnsi="Arial" w:cs="Arial"/>
          <w:color w:val="000000"/>
        </w:rPr>
        <w:t xml:space="preserve"> and regional hubs will be clarified, with ongoing capacity building to strengthen regional leadership. Relationships with </w:t>
      </w:r>
      <w:r w:rsidR="00871D81" w:rsidRPr="000815A0">
        <w:rPr>
          <w:rFonts w:ascii="Arial" w:hAnsi="Arial" w:cs="Arial"/>
          <w:color w:val="000000"/>
        </w:rPr>
        <w:t>parents</w:t>
      </w:r>
      <w:r w:rsidRPr="000815A0">
        <w:rPr>
          <w:rFonts w:ascii="Arial" w:hAnsi="Arial" w:cs="Arial"/>
          <w:color w:val="000000"/>
        </w:rPr>
        <w:t xml:space="preserve">, family, and advocacy groups will be deepened through continued collaboration with </w:t>
      </w:r>
      <w:r w:rsidR="002D0EED">
        <w:rPr>
          <w:rFonts w:ascii="Arial" w:hAnsi="Arial" w:cs="Arial"/>
          <w:color w:val="000000"/>
        </w:rPr>
        <w:t>FECs</w:t>
      </w:r>
      <w:r w:rsidR="002B31E9">
        <w:rPr>
          <w:rFonts w:ascii="Arial" w:hAnsi="Arial" w:cs="Arial"/>
          <w:color w:val="000000"/>
        </w:rPr>
        <w:t xml:space="preserve"> </w:t>
      </w:r>
      <w:r w:rsidRPr="000815A0">
        <w:rPr>
          <w:rFonts w:ascii="Arial" w:hAnsi="Arial" w:cs="Arial"/>
          <w:color w:val="000000"/>
        </w:rPr>
        <w:t>via Seeds of Partnership and integration of Robin Ryan</w:t>
      </w:r>
      <w:r w:rsidR="0067272C">
        <w:rPr>
          <w:rFonts w:ascii="Arial" w:hAnsi="Arial" w:cs="Arial"/>
          <w:color w:val="000000"/>
        </w:rPr>
        <w:t>, Director,</w:t>
      </w:r>
      <w:r w:rsidRPr="000815A0">
        <w:rPr>
          <w:rFonts w:ascii="Arial" w:hAnsi="Arial" w:cs="Arial"/>
          <w:color w:val="000000"/>
        </w:rPr>
        <w:t xml:space="preserve"> into the leadership team, ensuring family perspectives remain central to all activities.</w:t>
      </w:r>
    </w:p>
    <w:p w14:paraId="4F10E332" w14:textId="2B724FA0" w:rsidR="0034430D" w:rsidRPr="000815A0" w:rsidRDefault="0034430D" w:rsidP="0034430D">
      <w:pPr>
        <w:pStyle w:val="NormalWeb"/>
        <w:spacing w:before="240" w:beforeAutospacing="0" w:after="240" w:afterAutospacing="0"/>
        <w:jc w:val="both"/>
        <w:rPr>
          <w:rFonts w:ascii="Arial" w:hAnsi="Arial" w:cs="Arial"/>
        </w:rPr>
      </w:pPr>
      <w:r w:rsidRPr="000815A0">
        <w:rPr>
          <w:rFonts w:ascii="Arial" w:hAnsi="Arial" w:cs="Arial"/>
          <w:color w:val="000000"/>
        </w:rPr>
        <w:t xml:space="preserve">The partnership with CADRE will expand through joint initiatives, including presenting at their annual conference, to align California’s ADR work with national standards. The </w:t>
      </w:r>
      <w:r w:rsidR="003F1444">
        <w:rPr>
          <w:rFonts w:ascii="Arial" w:hAnsi="Arial" w:cs="Arial"/>
          <w:color w:val="000000"/>
        </w:rPr>
        <w:t>CoP</w:t>
      </w:r>
      <w:r w:rsidRPr="000815A0">
        <w:rPr>
          <w:rFonts w:ascii="Arial" w:hAnsi="Arial" w:cs="Arial"/>
          <w:color w:val="000000"/>
        </w:rPr>
        <w:t xml:space="preserve"> model will be sustained and enhanced to support continuous learning. A statewide database will be developed to track dispute prevention and resolution activities, including pre-complaints and due process cases, with continued work alongside Ventura </w:t>
      </w:r>
      <w:r w:rsidR="008C0F62">
        <w:rPr>
          <w:rFonts w:ascii="Arial" w:hAnsi="Arial" w:cs="Arial"/>
          <w:color w:val="000000"/>
        </w:rPr>
        <w:t>COE</w:t>
      </w:r>
      <w:r w:rsidRPr="000815A0">
        <w:rPr>
          <w:rFonts w:ascii="Arial" w:hAnsi="Arial" w:cs="Arial"/>
          <w:color w:val="000000"/>
        </w:rPr>
        <w:t xml:space="preserve"> to identify and implement </w:t>
      </w:r>
      <w:proofErr w:type="gramStart"/>
      <w:r w:rsidRPr="000815A0">
        <w:rPr>
          <w:rFonts w:ascii="Arial" w:hAnsi="Arial" w:cs="Arial"/>
          <w:color w:val="000000"/>
        </w:rPr>
        <w:t>an appropriate</w:t>
      </w:r>
      <w:proofErr w:type="gramEnd"/>
      <w:r w:rsidRPr="000815A0">
        <w:rPr>
          <w:rFonts w:ascii="Arial" w:hAnsi="Arial" w:cs="Arial"/>
          <w:color w:val="000000"/>
        </w:rPr>
        <w:t xml:space="preserve"> software solution. An external grant and data evaluator will be recruited to ensure data integrity and support comprehensive analysis.</w:t>
      </w:r>
    </w:p>
    <w:p w14:paraId="55E8D85E" w14:textId="77777777" w:rsidR="0034430D" w:rsidRPr="000815A0" w:rsidRDefault="0034430D" w:rsidP="0034430D">
      <w:pPr>
        <w:pStyle w:val="NormalWeb"/>
        <w:spacing w:before="240" w:beforeAutospacing="0" w:after="240" w:afterAutospacing="0"/>
        <w:jc w:val="both"/>
        <w:rPr>
          <w:rFonts w:ascii="Arial" w:hAnsi="Arial" w:cs="Arial"/>
        </w:rPr>
      </w:pPr>
      <w:r w:rsidRPr="000815A0">
        <w:rPr>
          <w:rFonts w:ascii="Arial" w:hAnsi="Arial" w:cs="Arial"/>
          <w:color w:val="000000"/>
        </w:rPr>
        <w:t>The annual ADR Conference will be strengthened through expanded leadership in planning and co-hosting with the SELPA Association. Video resources showcasing effective ADR models in special education will be developed and disseminated to promote replication of best practices. Finally, an Advanced Mediation Training Series will be launched for professionals, with anticipated outcomes including increased mediator capacity, improved resolution rates, stronger family engagement, and greater statewide consistency in ADR implementation.</w:t>
      </w:r>
    </w:p>
    <w:p w14:paraId="4613DA40" w14:textId="7B7E1003" w:rsidR="0077463C" w:rsidRPr="00AA4B26" w:rsidRDefault="00783601" w:rsidP="00B9126A">
      <w:pPr>
        <w:pStyle w:val="Heading3"/>
        <w:rPr>
          <w:color w:val="000000"/>
        </w:rPr>
      </w:pPr>
      <w:bookmarkStart w:id="191" w:name="_Toc212718092"/>
      <w:r w:rsidRPr="00AA4B26">
        <w:t>The</w:t>
      </w:r>
      <w:r w:rsidR="0077463C" w:rsidRPr="00AA4B26">
        <w:rPr>
          <w:color w:val="000000"/>
        </w:rPr>
        <w:t xml:space="preserve"> </w:t>
      </w:r>
      <w:r w:rsidR="00AD58BE" w:rsidRPr="00AA4B26">
        <w:t>E</w:t>
      </w:r>
      <w:r w:rsidR="0077463C" w:rsidRPr="00AA4B26">
        <w:t xml:space="preserve">vidence-based </w:t>
      </w:r>
      <w:r w:rsidR="00AD58BE" w:rsidRPr="00AA4B26">
        <w:t>P</w:t>
      </w:r>
      <w:r w:rsidR="0077463C" w:rsidRPr="00AA4B26">
        <w:t xml:space="preserve">ractices </w:t>
      </w:r>
      <w:r w:rsidR="00AD58BE" w:rsidRPr="00AA4B26">
        <w:t>I</w:t>
      </w:r>
      <w:r w:rsidR="0077463C" w:rsidRPr="00AA4B26">
        <w:t xml:space="preserve">mplemented in the </w:t>
      </w:r>
      <w:r w:rsidR="00AD58BE" w:rsidRPr="00AA4B26">
        <w:t>R</w:t>
      </w:r>
      <w:r w:rsidR="0077463C" w:rsidRPr="00AA4B26">
        <w:t xml:space="preserve">eporting </w:t>
      </w:r>
      <w:r w:rsidR="00AD58BE" w:rsidRPr="00AA4B26">
        <w:t>P</w:t>
      </w:r>
      <w:r w:rsidR="0077463C" w:rsidRPr="00AA4B26">
        <w:t>eriod</w:t>
      </w:r>
      <w:bookmarkEnd w:id="190"/>
      <w:bookmarkEnd w:id="191"/>
    </w:p>
    <w:p w14:paraId="0F8708F0" w14:textId="3D862015" w:rsidR="001A0DA2" w:rsidRPr="000815A0" w:rsidRDefault="00AD58BE" w:rsidP="00DF008C">
      <w:pPr>
        <w:spacing w:before="240" w:after="240"/>
        <w:rPr>
          <w:rFonts w:cs="Arial"/>
          <w:bCs/>
        </w:rPr>
      </w:pPr>
      <w:r w:rsidRPr="000815A0">
        <w:rPr>
          <w:rFonts w:cs="Arial"/>
          <w:bCs/>
        </w:rPr>
        <w:t xml:space="preserve">In this section, there is a summary of </w:t>
      </w:r>
      <w:r w:rsidR="00796098" w:rsidRPr="000815A0">
        <w:rPr>
          <w:rFonts w:cs="Arial"/>
          <w:bCs/>
        </w:rPr>
        <w:t xml:space="preserve">EBPs </w:t>
      </w:r>
      <w:r w:rsidRPr="000815A0">
        <w:rPr>
          <w:rFonts w:cs="Arial"/>
          <w:bCs/>
        </w:rPr>
        <w:t xml:space="preserve">implemented by </w:t>
      </w:r>
      <w:r w:rsidR="009E3B5B" w:rsidRPr="000815A0">
        <w:rPr>
          <w:rFonts w:cs="Arial"/>
          <w:bCs/>
        </w:rPr>
        <w:t>three</w:t>
      </w:r>
      <w:r w:rsidRPr="000815A0">
        <w:rPr>
          <w:rFonts w:cs="Arial"/>
          <w:bCs/>
        </w:rPr>
        <w:t xml:space="preserve"> California funded projects. They are as follows:</w:t>
      </w:r>
    </w:p>
    <w:p w14:paraId="5E992FDE" w14:textId="4A6EA95E" w:rsidR="009A3EE7" w:rsidRPr="00AA4B26" w:rsidRDefault="009A3EE7" w:rsidP="007A43E3">
      <w:pPr>
        <w:pStyle w:val="ListParagraph"/>
        <w:numPr>
          <w:ilvl w:val="0"/>
          <w:numId w:val="23"/>
        </w:numPr>
        <w:spacing w:before="240" w:after="240"/>
        <w:contextualSpacing w:val="0"/>
        <w:rPr>
          <w:rFonts w:cs="Arial"/>
          <w:bCs/>
        </w:rPr>
      </w:pPr>
      <w:r w:rsidRPr="00AA4B26">
        <w:rPr>
          <w:rFonts w:cs="Arial"/>
          <w:bCs/>
        </w:rPr>
        <w:t xml:space="preserve">The </w:t>
      </w:r>
      <w:r w:rsidR="00FD3C00" w:rsidRPr="00AA4B26">
        <w:rPr>
          <w:rFonts w:cs="Arial"/>
          <w:bCs/>
        </w:rPr>
        <w:t xml:space="preserve">California </w:t>
      </w:r>
      <w:r w:rsidRPr="00AA4B26">
        <w:rPr>
          <w:rFonts w:cs="Arial"/>
          <w:bCs/>
        </w:rPr>
        <w:t>Multi-Tiered System of Support (</w:t>
      </w:r>
      <w:r w:rsidR="00FD3C00" w:rsidRPr="00AA4B26">
        <w:rPr>
          <w:rFonts w:cs="Arial"/>
          <w:bCs/>
        </w:rPr>
        <w:t xml:space="preserve">CA </w:t>
      </w:r>
      <w:r w:rsidRPr="00AA4B26">
        <w:rPr>
          <w:rFonts w:cs="Arial"/>
          <w:bCs/>
        </w:rPr>
        <w:t>MTSS) Pathway Certification for Schools</w:t>
      </w:r>
    </w:p>
    <w:p w14:paraId="6F6178B3" w14:textId="0192F684" w:rsidR="00215079" w:rsidRPr="00AA4B26" w:rsidRDefault="00215079" w:rsidP="007A43E3">
      <w:pPr>
        <w:pStyle w:val="ListParagraph"/>
        <w:numPr>
          <w:ilvl w:val="0"/>
          <w:numId w:val="23"/>
        </w:numPr>
        <w:spacing w:before="240" w:after="240"/>
        <w:contextualSpacing w:val="0"/>
        <w:rPr>
          <w:rFonts w:cs="Arial"/>
          <w:bCs/>
        </w:rPr>
      </w:pPr>
      <w:r w:rsidRPr="00AA4B26">
        <w:rPr>
          <w:rFonts w:cs="Arial"/>
          <w:bCs/>
        </w:rPr>
        <w:t xml:space="preserve">The </w:t>
      </w:r>
      <w:r w:rsidR="0041390A" w:rsidRPr="00AA4B26">
        <w:rPr>
          <w:rFonts w:cs="Arial"/>
          <w:bCs/>
        </w:rPr>
        <w:t xml:space="preserve">Supporting </w:t>
      </w:r>
      <w:r w:rsidR="006522B4" w:rsidRPr="00AA4B26">
        <w:rPr>
          <w:rFonts w:cs="Arial"/>
          <w:bCs/>
        </w:rPr>
        <w:t>In</w:t>
      </w:r>
      <w:r w:rsidR="006522B4">
        <w:rPr>
          <w:rFonts w:cs="Arial"/>
          <w:bCs/>
        </w:rPr>
        <w:t>novat</w:t>
      </w:r>
      <w:r w:rsidR="006522B4" w:rsidRPr="00AA4B26">
        <w:rPr>
          <w:rFonts w:cs="Arial"/>
          <w:bCs/>
        </w:rPr>
        <w:t xml:space="preserve">ive </w:t>
      </w:r>
      <w:r w:rsidR="0041390A" w:rsidRPr="00AA4B26">
        <w:rPr>
          <w:rFonts w:cs="Arial"/>
          <w:bCs/>
        </w:rPr>
        <w:t>Practices (</w:t>
      </w:r>
      <w:r w:rsidRPr="00AA4B26">
        <w:rPr>
          <w:rFonts w:cs="Arial"/>
          <w:bCs/>
        </w:rPr>
        <w:t>SIP</w:t>
      </w:r>
      <w:r w:rsidR="0041390A" w:rsidRPr="00AA4B26">
        <w:rPr>
          <w:rFonts w:cs="Arial"/>
          <w:bCs/>
        </w:rPr>
        <w:t>)</w:t>
      </w:r>
      <w:r w:rsidRPr="00AA4B26">
        <w:rPr>
          <w:rFonts w:cs="Arial"/>
          <w:bCs/>
        </w:rPr>
        <w:t xml:space="preserve"> Project</w:t>
      </w:r>
    </w:p>
    <w:p w14:paraId="143CC0DE" w14:textId="546E3164" w:rsidR="005E02DF" w:rsidRPr="00AA4B26" w:rsidRDefault="00565597" w:rsidP="007A43E3">
      <w:pPr>
        <w:pStyle w:val="ListParagraph"/>
        <w:numPr>
          <w:ilvl w:val="0"/>
          <w:numId w:val="23"/>
        </w:numPr>
        <w:spacing w:before="240" w:after="240"/>
        <w:contextualSpacing w:val="0"/>
        <w:rPr>
          <w:rFonts w:cs="Arial"/>
          <w:bCs/>
        </w:rPr>
      </w:pPr>
      <w:r w:rsidRPr="00AA4B26">
        <w:rPr>
          <w:rFonts w:cs="Arial"/>
          <w:bCs/>
        </w:rPr>
        <w:t xml:space="preserve">The </w:t>
      </w:r>
      <w:r w:rsidR="00E54EE0" w:rsidRPr="00AA4B26">
        <w:rPr>
          <w:rFonts w:cs="Arial"/>
          <w:bCs/>
        </w:rPr>
        <w:t>O</w:t>
      </w:r>
      <w:r w:rsidR="0041390A" w:rsidRPr="00AA4B26">
        <w:rPr>
          <w:rFonts w:cs="Arial"/>
          <w:bCs/>
        </w:rPr>
        <w:t>pen Access (OA</w:t>
      </w:r>
      <w:r w:rsidR="00564AE2" w:rsidRPr="00AA4B26">
        <w:rPr>
          <w:rFonts w:cs="Arial"/>
          <w:bCs/>
        </w:rPr>
        <w:t>)</w:t>
      </w:r>
      <w:r w:rsidRPr="00AA4B26">
        <w:rPr>
          <w:rFonts w:cs="Arial"/>
          <w:bCs/>
        </w:rPr>
        <w:t xml:space="preserve"> Project</w:t>
      </w:r>
      <w:r w:rsidR="0041390A" w:rsidRPr="00AA4B26">
        <w:rPr>
          <w:rFonts w:cs="Arial"/>
          <w:bCs/>
        </w:rPr>
        <w:t>: UDL</w:t>
      </w:r>
    </w:p>
    <w:p w14:paraId="5C4BBECD" w14:textId="4A25D3D2" w:rsidR="006C584A" w:rsidRPr="000815A0" w:rsidRDefault="003625FE" w:rsidP="00B9126A">
      <w:pPr>
        <w:pStyle w:val="Heading3"/>
        <w:rPr>
          <w:bCs/>
        </w:rPr>
      </w:pPr>
      <w:bookmarkStart w:id="192" w:name="_Hlk79661717"/>
      <w:bookmarkStart w:id="193" w:name="_Toc212718093"/>
      <w:r w:rsidRPr="000815A0">
        <w:t xml:space="preserve">A summary of </w:t>
      </w:r>
      <w:r w:rsidR="0077463C" w:rsidRPr="000815A0">
        <w:t>each</w:t>
      </w:r>
      <w:r w:rsidR="00783601" w:rsidRPr="000815A0">
        <w:t xml:space="preserve"> </w:t>
      </w:r>
      <w:r w:rsidR="00796098" w:rsidRPr="000815A0">
        <w:t>E</w:t>
      </w:r>
      <w:r w:rsidR="006443B5">
        <w:t xml:space="preserve">vidence </w:t>
      </w:r>
      <w:r w:rsidR="00796098" w:rsidRPr="000815A0">
        <w:t>B</w:t>
      </w:r>
      <w:r w:rsidR="006443B5">
        <w:t xml:space="preserve">ased </w:t>
      </w:r>
      <w:r w:rsidR="00796098" w:rsidRPr="000815A0">
        <w:t>P</w:t>
      </w:r>
      <w:r w:rsidR="006443B5">
        <w:t>ractice</w:t>
      </w:r>
      <w:bookmarkEnd w:id="192"/>
      <w:bookmarkEnd w:id="193"/>
    </w:p>
    <w:p w14:paraId="4427AFA6" w14:textId="77777777" w:rsidR="00FE7F2E" w:rsidRPr="00B9126A" w:rsidRDefault="00FE7F2E" w:rsidP="00AF3695">
      <w:pPr>
        <w:pStyle w:val="Heading4"/>
      </w:pPr>
      <w:r w:rsidRPr="00B9126A">
        <w:t>California Multi-Tiered System of Support</w:t>
      </w:r>
    </w:p>
    <w:p w14:paraId="43A9B9F5" w14:textId="4C5A3B20" w:rsidR="002C5EBA" w:rsidRPr="002C5EBA" w:rsidRDefault="002C5EBA" w:rsidP="002C5EBA">
      <w:pPr>
        <w:spacing w:before="100" w:beforeAutospacing="1" w:after="100" w:afterAutospacing="1" w:line="300" w:lineRule="atLeast"/>
        <w:rPr>
          <w:rFonts w:cs="Arial"/>
        </w:rPr>
      </w:pPr>
      <w:r w:rsidRPr="002C5EBA">
        <w:rPr>
          <w:rFonts w:cs="Arial"/>
        </w:rPr>
        <w:t xml:space="preserve">The CA MTSS is a continuous improvement framework designed to help </w:t>
      </w:r>
      <w:r w:rsidR="00D13531">
        <w:rPr>
          <w:rFonts w:cs="Arial"/>
        </w:rPr>
        <w:t>LEAs</w:t>
      </w:r>
      <w:r w:rsidRPr="002C5EBA">
        <w:rPr>
          <w:rFonts w:cs="Arial"/>
        </w:rPr>
        <w:t xml:space="preserve"> and schools provide academic, behavioral, and social-emotional support to all students in inclusive and equitable environments. The framework is structured across three tiers: universal support for all students, supplemental services for those needing additional help, and individualized support for students with the most significant needs.</w:t>
      </w:r>
    </w:p>
    <w:p w14:paraId="614FC577" w14:textId="3C9B1849" w:rsidR="002C5EBA" w:rsidRPr="002C5EBA" w:rsidRDefault="002C5EBA" w:rsidP="002C5EBA">
      <w:pPr>
        <w:spacing w:before="100" w:beforeAutospacing="1" w:after="100" w:afterAutospacing="1" w:line="300" w:lineRule="atLeast"/>
        <w:rPr>
          <w:rFonts w:cs="Arial"/>
        </w:rPr>
      </w:pPr>
      <w:r w:rsidRPr="002C5EBA">
        <w:rPr>
          <w:rFonts w:cs="Arial"/>
        </w:rPr>
        <w:lastRenderedPageBreak/>
        <w:t xml:space="preserve">To support implementation, the Orange County Department of Education and the Butte </w:t>
      </w:r>
      <w:r w:rsidR="008C0F62">
        <w:rPr>
          <w:rFonts w:cs="Arial"/>
        </w:rPr>
        <w:t>COE</w:t>
      </w:r>
      <w:r w:rsidRPr="002C5EBA">
        <w:rPr>
          <w:rFonts w:cs="Arial"/>
        </w:rPr>
        <w:t xml:space="preserve"> developed the CA MTSS Pathway Certification for Schools, an online course that guides educators in applying the framework. The course aims to deepen understanding, provide implementation resources, foster collaboration, and align efforts </w:t>
      </w:r>
      <w:r w:rsidR="004A31A3">
        <w:rPr>
          <w:rFonts w:cs="Arial"/>
        </w:rPr>
        <w:t xml:space="preserve">LCAP </w:t>
      </w:r>
      <w:r w:rsidRPr="002C5EBA">
        <w:rPr>
          <w:rFonts w:cs="Arial"/>
        </w:rPr>
        <w:t xml:space="preserve">goals. It incorporates evidence-based practices such as Improvement Science, Implementation Science, social-emotional learning, restorative practices, Positive Behavior Interventions and Supports, </w:t>
      </w:r>
      <w:r w:rsidR="001C06CC">
        <w:rPr>
          <w:rFonts w:cs="Arial"/>
        </w:rPr>
        <w:t>UDL</w:t>
      </w:r>
      <w:r w:rsidRPr="002C5EBA">
        <w:rPr>
          <w:rFonts w:cs="Arial"/>
        </w:rPr>
        <w:t>, culturally and linguistically responsive teaching, and trauma-informed practices.</w:t>
      </w:r>
    </w:p>
    <w:p w14:paraId="4C5761C9" w14:textId="24FF844F" w:rsidR="002C5EBA" w:rsidRPr="002C5EBA" w:rsidRDefault="002C5EBA" w:rsidP="002C5EBA">
      <w:pPr>
        <w:spacing w:before="100" w:beforeAutospacing="1" w:after="100" w:afterAutospacing="1" w:line="300" w:lineRule="atLeast"/>
        <w:rPr>
          <w:rFonts w:cs="Arial"/>
        </w:rPr>
      </w:pPr>
      <w:r w:rsidRPr="002C5EBA">
        <w:rPr>
          <w:rFonts w:cs="Arial"/>
        </w:rPr>
        <w:t xml:space="preserve">The certification course is required professional learning for school sites, LEAs, and coaches participating in Phase 3 (2021–2026). Additional </w:t>
      </w:r>
      <w:r w:rsidR="00D13531" w:rsidRPr="002C5EBA">
        <w:rPr>
          <w:rFonts w:cs="Arial"/>
        </w:rPr>
        <w:t>support includes</w:t>
      </w:r>
      <w:r w:rsidRPr="002C5EBA">
        <w:rPr>
          <w:rFonts w:cs="Arial"/>
        </w:rPr>
        <w:t xml:space="preserve"> access to trained coaches, a comprehensive guidebook, and participation in </w:t>
      </w:r>
      <w:r w:rsidR="00D13531">
        <w:rPr>
          <w:rFonts w:cs="Arial"/>
        </w:rPr>
        <w:t>CoPs</w:t>
      </w:r>
      <w:r w:rsidRPr="002C5EBA">
        <w:rPr>
          <w:rFonts w:cs="Arial"/>
        </w:rPr>
        <w:t xml:space="preserve">, which facilitate shared learning and best practice exchange. </w:t>
      </w:r>
      <w:r w:rsidR="002E2852">
        <w:rPr>
          <w:rFonts w:cs="Arial"/>
        </w:rPr>
        <w:t>COE</w:t>
      </w:r>
      <w:r w:rsidRPr="002C5EBA">
        <w:rPr>
          <w:rFonts w:cs="Arial"/>
        </w:rPr>
        <w:t xml:space="preserve"> staff who complete the Coaching Pathway serve as coaches to support implementation at the local level. The Guide to Implementing C</w:t>
      </w:r>
      <w:r w:rsidR="00D517B9">
        <w:rPr>
          <w:rFonts w:cs="Arial"/>
        </w:rPr>
        <w:t>A</w:t>
      </w:r>
      <w:r w:rsidRPr="002C5EBA">
        <w:rPr>
          <w:rFonts w:cs="Arial"/>
        </w:rPr>
        <w:t xml:space="preserve"> MTSS offers further practical guidance for district and school leadership teams.</w:t>
      </w:r>
    </w:p>
    <w:p w14:paraId="4CDE48B5" w14:textId="78E403FE" w:rsidR="00FE7F2E" w:rsidRPr="00B9126A" w:rsidRDefault="00FE7F2E" w:rsidP="00AF3695">
      <w:pPr>
        <w:pStyle w:val="Heading4"/>
      </w:pPr>
      <w:r w:rsidRPr="00B9126A">
        <w:t xml:space="preserve">Supporting </w:t>
      </w:r>
      <w:r w:rsidR="006522B4">
        <w:t>Innovative</w:t>
      </w:r>
      <w:r w:rsidRPr="00B9126A">
        <w:t xml:space="preserve"> Practices</w:t>
      </w:r>
    </w:p>
    <w:p w14:paraId="1E4E9103" w14:textId="73A892E3" w:rsidR="00AF5FCF" w:rsidRPr="00D13531" w:rsidRDefault="00AF5FCF" w:rsidP="00AF5FCF">
      <w:pPr>
        <w:pStyle w:val="NormalWeb"/>
        <w:spacing w:line="300" w:lineRule="atLeast"/>
        <w:rPr>
          <w:rFonts w:ascii="Arial" w:hAnsi="Arial" w:cs="Arial"/>
        </w:rPr>
      </w:pPr>
      <w:r w:rsidRPr="00D13531">
        <w:rPr>
          <w:rFonts w:ascii="Arial" w:hAnsi="Arial" w:cs="Arial"/>
        </w:rPr>
        <w:t xml:space="preserve">The Supporting </w:t>
      </w:r>
      <w:r w:rsidR="006522B4">
        <w:rPr>
          <w:rFonts w:ascii="Arial" w:hAnsi="Arial" w:cs="Arial"/>
        </w:rPr>
        <w:t>Innovative</w:t>
      </w:r>
      <w:r w:rsidRPr="00D13531">
        <w:rPr>
          <w:rFonts w:ascii="Arial" w:hAnsi="Arial" w:cs="Arial"/>
        </w:rPr>
        <w:t xml:space="preserve"> Practices</w:t>
      </w:r>
      <w:r w:rsidR="002B310C">
        <w:rPr>
          <w:rFonts w:ascii="Arial" w:hAnsi="Arial" w:cs="Arial"/>
        </w:rPr>
        <w:t xml:space="preserve"> (SIP)</w:t>
      </w:r>
      <w:r w:rsidRPr="00D13531">
        <w:rPr>
          <w:rFonts w:ascii="Arial" w:hAnsi="Arial" w:cs="Arial"/>
        </w:rPr>
        <w:t xml:space="preserve"> initiative is designed to transform California schools into inclusive environments through a structured, evidence-based approach. SIP developed the </w:t>
      </w:r>
      <w:r w:rsidRPr="00D13531">
        <w:rPr>
          <w:rStyle w:val="Emphasis"/>
          <w:rFonts w:ascii="Arial" w:hAnsi="Arial" w:cs="Arial"/>
        </w:rPr>
        <w:t>Blueprint for Inclusion</w:t>
      </w:r>
      <w:r w:rsidRPr="00D13531">
        <w:rPr>
          <w:rFonts w:ascii="Arial" w:hAnsi="Arial" w:cs="Arial"/>
        </w:rPr>
        <w:t>, which guides districts through five key domains: envisioning, building, implementing, scaling up, and sustaining inclusive practices. The strategy begins by helping district leaders articulate a clear vision for inclusion and leverages early adopters to drive change. It then supports districts in gathering stakeholder input, assessing current conditions, and planning collaboratively for equity-focused improvements.</w:t>
      </w:r>
    </w:p>
    <w:p w14:paraId="471DD9A2" w14:textId="3F7A6044" w:rsidR="00AF5FCF" w:rsidRPr="00D13531" w:rsidRDefault="00AF5FCF" w:rsidP="00AF5FCF">
      <w:pPr>
        <w:pStyle w:val="NormalWeb"/>
        <w:spacing w:line="300" w:lineRule="atLeast"/>
        <w:rPr>
          <w:rFonts w:ascii="Arial" w:hAnsi="Arial" w:cs="Arial"/>
        </w:rPr>
      </w:pPr>
      <w:r w:rsidRPr="00D13531">
        <w:rPr>
          <w:rFonts w:ascii="Arial" w:hAnsi="Arial" w:cs="Arial"/>
        </w:rPr>
        <w:t xml:space="preserve">Implementation focuses on integrating proven practices such as co-teaching, </w:t>
      </w:r>
      <w:r w:rsidR="00D13531">
        <w:rPr>
          <w:rFonts w:ascii="Arial" w:hAnsi="Arial" w:cs="Arial"/>
        </w:rPr>
        <w:t>UDL</w:t>
      </w:r>
      <w:r w:rsidRPr="00D13531">
        <w:rPr>
          <w:rFonts w:ascii="Arial" w:hAnsi="Arial" w:cs="Arial"/>
        </w:rPr>
        <w:t>, culturally responsive instruction, and inclusive scheduling. SIP also promotes district-wide adoption of these practices through its Matrix of Classroom Practices and supports long-term sustainability by embedding inclusion into policy and organizational culture.</w:t>
      </w:r>
    </w:p>
    <w:p w14:paraId="5F3308DF" w14:textId="798391BA" w:rsidR="00AF5FCF" w:rsidRPr="00D13531" w:rsidRDefault="00AF5FCF" w:rsidP="00AF5FCF">
      <w:pPr>
        <w:pStyle w:val="NormalWeb"/>
        <w:spacing w:line="300" w:lineRule="atLeast"/>
        <w:rPr>
          <w:rFonts w:ascii="Arial" w:hAnsi="Arial" w:cs="Arial"/>
        </w:rPr>
      </w:pPr>
      <w:r w:rsidRPr="00D13531">
        <w:rPr>
          <w:rFonts w:ascii="Arial" w:hAnsi="Arial" w:cs="Arial"/>
        </w:rPr>
        <w:t>During the 2024–25 academic year, SIP used the Blueprint to tailor tools and strategies for participating districts, including demonstration sites and a self-assessment process. These efforts helped districts visualize inclusive practices in action and track progress toward systemic change. SIP’s approach emphasizes continuous improvement, data-driven decision-making, and leadership development to ensure lasting impact on student outcomes.</w:t>
      </w:r>
    </w:p>
    <w:p w14:paraId="1545E728" w14:textId="7F04BDEF" w:rsidR="00BA2DC5" w:rsidRPr="00BD200D" w:rsidRDefault="00565597" w:rsidP="00AF3695">
      <w:pPr>
        <w:pStyle w:val="Heading4"/>
      </w:pPr>
      <w:r w:rsidRPr="00BD200D">
        <w:lastRenderedPageBreak/>
        <w:t xml:space="preserve">The </w:t>
      </w:r>
      <w:r w:rsidR="008664E7" w:rsidRPr="00BD200D">
        <w:t>Op</w:t>
      </w:r>
      <w:r w:rsidR="00BA2DC5" w:rsidRPr="00BD200D">
        <w:t>en Access</w:t>
      </w:r>
      <w:r w:rsidRPr="00BD200D">
        <w:t xml:space="preserve"> Project</w:t>
      </w:r>
      <w:r w:rsidR="009E3B5B">
        <w:t xml:space="preserve">: </w:t>
      </w:r>
      <w:r w:rsidR="00BA2DC5" w:rsidRPr="00BD200D">
        <w:t>Universal Design for Learning</w:t>
      </w:r>
    </w:p>
    <w:p w14:paraId="3B86E775" w14:textId="5DEAF97D" w:rsidR="002B5A05" w:rsidRDefault="004878AE" w:rsidP="007A43E3">
      <w:pPr>
        <w:autoSpaceDE w:val="0"/>
        <w:autoSpaceDN w:val="0"/>
        <w:adjustRightInd w:val="0"/>
        <w:spacing w:after="240"/>
        <w:rPr>
          <w:rFonts w:eastAsiaTheme="minorEastAsia" w:cs="Arial"/>
          <w:lang w:eastAsia="ja-JP"/>
        </w:rPr>
      </w:pPr>
      <w:r>
        <w:rPr>
          <w:rFonts w:eastAsiaTheme="minorEastAsia" w:cs="Arial"/>
          <w:lang w:eastAsia="ja-JP"/>
        </w:rPr>
        <w:t>T</w:t>
      </w:r>
      <w:r w:rsidR="00437FAA" w:rsidRPr="00437FAA">
        <w:rPr>
          <w:rFonts w:eastAsiaTheme="minorEastAsia" w:cs="Arial"/>
          <w:lang w:eastAsia="ja-JP"/>
        </w:rPr>
        <w:t>he Placer County SELPA O</w:t>
      </w:r>
      <w:r w:rsidR="00BC602D">
        <w:rPr>
          <w:rFonts w:eastAsiaTheme="minorEastAsia" w:cs="Arial"/>
          <w:lang w:eastAsia="ja-JP"/>
        </w:rPr>
        <w:t xml:space="preserve">pen </w:t>
      </w:r>
      <w:r w:rsidR="00437FAA" w:rsidRPr="00437FAA">
        <w:rPr>
          <w:rFonts w:eastAsiaTheme="minorEastAsia" w:cs="Arial"/>
          <w:lang w:eastAsia="ja-JP"/>
        </w:rPr>
        <w:t>A</w:t>
      </w:r>
      <w:r w:rsidR="00BC602D">
        <w:rPr>
          <w:rFonts w:eastAsiaTheme="minorEastAsia" w:cs="Arial"/>
          <w:lang w:eastAsia="ja-JP"/>
        </w:rPr>
        <w:t>ccess</w:t>
      </w:r>
      <w:r w:rsidR="00CC6DAC">
        <w:rPr>
          <w:rFonts w:eastAsiaTheme="minorEastAsia" w:cs="Arial"/>
          <w:lang w:eastAsia="ja-JP"/>
        </w:rPr>
        <w:t xml:space="preserve"> (OA)</w:t>
      </w:r>
      <w:r w:rsidR="00437FAA" w:rsidRPr="00437FAA">
        <w:rPr>
          <w:rFonts w:eastAsiaTheme="minorEastAsia" w:cs="Arial"/>
          <w:lang w:eastAsia="ja-JP"/>
        </w:rPr>
        <w:t xml:space="preserve"> </w:t>
      </w:r>
      <w:r w:rsidR="00394592">
        <w:rPr>
          <w:rFonts w:eastAsiaTheme="minorEastAsia" w:cs="Arial"/>
          <w:lang w:eastAsia="ja-JP"/>
        </w:rPr>
        <w:t>P</w:t>
      </w:r>
      <w:r w:rsidR="00437FAA" w:rsidRPr="00437FAA">
        <w:rPr>
          <w:rFonts w:eastAsiaTheme="minorEastAsia" w:cs="Arial"/>
          <w:lang w:eastAsia="ja-JP"/>
        </w:rPr>
        <w:t>roject serves as a content lead within the SSOS, with a mission to improve outcomes for students, including SWD</w:t>
      </w:r>
      <w:r w:rsidR="00A4416A">
        <w:rPr>
          <w:rFonts w:eastAsiaTheme="minorEastAsia" w:cs="Arial"/>
          <w:lang w:eastAsia="ja-JP"/>
        </w:rPr>
        <w:t>s</w:t>
      </w:r>
      <w:r w:rsidR="00437FAA" w:rsidRPr="00437FAA">
        <w:rPr>
          <w:rFonts w:eastAsiaTheme="minorEastAsia" w:cs="Arial"/>
          <w:lang w:eastAsia="ja-JP"/>
        </w:rPr>
        <w:t>. The project ensures access to high-quality curriculum and fosters active participation in inclusive educational settings. Its goal is to remove barriers and enhance learning experiences for all students.</w:t>
      </w:r>
    </w:p>
    <w:p w14:paraId="56129E84" w14:textId="24F73FCD" w:rsidR="002B5A05" w:rsidRPr="00437FAA" w:rsidRDefault="00A4416A" w:rsidP="007A43E3">
      <w:pPr>
        <w:autoSpaceDE w:val="0"/>
        <w:autoSpaceDN w:val="0"/>
        <w:adjustRightInd w:val="0"/>
        <w:spacing w:after="240"/>
        <w:rPr>
          <w:rFonts w:eastAsiaTheme="minorEastAsia" w:cs="Arial"/>
          <w:lang w:eastAsia="ja-JP"/>
        </w:rPr>
      </w:pPr>
      <w:r>
        <w:rPr>
          <w:rFonts w:eastAsiaTheme="minorEastAsia" w:cs="Arial"/>
          <w:lang w:eastAsia="ja-JP"/>
        </w:rPr>
        <w:t>OA</w:t>
      </w:r>
      <w:r w:rsidR="00437FAA" w:rsidRPr="00437FAA">
        <w:rPr>
          <w:rFonts w:eastAsiaTheme="minorEastAsia" w:cs="Arial"/>
          <w:lang w:eastAsia="ja-JP"/>
        </w:rPr>
        <w:t xml:space="preserve"> supports integrated planning and learning that promote equity and inclusion. It strengthens teaching practices so that all students can engage with rigorous academic standards. By applying an equity lens and using purposeful instructional strategies, the project helps educators meet students at their current level and support their academic growth.</w:t>
      </w:r>
    </w:p>
    <w:p w14:paraId="56FA81F5" w14:textId="00CC604B" w:rsidR="002B5A05" w:rsidRPr="00437FAA" w:rsidRDefault="00437FAA" w:rsidP="007A43E3">
      <w:pPr>
        <w:autoSpaceDE w:val="0"/>
        <w:autoSpaceDN w:val="0"/>
        <w:adjustRightInd w:val="0"/>
        <w:spacing w:after="240"/>
        <w:rPr>
          <w:rFonts w:eastAsiaTheme="minorEastAsia" w:cs="Arial"/>
          <w:lang w:eastAsia="ja-JP"/>
        </w:rPr>
      </w:pPr>
      <w:r w:rsidRPr="00437FAA">
        <w:rPr>
          <w:rFonts w:eastAsiaTheme="minorEastAsia" w:cs="Arial"/>
          <w:lang w:eastAsia="ja-JP"/>
        </w:rPr>
        <w:t xml:space="preserve">A key component of OA is enhancing inclusive practices by building educators’ knowledge, skills, and confidence in using effective instructional strategies. This includes a focus on </w:t>
      </w:r>
      <w:r w:rsidR="00A36E8C">
        <w:rPr>
          <w:rFonts w:eastAsiaTheme="minorEastAsia" w:cs="Arial"/>
          <w:lang w:eastAsia="ja-JP"/>
        </w:rPr>
        <w:t>UDL,</w:t>
      </w:r>
      <w:r w:rsidRPr="00437FAA">
        <w:rPr>
          <w:rFonts w:eastAsiaTheme="minorEastAsia" w:cs="Arial"/>
          <w:lang w:eastAsia="ja-JP"/>
        </w:rPr>
        <w:t xml:space="preserve"> Assistive Technology (AT), and Augmentative and Alternative Communication (AAC).</w:t>
      </w:r>
    </w:p>
    <w:p w14:paraId="1E203707" w14:textId="2250EC36" w:rsidR="003E3771" w:rsidRDefault="00437FAA" w:rsidP="007A43E3">
      <w:pPr>
        <w:autoSpaceDE w:val="0"/>
        <w:autoSpaceDN w:val="0"/>
        <w:adjustRightInd w:val="0"/>
        <w:spacing w:after="240"/>
        <w:rPr>
          <w:rFonts w:eastAsiaTheme="minorEastAsia" w:cs="Arial"/>
          <w:lang w:eastAsia="ja-JP"/>
        </w:rPr>
      </w:pPr>
      <w:r w:rsidRPr="00437FAA">
        <w:rPr>
          <w:rFonts w:eastAsiaTheme="minorEastAsia" w:cs="Arial"/>
          <w:lang w:eastAsia="ja-JP"/>
        </w:rPr>
        <w:t xml:space="preserve">The project directly supports SSOS goals by increasing access to inclusive learning environments and high-quality curriculum and instruction for all students. These efforts are intended to positively impact student outcomes, such as academic achievement, graduation rates, reduced discipline incidents, and improved post-secondary success. Additionally, the OA project aims to strengthen student agency, elevate student voice, and develop self-advocacy skills. Support is provided across three tiers: </w:t>
      </w:r>
      <w:r w:rsidR="003E3771">
        <w:rPr>
          <w:rFonts w:eastAsiaTheme="minorEastAsia" w:cs="Arial"/>
          <w:lang w:eastAsia="ja-JP"/>
        </w:rPr>
        <w:t>Universal Support, Targeted Support and Intensive Support.</w:t>
      </w:r>
    </w:p>
    <w:p w14:paraId="167C3421" w14:textId="1582A13F" w:rsidR="00395588" w:rsidRPr="003E3771" w:rsidRDefault="00437FAA" w:rsidP="007A43E3">
      <w:pPr>
        <w:pStyle w:val="ListParagraph"/>
        <w:numPr>
          <w:ilvl w:val="0"/>
          <w:numId w:val="24"/>
        </w:numPr>
        <w:autoSpaceDE w:val="0"/>
        <w:autoSpaceDN w:val="0"/>
        <w:adjustRightInd w:val="0"/>
        <w:spacing w:after="240"/>
        <w:contextualSpacing w:val="0"/>
        <w:rPr>
          <w:rFonts w:eastAsiaTheme="minorEastAsia" w:cs="Arial"/>
          <w:lang w:eastAsia="ja-JP"/>
        </w:rPr>
      </w:pPr>
      <w:r w:rsidRPr="003E3771">
        <w:rPr>
          <w:rFonts w:eastAsiaTheme="minorEastAsia" w:cs="Arial"/>
          <w:lang w:eastAsia="ja-JP"/>
        </w:rPr>
        <w:t>Universal Support builds capacity at multiple levels through in-person, virtual, and asynchronous learning opportunities in UDL, AT, and AAC.</w:t>
      </w:r>
    </w:p>
    <w:p w14:paraId="4504824C" w14:textId="2FF3B28F" w:rsidR="003E3771" w:rsidRDefault="00437FAA" w:rsidP="007A43E3">
      <w:pPr>
        <w:autoSpaceDE w:val="0"/>
        <w:autoSpaceDN w:val="0"/>
        <w:adjustRightInd w:val="0"/>
        <w:spacing w:after="240"/>
        <w:ind w:left="720"/>
        <w:rPr>
          <w:rFonts w:eastAsiaTheme="minorEastAsia" w:cs="Arial"/>
          <w:lang w:eastAsia="ja-JP"/>
        </w:rPr>
      </w:pPr>
      <w:r w:rsidRPr="00437FAA">
        <w:rPr>
          <w:rFonts w:eastAsiaTheme="minorEastAsia" w:cs="Arial"/>
          <w:lang w:eastAsia="ja-JP"/>
        </w:rPr>
        <w:t>Resources include recorded sessions, social media posts, blogs, newsletters, and a new podcast.</w:t>
      </w:r>
    </w:p>
    <w:p w14:paraId="71AEFF9A" w14:textId="34E14436" w:rsidR="003E3771" w:rsidRPr="007A43E3" w:rsidRDefault="00437FAA" w:rsidP="00D50AAB">
      <w:pPr>
        <w:pStyle w:val="ListParagraph"/>
        <w:numPr>
          <w:ilvl w:val="0"/>
          <w:numId w:val="24"/>
        </w:numPr>
        <w:autoSpaceDE w:val="0"/>
        <w:autoSpaceDN w:val="0"/>
        <w:adjustRightInd w:val="0"/>
        <w:spacing w:after="240"/>
        <w:contextualSpacing w:val="0"/>
        <w:rPr>
          <w:rFonts w:eastAsiaTheme="minorEastAsia" w:cs="Arial"/>
          <w:lang w:eastAsia="ja-JP"/>
        </w:rPr>
      </w:pPr>
      <w:r w:rsidRPr="007A43E3">
        <w:rPr>
          <w:rFonts w:eastAsiaTheme="minorEastAsia" w:cs="Arial"/>
          <w:lang w:eastAsia="ja-JP"/>
        </w:rPr>
        <w:t xml:space="preserve">Targeted Support expands the capacity of </w:t>
      </w:r>
      <w:r w:rsidR="009A53E4" w:rsidRPr="007A43E3">
        <w:rPr>
          <w:rFonts w:eastAsiaTheme="minorEastAsia" w:cs="Arial"/>
          <w:lang w:eastAsia="ja-JP"/>
        </w:rPr>
        <w:t xml:space="preserve">LEAs, COEs, and </w:t>
      </w:r>
      <w:r w:rsidRPr="007A43E3">
        <w:rPr>
          <w:rFonts w:eastAsiaTheme="minorEastAsia" w:cs="Arial"/>
          <w:lang w:eastAsia="ja-JP"/>
        </w:rPr>
        <w:t xml:space="preserve">SELPAs through a trainer-of-trainers model and supports LEAs engaged in voluntary continuous improvement aligned with California Dashboard and state indicator targets. OA provides ongoing training and coaching that drives </w:t>
      </w:r>
      <w:r w:rsidR="002143ED" w:rsidRPr="007A43E3">
        <w:rPr>
          <w:rFonts w:eastAsiaTheme="minorEastAsia" w:cs="Arial"/>
          <w:lang w:eastAsia="ja-JP"/>
        </w:rPr>
        <w:t>changes</w:t>
      </w:r>
      <w:r w:rsidRPr="007A43E3">
        <w:rPr>
          <w:rFonts w:eastAsiaTheme="minorEastAsia" w:cs="Arial"/>
          <w:lang w:eastAsia="ja-JP"/>
        </w:rPr>
        <w:t xml:space="preserve"> in teaching practices, ensures effective and sustainable implementation, and builds the capacity of </w:t>
      </w:r>
      <w:r w:rsidR="00D90244" w:rsidRPr="007A43E3">
        <w:rPr>
          <w:rFonts w:eastAsiaTheme="minorEastAsia" w:cs="Arial"/>
          <w:lang w:eastAsia="ja-JP"/>
        </w:rPr>
        <w:t>RILs</w:t>
      </w:r>
      <w:r w:rsidRPr="007A43E3">
        <w:rPr>
          <w:rFonts w:eastAsiaTheme="minorEastAsia" w:cs="Arial"/>
          <w:lang w:eastAsia="ja-JP"/>
        </w:rPr>
        <w:t xml:space="preserve"> to positively impact student growth and outcomes.</w:t>
      </w:r>
    </w:p>
    <w:p w14:paraId="27D609CC" w14:textId="1D61A99B" w:rsidR="004878AE" w:rsidRPr="007A43E3" w:rsidRDefault="00437FAA" w:rsidP="00001FFF">
      <w:pPr>
        <w:pStyle w:val="NoSpacing"/>
        <w:numPr>
          <w:ilvl w:val="0"/>
          <w:numId w:val="24"/>
        </w:numPr>
        <w:spacing w:after="240"/>
        <w:rPr>
          <w:b/>
        </w:rPr>
      </w:pPr>
      <w:r w:rsidRPr="007A43E3">
        <w:rPr>
          <w:rFonts w:eastAsiaTheme="minorEastAsia" w:cs="Arial"/>
          <w:szCs w:val="24"/>
          <w:lang w:eastAsia="ja-JP"/>
        </w:rPr>
        <w:t xml:space="preserve">Intensive Support is specifically designed to support identified districts with </w:t>
      </w:r>
      <w:r w:rsidR="007A139C" w:rsidRPr="007A43E3">
        <w:rPr>
          <w:rFonts w:eastAsiaTheme="minorEastAsia" w:cs="Arial"/>
          <w:szCs w:val="24"/>
          <w:lang w:eastAsia="ja-JP"/>
        </w:rPr>
        <w:t>direct</w:t>
      </w:r>
      <w:r w:rsidRPr="007A43E3">
        <w:rPr>
          <w:rFonts w:eastAsiaTheme="minorEastAsia" w:cs="Arial"/>
          <w:szCs w:val="24"/>
          <w:lang w:eastAsia="ja-JP"/>
        </w:rPr>
        <w:t xml:space="preserve"> TA. The OA team engages the district in continuous improvement work related to the California Dashboard and state indicator targets.</w:t>
      </w:r>
    </w:p>
    <w:p w14:paraId="327F4124" w14:textId="6E32A44D" w:rsidR="0077463C" w:rsidRPr="00B9126A" w:rsidRDefault="003625FE" w:rsidP="00B9126A">
      <w:pPr>
        <w:pStyle w:val="Heading3"/>
        <w:rPr>
          <w:szCs w:val="28"/>
        </w:rPr>
      </w:pPr>
      <w:bookmarkStart w:id="194" w:name="_Toc212718094"/>
      <w:r w:rsidRPr="00B9126A">
        <w:rPr>
          <w:szCs w:val="28"/>
        </w:rPr>
        <w:lastRenderedPageBreak/>
        <w:t xml:space="preserve">A </w:t>
      </w:r>
      <w:r w:rsidR="00AD58BE" w:rsidRPr="00B9126A">
        <w:rPr>
          <w:szCs w:val="28"/>
        </w:rPr>
        <w:t>S</w:t>
      </w:r>
      <w:r w:rsidRPr="00B9126A">
        <w:rPr>
          <w:szCs w:val="28"/>
        </w:rPr>
        <w:t xml:space="preserve">ummary of </w:t>
      </w:r>
      <w:r w:rsidR="00AD58BE" w:rsidRPr="00B9126A">
        <w:rPr>
          <w:szCs w:val="28"/>
        </w:rPr>
        <w:t>E</w:t>
      </w:r>
      <w:r w:rsidR="0077463C" w:rsidRPr="00B9126A">
        <w:rPr>
          <w:szCs w:val="28"/>
        </w:rPr>
        <w:t>ach</w:t>
      </w:r>
      <w:r w:rsidR="00783601" w:rsidRPr="00B9126A">
        <w:rPr>
          <w:szCs w:val="28"/>
        </w:rPr>
        <w:t xml:space="preserve"> of the</w:t>
      </w:r>
      <w:r w:rsidR="0077463C" w:rsidRPr="00B9126A">
        <w:rPr>
          <w:szCs w:val="28"/>
        </w:rPr>
        <w:t xml:space="preserve"> </w:t>
      </w:r>
      <w:r w:rsidR="00AD58BE" w:rsidRPr="00B9126A">
        <w:rPr>
          <w:szCs w:val="28"/>
        </w:rPr>
        <w:t>E</w:t>
      </w:r>
      <w:r w:rsidR="0077463C" w:rsidRPr="00B9126A">
        <w:rPr>
          <w:szCs w:val="28"/>
        </w:rPr>
        <w:t xml:space="preserve">vidence-based </w:t>
      </w:r>
      <w:r w:rsidR="00AD58BE" w:rsidRPr="00B9126A">
        <w:rPr>
          <w:szCs w:val="28"/>
        </w:rPr>
        <w:t>P</w:t>
      </w:r>
      <w:r w:rsidR="0077463C" w:rsidRPr="00B9126A">
        <w:rPr>
          <w:szCs w:val="28"/>
        </w:rPr>
        <w:t>ractice</w:t>
      </w:r>
      <w:r w:rsidR="00783601" w:rsidRPr="00B9126A">
        <w:rPr>
          <w:szCs w:val="28"/>
        </w:rPr>
        <w:t>s</w:t>
      </w:r>
      <w:r w:rsidR="0077463C" w:rsidRPr="00B9126A">
        <w:rPr>
          <w:szCs w:val="28"/>
        </w:rPr>
        <w:t xml:space="preserve"> and </w:t>
      </w:r>
      <w:r w:rsidR="00AD58BE" w:rsidRPr="00B9126A">
        <w:rPr>
          <w:szCs w:val="28"/>
        </w:rPr>
        <w:t>A</w:t>
      </w:r>
      <w:r w:rsidR="0077463C" w:rsidRPr="00B9126A">
        <w:rPr>
          <w:szCs w:val="28"/>
        </w:rPr>
        <w:t>ctivities</w:t>
      </w:r>
      <w:bookmarkEnd w:id="194"/>
      <w:r w:rsidR="0077463C" w:rsidRPr="00B9126A">
        <w:rPr>
          <w:szCs w:val="28"/>
        </w:rPr>
        <w:t xml:space="preserve"> </w:t>
      </w:r>
    </w:p>
    <w:p w14:paraId="4E78662E" w14:textId="77777777" w:rsidR="00FE7F2E" w:rsidRPr="00B9126A" w:rsidRDefault="00FE7F2E" w:rsidP="00AF3695">
      <w:pPr>
        <w:pStyle w:val="Heading4"/>
      </w:pPr>
      <w:r w:rsidRPr="00B9126A">
        <w:t>California Multi-Tiered System of Support</w:t>
      </w:r>
    </w:p>
    <w:p w14:paraId="3422CBE5" w14:textId="7060AC11" w:rsidR="001B440C" w:rsidRPr="000815A0" w:rsidRDefault="001B440C" w:rsidP="001B440C">
      <w:pPr>
        <w:pStyle w:val="NormalWeb"/>
        <w:rPr>
          <w:rFonts w:ascii="Arial" w:hAnsi="Arial" w:cs="Arial"/>
          <w:color w:val="000000"/>
        </w:rPr>
      </w:pPr>
      <w:r w:rsidRPr="000815A0">
        <w:rPr>
          <w:rFonts w:ascii="Arial" w:hAnsi="Arial" w:cs="Arial"/>
          <w:color w:val="000000"/>
        </w:rPr>
        <w:t xml:space="preserve">Learning opportunities provided in the certification course, coaching, and Communities of Practice build or enhance the social-emotional well-being of youth. The CA MTSS Pathway Certification for Schools is a self-paced, asynchronous course designed to be completed individually, with a </w:t>
      </w:r>
      <w:r w:rsidR="007A139C" w:rsidRPr="000815A0">
        <w:rPr>
          <w:rFonts w:ascii="Arial" w:hAnsi="Arial" w:cs="Arial"/>
          <w:color w:val="000000"/>
        </w:rPr>
        <w:t>colleague</w:t>
      </w:r>
      <w:r w:rsidRPr="000815A0">
        <w:rPr>
          <w:rFonts w:ascii="Arial" w:hAnsi="Arial" w:cs="Arial"/>
          <w:color w:val="000000"/>
        </w:rPr>
        <w:t xml:space="preserve"> or school team over 18</w:t>
      </w:r>
      <w:r w:rsidR="00891D26" w:rsidRPr="001F4C85">
        <w:rPr>
          <w:rFonts w:cs="Arial"/>
        </w:rPr>
        <w:t>–</w:t>
      </w:r>
      <w:r w:rsidRPr="000815A0">
        <w:rPr>
          <w:rFonts w:ascii="Arial" w:hAnsi="Arial" w:cs="Arial"/>
          <w:color w:val="000000"/>
        </w:rPr>
        <w:t>24 months. The curriculum is divided into 11 sections, starting with the basics of CA MTSS and moving into role-specific pathways for various educators, including teachers, administrators, counselors, and coaches. Within each module, learners engage in lessons, discussions, and activities. Each level builds upon the previous one, and each section has a series of optional Reflections and required BADGE Activities. Each role-specific pathway of the course allows educators to make connections to their role to provide a continuum of support to meet students’ academic, behavioral, social-</w:t>
      </w:r>
      <w:r w:rsidR="00246FFC" w:rsidRPr="000815A0">
        <w:rPr>
          <w:rFonts w:ascii="Arial" w:hAnsi="Arial" w:cs="Arial"/>
          <w:color w:val="000000"/>
        </w:rPr>
        <w:t>emotional,</w:t>
      </w:r>
      <w:r w:rsidRPr="000815A0">
        <w:rPr>
          <w:rFonts w:ascii="Arial" w:hAnsi="Arial" w:cs="Arial"/>
          <w:color w:val="000000"/>
        </w:rPr>
        <w:t xml:space="preserve"> and mental health needs.</w:t>
      </w:r>
    </w:p>
    <w:p w14:paraId="35F4D9EC" w14:textId="428A13F5" w:rsidR="001B440C" w:rsidRPr="000815A0" w:rsidRDefault="001B440C" w:rsidP="001B440C">
      <w:pPr>
        <w:pStyle w:val="NormalWeb"/>
        <w:rPr>
          <w:rFonts w:ascii="Arial" w:hAnsi="Arial" w:cs="Arial"/>
          <w:color w:val="000000"/>
        </w:rPr>
      </w:pPr>
      <w:r w:rsidRPr="000815A0">
        <w:rPr>
          <w:rFonts w:ascii="Arial" w:hAnsi="Arial" w:cs="Arial"/>
          <w:color w:val="000000"/>
        </w:rPr>
        <w:t xml:space="preserve">Assigned coaches meet weekly or bi-weekly with the site administrator to discuss progress on the course, implementation of the CA MTSS Framework, data around school climate, and goal headway, which might include closing gaps in discipline, attendance, special education referrals, etc. The site administrator and the coach determine the frequency of their meetings. In the initial conversations the coach and administrator develop a timeline for school staff to complete a certification course and collaborative activities. Coaches can also facilitate the Fidelity Integrity Assessment and the Schoolwide Implementation Tool self-assessments and help debrief the results, identify areas of </w:t>
      </w:r>
      <w:r w:rsidR="00246FFC" w:rsidRPr="000815A0">
        <w:rPr>
          <w:rFonts w:ascii="Arial" w:hAnsi="Arial" w:cs="Arial"/>
          <w:color w:val="000000"/>
        </w:rPr>
        <w:t>strength,</w:t>
      </w:r>
      <w:r w:rsidRPr="000815A0">
        <w:rPr>
          <w:rFonts w:ascii="Arial" w:hAnsi="Arial" w:cs="Arial"/>
          <w:color w:val="000000"/>
        </w:rPr>
        <w:t xml:space="preserve"> and determine areas for opportunity which will become the priority areas. Practice Profiles are created and aligned to the priority areas to identify the gold standard to ensure implementation fidelity.</w:t>
      </w:r>
    </w:p>
    <w:p w14:paraId="2ABD46AA" w14:textId="0176F3A6" w:rsidR="001B440C" w:rsidRPr="000815A0" w:rsidRDefault="001B440C" w:rsidP="001B440C">
      <w:pPr>
        <w:pStyle w:val="NormalWeb"/>
        <w:rPr>
          <w:rFonts w:ascii="Arial" w:hAnsi="Arial" w:cs="Arial"/>
          <w:color w:val="000000"/>
        </w:rPr>
      </w:pPr>
      <w:r w:rsidRPr="000815A0">
        <w:rPr>
          <w:rFonts w:ascii="Arial" w:hAnsi="Arial" w:cs="Arial"/>
          <w:color w:val="000000"/>
        </w:rPr>
        <w:t xml:space="preserve">Each Region or COE has formed a </w:t>
      </w:r>
      <w:r w:rsidR="00645BC9">
        <w:rPr>
          <w:rFonts w:ascii="Arial" w:hAnsi="Arial" w:cs="Arial"/>
          <w:color w:val="000000"/>
        </w:rPr>
        <w:t>CoP</w:t>
      </w:r>
      <w:r w:rsidRPr="000815A0">
        <w:rPr>
          <w:rFonts w:ascii="Arial" w:hAnsi="Arial" w:cs="Arial"/>
          <w:color w:val="000000"/>
        </w:rPr>
        <w:t xml:space="preserve"> for the purpose of providing ongoing TA and support for schools and LEAs as they continue to scale up and sustain their work with CA MTSS implementation. Members engage in joint activities and discussions, help each other, learn from </w:t>
      </w:r>
      <w:r w:rsidR="00246FFC" w:rsidRPr="000815A0">
        <w:rPr>
          <w:rFonts w:ascii="Arial" w:hAnsi="Arial" w:cs="Arial"/>
          <w:color w:val="000000"/>
        </w:rPr>
        <w:t>each other,</w:t>
      </w:r>
      <w:r w:rsidRPr="000815A0">
        <w:rPr>
          <w:rFonts w:ascii="Arial" w:hAnsi="Arial" w:cs="Arial"/>
          <w:color w:val="000000"/>
        </w:rPr>
        <w:t xml:space="preserve"> and share information. CoPs are</w:t>
      </w:r>
      <w:r w:rsidR="00645BC9">
        <w:rPr>
          <w:rFonts w:ascii="Arial" w:hAnsi="Arial" w:cs="Arial"/>
          <w:color w:val="000000"/>
        </w:rPr>
        <w:t xml:space="preserve"> </w:t>
      </w:r>
      <w:r w:rsidRPr="000815A0">
        <w:rPr>
          <w:rFonts w:ascii="Arial" w:hAnsi="Arial" w:cs="Arial"/>
          <w:color w:val="000000"/>
        </w:rPr>
        <w:t>hosted in person or online or combination option. Each CoP identifies one of the CA MTSS Domains or Features to further explore and share best and/or current practices.</w:t>
      </w:r>
    </w:p>
    <w:p w14:paraId="3C963440" w14:textId="2B28A6AD" w:rsidR="00766C93" w:rsidRPr="00B9126A" w:rsidRDefault="008014B3" w:rsidP="00AF3695">
      <w:pPr>
        <w:pStyle w:val="Heading4"/>
      </w:pPr>
      <w:r w:rsidRPr="00B9126A">
        <w:t>Supporting In</w:t>
      </w:r>
      <w:r w:rsidR="006522B4">
        <w:t>novat</w:t>
      </w:r>
      <w:r w:rsidRPr="00B9126A">
        <w:t>ive Practices</w:t>
      </w:r>
    </w:p>
    <w:p w14:paraId="1C89F931" w14:textId="035A5A4C" w:rsidR="007862CE" w:rsidRPr="007862CE" w:rsidRDefault="00A82FE2" w:rsidP="007862CE">
      <w:pPr>
        <w:spacing w:before="100" w:beforeAutospacing="1" w:after="100" w:afterAutospacing="1" w:line="300" w:lineRule="atLeast"/>
        <w:rPr>
          <w:rFonts w:cs="Arial"/>
        </w:rPr>
      </w:pPr>
      <w:bookmarkStart w:id="195" w:name="_Hlk79661747"/>
      <w:r>
        <w:rPr>
          <w:rFonts w:cs="Arial"/>
        </w:rPr>
        <w:t>SIP</w:t>
      </w:r>
      <w:r w:rsidR="007862CE" w:rsidRPr="007862CE">
        <w:rPr>
          <w:rFonts w:cs="Arial"/>
        </w:rPr>
        <w:t xml:space="preserve"> </w:t>
      </w:r>
      <w:proofErr w:type="gramStart"/>
      <w:r w:rsidR="007862CE" w:rsidRPr="007862CE">
        <w:rPr>
          <w:rFonts w:cs="Arial"/>
        </w:rPr>
        <w:t>engages</w:t>
      </w:r>
      <w:proofErr w:type="gramEnd"/>
      <w:r w:rsidR="007862CE" w:rsidRPr="007862CE">
        <w:rPr>
          <w:rFonts w:cs="Arial"/>
        </w:rPr>
        <w:t xml:space="preserve"> participating districts in all five domains of the Blueprint for Inclusion through a structured, three-tiered system of support. At Tier 1, all California districts have access to the Blueprint via the SIP website and the Special </w:t>
      </w:r>
      <w:proofErr w:type="spellStart"/>
      <w:r w:rsidR="007862CE" w:rsidRPr="007862CE">
        <w:rPr>
          <w:rFonts w:cs="Arial"/>
        </w:rPr>
        <w:t>EDge</w:t>
      </w:r>
      <w:proofErr w:type="spellEnd"/>
      <w:r w:rsidR="007862CE" w:rsidRPr="007862CE">
        <w:rPr>
          <w:rFonts w:cs="Arial"/>
        </w:rPr>
        <w:t xml:space="preserve"> newsletter</w:t>
      </w:r>
      <w:r w:rsidR="00072CC8">
        <w:rPr>
          <w:rFonts w:cs="Arial"/>
        </w:rPr>
        <w:t xml:space="preserve"> and can be found at </w:t>
      </w:r>
      <w:r w:rsidR="00614645">
        <w:rPr>
          <w:rFonts w:cs="Arial"/>
          <w:color w:val="000000"/>
        </w:rPr>
        <w:t xml:space="preserve">the CALTAN </w:t>
      </w:r>
      <w:r w:rsidR="00614645" w:rsidRPr="00234C6F">
        <w:rPr>
          <w:rFonts w:cs="Arial"/>
          <w:color w:val="000000"/>
        </w:rPr>
        <w:t xml:space="preserve">at </w:t>
      </w:r>
      <w:hyperlink r:id="rId26" w:tooltip="CalTan Website" w:history="1">
        <w:r w:rsidR="00614645" w:rsidRPr="00B84496">
          <w:rPr>
            <w:rStyle w:val="Hyperlink"/>
            <w:rFonts w:eastAsiaTheme="majorEastAsia" w:cs="Arial"/>
          </w:rPr>
          <w:t>https://caltan.info/partners</w:t>
        </w:r>
      </w:hyperlink>
      <w:r w:rsidR="007862CE" w:rsidRPr="007862CE">
        <w:rPr>
          <w:rFonts w:cs="Arial"/>
        </w:rPr>
        <w:t xml:space="preserve">. At Tiers 2 and 3, grantee districts receive dedicated support from assigned SIP staff, including demonstration site visits, Blueprint self-assessments, and virtual or in-person meetings to guide </w:t>
      </w:r>
      <w:r w:rsidR="007862CE" w:rsidRPr="007862CE">
        <w:rPr>
          <w:rFonts w:cs="Arial"/>
        </w:rPr>
        <w:lastRenderedPageBreak/>
        <w:t>implementation across the Blueprint domains. These districts also benefit from professional development opportunities such as the annual Spring Institute, Culture of Accountability Workshops, and Inclusion Academies.</w:t>
      </w:r>
    </w:p>
    <w:p w14:paraId="7429A0DE" w14:textId="7E93C195" w:rsidR="007862CE" w:rsidRPr="007862CE" w:rsidRDefault="007862CE" w:rsidP="007862CE">
      <w:pPr>
        <w:spacing w:before="100" w:beforeAutospacing="1" w:after="100" w:afterAutospacing="1" w:line="300" w:lineRule="atLeast"/>
        <w:rPr>
          <w:rFonts w:cs="Arial"/>
        </w:rPr>
      </w:pPr>
      <w:r w:rsidRPr="007862CE">
        <w:rPr>
          <w:rFonts w:cs="Arial"/>
        </w:rPr>
        <w:t xml:space="preserve">SIP operates under a theory of change that posits districts engaging in evidence-based practices across the Blueprint’s five domains will experience increased knowledge, belief, and use of inclusive practices. These improvements are expected to drive systemic </w:t>
      </w:r>
      <w:r w:rsidR="00256411" w:rsidRPr="007862CE">
        <w:rPr>
          <w:rFonts w:cs="Arial"/>
        </w:rPr>
        <w:t>changes</w:t>
      </w:r>
      <w:r w:rsidRPr="007862CE">
        <w:rPr>
          <w:rFonts w:cs="Arial"/>
        </w:rPr>
        <w:t xml:space="preserve"> in culture, practice, and policy, ultimately leading to progress on key measures of </w:t>
      </w:r>
      <w:r w:rsidR="00DA6FDC">
        <w:rPr>
          <w:rFonts w:cs="Arial"/>
        </w:rPr>
        <w:t>LRE</w:t>
      </w:r>
      <w:r w:rsidRPr="007862CE">
        <w:rPr>
          <w:rFonts w:cs="Arial"/>
        </w:rPr>
        <w:t xml:space="preserve"> and overall student success.</w:t>
      </w:r>
    </w:p>
    <w:p w14:paraId="7C0D5D34" w14:textId="77777777" w:rsidR="007862CE" w:rsidRPr="007862CE" w:rsidRDefault="007862CE" w:rsidP="007862CE">
      <w:pPr>
        <w:spacing w:before="100" w:beforeAutospacing="1" w:after="100" w:afterAutospacing="1" w:line="300" w:lineRule="atLeast"/>
        <w:rPr>
          <w:rFonts w:cs="Arial"/>
        </w:rPr>
      </w:pPr>
      <w:r w:rsidRPr="007862CE">
        <w:rPr>
          <w:rFonts w:cs="Arial"/>
        </w:rPr>
        <w:t>Project data supports this theory, showing that districts with broader engagement across multiple Blueprint domains are more likely to meet inclusion goals. Additionally, districts with longer participation in SIP demonstrate more meaningful implementation and greater progress toward LRE targets. When districts adopt a systems-level approach—emphasizing leadership, data use, inclusive practices, scale-up, and sustainability—they consistently achieve measurable improvements.</w:t>
      </w:r>
    </w:p>
    <w:p w14:paraId="5A0A4621" w14:textId="74EDAE5C" w:rsidR="00A70DC9" w:rsidRPr="00BD200D" w:rsidRDefault="00A70DC9" w:rsidP="00AF3695">
      <w:pPr>
        <w:pStyle w:val="Heading4"/>
      </w:pPr>
      <w:r w:rsidRPr="00BD200D">
        <w:t xml:space="preserve">The Open Access </w:t>
      </w:r>
      <w:r w:rsidR="00CC6DAC">
        <w:t xml:space="preserve">(OA) </w:t>
      </w:r>
      <w:r w:rsidRPr="00BD200D">
        <w:t>Project</w:t>
      </w:r>
      <w:r w:rsidR="003A70BF">
        <w:t xml:space="preserve">: </w:t>
      </w:r>
      <w:r w:rsidRPr="00BD200D">
        <w:t>Universal Design for Learning</w:t>
      </w:r>
    </w:p>
    <w:p w14:paraId="62EFAD6E" w14:textId="47B5EAB5" w:rsidR="00306457" w:rsidRPr="00306457" w:rsidRDefault="00306457" w:rsidP="00306457">
      <w:pPr>
        <w:spacing w:before="100" w:beforeAutospacing="1" w:after="100" w:afterAutospacing="1" w:line="300" w:lineRule="atLeast"/>
        <w:rPr>
          <w:rFonts w:cs="Arial"/>
        </w:rPr>
      </w:pPr>
      <w:r w:rsidRPr="00306457">
        <w:rPr>
          <w:rFonts w:cs="Arial"/>
        </w:rPr>
        <w:t xml:space="preserve">The </w:t>
      </w:r>
      <w:r w:rsidRPr="00232AC2">
        <w:rPr>
          <w:rFonts w:cs="Arial"/>
        </w:rPr>
        <w:t>OA</w:t>
      </w:r>
      <w:r w:rsidRPr="00306457">
        <w:rPr>
          <w:rFonts w:cs="Arial"/>
        </w:rPr>
        <w:t xml:space="preserve"> Project, led by Placer County SELPA, plays a key role in </w:t>
      </w:r>
      <w:r w:rsidR="00A30C38" w:rsidRPr="00232AC2">
        <w:rPr>
          <w:rFonts w:cs="Arial"/>
        </w:rPr>
        <w:t xml:space="preserve">the </w:t>
      </w:r>
      <w:r w:rsidR="00AC3A72">
        <w:rPr>
          <w:rFonts w:cs="Arial"/>
        </w:rPr>
        <w:t>SSOS</w:t>
      </w:r>
      <w:r w:rsidRPr="00306457">
        <w:rPr>
          <w:rFonts w:cs="Arial"/>
        </w:rPr>
        <w:t xml:space="preserve"> by advancing inclusive education for students with disabilities. Its mission is to eliminate learning barriers and promote equitable access to high-quality instruction through </w:t>
      </w:r>
      <w:r w:rsidR="00A30C38" w:rsidRPr="00232AC2">
        <w:rPr>
          <w:rFonts w:cs="Arial"/>
        </w:rPr>
        <w:t>UDL,</w:t>
      </w:r>
      <w:r w:rsidR="00232AC2" w:rsidRPr="00232AC2">
        <w:rPr>
          <w:rFonts w:cs="Arial"/>
        </w:rPr>
        <w:t xml:space="preserve"> AT, </w:t>
      </w:r>
      <w:r w:rsidR="004B3EF5">
        <w:rPr>
          <w:rFonts w:cs="Arial"/>
        </w:rPr>
        <w:t xml:space="preserve">and </w:t>
      </w:r>
      <w:r w:rsidR="00232AC2" w:rsidRPr="00232AC2">
        <w:rPr>
          <w:rFonts w:cs="Arial"/>
        </w:rPr>
        <w:t>AAC.</w:t>
      </w:r>
    </w:p>
    <w:p w14:paraId="1FDD4E92" w14:textId="77777777" w:rsidR="00306457" w:rsidRPr="00306457" w:rsidRDefault="00306457" w:rsidP="00306457">
      <w:pPr>
        <w:spacing w:before="100" w:beforeAutospacing="1" w:after="100" w:afterAutospacing="1" w:line="300" w:lineRule="atLeast"/>
        <w:rPr>
          <w:rFonts w:cs="Arial"/>
        </w:rPr>
      </w:pPr>
      <w:r w:rsidRPr="00306457">
        <w:rPr>
          <w:rFonts w:cs="Arial"/>
        </w:rPr>
        <w:t>OA strengthens educator capacity and instructional quality by embedding UDL principles into core teaching practices. It supports inclusive environments through a three-tiered model: universal resources and training, targeted coaching via a trainer-of-trainers approach, and intensive technical assistance for identified districts. These efforts have led to measurable improvements in student engagement, educator confidence, and instructional design.</w:t>
      </w:r>
    </w:p>
    <w:p w14:paraId="081C0950" w14:textId="28FA01BD" w:rsidR="00306457" w:rsidRPr="00306457" w:rsidRDefault="00306457" w:rsidP="00306457">
      <w:pPr>
        <w:spacing w:before="100" w:beforeAutospacing="1" w:after="100" w:afterAutospacing="1" w:line="300" w:lineRule="atLeast"/>
        <w:rPr>
          <w:rFonts w:cs="Arial"/>
        </w:rPr>
      </w:pPr>
      <w:r w:rsidRPr="00306457">
        <w:rPr>
          <w:rFonts w:cs="Arial"/>
        </w:rPr>
        <w:t xml:space="preserve">The project also emphasizes collaboration through instructional rounds and walkthrough tools that help educators identify challenges and refine practices. </w:t>
      </w:r>
      <w:r w:rsidR="004B3EF5">
        <w:rPr>
          <w:rFonts w:cs="Arial"/>
        </w:rPr>
        <w:t xml:space="preserve">The </w:t>
      </w:r>
      <w:r w:rsidRPr="00306457">
        <w:rPr>
          <w:rFonts w:cs="Arial"/>
        </w:rPr>
        <w:t>OA Showcase Sites demonstrate successful implementation and serve as models for replication statewide. By aligning with California Dashboard indicators and focusing on student voice and agency, OA contributes to improved academic outcomes and long-term success for students with disabilities.</w:t>
      </w:r>
    </w:p>
    <w:p w14:paraId="6A2BC585" w14:textId="1D409537" w:rsidR="00D448D5" w:rsidRPr="00B9126A" w:rsidRDefault="003625FE" w:rsidP="00B9126A">
      <w:pPr>
        <w:pStyle w:val="Heading3"/>
        <w:rPr>
          <w:szCs w:val="28"/>
        </w:rPr>
      </w:pPr>
      <w:bookmarkStart w:id="196" w:name="_Toc212718095"/>
      <w:r w:rsidRPr="00B9126A">
        <w:rPr>
          <w:szCs w:val="28"/>
        </w:rPr>
        <w:lastRenderedPageBreak/>
        <w:t>D</w:t>
      </w:r>
      <w:r w:rsidR="00FD6144" w:rsidRPr="00B9126A">
        <w:rPr>
          <w:szCs w:val="28"/>
        </w:rPr>
        <w:t xml:space="preserve">ata </w:t>
      </w:r>
      <w:r w:rsidR="008468CC" w:rsidRPr="00B9126A">
        <w:rPr>
          <w:szCs w:val="28"/>
        </w:rPr>
        <w:t>C</w:t>
      </w:r>
      <w:r w:rsidR="00FD6144" w:rsidRPr="00B9126A">
        <w:rPr>
          <w:szCs w:val="28"/>
        </w:rPr>
        <w:t xml:space="preserve">ollected to </w:t>
      </w:r>
      <w:r w:rsidR="008468CC" w:rsidRPr="00B9126A">
        <w:rPr>
          <w:szCs w:val="28"/>
        </w:rPr>
        <w:t>M</w:t>
      </w:r>
      <w:r w:rsidR="00FD6144" w:rsidRPr="00B9126A">
        <w:rPr>
          <w:szCs w:val="28"/>
        </w:rPr>
        <w:t xml:space="preserve">onitor </w:t>
      </w:r>
      <w:r w:rsidR="008468CC" w:rsidRPr="00B9126A">
        <w:rPr>
          <w:szCs w:val="28"/>
        </w:rPr>
        <w:t>F</w:t>
      </w:r>
      <w:r w:rsidR="00FD6144" w:rsidRPr="00B9126A">
        <w:rPr>
          <w:szCs w:val="28"/>
        </w:rPr>
        <w:t xml:space="preserve">idelity of </w:t>
      </w:r>
      <w:r w:rsidR="008468CC" w:rsidRPr="00B9126A">
        <w:rPr>
          <w:szCs w:val="28"/>
        </w:rPr>
        <w:t>I</w:t>
      </w:r>
      <w:r w:rsidR="00FD6144" w:rsidRPr="00B9126A">
        <w:rPr>
          <w:szCs w:val="28"/>
        </w:rPr>
        <w:t xml:space="preserve">mplementation and to </w:t>
      </w:r>
      <w:r w:rsidR="008468CC" w:rsidRPr="00B9126A">
        <w:rPr>
          <w:szCs w:val="28"/>
        </w:rPr>
        <w:t>A</w:t>
      </w:r>
      <w:r w:rsidR="00FD6144" w:rsidRPr="00B9126A">
        <w:rPr>
          <w:szCs w:val="28"/>
        </w:rPr>
        <w:t xml:space="preserve">ssess </w:t>
      </w:r>
      <w:r w:rsidR="008468CC" w:rsidRPr="00B9126A">
        <w:rPr>
          <w:szCs w:val="28"/>
        </w:rPr>
        <w:t>Changes in P</w:t>
      </w:r>
      <w:r w:rsidR="00FD6144" w:rsidRPr="00B9126A">
        <w:rPr>
          <w:szCs w:val="28"/>
        </w:rPr>
        <w:t>ractice</w:t>
      </w:r>
      <w:bookmarkEnd w:id="195"/>
      <w:bookmarkEnd w:id="196"/>
    </w:p>
    <w:p w14:paraId="597056DC" w14:textId="77777777" w:rsidR="00DA0481" w:rsidRPr="00B9126A" w:rsidRDefault="00FE7F2E" w:rsidP="00AF3695">
      <w:pPr>
        <w:pStyle w:val="Heading4"/>
      </w:pPr>
      <w:r w:rsidRPr="00B9126A">
        <w:t>California Multi-Tiered System of Support</w:t>
      </w:r>
    </w:p>
    <w:p w14:paraId="71522315" w14:textId="7A20C465" w:rsidR="000A3B90" w:rsidRPr="000A3B90" w:rsidRDefault="000A3B90" w:rsidP="000A3B90">
      <w:pPr>
        <w:spacing w:before="100" w:beforeAutospacing="1" w:after="100" w:afterAutospacing="1" w:line="300" w:lineRule="atLeast"/>
        <w:rPr>
          <w:rFonts w:cs="Arial"/>
        </w:rPr>
      </w:pPr>
      <w:r w:rsidRPr="000A3B90">
        <w:rPr>
          <w:rFonts w:cs="Arial"/>
        </w:rPr>
        <w:t>The CA MTSS initiative is designed to help schools implement inclusive and equitable practices that support all students. To monitor fidelity of implementation, participating school and district teams use a series of self-assessment tools: the SWIFT-Fidelity Integrity Assessment, the Schoolwide Implementation Tool, and the LEA Self-Assessment. These tools evaluate school-wide practices, climate and culture, and district-level systems.</w:t>
      </w:r>
    </w:p>
    <w:p w14:paraId="7718DE54" w14:textId="77777777" w:rsidR="000A3B90" w:rsidRPr="000A3B90" w:rsidRDefault="000A3B90" w:rsidP="000A3B90">
      <w:pPr>
        <w:spacing w:before="100" w:beforeAutospacing="1" w:after="100" w:afterAutospacing="1" w:line="300" w:lineRule="atLeast"/>
        <w:rPr>
          <w:rFonts w:cs="Arial"/>
        </w:rPr>
      </w:pPr>
      <w:r w:rsidRPr="000A3B90">
        <w:rPr>
          <w:rFonts w:cs="Arial"/>
        </w:rPr>
        <w:t>Annual outcome reports for Phase 3 cohorts (3A, 3B, and 3C) provide both quantitative and anecdotal data on progress. These reports examine how well schools are implementing inclusive academic and behavioral instruction, social-emotional learning, trauma-informed practices, and culturally responsive approaches. Baseline assessments were conducted during each cohort’s first year of participation, and follow-up assessments are performed annually through June 2026.</w:t>
      </w:r>
    </w:p>
    <w:p w14:paraId="1016268B" w14:textId="0D0CC13B" w:rsidR="000A3B90" w:rsidRPr="000A3B90" w:rsidRDefault="000A3B90" w:rsidP="000A3B90">
      <w:pPr>
        <w:spacing w:before="100" w:beforeAutospacing="1" w:after="100" w:afterAutospacing="1" w:line="300" w:lineRule="atLeast"/>
        <w:rPr>
          <w:rFonts w:cs="Arial"/>
        </w:rPr>
      </w:pPr>
      <w:r w:rsidRPr="000A3B90">
        <w:rPr>
          <w:rFonts w:cs="Arial"/>
        </w:rPr>
        <w:t>Results from the 2024–25 program year are published in the Annual Progress Report on the Orange County Department of Education’s CA MTSS website</w:t>
      </w:r>
      <w:r w:rsidR="00252563">
        <w:rPr>
          <w:rFonts w:cs="Arial"/>
        </w:rPr>
        <w:t xml:space="preserve"> and can be found at the CDE </w:t>
      </w:r>
      <w:r w:rsidR="00252563">
        <w:rPr>
          <w:rFonts w:cs="Arial"/>
          <w:color w:val="000000"/>
        </w:rPr>
        <w:t xml:space="preserve">sponsored website the CALTAN </w:t>
      </w:r>
      <w:r w:rsidR="00252563" w:rsidRPr="00234C6F">
        <w:rPr>
          <w:rFonts w:cs="Arial"/>
          <w:color w:val="000000"/>
        </w:rPr>
        <w:t xml:space="preserve">at </w:t>
      </w:r>
      <w:hyperlink r:id="rId27" w:tooltip="CalTan Website" w:history="1">
        <w:r w:rsidR="00252563" w:rsidRPr="00B84496">
          <w:rPr>
            <w:rStyle w:val="Hyperlink"/>
            <w:rFonts w:eastAsiaTheme="majorEastAsia" w:cs="Arial"/>
          </w:rPr>
          <w:t>https://caltan.info/partners</w:t>
        </w:r>
      </w:hyperlink>
      <w:r w:rsidRPr="000A3B90">
        <w:rPr>
          <w:rFonts w:cs="Arial"/>
        </w:rPr>
        <w:t>.</w:t>
      </w:r>
    </w:p>
    <w:p w14:paraId="66E8CD1E" w14:textId="462C483D" w:rsidR="003B04A3" w:rsidRPr="00B9126A" w:rsidRDefault="003B04A3" w:rsidP="00AF3695">
      <w:pPr>
        <w:pStyle w:val="Heading4"/>
      </w:pPr>
      <w:r w:rsidRPr="00B9126A">
        <w:t>Supporting In</w:t>
      </w:r>
      <w:r w:rsidR="006522B4">
        <w:t>novat</w:t>
      </w:r>
      <w:r w:rsidRPr="00B9126A">
        <w:t>ive Practices</w:t>
      </w:r>
    </w:p>
    <w:p w14:paraId="614BD6B3" w14:textId="0221EB86" w:rsidR="00031B18" w:rsidRPr="00031B18" w:rsidRDefault="00357514" w:rsidP="00031B18">
      <w:pPr>
        <w:spacing w:before="100" w:beforeAutospacing="1" w:after="100" w:afterAutospacing="1" w:line="300" w:lineRule="atLeast"/>
        <w:rPr>
          <w:rFonts w:cs="Arial"/>
        </w:rPr>
      </w:pPr>
      <w:bookmarkStart w:id="197" w:name="_Hlk85807768"/>
      <w:r w:rsidRPr="00357514">
        <w:rPr>
          <w:rFonts w:cs="Arial"/>
        </w:rPr>
        <w:t>SIP</w:t>
      </w:r>
      <w:r w:rsidR="00031B18" w:rsidRPr="00031B18">
        <w:rPr>
          <w:rFonts w:cs="Arial"/>
        </w:rPr>
        <w:t xml:space="preserve"> monitors district engagement and implementation of inclusive practices through a structured data collection and evaluation process. SIP staff conduct quarterly project monitoring, documenting each district’s participation and focus areas aligned with the Blueprint for Inclusion. Data shows that most grantees meet with SIP teams multiple times per quarter and concentrate on scaling up evidence-based classroom inclusion strategies.</w:t>
      </w:r>
    </w:p>
    <w:p w14:paraId="357874C2" w14:textId="77777777" w:rsidR="00031B18" w:rsidRPr="00031B18" w:rsidRDefault="00031B18" w:rsidP="00031B18">
      <w:pPr>
        <w:spacing w:before="100" w:beforeAutospacing="1" w:after="100" w:afterAutospacing="1" w:line="300" w:lineRule="atLeast"/>
        <w:rPr>
          <w:rFonts w:cs="Arial"/>
        </w:rPr>
      </w:pPr>
      <w:r w:rsidRPr="00031B18">
        <w:rPr>
          <w:rFonts w:cs="Arial"/>
        </w:rPr>
        <w:t>To assess immediate outcomes, SIP administers general surveys twice annually and targeted surveys before and after professional development events such as demonstration site visits and inclusion academies. Survey results from 2024–25 indicate statistically significant increases in participants’ knowledge, beliefs, and use of inclusive practices, with consistently positive feedback from grantees.</w:t>
      </w:r>
    </w:p>
    <w:p w14:paraId="6924073F" w14:textId="6E3CBD99" w:rsidR="00031B18" w:rsidRPr="00031B18" w:rsidRDefault="00031B18" w:rsidP="00031B18">
      <w:pPr>
        <w:spacing w:before="100" w:beforeAutospacing="1" w:after="100" w:afterAutospacing="1" w:line="300" w:lineRule="atLeast"/>
        <w:rPr>
          <w:rFonts w:cs="Arial"/>
        </w:rPr>
      </w:pPr>
      <w:r w:rsidRPr="00031B18">
        <w:rPr>
          <w:rFonts w:cs="Arial"/>
        </w:rPr>
        <w:t xml:space="preserve">SIP also conducts case studies of successful districts to identify effective systemic reform strategies. Long-term impact is evaluated through annual analysis of state data </w:t>
      </w:r>
      <w:r w:rsidRPr="00031B18">
        <w:rPr>
          <w:rFonts w:cs="Arial"/>
        </w:rPr>
        <w:lastRenderedPageBreak/>
        <w:t xml:space="preserve">on </w:t>
      </w:r>
      <w:r w:rsidR="00DA6FDC">
        <w:rPr>
          <w:rFonts w:cs="Arial"/>
        </w:rPr>
        <w:t>LRE</w:t>
      </w:r>
      <w:r w:rsidRPr="00031B18">
        <w:rPr>
          <w:rFonts w:cs="Arial"/>
        </w:rPr>
        <w:t>. Districts that broadly implement the Blueprint and maintain multi-year participation in SIP show measurable improvements in LRE outcomes.</w:t>
      </w:r>
    </w:p>
    <w:p w14:paraId="038BCEE8" w14:textId="1C987C4B" w:rsidR="00F87967" w:rsidRDefault="00F87967" w:rsidP="00AF3695">
      <w:pPr>
        <w:pStyle w:val="Heading4"/>
      </w:pPr>
      <w:r w:rsidRPr="00BD200D">
        <w:t>The Open Access Project</w:t>
      </w:r>
      <w:r w:rsidR="002730CD">
        <w:t xml:space="preserve">: </w:t>
      </w:r>
      <w:r w:rsidRPr="00BD200D">
        <w:t>Universal Design for Learning</w:t>
      </w:r>
    </w:p>
    <w:p w14:paraId="459787AB" w14:textId="4A0E5532" w:rsidR="004E455D" w:rsidRPr="004E455D" w:rsidRDefault="00837B60" w:rsidP="004E455D">
      <w:pPr>
        <w:spacing w:before="100" w:beforeAutospacing="1" w:after="100" w:afterAutospacing="1" w:line="300" w:lineRule="atLeast"/>
        <w:rPr>
          <w:rFonts w:cs="Arial"/>
        </w:rPr>
      </w:pPr>
      <w:r>
        <w:rPr>
          <w:rFonts w:cs="Arial"/>
        </w:rPr>
        <w:t xml:space="preserve">The </w:t>
      </w:r>
      <w:r w:rsidR="004E455D" w:rsidRPr="004E455D">
        <w:rPr>
          <w:rFonts w:cs="Arial"/>
        </w:rPr>
        <w:t xml:space="preserve">OA </w:t>
      </w:r>
      <w:r>
        <w:rPr>
          <w:rFonts w:cs="Arial"/>
        </w:rPr>
        <w:t xml:space="preserve">Project </w:t>
      </w:r>
      <w:r w:rsidR="004E455D" w:rsidRPr="004E455D">
        <w:rPr>
          <w:rFonts w:cs="Arial"/>
        </w:rPr>
        <w:t xml:space="preserve">supports educators through a three-tiered model: universal training and resources, targeted coaching via a trainer-of-trainers approach, and intensive </w:t>
      </w:r>
      <w:r w:rsidR="00220D4C">
        <w:rPr>
          <w:rFonts w:cs="Arial"/>
        </w:rPr>
        <w:t>TA</w:t>
      </w:r>
      <w:r w:rsidR="004E455D" w:rsidRPr="004E455D">
        <w:rPr>
          <w:rFonts w:cs="Arial"/>
        </w:rPr>
        <w:t xml:space="preserve"> for identified districts. The project also promotes student agency, voice, and self-advocacy.</w:t>
      </w:r>
    </w:p>
    <w:p w14:paraId="613C7958" w14:textId="415F51D6" w:rsidR="004E455D" w:rsidRPr="004E455D" w:rsidRDefault="004E455D" w:rsidP="004E455D">
      <w:pPr>
        <w:spacing w:before="100" w:beforeAutospacing="1" w:after="100" w:afterAutospacing="1" w:line="300" w:lineRule="atLeast"/>
        <w:rPr>
          <w:rFonts w:cs="Arial"/>
        </w:rPr>
      </w:pPr>
      <w:r w:rsidRPr="004E455D">
        <w:rPr>
          <w:rFonts w:cs="Arial"/>
        </w:rPr>
        <w:t xml:space="preserve">To monitor impact, </w:t>
      </w:r>
      <w:r w:rsidR="00B05681">
        <w:rPr>
          <w:rFonts w:cs="Arial"/>
        </w:rPr>
        <w:t xml:space="preserve">the </w:t>
      </w:r>
      <w:r w:rsidRPr="004E455D">
        <w:rPr>
          <w:rFonts w:cs="Arial"/>
        </w:rPr>
        <w:t xml:space="preserve">OA </w:t>
      </w:r>
      <w:r w:rsidR="00B05681">
        <w:rPr>
          <w:rFonts w:cs="Arial"/>
        </w:rPr>
        <w:t xml:space="preserve">Project </w:t>
      </w:r>
      <w:r w:rsidRPr="004E455D">
        <w:rPr>
          <w:rFonts w:cs="Arial"/>
        </w:rPr>
        <w:t>collects both quantitative and qualitative data, including training participation rates, pre/post assessments, classroom walkthroughs, and perception surveys from teachers and students. These tools help evaluate implementation</w:t>
      </w:r>
      <w:r w:rsidR="00C101DC" w:rsidRPr="00C101DC">
        <w:rPr>
          <w:rFonts w:cs="Arial"/>
        </w:rPr>
        <w:t>,</w:t>
      </w:r>
      <w:r w:rsidRPr="004E455D">
        <w:rPr>
          <w:rFonts w:cs="Arial"/>
        </w:rPr>
        <w:t xml:space="preserve"> fidelity</w:t>
      </w:r>
      <w:r w:rsidR="00C101DC" w:rsidRPr="00C101DC">
        <w:rPr>
          <w:rFonts w:cs="Arial"/>
        </w:rPr>
        <w:t>,</w:t>
      </w:r>
      <w:r w:rsidRPr="004E455D">
        <w:rPr>
          <w:rFonts w:cs="Arial"/>
        </w:rPr>
        <w:t xml:space="preserve"> and instructional shifts.</w:t>
      </w:r>
    </w:p>
    <w:p w14:paraId="68081715" w14:textId="6FD9186B" w:rsidR="004E455D" w:rsidRPr="004E455D" w:rsidRDefault="004E455D" w:rsidP="004E455D">
      <w:pPr>
        <w:spacing w:before="100" w:beforeAutospacing="1" w:after="100" w:afterAutospacing="1" w:line="300" w:lineRule="atLeast"/>
        <w:rPr>
          <w:rFonts w:cs="Arial"/>
        </w:rPr>
      </w:pPr>
      <w:r w:rsidRPr="004E455D">
        <w:rPr>
          <w:rFonts w:cs="Arial"/>
        </w:rPr>
        <w:t>Demonstration schools, such as Redwood Preparatory Charter School, showcase the effectiveness of OA strategies. In 2024–25, Redwood Prep exceeded county and state averages in academic performance, with over 80</w:t>
      </w:r>
      <w:r w:rsidR="00227EF1">
        <w:rPr>
          <w:rFonts w:cs="Arial"/>
        </w:rPr>
        <w:t xml:space="preserve"> percent</w:t>
      </w:r>
      <w:r w:rsidRPr="004E455D">
        <w:rPr>
          <w:rFonts w:cs="Arial"/>
        </w:rPr>
        <w:t xml:space="preserve"> of students with disabilities included in general education settings.</w:t>
      </w:r>
    </w:p>
    <w:p w14:paraId="196A72F9" w14:textId="56D4CD53" w:rsidR="004E455D" w:rsidRPr="004E455D" w:rsidRDefault="004E455D" w:rsidP="004E455D">
      <w:pPr>
        <w:spacing w:before="100" w:beforeAutospacing="1" w:after="100" w:afterAutospacing="1" w:line="300" w:lineRule="atLeast"/>
        <w:rPr>
          <w:rFonts w:cs="Arial"/>
        </w:rPr>
      </w:pPr>
      <w:r w:rsidRPr="004E455D">
        <w:rPr>
          <w:rFonts w:cs="Arial"/>
        </w:rPr>
        <w:t>OA also collaborates with SSOS partners and provides monthly technical assistance meetings to LEAs, with strong feedback affirming the value of its support. These efforts reflect OA’s commitment to scaling inclusive practices and improving outcomes statewide.</w:t>
      </w:r>
    </w:p>
    <w:p w14:paraId="0780DCA0" w14:textId="77777777" w:rsidR="00F87967" w:rsidRPr="00BD200D" w:rsidRDefault="00F87967" w:rsidP="00F70873">
      <w:pPr>
        <w:rPr>
          <w:color w:val="000000"/>
        </w:rPr>
      </w:pPr>
    </w:p>
    <w:p w14:paraId="552C276D" w14:textId="1D8EB9F6" w:rsidR="00970622" w:rsidRPr="00B9126A" w:rsidRDefault="003625FE" w:rsidP="00B9126A">
      <w:pPr>
        <w:pStyle w:val="Heading3"/>
        <w:rPr>
          <w:szCs w:val="28"/>
        </w:rPr>
      </w:pPr>
      <w:bookmarkStart w:id="198" w:name="_Toc212718096"/>
      <w:r w:rsidRPr="00B9126A">
        <w:rPr>
          <w:szCs w:val="28"/>
        </w:rPr>
        <w:t>N</w:t>
      </w:r>
      <w:r w:rsidR="00FD6144" w:rsidRPr="00B9126A">
        <w:rPr>
          <w:szCs w:val="28"/>
        </w:rPr>
        <w:t xml:space="preserve">ext </w:t>
      </w:r>
      <w:r w:rsidR="001860FA" w:rsidRPr="00B9126A">
        <w:rPr>
          <w:szCs w:val="28"/>
        </w:rPr>
        <w:t>S</w:t>
      </w:r>
      <w:r w:rsidR="00FD6144" w:rsidRPr="00B9126A">
        <w:rPr>
          <w:szCs w:val="28"/>
        </w:rPr>
        <w:t xml:space="preserve">teps for each </w:t>
      </w:r>
      <w:r w:rsidR="001860FA" w:rsidRPr="00B9126A">
        <w:rPr>
          <w:szCs w:val="28"/>
        </w:rPr>
        <w:t>E</w:t>
      </w:r>
      <w:r w:rsidR="00FD6144" w:rsidRPr="00B9126A">
        <w:rPr>
          <w:szCs w:val="28"/>
        </w:rPr>
        <w:t>vidence-</w:t>
      </w:r>
      <w:r w:rsidR="001860FA" w:rsidRPr="00B9126A">
        <w:rPr>
          <w:szCs w:val="28"/>
        </w:rPr>
        <w:t>B</w:t>
      </w:r>
      <w:r w:rsidR="00FD6144" w:rsidRPr="00B9126A">
        <w:rPr>
          <w:szCs w:val="28"/>
        </w:rPr>
        <w:t xml:space="preserve">ased </w:t>
      </w:r>
      <w:r w:rsidR="001860FA" w:rsidRPr="00B9126A">
        <w:rPr>
          <w:szCs w:val="28"/>
        </w:rPr>
        <w:t>P</w:t>
      </w:r>
      <w:r w:rsidR="00FD6144" w:rsidRPr="00B9126A">
        <w:rPr>
          <w:szCs w:val="28"/>
        </w:rPr>
        <w:t xml:space="preserve">ractices and the </w:t>
      </w:r>
      <w:r w:rsidR="001860FA" w:rsidRPr="00B9126A">
        <w:rPr>
          <w:szCs w:val="28"/>
        </w:rPr>
        <w:t>A</w:t>
      </w:r>
      <w:r w:rsidR="00FD6144" w:rsidRPr="00B9126A">
        <w:rPr>
          <w:szCs w:val="28"/>
        </w:rPr>
        <w:t xml:space="preserve">nticipated </w:t>
      </w:r>
      <w:r w:rsidR="001860FA" w:rsidRPr="00B9126A">
        <w:rPr>
          <w:szCs w:val="28"/>
        </w:rPr>
        <w:t>O</w:t>
      </w:r>
      <w:r w:rsidR="00FD6144" w:rsidRPr="00B9126A">
        <w:rPr>
          <w:szCs w:val="28"/>
        </w:rPr>
        <w:t xml:space="preserve">utcomes to be </w:t>
      </w:r>
      <w:r w:rsidR="001860FA" w:rsidRPr="00B9126A">
        <w:rPr>
          <w:szCs w:val="28"/>
        </w:rPr>
        <w:t>A</w:t>
      </w:r>
      <w:r w:rsidR="00FD6144" w:rsidRPr="00B9126A">
        <w:rPr>
          <w:szCs w:val="28"/>
        </w:rPr>
        <w:t xml:space="preserve">ttained </w:t>
      </w:r>
      <w:r w:rsidR="001860FA" w:rsidRPr="00B9126A">
        <w:rPr>
          <w:szCs w:val="28"/>
        </w:rPr>
        <w:t>D</w:t>
      </w:r>
      <w:r w:rsidR="00FD6144" w:rsidRPr="00B9126A">
        <w:rPr>
          <w:szCs w:val="28"/>
        </w:rPr>
        <w:t xml:space="preserve">uring the </w:t>
      </w:r>
      <w:r w:rsidR="001860FA" w:rsidRPr="00B9126A">
        <w:rPr>
          <w:szCs w:val="28"/>
        </w:rPr>
        <w:t>N</w:t>
      </w:r>
      <w:r w:rsidR="00FD6144" w:rsidRPr="00B9126A">
        <w:rPr>
          <w:szCs w:val="28"/>
        </w:rPr>
        <w:t xml:space="preserve">ext </w:t>
      </w:r>
      <w:r w:rsidR="001860FA" w:rsidRPr="00B9126A">
        <w:rPr>
          <w:szCs w:val="28"/>
        </w:rPr>
        <w:t>R</w:t>
      </w:r>
      <w:r w:rsidR="00FD6144" w:rsidRPr="00B9126A">
        <w:rPr>
          <w:szCs w:val="28"/>
        </w:rPr>
        <w:t xml:space="preserve">eporting </w:t>
      </w:r>
      <w:r w:rsidR="001860FA" w:rsidRPr="00B9126A">
        <w:rPr>
          <w:szCs w:val="28"/>
        </w:rPr>
        <w:t>P</w:t>
      </w:r>
      <w:r w:rsidR="00FD6144" w:rsidRPr="00B9126A">
        <w:rPr>
          <w:szCs w:val="28"/>
        </w:rPr>
        <w:t>eriod</w:t>
      </w:r>
      <w:bookmarkEnd w:id="197"/>
      <w:bookmarkEnd w:id="198"/>
    </w:p>
    <w:p w14:paraId="06C139EA" w14:textId="77777777" w:rsidR="00FE7F2E" w:rsidRPr="00B9126A" w:rsidRDefault="00FE7F2E" w:rsidP="00AF3695">
      <w:pPr>
        <w:pStyle w:val="Heading4"/>
      </w:pPr>
      <w:r w:rsidRPr="00B9126A">
        <w:t>California Multi-Tiered System of Support</w:t>
      </w:r>
    </w:p>
    <w:p w14:paraId="20A704F7" w14:textId="6D50538A" w:rsidR="00BA3112" w:rsidRPr="00BA3112" w:rsidRDefault="00BA3112" w:rsidP="00BA3112">
      <w:pPr>
        <w:spacing w:before="100" w:beforeAutospacing="1" w:after="100" w:afterAutospacing="1" w:line="300" w:lineRule="atLeast"/>
        <w:rPr>
          <w:rFonts w:cs="Arial"/>
        </w:rPr>
      </w:pPr>
      <w:r w:rsidRPr="001B0196">
        <w:rPr>
          <w:rFonts w:cs="Arial"/>
        </w:rPr>
        <w:t>The CA MTSS</w:t>
      </w:r>
      <w:r w:rsidRPr="00BA3112">
        <w:rPr>
          <w:rFonts w:cs="Arial"/>
        </w:rPr>
        <w:t xml:space="preserve"> Pathway Certification for Schools is a key component of the state’s strategy to promote inclusive and equitable education. As part of Phase 3 implementation, it is recommended that 90</w:t>
      </w:r>
      <w:r w:rsidR="00141FF2">
        <w:rPr>
          <w:rFonts w:cs="Arial"/>
        </w:rPr>
        <w:t xml:space="preserve"> percent</w:t>
      </w:r>
      <w:r w:rsidRPr="00BA3112">
        <w:rPr>
          <w:rFonts w:cs="Arial"/>
        </w:rPr>
        <w:t xml:space="preserve"> of certificated and paraprofessional staff at participating schools complete the certification course during the grant period. For </w:t>
      </w:r>
      <w:r w:rsidR="009905DE">
        <w:rPr>
          <w:rFonts w:cs="Arial"/>
        </w:rPr>
        <w:t>COEs</w:t>
      </w:r>
      <w:r w:rsidR="00220D4C">
        <w:rPr>
          <w:rFonts w:cs="Arial"/>
        </w:rPr>
        <w:t>,</w:t>
      </w:r>
      <w:r w:rsidRPr="00BA3112">
        <w:rPr>
          <w:rFonts w:cs="Arial"/>
        </w:rPr>
        <w:t xml:space="preserve"> the goal is for </w:t>
      </w:r>
      <w:r w:rsidR="00926E61">
        <w:rPr>
          <w:rFonts w:cs="Arial"/>
        </w:rPr>
        <w:t>two</w:t>
      </w:r>
      <w:r w:rsidR="00AF3695">
        <w:rPr>
          <w:rFonts w:cs="Arial"/>
        </w:rPr>
        <w:t xml:space="preserve"> to </w:t>
      </w:r>
      <w:r w:rsidR="00926E61">
        <w:rPr>
          <w:rFonts w:cs="Arial"/>
        </w:rPr>
        <w:t>five</w:t>
      </w:r>
      <w:r w:rsidRPr="00BA3112">
        <w:rPr>
          <w:rFonts w:cs="Arial"/>
        </w:rPr>
        <w:t xml:space="preserve"> staff members to complete the Coach Pathway.</w:t>
      </w:r>
    </w:p>
    <w:p w14:paraId="42762A15" w14:textId="46354ACE" w:rsidR="00BA3112" w:rsidRPr="00BA3112" w:rsidRDefault="00BA3112" w:rsidP="00BA3112">
      <w:pPr>
        <w:spacing w:before="100" w:beforeAutospacing="1" w:after="100" w:afterAutospacing="1" w:line="300" w:lineRule="atLeast"/>
        <w:rPr>
          <w:rFonts w:cs="Arial"/>
        </w:rPr>
      </w:pPr>
      <w:r w:rsidRPr="00BA3112">
        <w:rPr>
          <w:rFonts w:cs="Arial"/>
        </w:rPr>
        <w:t xml:space="preserve">Coaching for Cohorts A, B, and C began between April 2022 and April 2023 and will continue through June 2026. These coaching efforts aim to build educator confidence, support implementation of inclusive practices, and strengthen school and district capacity. </w:t>
      </w:r>
      <w:r w:rsidR="001B0196" w:rsidRPr="001B0196">
        <w:rPr>
          <w:rFonts w:cs="Arial"/>
        </w:rPr>
        <w:t xml:space="preserve">CoPs </w:t>
      </w:r>
      <w:r w:rsidRPr="00BA3112">
        <w:rPr>
          <w:rFonts w:cs="Arial"/>
        </w:rPr>
        <w:t>will also continue to provide technical assistance and peer support.</w:t>
      </w:r>
    </w:p>
    <w:p w14:paraId="4A3943DE" w14:textId="655B4EAB" w:rsidR="00BA3112" w:rsidRPr="00BA3112" w:rsidRDefault="00BA3112" w:rsidP="00BA3112">
      <w:pPr>
        <w:spacing w:before="100" w:beforeAutospacing="1" w:after="100" w:afterAutospacing="1" w:line="300" w:lineRule="atLeast"/>
        <w:rPr>
          <w:rFonts w:cs="Arial"/>
        </w:rPr>
      </w:pPr>
      <w:r w:rsidRPr="00BA3112">
        <w:rPr>
          <w:rFonts w:cs="Arial"/>
        </w:rPr>
        <w:lastRenderedPageBreak/>
        <w:t xml:space="preserve">Annual fidelity measures will track progress in improving school climate, inclusive practices, and district systems. These improvements are expected to lead to positive student outcomes, including reduced suspensions and expulsions, fewer discipline referrals, improved attendance, increased graduation rates, and higher academic achievement. Results for the 2024–25 program year </w:t>
      </w:r>
      <w:r w:rsidR="001B0196" w:rsidRPr="001B0196">
        <w:rPr>
          <w:rFonts w:cs="Arial"/>
        </w:rPr>
        <w:t>are</w:t>
      </w:r>
      <w:r w:rsidRPr="00BA3112">
        <w:rPr>
          <w:rFonts w:cs="Arial"/>
        </w:rPr>
        <w:t xml:space="preserve"> published in the Annual Progress Report on the Orange County Department of Education’s CA MTSS website</w:t>
      </w:r>
      <w:r w:rsidR="00252563">
        <w:rPr>
          <w:rFonts w:cs="Arial"/>
        </w:rPr>
        <w:t xml:space="preserve"> and can be </w:t>
      </w:r>
      <w:r w:rsidR="007F7A2B">
        <w:rPr>
          <w:rFonts w:cs="Arial"/>
        </w:rPr>
        <w:t xml:space="preserve">found at the CDE </w:t>
      </w:r>
      <w:r w:rsidR="007F7A2B">
        <w:rPr>
          <w:rFonts w:cs="Arial"/>
          <w:color w:val="000000"/>
        </w:rPr>
        <w:t xml:space="preserve">sponsored website the CALTAN </w:t>
      </w:r>
      <w:r w:rsidR="007F7A2B" w:rsidRPr="00234C6F">
        <w:rPr>
          <w:rFonts w:cs="Arial"/>
          <w:color w:val="000000"/>
        </w:rPr>
        <w:t xml:space="preserve">at </w:t>
      </w:r>
      <w:hyperlink r:id="rId28" w:tooltip="CalTan Website" w:history="1">
        <w:r w:rsidR="007F7A2B" w:rsidRPr="00B84496">
          <w:rPr>
            <w:rStyle w:val="Hyperlink"/>
            <w:rFonts w:eastAsiaTheme="majorEastAsia" w:cs="Arial"/>
          </w:rPr>
          <w:t>https://caltan.info/partners</w:t>
        </w:r>
      </w:hyperlink>
      <w:r w:rsidRPr="00BA3112">
        <w:rPr>
          <w:rFonts w:cs="Arial"/>
        </w:rPr>
        <w:t>.</w:t>
      </w:r>
    </w:p>
    <w:p w14:paraId="7EC50A42" w14:textId="254488CA" w:rsidR="00FE7F2E" w:rsidRPr="00B9126A" w:rsidRDefault="00FE7F2E" w:rsidP="00AF3695">
      <w:pPr>
        <w:pStyle w:val="Heading4"/>
      </w:pPr>
      <w:r w:rsidRPr="00B9126A">
        <w:t>Supporting In</w:t>
      </w:r>
      <w:r w:rsidR="006522B4">
        <w:t>novat</w:t>
      </w:r>
      <w:r w:rsidRPr="00B9126A">
        <w:t>ive Practices</w:t>
      </w:r>
    </w:p>
    <w:p w14:paraId="31C771FB" w14:textId="109358E6" w:rsidR="00915028" w:rsidRPr="00915028" w:rsidRDefault="00B2450C" w:rsidP="00915028">
      <w:pPr>
        <w:spacing w:before="100" w:beforeAutospacing="1" w:after="100" w:afterAutospacing="1" w:line="300" w:lineRule="atLeast"/>
        <w:rPr>
          <w:rFonts w:cs="Arial"/>
        </w:rPr>
      </w:pPr>
      <w:r>
        <w:rPr>
          <w:rFonts w:cs="Arial"/>
        </w:rPr>
        <w:t>SIP</w:t>
      </w:r>
      <w:r w:rsidR="00915028" w:rsidRPr="00915028">
        <w:rPr>
          <w:rFonts w:cs="Arial"/>
        </w:rPr>
        <w:t xml:space="preserve"> is grounded in a theory of change that emphasizes the importance of educators directly experiencing and testing inclusive practices. As a result, Inclusion Academies and Demonstration Site programs have become central to SIP’s professional development offerings. To enhance accessibility and impact, SIP is streamlining registration, attendance tracking, and participant data collection to better assess long-term, multi-year effects on systemic change.</w:t>
      </w:r>
    </w:p>
    <w:p w14:paraId="4B6C85BF" w14:textId="77777777" w:rsidR="00915028" w:rsidRPr="00915028" w:rsidRDefault="00915028" w:rsidP="00915028">
      <w:pPr>
        <w:spacing w:before="100" w:beforeAutospacing="1" w:after="100" w:afterAutospacing="1" w:line="300" w:lineRule="atLeast"/>
        <w:rPr>
          <w:rFonts w:cs="Arial"/>
        </w:rPr>
      </w:pPr>
      <w:r w:rsidRPr="00915028">
        <w:rPr>
          <w:rFonts w:cs="Arial"/>
        </w:rPr>
        <w:t xml:space="preserve">In the upcoming year, demonstration site access will be expanded to all schools statewide, rather than being limited to grantees. SIP has identified the need for multi-method data collection to more accurately capture the full scope of systems change, recognizing that state indicator data alone may be incomplete or inconsistent. By integrating multiple levels and types of data, SIP </w:t>
      </w:r>
      <w:proofErr w:type="gramStart"/>
      <w:r w:rsidRPr="00915028">
        <w:rPr>
          <w:rFonts w:cs="Arial"/>
        </w:rPr>
        <w:t>is able to</w:t>
      </w:r>
      <w:proofErr w:type="gramEnd"/>
      <w:r w:rsidRPr="00915028">
        <w:rPr>
          <w:rFonts w:cs="Arial"/>
        </w:rPr>
        <w:t xml:space="preserve"> demonstrate its broad reach, intensive engagement with LEAs, and successful case examples supported by technical assistance.</w:t>
      </w:r>
    </w:p>
    <w:p w14:paraId="1D53C8E1" w14:textId="0E491B3D" w:rsidR="00915028" w:rsidRPr="00915028" w:rsidRDefault="00915028" w:rsidP="00915028">
      <w:pPr>
        <w:spacing w:before="100" w:beforeAutospacing="1" w:after="100" w:afterAutospacing="1" w:line="300" w:lineRule="atLeast"/>
        <w:rPr>
          <w:rFonts w:cs="Arial"/>
        </w:rPr>
      </w:pPr>
      <w:r w:rsidRPr="00915028">
        <w:rPr>
          <w:rFonts w:cs="Arial"/>
        </w:rPr>
        <w:t xml:space="preserve">SIP remains committed to improving its data collection processes to better reflect the initiative’s impact. The theory of change suggests that deeper and sustained engagement with SIP correlates with improved </w:t>
      </w:r>
      <w:r w:rsidR="00B2450C">
        <w:rPr>
          <w:rFonts w:cs="Arial"/>
        </w:rPr>
        <w:t>LRE</w:t>
      </w:r>
      <w:r w:rsidRPr="00915028">
        <w:rPr>
          <w:rFonts w:cs="Arial"/>
        </w:rPr>
        <w:t xml:space="preserve"> outcomes and overall student success. Continuous improvement is anticipated among participating districts throughout the upcoming academic year.</w:t>
      </w:r>
    </w:p>
    <w:p w14:paraId="6CB7E4F2" w14:textId="67AD99C3" w:rsidR="003811FF" w:rsidRPr="003811FF" w:rsidRDefault="00BB0842" w:rsidP="00AF3695">
      <w:pPr>
        <w:pStyle w:val="Heading4"/>
        <w:rPr>
          <w:rFonts w:cs="Arial"/>
          <w:bCs/>
        </w:rPr>
      </w:pPr>
      <w:r w:rsidRPr="00BD200D">
        <w:t>T</w:t>
      </w:r>
      <w:r w:rsidR="00B03B55" w:rsidRPr="00BD200D">
        <w:t>he Open Access Project</w:t>
      </w:r>
      <w:r w:rsidR="002730CD">
        <w:t xml:space="preserve">: </w:t>
      </w:r>
      <w:r w:rsidR="00B03B55" w:rsidRPr="00BD200D">
        <w:t>Universal Design for Learning</w:t>
      </w:r>
    </w:p>
    <w:p w14:paraId="2EE59C31" w14:textId="30BAFA9E" w:rsidR="000617D9" w:rsidRPr="000617D9" w:rsidRDefault="00B12729" w:rsidP="000617D9">
      <w:pPr>
        <w:spacing w:before="100" w:beforeAutospacing="1" w:after="100" w:afterAutospacing="1" w:line="300" w:lineRule="atLeast"/>
        <w:rPr>
          <w:rFonts w:cs="Arial"/>
        </w:rPr>
      </w:pPr>
      <w:r>
        <w:rPr>
          <w:rFonts w:cs="Arial"/>
        </w:rPr>
        <w:t xml:space="preserve">The </w:t>
      </w:r>
      <w:r w:rsidR="004031AB" w:rsidRPr="004031AB">
        <w:rPr>
          <w:rFonts w:cs="Arial"/>
        </w:rPr>
        <w:t>OA Project</w:t>
      </w:r>
      <w:r w:rsidR="000617D9" w:rsidRPr="000617D9">
        <w:rPr>
          <w:rFonts w:cs="Arial"/>
        </w:rPr>
        <w:t xml:space="preserve">, led by Placer County SELPA, supports inclusive education across California by building </w:t>
      </w:r>
      <w:proofErr w:type="gramStart"/>
      <w:r w:rsidR="000617D9" w:rsidRPr="000617D9">
        <w:rPr>
          <w:rFonts w:cs="Arial"/>
        </w:rPr>
        <w:t>educator</w:t>
      </w:r>
      <w:proofErr w:type="gramEnd"/>
      <w:r w:rsidR="000617D9" w:rsidRPr="000617D9">
        <w:rPr>
          <w:rFonts w:cs="Arial"/>
        </w:rPr>
        <w:t xml:space="preserve"> capacity and improving student outcomes for students with disabilities. In 2024–25, OA expanded its statewide professional learning offerings through in-person, virtual, and asynchronous training formats. The Inclusive Learning Circles webinar series continued to be offered live and recorded, with sessions archived for broader accessibility.</w:t>
      </w:r>
    </w:p>
    <w:p w14:paraId="39A5D121" w14:textId="062CFEEB" w:rsidR="000617D9" w:rsidRPr="000617D9" w:rsidRDefault="00B12729" w:rsidP="000617D9">
      <w:pPr>
        <w:spacing w:before="100" w:beforeAutospacing="1" w:after="100" w:afterAutospacing="1" w:line="300" w:lineRule="atLeast"/>
        <w:rPr>
          <w:rFonts w:cs="Arial"/>
        </w:rPr>
      </w:pPr>
      <w:r>
        <w:rPr>
          <w:rFonts w:cs="Arial"/>
        </w:rPr>
        <w:lastRenderedPageBreak/>
        <w:t xml:space="preserve">The </w:t>
      </w:r>
      <w:r w:rsidR="000617D9" w:rsidRPr="000617D9">
        <w:rPr>
          <w:rFonts w:cs="Arial"/>
        </w:rPr>
        <w:t>OA</w:t>
      </w:r>
      <w:r>
        <w:rPr>
          <w:rFonts w:cs="Arial"/>
        </w:rPr>
        <w:t xml:space="preserve"> Project</w:t>
      </w:r>
      <w:r w:rsidR="000617D9" w:rsidRPr="000617D9">
        <w:rPr>
          <w:rFonts w:cs="Arial"/>
        </w:rPr>
        <w:t xml:space="preserve"> launched its first podcast, </w:t>
      </w:r>
      <w:r w:rsidR="000617D9" w:rsidRPr="000617D9">
        <w:rPr>
          <w:rFonts w:cs="Arial"/>
          <w:i/>
          <w:iCs/>
        </w:rPr>
        <w:t>UDL Unlocked: One Consideration at a Time</w:t>
      </w:r>
      <w:r w:rsidR="000617D9" w:rsidRPr="000617D9">
        <w:rPr>
          <w:rFonts w:cs="Arial"/>
        </w:rPr>
        <w:t>, in August 2025. The podcast shares equity-centered strategies through themed episodes featuring educators, students, and experts. It is available on Spotify and the</w:t>
      </w:r>
      <w:r w:rsidR="0038017F">
        <w:rPr>
          <w:rFonts w:cs="Arial"/>
        </w:rPr>
        <w:t xml:space="preserve"> </w:t>
      </w:r>
      <w:r w:rsidR="000617D9" w:rsidRPr="000617D9">
        <w:rPr>
          <w:rFonts w:cs="Arial"/>
        </w:rPr>
        <w:t xml:space="preserve">OA </w:t>
      </w:r>
      <w:r w:rsidR="0038017F">
        <w:rPr>
          <w:rFonts w:cs="Arial"/>
        </w:rPr>
        <w:t xml:space="preserve">Project </w:t>
      </w:r>
      <w:r w:rsidR="000617D9" w:rsidRPr="000617D9">
        <w:rPr>
          <w:rFonts w:cs="Arial"/>
        </w:rPr>
        <w:t>website</w:t>
      </w:r>
      <w:r w:rsidR="00614645">
        <w:rPr>
          <w:rFonts w:cs="Arial"/>
        </w:rPr>
        <w:t xml:space="preserve"> </w:t>
      </w:r>
      <w:r w:rsidR="00BF3E10">
        <w:rPr>
          <w:rFonts w:cs="Arial"/>
          <w:color w:val="000000"/>
        </w:rPr>
        <w:t xml:space="preserve">found at the CALTAN </w:t>
      </w:r>
      <w:r w:rsidR="00BF3E10" w:rsidRPr="00234C6F">
        <w:rPr>
          <w:rFonts w:cs="Arial"/>
          <w:color w:val="000000"/>
        </w:rPr>
        <w:t xml:space="preserve">at </w:t>
      </w:r>
      <w:hyperlink r:id="rId29" w:tooltip="CalTan Website" w:history="1">
        <w:r w:rsidR="00BF3E10" w:rsidRPr="00B84496">
          <w:rPr>
            <w:rStyle w:val="Hyperlink"/>
            <w:rFonts w:eastAsiaTheme="majorEastAsia" w:cs="Arial"/>
          </w:rPr>
          <w:t>https://caltan.info/partners</w:t>
        </w:r>
      </w:hyperlink>
      <w:r w:rsidR="000617D9" w:rsidRPr="000617D9">
        <w:rPr>
          <w:rFonts w:cs="Arial"/>
        </w:rPr>
        <w:t>.</w:t>
      </w:r>
    </w:p>
    <w:p w14:paraId="2954A3D9" w14:textId="397869EC" w:rsidR="000617D9" w:rsidRPr="000617D9" w:rsidRDefault="000617D9" w:rsidP="000617D9">
      <w:pPr>
        <w:spacing w:before="100" w:beforeAutospacing="1" w:after="100" w:afterAutospacing="1" w:line="300" w:lineRule="atLeast"/>
        <w:rPr>
          <w:rFonts w:cs="Arial"/>
        </w:rPr>
      </w:pPr>
      <w:r w:rsidRPr="000617D9">
        <w:rPr>
          <w:rFonts w:cs="Arial"/>
        </w:rPr>
        <w:t xml:space="preserve">In response to partner feedback, </w:t>
      </w:r>
      <w:r w:rsidR="00AA77D2">
        <w:rPr>
          <w:rFonts w:cs="Arial"/>
        </w:rPr>
        <w:t xml:space="preserve">the </w:t>
      </w:r>
      <w:r w:rsidRPr="000617D9">
        <w:rPr>
          <w:rFonts w:cs="Arial"/>
        </w:rPr>
        <w:t xml:space="preserve">OA </w:t>
      </w:r>
      <w:r w:rsidR="00AA77D2">
        <w:rPr>
          <w:rFonts w:cs="Arial"/>
        </w:rPr>
        <w:t xml:space="preserve">Project </w:t>
      </w:r>
      <w:r w:rsidRPr="000617D9">
        <w:rPr>
          <w:rFonts w:cs="Arial"/>
        </w:rPr>
        <w:t xml:space="preserve">redesigned its coaching model into a group-based format to increase accessibility, foster collaboration, and strengthen shared leadership. </w:t>
      </w:r>
      <w:r w:rsidR="00AA77D2">
        <w:rPr>
          <w:rFonts w:cs="Arial"/>
        </w:rPr>
        <w:t xml:space="preserve">The </w:t>
      </w:r>
      <w:r w:rsidRPr="000617D9">
        <w:rPr>
          <w:rFonts w:cs="Arial"/>
        </w:rPr>
        <w:t>OA</w:t>
      </w:r>
      <w:r w:rsidR="00AA77D2">
        <w:rPr>
          <w:rFonts w:cs="Arial"/>
        </w:rPr>
        <w:t xml:space="preserve"> Project</w:t>
      </w:r>
      <w:r w:rsidRPr="000617D9">
        <w:rPr>
          <w:rFonts w:cs="Arial"/>
        </w:rPr>
        <w:t xml:space="preserve"> also expanded its </w:t>
      </w:r>
      <w:r w:rsidR="00D90244">
        <w:rPr>
          <w:rFonts w:cs="Arial"/>
        </w:rPr>
        <w:t>RILs</w:t>
      </w:r>
      <w:r w:rsidRPr="000617D9">
        <w:rPr>
          <w:rFonts w:cs="Arial"/>
        </w:rPr>
        <w:t xml:space="preserve"> to deliver localized, context-driven support and build long-term capacity for inclusive practices.</w:t>
      </w:r>
    </w:p>
    <w:p w14:paraId="2F1E92E6" w14:textId="4ECBDC7B" w:rsidR="000617D9" w:rsidRPr="000617D9" w:rsidRDefault="000617D9" w:rsidP="000617D9">
      <w:pPr>
        <w:spacing w:before="100" w:beforeAutospacing="1" w:after="100" w:afterAutospacing="1" w:line="300" w:lineRule="atLeast"/>
        <w:rPr>
          <w:rFonts w:cs="Arial"/>
        </w:rPr>
      </w:pPr>
      <w:r w:rsidRPr="000617D9">
        <w:rPr>
          <w:rFonts w:cs="Arial"/>
        </w:rPr>
        <w:t xml:space="preserve">Additionally, </w:t>
      </w:r>
      <w:r w:rsidR="001B5BE3">
        <w:rPr>
          <w:rFonts w:cs="Arial"/>
        </w:rPr>
        <w:t xml:space="preserve">the </w:t>
      </w:r>
      <w:r w:rsidRPr="000617D9">
        <w:rPr>
          <w:rFonts w:cs="Arial"/>
        </w:rPr>
        <w:t xml:space="preserve">OA </w:t>
      </w:r>
      <w:r w:rsidR="001B5BE3">
        <w:rPr>
          <w:rFonts w:cs="Arial"/>
        </w:rPr>
        <w:t xml:space="preserve">Project </w:t>
      </w:r>
      <w:r w:rsidRPr="000617D9">
        <w:rPr>
          <w:rFonts w:cs="Arial"/>
        </w:rPr>
        <w:t xml:space="preserve">continued developing its network of Showcase Sites, which </w:t>
      </w:r>
      <w:r w:rsidR="004031AB" w:rsidRPr="000617D9">
        <w:rPr>
          <w:rFonts w:cs="Arial"/>
        </w:rPr>
        <w:t>allows</w:t>
      </w:r>
      <w:r w:rsidRPr="000617D9">
        <w:rPr>
          <w:rFonts w:cs="Arial"/>
        </w:rPr>
        <w:t xml:space="preserve"> educators to observe evidence-based practices in action. These sites serve as models for sustainable systems that promote equitable outcomes for students with disabilities and their general education peers.</w:t>
      </w:r>
    </w:p>
    <w:p w14:paraId="1D59597E" w14:textId="6E88B754" w:rsidR="00FD6144" w:rsidRPr="00D55FA1" w:rsidRDefault="00FD6144">
      <w:pPr>
        <w:pStyle w:val="Heading3"/>
      </w:pPr>
      <w:bookmarkStart w:id="199" w:name="_Toc212718097"/>
      <w:r w:rsidRPr="002730CD">
        <w:t xml:space="preserve">Section C: </w:t>
      </w:r>
      <w:r w:rsidR="00CE1176">
        <w:t>Interest H</w:t>
      </w:r>
      <w:r w:rsidRPr="002730CD">
        <w:t>older Engagement</w:t>
      </w:r>
      <w:r w:rsidR="00FE2892" w:rsidRPr="002730CD">
        <w:t xml:space="preserve"> History</w:t>
      </w:r>
      <w:bookmarkEnd w:id="199"/>
    </w:p>
    <w:p w14:paraId="5DBB4E13" w14:textId="2A69F10A" w:rsidR="008201AD" w:rsidRPr="00D55FA1" w:rsidRDefault="008201AD" w:rsidP="00DF008C">
      <w:pPr>
        <w:spacing w:before="240" w:after="240"/>
      </w:pPr>
      <w:r w:rsidRPr="00D55FA1">
        <w:rPr>
          <w:rFonts w:cs="Arial"/>
          <w:color w:val="000000"/>
          <w:kern w:val="28"/>
        </w:rPr>
        <w:t xml:space="preserve">In anticipation of </w:t>
      </w:r>
      <w:r w:rsidR="002E2E35">
        <w:rPr>
          <w:rFonts w:cs="Arial"/>
          <w:color w:val="000000"/>
          <w:kern w:val="28"/>
        </w:rPr>
        <w:t>the</w:t>
      </w:r>
      <w:r w:rsidR="006522B4">
        <w:rPr>
          <w:rFonts w:cs="Arial"/>
          <w:color w:val="000000"/>
          <w:kern w:val="28"/>
        </w:rPr>
        <w:t xml:space="preserve"> </w:t>
      </w:r>
      <w:r w:rsidR="002E2E35">
        <w:rPr>
          <w:rFonts w:cs="Arial"/>
          <w:color w:val="000000"/>
          <w:kern w:val="28"/>
        </w:rPr>
        <w:t>necessary updates to</w:t>
      </w:r>
      <w:r w:rsidRPr="00D55FA1">
        <w:rPr>
          <w:rFonts w:cs="Arial"/>
          <w:color w:val="000000"/>
          <w:kern w:val="28"/>
        </w:rPr>
        <w:t xml:space="preserve"> California’s prior SPP/APR</w:t>
      </w:r>
      <w:r w:rsidR="002E2E35">
        <w:rPr>
          <w:rFonts w:cs="Arial"/>
          <w:color w:val="000000"/>
          <w:kern w:val="28"/>
        </w:rPr>
        <w:t>,</w:t>
      </w:r>
      <w:r w:rsidRPr="00D55FA1">
        <w:rPr>
          <w:rFonts w:cs="Arial"/>
          <w:color w:val="000000"/>
          <w:kern w:val="28"/>
        </w:rPr>
        <w:t xml:space="preserve"> </w:t>
      </w:r>
      <w:r w:rsidR="002E2E35">
        <w:rPr>
          <w:rFonts w:cs="Arial"/>
          <w:color w:val="000000"/>
          <w:kern w:val="28"/>
        </w:rPr>
        <w:t>which</w:t>
      </w:r>
      <w:r w:rsidR="002E2E35" w:rsidRPr="00D55FA1">
        <w:rPr>
          <w:rFonts w:cs="Arial"/>
          <w:color w:val="000000"/>
          <w:kern w:val="28"/>
        </w:rPr>
        <w:t xml:space="preserve"> </w:t>
      </w:r>
      <w:r w:rsidRPr="00D55FA1">
        <w:rPr>
          <w:rFonts w:cs="Arial"/>
          <w:color w:val="000000"/>
          <w:kern w:val="28"/>
        </w:rPr>
        <w:t>conclude</w:t>
      </w:r>
      <w:r w:rsidR="002E2E35">
        <w:rPr>
          <w:rFonts w:cs="Arial"/>
          <w:color w:val="000000"/>
          <w:kern w:val="28"/>
        </w:rPr>
        <w:t>d</w:t>
      </w:r>
      <w:r w:rsidRPr="00D55FA1">
        <w:rPr>
          <w:rFonts w:cs="Arial"/>
          <w:color w:val="000000"/>
          <w:kern w:val="28"/>
        </w:rPr>
        <w:t xml:space="preserve"> with the 2019</w:t>
      </w:r>
      <w:r w:rsidR="1197831A" w:rsidRPr="00D55FA1">
        <w:t>–</w:t>
      </w:r>
      <w:r w:rsidRPr="00D55FA1">
        <w:rPr>
          <w:rFonts w:cs="Arial"/>
          <w:color w:val="000000"/>
          <w:kern w:val="28"/>
        </w:rPr>
        <w:t xml:space="preserve">20 program year, </w:t>
      </w:r>
      <w:r w:rsidRPr="00D55FA1">
        <w:t>the CDE co</w:t>
      </w:r>
      <w:r w:rsidR="002E2E35">
        <w:t>nducted</w:t>
      </w:r>
      <w:r w:rsidR="006522B4">
        <w:t xml:space="preserve"> </w:t>
      </w:r>
      <w:r w:rsidRPr="00D55FA1">
        <w:t>a series of meetings</w:t>
      </w:r>
      <w:r w:rsidR="00064001" w:rsidRPr="00D55FA1">
        <w:t xml:space="preserve"> with interested parties</w:t>
      </w:r>
      <w:r w:rsidRPr="00D55FA1">
        <w:t xml:space="preserve"> to discuss</w:t>
      </w:r>
      <w:r w:rsidR="006522B4">
        <w:t xml:space="preserve"> </w:t>
      </w:r>
      <w:r w:rsidRPr="00D55FA1">
        <w:t xml:space="preserve">and develop recommended targets for the new six-year cycle of the revised SPP. Beginning in August 2019, these meetings were held over a two-year period and were designed to engage </w:t>
      </w:r>
      <w:r w:rsidR="00064001" w:rsidRPr="00D55FA1">
        <w:t xml:space="preserve">interested parties </w:t>
      </w:r>
      <w:r w:rsidRPr="00D55FA1">
        <w:t xml:space="preserve">from various backgrounds </w:t>
      </w:r>
      <w:r w:rsidR="005E2803" w:rsidRPr="00D55FA1">
        <w:t>–</w:t>
      </w:r>
      <w:r w:rsidRPr="00D55FA1">
        <w:t xml:space="preserve"> educators, parents, school administrators, policy advisors, school psychologists, </w:t>
      </w:r>
      <w:r w:rsidR="4F4CFC4D" w:rsidRPr="00D55FA1">
        <w:t>FECs</w:t>
      </w:r>
      <w:r w:rsidRPr="00D55FA1">
        <w:t xml:space="preserve">, early education, advocacy groups, and state advisory board members. The CDE leveraged these </w:t>
      </w:r>
      <w:r w:rsidR="00064001" w:rsidRPr="00D55FA1">
        <w:t>interested parties</w:t>
      </w:r>
      <w:r w:rsidRPr="00D55FA1">
        <w:t xml:space="preserve">, with their breadth and depth of knowledge, to help inform the development of a new set of rigorous state targets for the </w:t>
      </w:r>
      <w:r w:rsidR="002E2E35">
        <w:t>current</w:t>
      </w:r>
      <w:r w:rsidR="002E2E35" w:rsidRPr="00D55FA1">
        <w:t xml:space="preserve"> </w:t>
      </w:r>
      <w:r w:rsidRPr="00D55FA1">
        <w:t>six-year SPP cycle.</w:t>
      </w:r>
    </w:p>
    <w:p w14:paraId="0D7B7645" w14:textId="0896B417" w:rsidR="008201AD" w:rsidRPr="00D55FA1" w:rsidRDefault="008201AD" w:rsidP="00DF008C">
      <w:pPr>
        <w:spacing w:before="240" w:after="240"/>
      </w:pPr>
      <w:r>
        <w:t>During meetings</w:t>
      </w:r>
      <w:r w:rsidR="00064001">
        <w:t xml:space="preserve"> with interested parties</w:t>
      </w:r>
      <w:r>
        <w:t xml:space="preserve">, </w:t>
      </w:r>
      <w:r w:rsidR="00064001">
        <w:t xml:space="preserve">the </w:t>
      </w:r>
      <w:r>
        <w:t xml:space="preserve">CDE staff thoroughly reviewed the twelve performance indicators. The remaining indicators under the SPP are compliance indicators, with targets set at zero or one hundred percent by </w:t>
      </w:r>
      <w:proofErr w:type="gramStart"/>
      <w:r w:rsidR="005E2803">
        <w:t xml:space="preserve">the </w:t>
      </w:r>
      <w:r>
        <w:t>OSEP</w:t>
      </w:r>
      <w:proofErr w:type="gramEnd"/>
      <w:r>
        <w:t xml:space="preserve">. The twelve performance indicators were partnered with detailed presentations to inform the </w:t>
      </w:r>
      <w:r w:rsidR="00064001">
        <w:t xml:space="preserve">interested parties </w:t>
      </w:r>
      <w:r>
        <w:t xml:space="preserve">of the history and data </w:t>
      </w:r>
      <w:r w:rsidR="342541FE">
        <w:t>trends and</w:t>
      </w:r>
      <w:r>
        <w:t xml:space="preserve"> assist them in making informed recommendations. The presentations included an explanation of how each indicator is defined, measured, and calculated; an in-depth history of statewide performance trends over the last five years; and a comparison of how California’s results compare to other states of similar size and demographics, along with data forecasting. These meetings provided time for stakeholders to discuss statewide data, target setting, and how the CDE can provide support for LEAs to meet more rigorous targets. Following the publication of the revised measurement table, the CDE reconvened the </w:t>
      </w:r>
      <w:r w:rsidR="00064001">
        <w:t xml:space="preserve">interested party </w:t>
      </w:r>
      <w:r>
        <w:t xml:space="preserve">group to discuss the changes to key indicators, including assessment, school age </w:t>
      </w:r>
      <w:r w:rsidR="00E229E0">
        <w:t>LRE</w:t>
      </w:r>
      <w:r>
        <w:t xml:space="preserve">, preschool </w:t>
      </w:r>
      <w:r w:rsidR="00E229E0">
        <w:t>LRE</w:t>
      </w:r>
      <w:r>
        <w:t xml:space="preserve">, parent involvement, post school outcomes, and graduation rate, and </w:t>
      </w:r>
      <w:r>
        <w:lastRenderedPageBreak/>
        <w:t xml:space="preserve">provided </w:t>
      </w:r>
      <w:r w:rsidR="00064001">
        <w:t xml:space="preserve">the interested parties </w:t>
      </w:r>
      <w:r>
        <w:t xml:space="preserve">with the opportunity to refine their recommendations for these targets </w:t>
      </w:r>
      <w:proofErr w:type="gramStart"/>
      <w:r>
        <w:t>in light of</w:t>
      </w:r>
      <w:proofErr w:type="gramEnd"/>
      <w:r>
        <w:t xml:space="preserve"> the new calculations.</w:t>
      </w:r>
    </w:p>
    <w:p w14:paraId="48A8845B" w14:textId="130990F5" w:rsidR="00FD6144" w:rsidRPr="00D55FA1" w:rsidRDefault="003625FE" w:rsidP="00AF3695">
      <w:pPr>
        <w:pStyle w:val="Heading4"/>
      </w:pPr>
      <w:r w:rsidRPr="002730CD">
        <w:t>S</w:t>
      </w:r>
      <w:r w:rsidR="00FD6144" w:rsidRPr="002730CD">
        <w:t xml:space="preserve">pecific </w:t>
      </w:r>
      <w:r w:rsidR="00AD58BE" w:rsidRPr="002730CD">
        <w:t>S</w:t>
      </w:r>
      <w:r w:rsidR="00FD6144" w:rsidRPr="002730CD">
        <w:t xml:space="preserve">trategies </w:t>
      </w:r>
      <w:r w:rsidR="00AD58BE" w:rsidRPr="002730CD">
        <w:t>I</w:t>
      </w:r>
      <w:r w:rsidR="00FD6144" w:rsidRPr="002730CD">
        <w:t xml:space="preserve">mplemented to </w:t>
      </w:r>
      <w:r w:rsidR="00AD58BE" w:rsidRPr="002730CD">
        <w:t>E</w:t>
      </w:r>
      <w:r w:rsidR="00FD6144" w:rsidRPr="002730CD">
        <w:t xml:space="preserve">ngage </w:t>
      </w:r>
      <w:r w:rsidR="00AD58BE" w:rsidRPr="002730CD">
        <w:t>I</w:t>
      </w:r>
      <w:r w:rsidR="00064001" w:rsidRPr="002730CD">
        <w:t xml:space="preserve">nterested </w:t>
      </w:r>
      <w:r w:rsidR="00AD58BE" w:rsidRPr="002730CD">
        <w:t>P</w:t>
      </w:r>
      <w:r w:rsidR="00064001" w:rsidRPr="002730CD">
        <w:t xml:space="preserve">arties </w:t>
      </w:r>
      <w:r w:rsidR="00FD6144" w:rsidRPr="002730CD">
        <w:t xml:space="preserve">in </w:t>
      </w:r>
      <w:r w:rsidR="00AD58BE" w:rsidRPr="002730CD">
        <w:t>K</w:t>
      </w:r>
      <w:r w:rsidR="00FD6144" w:rsidRPr="002730CD">
        <w:t xml:space="preserve">ey </w:t>
      </w:r>
      <w:r w:rsidR="00AD58BE" w:rsidRPr="002730CD">
        <w:t>I</w:t>
      </w:r>
      <w:r w:rsidR="00FD6144" w:rsidRPr="002730CD">
        <w:t xml:space="preserve">mprovement </w:t>
      </w:r>
      <w:r w:rsidR="00AD58BE" w:rsidRPr="002730CD">
        <w:t>E</w:t>
      </w:r>
      <w:r w:rsidR="00FD6144" w:rsidRPr="002730CD">
        <w:t>fforts</w:t>
      </w:r>
    </w:p>
    <w:p w14:paraId="202AFCA6" w14:textId="56715D31" w:rsidR="002730CD" w:rsidRDefault="0024073B" w:rsidP="00DF008C">
      <w:pPr>
        <w:spacing w:before="240" w:after="240"/>
      </w:pPr>
      <w:r>
        <w:t>Beginning with the</w:t>
      </w:r>
      <w:r w:rsidR="002730CD">
        <w:t xml:space="preserve"> FFY 2023 SSIP</w:t>
      </w:r>
      <w:r>
        <w:t xml:space="preserve"> and continuing</w:t>
      </w:r>
      <w:r w:rsidR="007230B4">
        <w:t xml:space="preserve"> for FFY 2024</w:t>
      </w:r>
      <w:r w:rsidR="002730CD">
        <w:t xml:space="preserve">, the CDE partnered with the </w:t>
      </w:r>
      <w:r w:rsidR="006578C1">
        <w:t>SIL</w:t>
      </w:r>
      <w:r w:rsidR="002730CD">
        <w:t xml:space="preserve"> and S</w:t>
      </w:r>
      <w:r w:rsidR="0000280E">
        <w:t>eeds</w:t>
      </w:r>
      <w:r w:rsidR="002730CD">
        <w:t xml:space="preserve"> of Partnership to create at-a-glance documents for parents and families explaining and detailing what the SSIP is and how it impacts their student. The CDE collected feedback forms from several parent and family organizations </w:t>
      </w:r>
      <w:proofErr w:type="gramStart"/>
      <w:r w:rsidR="002730CD">
        <w:t>as a way to</w:t>
      </w:r>
      <w:proofErr w:type="gramEnd"/>
      <w:r w:rsidR="002730CD">
        <w:t xml:space="preserve"> measure how effective this strategy was and how to improve for the next cycle. </w:t>
      </w:r>
    </w:p>
    <w:p w14:paraId="1A1243A1" w14:textId="47A19948" w:rsidR="00FD6144" w:rsidRPr="00D55FA1" w:rsidRDefault="00E77B15" w:rsidP="00DF008C">
      <w:pPr>
        <w:spacing w:before="240" w:after="240"/>
      </w:pPr>
      <w:r>
        <w:t xml:space="preserve">The CDE engaged with a diverse set of </w:t>
      </w:r>
      <w:r w:rsidR="00064001">
        <w:t xml:space="preserve">interested parties </w:t>
      </w:r>
      <w:r>
        <w:t xml:space="preserve">over the course of the last fiscal year. </w:t>
      </w:r>
      <w:r w:rsidR="00064001">
        <w:t xml:space="preserve">The </w:t>
      </w:r>
      <w:r>
        <w:t xml:space="preserve">CDE staff presented the SSIP and the SSOS to </w:t>
      </w:r>
      <w:r w:rsidR="00064001">
        <w:t xml:space="preserve">interested parties </w:t>
      </w:r>
      <w:r>
        <w:t xml:space="preserve">and informed and updated them on the various implementation strategies and the </w:t>
      </w:r>
      <w:r w:rsidR="00254337" w:rsidRPr="75520D9F">
        <w:rPr>
          <w:lang w:eastAsia="zh-CN"/>
        </w:rPr>
        <w:t>EBPs</w:t>
      </w:r>
      <w:r w:rsidR="00254337">
        <w:t xml:space="preserve"> </w:t>
      </w:r>
      <w:r>
        <w:t xml:space="preserve">used in the SSOS to achieve better outcomes for </w:t>
      </w:r>
      <w:r w:rsidR="00BA0A92">
        <w:t>SWD</w:t>
      </w:r>
      <w:r>
        <w:t xml:space="preserve">. The CDE collected feedback from all </w:t>
      </w:r>
      <w:r w:rsidR="00064001">
        <w:t xml:space="preserve">interested parties </w:t>
      </w:r>
      <w:r w:rsidR="0093529A">
        <w:t>on all</w:t>
      </w:r>
      <w:r w:rsidR="008250DC">
        <w:t xml:space="preserve"> aspects of the SSIP. </w:t>
      </w:r>
      <w:r w:rsidR="00560F3A">
        <w:t xml:space="preserve">Moving </w:t>
      </w:r>
      <w:r w:rsidR="0375D838">
        <w:t>forward,</w:t>
      </w:r>
      <w:r w:rsidR="00560F3A">
        <w:t xml:space="preserve"> t</w:t>
      </w:r>
      <w:r w:rsidR="004651E6">
        <w:t xml:space="preserve">he CDE plans to meet with this group </w:t>
      </w:r>
      <w:r w:rsidR="00064001">
        <w:t xml:space="preserve">of interested parties </w:t>
      </w:r>
      <w:r w:rsidR="004651E6">
        <w:t>biannually to be transparent about the work supporting the SSIP and the SSOS as well as to continuously collect feedback to improve efforts.</w:t>
      </w:r>
    </w:p>
    <w:p w14:paraId="1EEE9012" w14:textId="3787A259" w:rsidR="00FD6144" w:rsidRDefault="003E4FB4" w:rsidP="00DF008C">
      <w:pPr>
        <w:spacing w:before="240" w:after="240"/>
        <w:rPr>
          <w:rFonts w:eastAsia="Calibri" w:cs="Arial"/>
          <w:szCs w:val="22"/>
        </w:rPr>
      </w:pPr>
      <w:r w:rsidRPr="00D55FA1">
        <w:rPr>
          <w:rFonts w:eastAsia="Calibri" w:cs="Arial"/>
          <w:szCs w:val="22"/>
        </w:rPr>
        <w:t xml:space="preserve">This targeted engagement with </w:t>
      </w:r>
      <w:r w:rsidR="00064001" w:rsidRPr="00D55FA1">
        <w:rPr>
          <w:rFonts w:eastAsia="Calibri" w:cs="Arial"/>
          <w:szCs w:val="22"/>
        </w:rPr>
        <w:t xml:space="preserve">interested parties </w:t>
      </w:r>
      <w:r w:rsidRPr="00D55FA1">
        <w:rPr>
          <w:rFonts w:eastAsia="Calibri" w:cs="Arial"/>
          <w:szCs w:val="22"/>
        </w:rPr>
        <w:t xml:space="preserve">was in addition to standard engagement opportunities around SSIP implementation, the </w:t>
      </w:r>
      <w:r w:rsidR="00BA0A92" w:rsidRPr="00D55FA1">
        <w:rPr>
          <w:rFonts w:eastAsia="Calibri" w:cs="Arial"/>
          <w:szCs w:val="22"/>
        </w:rPr>
        <w:t>S</w:t>
      </w:r>
      <w:r w:rsidRPr="00D55FA1">
        <w:rPr>
          <w:rFonts w:eastAsia="Calibri" w:cs="Arial"/>
          <w:szCs w:val="22"/>
        </w:rPr>
        <w:t xml:space="preserve">SOS, and any other emerging area of critical need. As in prior years, those opportunities included monthly meetings and conference calls with the Statewide SELPA organization, bi-monthly meetings with the Special Education Administrators of County Offices, regular meetings (generally every other month) with the California Advisory Commission on Special Education, and bi-monthly </w:t>
      </w:r>
      <w:r w:rsidR="00BB043A" w:rsidRPr="00D55FA1">
        <w:rPr>
          <w:rFonts w:eastAsia="Calibri" w:cs="Arial"/>
          <w:szCs w:val="22"/>
        </w:rPr>
        <w:t>SBE</w:t>
      </w:r>
      <w:r w:rsidRPr="00D55FA1">
        <w:rPr>
          <w:rFonts w:eastAsia="Calibri" w:cs="Arial"/>
          <w:szCs w:val="22"/>
        </w:rPr>
        <w:t xml:space="preserve"> meetings.</w:t>
      </w:r>
    </w:p>
    <w:p w14:paraId="659DEA7E" w14:textId="7639D330" w:rsidR="00EC7B0D" w:rsidRDefault="00EC7B0D">
      <w:pPr>
        <w:spacing w:after="160" w:line="259" w:lineRule="auto"/>
        <w:rPr>
          <w:rFonts w:eastAsia="Calibri" w:cs="Arial"/>
          <w:szCs w:val="22"/>
        </w:rPr>
      </w:pPr>
      <w:r>
        <w:rPr>
          <w:rFonts w:eastAsia="Calibri" w:cs="Arial"/>
          <w:szCs w:val="22"/>
        </w:rPr>
        <w:br w:type="page"/>
      </w:r>
    </w:p>
    <w:p w14:paraId="628176CD" w14:textId="7BA04E25" w:rsidR="00EC7B0D" w:rsidRPr="00D55FA1" w:rsidRDefault="00EC7B0D" w:rsidP="007A43E3">
      <w:pPr>
        <w:pStyle w:val="Heading2"/>
        <w:jc w:val="center"/>
      </w:pPr>
      <w:bookmarkStart w:id="200" w:name="_Toc212718098"/>
      <w:r w:rsidRPr="0057719E">
        <w:lastRenderedPageBreak/>
        <w:t>Indicator 18: General Supervision</w:t>
      </w:r>
      <w:bookmarkEnd w:id="200"/>
    </w:p>
    <w:p w14:paraId="1BB791CF" w14:textId="77777777" w:rsidR="00EC7B0D" w:rsidRPr="00D55FA1" w:rsidRDefault="00EC7B0D" w:rsidP="00EC7B0D">
      <w:pPr>
        <w:pStyle w:val="Heading3"/>
        <w:spacing w:before="0"/>
        <w:rPr>
          <w:rFonts w:cs="Arial"/>
          <w:bCs/>
        </w:rPr>
      </w:pPr>
      <w:bookmarkStart w:id="201" w:name="_Toc212718099"/>
      <w:r w:rsidRPr="00D55FA1">
        <w:t>Description</w:t>
      </w:r>
      <w:bookmarkEnd w:id="201"/>
    </w:p>
    <w:p w14:paraId="6C6164EC" w14:textId="72127E85" w:rsidR="00EC7B0D" w:rsidRPr="00D55FA1" w:rsidRDefault="00EC7B0D" w:rsidP="00EC7B0D">
      <w:pPr>
        <w:spacing w:after="240"/>
        <w:rPr>
          <w:rFonts w:cs="Arial"/>
        </w:rPr>
      </w:pPr>
      <w:r w:rsidRPr="00D55FA1">
        <w:rPr>
          <w:rFonts w:cs="Arial"/>
        </w:rPr>
        <w:t>Indicator 1</w:t>
      </w:r>
      <w:r w:rsidR="00C945C3">
        <w:rPr>
          <w:rFonts w:cs="Arial"/>
        </w:rPr>
        <w:t>8</w:t>
      </w:r>
      <w:r w:rsidRPr="00D55FA1">
        <w:rPr>
          <w:rFonts w:cs="Arial"/>
        </w:rPr>
        <w:t xml:space="preserve"> is a </w:t>
      </w:r>
      <w:r w:rsidR="00C945C3">
        <w:rPr>
          <w:rFonts w:cs="Arial"/>
        </w:rPr>
        <w:t>compliance</w:t>
      </w:r>
      <w:r w:rsidRPr="00D55FA1">
        <w:rPr>
          <w:rFonts w:cs="Arial"/>
        </w:rPr>
        <w:t xml:space="preserve"> indicator that measures the </w:t>
      </w:r>
      <w:r w:rsidR="003D7C0A" w:rsidRPr="00D55FA1">
        <w:rPr>
          <w:rFonts w:cs="Arial"/>
        </w:rPr>
        <w:t>percentage</w:t>
      </w:r>
      <w:r w:rsidRPr="00D55FA1">
        <w:rPr>
          <w:rFonts w:cs="Arial"/>
        </w:rPr>
        <w:t xml:space="preserve"> of </w:t>
      </w:r>
      <w:r w:rsidR="003C104C">
        <w:rPr>
          <w:rFonts w:cs="Arial"/>
        </w:rPr>
        <w:t>noncompliance</w:t>
      </w:r>
      <w:r w:rsidR="002424DF">
        <w:rPr>
          <w:rFonts w:cs="Arial"/>
        </w:rPr>
        <w:t xml:space="preserve"> findings</w:t>
      </w:r>
      <w:r w:rsidR="003C104C">
        <w:rPr>
          <w:rFonts w:cs="Arial"/>
        </w:rPr>
        <w:t xml:space="preserve"> </w:t>
      </w:r>
      <w:r w:rsidR="00C26B92">
        <w:rPr>
          <w:rFonts w:cs="Arial"/>
        </w:rPr>
        <w:t>issued and corrected within one year</w:t>
      </w:r>
      <w:r w:rsidRPr="00D55FA1">
        <w:rPr>
          <w:rFonts w:cs="Arial"/>
        </w:rPr>
        <w:t xml:space="preserve"> </w:t>
      </w:r>
      <w:r w:rsidR="00136A3F">
        <w:rPr>
          <w:rFonts w:cs="Arial"/>
        </w:rPr>
        <w:t xml:space="preserve">of </w:t>
      </w:r>
      <w:r w:rsidR="00625D3E">
        <w:rPr>
          <w:rFonts w:cs="Arial"/>
        </w:rPr>
        <w:t>identification</w:t>
      </w:r>
      <w:r w:rsidR="00136A3F">
        <w:rPr>
          <w:rFonts w:cs="Arial"/>
        </w:rPr>
        <w:t>.</w:t>
      </w:r>
      <w:r w:rsidRPr="00D55FA1">
        <w:rPr>
          <w:rFonts w:cs="Arial"/>
        </w:rPr>
        <w:t xml:space="preserve"> This data is collected </w:t>
      </w:r>
      <w:r w:rsidR="00FF66B0">
        <w:rPr>
          <w:rFonts w:cs="Arial"/>
        </w:rPr>
        <w:t>through</w:t>
      </w:r>
      <w:r w:rsidR="000F7EE1">
        <w:rPr>
          <w:rFonts w:cs="Arial"/>
        </w:rPr>
        <w:t xml:space="preserve"> the </w:t>
      </w:r>
      <w:r w:rsidR="00DB6D30">
        <w:rPr>
          <w:rFonts w:cs="Arial"/>
        </w:rPr>
        <w:t xml:space="preserve">SED system </w:t>
      </w:r>
      <w:r w:rsidR="00625D3E">
        <w:rPr>
          <w:rFonts w:cs="Arial"/>
        </w:rPr>
        <w:t>used to identify noncompliance.</w:t>
      </w:r>
    </w:p>
    <w:p w14:paraId="6F69B0CF" w14:textId="77777777" w:rsidR="00EC7B0D" w:rsidRPr="00D55FA1" w:rsidRDefault="00EC7B0D" w:rsidP="00EC7B0D">
      <w:pPr>
        <w:pStyle w:val="Heading3"/>
        <w:spacing w:before="0"/>
      </w:pPr>
      <w:bookmarkStart w:id="202" w:name="_Toc212718100"/>
      <w:r w:rsidRPr="00D55FA1">
        <w:t>Measurement</w:t>
      </w:r>
      <w:bookmarkEnd w:id="202"/>
    </w:p>
    <w:p w14:paraId="0E28D9B8" w14:textId="672FF33F" w:rsidR="00E128F8" w:rsidRPr="00D55FA1" w:rsidRDefault="00E128F8" w:rsidP="00E128F8">
      <w:pPr>
        <w:spacing w:after="240"/>
      </w:pPr>
      <w:r w:rsidRPr="00D55FA1">
        <w:t xml:space="preserve">Percent </w:t>
      </w:r>
      <w:proofErr w:type="gramStart"/>
      <w:r w:rsidRPr="00D55FA1">
        <w:t>=</w:t>
      </w:r>
      <w:r w:rsidR="00FF4E31">
        <w:t xml:space="preserve"> </w:t>
      </w:r>
      <w:r w:rsidRPr="00D55FA1">
        <w:t>[(</w:t>
      </w:r>
      <w:proofErr w:type="gramEnd"/>
      <w:r w:rsidR="005244D0">
        <w:t>number of findings of noncompliance issued</w:t>
      </w:r>
      <w:r w:rsidR="004B1E08">
        <w:t xml:space="preserve"> the prior FFY</w:t>
      </w:r>
      <w:r w:rsidRPr="00D55FA1">
        <w:t xml:space="preserve">) divided by the (number of </w:t>
      </w:r>
      <w:r w:rsidR="000F0C14">
        <w:t>noncompliance</w:t>
      </w:r>
      <w:r w:rsidR="00AF4AF8">
        <w:t xml:space="preserve"> the state verified were corrected no later than one year</w:t>
      </w:r>
      <w:r w:rsidR="00AA02AD">
        <w:t xml:space="preserve"> after the state’s written notification of </w:t>
      </w:r>
      <w:r w:rsidR="00582864">
        <w:t>findings</w:t>
      </w:r>
      <w:r w:rsidR="00687704">
        <w:t xml:space="preserve"> of noncompliance</w:t>
      </w:r>
      <w:r w:rsidRPr="00D55FA1">
        <w:t>)] times 100.</w:t>
      </w:r>
    </w:p>
    <w:p w14:paraId="541F3E07" w14:textId="166B0E68" w:rsidR="00EC7B0D" w:rsidRPr="00FF4E31" w:rsidRDefault="00EC7B0D" w:rsidP="00FF4E31">
      <w:pPr>
        <w:spacing w:after="240"/>
        <w:rPr>
          <w:rFonts w:cs="Arial"/>
          <w:b/>
          <w:bCs/>
        </w:rPr>
      </w:pPr>
      <w:r w:rsidRPr="00FF4E31">
        <w:rPr>
          <w:b/>
          <w:bCs/>
        </w:rPr>
        <w:t xml:space="preserve">Target Met: </w:t>
      </w:r>
      <w:r w:rsidR="002730CD" w:rsidRPr="00FF4E31">
        <w:rPr>
          <w:b/>
          <w:bCs/>
        </w:rPr>
        <w:t>Yes</w:t>
      </w:r>
    </w:p>
    <w:p w14:paraId="7EE2CBDF" w14:textId="63042187" w:rsidR="00FF4E31" w:rsidRPr="00FF4E31" w:rsidRDefault="008760CF" w:rsidP="007A43E3">
      <w:pPr>
        <w:spacing w:after="240"/>
        <w:rPr>
          <w:b/>
          <w:bCs/>
        </w:rPr>
      </w:pPr>
      <w:r>
        <w:rPr>
          <w:b/>
          <w:bCs/>
        </w:rPr>
        <w:t xml:space="preserve">Table 26: </w:t>
      </w:r>
      <w:r w:rsidR="00EC7B0D" w:rsidRPr="00FF4E31">
        <w:rPr>
          <w:b/>
          <w:bCs/>
        </w:rPr>
        <w:t>Mediation Targets and Results for FFYs 2020</w:t>
      </w:r>
      <w:r w:rsidR="00EC7B0D" w:rsidRPr="00FF4E31">
        <w:rPr>
          <w:rFonts w:cs="Arial"/>
          <w:b/>
          <w:bCs/>
        </w:rPr>
        <w:t>–25</w:t>
      </w:r>
    </w:p>
    <w:tbl>
      <w:tblPr>
        <w:tblStyle w:val="TableGrid1"/>
        <w:tblW w:w="9184" w:type="dxa"/>
        <w:tblLook w:val="04A0" w:firstRow="1" w:lastRow="0" w:firstColumn="1" w:lastColumn="0" w:noHBand="0" w:noVBand="1"/>
        <w:tblDescription w:val="Indicator 18 Targets and Results"/>
      </w:tblPr>
      <w:tblGrid>
        <w:gridCol w:w="2078"/>
        <w:gridCol w:w="1227"/>
        <w:gridCol w:w="1180"/>
        <w:gridCol w:w="1180"/>
        <w:gridCol w:w="1180"/>
        <w:gridCol w:w="1180"/>
        <w:gridCol w:w="1159"/>
      </w:tblGrid>
      <w:tr w:rsidR="00687704" w:rsidRPr="00D55FA1" w14:paraId="19794419" w14:textId="77777777">
        <w:trPr>
          <w:cantSplit/>
          <w:trHeight w:val="309"/>
          <w:tblHeader/>
        </w:trPr>
        <w:tc>
          <w:tcPr>
            <w:tcW w:w="2078" w:type="dxa"/>
            <w:tcBorders>
              <w:top w:val="single" w:sz="4" w:space="0" w:color="auto"/>
              <w:left w:val="single" w:sz="4" w:space="0" w:color="auto"/>
              <w:bottom w:val="single" w:sz="4" w:space="0" w:color="auto"/>
              <w:right w:val="single" w:sz="4" w:space="0" w:color="auto"/>
            </w:tcBorders>
            <w:vAlign w:val="center"/>
            <w:hideMark/>
          </w:tcPr>
          <w:p w14:paraId="74070D8C" w14:textId="678EEF4D" w:rsidR="00687704" w:rsidRPr="00D55FA1" w:rsidRDefault="00687704">
            <w:pPr>
              <w:widowControl w:val="0"/>
              <w:overflowPunct w:val="0"/>
              <w:autoSpaceDE w:val="0"/>
              <w:autoSpaceDN w:val="0"/>
              <w:adjustRightInd w:val="0"/>
              <w:jc w:val="center"/>
              <w:rPr>
                <w:rFonts w:cs="Arial"/>
                <w:b/>
                <w:bCs/>
                <w:szCs w:val="22"/>
              </w:rPr>
            </w:pPr>
            <w:r w:rsidRPr="00D55FA1">
              <w:rPr>
                <w:rFonts w:cs="Arial"/>
                <w:b/>
                <w:bCs/>
              </w:rPr>
              <w:t>Indicator 1</w:t>
            </w:r>
            <w:r>
              <w:rPr>
                <w:rFonts w:cs="Arial"/>
                <w:b/>
                <w:bCs/>
              </w:rPr>
              <w:t>8</w:t>
            </w:r>
          </w:p>
        </w:tc>
        <w:tc>
          <w:tcPr>
            <w:tcW w:w="1227" w:type="dxa"/>
            <w:tcBorders>
              <w:top w:val="single" w:sz="4" w:space="0" w:color="auto"/>
              <w:left w:val="single" w:sz="4" w:space="0" w:color="auto"/>
              <w:bottom w:val="single" w:sz="4" w:space="0" w:color="auto"/>
              <w:right w:val="single" w:sz="4" w:space="0" w:color="auto"/>
            </w:tcBorders>
            <w:vAlign w:val="center"/>
            <w:hideMark/>
          </w:tcPr>
          <w:p w14:paraId="4D9FB616" w14:textId="77777777" w:rsidR="00687704" w:rsidRPr="00D55FA1" w:rsidRDefault="00687704">
            <w:pPr>
              <w:widowControl w:val="0"/>
              <w:overflowPunct w:val="0"/>
              <w:autoSpaceDE w:val="0"/>
              <w:autoSpaceDN w:val="0"/>
              <w:adjustRightInd w:val="0"/>
              <w:jc w:val="center"/>
              <w:rPr>
                <w:rFonts w:cs="Arial"/>
                <w:b/>
                <w:bCs/>
              </w:rPr>
            </w:pPr>
            <w:r w:rsidRPr="00D55FA1">
              <w:rPr>
                <w:rFonts w:cs="Arial"/>
                <w:b/>
                <w:bCs/>
              </w:rPr>
              <w:t>2020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03193825" w14:textId="77777777" w:rsidR="00687704" w:rsidRPr="00D55FA1" w:rsidRDefault="00687704">
            <w:pPr>
              <w:widowControl w:val="0"/>
              <w:overflowPunct w:val="0"/>
              <w:autoSpaceDE w:val="0"/>
              <w:autoSpaceDN w:val="0"/>
              <w:adjustRightInd w:val="0"/>
              <w:jc w:val="center"/>
              <w:rPr>
                <w:rFonts w:cs="Arial"/>
                <w:b/>
                <w:bCs/>
              </w:rPr>
            </w:pPr>
            <w:r w:rsidRPr="00D55FA1">
              <w:rPr>
                <w:rFonts w:cs="Arial"/>
                <w:b/>
                <w:bCs/>
              </w:rPr>
              <w:t>2021</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98BA839" w14:textId="77777777" w:rsidR="00687704" w:rsidRPr="00D55FA1" w:rsidRDefault="00687704">
            <w:pPr>
              <w:widowControl w:val="0"/>
              <w:overflowPunct w:val="0"/>
              <w:autoSpaceDE w:val="0"/>
              <w:autoSpaceDN w:val="0"/>
              <w:adjustRightInd w:val="0"/>
              <w:jc w:val="center"/>
              <w:rPr>
                <w:rFonts w:cs="Arial"/>
                <w:b/>
                <w:bCs/>
              </w:rPr>
            </w:pPr>
            <w:r w:rsidRPr="00D55FA1">
              <w:rPr>
                <w:rFonts w:cs="Arial"/>
                <w:b/>
                <w:bCs/>
              </w:rPr>
              <w:t>2022</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DC1892B" w14:textId="77777777" w:rsidR="00687704" w:rsidRPr="00D55FA1" w:rsidRDefault="00687704">
            <w:pPr>
              <w:widowControl w:val="0"/>
              <w:overflowPunct w:val="0"/>
              <w:autoSpaceDE w:val="0"/>
              <w:autoSpaceDN w:val="0"/>
              <w:adjustRightInd w:val="0"/>
              <w:jc w:val="center"/>
              <w:rPr>
                <w:rFonts w:cs="Arial"/>
                <w:b/>
                <w:bCs/>
              </w:rPr>
            </w:pPr>
            <w:r w:rsidRPr="00D55FA1">
              <w:rPr>
                <w:rFonts w:cs="Arial"/>
                <w:b/>
                <w:bC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04B82E23" w14:textId="77777777" w:rsidR="00687704" w:rsidRPr="00D55FA1" w:rsidRDefault="00687704">
            <w:pPr>
              <w:widowControl w:val="0"/>
              <w:overflowPunct w:val="0"/>
              <w:autoSpaceDE w:val="0"/>
              <w:autoSpaceDN w:val="0"/>
              <w:adjustRightInd w:val="0"/>
              <w:jc w:val="center"/>
              <w:rPr>
                <w:rFonts w:cs="Arial"/>
                <w:b/>
                <w:bCs/>
              </w:rPr>
            </w:pPr>
            <w:r w:rsidRPr="00D55FA1">
              <w:rPr>
                <w:rFonts w:cs="Arial"/>
                <w:b/>
                <w:bCs/>
              </w:rPr>
              <w:t>2024</w:t>
            </w:r>
          </w:p>
        </w:tc>
        <w:tc>
          <w:tcPr>
            <w:tcW w:w="1159" w:type="dxa"/>
            <w:tcBorders>
              <w:top w:val="single" w:sz="4" w:space="0" w:color="auto"/>
              <w:left w:val="single" w:sz="4" w:space="0" w:color="auto"/>
              <w:bottom w:val="single" w:sz="4" w:space="0" w:color="auto"/>
              <w:right w:val="single" w:sz="4" w:space="0" w:color="auto"/>
            </w:tcBorders>
            <w:vAlign w:val="center"/>
            <w:hideMark/>
          </w:tcPr>
          <w:p w14:paraId="28CE9D67" w14:textId="77777777" w:rsidR="00687704" w:rsidRPr="00D55FA1" w:rsidRDefault="00687704">
            <w:pPr>
              <w:widowControl w:val="0"/>
              <w:overflowPunct w:val="0"/>
              <w:autoSpaceDE w:val="0"/>
              <w:autoSpaceDN w:val="0"/>
              <w:adjustRightInd w:val="0"/>
              <w:jc w:val="center"/>
              <w:rPr>
                <w:rFonts w:cs="Arial"/>
                <w:b/>
                <w:bCs/>
              </w:rPr>
            </w:pPr>
            <w:r w:rsidRPr="00D55FA1">
              <w:rPr>
                <w:rFonts w:cs="Arial"/>
                <w:b/>
                <w:bCs/>
              </w:rPr>
              <w:t>2025</w:t>
            </w:r>
          </w:p>
        </w:tc>
      </w:tr>
      <w:tr w:rsidR="00687704" w:rsidRPr="00D55FA1" w14:paraId="5961F208" w14:textId="77777777">
        <w:trPr>
          <w:cantSplit/>
          <w:trHeight w:val="309"/>
        </w:trPr>
        <w:tc>
          <w:tcPr>
            <w:tcW w:w="2078" w:type="dxa"/>
            <w:tcBorders>
              <w:top w:val="single" w:sz="4" w:space="0" w:color="auto"/>
              <w:left w:val="single" w:sz="4" w:space="0" w:color="auto"/>
              <w:bottom w:val="single" w:sz="4" w:space="0" w:color="auto"/>
              <w:right w:val="single" w:sz="4" w:space="0" w:color="auto"/>
            </w:tcBorders>
            <w:vAlign w:val="center"/>
            <w:hideMark/>
          </w:tcPr>
          <w:p w14:paraId="5C363817" w14:textId="77777777" w:rsidR="00687704" w:rsidRPr="00D55FA1" w:rsidRDefault="00687704">
            <w:pPr>
              <w:widowControl w:val="0"/>
              <w:overflowPunct w:val="0"/>
              <w:autoSpaceDE w:val="0"/>
              <w:autoSpaceDN w:val="0"/>
              <w:adjustRightInd w:val="0"/>
              <w:jc w:val="center"/>
              <w:rPr>
                <w:rFonts w:cs="Arial"/>
                <w:bCs/>
              </w:rPr>
            </w:pPr>
            <w:r w:rsidRPr="00D55FA1">
              <w:rPr>
                <w:rFonts w:cs="Arial"/>
                <w:bCs/>
              </w:rPr>
              <w:t>Target</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712AF5C" w14:textId="11BC907C" w:rsidR="00687704" w:rsidRPr="00D55FA1" w:rsidRDefault="00687704">
            <w:pPr>
              <w:widowControl w:val="0"/>
              <w:overflowPunct w:val="0"/>
              <w:autoSpaceDE w:val="0"/>
              <w:autoSpaceDN w:val="0"/>
              <w:adjustRightInd w:val="0"/>
              <w:jc w:val="center"/>
              <w:rPr>
                <w:rFonts w:cs="Arial"/>
                <w:bCs/>
              </w:rPr>
            </w:pPr>
            <w:r>
              <w:rPr>
                <w:rFonts w:cs="Arial"/>
                <w:bCs/>
              </w:rPr>
              <w:t>N/A</w:t>
            </w:r>
          </w:p>
        </w:tc>
        <w:tc>
          <w:tcPr>
            <w:tcW w:w="1180" w:type="dxa"/>
            <w:tcBorders>
              <w:top w:val="single" w:sz="4" w:space="0" w:color="auto"/>
              <w:left w:val="single" w:sz="4" w:space="0" w:color="auto"/>
              <w:bottom w:val="single" w:sz="4" w:space="0" w:color="auto"/>
              <w:right w:val="single" w:sz="4" w:space="0" w:color="auto"/>
            </w:tcBorders>
            <w:vAlign w:val="center"/>
            <w:hideMark/>
          </w:tcPr>
          <w:p w14:paraId="12DE3092" w14:textId="69748AA0" w:rsidR="00687704" w:rsidRPr="00D55FA1" w:rsidRDefault="00687704">
            <w:pPr>
              <w:widowControl w:val="0"/>
              <w:overflowPunct w:val="0"/>
              <w:autoSpaceDE w:val="0"/>
              <w:autoSpaceDN w:val="0"/>
              <w:adjustRightInd w:val="0"/>
              <w:jc w:val="center"/>
              <w:rPr>
                <w:rFonts w:cs="Arial"/>
                <w:bCs/>
              </w:rPr>
            </w:pPr>
            <w:r>
              <w:rPr>
                <w:rFonts w:cs="Arial"/>
                <w:bCs/>
              </w:rPr>
              <w:t>N/A</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0FA03D6" w14:textId="2C28D19D" w:rsidR="00687704" w:rsidRPr="00D55FA1" w:rsidRDefault="00687704">
            <w:pPr>
              <w:widowControl w:val="0"/>
              <w:overflowPunct w:val="0"/>
              <w:autoSpaceDE w:val="0"/>
              <w:autoSpaceDN w:val="0"/>
              <w:adjustRightInd w:val="0"/>
              <w:jc w:val="center"/>
              <w:rPr>
                <w:rFonts w:cs="Arial"/>
                <w:bCs/>
              </w:rPr>
            </w:pPr>
            <w:r>
              <w:rPr>
                <w:rFonts w:cs="Arial"/>
                <w:bCs/>
              </w:rPr>
              <w:t>N/A</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2722ECA" w14:textId="72BFCBAA" w:rsidR="00687704" w:rsidRPr="00D55FA1" w:rsidRDefault="00687704">
            <w:pPr>
              <w:widowControl w:val="0"/>
              <w:overflowPunct w:val="0"/>
              <w:autoSpaceDE w:val="0"/>
              <w:autoSpaceDN w:val="0"/>
              <w:adjustRightInd w:val="0"/>
              <w:jc w:val="center"/>
              <w:rPr>
                <w:rFonts w:cs="Arial"/>
                <w:bCs/>
              </w:rPr>
            </w:pPr>
            <w:r>
              <w:rPr>
                <w:rFonts w:cs="Arial"/>
                <w:bCs/>
              </w:rPr>
              <w:t>100</w:t>
            </w:r>
            <w:r w:rsidRPr="00D55FA1">
              <w:rPr>
                <w:rFonts w:cs="Arial"/>
                <w:bC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179D393" w14:textId="2A041627" w:rsidR="00687704" w:rsidRPr="00D55FA1" w:rsidRDefault="00687704">
            <w:pPr>
              <w:widowControl w:val="0"/>
              <w:overflowPunct w:val="0"/>
              <w:autoSpaceDE w:val="0"/>
              <w:autoSpaceDN w:val="0"/>
              <w:adjustRightInd w:val="0"/>
              <w:jc w:val="center"/>
              <w:rPr>
                <w:rFonts w:cs="Arial"/>
                <w:bCs/>
              </w:rPr>
            </w:pPr>
            <w:r>
              <w:rPr>
                <w:rFonts w:cs="Arial"/>
                <w:bCs/>
              </w:rPr>
              <w:t>100</w:t>
            </w:r>
            <w:r w:rsidRPr="00D55FA1">
              <w:rPr>
                <w:rFonts w:cs="Arial"/>
                <w:bCs/>
              </w:rPr>
              <w:t>%</w:t>
            </w:r>
          </w:p>
        </w:tc>
        <w:tc>
          <w:tcPr>
            <w:tcW w:w="1159" w:type="dxa"/>
            <w:tcBorders>
              <w:top w:val="single" w:sz="4" w:space="0" w:color="auto"/>
              <w:left w:val="single" w:sz="4" w:space="0" w:color="auto"/>
              <w:bottom w:val="single" w:sz="4" w:space="0" w:color="auto"/>
              <w:right w:val="single" w:sz="4" w:space="0" w:color="auto"/>
            </w:tcBorders>
            <w:vAlign w:val="center"/>
            <w:hideMark/>
          </w:tcPr>
          <w:p w14:paraId="29B6803A" w14:textId="1D9E091D" w:rsidR="00687704" w:rsidRPr="00D55FA1" w:rsidRDefault="00687704">
            <w:pPr>
              <w:widowControl w:val="0"/>
              <w:overflowPunct w:val="0"/>
              <w:autoSpaceDE w:val="0"/>
              <w:autoSpaceDN w:val="0"/>
              <w:adjustRightInd w:val="0"/>
              <w:jc w:val="center"/>
              <w:rPr>
                <w:rFonts w:cs="Arial"/>
                <w:bCs/>
              </w:rPr>
            </w:pPr>
            <w:r>
              <w:rPr>
                <w:rFonts w:cs="Arial"/>
                <w:bCs/>
              </w:rPr>
              <w:t>100</w:t>
            </w:r>
            <w:r w:rsidRPr="00D55FA1">
              <w:rPr>
                <w:rFonts w:cs="Arial"/>
                <w:bCs/>
              </w:rPr>
              <w:t>%</w:t>
            </w:r>
          </w:p>
        </w:tc>
      </w:tr>
      <w:tr w:rsidR="00687704" w:rsidRPr="00D55FA1" w14:paraId="476F3415" w14:textId="77777777">
        <w:trPr>
          <w:cantSplit/>
          <w:trHeight w:val="309"/>
        </w:trPr>
        <w:tc>
          <w:tcPr>
            <w:tcW w:w="2078" w:type="dxa"/>
            <w:tcBorders>
              <w:top w:val="single" w:sz="4" w:space="0" w:color="auto"/>
              <w:left w:val="single" w:sz="4" w:space="0" w:color="auto"/>
              <w:bottom w:val="single" w:sz="4" w:space="0" w:color="auto"/>
              <w:right w:val="single" w:sz="4" w:space="0" w:color="auto"/>
            </w:tcBorders>
            <w:vAlign w:val="center"/>
          </w:tcPr>
          <w:p w14:paraId="1D8F0941" w14:textId="77777777" w:rsidR="00687704" w:rsidRPr="00D55FA1" w:rsidRDefault="00687704">
            <w:pPr>
              <w:widowControl w:val="0"/>
              <w:overflowPunct w:val="0"/>
              <w:autoSpaceDE w:val="0"/>
              <w:autoSpaceDN w:val="0"/>
              <w:adjustRightInd w:val="0"/>
              <w:jc w:val="center"/>
              <w:rPr>
                <w:rFonts w:cs="Arial"/>
                <w:bCs/>
              </w:rPr>
            </w:pPr>
            <w:r w:rsidRPr="00D55FA1">
              <w:rPr>
                <w:rFonts w:cs="Arial"/>
                <w:bCs/>
              </w:rPr>
              <w:t>Result</w:t>
            </w:r>
          </w:p>
        </w:tc>
        <w:tc>
          <w:tcPr>
            <w:tcW w:w="1227" w:type="dxa"/>
            <w:tcBorders>
              <w:top w:val="single" w:sz="4" w:space="0" w:color="auto"/>
              <w:left w:val="single" w:sz="4" w:space="0" w:color="auto"/>
              <w:bottom w:val="single" w:sz="4" w:space="0" w:color="auto"/>
              <w:right w:val="single" w:sz="4" w:space="0" w:color="auto"/>
            </w:tcBorders>
            <w:vAlign w:val="center"/>
          </w:tcPr>
          <w:p w14:paraId="1362CF1E" w14:textId="3D640A0E" w:rsidR="00687704" w:rsidRPr="00D55FA1" w:rsidRDefault="00687704">
            <w:pPr>
              <w:widowControl w:val="0"/>
              <w:overflowPunct w:val="0"/>
              <w:autoSpaceDE w:val="0"/>
              <w:autoSpaceDN w:val="0"/>
              <w:adjustRightInd w:val="0"/>
              <w:jc w:val="center"/>
              <w:rPr>
                <w:rFonts w:cs="Arial"/>
                <w:bCs/>
              </w:rPr>
            </w:pPr>
            <w:r>
              <w:rPr>
                <w:rFonts w:cs="Arial"/>
                <w:bCs/>
              </w:rPr>
              <w:t>N/A</w:t>
            </w:r>
          </w:p>
        </w:tc>
        <w:tc>
          <w:tcPr>
            <w:tcW w:w="1180" w:type="dxa"/>
            <w:tcBorders>
              <w:top w:val="single" w:sz="4" w:space="0" w:color="auto"/>
              <w:left w:val="single" w:sz="4" w:space="0" w:color="auto"/>
              <w:bottom w:val="single" w:sz="4" w:space="0" w:color="auto"/>
              <w:right w:val="single" w:sz="4" w:space="0" w:color="auto"/>
            </w:tcBorders>
            <w:vAlign w:val="center"/>
          </w:tcPr>
          <w:p w14:paraId="50B076D5" w14:textId="6A547D63" w:rsidR="00687704" w:rsidRPr="00D55FA1" w:rsidRDefault="00687704">
            <w:pPr>
              <w:widowControl w:val="0"/>
              <w:overflowPunct w:val="0"/>
              <w:autoSpaceDE w:val="0"/>
              <w:autoSpaceDN w:val="0"/>
              <w:adjustRightInd w:val="0"/>
              <w:jc w:val="center"/>
              <w:rPr>
                <w:rFonts w:cs="Arial"/>
                <w:bCs/>
              </w:rPr>
            </w:pPr>
            <w:r>
              <w:rPr>
                <w:rFonts w:cs="Arial"/>
                <w:bCs/>
              </w:rPr>
              <w:t>N/A</w:t>
            </w:r>
          </w:p>
        </w:tc>
        <w:tc>
          <w:tcPr>
            <w:tcW w:w="1180" w:type="dxa"/>
            <w:tcBorders>
              <w:top w:val="single" w:sz="4" w:space="0" w:color="auto"/>
              <w:left w:val="single" w:sz="4" w:space="0" w:color="auto"/>
              <w:bottom w:val="single" w:sz="4" w:space="0" w:color="auto"/>
              <w:right w:val="single" w:sz="4" w:space="0" w:color="auto"/>
            </w:tcBorders>
            <w:vAlign w:val="center"/>
          </w:tcPr>
          <w:p w14:paraId="1CCBA76B" w14:textId="1A6602E7" w:rsidR="00687704" w:rsidRPr="00D55FA1" w:rsidRDefault="00687704">
            <w:pPr>
              <w:widowControl w:val="0"/>
              <w:overflowPunct w:val="0"/>
              <w:autoSpaceDE w:val="0"/>
              <w:autoSpaceDN w:val="0"/>
              <w:adjustRightInd w:val="0"/>
              <w:jc w:val="center"/>
              <w:rPr>
                <w:rFonts w:cs="Arial"/>
                <w:bCs/>
              </w:rPr>
            </w:pPr>
            <w:r>
              <w:rPr>
                <w:rFonts w:cs="Arial"/>
                <w:bCs/>
              </w:rPr>
              <w:t>N/A</w:t>
            </w:r>
          </w:p>
        </w:tc>
        <w:tc>
          <w:tcPr>
            <w:tcW w:w="1180" w:type="dxa"/>
            <w:tcBorders>
              <w:top w:val="single" w:sz="4" w:space="0" w:color="auto"/>
              <w:left w:val="single" w:sz="4" w:space="0" w:color="auto"/>
              <w:bottom w:val="single" w:sz="4" w:space="0" w:color="auto"/>
              <w:right w:val="single" w:sz="4" w:space="0" w:color="auto"/>
            </w:tcBorders>
          </w:tcPr>
          <w:p w14:paraId="4BE265C6" w14:textId="52B5FCDE" w:rsidR="00687704" w:rsidRPr="00D55FA1" w:rsidRDefault="00EF5361">
            <w:pPr>
              <w:widowControl w:val="0"/>
              <w:overflowPunct w:val="0"/>
              <w:autoSpaceDE w:val="0"/>
              <w:autoSpaceDN w:val="0"/>
              <w:adjustRightInd w:val="0"/>
              <w:jc w:val="center"/>
              <w:rPr>
                <w:rFonts w:cs="Arial"/>
                <w:bCs/>
              </w:rPr>
            </w:pPr>
            <w:r>
              <w:rPr>
                <w:rFonts w:cs="Arial"/>
                <w:bCs/>
              </w:rPr>
              <w:t>100</w:t>
            </w:r>
            <w:r w:rsidR="00687704">
              <w:rPr>
                <w:rFonts w:cs="Arial"/>
                <w:bCs/>
              </w:rPr>
              <w:t>%</w:t>
            </w:r>
          </w:p>
        </w:tc>
        <w:tc>
          <w:tcPr>
            <w:tcW w:w="1180" w:type="dxa"/>
            <w:tcBorders>
              <w:top w:val="single" w:sz="4" w:space="0" w:color="auto"/>
              <w:left w:val="single" w:sz="4" w:space="0" w:color="auto"/>
              <w:bottom w:val="single" w:sz="4" w:space="0" w:color="auto"/>
              <w:right w:val="single" w:sz="4" w:space="0" w:color="auto"/>
            </w:tcBorders>
          </w:tcPr>
          <w:p w14:paraId="476735B8" w14:textId="3BE5509E" w:rsidR="00687704" w:rsidRPr="00D55FA1" w:rsidRDefault="00DA47CF">
            <w:pPr>
              <w:widowControl w:val="0"/>
              <w:overflowPunct w:val="0"/>
              <w:autoSpaceDE w:val="0"/>
              <w:autoSpaceDN w:val="0"/>
              <w:adjustRightInd w:val="0"/>
              <w:jc w:val="center"/>
              <w:rPr>
                <w:rFonts w:cs="Arial"/>
                <w:bCs/>
              </w:rPr>
            </w:pPr>
            <w:r>
              <w:rPr>
                <w:rFonts w:cs="Arial"/>
                <w:bCs/>
              </w:rPr>
              <w:t>100%</w:t>
            </w:r>
          </w:p>
        </w:tc>
        <w:tc>
          <w:tcPr>
            <w:tcW w:w="1159" w:type="dxa"/>
            <w:tcBorders>
              <w:top w:val="single" w:sz="4" w:space="0" w:color="auto"/>
              <w:left w:val="single" w:sz="4" w:space="0" w:color="auto"/>
              <w:bottom w:val="single" w:sz="4" w:space="0" w:color="auto"/>
              <w:right w:val="single" w:sz="4" w:space="0" w:color="auto"/>
            </w:tcBorders>
          </w:tcPr>
          <w:p w14:paraId="5D84B70C" w14:textId="77777777" w:rsidR="00687704" w:rsidRPr="00D55FA1" w:rsidRDefault="00687704">
            <w:pPr>
              <w:widowControl w:val="0"/>
              <w:overflowPunct w:val="0"/>
              <w:autoSpaceDE w:val="0"/>
              <w:autoSpaceDN w:val="0"/>
              <w:adjustRightInd w:val="0"/>
              <w:jc w:val="center"/>
              <w:rPr>
                <w:rFonts w:cs="Arial"/>
                <w:bCs/>
              </w:rPr>
            </w:pPr>
            <w:r w:rsidRPr="00D55FA1">
              <w:rPr>
                <w:rFonts w:cs="Arial"/>
                <w:bCs/>
              </w:rPr>
              <w:t>-</w:t>
            </w:r>
          </w:p>
        </w:tc>
      </w:tr>
      <w:tr w:rsidR="00687704" w:rsidRPr="00D55FA1" w14:paraId="521EE28D" w14:textId="77777777">
        <w:trPr>
          <w:cantSplit/>
          <w:trHeight w:val="309"/>
        </w:trPr>
        <w:tc>
          <w:tcPr>
            <w:tcW w:w="2078" w:type="dxa"/>
            <w:tcBorders>
              <w:top w:val="single" w:sz="4" w:space="0" w:color="auto"/>
              <w:left w:val="single" w:sz="4" w:space="0" w:color="auto"/>
              <w:bottom w:val="single" w:sz="4" w:space="0" w:color="auto"/>
              <w:right w:val="single" w:sz="4" w:space="0" w:color="auto"/>
            </w:tcBorders>
            <w:vAlign w:val="center"/>
          </w:tcPr>
          <w:p w14:paraId="102DD29D" w14:textId="77777777" w:rsidR="00687704" w:rsidRPr="00D55FA1" w:rsidRDefault="00687704">
            <w:pPr>
              <w:widowControl w:val="0"/>
              <w:overflowPunct w:val="0"/>
              <w:autoSpaceDE w:val="0"/>
              <w:autoSpaceDN w:val="0"/>
              <w:adjustRightInd w:val="0"/>
              <w:jc w:val="center"/>
              <w:rPr>
                <w:rFonts w:cs="Arial"/>
                <w:bCs/>
              </w:rPr>
            </w:pPr>
            <w:r w:rsidRPr="00D55FA1">
              <w:rPr>
                <w:rFonts w:cs="Arial"/>
                <w:bCs/>
              </w:rPr>
              <w:t>Target Met</w:t>
            </w:r>
          </w:p>
        </w:tc>
        <w:tc>
          <w:tcPr>
            <w:tcW w:w="1227" w:type="dxa"/>
            <w:tcBorders>
              <w:top w:val="single" w:sz="4" w:space="0" w:color="auto"/>
              <w:left w:val="single" w:sz="4" w:space="0" w:color="auto"/>
              <w:bottom w:val="single" w:sz="4" w:space="0" w:color="auto"/>
              <w:right w:val="single" w:sz="4" w:space="0" w:color="auto"/>
            </w:tcBorders>
            <w:vAlign w:val="center"/>
          </w:tcPr>
          <w:p w14:paraId="48F5815D" w14:textId="2D443097" w:rsidR="00687704" w:rsidRPr="00D55FA1" w:rsidRDefault="00687704">
            <w:pPr>
              <w:widowControl w:val="0"/>
              <w:overflowPunct w:val="0"/>
              <w:autoSpaceDE w:val="0"/>
              <w:autoSpaceDN w:val="0"/>
              <w:adjustRightInd w:val="0"/>
              <w:jc w:val="center"/>
              <w:rPr>
                <w:rFonts w:cs="Arial"/>
                <w:bCs/>
              </w:rPr>
            </w:pPr>
            <w:r>
              <w:rPr>
                <w:rFonts w:cs="Arial"/>
                <w:bCs/>
              </w:rPr>
              <w:t>N/A</w:t>
            </w:r>
          </w:p>
        </w:tc>
        <w:tc>
          <w:tcPr>
            <w:tcW w:w="1180" w:type="dxa"/>
            <w:tcBorders>
              <w:top w:val="single" w:sz="4" w:space="0" w:color="auto"/>
              <w:left w:val="single" w:sz="4" w:space="0" w:color="auto"/>
              <w:bottom w:val="single" w:sz="4" w:space="0" w:color="auto"/>
              <w:right w:val="single" w:sz="4" w:space="0" w:color="auto"/>
            </w:tcBorders>
            <w:vAlign w:val="center"/>
          </w:tcPr>
          <w:p w14:paraId="0D70ACB2" w14:textId="3BF06EC6" w:rsidR="00687704" w:rsidRPr="00D55FA1" w:rsidRDefault="00687704">
            <w:pPr>
              <w:widowControl w:val="0"/>
              <w:overflowPunct w:val="0"/>
              <w:autoSpaceDE w:val="0"/>
              <w:autoSpaceDN w:val="0"/>
              <w:adjustRightInd w:val="0"/>
              <w:jc w:val="center"/>
              <w:rPr>
                <w:rFonts w:cs="Arial"/>
                <w:bCs/>
              </w:rPr>
            </w:pPr>
            <w:r>
              <w:rPr>
                <w:rFonts w:cs="Arial"/>
                <w:bCs/>
              </w:rPr>
              <w:t>N/A</w:t>
            </w:r>
          </w:p>
        </w:tc>
        <w:tc>
          <w:tcPr>
            <w:tcW w:w="1180" w:type="dxa"/>
            <w:tcBorders>
              <w:top w:val="single" w:sz="4" w:space="0" w:color="auto"/>
              <w:left w:val="single" w:sz="4" w:space="0" w:color="auto"/>
              <w:bottom w:val="single" w:sz="4" w:space="0" w:color="auto"/>
              <w:right w:val="single" w:sz="4" w:space="0" w:color="auto"/>
            </w:tcBorders>
            <w:vAlign w:val="center"/>
          </w:tcPr>
          <w:p w14:paraId="369DEF53" w14:textId="0CCF263B" w:rsidR="00687704" w:rsidRPr="00D55FA1" w:rsidRDefault="00687704">
            <w:pPr>
              <w:widowControl w:val="0"/>
              <w:overflowPunct w:val="0"/>
              <w:autoSpaceDE w:val="0"/>
              <w:autoSpaceDN w:val="0"/>
              <w:adjustRightInd w:val="0"/>
              <w:jc w:val="center"/>
              <w:rPr>
                <w:rFonts w:cs="Arial"/>
                <w:bCs/>
              </w:rPr>
            </w:pPr>
            <w:r>
              <w:rPr>
                <w:rFonts w:cs="Arial"/>
                <w:bCs/>
              </w:rPr>
              <w:t>N/A</w:t>
            </w:r>
          </w:p>
        </w:tc>
        <w:tc>
          <w:tcPr>
            <w:tcW w:w="1180" w:type="dxa"/>
            <w:tcBorders>
              <w:top w:val="single" w:sz="4" w:space="0" w:color="auto"/>
              <w:left w:val="single" w:sz="4" w:space="0" w:color="auto"/>
              <w:bottom w:val="single" w:sz="4" w:space="0" w:color="auto"/>
              <w:right w:val="single" w:sz="4" w:space="0" w:color="auto"/>
            </w:tcBorders>
          </w:tcPr>
          <w:p w14:paraId="63F301A4" w14:textId="41E7B0D6" w:rsidR="00687704" w:rsidRPr="00D55FA1" w:rsidRDefault="00EF5361">
            <w:pPr>
              <w:widowControl w:val="0"/>
              <w:overflowPunct w:val="0"/>
              <w:autoSpaceDE w:val="0"/>
              <w:autoSpaceDN w:val="0"/>
              <w:adjustRightInd w:val="0"/>
              <w:jc w:val="center"/>
              <w:rPr>
                <w:rFonts w:cs="Arial"/>
                <w:bCs/>
              </w:rPr>
            </w:pPr>
            <w:r>
              <w:rPr>
                <w:rFonts w:cs="Arial"/>
                <w:bCs/>
              </w:rPr>
              <w:t>Yes</w:t>
            </w:r>
          </w:p>
        </w:tc>
        <w:tc>
          <w:tcPr>
            <w:tcW w:w="1180" w:type="dxa"/>
            <w:tcBorders>
              <w:top w:val="single" w:sz="4" w:space="0" w:color="auto"/>
              <w:left w:val="single" w:sz="4" w:space="0" w:color="auto"/>
              <w:bottom w:val="single" w:sz="4" w:space="0" w:color="auto"/>
              <w:right w:val="single" w:sz="4" w:space="0" w:color="auto"/>
            </w:tcBorders>
          </w:tcPr>
          <w:p w14:paraId="7C92DD25" w14:textId="1A6CF699" w:rsidR="00687704" w:rsidRPr="00D55FA1" w:rsidRDefault="00DA47CF">
            <w:pPr>
              <w:widowControl w:val="0"/>
              <w:overflowPunct w:val="0"/>
              <w:autoSpaceDE w:val="0"/>
              <w:autoSpaceDN w:val="0"/>
              <w:adjustRightInd w:val="0"/>
              <w:jc w:val="center"/>
              <w:rPr>
                <w:rFonts w:cs="Arial"/>
                <w:bCs/>
              </w:rPr>
            </w:pPr>
            <w:r>
              <w:rPr>
                <w:rFonts w:cs="Arial"/>
                <w:bCs/>
              </w:rPr>
              <w:t>Yes</w:t>
            </w:r>
          </w:p>
        </w:tc>
        <w:tc>
          <w:tcPr>
            <w:tcW w:w="1159" w:type="dxa"/>
            <w:tcBorders>
              <w:top w:val="single" w:sz="4" w:space="0" w:color="auto"/>
              <w:left w:val="single" w:sz="4" w:space="0" w:color="auto"/>
              <w:bottom w:val="single" w:sz="4" w:space="0" w:color="auto"/>
              <w:right w:val="single" w:sz="4" w:space="0" w:color="auto"/>
            </w:tcBorders>
          </w:tcPr>
          <w:p w14:paraId="293ADC37" w14:textId="77777777" w:rsidR="00687704" w:rsidRPr="00D55FA1" w:rsidRDefault="00687704">
            <w:pPr>
              <w:widowControl w:val="0"/>
              <w:overflowPunct w:val="0"/>
              <w:autoSpaceDE w:val="0"/>
              <w:autoSpaceDN w:val="0"/>
              <w:adjustRightInd w:val="0"/>
              <w:jc w:val="center"/>
              <w:rPr>
                <w:rFonts w:cs="Arial"/>
                <w:bCs/>
              </w:rPr>
            </w:pPr>
            <w:r w:rsidRPr="00D55FA1">
              <w:rPr>
                <w:rFonts w:cs="Arial"/>
                <w:bCs/>
              </w:rPr>
              <w:t>-</w:t>
            </w:r>
          </w:p>
        </w:tc>
      </w:tr>
    </w:tbl>
    <w:p w14:paraId="2367DC77" w14:textId="77777777" w:rsidR="00EC7B0D" w:rsidRPr="00D448D5" w:rsidRDefault="00EC7B0D" w:rsidP="007A43E3">
      <w:pPr>
        <w:spacing w:before="240" w:after="240"/>
        <w:rPr>
          <w:rFonts w:eastAsia="Calibri" w:cs="Arial"/>
          <w:szCs w:val="22"/>
        </w:rPr>
      </w:pPr>
    </w:p>
    <w:sectPr w:rsidR="00EC7B0D" w:rsidRPr="00D448D5" w:rsidSect="00423AB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E373" w14:textId="77777777" w:rsidR="0058540E" w:rsidRDefault="0058540E" w:rsidP="00423AB9">
      <w:r>
        <w:separator/>
      </w:r>
    </w:p>
    <w:p w14:paraId="77D49142" w14:textId="77777777" w:rsidR="0058540E" w:rsidRDefault="0058540E"/>
  </w:endnote>
  <w:endnote w:type="continuationSeparator" w:id="0">
    <w:p w14:paraId="0C774027" w14:textId="77777777" w:rsidR="0058540E" w:rsidRDefault="0058540E" w:rsidP="00423AB9">
      <w:r>
        <w:continuationSeparator/>
      </w:r>
    </w:p>
    <w:p w14:paraId="55E4D742" w14:textId="77777777" w:rsidR="0058540E" w:rsidRDefault="0058540E"/>
  </w:endnote>
  <w:endnote w:type="continuationNotice" w:id="1">
    <w:p w14:paraId="1E8E5F7B" w14:textId="77777777" w:rsidR="0058540E" w:rsidRDefault="00585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FE12" w14:textId="77777777" w:rsidR="0058540E" w:rsidRDefault="0058540E" w:rsidP="00423AB9">
      <w:r>
        <w:separator/>
      </w:r>
    </w:p>
    <w:p w14:paraId="36DFECC1" w14:textId="77777777" w:rsidR="0058540E" w:rsidRDefault="0058540E"/>
  </w:footnote>
  <w:footnote w:type="continuationSeparator" w:id="0">
    <w:p w14:paraId="2615D16C" w14:textId="77777777" w:rsidR="0058540E" w:rsidRDefault="0058540E" w:rsidP="00423AB9">
      <w:r>
        <w:continuationSeparator/>
      </w:r>
    </w:p>
    <w:p w14:paraId="2E0FD0C3" w14:textId="77777777" w:rsidR="0058540E" w:rsidRDefault="0058540E"/>
  </w:footnote>
  <w:footnote w:type="continuationNotice" w:id="1">
    <w:p w14:paraId="3B3BCB3E" w14:textId="77777777" w:rsidR="0058540E" w:rsidRDefault="00585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2397" w14:textId="77777777" w:rsidR="002C437F" w:rsidRDefault="002C437F" w:rsidP="00704E41">
    <w:pPr>
      <w:pStyle w:val="Header"/>
      <w:jc w:val="right"/>
      <w:rPr>
        <w:rFonts w:cs="Arial"/>
      </w:rPr>
    </w:pPr>
    <w:r>
      <w:rPr>
        <w:rFonts w:cs="Arial"/>
      </w:rPr>
      <w:t>ofab-sed-sep21item01</w:t>
    </w:r>
  </w:p>
  <w:p w14:paraId="5BB83A5C" w14:textId="77777777" w:rsidR="002C437F" w:rsidRPr="00527B0E" w:rsidRDefault="002C437F" w:rsidP="00704E41">
    <w:pPr>
      <w:pStyle w:val="Header"/>
      <w:jc w:val="right"/>
      <w:rPr>
        <w:rFonts w:cs="Arial"/>
      </w:rPr>
    </w:pPr>
    <w:r>
      <w:rPr>
        <w:rFonts w:cs="Arial"/>
      </w:rPr>
      <w:t xml:space="preserve">Page </w:t>
    </w:r>
    <w:r w:rsidRPr="00423AB9">
      <w:rPr>
        <w:rFonts w:cs="Arial"/>
      </w:rPr>
      <w:fldChar w:fldCharType="begin"/>
    </w:r>
    <w:r w:rsidRPr="00423AB9">
      <w:rPr>
        <w:rFonts w:cs="Arial"/>
      </w:rPr>
      <w:instrText xml:space="preserve"> PAGE   \* MERGEFORMAT </w:instrText>
    </w:r>
    <w:r w:rsidRPr="00423AB9">
      <w:rPr>
        <w:rFonts w:cs="Arial"/>
      </w:rPr>
      <w:fldChar w:fldCharType="separate"/>
    </w:r>
    <w:r w:rsidRPr="00423AB9">
      <w:rPr>
        <w:rFonts w:cs="Arial"/>
        <w:noProof/>
      </w:rPr>
      <w:t>1</w:t>
    </w:r>
    <w:r w:rsidRPr="00423AB9">
      <w:rPr>
        <w:rFonts w:cs="Arial"/>
        <w:noProof/>
      </w:rPr>
      <w:fldChar w:fldCharType="end"/>
    </w:r>
    <w:r>
      <w:rPr>
        <w:rFonts w:cs="Arial"/>
        <w:noProof/>
      </w:rPr>
      <w:t xml:space="preserve"> of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70DA" w14:textId="7590BAB3" w:rsidR="002C437F" w:rsidRDefault="002C437F" w:rsidP="00704E41">
    <w:pPr>
      <w:pStyle w:val="Header"/>
      <w:jc w:val="right"/>
    </w:pPr>
    <w:r>
      <w:t>ofab-sed-jan2</w:t>
    </w:r>
    <w:r w:rsidR="008B7E8D">
      <w:t>6</w:t>
    </w:r>
    <w:r>
      <w:t>item01</w:t>
    </w:r>
  </w:p>
  <w:p w14:paraId="5BB714D0" w14:textId="71EFC7CB" w:rsidR="002C437F" w:rsidRPr="00262AB3" w:rsidRDefault="002C437F" w:rsidP="00704E41">
    <w:pPr>
      <w:pStyle w:val="Header"/>
      <w:spacing w:after="480"/>
      <w:jc w:val="right"/>
      <w:rPr>
        <w:rFonts w:cs="Arial"/>
      </w:rPr>
    </w:pPr>
    <w:r w:rsidRPr="00262AB3">
      <w:rPr>
        <w:rFonts w:cs="Arial"/>
      </w:rPr>
      <w:t xml:space="preserve">Page </w:t>
    </w:r>
    <w:r w:rsidRPr="00EB1E42">
      <w:rPr>
        <w:rFonts w:cs="Arial"/>
        <w:bCs/>
        <w:color w:val="2B579A"/>
      </w:rPr>
      <w:fldChar w:fldCharType="begin"/>
    </w:r>
    <w:r w:rsidRPr="00EB1E42">
      <w:rPr>
        <w:rFonts w:cs="Arial"/>
        <w:bCs/>
      </w:rPr>
      <w:instrText xml:space="preserve"> PAGE  \* Arabic  \* MERGEFORMAT </w:instrText>
    </w:r>
    <w:r w:rsidRPr="00EB1E42">
      <w:rPr>
        <w:rFonts w:cs="Arial"/>
        <w:bCs/>
        <w:color w:val="2B579A"/>
      </w:rPr>
      <w:fldChar w:fldCharType="separate"/>
    </w:r>
    <w:r w:rsidRPr="00EB1E42">
      <w:rPr>
        <w:rFonts w:cs="Arial"/>
        <w:bCs/>
        <w:noProof/>
      </w:rPr>
      <w:t>3</w:t>
    </w:r>
    <w:r w:rsidRPr="00EB1E42">
      <w:rPr>
        <w:rFonts w:cs="Arial"/>
        <w:bCs/>
        <w:color w:val="2B579A"/>
      </w:rPr>
      <w:fldChar w:fldCharType="end"/>
    </w:r>
    <w:r w:rsidRPr="00262AB3">
      <w:rPr>
        <w:rFonts w:cs="Arial"/>
      </w:rPr>
      <w:t xml:space="preserve"> of </w:t>
    </w:r>
    <w:r>
      <w:rPr>
        <w:rFonts w:cs="Arial"/>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0FE9" w14:textId="0531B0FE" w:rsidR="002C437F" w:rsidRDefault="002C437F" w:rsidP="00704E41">
    <w:pPr>
      <w:pStyle w:val="Header"/>
      <w:jc w:val="right"/>
    </w:pPr>
    <w:r>
      <w:t>ofab-sed-jan2</w:t>
    </w:r>
    <w:r w:rsidR="00D32B63">
      <w:t>6</w:t>
    </w:r>
    <w:r>
      <w:t>item01</w:t>
    </w:r>
  </w:p>
  <w:p w14:paraId="3417A843" w14:textId="65C4C47D" w:rsidR="002C437F" w:rsidRPr="00262AB3" w:rsidRDefault="002C437F" w:rsidP="0057097C">
    <w:pPr>
      <w:pStyle w:val="Header"/>
      <w:spacing w:after="480"/>
      <w:jc w:val="right"/>
      <w:rPr>
        <w:rFonts w:cs="Arial"/>
      </w:rPr>
    </w:pPr>
    <w:r>
      <w:rPr>
        <w:rFonts w:cs="Arial"/>
      </w:rPr>
      <w:t>Attachment 1</w:t>
    </w:r>
    <w:r>
      <w:rPr>
        <w:rFonts w:cs="Arial"/>
      </w:rPr>
      <w:br/>
      <w:t>P</w:t>
    </w:r>
    <w:r w:rsidRPr="00262AB3">
      <w:rPr>
        <w:rFonts w:cs="Arial"/>
      </w:rPr>
      <w:t xml:space="preserve">age </w:t>
    </w:r>
    <w:r>
      <w:rPr>
        <w:rFonts w:cs="Arial"/>
      </w:rPr>
      <w:fldChar w:fldCharType="begin"/>
    </w:r>
    <w:r>
      <w:rPr>
        <w:rFonts w:cs="Arial"/>
      </w:rPr>
      <w:instrText xml:space="preserve"> PAGE  \* Arabic  \* MERGEFORMAT </w:instrText>
    </w:r>
    <w:r>
      <w:rPr>
        <w:rFonts w:cs="Arial"/>
      </w:rPr>
      <w:fldChar w:fldCharType="separate"/>
    </w:r>
    <w:r>
      <w:rPr>
        <w:rFonts w:cs="Arial"/>
        <w:noProof/>
      </w:rPr>
      <w:t>6</w:t>
    </w:r>
    <w:r>
      <w:rPr>
        <w:rFonts w:cs="Arial"/>
      </w:rPr>
      <w:fldChar w:fldCharType="end"/>
    </w:r>
    <w:r w:rsidRPr="00262AB3">
      <w:rPr>
        <w:rFonts w:cs="Arial"/>
      </w:rPr>
      <w:t xml:space="preserve"> of</w:t>
    </w:r>
    <w:r>
      <w:rPr>
        <w:rFonts w:cs="Arial"/>
      </w:rPr>
      <w:t xml:space="preserve"> </w:t>
    </w:r>
    <w:r w:rsidR="00B02514">
      <w:rPr>
        <w:rFonts w:cs="Arial"/>
      </w:rPr>
      <w:t>59</w:t>
    </w:r>
  </w:p>
</w:hdr>
</file>

<file path=word/intelligence2.xml><?xml version="1.0" encoding="utf-8"?>
<int2:intelligence xmlns:int2="http://schemas.microsoft.com/office/intelligence/2020/intelligence" xmlns:oel="http://schemas.microsoft.com/office/2019/extlst">
  <int2:observations>
    <int2:bookmark int2:bookmarkName="_Int_MTXvlgUD" int2:invalidationBookmarkName="" int2:hashCode="4epvBRjy4OSwtc" int2:id="JLHbMLF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D84"/>
    <w:multiLevelType w:val="hybridMultilevel"/>
    <w:tmpl w:val="E348C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D7DA8"/>
    <w:multiLevelType w:val="hybridMultilevel"/>
    <w:tmpl w:val="E9969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176AC"/>
    <w:multiLevelType w:val="hybridMultilevel"/>
    <w:tmpl w:val="E9969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175E"/>
    <w:multiLevelType w:val="hybridMultilevel"/>
    <w:tmpl w:val="54083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F727A7"/>
    <w:multiLevelType w:val="multilevel"/>
    <w:tmpl w:val="F830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470EB"/>
    <w:multiLevelType w:val="hybridMultilevel"/>
    <w:tmpl w:val="48C66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648E2"/>
    <w:multiLevelType w:val="hybridMultilevel"/>
    <w:tmpl w:val="E9969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B0B02"/>
    <w:multiLevelType w:val="multilevel"/>
    <w:tmpl w:val="E092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344B3"/>
    <w:multiLevelType w:val="hybridMultilevel"/>
    <w:tmpl w:val="0D76E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9B7DC1"/>
    <w:multiLevelType w:val="hybridMultilevel"/>
    <w:tmpl w:val="9B0CC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16091"/>
    <w:multiLevelType w:val="hybridMultilevel"/>
    <w:tmpl w:val="B65EA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A17597"/>
    <w:multiLevelType w:val="hybridMultilevel"/>
    <w:tmpl w:val="EE920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3319B8"/>
    <w:multiLevelType w:val="hybridMultilevel"/>
    <w:tmpl w:val="C49C2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869B8"/>
    <w:multiLevelType w:val="multilevel"/>
    <w:tmpl w:val="28A0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D3191"/>
    <w:multiLevelType w:val="hybridMultilevel"/>
    <w:tmpl w:val="76D4166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AB54F40"/>
    <w:multiLevelType w:val="multilevel"/>
    <w:tmpl w:val="0AFA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BB2AEF"/>
    <w:multiLevelType w:val="hybridMultilevel"/>
    <w:tmpl w:val="AA38CD7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75967"/>
    <w:multiLevelType w:val="hybridMultilevel"/>
    <w:tmpl w:val="0EEE27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12976"/>
    <w:multiLevelType w:val="hybridMultilevel"/>
    <w:tmpl w:val="A05098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F30E8E"/>
    <w:multiLevelType w:val="multilevel"/>
    <w:tmpl w:val="29BA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8B6CC3"/>
    <w:multiLevelType w:val="multilevel"/>
    <w:tmpl w:val="9B2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E33092"/>
    <w:multiLevelType w:val="hybridMultilevel"/>
    <w:tmpl w:val="01E28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CE4D7D"/>
    <w:multiLevelType w:val="hybridMultilevel"/>
    <w:tmpl w:val="F9F61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0F66F5"/>
    <w:multiLevelType w:val="hybridMultilevel"/>
    <w:tmpl w:val="22DCAE2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84400624">
    <w:abstractNumId w:val="11"/>
  </w:num>
  <w:num w:numId="2" w16cid:durableId="459767126">
    <w:abstractNumId w:val="10"/>
  </w:num>
  <w:num w:numId="3" w16cid:durableId="552348428">
    <w:abstractNumId w:val="3"/>
  </w:num>
  <w:num w:numId="4" w16cid:durableId="1026173747">
    <w:abstractNumId w:val="16"/>
  </w:num>
  <w:num w:numId="5" w16cid:durableId="1612396095">
    <w:abstractNumId w:val="1"/>
  </w:num>
  <w:num w:numId="6" w16cid:durableId="914516635">
    <w:abstractNumId w:val="17"/>
  </w:num>
  <w:num w:numId="7" w16cid:durableId="398214695">
    <w:abstractNumId w:val="22"/>
  </w:num>
  <w:num w:numId="8" w16cid:durableId="93794208">
    <w:abstractNumId w:val="23"/>
  </w:num>
  <w:num w:numId="9" w16cid:durableId="80680834">
    <w:abstractNumId w:val="6"/>
  </w:num>
  <w:num w:numId="10" w16cid:durableId="1114714550">
    <w:abstractNumId w:val="2"/>
  </w:num>
  <w:num w:numId="11" w16cid:durableId="1498619568">
    <w:abstractNumId w:val="21"/>
  </w:num>
  <w:num w:numId="12" w16cid:durableId="352652354">
    <w:abstractNumId w:val="0"/>
  </w:num>
  <w:num w:numId="13" w16cid:durableId="2031032361">
    <w:abstractNumId w:val="14"/>
  </w:num>
  <w:num w:numId="14" w16cid:durableId="124592657">
    <w:abstractNumId w:val="12"/>
  </w:num>
  <w:num w:numId="15" w16cid:durableId="1185171439">
    <w:abstractNumId w:val="5"/>
  </w:num>
  <w:num w:numId="16" w16cid:durableId="290207149">
    <w:abstractNumId w:val="18"/>
  </w:num>
  <w:num w:numId="17" w16cid:durableId="1734305955">
    <w:abstractNumId w:val="4"/>
  </w:num>
  <w:num w:numId="18" w16cid:durableId="419185303">
    <w:abstractNumId w:val="7"/>
  </w:num>
  <w:num w:numId="19" w16cid:durableId="810050477">
    <w:abstractNumId w:val="20"/>
  </w:num>
  <w:num w:numId="20" w16cid:durableId="104666332">
    <w:abstractNumId w:val="15"/>
  </w:num>
  <w:num w:numId="21" w16cid:durableId="1465925799">
    <w:abstractNumId w:val="19"/>
  </w:num>
  <w:num w:numId="22" w16cid:durableId="115803242">
    <w:abstractNumId w:val="13"/>
  </w:num>
  <w:num w:numId="23" w16cid:durableId="1895122342">
    <w:abstractNumId w:val="8"/>
  </w:num>
  <w:num w:numId="24" w16cid:durableId="167511212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B9"/>
    <w:rsid w:val="0000014F"/>
    <w:rsid w:val="0000139F"/>
    <w:rsid w:val="0000246B"/>
    <w:rsid w:val="0000280E"/>
    <w:rsid w:val="00002E67"/>
    <w:rsid w:val="000031B1"/>
    <w:rsid w:val="00004548"/>
    <w:rsid w:val="000073FC"/>
    <w:rsid w:val="00010C9A"/>
    <w:rsid w:val="00010FD0"/>
    <w:rsid w:val="00011E05"/>
    <w:rsid w:val="00012EE2"/>
    <w:rsid w:val="00012F62"/>
    <w:rsid w:val="000132E6"/>
    <w:rsid w:val="00013756"/>
    <w:rsid w:val="00013AED"/>
    <w:rsid w:val="000145E1"/>
    <w:rsid w:val="00015E10"/>
    <w:rsid w:val="00017EC1"/>
    <w:rsid w:val="00020884"/>
    <w:rsid w:val="00020DA1"/>
    <w:rsid w:val="00021DF6"/>
    <w:rsid w:val="00023172"/>
    <w:rsid w:val="000238B6"/>
    <w:rsid w:val="00024E0F"/>
    <w:rsid w:val="0002522D"/>
    <w:rsid w:val="0002552D"/>
    <w:rsid w:val="00025863"/>
    <w:rsid w:val="00025F98"/>
    <w:rsid w:val="000265E8"/>
    <w:rsid w:val="00026900"/>
    <w:rsid w:val="00027691"/>
    <w:rsid w:val="00030182"/>
    <w:rsid w:val="00030326"/>
    <w:rsid w:val="00031B18"/>
    <w:rsid w:val="000335FF"/>
    <w:rsid w:val="000337DF"/>
    <w:rsid w:val="00034AB5"/>
    <w:rsid w:val="00034AC3"/>
    <w:rsid w:val="00034C17"/>
    <w:rsid w:val="000372C7"/>
    <w:rsid w:val="00037EB5"/>
    <w:rsid w:val="00040207"/>
    <w:rsid w:val="000408CE"/>
    <w:rsid w:val="000414BB"/>
    <w:rsid w:val="00041A3D"/>
    <w:rsid w:val="00041AE5"/>
    <w:rsid w:val="0004271D"/>
    <w:rsid w:val="000431DD"/>
    <w:rsid w:val="000441A4"/>
    <w:rsid w:val="000443CB"/>
    <w:rsid w:val="00046EE8"/>
    <w:rsid w:val="00047360"/>
    <w:rsid w:val="0005061B"/>
    <w:rsid w:val="000508FA"/>
    <w:rsid w:val="00051F64"/>
    <w:rsid w:val="00054099"/>
    <w:rsid w:val="00054CC8"/>
    <w:rsid w:val="0005572F"/>
    <w:rsid w:val="0005708B"/>
    <w:rsid w:val="000574FB"/>
    <w:rsid w:val="00057AE5"/>
    <w:rsid w:val="000617D9"/>
    <w:rsid w:val="00062569"/>
    <w:rsid w:val="00062811"/>
    <w:rsid w:val="00062D71"/>
    <w:rsid w:val="0006342D"/>
    <w:rsid w:val="00064001"/>
    <w:rsid w:val="00065C23"/>
    <w:rsid w:val="00066020"/>
    <w:rsid w:val="00066B3E"/>
    <w:rsid w:val="00067B77"/>
    <w:rsid w:val="000700A8"/>
    <w:rsid w:val="000704DC"/>
    <w:rsid w:val="00070847"/>
    <w:rsid w:val="00070D13"/>
    <w:rsid w:val="0007170C"/>
    <w:rsid w:val="00071823"/>
    <w:rsid w:val="00071B52"/>
    <w:rsid w:val="00072072"/>
    <w:rsid w:val="00072CC8"/>
    <w:rsid w:val="00073BE4"/>
    <w:rsid w:val="000749FF"/>
    <w:rsid w:val="000753CA"/>
    <w:rsid w:val="00075BD6"/>
    <w:rsid w:val="00075C88"/>
    <w:rsid w:val="00076B5F"/>
    <w:rsid w:val="00077553"/>
    <w:rsid w:val="000808E9"/>
    <w:rsid w:val="00080929"/>
    <w:rsid w:val="00081476"/>
    <w:rsid w:val="000815A0"/>
    <w:rsid w:val="00081E6E"/>
    <w:rsid w:val="00082169"/>
    <w:rsid w:val="000834DC"/>
    <w:rsid w:val="00083650"/>
    <w:rsid w:val="00083D0A"/>
    <w:rsid w:val="00084041"/>
    <w:rsid w:val="000843C6"/>
    <w:rsid w:val="00084D4B"/>
    <w:rsid w:val="000854BA"/>
    <w:rsid w:val="00085D40"/>
    <w:rsid w:val="000860C9"/>
    <w:rsid w:val="000873EA"/>
    <w:rsid w:val="00087B74"/>
    <w:rsid w:val="00090750"/>
    <w:rsid w:val="00090C66"/>
    <w:rsid w:val="000914D6"/>
    <w:rsid w:val="000915FE"/>
    <w:rsid w:val="00092283"/>
    <w:rsid w:val="000929CE"/>
    <w:rsid w:val="00093F9F"/>
    <w:rsid w:val="0009428F"/>
    <w:rsid w:val="000946FE"/>
    <w:rsid w:val="000966FC"/>
    <w:rsid w:val="00096BF3"/>
    <w:rsid w:val="00096FA0"/>
    <w:rsid w:val="0009753B"/>
    <w:rsid w:val="000A299A"/>
    <w:rsid w:val="000A3B90"/>
    <w:rsid w:val="000A3DD3"/>
    <w:rsid w:val="000A40AD"/>
    <w:rsid w:val="000A47DD"/>
    <w:rsid w:val="000A5A9B"/>
    <w:rsid w:val="000A6341"/>
    <w:rsid w:val="000A6475"/>
    <w:rsid w:val="000A6FA4"/>
    <w:rsid w:val="000A786C"/>
    <w:rsid w:val="000A7CD4"/>
    <w:rsid w:val="000B023A"/>
    <w:rsid w:val="000B052C"/>
    <w:rsid w:val="000B2A64"/>
    <w:rsid w:val="000B3EC7"/>
    <w:rsid w:val="000B5B34"/>
    <w:rsid w:val="000B6561"/>
    <w:rsid w:val="000B78C5"/>
    <w:rsid w:val="000C1CB7"/>
    <w:rsid w:val="000C238A"/>
    <w:rsid w:val="000C2848"/>
    <w:rsid w:val="000C3B3C"/>
    <w:rsid w:val="000C4B8A"/>
    <w:rsid w:val="000C57DE"/>
    <w:rsid w:val="000C588B"/>
    <w:rsid w:val="000C667B"/>
    <w:rsid w:val="000C6B80"/>
    <w:rsid w:val="000D1934"/>
    <w:rsid w:val="000D3A60"/>
    <w:rsid w:val="000D44FC"/>
    <w:rsid w:val="000D4569"/>
    <w:rsid w:val="000D5991"/>
    <w:rsid w:val="000D6576"/>
    <w:rsid w:val="000D66D0"/>
    <w:rsid w:val="000E00D9"/>
    <w:rsid w:val="000E115E"/>
    <w:rsid w:val="000E1DA4"/>
    <w:rsid w:val="000E2A69"/>
    <w:rsid w:val="000E30DA"/>
    <w:rsid w:val="000E4075"/>
    <w:rsid w:val="000E4203"/>
    <w:rsid w:val="000E53D8"/>
    <w:rsid w:val="000E5CAE"/>
    <w:rsid w:val="000E6EE4"/>
    <w:rsid w:val="000F066F"/>
    <w:rsid w:val="000F0C14"/>
    <w:rsid w:val="000F0CB0"/>
    <w:rsid w:val="000F38F5"/>
    <w:rsid w:val="000F39BA"/>
    <w:rsid w:val="000F4011"/>
    <w:rsid w:val="000F59A2"/>
    <w:rsid w:val="000F6182"/>
    <w:rsid w:val="000F792A"/>
    <w:rsid w:val="000F7EE1"/>
    <w:rsid w:val="001015E1"/>
    <w:rsid w:val="00102C51"/>
    <w:rsid w:val="0010386B"/>
    <w:rsid w:val="00103D0C"/>
    <w:rsid w:val="00104435"/>
    <w:rsid w:val="001047F2"/>
    <w:rsid w:val="00104819"/>
    <w:rsid w:val="0010572C"/>
    <w:rsid w:val="00105B47"/>
    <w:rsid w:val="001066FC"/>
    <w:rsid w:val="001070FE"/>
    <w:rsid w:val="001111A1"/>
    <w:rsid w:val="00111D35"/>
    <w:rsid w:val="00112066"/>
    <w:rsid w:val="0011209D"/>
    <w:rsid w:val="00112736"/>
    <w:rsid w:val="00113EA9"/>
    <w:rsid w:val="00114761"/>
    <w:rsid w:val="00114DDF"/>
    <w:rsid w:val="00116142"/>
    <w:rsid w:val="001163B9"/>
    <w:rsid w:val="00116462"/>
    <w:rsid w:val="00117D3C"/>
    <w:rsid w:val="00117FD6"/>
    <w:rsid w:val="00120BF2"/>
    <w:rsid w:val="0012150E"/>
    <w:rsid w:val="00122095"/>
    <w:rsid w:val="00123860"/>
    <w:rsid w:val="00124282"/>
    <w:rsid w:val="00125B60"/>
    <w:rsid w:val="00125F62"/>
    <w:rsid w:val="001263ED"/>
    <w:rsid w:val="001270C9"/>
    <w:rsid w:val="00130CA1"/>
    <w:rsid w:val="001320AC"/>
    <w:rsid w:val="00132F02"/>
    <w:rsid w:val="001331AC"/>
    <w:rsid w:val="001346C5"/>
    <w:rsid w:val="001350A6"/>
    <w:rsid w:val="001363DE"/>
    <w:rsid w:val="001363F2"/>
    <w:rsid w:val="00136856"/>
    <w:rsid w:val="00136A3F"/>
    <w:rsid w:val="00136D38"/>
    <w:rsid w:val="001403D0"/>
    <w:rsid w:val="00140E1A"/>
    <w:rsid w:val="00140F25"/>
    <w:rsid w:val="0014134D"/>
    <w:rsid w:val="00141AC1"/>
    <w:rsid w:val="00141FF2"/>
    <w:rsid w:val="00142473"/>
    <w:rsid w:val="00143B5E"/>
    <w:rsid w:val="00144283"/>
    <w:rsid w:val="001442B7"/>
    <w:rsid w:val="00144C65"/>
    <w:rsid w:val="00146046"/>
    <w:rsid w:val="0015002B"/>
    <w:rsid w:val="001521DD"/>
    <w:rsid w:val="001523D0"/>
    <w:rsid w:val="00153DD5"/>
    <w:rsid w:val="0015530D"/>
    <w:rsid w:val="00155533"/>
    <w:rsid w:val="00156C57"/>
    <w:rsid w:val="00162BB4"/>
    <w:rsid w:val="00163499"/>
    <w:rsid w:val="00165FEC"/>
    <w:rsid w:val="00166FD1"/>
    <w:rsid w:val="001707A6"/>
    <w:rsid w:val="00171A59"/>
    <w:rsid w:val="00171B1A"/>
    <w:rsid w:val="00173299"/>
    <w:rsid w:val="001732DF"/>
    <w:rsid w:val="001748D9"/>
    <w:rsid w:val="00174A67"/>
    <w:rsid w:val="00175C54"/>
    <w:rsid w:val="00177028"/>
    <w:rsid w:val="001807C2"/>
    <w:rsid w:val="00180996"/>
    <w:rsid w:val="00180D0E"/>
    <w:rsid w:val="00181E05"/>
    <w:rsid w:val="0018289F"/>
    <w:rsid w:val="00182CFC"/>
    <w:rsid w:val="001831C3"/>
    <w:rsid w:val="00183692"/>
    <w:rsid w:val="0018416B"/>
    <w:rsid w:val="001854A2"/>
    <w:rsid w:val="00185FE5"/>
    <w:rsid w:val="001860FA"/>
    <w:rsid w:val="0018630A"/>
    <w:rsid w:val="001904EC"/>
    <w:rsid w:val="00190D77"/>
    <w:rsid w:val="00191B43"/>
    <w:rsid w:val="00191FA4"/>
    <w:rsid w:val="00192099"/>
    <w:rsid w:val="00193492"/>
    <w:rsid w:val="0019441F"/>
    <w:rsid w:val="00194824"/>
    <w:rsid w:val="001948E1"/>
    <w:rsid w:val="001950A1"/>
    <w:rsid w:val="0019524C"/>
    <w:rsid w:val="00195325"/>
    <w:rsid w:val="00195968"/>
    <w:rsid w:val="0019727E"/>
    <w:rsid w:val="00197D04"/>
    <w:rsid w:val="00197D13"/>
    <w:rsid w:val="001A0DA2"/>
    <w:rsid w:val="001A24D1"/>
    <w:rsid w:val="001A3DE7"/>
    <w:rsid w:val="001A4D21"/>
    <w:rsid w:val="001A5DCD"/>
    <w:rsid w:val="001A6B46"/>
    <w:rsid w:val="001B0196"/>
    <w:rsid w:val="001B09C3"/>
    <w:rsid w:val="001B0C39"/>
    <w:rsid w:val="001B14EC"/>
    <w:rsid w:val="001B171A"/>
    <w:rsid w:val="001B2091"/>
    <w:rsid w:val="001B33A1"/>
    <w:rsid w:val="001B4030"/>
    <w:rsid w:val="001B440C"/>
    <w:rsid w:val="001B4BD1"/>
    <w:rsid w:val="001B517B"/>
    <w:rsid w:val="001B5AAC"/>
    <w:rsid w:val="001B5BE3"/>
    <w:rsid w:val="001B678B"/>
    <w:rsid w:val="001B74B1"/>
    <w:rsid w:val="001B7F16"/>
    <w:rsid w:val="001C06CC"/>
    <w:rsid w:val="001C0790"/>
    <w:rsid w:val="001C0BFD"/>
    <w:rsid w:val="001C1BF8"/>
    <w:rsid w:val="001C20A3"/>
    <w:rsid w:val="001C2A2E"/>
    <w:rsid w:val="001C2AA2"/>
    <w:rsid w:val="001C32BD"/>
    <w:rsid w:val="001C381D"/>
    <w:rsid w:val="001C3E7B"/>
    <w:rsid w:val="001C43D6"/>
    <w:rsid w:val="001C4FF3"/>
    <w:rsid w:val="001C5055"/>
    <w:rsid w:val="001C554B"/>
    <w:rsid w:val="001C5D54"/>
    <w:rsid w:val="001C63B4"/>
    <w:rsid w:val="001C643B"/>
    <w:rsid w:val="001C6F0B"/>
    <w:rsid w:val="001C7F13"/>
    <w:rsid w:val="001D07DD"/>
    <w:rsid w:val="001D0AA2"/>
    <w:rsid w:val="001D30AE"/>
    <w:rsid w:val="001D3583"/>
    <w:rsid w:val="001D35B8"/>
    <w:rsid w:val="001D3E50"/>
    <w:rsid w:val="001D4E18"/>
    <w:rsid w:val="001D5635"/>
    <w:rsid w:val="001D5890"/>
    <w:rsid w:val="001D5A79"/>
    <w:rsid w:val="001D786B"/>
    <w:rsid w:val="001D7C93"/>
    <w:rsid w:val="001D7D46"/>
    <w:rsid w:val="001E0356"/>
    <w:rsid w:val="001E04F5"/>
    <w:rsid w:val="001E06D7"/>
    <w:rsid w:val="001E11B2"/>
    <w:rsid w:val="001E1BFE"/>
    <w:rsid w:val="001E2A8B"/>
    <w:rsid w:val="001E39E0"/>
    <w:rsid w:val="001E3CC4"/>
    <w:rsid w:val="001E5A49"/>
    <w:rsid w:val="001E7493"/>
    <w:rsid w:val="001F0126"/>
    <w:rsid w:val="001F20CF"/>
    <w:rsid w:val="001F2C48"/>
    <w:rsid w:val="001F2FFF"/>
    <w:rsid w:val="001F30A1"/>
    <w:rsid w:val="001F346D"/>
    <w:rsid w:val="001F362E"/>
    <w:rsid w:val="001F46B3"/>
    <w:rsid w:val="001F4C85"/>
    <w:rsid w:val="001F4FE9"/>
    <w:rsid w:val="001F5975"/>
    <w:rsid w:val="001F5D16"/>
    <w:rsid w:val="001F5FC2"/>
    <w:rsid w:val="001F649D"/>
    <w:rsid w:val="001F666B"/>
    <w:rsid w:val="001F688D"/>
    <w:rsid w:val="001F6C56"/>
    <w:rsid w:val="001F7698"/>
    <w:rsid w:val="001F77D6"/>
    <w:rsid w:val="0020064E"/>
    <w:rsid w:val="002009FB"/>
    <w:rsid w:val="00201813"/>
    <w:rsid w:val="00201871"/>
    <w:rsid w:val="00203086"/>
    <w:rsid w:val="00203870"/>
    <w:rsid w:val="00204B92"/>
    <w:rsid w:val="00204BE6"/>
    <w:rsid w:val="00204D90"/>
    <w:rsid w:val="002050AF"/>
    <w:rsid w:val="00205661"/>
    <w:rsid w:val="002072F1"/>
    <w:rsid w:val="0020744A"/>
    <w:rsid w:val="002077CB"/>
    <w:rsid w:val="00210C28"/>
    <w:rsid w:val="002114B3"/>
    <w:rsid w:val="00213111"/>
    <w:rsid w:val="002131FF"/>
    <w:rsid w:val="00213238"/>
    <w:rsid w:val="00213C45"/>
    <w:rsid w:val="00213D95"/>
    <w:rsid w:val="002141BC"/>
    <w:rsid w:val="002143ED"/>
    <w:rsid w:val="00214AA7"/>
    <w:rsid w:val="00215079"/>
    <w:rsid w:val="00215905"/>
    <w:rsid w:val="00215AFB"/>
    <w:rsid w:val="00217BE3"/>
    <w:rsid w:val="002208B4"/>
    <w:rsid w:val="00220C57"/>
    <w:rsid w:val="00220D4C"/>
    <w:rsid w:val="002227BA"/>
    <w:rsid w:val="00223C92"/>
    <w:rsid w:val="00224262"/>
    <w:rsid w:val="00225922"/>
    <w:rsid w:val="00227A99"/>
    <w:rsid w:val="00227DC9"/>
    <w:rsid w:val="00227EF1"/>
    <w:rsid w:val="00230294"/>
    <w:rsid w:val="002316B0"/>
    <w:rsid w:val="00232AC2"/>
    <w:rsid w:val="002336B4"/>
    <w:rsid w:val="0023436D"/>
    <w:rsid w:val="00234C6F"/>
    <w:rsid w:val="002358E1"/>
    <w:rsid w:val="00235905"/>
    <w:rsid w:val="00236B99"/>
    <w:rsid w:val="00236BBD"/>
    <w:rsid w:val="002406C1"/>
    <w:rsid w:val="0024073B"/>
    <w:rsid w:val="00240B1C"/>
    <w:rsid w:val="00241870"/>
    <w:rsid w:val="00241DA8"/>
    <w:rsid w:val="002424DF"/>
    <w:rsid w:val="00242C4B"/>
    <w:rsid w:val="00245252"/>
    <w:rsid w:val="002454C3"/>
    <w:rsid w:val="00245BF0"/>
    <w:rsid w:val="00246FFC"/>
    <w:rsid w:val="00247D6C"/>
    <w:rsid w:val="0025004D"/>
    <w:rsid w:val="00250C3D"/>
    <w:rsid w:val="0025121B"/>
    <w:rsid w:val="00251E0B"/>
    <w:rsid w:val="00251F5C"/>
    <w:rsid w:val="00252563"/>
    <w:rsid w:val="00252E5E"/>
    <w:rsid w:val="00254337"/>
    <w:rsid w:val="0025451B"/>
    <w:rsid w:val="0025578B"/>
    <w:rsid w:val="00255BBF"/>
    <w:rsid w:val="00255BD0"/>
    <w:rsid w:val="00256411"/>
    <w:rsid w:val="00256DD4"/>
    <w:rsid w:val="002571EB"/>
    <w:rsid w:val="00257C30"/>
    <w:rsid w:val="00260A89"/>
    <w:rsid w:val="0026244A"/>
    <w:rsid w:val="00262F53"/>
    <w:rsid w:val="00263DAE"/>
    <w:rsid w:val="00264E5C"/>
    <w:rsid w:val="00265075"/>
    <w:rsid w:val="00271D3B"/>
    <w:rsid w:val="00271E0B"/>
    <w:rsid w:val="00271E64"/>
    <w:rsid w:val="00272362"/>
    <w:rsid w:val="00272381"/>
    <w:rsid w:val="00272AF5"/>
    <w:rsid w:val="00272D9A"/>
    <w:rsid w:val="002730CD"/>
    <w:rsid w:val="00274565"/>
    <w:rsid w:val="00275667"/>
    <w:rsid w:val="00275C35"/>
    <w:rsid w:val="00276249"/>
    <w:rsid w:val="00276E86"/>
    <w:rsid w:val="002773C6"/>
    <w:rsid w:val="00277CD8"/>
    <w:rsid w:val="00281ABB"/>
    <w:rsid w:val="0028426C"/>
    <w:rsid w:val="00285100"/>
    <w:rsid w:val="002856A1"/>
    <w:rsid w:val="0028707E"/>
    <w:rsid w:val="00287863"/>
    <w:rsid w:val="002878BA"/>
    <w:rsid w:val="00290815"/>
    <w:rsid w:val="00290ABE"/>
    <w:rsid w:val="00291570"/>
    <w:rsid w:val="00292004"/>
    <w:rsid w:val="00292ED1"/>
    <w:rsid w:val="00293907"/>
    <w:rsid w:val="00293B38"/>
    <w:rsid w:val="00295345"/>
    <w:rsid w:val="00295C27"/>
    <w:rsid w:val="00296085"/>
    <w:rsid w:val="00296B17"/>
    <w:rsid w:val="002973CA"/>
    <w:rsid w:val="0029775B"/>
    <w:rsid w:val="00297928"/>
    <w:rsid w:val="00297A2D"/>
    <w:rsid w:val="002A1925"/>
    <w:rsid w:val="002A207B"/>
    <w:rsid w:val="002A21D8"/>
    <w:rsid w:val="002A2736"/>
    <w:rsid w:val="002A3E21"/>
    <w:rsid w:val="002A6272"/>
    <w:rsid w:val="002A67B6"/>
    <w:rsid w:val="002A6D91"/>
    <w:rsid w:val="002A7399"/>
    <w:rsid w:val="002A7741"/>
    <w:rsid w:val="002A78BF"/>
    <w:rsid w:val="002B01EB"/>
    <w:rsid w:val="002B02EF"/>
    <w:rsid w:val="002B0769"/>
    <w:rsid w:val="002B1C9B"/>
    <w:rsid w:val="002B1CB3"/>
    <w:rsid w:val="002B1E51"/>
    <w:rsid w:val="002B2806"/>
    <w:rsid w:val="002B28F9"/>
    <w:rsid w:val="002B310C"/>
    <w:rsid w:val="002B31E9"/>
    <w:rsid w:val="002B392E"/>
    <w:rsid w:val="002B3D55"/>
    <w:rsid w:val="002B464B"/>
    <w:rsid w:val="002B5A05"/>
    <w:rsid w:val="002B664B"/>
    <w:rsid w:val="002B6865"/>
    <w:rsid w:val="002B7488"/>
    <w:rsid w:val="002B7582"/>
    <w:rsid w:val="002B7AFC"/>
    <w:rsid w:val="002C1465"/>
    <w:rsid w:val="002C2279"/>
    <w:rsid w:val="002C278C"/>
    <w:rsid w:val="002C2CBD"/>
    <w:rsid w:val="002C372F"/>
    <w:rsid w:val="002C437F"/>
    <w:rsid w:val="002C5910"/>
    <w:rsid w:val="002C5D5D"/>
    <w:rsid w:val="002C5EBA"/>
    <w:rsid w:val="002C7150"/>
    <w:rsid w:val="002C7EBB"/>
    <w:rsid w:val="002D0EED"/>
    <w:rsid w:val="002D19D4"/>
    <w:rsid w:val="002D1EF5"/>
    <w:rsid w:val="002D2AAD"/>
    <w:rsid w:val="002D2DA1"/>
    <w:rsid w:val="002D4D54"/>
    <w:rsid w:val="002D550F"/>
    <w:rsid w:val="002D57B3"/>
    <w:rsid w:val="002D5C14"/>
    <w:rsid w:val="002D6275"/>
    <w:rsid w:val="002E1DAA"/>
    <w:rsid w:val="002E1E74"/>
    <w:rsid w:val="002E241B"/>
    <w:rsid w:val="002E2852"/>
    <w:rsid w:val="002E2C98"/>
    <w:rsid w:val="002E2E35"/>
    <w:rsid w:val="002E6305"/>
    <w:rsid w:val="002E6443"/>
    <w:rsid w:val="002E75F6"/>
    <w:rsid w:val="002F04BC"/>
    <w:rsid w:val="002F0869"/>
    <w:rsid w:val="002F0B12"/>
    <w:rsid w:val="002F1020"/>
    <w:rsid w:val="002F1D55"/>
    <w:rsid w:val="002F2CB9"/>
    <w:rsid w:val="002F3060"/>
    <w:rsid w:val="002F39DF"/>
    <w:rsid w:val="002F442A"/>
    <w:rsid w:val="002F5C8B"/>
    <w:rsid w:val="002F72DA"/>
    <w:rsid w:val="002F7986"/>
    <w:rsid w:val="002F7C08"/>
    <w:rsid w:val="00300AC2"/>
    <w:rsid w:val="003016D5"/>
    <w:rsid w:val="0030173F"/>
    <w:rsid w:val="00301949"/>
    <w:rsid w:val="00301EA1"/>
    <w:rsid w:val="003024DA"/>
    <w:rsid w:val="00302665"/>
    <w:rsid w:val="00303BBE"/>
    <w:rsid w:val="00304865"/>
    <w:rsid w:val="00306457"/>
    <w:rsid w:val="00306D2E"/>
    <w:rsid w:val="003106F5"/>
    <w:rsid w:val="00311584"/>
    <w:rsid w:val="003116B7"/>
    <w:rsid w:val="00311DF1"/>
    <w:rsid w:val="0031255D"/>
    <w:rsid w:val="00314B9D"/>
    <w:rsid w:val="00314BB6"/>
    <w:rsid w:val="00315234"/>
    <w:rsid w:val="00315BB7"/>
    <w:rsid w:val="0031653A"/>
    <w:rsid w:val="00317B9E"/>
    <w:rsid w:val="00317F11"/>
    <w:rsid w:val="003201CE"/>
    <w:rsid w:val="00325DCA"/>
    <w:rsid w:val="00325F43"/>
    <w:rsid w:val="0032680D"/>
    <w:rsid w:val="00327202"/>
    <w:rsid w:val="003272E6"/>
    <w:rsid w:val="00327696"/>
    <w:rsid w:val="00327880"/>
    <w:rsid w:val="00327FE7"/>
    <w:rsid w:val="00330737"/>
    <w:rsid w:val="0033299E"/>
    <w:rsid w:val="00333009"/>
    <w:rsid w:val="00333A20"/>
    <w:rsid w:val="00334186"/>
    <w:rsid w:val="0033464F"/>
    <w:rsid w:val="00334884"/>
    <w:rsid w:val="00334A0A"/>
    <w:rsid w:val="00334AE7"/>
    <w:rsid w:val="0033544E"/>
    <w:rsid w:val="00335C12"/>
    <w:rsid w:val="00336737"/>
    <w:rsid w:val="00336E22"/>
    <w:rsid w:val="00337239"/>
    <w:rsid w:val="00340810"/>
    <w:rsid w:val="00341B2F"/>
    <w:rsid w:val="00341C49"/>
    <w:rsid w:val="00342085"/>
    <w:rsid w:val="00342D13"/>
    <w:rsid w:val="00343C75"/>
    <w:rsid w:val="00343E56"/>
    <w:rsid w:val="0034430D"/>
    <w:rsid w:val="0034478B"/>
    <w:rsid w:val="00344840"/>
    <w:rsid w:val="00345934"/>
    <w:rsid w:val="00346D4E"/>
    <w:rsid w:val="00347DA1"/>
    <w:rsid w:val="00347DBF"/>
    <w:rsid w:val="00351F28"/>
    <w:rsid w:val="0035221A"/>
    <w:rsid w:val="00353EA9"/>
    <w:rsid w:val="00354402"/>
    <w:rsid w:val="00354AED"/>
    <w:rsid w:val="00357514"/>
    <w:rsid w:val="00357778"/>
    <w:rsid w:val="00360F6B"/>
    <w:rsid w:val="00361ECA"/>
    <w:rsid w:val="003625FE"/>
    <w:rsid w:val="0036265B"/>
    <w:rsid w:val="003631DE"/>
    <w:rsid w:val="003632EF"/>
    <w:rsid w:val="00365206"/>
    <w:rsid w:val="003654F6"/>
    <w:rsid w:val="00367364"/>
    <w:rsid w:val="00371556"/>
    <w:rsid w:val="00372272"/>
    <w:rsid w:val="00372966"/>
    <w:rsid w:val="0037511F"/>
    <w:rsid w:val="0037584E"/>
    <w:rsid w:val="00375E2E"/>
    <w:rsid w:val="003766FE"/>
    <w:rsid w:val="00376C34"/>
    <w:rsid w:val="00377837"/>
    <w:rsid w:val="00377D51"/>
    <w:rsid w:val="0038017F"/>
    <w:rsid w:val="00380682"/>
    <w:rsid w:val="003811FF"/>
    <w:rsid w:val="00381EB1"/>
    <w:rsid w:val="00382431"/>
    <w:rsid w:val="0038387C"/>
    <w:rsid w:val="00383EC7"/>
    <w:rsid w:val="0038412F"/>
    <w:rsid w:val="003851EC"/>
    <w:rsid w:val="00385DA8"/>
    <w:rsid w:val="0038689D"/>
    <w:rsid w:val="003900C6"/>
    <w:rsid w:val="00392DCE"/>
    <w:rsid w:val="0039418A"/>
    <w:rsid w:val="00394592"/>
    <w:rsid w:val="00395588"/>
    <w:rsid w:val="0039570C"/>
    <w:rsid w:val="00395A79"/>
    <w:rsid w:val="00395C86"/>
    <w:rsid w:val="00396AD8"/>
    <w:rsid w:val="00396E38"/>
    <w:rsid w:val="003975D9"/>
    <w:rsid w:val="003A032E"/>
    <w:rsid w:val="003A17AA"/>
    <w:rsid w:val="003A2C1A"/>
    <w:rsid w:val="003A30B2"/>
    <w:rsid w:val="003A3427"/>
    <w:rsid w:val="003A4D84"/>
    <w:rsid w:val="003A5037"/>
    <w:rsid w:val="003A590F"/>
    <w:rsid w:val="003A600C"/>
    <w:rsid w:val="003A61BB"/>
    <w:rsid w:val="003A678E"/>
    <w:rsid w:val="003A6C17"/>
    <w:rsid w:val="003A70BF"/>
    <w:rsid w:val="003A79ED"/>
    <w:rsid w:val="003B0400"/>
    <w:rsid w:val="003B04A3"/>
    <w:rsid w:val="003B31B0"/>
    <w:rsid w:val="003B38D0"/>
    <w:rsid w:val="003B48A9"/>
    <w:rsid w:val="003B55F0"/>
    <w:rsid w:val="003B5B27"/>
    <w:rsid w:val="003B5B29"/>
    <w:rsid w:val="003B5E4A"/>
    <w:rsid w:val="003B61DD"/>
    <w:rsid w:val="003B7848"/>
    <w:rsid w:val="003B7983"/>
    <w:rsid w:val="003B7C06"/>
    <w:rsid w:val="003C0F92"/>
    <w:rsid w:val="003C104C"/>
    <w:rsid w:val="003C1882"/>
    <w:rsid w:val="003C2014"/>
    <w:rsid w:val="003C227B"/>
    <w:rsid w:val="003C2F23"/>
    <w:rsid w:val="003C360A"/>
    <w:rsid w:val="003C43D8"/>
    <w:rsid w:val="003C5A29"/>
    <w:rsid w:val="003C5B20"/>
    <w:rsid w:val="003C5B2B"/>
    <w:rsid w:val="003C70E8"/>
    <w:rsid w:val="003C77D7"/>
    <w:rsid w:val="003C7A11"/>
    <w:rsid w:val="003C7BCE"/>
    <w:rsid w:val="003D0BFC"/>
    <w:rsid w:val="003D2088"/>
    <w:rsid w:val="003D2CC1"/>
    <w:rsid w:val="003D417F"/>
    <w:rsid w:val="003D4676"/>
    <w:rsid w:val="003D7191"/>
    <w:rsid w:val="003D7225"/>
    <w:rsid w:val="003D7B9A"/>
    <w:rsid w:val="003D7C0A"/>
    <w:rsid w:val="003D7D1F"/>
    <w:rsid w:val="003D7D52"/>
    <w:rsid w:val="003E1D94"/>
    <w:rsid w:val="003E1E94"/>
    <w:rsid w:val="003E252B"/>
    <w:rsid w:val="003E25E6"/>
    <w:rsid w:val="003E26BD"/>
    <w:rsid w:val="003E2AC3"/>
    <w:rsid w:val="003E3771"/>
    <w:rsid w:val="003E3E93"/>
    <w:rsid w:val="003E3FA7"/>
    <w:rsid w:val="003E3FA8"/>
    <w:rsid w:val="003E4681"/>
    <w:rsid w:val="003E481E"/>
    <w:rsid w:val="003E4A44"/>
    <w:rsid w:val="003E4FB4"/>
    <w:rsid w:val="003E63A8"/>
    <w:rsid w:val="003E6ED5"/>
    <w:rsid w:val="003E74C5"/>
    <w:rsid w:val="003F1411"/>
    <w:rsid w:val="003F1444"/>
    <w:rsid w:val="003F219A"/>
    <w:rsid w:val="003F2657"/>
    <w:rsid w:val="003F32E4"/>
    <w:rsid w:val="003F5DAD"/>
    <w:rsid w:val="0040049D"/>
    <w:rsid w:val="00400A47"/>
    <w:rsid w:val="00400CAB"/>
    <w:rsid w:val="004031AB"/>
    <w:rsid w:val="004039AC"/>
    <w:rsid w:val="004039CB"/>
    <w:rsid w:val="004042CE"/>
    <w:rsid w:val="00404EA8"/>
    <w:rsid w:val="004058C5"/>
    <w:rsid w:val="00407485"/>
    <w:rsid w:val="00407BA1"/>
    <w:rsid w:val="00407E8C"/>
    <w:rsid w:val="00411207"/>
    <w:rsid w:val="00411AD7"/>
    <w:rsid w:val="00411F26"/>
    <w:rsid w:val="00412106"/>
    <w:rsid w:val="00412455"/>
    <w:rsid w:val="00412ABC"/>
    <w:rsid w:val="0041300C"/>
    <w:rsid w:val="0041390A"/>
    <w:rsid w:val="00413DD8"/>
    <w:rsid w:val="00414888"/>
    <w:rsid w:val="00415812"/>
    <w:rsid w:val="00415C49"/>
    <w:rsid w:val="004176D8"/>
    <w:rsid w:val="00417AED"/>
    <w:rsid w:val="0042140C"/>
    <w:rsid w:val="0042246E"/>
    <w:rsid w:val="00423AB9"/>
    <w:rsid w:val="00423AF3"/>
    <w:rsid w:val="0042534E"/>
    <w:rsid w:val="004253CF"/>
    <w:rsid w:val="00430AFD"/>
    <w:rsid w:val="004344A7"/>
    <w:rsid w:val="004351A1"/>
    <w:rsid w:val="0043650D"/>
    <w:rsid w:val="004368F0"/>
    <w:rsid w:val="00437FAA"/>
    <w:rsid w:val="00441404"/>
    <w:rsid w:val="0044175E"/>
    <w:rsid w:val="00441F1F"/>
    <w:rsid w:val="0044276C"/>
    <w:rsid w:val="004428E0"/>
    <w:rsid w:val="004455BA"/>
    <w:rsid w:val="00447754"/>
    <w:rsid w:val="00447DAE"/>
    <w:rsid w:val="00450180"/>
    <w:rsid w:val="004512C2"/>
    <w:rsid w:val="00452560"/>
    <w:rsid w:val="00452A01"/>
    <w:rsid w:val="00453161"/>
    <w:rsid w:val="0045435C"/>
    <w:rsid w:val="00454968"/>
    <w:rsid w:val="00454E0C"/>
    <w:rsid w:val="00457ABC"/>
    <w:rsid w:val="004618C9"/>
    <w:rsid w:val="00462087"/>
    <w:rsid w:val="004628AF"/>
    <w:rsid w:val="004636D4"/>
    <w:rsid w:val="004638A2"/>
    <w:rsid w:val="004651E6"/>
    <w:rsid w:val="00466216"/>
    <w:rsid w:val="0046718D"/>
    <w:rsid w:val="0047034F"/>
    <w:rsid w:val="0047124F"/>
    <w:rsid w:val="00472BCA"/>
    <w:rsid w:val="00473CC6"/>
    <w:rsid w:val="00474040"/>
    <w:rsid w:val="004754E1"/>
    <w:rsid w:val="00476C72"/>
    <w:rsid w:val="00477F6D"/>
    <w:rsid w:val="00482643"/>
    <w:rsid w:val="00483241"/>
    <w:rsid w:val="004833F3"/>
    <w:rsid w:val="0048342C"/>
    <w:rsid w:val="0048473A"/>
    <w:rsid w:val="00484795"/>
    <w:rsid w:val="00484913"/>
    <w:rsid w:val="004850EB"/>
    <w:rsid w:val="00485A0A"/>
    <w:rsid w:val="00485BF8"/>
    <w:rsid w:val="004878AE"/>
    <w:rsid w:val="00490785"/>
    <w:rsid w:val="00490BCC"/>
    <w:rsid w:val="00490D68"/>
    <w:rsid w:val="004917A4"/>
    <w:rsid w:val="00492BE7"/>
    <w:rsid w:val="0049318F"/>
    <w:rsid w:val="00493FC9"/>
    <w:rsid w:val="00494563"/>
    <w:rsid w:val="00495731"/>
    <w:rsid w:val="004975E9"/>
    <w:rsid w:val="004A017F"/>
    <w:rsid w:val="004A0D1D"/>
    <w:rsid w:val="004A31A3"/>
    <w:rsid w:val="004A44B6"/>
    <w:rsid w:val="004A5E30"/>
    <w:rsid w:val="004A6151"/>
    <w:rsid w:val="004A6912"/>
    <w:rsid w:val="004A71F7"/>
    <w:rsid w:val="004B015F"/>
    <w:rsid w:val="004B0375"/>
    <w:rsid w:val="004B038D"/>
    <w:rsid w:val="004B0CE7"/>
    <w:rsid w:val="004B1E08"/>
    <w:rsid w:val="004B2A8F"/>
    <w:rsid w:val="004B3362"/>
    <w:rsid w:val="004B38E4"/>
    <w:rsid w:val="004B3EF5"/>
    <w:rsid w:val="004B62C9"/>
    <w:rsid w:val="004B675B"/>
    <w:rsid w:val="004B744E"/>
    <w:rsid w:val="004C1F14"/>
    <w:rsid w:val="004C2223"/>
    <w:rsid w:val="004C371B"/>
    <w:rsid w:val="004C4256"/>
    <w:rsid w:val="004C46FC"/>
    <w:rsid w:val="004C507A"/>
    <w:rsid w:val="004C53DE"/>
    <w:rsid w:val="004C5826"/>
    <w:rsid w:val="004C5B83"/>
    <w:rsid w:val="004C6413"/>
    <w:rsid w:val="004C70F4"/>
    <w:rsid w:val="004C73E8"/>
    <w:rsid w:val="004D2D40"/>
    <w:rsid w:val="004D2EBB"/>
    <w:rsid w:val="004D32D1"/>
    <w:rsid w:val="004D4394"/>
    <w:rsid w:val="004D5962"/>
    <w:rsid w:val="004D612C"/>
    <w:rsid w:val="004D6A96"/>
    <w:rsid w:val="004E069E"/>
    <w:rsid w:val="004E455D"/>
    <w:rsid w:val="004E4A20"/>
    <w:rsid w:val="004E7D1D"/>
    <w:rsid w:val="004F012D"/>
    <w:rsid w:val="004F25C5"/>
    <w:rsid w:val="004F2D0E"/>
    <w:rsid w:val="004F3A86"/>
    <w:rsid w:val="004F5573"/>
    <w:rsid w:val="004F58C8"/>
    <w:rsid w:val="004F627B"/>
    <w:rsid w:val="004F6EB7"/>
    <w:rsid w:val="004F7220"/>
    <w:rsid w:val="00501995"/>
    <w:rsid w:val="005019DA"/>
    <w:rsid w:val="00501AB6"/>
    <w:rsid w:val="00501DDF"/>
    <w:rsid w:val="00502240"/>
    <w:rsid w:val="00502B92"/>
    <w:rsid w:val="00502C43"/>
    <w:rsid w:val="00502D19"/>
    <w:rsid w:val="00503581"/>
    <w:rsid w:val="0050469A"/>
    <w:rsid w:val="00505A7D"/>
    <w:rsid w:val="00505B77"/>
    <w:rsid w:val="00506010"/>
    <w:rsid w:val="00506E09"/>
    <w:rsid w:val="005070ED"/>
    <w:rsid w:val="00507416"/>
    <w:rsid w:val="005104F8"/>
    <w:rsid w:val="005119F3"/>
    <w:rsid w:val="005122D0"/>
    <w:rsid w:val="00512467"/>
    <w:rsid w:val="00512609"/>
    <w:rsid w:val="00512814"/>
    <w:rsid w:val="00515462"/>
    <w:rsid w:val="005157EC"/>
    <w:rsid w:val="00516614"/>
    <w:rsid w:val="0051767B"/>
    <w:rsid w:val="005203BC"/>
    <w:rsid w:val="0052334F"/>
    <w:rsid w:val="005244D0"/>
    <w:rsid w:val="00524828"/>
    <w:rsid w:val="0052485A"/>
    <w:rsid w:val="00525E7F"/>
    <w:rsid w:val="00525F5C"/>
    <w:rsid w:val="00526E03"/>
    <w:rsid w:val="00527519"/>
    <w:rsid w:val="0052769E"/>
    <w:rsid w:val="005279FC"/>
    <w:rsid w:val="00531974"/>
    <w:rsid w:val="005342FD"/>
    <w:rsid w:val="005348F5"/>
    <w:rsid w:val="00535049"/>
    <w:rsid w:val="00535B12"/>
    <w:rsid w:val="0054152D"/>
    <w:rsid w:val="00541771"/>
    <w:rsid w:val="005419D3"/>
    <w:rsid w:val="0054215F"/>
    <w:rsid w:val="00542263"/>
    <w:rsid w:val="00542A1D"/>
    <w:rsid w:val="00543D00"/>
    <w:rsid w:val="00543DB5"/>
    <w:rsid w:val="00543F95"/>
    <w:rsid w:val="005449C5"/>
    <w:rsid w:val="00545563"/>
    <w:rsid w:val="00553332"/>
    <w:rsid w:val="005538F4"/>
    <w:rsid w:val="00553AF4"/>
    <w:rsid w:val="00554360"/>
    <w:rsid w:val="00555666"/>
    <w:rsid w:val="00555E10"/>
    <w:rsid w:val="005563D0"/>
    <w:rsid w:val="00556492"/>
    <w:rsid w:val="00557046"/>
    <w:rsid w:val="00557962"/>
    <w:rsid w:val="00560576"/>
    <w:rsid w:val="005606C2"/>
    <w:rsid w:val="00560B36"/>
    <w:rsid w:val="00560D3E"/>
    <w:rsid w:val="00560F3A"/>
    <w:rsid w:val="00561174"/>
    <w:rsid w:val="00561386"/>
    <w:rsid w:val="005620D9"/>
    <w:rsid w:val="00562DDB"/>
    <w:rsid w:val="00562F1F"/>
    <w:rsid w:val="00563022"/>
    <w:rsid w:val="005639C9"/>
    <w:rsid w:val="00563A67"/>
    <w:rsid w:val="005649C2"/>
    <w:rsid w:val="00564AE2"/>
    <w:rsid w:val="0056536E"/>
    <w:rsid w:val="00565597"/>
    <w:rsid w:val="00566D7F"/>
    <w:rsid w:val="00567581"/>
    <w:rsid w:val="0057097C"/>
    <w:rsid w:val="00570F3B"/>
    <w:rsid w:val="00571C2B"/>
    <w:rsid w:val="005725E0"/>
    <w:rsid w:val="00572D8D"/>
    <w:rsid w:val="00573C49"/>
    <w:rsid w:val="00574966"/>
    <w:rsid w:val="00576DEE"/>
    <w:rsid w:val="0057719E"/>
    <w:rsid w:val="005773C3"/>
    <w:rsid w:val="00580635"/>
    <w:rsid w:val="0058145A"/>
    <w:rsid w:val="005814C9"/>
    <w:rsid w:val="00581B54"/>
    <w:rsid w:val="00581F53"/>
    <w:rsid w:val="00582864"/>
    <w:rsid w:val="00583C64"/>
    <w:rsid w:val="00583DEA"/>
    <w:rsid w:val="00583FEC"/>
    <w:rsid w:val="00585114"/>
    <w:rsid w:val="0058523A"/>
    <w:rsid w:val="005852B8"/>
    <w:rsid w:val="0058540E"/>
    <w:rsid w:val="00585D58"/>
    <w:rsid w:val="00587B7B"/>
    <w:rsid w:val="00587F71"/>
    <w:rsid w:val="005904F7"/>
    <w:rsid w:val="00592A14"/>
    <w:rsid w:val="00592D7D"/>
    <w:rsid w:val="00592EBF"/>
    <w:rsid w:val="00593FB9"/>
    <w:rsid w:val="005944E2"/>
    <w:rsid w:val="005955CA"/>
    <w:rsid w:val="00595679"/>
    <w:rsid w:val="00595C0C"/>
    <w:rsid w:val="00595D52"/>
    <w:rsid w:val="00595D7C"/>
    <w:rsid w:val="005963DD"/>
    <w:rsid w:val="00596E1F"/>
    <w:rsid w:val="0059766A"/>
    <w:rsid w:val="005A2799"/>
    <w:rsid w:val="005A2958"/>
    <w:rsid w:val="005A405F"/>
    <w:rsid w:val="005A42C1"/>
    <w:rsid w:val="005A43EE"/>
    <w:rsid w:val="005A6380"/>
    <w:rsid w:val="005A6442"/>
    <w:rsid w:val="005A6D28"/>
    <w:rsid w:val="005A7F4A"/>
    <w:rsid w:val="005B0D69"/>
    <w:rsid w:val="005B0D8E"/>
    <w:rsid w:val="005B1211"/>
    <w:rsid w:val="005B1829"/>
    <w:rsid w:val="005B1EFE"/>
    <w:rsid w:val="005B2512"/>
    <w:rsid w:val="005B315B"/>
    <w:rsid w:val="005B37B6"/>
    <w:rsid w:val="005B4C39"/>
    <w:rsid w:val="005B6636"/>
    <w:rsid w:val="005B6BB8"/>
    <w:rsid w:val="005B72CA"/>
    <w:rsid w:val="005B7F52"/>
    <w:rsid w:val="005C027F"/>
    <w:rsid w:val="005C051C"/>
    <w:rsid w:val="005C0B03"/>
    <w:rsid w:val="005C0DB8"/>
    <w:rsid w:val="005C12CF"/>
    <w:rsid w:val="005C2005"/>
    <w:rsid w:val="005C3095"/>
    <w:rsid w:val="005C3166"/>
    <w:rsid w:val="005C38A1"/>
    <w:rsid w:val="005C3E4E"/>
    <w:rsid w:val="005C414A"/>
    <w:rsid w:val="005C415E"/>
    <w:rsid w:val="005C54F9"/>
    <w:rsid w:val="005C71C0"/>
    <w:rsid w:val="005C7C54"/>
    <w:rsid w:val="005D013E"/>
    <w:rsid w:val="005D02E0"/>
    <w:rsid w:val="005D2625"/>
    <w:rsid w:val="005D28C1"/>
    <w:rsid w:val="005D2B43"/>
    <w:rsid w:val="005D3E3D"/>
    <w:rsid w:val="005D466D"/>
    <w:rsid w:val="005D4CD0"/>
    <w:rsid w:val="005D5BF5"/>
    <w:rsid w:val="005D74DA"/>
    <w:rsid w:val="005D7AC4"/>
    <w:rsid w:val="005E02DF"/>
    <w:rsid w:val="005E0939"/>
    <w:rsid w:val="005E1CA1"/>
    <w:rsid w:val="005E22C4"/>
    <w:rsid w:val="005E2803"/>
    <w:rsid w:val="005E2EAD"/>
    <w:rsid w:val="005E385E"/>
    <w:rsid w:val="005E3A33"/>
    <w:rsid w:val="005E3CEE"/>
    <w:rsid w:val="005E41BD"/>
    <w:rsid w:val="005E45CF"/>
    <w:rsid w:val="005E4EED"/>
    <w:rsid w:val="005E62B2"/>
    <w:rsid w:val="005E6754"/>
    <w:rsid w:val="005E7A9F"/>
    <w:rsid w:val="005F070E"/>
    <w:rsid w:val="005F0CA5"/>
    <w:rsid w:val="005F0D9C"/>
    <w:rsid w:val="005F1A23"/>
    <w:rsid w:val="005F1C8D"/>
    <w:rsid w:val="005F29D3"/>
    <w:rsid w:val="005F352A"/>
    <w:rsid w:val="005F36D4"/>
    <w:rsid w:val="005F3929"/>
    <w:rsid w:val="005F56FD"/>
    <w:rsid w:val="005F7AF0"/>
    <w:rsid w:val="006007AB"/>
    <w:rsid w:val="006007EE"/>
    <w:rsid w:val="00601ED7"/>
    <w:rsid w:val="00602825"/>
    <w:rsid w:val="00602960"/>
    <w:rsid w:val="00603C03"/>
    <w:rsid w:val="0060590E"/>
    <w:rsid w:val="00605B83"/>
    <w:rsid w:val="00605BE0"/>
    <w:rsid w:val="006064A8"/>
    <w:rsid w:val="006065C5"/>
    <w:rsid w:val="00607A34"/>
    <w:rsid w:val="00607AF3"/>
    <w:rsid w:val="00611852"/>
    <w:rsid w:val="0061348B"/>
    <w:rsid w:val="00614294"/>
    <w:rsid w:val="00614645"/>
    <w:rsid w:val="00614930"/>
    <w:rsid w:val="0061510E"/>
    <w:rsid w:val="00615617"/>
    <w:rsid w:val="00617B5C"/>
    <w:rsid w:val="006246FD"/>
    <w:rsid w:val="00625D3E"/>
    <w:rsid w:val="00626C62"/>
    <w:rsid w:val="0062759F"/>
    <w:rsid w:val="00627EE0"/>
    <w:rsid w:val="00630994"/>
    <w:rsid w:val="006312E6"/>
    <w:rsid w:val="0063314B"/>
    <w:rsid w:val="00633165"/>
    <w:rsid w:val="00633803"/>
    <w:rsid w:val="00633DAA"/>
    <w:rsid w:val="00633FDE"/>
    <w:rsid w:val="006347DF"/>
    <w:rsid w:val="0063510A"/>
    <w:rsid w:val="00635FFB"/>
    <w:rsid w:val="0063690F"/>
    <w:rsid w:val="0064123A"/>
    <w:rsid w:val="006426EE"/>
    <w:rsid w:val="006443B5"/>
    <w:rsid w:val="00645BC9"/>
    <w:rsid w:val="006463B9"/>
    <w:rsid w:val="006464A2"/>
    <w:rsid w:val="006465BF"/>
    <w:rsid w:val="0064685C"/>
    <w:rsid w:val="00646F95"/>
    <w:rsid w:val="006505A3"/>
    <w:rsid w:val="00650F9D"/>
    <w:rsid w:val="00651476"/>
    <w:rsid w:val="0065190F"/>
    <w:rsid w:val="00651AB1"/>
    <w:rsid w:val="006522B4"/>
    <w:rsid w:val="006543F3"/>
    <w:rsid w:val="00656019"/>
    <w:rsid w:val="006561D9"/>
    <w:rsid w:val="006569BC"/>
    <w:rsid w:val="00656ADF"/>
    <w:rsid w:val="0065771C"/>
    <w:rsid w:val="006578C1"/>
    <w:rsid w:val="006600E0"/>
    <w:rsid w:val="00661E79"/>
    <w:rsid w:val="00663042"/>
    <w:rsid w:val="0066332C"/>
    <w:rsid w:val="00663587"/>
    <w:rsid w:val="00664266"/>
    <w:rsid w:val="006645BE"/>
    <w:rsid w:val="00664876"/>
    <w:rsid w:val="00665C90"/>
    <w:rsid w:val="00670163"/>
    <w:rsid w:val="00671233"/>
    <w:rsid w:val="006712DD"/>
    <w:rsid w:val="0067132D"/>
    <w:rsid w:val="00671E98"/>
    <w:rsid w:val="0067200A"/>
    <w:rsid w:val="0067272C"/>
    <w:rsid w:val="00672737"/>
    <w:rsid w:val="00672AF2"/>
    <w:rsid w:val="00672E6B"/>
    <w:rsid w:val="006735C5"/>
    <w:rsid w:val="00673E20"/>
    <w:rsid w:val="00674A29"/>
    <w:rsid w:val="00676411"/>
    <w:rsid w:val="006765A5"/>
    <w:rsid w:val="00676813"/>
    <w:rsid w:val="00677770"/>
    <w:rsid w:val="00677E07"/>
    <w:rsid w:val="00680001"/>
    <w:rsid w:val="00680540"/>
    <w:rsid w:val="0068153A"/>
    <w:rsid w:val="00681C8A"/>
    <w:rsid w:val="006824E3"/>
    <w:rsid w:val="00683190"/>
    <w:rsid w:val="00683838"/>
    <w:rsid w:val="00683E65"/>
    <w:rsid w:val="00684BD2"/>
    <w:rsid w:val="00685773"/>
    <w:rsid w:val="006857CF"/>
    <w:rsid w:val="006864E9"/>
    <w:rsid w:val="0068705B"/>
    <w:rsid w:val="00687704"/>
    <w:rsid w:val="00687A56"/>
    <w:rsid w:val="006901DD"/>
    <w:rsid w:val="00690738"/>
    <w:rsid w:val="0069144C"/>
    <w:rsid w:val="00691548"/>
    <w:rsid w:val="006918F1"/>
    <w:rsid w:val="0069249B"/>
    <w:rsid w:val="00692533"/>
    <w:rsid w:val="006930A4"/>
    <w:rsid w:val="0069317C"/>
    <w:rsid w:val="00693D43"/>
    <w:rsid w:val="00693EB1"/>
    <w:rsid w:val="00695D48"/>
    <w:rsid w:val="00695DFA"/>
    <w:rsid w:val="00697B7C"/>
    <w:rsid w:val="006A0451"/>
    <w:rsid w:val="006A0F6C"/>
    <w:rsid w:val="006A289B"/>
    <w:rsid w:val="006A3358"/>
    <w:rsid w:val="006A3B6E"/>
    <w:rsid w:val="006A48B9"/>
    <w:rsid w:val="006A51BB"/>
    <w:rsid w:val="006A5D20"/>
    <w:rsid w:val="006A5FE2"/>
    <w:rsid w:val="006A61DA"/>
    <w:rsid w:val="006A7537"/>
    <w:rsid w:val="006B0050"/>
    <w:rsid w:val="006B08EF"/>
    <w:rsid w:val="006B0C08"/>
    <w:rsid w:val="006B10F5"/>
    <w:rsid w:val="006B1DF0"/>
    <w:rsid w:val="006B1ED3"/>
    <w:rsid w:val="006B5C68"/>
    <w:rsid w:val="006B5DD7"/>
    <w:rsid w:val="006B64B2"/>
    <w:rsid w:val="006B6DEA"/>
    <w:rsid w:val="006B709F"/>
    <w:rsid w:val="006B7426"/>
    <w:rsid w:val="006B7756"/>
    <w:rsid w:val="006C25D7"/>
    <w:rsid w:val="006C414A"/>
    <w:rsid w:val="006C44F8"/>
    <w:rsid w:val="006C547E"/>
    <w:rsid w:val="006C584A"/>
    <w:rsid w:val="006C7376"/>
    <w:rsid w:val="006D5CAD"/>
    <w:rsid w:val="006D623C"/>
    <w:rsid w:val="006D6D41"/>
    <w:rsid w:val="006D717F"/>
    <w:rsid w:val="006E0CB0"/>
    <w:rsid w:val="006E110F"/>
    <w:rsid w:val="006E18F1"/>
    <w:rsid w:val="006E2077"/>
    <w:rsid w:val="006E21A9"/>
    <w:rsid w:val="006E3D8C"/>
    <w:rsid w:val="006E5896"/>
    <w:rsid w:val="006E60B7"/>
    <w:rsid w:val="006E71EF"/>
    <w:rsid w:val="006E7D83"/>
    <w:rsid w:val="006F0EE9"/>
    <w:rsid w:val="006F3704"/>
    <w:rsid w:val="006F388B"/>
    <w:rsid w:val="006F437B"/>
    <w:rsid w:val="006F4D0E"/>
    <w:rsid w:val="006F5978"/>
    <w:rsid w:val="006F6459"/>
    <w:rsid w:val="006F6768"/>
    <w:rsid w:val="006F6D43"/>
    <w:rsid w:val="006F720D"/>
    <w:rsid w:val="006F7BF9"/>
    <w:rsid w:val="006F7E0D"/>
    <w:rsid w:val="00700C4B"/>
    <w:rsid w:val="00701470"/>
    <w:rsid w:val="00701CB3"/>
    <w:rsid w:val="007036B2"/>
    <w:rsid w:val="00704E41"/>
    <w:rsid w:val="00705C42"/>
    <w:rsid w:val="00705F31"/>
    <w:rsid w:val="007071D6"/>
    <w:rsid w:val="00707386"/>
    <w:rsid w:val="007075D8"/>
    <w:rsid w:val="007076E6"/>
    <w:rsid w:val="00707EB5"/>
    <w:rsid w:val="00710182"/>
    <w:rsid w:val="007108AF"/>
    <w:rsid w:val="00710B39"/>
    <w:rsid w:val="00710DA2"/>
    <w:rsid w:val="007135E0"/>
    <w:rsid w:val="007146C5"/>
    <w:rsid w:val="007147BC"/>
    <w:rsid w:val="00714C8D"/>
    <w:rsid w:val="00714CFE"/>
    <w:rsid w:val="00716323"/>
    <w:rsid w:val="00716B6B"/>
    <w:rsid w:val="007173E8"/>
    <w:rsid w:val="007204E6"/>
    <w:rsid w:val="0072109C"/>
    <w:rsid w:val="007215C9"/>
    <w:rsid w:val="0072256E"/>
    <w:rsid w:val="00722C13"/>
    <w:rsid w:val="007230B4"/>
    <w:rsid w:val="00723356"/>
    <w:rsid w:val="00723B27"/>
    <w:rsid w:val="00724922"/>
    <w:rsid w:val="0072549B"/>
    <w:rsid w:val="007258AA"/>
    <w:rsid w:val="00725ECF"/>
    <w:rsid w:val="007266D8"/>
    <w:rsid w:val="00730076"/>
    <w:rsid w:val="00730789"/>
    <w:rsid w:val="00730B0B"/>
    <w:rsid w:val="00730DD3"/>
    <w:rsid w:val="00731555"/>
    <w:rsid w:val="00732689"/>
    <w:rsid w:val="00733F38"/>
    <w:rsid w:val="00734190"/>
    <w:rsid w:val="0073455A"/>
    <w:rsid w:val="007351D1"/>
    <w:rsid w:val="00737DD1"/>
    <w:rsid w:val="0074037C"/>
    <w:rsid w:val="00740A4D"/>
    <w:rsid w:val="00740E7A"/>
    <w:rsid w:val="00740F83"/>
    <w:rsid w:val="007410D5"/>
    <w:rsid w:val="0074126C"/>
    <w:rsid w:val="007417AA"/>
    <w:rsid w:val="00741A5D"/>
    <w:rsid w:val="007428D9"/>
    <w:rsid w:val="00742972"/>
    <w:rsid w:val="007435A3"/>
    <w:rsid w:val="00744342"/>
    <w:rsid w:val="00744AA3"/>
    <w:rsid w:val="00745499"/>
    <w:rsid w:val="00745E08"/>
    <w:rsid w:val="00747C49"/>
    <w:rsid w:val="00751B88"/>
    <w:rsid w:val="007526DF"/>
    <w:rsid w:val="00752E82"/>
    <w:rsid w:val="00753239"/>
    <w:rsid w:val="00754A85"/>
    <w:rsid w:val="00754CCB"/>
    <w:rsid w:val="007556E2"/>
    <w:rsid w:val="00755D01"/>
    <w:rsid w:val="00755EFA"/>
    <w:rsid w:val="00756FAD"/>
    <w:rsid w:val="00757274"/>
    <w:rsid w:val="007602A3"/>
    <w:rsid w:val="00761884"/>
    <w:rsid w:val="0076460E"/>
    <w:rsid w:val="00764B04"/>
    <w:rsid w:val="00765A92"/>
    <w:rsid w:val="00765B34"/>
    <w:rsid w:val="00765F07"/>
    <w:rsid w:val="00766C93"/>
    <w:rsid w:val="00767ACF"/>
    <w:rsid w:val="007706FA"/>
    <w:rsid w:val="00771875"/>
    <w:rsid w:val="00771F7A"/>
    <w:rsid w:val="00772FB8"/>
    <w:rsid w:val="00773A59"/>
    <w:rsid w:val="0077463C"/>
    <w:rsid w:val="00774C5F"/>
    <w:rsid w:val="0077542A"/>
    <w:rsid w:val="007756E2"/>
    <w:rsid w:val="00776321"/>
    <w:rsid w:val="007772B2"/>
    <w:rsid w:val="00780794"/>
    <w:rsid w:val="0078144A"/>
    <w:rsid w:val="007816B6"/>
    <w:rsid w:val="007818E7"/>
    <w:rsid w:val="00781DA3"/>
    <w:rsid w:val="00782A05"/>
    <w:rsid w:val="00783601"/>
    <w:rsid w:val="00783B11"/>
    <w:rsid w:val="00783EAF"/>
    <w:rsid w:val="00784EE4"/>
    <w:rsid w:val="00785DAF"/>
    <w:rsid w:val="007862CE"/>
    <w:rsid w:val="007876B6"/>
    <w:rsid w:val="00790030"/>
    <w:rsid w:val="00790450"/>
    <w:rsid w:val="00791510"/>
    <w:rsid w:val="00791953"/>
    <w:rsid w:val="00791C0C"/>
    <w:rsid w:val="00792C8F"/>
    <w:rsid w:val="00792E29"/>
    <w:rsid w:val="00793627"/>
    <w:rsid w:val="007936E7"/>
    <w:rsid w:val="00793A7C"/>
    <w:rsid w:val="00795087"/>
    <w:rsid w:val="007958E0"/>
    <w:rsid w:val="00796098"/>
    <w:rsid w:val="00796288"/>
    <w:rsid w:val="00796BDA"/>
    <w:rsid w:val="007A0C9E"/>
    <w:rsid w:val="007A139C"/>
    <w:rsid w:val="007A1C94"/>
    <w:rsid w:val="007A24B1"/>
    <w:rsid w:val="007A2604"/>
    <w:rsid w:val="007A3005"/>
    <w:rsid w:val="007A3897"/>
    <w:rsid w:val="007A3B8F"/>
    <w:rsid w:val="007A43E3"/>
    <w:rsid w:val="007A45AC"/>
    <w:rsid w:val="007A4EB1"/>
    <w:rsid w:val="007A4EDE"/>
    <w:rsid w:val="007A635D"/>
    <w:rsid w:val="007A63D7"/>
    <w:rsid w:val="007A6591"/>
    <w:rsid w:val="007A6BCF"/>
    <w:rsid w:val="007A73CC"/>
    <w:rsid w:val="007A78AD"/>
    <w:rsid w:val="007A7B9C"/>
    <w:rsid w:val="007A7E58"/>
    <w:rsid w:val="007B0394"/>
    <w:rsid w:val="007B130B"/>
    <w:rsid w:val="007B1F88"/>
    <w:rsid w:val="007B261D"/>
    <w:rsid w:val="007B586A"/>
    <w:rsid w:val="007B6583"/>
    <w:rsid w:val="007B7C0B"/>
    <w:rsid w:val="007B7CEA"/>
    <w:rsid w:val="007C005B"/>
    <w:rsid w:val="007C0189"/>
    <w:rsid w:val="007C030D"/>
    <w:rsid w:val="007C0561"/>
    <w:rsid w:val="007C3ABC"/>
    <w:rsid w:val="007C4682"/>
    <w:rsid w:val="007C4E94"/>
    <w:rsid w:val="007C64D2"/>
    <w:rsid w:val="007C6787"/>
    <w:rsid w:val="007C6B22"/>
    <w:rsid w:val="007C6CFB"/>
    <w:rsid w:val="007C73F8"/>
    <w:rsid w:val="007C7B16"/>
    <w:rsid w:val="007C7CEC"/>
    <w:rsid w:val="007D05D0"/>
    <w:rsid w:val="007D0F1F"/>
    <w:rsid w:val="007D2D57"/>
    <w:rsid w:val="007D3142"/>
    <w:rsid w:val="007D31D0"/>
    <w:rsid w:val="007D4154"/>
    <w:rsid w:val="007D458C"/>
    <w:rsid w:val="007D4FB8"/>
    <w:rsid w:val="007D58DA"/>
    <w:rsid w:val="007D67C9"/>
    <w:rsid w:val="007D6A40"/>
    <w:rsid w:val="007E0743"/>
    <w:rsid w:val="007E185E"/>
    <w:rsid w:val="007E2069"/>
    <w:rsid w:val="007E262D"/>
    <w:rsid w:val="007E29C9"/>
    <w:rsid w:val="007E2FA1"/>
    <w:rsid w:val="007E53B5"/>
    <w:rsid w:val="007E5D28"/>
    <w:rsid w:val="007E71AE"/>
    <w:rsid w:val="007E7550"/>
    <w:rsid w:val="007E7700"/>
    <w:rsid w:val="007E770D"/>
    <w:rsid w:val="007F07B7"/>
    <w:rsid w:val="007F0B31"/>
    <w:rsid w:val="007F22A7"/>
    <w:rsid w:val="007F239F"/>
    <w:rsid w:val="007F24A3"/>
    <w:rsid w:val="007F2B9C"/>
    <w:rsid w:val="007F3196"/>
    <w:rsid w:val="007F4779"/>
    <w:rsid w:val="007F4DB8"/>
    <w:rsid w:val="007F4F12"/>
    <w:rsid w:val="007F51A5"/>
    <w:rsid w:val="007F537B"/>
    <w:rsid w:val="007F545E"/>
    <w:rsid w:val="007F5B41"/>
    <w:rsid w:val="007F68BA"/>
    <w:rsid w:val="007F7A2B"/>
    <w:rsid w:val="00800BF4"/>
    <w:rsid w:val="008014B3"/>
    <w:rsid w:val="00801FD9"/>
    <w:rsid w:val="008043F3"/>
    <w:rsid w:val="00804B0E"/>
    <w:rsid w:val="008058DA"/>
    <w:rsid w:val="008066BD"/>
    <w:rsid w:val="008067B3"/>
    <w:rsid w:val="00806BF9"/>
    <w:rsid w:val="008106A3"/>
    <w:rsid w:val="00811E18"/>
    <w:rsid w:val="00812244"/>
    <w:rsid w:val="008139AD"/>
    <w:rsid w:val="00813FDF"/>
    <w:rsid w:val="0081579C"/>
    <w:rsid w:val="00817607"/>
    <w:rsid w:val="008201AD"/>
    <w:rsid w:val="0082041E"/>
    <w:rsid w:val="0082056B"/>
    <w:rsid w:val="00821000"/>
    <w:rsid w:val="00821F18"/>
    <w:rsid w:val="008230A0"/>
    <w:rsid w:val="00824692"/>
    <w:rsid w:val="00824CBB"/>
    <w:rsid w:val="008250DC"/>
    <w:rsid w:val="0082554C"/>
    <w:rsid w:val="00826047"/>
    <w:rsid w:val="00826FE2"/>
    <w:rsid w:val="008273D9"/>
    <w:rsid w:val="008277D1"/>
    <w:rsid w:val="00831161"/>
    <w:rsid w:val="0083171F"/>
    <w:rsid w:val="008317A3"/>
    <w:rsid w:val="008317C4"/>
    <w:rsid w:val="008319AD"/>
    <w:rsid w:val="00832851"/>
    <w:rsid w:val="00832DAB"/>
    <w:rsid w:val="008333E8"/>
    <w:rsid w:val="00833ADF"/>
    <w:rsid w:val="00833EFA"/>
    <w:rsid w:val="00834C25"/>
    <w:rsid w:val="00835026"/>
    <w:rsid w:val="00835B98"/>
    <w:rsid w:val="00836AB8"/>
    <w:rsid w:val="00836D3B"/>
    <w:rsid w:val="008371A4"/>
    <w:rsid w:val="008378F4"/>
    <w:rsid w:val="00837B60"/>
    <w:rsid w:val="00837EE8"/>
    <w:rsid w:val="00841F73"/>
    <w:rsid w:val="0084234B"/>
    <w:rsid w:val="0084330B"/>
    <w:rsid w:val="0084360C"/>
    <w:rsid w:val="00843A5B"/>
    <w:rsid w:val="00844365"/>
    <w:rsid w:val="008468CC"/>
    <w:rsid w:val="00846C1E"/>
    <w:rsid w:val="00846E5D"/>
    <w:rsid w:val="00847190"/>
    <w:rsid w:val="00851090"/>
    <w:rsid w:val="0085131D"/>
    <w:rsid w:val="00852422"/>
    <w:rsid w:val="00852427"/>
    <w:rsid w:val="008525C4"/>
    <w:rsid w:val="00852C9A"/>
    <w:rsid w:val="00852FE1"/>
    <w:rsid w:val="0085398F"/>
    <w:rsid w:val="008566E5"/>
    <w:rsid w:val="00856731"/>
    <w:rsid w:val="00857870"/>
    <w:rsid w:val="00863134"/>
    <w:rsid w:val="00863D36"/>
    <w:rsid w:val="00863E20"/>
    <w:rsid w:val="00863FAB"/>
    <w:rsid w:val="0086430D"/>
    <w:rsid w:val="008645A7"/>
    <w:rsid w:val="0086549D"/>
    <w:rsid w:val="00865A5C"/>
    <w:rsid w:val="008664E7"/>
    <w:rsid w:val="0086673D"/>
    <w:rsid w:val="00870552"/>
    <w:rsid w:val="00871D81"/>
    <w:rsid w:val="008720F6"/>
    <w:rsid w:val="00872904"/>
    <w:rsid w:val="00875833"/>
    <w:rsid w:val="0087594A"/>
    <w:rsid w:val="00875C23"/>
    <w:rsid w:val="008760CF"/>
    <w:rsid w:val="00876C1E"/>
    <w:rsid w:val="008778A2"/>
    <w:rsid w:val="00880586"/>
    <w:rsid w:val="00883361"/>
    <w:rsid w:val="00883862"/>
    <w:rsid w:val="0088502C"/>
    <w:rsid w:val="008854F5"/>
    <w:rsid w:val="00885989"/>
    <w:rsid w:val="00885D0D"/>
    <w:rsid w:val="00886ED9"/>
    <w:rsid w:val="008873B8"/>
    <w:rsid w:val="0088741F"/>
    <w:rsid w:val="008878E1"/>
    <w:rsid w:val="008878F1"/>
    <w:rsid w:val="00887C3C"/>
    <w:rsid w:val="00890141"/>
    <w:rsid w:val="00891387"/>
    <w:rsid w:val="0089174C"/>
    <w:rsid w:val="00891D26"/>
    <w:rsid w:val="008924D9"/>
    <w:rsid w:val="008927E9"/>
    <w:rsid w:val="00893A38"/>
    <w:rsid w:val="008941B1"/>
    <w:rsid w:val="008A02FA"/>
    <w:rsid w:val="008A2534"/>
    <w:rsid w:val="008A2B50"/>
    <w:rsid w:val="008A30E1"/>
    <w:rsid w:val="008A45C3"/>
    <w:rsid w:val="008A5260"/>
    <w:rsid w:val="008A5B52"/>
    <w:rsid w:val="008A74C2"/>
    <w:rsid w:val="008B06BC"/>
    <w:rsid w:val="008B0921"/>
    <w:rsid w:val="008B0D37"/>
    <w:rsid w:val="008B12A7"/>
    <w:rsid w:val="008B1B75"/>
    <w:rsid w:val="008B4F70"/>
    <w:rsid w:val="008B5747"/>
    <w:rsid w:val="008B5921"/>
    <w:rsid w:val="008B7613"/>
    <w:rsid w:val="008B7E8D"/>
    <w:rsid w:val="008C07E0"/>
    <w:rsid w:val="008C0F62"/>
    <w:rsid w:val="008C11C9"/>
    <w:rsid w:val="008C12AF"/>
    <w:rsid w:val="008C1869"/>
    <w:rsid w:val="008C1971"/>
    <w:rsid w:val="008C210E"/>
    <w:rsid w:val="008C350E"/>
    <w:rsid w:val="008C39B6"/>
    <w:rsid w:val="008C3EC5"/>
    <w:rsid w:val="008C3F01"/>
    <w:rsid w:val="008C485B"/>
    <w:rsid w:val="008C4A25"/>
    <w:rsid w:val="008C4A86"/>
    <w:rsid w:val="008C66D9"/>
    <w:rsid w:val="008C698D"/>
    <w:rsid w:val="008D03E9"/>
    <w:rsid w:val="008D03EA"/>
    <w:rsid w:val="008D105C"/>
    <w:rsid w:val="008D289E"/>
    <w:rsid w:val="008D33A8"/>
    <w:rsid w:val="008D4418"/>
    <w:rsid w:val="008D55F2"/>
    <w:rsid w:val="008D5613"/>
    <w:rsid w:val="008D5D26"/>
    <w:rsid w:val="008D5F09"/>
    <w:rsid w:val="008D65A9"/>
    <w:rsid w:val="008D7AAF"/>
    <w:rsid w:val="008D7EB9"/>
    <w:rsid w:val="008E059F"/>
    <w:rsid w:val="008E0B04"/>
    <w:rsid w:val="008E0C06"/>
    <w:rsid w:val="008E1748"/>
    <w:rsid w:val="008E2209"/>
    <w:rsid w:val="008E2840"/>
    <w:rsid w:val="008E3E3C"/>
    <w:rsid w:val="008E3FCD"/>
    <w:rsid w:val="008E4450"/>
    <w:rsid w:val="008E477B"/>
    <w:rsid w:val="008E4AD7"/>
    <w:rsid w:val="008E4BDE"/>
    <w:rsid w:val="008E51E8"/>
    <w:rsid w:val="008E6FB5"/>
    <w:rsid w:val="008E7A4E"/>
    <w:rsid w:val="008E7A67"/>
    <w:rsid w:val="008E7EF6"/>
    <w:rsid w:val="008F02AD"/>
    <w:rsid w:val="008F0CE0"/>
    <w:rsid w:val="008F146A"/>
    <w:rsid w:val="008F323D"/>
    <w:rsid w:val="008F416D"/>
    <w:rsid w:val="008F4496"/>
    <w:rsid w:val="008F634B"/>
    <w:rsid w:val="008F6BD3"/>
    <w:rsid w:val="008F7769"/>
    <w:rsid w:val="00900DEC"/>
    <w:rsid w:val="00900F36"/>
    <w:rsid w:val="00901698"/>
    <w:rsid w:val="009021A7"/>
    <w:rsid w:val="00903FA2"/>
    <w:rsid w:val="00905012"/>
    <w:rsid w:val="009052DA"/>
    <w:rsid w:val="009058EF"/>
    <w:rsid w:val="00906043"/>
    <w:rsid w:val="00907731"/>
    <w:rsid w:val="009078C7"/>
    <w:rsid w:val="00907A7C"/>
    <w:rsid w:val="00910D8A"/>
    <w:rsid w:val="00910E1D"/>
    <w:rsid w:val="009112E1"/>
    <w:rsid w:val="00911D5A"/>
    <w:rsid w:val="00911E4B"/>
    <w:rsid w:val="009122DA"/>
    <w:rsid w:val="00912D4D"/>
    <w:rsid w:val="00913077"/>
    <w:rsid w:val="00914150"/>
    <w:rsid w:val="00914916"/>
    <w:rsid w:val="00914D5C"/>
    <w:rsid w:val="00915028"/>
    <w:rsid w:val="00915540"/>
    <w:rsid w:val="0091682E"/>
    <w:rsid w:val="00917553"/>
    <w:rsid w:val="00920E6C"/>
    <w:rsid w:val="009215A3"/>
    <w:rsid w:val="00922011"/>
    <w:rsid w:val="009225BA"/>
    <w:rsid w:val="00922A90"/>
    <w:rsid w:val="00922BA0"/>
    <w:rsid w:val="00923DC4"/>
    <w:rsid w:val="00924353"/>
    <w:rsid w:val="0092478D"/>
    <w:rsid w:val="00925953"/>
    <w:rsid w:val="00926183"/>
    <w:rsid w:val="0092690E"/>
    <w:rsid w:val="00926E61"/>
    <w:rsid w:val="00927440"/>
    <w:rsid w:val="009305BA"/>
    <w:rsid w:val="00930B89"/>
    <w:rsid w:val="00932B8B"/>
    <w:rsid w:val="00932E3D"/>
    <w:rsid w:val="00933347"/>
    <w:rsid w:val="0093529A"/>
    <w:rsid w:val="00935497"/>
    <w:rsid w:val="00935DEE"/>
    <w:rsid w:val="00935EB4"/>
    <w:rsid w:val="009364B7"/>
    <w:rsid w:val="0093661D"/>
    <w:rsid w:val="009373C3"/>
    <w:rsid w:val="00937856"/>
    <w:rsid w:val="009401D9"/>
    <w:rsid w:val="00940731"/>
    <w:rsid w:val="009409BA"/>
    <w:rsid w:val="00940FDA"/>
    <w:rsid w:val="009417BA"/>
    <w:rsid w:val="00942279"/>
    <w:rsid w:val="0094295C"/>
    <w:rsid w:val="00942C89"/>
    <w:rsid w:val="0094317B"/>
    <w:rsid w:val="00943592"/>
    <w:rsid w:val="00944401"/>
    <w:rsid w:val="009446D1"/>
    <w:rsid w:val="00944862"/>
    <w:rsid w:val="0094657F"/>
    <w:rsid w:val="00947C66"/>
    <w:rsid w:val="00951DC3"/>
    <w:rsid w:val="00954C97"/>
    <w:rsid w:val="00954F0F"/>
    <w:rsid w:val="00955301"/>
    <w:rsid w:val="009555CF"/>
    <w:rsid w:val="00955CBD"/>
    <w:rsid w:val="00955DA3"/>
    <w:rsid w:val="009603E6"/>
    <w:rsid w:val="00961037"/>
    <w:rsid w:val="009614E2"/>
    <w:rsid w:val="00961A39"/>
    <w:rsid w:val="00961C3C"/>
    <w:rsid w:val="009621EE"/>
    <w:rsid w:val="009646E8"/>
    <w:rsid w:val="00964B6E"/>
    <w:rsid w:val="00964E04"/>
    <w:rsid w:val="0096649A"/>
    <w:rsid w:val="009675B2"/>
    <w:rsid w:val="0097036C"/>
    <w:rsid w:val="00970622"/>
    <w:rsid w:val="00970860"/>
    <w:rsid w:val="00971A70"/>
    <w:rsid w:val="00971F56"/>
    <w:rsid w:val="00972232"/>
    <w:rsid w:val="0097246E"/>
    <w:rsid w:val="0097420E"/>
    <w:rsid w:val="00974398"/>
    <w:rsid w:val="00975EB4"/>
    <w:rsid w:val="009764F5"/>
    <w:rsid w:val="00977231"/>
    <w:rsid w:val="00981C67"/>
    <w:rsid w:val="009825C4"/>
    <w:rsid w:val="00982813"/>
    <w:rsid w:val="00983191"/>
    <w:rsid w:val="00984641"/>
    <w:rsid w:val="00984AA6"/>
    <w:rsid w:val="00984B91"/>
    <w:rsid w:val="00986370"/>
    <w:rsid w:val="0098668F"/>
    <w:rsid w:val="009868D1"/>
    <w:rsid w:val="009877C7"/>
    <w:rsid w:val="00987F76"/>
    <w:rsid w:val="009905DE"/>
    <w:rsid w:val="00991D95"/>
    <w:rsid w:val="00994D9E"/>
    <w:rsid w:val="00995FF8"/>
    <w:rsid w:val="0099601C"/>
    <w:rsid w:val="00997775"/>
    <w:rsid w:val="009A006E"/>
    <w:rsid w:val="009A0251"/>
    <w:rsid w:val="009A1A2C"/>
    <w:rsid w:val="009A2A4D"/>
    <w:rsid w:val="009A31E2"/>
    <w:rsid w:val="009A3244"/>
    <w:rsid w:val="009A3EE7"/>
    <w:rsid w:val="009A41E9"/>
    <w:rsid w:val="009A4AFB"/>
    <w:rsid w:val="009A53E4"/>
    <w:rsid w:val="009A5D47"/>
    <w:rsid w:val="009A6124"/>
    <w:rsid w:val="009A6E70"/>
    <w:rsid w:val="009A7F17"/>
    <w:rsid w:val="009B02D0"/>
    <w:rsid w:val="009B073B"/>
    <w:rsid w:val="009B10F0"/>
    <w:rsid w:val="009B33F6"/>
    <w:rsid w:val="009B3EDD"/>
    <w:rsid w:val="009B4047"/>
    <w:rsid w:val="009B44C4"/>
    <w:rsid w:val="009B6DAC"/>
    <w:rsid w:val="009B6F1D"/>
    <w:rsid w:val="009B77A4"/>
    <w:rsid w:val="009C0959"/>
    <w:rsid w:val="009C1B2A"/>
    <w:rsid w:val="009C39C8"/>
    <w:rsid w:val="009C4502"/>
    <w:rsid w:val="009C4ABD"/>
    <w:rsid w:val="009C4ED3"/>
    <w:rsid w:val="009C5108"/>
    <w:rsid w:val="009C58B2"/>
    <w:rsid w:val="009C6112"/>
    <w:rsid w:val="009C6703"/>
    <w:rsid w:val="009C6E41"/>
    <w:rsid w:val="009C7F14"/>
    <w:rsid w:val="009C7F93"/>
    <w:rsid w:val="009D0396"/>
    <w:rsid w:val="009D0939"/>
    <w:rsid w:val="009D0AFA"/>
    <w:rsid w:val="009D1E69"/>
    <w:rsid w:val="009D1EC7"/>
    <w:rsid w:val="009D2930"/>
    <w:rsid w:val="009D32C2"/>
    <w:rsid w:val="009D3452"/>
    <w:rsid w:val="009D35CB"/>
    <w:rsid w:val="009D3F53"/>
    <w:rsid w:val="009D5B59"/>
    <w:rsid w:val="009D6357"/>
    <w:rsid w:val="009D66A2"/>
    <w:rsid w:val="009E03B4"/>
    <w:rsid w:val="009E132E"/>
    <w:rsid w:val="009E3492"/>
    <w:rsid w:val="009E3B5B"/>
    <w:rsid w:val="009E3E7E"/>
    <w:rsid w:val="009E4318"/>
    <w:rsid w:val="009E4474"/>
    <w:rsid w:val="009E527A"/>
    <w:rsid w:val="009E5C83"/>
    <w:rsid w:val="009E6BB5"/>
    <w:rsid w:val="009E7B1C"/>
    <w:rsid w:val="009F245A"/>
    <w:rsid w:val="009F2BEA"/>
    <w:rsid w:val="009F2EB2"/>
    <w:rsid w:val="009F34CF"/>
    <w:rsid w:val="009F3DEC"/>
    <w:rsid w:val="009F42A7"/>
    <w:rsid w:val="009F4590"/>
    <w:rsid w:val="009F56C8"/>
    <w:rsid w:val="009F5E59"/>
    <w:rsid w:val="009F6305"/>
    <w:rsid w:val="009F63D2"/>
    <w:rsid w:val="009F678F"/>
    <w:rsid w:val="009F79D6"/>
    <w:rsid w:val="00A0068A"/>
    <w:rsid w:val="00A010F3"/>
    <w:rsid w:val="00A02198"/>
    <w:rsid w:val="00A03AD4"/>
    <w:rsid w:val="00A071CA"/>
    <w:rsid w:val="00A07A96"/>
    <w:rsid w:val="00A07C5A"/>
    <w:rsid w:val="00A10B56"/>
    <w:rsid w:val="00A10B94"/>
    <w:rsid w:val="00A13F09"/>
    <w:rsid w:val="00A13FCE"/>
    <w:rsid w:val="00A14108"/>
    <w:rsid w:val="00A150F0"/>
    <w:rsid w:val="00A15596"/>
    <w:rsid w:val="00A16036"/>
    <w:rsid w:val="00A16088"/>
    <w:rsid w:val="00A16327"/>
    <w:rsid w:val="00A169A3"/>
    <w:rsid w:val="00A16CC6"/>
    <w:rsid w:val="00A17CE2"/>
    <w:rsid w:val="00A205F8"/>
    <w:rsid w:val="00A20A9A"/>
    <w:rsid w:val="00A21B54"/>
    <w:rsid w:val="00A21BA8"/>
    <w:rsid w:val="00A21E81"/>
    <w:rsid w:val="00A225FE"/>
    <w:rsid w:val="00A2417B"/>
    <w:rsid w:val="00A244F3"/>
    <w:rsid w:val="00A273AC"/>
    <w:rsid w:val="00A273FB"/>
    <w:rsid w:val="00A30073"/>
    <w:rsid w:val="00A303BA"/>
    <w:rsid w:val="00A30C38"/>
    <w:rsid w:val="00A30F12"/>
    <w:rsid w:val="00A31972"/>
    <w:rsid w:val="00A31E72"/>
    <w:rsid w:val="00A3225B"/>
    <w:rsid w:val="00A32D16"/>
    <w:rsid w:val="00A334AB"/>
    <w:rsid w:val="00A33A00"/>
    <w:rsid w:val="00A35715"/>
    <w:rsid w:val="00A36D3B"/>
    <w:rsid w:val="00A36E8C"/>
    <w:rsid w:val="00A374FC"/>
    <w:rsid w:val="00A4017B"/>
    <w:rsid w:val="00A40D3C"/>
    <w:rsid w:val="00A41C72"/>
    <w:rsid w:val="00A43482"/>
    <w:rsid w:val="00A43A87"/>
    <w:rsid w:val="00A4416A"/>
    <w:rsid w:val="00A45B99"/>
    <w:rsid w:val="00A46071"/>
    <w:rsid w:val="00A4749F"/>
    <w:rsid w:val="00A4792E"/>
    <w:rsid w:val="00A50ED6"/>
    <w:rsid w:val="00A52031"/>
    <w:rsid w:val="00A52227"/>
    <w:rsid w:val="00A53160"/>
    <w:rsid w:val="00A549CC"/>
    <w:rsid w:val="00A54A6B"/>
    <w:rsid w:val="00A55CB3"/>
    <w:rsid w:val="00A56E29"/>
    <w:rsid w:val="00A57BAA"/>
    <w:rsid w:val="00A604D0"/>
    <w:rsid w:val="00A612A3"/>
    <w:rsid w:val="00A61501"/>
    <w:rsid w:val="00A61A05"/>
    <w:rsid w:val="00A61E03"/>
    <w:rsid w:val="00A622F9"/>
    <w:rsid w:val="00A62572"/>
    <w:rsid w:val="00A62F6B"/>
    <w:rsid w:val="00A63067"/>
    <w:rsid w:val="00A63D04"/>
    <w:rsid w:val="00A645AD"/>
    <w:rsid w:val="00A66269"/>
    <w:rsid w:val="00A6637F"/>
    <w:rsid w:val="00A6676F"/>
    <w:rsid w:val="00A671FB"/>
    <w:rsid w:val="00A67522"/>
    <w:rsid w:val="00A70084"/>
    <w:rsid w:val="00A70C67"/>
    <w:rsid w:val="00A70DC9"/>
    <w:rsid w:val="00A71140"/>
    <w:rsid w:val="00A71E70"/>
    <w:rsid w:val="00A73429"/>
    <w:rsid w:val="00A735ED"/>
    <w:rsid w:val="00A74260"/>
    <w:rsid w:val="00A763F8"/>
    <w:rsid w:val="00A76A20"/>
    <w:rsid w:val="00A81493"/>
    <w:rsid w:val="00A821CD"/>
    <w:rsid w:val="00A82FE2"/>
    <w:rsid w:val="00A834FF"/>
    <w:rsid w:val="00A844B4"/>
    <w:rsid w:val="00A85345"/>
    <w:rsid w:val="00A85F3E"/>
    <w:rsid w:val="00A869FA"/>
    <w:rsid w:val="00A86AC5"/>
    <w:rsid w:val="00A87A7C"/>
    <w:rsid w:val="00A900F1"/>
    <w:rsid w:val="00A909FA"/>
    <w:rsid w:val="00A920C7"/>
    <w:rsid w:val="00A921E6"/>
    <w:rsid w:val="00A92AB9"/>
    <w:rsid w:val="00A92D38"/>
    <w:rsid w:val="00A92DE8"/>
    <w:rsid w:val="00A95DFE"/>
    <w:rsid w:val="00A963B2"/>
    <w:rsid w:val="00A967B5"/>
    <w:rsid w:val="00A96ACA"/>
    <w:rsid w:val="00A9791F"/>
    <w:rsid w:val="00AA00E4"/>
    <w:rsid w:val="00AA02AD"/>
    <w:rsid w:val="00AA17B5"/>
    <w:rsid w:val="00AA1AE4"/>
    <w:rsid w:val="00AA2424"/>
    <w:rsid w:val="00AA24CE"/>
    <w:rsid w:val="00AA296C"/>
    <w:rsid w:val="00AA2CAC"/>
    <w:rsid w:val="00AA4B26"/>
    <w:rsid w:val="00AA56BB"/>
    <w:rsid w:val="00AA5FB8"/>
    <w:rsid w:val="00AA6459"/>
    <w:rsid w:val="00AA69A9"/>
    <w:rsid w:val="00AA7262"/>
    <w:rsid w:val="00AA75FF"/>
    <w:rsid w:val="00AA77D2"/>
    <w:rsid w:val="00AA7843"/>
    <w:rsid w:val="00AB1041"/>
    <w:rsid w:val="00AB1992"/>
    <w:rsid w:val="00AB199F"/>
    <w:rsid w:val="00AB1AD5"/>
    <w:rsid w:val="00AB3A7F"/>
    <w:rsid w:val="00AB3E06"/>
    <w:rsid w:val="00AB4180"/>
    <w:rsid w:val="00AB44A7"/>
    <w:rsid w:val="00AB45F2"/>
    <w:rsid w:val="00AB54E6"/>
    <w:rsid w:val="00AB5756"/>
    <w:rsid w:val="00AC07EC"/>
    <w:rsid w:val="00AC09E4"/>
    <w:rsid w:val="00AC1CBB"/>
    <w:rsid w:val="00AC3621"/>
    <w:rsid w:val="00AC3A72"/>
    <w:rsid w:val="00AC68EF"/>
    <w:rsid w:val="00AC6B52"/>
    <w:rsid w:val="00AC6EEB"/>
    <w:rsid w:val="00AC7B59"/>
    <w:rsid w:val="00AD02D8"/>
    <w:rsid w:val="00AD129B"/>
    <w:rsid w:val="00AD1CCA"/>
    <w:rsid w:val="00AD1D51"/>
    <w:rsid w:val="00AD3B92"/>
    <w:rsid w:val="00AD40EB"/>
    <w:rsid w:val="00AD422B"/>
    <w:rsid w:val="00AD4F0B"/>
    <w:rsid w:val="00AD50CF"/>
    <w:rsid w:val="00AD51DA"/>
    <w:rsid w:val="00AD58BE"/>
    <w:rsid w:val="00AD5C68"/>
    <w:rsid w:val="00AD6A85"/>
    <w:rsid w:val="00AD7AB0"/>
    <w:rsid w:val="00AD7E01"/>
    <w:rsid w:val="00AE07D2"/>
    <w:rsid w:val="00AE2532"/>
    <w:rsid w:val="00AE2AAC"/>
    <w:rsid w:val="00AE47A9"/>
    <w:rsid w:val="00AE4F49"/>
    <w:rsid w:val="00AE503A"/>
    <w:rsid w:val="00AE5C27"/>
    <w:rsid w:val="00AE5D24"/>
    <w:rsid w:val="00AE6EE5"/>
    <w:rsid w:val="00AE7049"/>
    <w:rsid w:val="00AE7DF6"/>
    <w:rsid w:val="00AF0BAD"/>
    <w:rsid w:val="00AF1EE1"/>
    <w:rsid w:val="00AF3695"/>
    <w:rsid w:val="00AF4AF8"/>
    <w:rsid w:val="00AF5BCD"/>
    <w:rsid w:val="00AF5FCF"/>
    <w:rsid w:val="00AF636A"/>
    <w:rsid w:val="00AF69D5"/>
    <w:rsid w:val="00B01328"/>
    <w:rsid w:val="00B01F93"/>
    <w:rsid w:val="00B02103"/>
    <w:rsid w:val="00B02203"/>
    <w:rsid w:val="00B02514"/>
    <w:rsid w:val="00B03B55"/>
    <w:rsid w:val="00B047F3"/>
    <w:rsid w:val="00B05681"/>
    <w:rsid w:val="00B058B6"/>
    <w:rsid w:val="00B064F7"/>
    <w:rsid w:val="00B0664E"/>
    <w:rsid w:val="00B07778"/>
    <w:rsid w:val="00B07C1C"/>
    <w:rsid w:val="00B105FA"/>
    <w:rsid w:val="00B10F8A"/>
    <w:rsid w:val="00B11DB1"/>
    <w:rsid w:val="00B12670"/>
    <w:rsid w:val="00B12729"/>
    <w:rsid w:val="00B12D1A"/>
    <w:rsid w:val="00B1380E"/>
    <w:rsid w:val="00B13878"/>
    <w:rsid w:val="00B15F19"/>
    <w:rsid w:val="00B20616"/>
    <w:rsid w:val="00B208C1"/>
    <w:rsid w:val="00B212FC"/>
    <w:rsid w:val="00B22706"/>
    <w:rsid w:val="00B234C3"/>
    <w:rsid w:val="00B244E1"/>
    <w:rsid w:val="00B2450C"/>
    <w:rsid w:val="00B247BB"/>
    <w:rsid w:val="00B25B78"/>
    <w:rsid w:val="00B26603"/>
    <w:rsid w:val="00B27320"/>
    <w:rsid w:val="00B27721"/>
    <w:rsid w:val="00B30CD1"/>
    <w:rsid w:val="00B313C0"/>
    <w:rsid w:val="00B31715"/>
    <w:rsid w:val="00B3195D"/>
    <w:rsid w:val="00B31C79"/>
    <w:rsid w:val="00B32C35"/>
    <w:rsid w:val="00B3344A"/>
    <w:rsid w:val="00B33585"/>
    <w:rsid w:val="00B35263"/>
    <w:rsid w:val="00B353E0"/>
    <w:rsid w:val="00B367A8"/>
    <w:rsid w:val="00B40698"/>
    <w:rsid w:val="00B4089E"/>
    <w:rsid w:val="00B40D17"/>
    <w:rsid w:val="00B41323"/>
    <w:rsid w:val="00B41869"/>
    <w:rsid w:val="00B427AF"/>
    <w:rsid w:val="00B42834"/>
    <w:rsid w:val="00B428BB"/>
    <w:rsid w:val="00B4297C"/>
    <w:rsid w:val="00B4402C"/>
    <w:rsid w:val="00B453D2"/>
    <w:rsid w:val="00B460AA"/>
    <w:rsid w:val="00B46111"/>
    <w:rsid w:val="00B46928"/>
    <w:rsid w:val="00B47918"/>
    <w:rsid w:val="00B47CF4"/>
    <w:rsid w:val="00B503A1"/>
    <w:rsid w:val="00B503BB"/>
    <w:rsid w:val="00B5045C"/>
    <w:rsid w:val="00B51150"/>
    <w:rsid w:val="00B526F2"/>
    <w:rsid w:val="00B52C0A"/>
    <w:rsid w:val="00B52EFB"/>
    <w:rsid w:val="00B533CD"/>
    <w:rsid w:val="00B537AE"/>
    <w:rsid w:val="00B54C20"/>
    <w:rsid w:val="00B55B09"/>
    <w:rsid w:val="00B56967"/>
    <w:rsid w:val="00B56F43"/>
    <w:rsid w:val="00B5702B"/>
    <w:rsid w:val="00B57277"/>
    <w:rsid w:val="00B575FB"/>
    <w:rsid w:val="00B57F4A"/>
    <w:rsid w:val="00B60204"/>
    <w:rsid w:val="00B60809"/>
    <w:rsid w:val="00B60B21"/>
    <w:rsid w:val="00B61AB9"/>
    <w:rsid w:val="00B63CFE"/>
    <w:rsid w:val="00B63D98"/>
    <w:rsid w:val="00B64EA5"/>
    <w:rsid w:val="00B65249"/>
    <w:rsid w:val="00B65DA0"/>
    <w:rsid w:val="00B67051"/>
    <w:rsid w:val="00B67484"/>
    <w:rsid w:val="00B7018A"/>
    <w:rsid w:val="00B70310"/>
    <w:rsid w:val="00B704BB"/>
    <w:rsid w:val="00B721E2"/>
    <w:rsid w:val="00B728DB"/>
    <w:rsid w:val="00B742A8"/>
    <w:rsid w:val="00B7451A"/>
    <w:rsid w:val="00B74616"/>
    <w:rsid w:val="00B74CEF"/>
    <w:rsid w:val="00B74FC2"/>
    <w:rsid w:val="00B75304"/>
    <w:rsid w:val="00B7559A"/>
    <w:rsid w:val="00B76276"/>
    <w:rsid w:val="00B777E8"/>
    <w:rsid w:val="00B80438"/>
    <w:rsid w:val="00B80DC6"/>
    <w:rsid w:val="00B815A0"/>
    <w:rsid w:val="00B81BA8"/>
    <w:rsid w:val="00B84FB3"/>
    <w:rsid w:val="00B85B33"/>
    <w:rsid w:val="00B85FAA"/>
    <w:rsid w:val="00B870AD"/>
    <w:rsid w:val="00B870FA"/>
    <w:rsid w:val="00B90086"/>
    <w:rsid w:val="00B9126A"/>
    <w:rsid w:val="00B91874"/>
    <w:rsid w:val="00B91EC5"/>
    <w:rsid w:val="00B9259F"/>
    <w:rsid w:val="00B92663"/>
    <w:rsid w:val="00B93D59"/>
    <w:rsid w:val="00B94091"/>
    <w:rsid w:val="00B95FE9"/>
    <w:rsid w:val="00B965F1"/>
    <w:rsid w:val="00B97091"/>
    <w:rsid w:val="00B978F1"/>
    <w:rsid w:val="00B978F2"/>
    <w:rsid w:val="00BA0227"/>
    <w:rsid w:val="00BA0A92"/>
    <w:rsid w:val="00BA18F0"/>
    <w:rsid w:val="00BA1BBF"/>
    <w:rsid w:val="00BA2DC5"/>
    <w:rsid w:val="00BA3112"/>
    <w:rsid w:val="00BA33D9"/>
    <w:rsid w:val="00BA3C3B"/>
    <w:rsid w:val="00BA5362"/>
    <w:rsid w:val="00BA5807"/>
    <w:rsid w:val="00BA6048"/>
    <w:rsid w:val="00BA6735"/>
    <w:rsid w:val="00BA69D5"/>
    <w:rsid w:val="00BA6CCD"/>
    <w:rsid w:val="00BA6DC1"/>
    <w:rsid w:val="00BA8DD3"/>
    <w:rsid w:val="00BB0088"/>
    <w:rsid w:val="00BB043A"/>
    <w:rsid w:val="00BB0842"/>
    <w:rsid w:val="00BB1529"/>
    <w:rsid w:val="00BB1DD9"/>
    <w:rsid w:val="00BB2094"/>
    <w:rsid w:val="00BB25AF"/>
    <w:rsid w:val="00BB2715"/>
    <w:rsid w:val="00BB2A31"/>
    <w:rsid w:val="00BB34B0"/>
    <w:rsid w:val="00BB37DF"/>
    <w:rsid w:val="00BB4472"/>
    <w:rsid w:val="00BB4541"/>
    <w:rsid w:val="00BB46A0"/>
    <w:rsid w:val="00BB4F05"/>
    <w:rsid w:val="00BB55C5"/>
    <w:rsid w:val="00BB5836"/>
    <w:rsid w:val="00BB5D49"/>
    <w:rsid w:val="00BB60FD"/>
    <w:rsid w:val="00BB6C47"/>
    <w:rsid w:val="00BB6F2F"/>
    <w:rsid w:val="00BC0188"/>
    <w:rsid w:val="00BC0E52"/>
    <w:rsid w:val="00BC1329"/>
    <w:rsid w:val="00BC13DD"/>
    <w:rsid w:val="00BC1F05"/>
    <w:rsid w:val="00BC2049"/>
    <w:rsid w:val="00BC2170"/>
    <w:rsid w:val="00BC2A9C"/>
    <w:rsid w:val="00BC3D96"/>
    <w:rsid w:val="00BC42C0"/>
    <w:rsid w:val="00BC436C"/>
    <w:rsid w:val="00BC4F5F"/>
    <w:rsid w:val="00BC5852"/>
    <w:rsid w:val="00BC5DC9"/>
    <w:rsid w:val="00BC602D"/>
    <w:rsid w:val="00BC6FB5"/>
    <w:rsid w:val="00BC7330"/>
    <w:rsid w:val="00BC7AE8"/>
    <w:rsid w:val="00BC7D46"/>
    <w:rsid w:val="00BD016A"/>
    <w:rsid w:val="00BD200D"/>
    <w:rsid w:val="00BD20A7"/>
    <w:rsid w:val="00BD2BA4"/>
    <w:rsid w:val="00BD2E06"/>
    <w:rsid w:val="00BD47D1"/>
    <w:rsid w:val="00BD5111"/>
    <w:rsid w:val="00BD5A17"/>
    <w:rsid w:val="00BD707E"/>
    <w:rsid w:val="00BD7E19"/>
    <w:rsid w:val="00BE0095"/>
    <w:rsid w:val="00BE087A"/>
    <w:rsid w:val="00BE1A2E"/>
    <w:rsid w:val="00BE26B8"/>
    <w:rsid w:val="00BE2B2F"/>
    <w:rsid w:val="00BE37D8"/>
    <w:rsid w:val="00BE593C"/>
    <w:rsid w:val="00BE6440"/>
    <w:rsid w:val="00BE669A"/>
    <w:rsid w:val="00BE733F"/>
    <w:rsid w:val="00BF046D"/>
    <w:rsid w:val="00BF2499"/>
    <w:rsid w:val="00BF27A9"/>
    <w:rsid w:val="00BF3023"/>
    <w:rsid w:val="00BF3117"/>
    <w:rsid w:val="00BF338E"/>
    <w:rsid w:val="00BF3593"/>
    <w:rsid w:val="00BF3704"/>
    <w:rsid w:val="00BF3E10"/>
    <w:rsid w:val="00BF4642"/>
    <w:rsid w:val="00BF4BD1"/>
    <w:rsid w:val="00C00E73"/>
    <w:rsid w:val="00C01063"/>
    <w:rsid w:val="00C01677"/>
    <w:rsid w:val="00C016C3"/>
    <w:rsid w:val="00C018D0"/>
    <w:rsid w:val="00C025B0"/>
    <w:rsid w:val="00C033B9"/>
    <w:rsid w:val="00C0535B"/>
    <w:rsid w:val="00C06053"/>
    <w:rsid w:val="00C064EB"/>
    <w:rsid w:val="00C06C99"/>
    <w:rsid w:val="00C07AAA"/>
    <w:rsid w:val="00C07D1C"/>
    <w:rsid w:val="00C1016B"/>
    <w:rsid w:val="00C101DC"/>
    <w:rsid w:val="00C10F76"/>
    <w:rsid w:val="00C10F82"/>
    <w:rsid w:val="00C112BC"/>
    <w:rsid w:val="00C116ED"/>
    <w:rsid w:val="00C11F7D"/>
    <w:rsid w:val="00C1238C"/>
    <w:rsid w:val="00C14D5C"/>
    <w:rsid w:val="00C15134"/>
    <w:rsid w:val="00C155C5"/>
    <w:rsid w:val="00C16C81"/>
    <w:rsid w:val="00C17A09"/>
    <w:rsid w:val="00C2026E"/>
    <w:rsid w:val="00C21415"/>
    <w:rsid w:val="00C21906"/>
    <w:rsid w:val="00C21F8C"/>
    <w:rsid w:val="00C22873"/>
    <w:rsid w:val="00C2369D"/>
    <w:rsid w:val="00C2387E"/>
    <w:rsid w:val="00C25329"/>
    <w:rsid w:val="00C26010"/>
    <w:rsid w:val="00C26B20"/>
    <w:rsid w:val="00C26B92"/>
    <w:rsid w:val="00C27437"/>
    <w:rsid w:val="00C300B4"/>
    <w:rsid w:val="00C312D5"/>
    <w:rsid w:val="00C322C7"/>
    <w:rsid w:val="00C32894"/>
    <w:rsid w:val="00C32B30"/>
    <w:rsid w:val="00C332C6"/>
    <w:rsid w:val="00C33C61"/>
    <w:rsid w:val="00C3466C"/>
    <w:rsid w:val="00C34A24"/>
    <w:rsid w:val="00C350C6"/>
    <w:rsid w:val="00C350ED"/>
    <w:rsid w:val="00C35311"/>
    <w:rsid w:val="00C353B4"/>
    <w:rsid w:val="00C35CD3"/>
    <w:rsid w:val="00C366B0"/>
    <w:rsid w:val="00C366E9"/>
    <w:rsid w:val="00C37596"/>
    <w:rsid w:val="00C3765C"/>
    <w:rsid w:val="00C4001C"/>
    <w:rsid w:val="00C41AE5"/>
    <w:rsid w:val="00C4258D"/>
    <w:rsid w:val="00C42592"/>
    <w:rsid w:val="00C427DC"/>
    <w:rsid w:val="00C42CD5"/>
    <w:rsid w:val="00C42E63"/>
    <w:rsid w:val="00C43515"/>
    <w:rsid w:val="00C43A9D"/>
    <w:rsid w:val="00C43EFC"/>
    <w:rsid w:val="00C44A48"/>
    <w:rsid w:val="00C44DAD"/>
    <w:rsid w:val="00C46A20"/>
    <w:rsid w:val="00C46C5A"/>
    <w:rsid w:val="00C46D62"/>
    <w:rsid w:val="00C47397"/>
    <w:rsid w:val="00C47A4C"/>
    <w:rsid w:val="00C50A38"/>
    <w:rsid w:val="00C50D0B"/>
    <w:rsid w:val="00C51B7D"/>
    <w:rsid w:val="00C52EEA"/>
    <w:rsid w:val="00C537A0"/>
    <w:rsid w:val="00C54072"/>
    <w:rsid w:val="00C54411"/>
    <w:rsid w:val="00C54D1D"/>
    <w:rsid w:val="00C55509"/>
    <w:rsid w:val="00C56CB5"/>
    <w:rsid w:val="00C57B33"/>
    <w:rsid w:val="00C57B64"/>
    <w:rsid w:val="00C57E46"/>
    <w:rsid w:val="00C600C0"/>
    <w:rsid w:val="00C60CAC"/>
    <w:rsid w:val="00C62048"/>
    <w:rsid w:val="00C626C5"/>
    <w:rsid w:val="00C6271B"/>
    <w:rsid w:val="00C63350"/>
    <w:rsid w:val="00C63A39"/>
    <w:rsid w:val="00C63B92"/>
    <w:rsid w:val="00C64D0A"/>
    <w:rsid w:val="00C64D15"/>
    <w:rsid w:val="00C64FB3"/>
    <w:rsid w:val="00C655AC"/>
    <w:rsid w:val="00C656B7"/>
    <w:rsid w:val="00C662DC"/>
    <w:rsid w:val="00C668E5"/>
    <w:rsid w:val="00C705B1"/>
    <w:rsid w:val="00C7167F"/>
    <w:rsid w:val="00C71744"/>
    <w:rsid w:val="00C71C61"/>
    <w:rsid w:val="00C71ED0"/>
    <w:rsid w:val="00C722C1"/>
    <w:rsid w:val="00C75134"/>
    <w:rsid w:val="00C75416"/>
    <w:rsid w:val="00C7543D"/>
    <w:rsid w:val="00C7598A"/>
    <w:rsid w:val="00C76202"/>
    <w:rsid w:val="00C8039E"/>
    <w:rsid w:val="00C81B03"/>
    <w:rsid w:val="00C820AE"/>
    <w:rsid w:val="00C82241"/>
    <w:rsid w:val="00C8278D"/>
    <w:rsid w:val="00C83099"/>
    <w:rsid w:val="00C83C83"/>
    <w:rsid w:val="00C8435D"/>
    <w:rsid w:val="00C84E28"/>
    <w:rsid w:val="00C8500B"/>
    <w:rsid w:val="00C8512C"/>
    <w:rsid w:val="00C8519E"/>
    <w:rsid w:val="00C85959"/>
    <w:rsid w:val="00C85B39"/>
    <w:rsid w:val="00C86946"/>
    <w:rsid w:val="00C8722C"/>
    <w:rsid w:val="00C90118"/>
    <w:rsid w:val="00C90C7B"/>
    <w:rsid w:val="00C90CEA"/>
    <w:rsid w:val="00C90F09"/>
    <w:rsid w:val="00C92670"/>
    <w:rsid w:val="00C92D26"/>
    <w:rsid w:val="00C936D5"/>
    <w:rsid w:val="00C945C3"/>
    <w:rsid w:val="00C948BD"/>
    <w:rsid w:val="00C963F4"/>
    <w:rsid w:val="00C9677F"/>
    <w:rsid w:val="00C9714E"/>
    <w:rsid w:val="00CA054F"/>
    <w:rsid w:val="00CA0C7D"/>
    <w:rsid w:val="00CA0FEE"/>
    <w:rsid w:val="00CA12BD"/>
    <w:rsid w:val="00CA15B2"/>
    <w:rsid w:val="00CA2C91"/>
    <w:rsid w:val="00CA33F7"/>
    <w:rsid w:val="00CA3901"/>
    <w:rsid w:val="00CA3A4C"/>
    <w:rsid w:val="00CA53F7"/>
    <w:rsid w:val="00CA63A3"/>
    <w:rsid w:val="00CA68F6"/>
    <w:rsid w:val="00CA7CE7"/>
    <w:rsid w:val="00CB081F"/>
    <w:rsid w:val="00CB30D6"/>
    <w:rsid w:val="00CB317E"/>
    <w:rsid w:val="00CB37CD"/>
    <w:rsid w:val="00CB4D54"/>
    <w:rsid w:val="00CB521C"/>
    <w:rsid w:val="00CB5304"/>
    <w:rsid w:val="00CB5C14"/>
    <w:rsid w:val="00CC0499"/>
    <w:rsid w:val="00CC0928"/>
    <w:rsid w:val="00CC3904"/>
    <w:rsid w:val="00CC3D57"/>
    <w:rsid w:val="00CC3FF7"/>
    <w:rsid w:val="00CC4050"/>
    <w:rsid w:val="00CC4356"/>
    <w:rsid w:val="00CC6DAC"/>
    <w:rsid w:val="00CC7081"/>
    <w:rsid w:val="00CC723A"/>
    <w:rsid w:val="00CD01E2"/>
    <w:rsid w:val="00CD2181"/>
    <w:rsid w:val="00CD275E"/>
    <w:rsid w:val="00CD2A6F"/>
    <w:rsid w:val="00CD3607"/>
    <w:rsid w:val="00CD3E97"/>
    <w:rsid w:val="00CD6BDF"/>
    <w:rsid w:val="00CD7C25"/>
    <w:rsid w:val="00CE0010"/>
    <w:rsid w:val="00CE1176"/>
    <w:rsid w:val="00CE1FE5"/>
    <w:rsid w:val="00CE2099"/>
    <w:rsid w:val="00CE2359"/>
    <w:rsid w:val="00CE3B7C"/>
    <w:rsid w:val="00CE490F"/>
    <w:rsid w:val="00CE6BEA"/>
    <w:rsid w:val="00CF035F"/>
    <w:rsid w:val="00CF0DFB"/>
    <w:rsid w:val="00CF0EB7"/>
    <w:rsid w:val="00CF124E"/>
    <w:rsid w:val="00CF28EF"/>
    <w:rsid w:val="00CF4224"/>
    <w:rsid w:val="00CF5378"/>
    <w:rsid w:val="00CF6E65"/>
    <w:rsid w:val="00D035A9"/>
    <w:rsid w:val="00D03902"/>
    <w:rsid w:val="00D04C40"/>
    <w:rsid w:val="00D05FD9"/>
    <w:rsid w:val="00D0683C"/>
    <w:rsid w:val="00D06CEA"/>
    <w:rsid w:val="00D070BF"/>
    <w:rsid w:val="00D1031E"/>
    <w:rsid w:val="00D108A2"/>
    <w:rsid w:val="00D10AC9"/>
    <w:rsid w:val="00D11964"/>
    <w:rsid w:val="00D12FF7"/>
    <w:rsid w:val="00D131B9"/>
    <w:rsid w:val="00D13531"/>
    <w:rsid w:val="00D13C83"/>
    <w:rsid w:val="00D14064"/>
    <w:rsid w:val="00D14459"/>
    <w:rsid w:val="00D146C0"/>
    <w:rsid w:val="00D14CC2"/>
    <w:rsid w:val="00D14CED"/>
    <w:rsid w:val="00D1506D"/>
    <w:rsid w:val="00D15586"/>
    <w:rsid w:val="00D1581C"/>
    <w:rsid w:val="00D15836"/>
    <w:rsid w:val="00D17986"/>
    <w:rsid w:val="00D207D1"/>
    <w:rsid w:val="00D21AAB"/>
    <w:rsid w:val="00D21FBA"/>
    <w:rsid w:val="00D22D68"/>
    <w:rsid w:val="00D23571"/>
    <w:rsid w:val="00D2395B"/>
    <w:rsid w:val="00D23A37"/>
    <w:rsid w:val="00D24F72"/>
    <w:rsid w:val="00D26C2F"/>
    <w:rsid w:val="00D2753D"/>
    <w:rsid w:val="00D305A1"/>
    <w:rsid w:val="00D30B38"/>
    <w:rsid w:val="00D30BB4"/>
    <w:rsid w:val="00D3278E"/>
    <w:rsid w:val="00D32B63"/>
    <w:rsid w:val="00D3344B"/>
    <w:rsid w:val="00D349FD"/>
    <w:rsid w:val="00D35D4D"/>
    <w:rsid w:val="00D36882"/>
    <w:rsid w:val="00D368E8"/>
    <w:rsid w:val="00D37B29"/>
    <w:rsid w:val="00D37F73"/>
    <w:rsid w:val="00D406E7"/>
    <w:rsid w:val="00D41ABE"/>
    <w:rsid w:val="00D42825"/>
    <w:rsid w:val="00D4375F"/>
    <w:rsid w:val="00D443CE"/>
    <w:rsid w:val="00D4456D"/>
    <w:rsid w:val="00D448D5"/>
    <w:rsid w:val="00D453B0"/>
    <w:rsid w:val="00D46A05"/>
    <w:rsid w:val="00D50352"/>
    <w:rsid w:val="00D505AF"/>
    <w:rsid w:val="00D51720"/>
    <w:rsid w:val="00D517B9"/>
    <w:rsid w:val="00D53053"/>
    <w:rsid w:val="00D5399B"/>
    <w:rsid w:val="00D53E3F"/>
    <w:rsid w:val="00D54648"/>
    <w:rsid w:val="00D54F69"/>
    <w:rsid w:val="00D55FA1"/>
    <w:rsid w:val="00D563F7"/>
    <w:rsid w:val="00D566DF"/>
    <w:rsid w:val="00D568F1"/>
    <w:rsid w:val="00D56FDF"/>
    <w:rsid w:val="00D570FF"/>
    <w:rsid w:val="00D5787A"/>
    <w:rsid w:val="00D57886"/>
    <w:rsid w:val="00D6005F"/>
    <w:rsid w:val="00D608EE"/>
    <w:rsid w:val="00D61654"/>
    <w:rsid w:val="00D62077"/>
    <w:rsid w:val="00D64754"/>
    <w:rsid w:val="00D64B51"/>
    <w:rsid w:val="00D6590D"/>
    <w:rsid w:val="00D66190"/>
    <w:rsid w:val="00D70062"/>
    <w:rsid w:val="00D706BC"/>
    <w:rsid w:val="00D70F05"/>
    <w:rsid w:val="00D73775"/>
    <w:rsid w:val="00D74033"/>
    <w:rsid w:val="00D742BD"/>
    <w:rsid w:val="00D74BC1"/>
    <w:rsid w:val="00D759A4"/>
    <w:rsid w:val="00D75E1E"/>
    <w:rsid w:val="00D767C6"/>
    <w:rsid w:val="00D80A94"/>
    <w:rsid w:val="00D81F0E"/>
    <w:rsid w:val="00D846AB"/>
    <w:rsid w:val="00D84E67"/>
    <w:rsid w:val="00D85F74"/>
    <w:rsid w:val="00D900A3"/>
    <w:rsid w:val="00D900BA"/>
    <w:rsid w:val="00D90244"/>
    <w:rsid w:val="00D90AC4"/>
    <w:rsid w:val="00D91456"/>
    <w:rsid w:val="00D919F6"/>
    <w:rsid w:val="00D91A1C"/>
    <w:rsid w:val="00D91B49"/>
    <w:rsid w:val="00D91BAA"/>
    <w:rsid w:val="00D91BB2"/>
    <w:rsid w:val="00D92ECB"/>
    <w:rsid w:val="00D92F3A"/>
    <w:rsid w:val="00D94100"/>
    <w:rsid w:val="00D94E2E"/>
    <w:rsid w:val="00D9518A"/>
    <w:rsid w:val="00D966A5"/>
    <w:rsid w:val="00D96E38"/>
    <w:rsid w:val="00DA00F3"/>
    <w:rsid w:val="00DA0481"/>
    <w:rsid w:val="00DA47CF"/>
    <w:rsid w:val="00DA5705"/>
    <w:rsid w:val="00DA6F70"/>
    <w:rsid w:val="00DA6FDC"/>
    <w:rsid w:val="00DA7044"/>
    <w:rsid w:val="00DA7F74"/>
    <w:rsid w:val="00DB1B83"/>
    <w:rsid w:val="00DB267D"/>
    <w:rsid w:val="00DB5D82"/>
    <w:rsid w:val="00DB6004"/>
    <w:rsid w:val="00DB6D30"/>
    <w:rsid w:val="00DC0054"/>
    <w:rsid w:val="00DC10BE"/>
    <w:rsid w:val="00DC17C4"/>
    <w:rsid w:val="00DC2C9F"/>
    <w:rsid w:val="00DC3383"/>
    <w:rsid w:val="00DC38A7"/>
    <w:rsid w:val="00DC39E0"/>
    <w:rsid w:val="00DC3D12"/>
    <w:rsid w:val="00DC619F"/>
    <w:rsid w:val="00DC79E6"/>
    <w:rsid w:val="00DC7AD9"/>
    <w:rsid w:val="00DD024F"/>
    <w:rsid w:val="00DD0A28"/>
    <w:rsid w:val="00DD0CAF"/>
    <w:rsid w:val="00DD15F6"/>
    <w:rsid w:val="00DD1CDB"/>
    <w:rsid w:val="00DD30BA"/>
    <w:rsid w:val="00DD440F"/>
    <w:rsid w:val="00DD4B87"/>
    <w:rsid w:val="00DD4EB6"/>
    <w:rsid w:val="00DD5A68"/>
    <w:rsid w:val="00DD5D40"/>
    <w:rsid w:val="00DD6ABE"/>
    <w:rsid w:val="00DE00BD"/>
    <w:rsid w:val="00DE0170"/>
    <w:rsid w:val="00DE01BD"/>
    <w:rsid w:val="00DE0FB7"/>
    <w:rsid w:val="00DE1041"/>
    <w:rsid w:val="00DE11C1"/>
    <w:rsid w:val="00DE1A8C"/>
    <w:rsid w:val="00DE1C2D"/>
    <w:rsid w:val="00DE2F0A"/>
    <w:rsid w:val="00DE40B7"/>
    <w:rsid w:val="00DE4711"/>
    <w:rsid w:val="00DE4788"/>
    <w:rsid w:val="00DE566A"/>
    <w:rsid w:val="00DE56B0"/>
    <w:rsid w:val="00DE5BF7"/>
    <w:rsid w:val="00DE718E"/>
    <w:rsid w:val="00DE7835"/>
    <w:rsid w:val="00DE7FFC"/>
    <w:rsid w:val="00DF008C"/>
    <w:rsid w:val="00DF06CC"/>
    <w:rsid w:val="00DF1349"/>
    <w:rsid w:val="00DF2654"/>
    <w:rsid w:val="00DF4944"/>
    <w:rsid w:val="00DF4A8E"/>
    <w:rsid w:val="00DF56DF"/>
    <w:rsid w:val="00DF6080"/>
    <w:rsid w:val="00DF6249"/>
    <w:rsid w:val="00DF73C9"/>
    <w:rsid w:val="00DF7BE6"/>
    <w:rsid w:val="00E005EE"/>
    <w:rsid w:val="00E015F0"/>
    <w:rsid w:val="00E01E6F"/>
    <w:rsid w:val="00E024C6"/>
    <w:rsid w:val="00E0432B"/>
    <w:rsid w:val="00E05C7A"/>
    <w:rsid w:val="00E061E3"/>
    <w:rsid w:val="00E06C2C"/>
    <w:rsid w:val="00E07C98"/>
    <w:rsid w:val="00E10186"/>
    <w:rsid w:val="00E11EA5"/>
    <w:rsid w:val="00E128F8"/>
    <w:rsid w:val="00E137FD"/>
    <w:rsid w:val="00E138E3"/>
    <w:rsid w:val="00E14E60"/>
    <w:rsid w:val="00E15299"/>
    <w:rsid w:val="00E15B06"/>
    <w:rsid w:val="00E1659C"/>
    <w:rsid w:val="00E17999"/>
    <w:rsid w:val="00E2152D"/>
    <w:rsid w:val="00E2265C"/>
    <w:rsid w:val="00E229E0"/>
    <w:rsid w:val="00E23037"/>
    <w:rsid w:val="00E23302"/>
    <w:rsid w:val="00E247A5"/>
    <w:rsid w:val="00E25745"/>
    <w:rsid w:val="00E26ECB"/>
    <w:rsid w:val="00E306F9"/>
    <w:rsid w:val="00E310D6"/>
    <w:rsid w:val="00E317EB"/>
    <w:rsid w:val="00E32FBA"/>
    <w:rsid w:val="00E33751"/>
    <w:rsid w:val="00E33AD6"/>
    <w:rsid w:val="00E33EF8"/>
    <w:rsid w:val="00E34275"/>
    <w:rsid w:val="00E34644"/>
    <w:rsid w:val="00E35367"/>
    <w:rsid w:val="00E3539C"/>
    <w:rsid w:val="00E35870"/>
    <w:rsid w:val="00E3697D"/>
    <w:rsid w:val="00E369D9"/>
    <w:rsid w:val="00E40DFB"/>
    <w:rsid w:val="00E41336"/>
    <w:rsid w:val="00E4302C"/>
    <w:rsid w:val="00E43186"/>
    <w:rsid w:val="00E4343C"/>
    <w:rsid w:val="00E44C76"/>
    <w:rsid w:val="00E45599"/>
    <w:rsid w:val="00E45E11"/>
    <w:rsid w:val="00E461C5"/>
    <w:rsid w:val="00E4668E"/>
    <w:rsid w:val="00E4669F"/>
    <w:rsid w:val="00E4685F"/>
    <w:rsid w:val="00E503CD"/>
    <w:rsid w:val="00E504F0"/>
    <w:rsid w:val="00E50B1A"/>
    <w:rsid w:val="00E516DE"/>
    <w:rsid w:val="00E51BDC"/>
    <w:rsid w:val="00E51D0E"/>
    <w:rsid w:val="00E5488D"/>
    <w:rsid w:val="00E54EE0"/>
    <w:rsid w:val="00E54EF6"/>
    <w:rsid w:val="00E558F4"/>
    <w:rsid w:val="00E55ADC"/>
    <w:rsid w:val="00E55B02"/>
    <w:rsid w:val="00E563D9"/>
    <w:rsid w:val="00E56E5D"/>
    <w:rsid w:val="00E573F2"/>
    <w:rsid w:val="00E57463"/>
    <w:rsid w:val="00E60701"/>
    <w:rsid w:val="00E609A8"/>
    <w:rsid w:val="00E610CE"/>
    <w:rsid w:val="00E61FBF"/>
    <w:rsid w:val="00E620AE"/>
    <w:rsid w:val="00E6215A"/>
    <w:rsid w:val="00E628E9"/>
    <w:rsid w:val="00E6432A"/>
    <w:rsid w:val="00E67359"/>
    <w:rsid w:val="00E67F5B"/>
    <w:rsid w:val="00E7220D"/>
    <w:rsid w:val="00E72A0D"/>
    <w:rsid w:val="00E732E1"/>
    <w:rsid w:val="00E738B3"/>
    <w:rsid w:val="00E74833"/>
    <w:rsid w:val="00E755F4"/>
    <w:rsid w:val="00E75D97"/>
    <w:rsid w:val="00E77B15"/>
    <w:rsid w:val="00E80C9D"/>
    <w:rsid w:val="00E82C4D"/>
    <w:rsid w:val="00E83279"/>
    <w:rsid w:val="00E84A02"/>
    <w:rsid w:val="00E851C9"/>
    <w:rsid w:val="00E86264"/>
    <w:rsid w:val="00E87BB3"/>
    <w:rsid w:val="00E9071E"/>
    <w:rsid w:val="00E91886"/>
    <w:rsid w:val="00E91B46"/>
    <w:rsid w:val="00E9428A"/>
    <w:rsid w:val="00E94766"/>
    <w:rsid w:val="00E94F53"/>
    <w:rsid w:val="00E96C8F"/>
    <w:rsid w:val="00E975AA"/>
    <w:rsid w:val="00E97B45"/>
    <w:rsid w:val="00EA0F06"/>
    <w:rsid w:val="00EA2074"/>
    <w:rsid w:val="00EA2B86"/>
    <w:rsid w:val="00EA39A7"/>
    <w:rsid w:val="00EA3C90"/>
    <w:rsid w:val="00EA3FA9"/>
    <w:rsid w:val="00EA41A2"/>
    <w:rsid w:val="00EA41B5"/>
    <w:rsid w:val="00EA4345"/>
    <w:rsid w:val="00EA5172"/>
    <w:rsid w:val="00EA5782"/>
    <w:rsid w:val="00EA5D83"/>
    <w:rsid w:val="00EA6F6C"/>
    <w:rsid w:val="00EA76A7"/>
    <w:rsid w:val="00EB0A77"/>
    <w:rsid w:val="00EB1E42"/>
    <w:rsid w:val="00EB2D48"/>
    <w:rsid w:val="00EB489C"/>
    <w:rsid w:val="00EB4AAC"/>
    <w:rsid w:val="00EB4F2A"/>
    <w:rsid w:val="00EB53C7"/>
    <w:rsid w:val="00EB597A"/>
    <w:rsid w:val="00EB6469"/>
    <w:rsid w:val="00EB677B"/>
    <w:rsid w:val="00EB6845"/>
    <w:rsid w:val="00EB6DC5"/>
    <w:rsid w:val="00EB7478"/>
    <w:rsid w:val="00EB79E3"/>
    <w:rsid w:val="00EB7CDA"/>
    <w:rsid w:val="00EB7D78"/>
    <w:rsid w:val="00EC13BE"/>
    <w:rsid w:val="00EC2644"/>
    <w:rsid w:val="00EC27AA"/>
    <w:rsid w:val="00EC2A33"/>
    <w:rsid w:val="00EC3F64"/>
    <w:rsid w:val="00EC4F69"/>
    <w:rsid w:val="00EC5688"/>
    <w:rsid w:val="00EC5DD3"/>
    <w:rsid w:val="00EC6054"/>
    <w:rsid w:val="00EC6525"/>
    <w:rsid w:val="00EC7B0D"/>
    <w:rsid w:val="00EC7D5B"/>
    <w:rsid w:val="00ED0A91"/>
    <w:rsid w:val="00ED15D7"/>
    <w:rsid w:val="00ED17AF"/>
    <w:rsid w:val="00ED1CD1"/>
    <w:rsid w:val="00ED3E7C"/>
    <w:rsid w:val="00ED4CE8"/>
    <w:rsid w:val="00ED4D70"/>
    <w:rsid w:val="00ED5797"/>
    <w:rsid w:val="00ED71A4"/>
    <w:rsid w:val="00ED7260"/>
    <w:rsid w:val="00ED74E6"/>
    <w:rsid w:val="00ED7D64"/>
    <w:rsid w:val="00ED8039"/>
    <w:rsid w:val="00EE0847"/>
    <w:rsid w:val="00EE18A1"/>
    <w:rsid w:val="00EE1F40"/>
    <w:rsid w:val="00EE27AE"/>
    <w:rsid w:val="00EE2DBD"/>
    <w:rsid w:val="00EE384E"/>
    <w:rsid w:val="00EE3B50"/>
    <w:rsid w:val="00EE552A"/>
    <w:rsid w:val="00EE5F6F"/>
    <w:rsid w:val="00EE681E"/>
    <w:rsid w:val="00EF0B6A"/>
    <w:rsid w:val="00EF12EA"/>
    <w:rsid w:val="00EF1872"/>
    <w:rsid w:val="00EF1A71"/>
    <w:rsid w:val="00EF22FD"/>
    <w:rsid w:val="00EF260B"/>
    <w:rsid w:val="00EF3803"/>
    <w:rsid w:val="00EF4932"/>
    <w:rsid w:val="00EF5361"/>
    <w:rsid w:val="00EF571B"/>
    <w:rsid w:val="00EF5A70"/>
    <w:rsid w:val="00EF5BB6"/>
    <w:rsid w:val="00EF60BC"/>
    <w:rsid w:val="00EF6700"/>
    <w:rsid w:val="00EF69AE"/>
    <w:rsid w:val="00EF6C41"/>
    <w:rsid w:val="00EF763D"/>
    <w:rsid w:val="00EF7C84"/>
    <w:rsid w:val="00F00D5D"/>
    <w:rsid w:val="00F01771"/>
    <w:rsid w:val="00F01F41"/>
    <w:rsid w:val="00F02E12"/>
    <w:rsid w:val="00F03F9F"/>
    <w:rsid w:val="00F047BF"/>
    <w:rsid w:val="00F04D37"/>
    <w:rsid w:val="00F04F0D"/>
    <w:rsid w:val="00F051AA"/>
    <w:rsid w:val="00F0535C"/>
    <w:rsid w:val="00F05921"/>
    <w:rsid w:val="00F06126"/>
    <w:rsid w:val="00F0654C"/>
    <w:rsid w:val="00F06EB7"/>
    <w:rsid w:val="00F06FE1"/>
    <w:rsid w:val="00F07A9D"/>
    <w:rsid w:val="00F10335"/>
    <w:rsid w:val="00F11BE7"/>
    <w:rsid w:val="00F1407D"/>
    <w:rsid w:val="00F15D48"/>
    <w:rsid w:val="00F16BF0"/>
    <w:rsid w:val="00F17A2A"/>
    <w:rsid w:val="00F20AE1"/>
    <w:rsid w:val="00F2113F"/>
    <w:rsid w:val="00F22B3E"/>
    <w:rsid w:val="00F25EFE"/>
    <w:rsid w:val="00F30532"/>
    <w:rsid w:val="00F30884"/>
    <w:rsid w:val="00F31F42"/>
    <w:rsid w:val="00F3420C"/>
    <w:rsid w:val="00F34268"/>
    <w:rsid w:val="00F34E5B"/>
    <w:rsid w:val="00F351BA"/>
    <w:rsid w:val="00F3659B"/>
    <w:rsid w:val="00F366F1"/>
    <w:rsid w:val="00F37333"/>
    <w:rsid w:val="00F378FD"/>
    <w:rsid w:val="00F37A1B"/>
    <w:rsid w:val="00F4083D"/>
    <w:rsid w:val="00F40B21"/>
    <w:rsid w:val="00F4123F"/>
    <w:rsid w:val="00F41C54"/>
    <w:rsid w:val="00F42194"/>
    <w:rsid w:val="00F42AB4"/>
    <w:rsid w:val="00F430BB"/>
    <w:rsid w:val="00F4380C"/>
    <w:rsid w:val="00F43DA4"/>
    <w:rsid w:val="00F452B2"/>
    <w:rsid w:val="00F45A75"/>
    <w:rsid w:val="00F468D6"/>
    <w:rsid w:val="00F47563"/>
    <w:rsid w:val="00F47A5A"/>
    <w:rsid w:val="00F509C9"/>
    <w:rsid w:val="00F50B44"/>
    <w:rsid w:val="00F513EA"/>
    <w:rsid w:val="00F5160C"/>
    <w:rsid w:val="00F525DA"/>
    <w:rsid w:val="00F528BB"/>
    <w:rsid w:val="00F52C46"/>
    <w:rsid w:val="00F539B5"/>
    <w:rsid w:val="00F543DF"/>
    <w:rsid w:val="00F55F90"/>
    <w:rsid w:val="00F56255"/>
    <w:rsid w:val="00F563AC"/>
    <w:rsid w:val="00F5648F"/>
    <w:rsid w:val="00F56D57"/>
    <w:rsid w:val="00F618D7"/>
    <w:rsid w:val="00F61FE9"/>
    <w:rsid w:val="00F64C9F"/>
    <w:rsid w:val="00F65BE4"/>
    <w:rsid w:val="00F65E9F"/>
    <w:rsid w:val="00F66655"/>
    <w:rsid w:val="00F70869"/>
    <w:rsid w:val="00F70873"/>
    <w:rsid w:val="00F710CE"/>
    <w:rsid w:val="00F71985"/>
    <w:rsid w:val="00F71995"/>
    <w:rsid w:val="00F71AD0"/>
    <w:rsid w:val="00F73A09"/>
    <w:rsid w:val="00F74AE9"/>
    <w:rsid w:val="00F74ED3"/>
    <w:rsid w:val="00F76034"/>
    <w:rsid w:val="00F76175"/>
    <w:rsid w:val="00F7640C"/>
    <w:rsid w:val="00F768B3"/>
    <w:rsid w:val="00F802F8"/>
    <w:rsid w:val="00F80B7E"/>
    <w:rsid w:val="00F80D63"/>
    <w:rsid w:val="00F81675"/>
    <w:rsid w:val="00F83408"/>
    <w:rsid w:val="00F85C80"/>
    <w:rsid w:val="00F86BD8"/>
    <w:rsid w:val="00F87967"/>
    <w:rsid w:val="00F90486"/>
    <w:rsid w:val="00F9094F"/>
    <w:rsid w:val="00F90C6F"/>
    <w:rsid w:val="00F92F06"/>
    <w:rsid w:val="00F93F02"/>
    <w:rsid w:val="00F943CA"/>
    <w:rsid w:val="00F9470E"/>
    <w:rsid w:val="00F95133"/>
    <w:rsid w:val="00F959B7"/>
    <w:rsid w:val="00F96082"/>
    <w:rsid w:val="00F961DD"/>
    <w:rsid w:val="00F966F8"/>
    <w:rsid w:val="00F97003"/>
    <w:rsid w:val="00F97F1C"/>
    <w:rsid w:val="00FA02BD"/>
    <w:rsid w:val="00FA0CBD"/>
    <w:rsid w:val="00FA1D52"/>
    <w:rsid w:val="00FA1FAB"/>
    <w:rsid w:val="00FA31E9"/>
    <w:rsid w:val="00FA4F37"/>
    <w:rsid w:val="00FA4FB9"/>
    <w:rsid w:val="00FA5A78"/>
    <w:rsid w:val="00FA5BD3"/>
    <w:rsid w:val="00FA78FF"/>
    <w:rsid w:val="00FB2CF6"/>
    <w:rsid w:val="00FB3023"/>
    <w:rsid w:val="00FB38DD"/>
    <w:rsid w:val="00FB43B3"/>
    <w:rsid w:val="00FB4C25"/>
    <w:rsid w:val="00FB4D56"/>
    <w:rsid w:val="00FB5D54"/>
    <w:rsid w:val="00FB66CE"/>
    <w:rsid w:val="00FB69E1"/>
    <w:rsid w:val="00FB7B55"/>
    <w:rsid w:val="00FB7F4D"/>
    <w:rsid w:val="00FC0AB8"/>
    <w:rsid w:val="00FC1F05"/>
    <w:rsid w:val="00FC2F2E"/>
    <w:rsid w:val="00FC2FD0"/>
    <w:rsid w:val="00FC3967"/>
    <w:rsid w:val="00FC3C84"/>
    <w:rsid w:val="00FC3D27"/>
    <w:rsid w:val="00FC435A"/>
    <w:rsid w:val="00FC4CF7"/>
    <w:rsid w:val="00FC4E1F"/>
    <w:rsid w:val="00FC6AB6"/>
    <w:rsid w:val="00FD04B5"/>
    <w:rsid w:val="00FD1219"/>
    <w:rsid w:val="00FD1698"/>
    <w:rsid w:val="00FD185D"/>
    <w:rsid w:val="00FD2263"/>
    <w:rsid w:val="00FD2F42"/>
    <w:rsid w:val="00FD3C00"/>
    <w:rsid w:val="00FD5916"/>
    <w:rsid w:val="00FD5B44"/>
    <w:rsid w:val="00FD5BEC"/>
    <w:rsid w:val="00FD5EF8"/>
    <w:rsid w:val="00FD6144"/>
    <w:rsid w:val="00FD68FA"/>
    <w:rsid w:val="00FD70A9"/>
    <w:rsid w:val="00FD7653"/>
    <w:rsid w:val="00FE1047"/>
    <w:rsid w:val="00FE1434"/>
    <w:rsid w:val="00FE1458"/>
    <w:rsid w:val="00FE21CE"/>
    <w:rsid w:val="00FE2237"/>
    <w:rsid w:val="00FE2892"/>
    <w:rsid w:val="00FE2896"/>
    <w:rsid w:val="00FE3564"/>
    <w:rsid w:val="00FE3B99"/>
    <w:rsid w:val="00FE4071"/>
    <w:rsid w:val="00FE6148"/>
    <w:rsid w:val="00FE7F2E"/>
    <w:rsid w:val="00FF0E8B"/>
    <w:rsid w:val="00FF13E7"/>
    <w:rsid w:val="00FF2542"/>
    <w:rsid w:val="00FF27D8"/>
    <w:rsid w:val="00FF3014"/>
    <w:rsid w:val="00FF39F9"/>
    <w:rsid w:val="00FF405C"/>
    <w:rsid w:val="00FF45DC"/>
    <w:rsid w:val="00FF4673"/>
    <w:rsid w:val="00FF4D3A"/>
    <w:rsid w:val="00FF4E31"/>
    <w:rsid w:val="00FF66B0"/>
    <w:rsid w:val="00FF6731"/>
    <w:rsid w:val="00FF6A87"/>
    <w:rsid w:val="00FF6FEC"/>
    <w:rsid w:val="00FF73F2"/>
    <w:rsid w:val="01AABAA7"/>
    <w:rsid w:val="01B703C1"/>
    <w:rsid w:val="030B3CD0"/>
    <w:rsid w:val="0314928E"/>
    <w:rsid w:val="0375D838"/>
    <w:rsid w:val="03EF3D99"/>
    <w:rsid w:val="04270CE2"/>
    <w:rsid w:val="044BB71A"/>
    <w:rsid w:val="04881565"/>
    <w:rsid w:val="05D9ED7B"/>
    <w:rsid w:val="06305E20"/>
    <w:rsid w:val="066FFFDC"/>
    <w:rsid w:val="06DEEA86"/>
    <w:rsid w:val="07249A88"/>
    <w:rsid w:val="08450EA9"/>
    <w:rsid w:val="087CE6F2"/>
    <w:rsid w:val="0933E6E6"/>
    <w:rsid w:val="097CDCAC"/>
    <w:rsid w:val="09AF8556"/>
    <w:rsid w:val="0A24F8C8"/>
    <w:rsid w:val="0A8CE8E3"/>
    <w:rsid w:val="0AC7F033"/>
    <w:rsid w:val="0AC7FE01"/>
    <w:rsid w:val="0ADB6077"/>
    <w:rsid w:val="0B57F68C"/>
    <w:rsid w:val="0C28B944"/>
    <w:rsid w:val="0C81582B"/>
    <w:rsid w:val="0C852625"/>
    <w:rsid w:val="0D0ADEBC"/>
    <w:rsid w:val="0D3AF2A6"/>
    <w:rsid w:val="0D4868A8"/>
    <w:rsid w:val="0D8607F2"/>
    <w:rsid w:val="0D92C29E"/>
    <w:rsid w:val="0DC489A5"/>
    <w:rsid w:val="0F2A0D03"/>
    <w:rsid w:val="0F3DF94B"/>
    <w:rsid w:val="1052C47C"/>
    <w:rsid w:val="107AC300"/>
    <w:rsid w:val="110A3ABC"/>
    <w:rsid w:val="110F9C4A"/>
    <w:rsid w:val="1114FF32"/>
    <w:rsid w:val="112891EA"/>
    <w:rsid w:val="1197831A"/>
    <w:rsid w:val="12BDE97E"/>
    <w:rsid w:val="12E9F226"/>
    <w:rsid w:val="130195C1"/>
    <w:rsid w:val="13EFDF34"/>
    <w:rsid w:val="13F94937"/>
    <w:rsid w:val="1453A40B"/>
    <w:rsid w:val="146032AC"/>
    <w:rsid w:val="157D4367"/>
    <w:rsid w:val="15CB9BE0"/>
    <w:rsid w:val="16B3E063"/>
    <w:rsid w:val="16F0C27D"/>
    <w:rsid w:val="179D1B3F"/>
    <w:rsid w:val="1833C90B"/>
    <w:rsid w:val="18420C7E"/>
    <w:rsid w:val="186CAC88"/>
    <w:rsid w:val="18EBDF80"/>
    <w:rsid w:val="19FE952F"/>
    <w:rsid w:val="1A8B6FA8"/>
    <w:rsid w:val="1AF4DF58"/>
    <w:rsid w:val="1AF534E7"/>
    <w:rsid w:val="1C2B12D2"/>
    <w:rsid w:val="1D39C7CB"/>
    <w:rsid w:val="1D6E9730"/>
    <w:rsid w:val="1DBDBC3B"/>
    <w:rsid w:val="1E5EFDF1"/>
    <w:rsid w:val="1E7733D4"/>
    <w:rsid w:val="1E7F9A06"/>
    <w:rsid w:val="1EF61E9F"/>
    <w:rsid w:val="1FDB3293"/>
    <w:rsid w:val="201C7779"/>
    <w:rsid w:val="20CCED09"/>
    <w:rsid w:val="21000850"/>
    <w:rsid w:val="21548EBE"/>
    <w:rsid w:val="21561212"/>
    <w:rsid w:val="219B91C8"/>
    <w:rsid w:val="21ED25B7"/>
    <w:rsid w:val="222BE481"/>
    <w:rsid w:val="23C958DB"/>
    <w:rsid w:val="23DF54B7"/>
    <w:rsid w:val="240A8572"/>
    <w:rsid w:val="2471AA91"/>
    <w:rsid w:val="2497F8BB"/>
    <w:rsid w:val="25303C99"/>
    <w:rsid w:val="2530CBAD"/>
    <w:rsid w:val="2560CA1D"/>
    <w:rsid w:val="26F4AEF3"/>
    <w:rsid w:val="27A13555"/>
    <w:rsid w:val="28501D6B"/>
    <w:rsid w:val="286F9C2E"/>
    <w:rsid w:val="2877C533"/>
    <w:rsid w:val="28CFEFDE"/>
    <w:rsid w:val="29D28901"/>
    <w:rsid w:val="29E9787E"/>
    <w:rsid w:val="29FD5B39"/>
    <w:rsid w:val="2B407312"/>
    <w:rsid w:val="2BAF720C"/>
    <w:rsid w:val="2BC1E28D"/>
    <w:rsid w:val="2BC8AF43"/>
    <w:rsid w:val="2BCCA6C3"/>
    <w:rsid w:val="2C02A192"/>
    <w:rsid w:val="2C2C5212"/>
    <w:rsid w:val="2C41EBA2"/>
    <w:rsid w:val="2C443ABD"/>
    <w:rsid w:val="2C699BCD"/>
    <w:rsid w:val="2C90E546"/>
    <w:rsid w:val="2CDA69BA"/>
    <w:rsid w:val="2E8AA7F3"/>
    <w:rsid w:val="2EF6C2FE"/>
    <w:rsid w:val="2F6F1F62"/>
    <w:rsid w:val="2F9F341C"/>
    <w:rsid w:val="3091A99C"/>
    <w:rsid w:val="30E5E24F"/>
    <w:rsid w:val="3146F2C8"/>
    <w:rsid w:val="31584AC7"/>
    <w:rsid w:val="3180638F"/>
    <w:rsid w:val="3295F518"/>
    <w:rsid w:val="32F34528"/>
    <w:rsid w:val="33505899"/>
    <w:rsid w:val="337133D4"/>
    <w:rsid w:val="338D3D74"/>
    <w:rsid w:val="33D5ADCE"/>
    <w:rsid w:val="342541FE"/>
    <w:rsid w:val="342EE7CE"/>
    <w:rsid w:val="34ECBE0D"/>
    <w:rsid w:val="35D41A9C"/>
    <w:rsid w:val="366DA188"/>
    <w:rsid w:val="370905DD"/>
    <w:rsid w:val="3720B3B1"/>
    <w:rsid w:val="37E81F5B"/>
    <w:rsid w:val="37F738FE"/>
    <w:rsid w:val="393D2401"/>
    <w:rsid w:val="397C554C"/>
    <w:rsid w:val="3A58C2EA"/>
    <w:rsid w:val="3A6AC0DD"/>
    <w:rsid w:val="3A708D40"/>
    <w:rsid w:val="3AE8B90C"/>
    <w:rsid w:val="3B29C34B"/>
    <w:rsid w:val="3B7E70EF"/>
    <w:rsid w:val="3C727271"/>
    <w:rsid w:val="3D19F1EA"/>
    <w:rsid w:val="3E52DF50"/>
    <w:rsid w:val="3E54E327"/>
    <w:rsid w:val="3E57BBA0"/>
    <w:rsid w:val="3F29291E"/>
    <w:rsid w:val="3F831243"/>
    <w:rsid w:val="3FA66F94"/>
    <w:rsid w:val="3FEABDBC"/>
    <w:rsid w:val="406B5CCD"/>
    <w:rsid w:val="416408FD"/>
    <w:rsid w:val="41BF3F7A"/>
    <w:rsid w:val="41ECE40E"/>
    <w:rsid w:val="43049A29"/>
    <w:rsid w:val="432B0E41"/>
    <w:rsid w:val="4494CC78"/>
    <w:rsid w:val="4539B341"/>
    <w:rsid w:val="45538750"/>
    <w:rsid w:val="4559D8E7"/>
    <w:rsid w:val="45B9746F"/>
    <w:rsid w:val="46832A27"/>
    <w:rsid w:val="46F464A1"/>
    <w:rsid w:val="473D5229"/>
    <w:rsid w:val="47D0F17B"/>
    <w:rsid w:val="483997A0"/>
    <w:rsid w:val="4957C9A3"/>
    <w:rsid w:val="4992D003"/>
    <w:rsid w:val="49A2D2D3"/>
    <w:rsid w:val="49B42D4D"/>
    <w:rsid w:val="49B62823"/>
    <w:rsid w:val="4A3BBFC9"/>
    <w:rsid w:val="4AA922EF"/>
    <w:rsid w:val="4AAAE8A0"/>
    <w:rsid w:val="4BE4437E"/>
    <w:rsid w:val="4BE6C505"/>
    <w:rsid w:val="4C00CCA1"/>
    <w:rsid w:val="4CA29ABD"/>
    <w:rsid w:val="4CC251FF"/>
    <w:rsid w:val="4D9490BD"/>
    <w:rsid w:val="4DF0F5DE"/>
    <w:rsid w:val="4E52C1D9"/>
    <w:rsid w:val="4E699C05"/>
    <w:rsid w:val="4ECAFD02"/>
    <w:rsid w:val="4F27F376"/>
    <w:rsid w:val="4F4CFC4D"/>
    <w:rsid w:val="502B223C"/>
    <w:rsid w:val="504660B9"/>
    <w:rsid w:val="506FD3E3"/>
    <w:rsid w:val="50CCA82F"/>
    <w:rsid w:val="51381FA5"/>
    <w:rsid w:val="513EA229"/>
    <w:rsid w:val="518A8942"/>
    <w:rsid w:val="518ECC39"/>
    <w:rsid w:val="519DF528"/>
    <w:rsid w:val="53F55DC9"/>
    <w:rsid w:val="541F0AFD"/>
    <w:rsid w:val="552C2D22"/>
    <w:rsid w:val="556858A3"/>
    <w:rsid w:val="55C8159C"/>
    <w:rsid w:val="55F56B1F"/>
    <w:rsid w:val="562490C4"/>
    <w:rsid w:val="567DDA06"/>
    <w:rsid w:val="57976857"/>
    <w:rsid w:val="57A7ADFC"/>
    <w:rsid w:val="57AA696D"/>
    <w:rsid w:val="58992F75"/>
    <w:rsid w:val="589E6D19"/>
    <w:rsid w:val="5918AE46"/>
    <w:rsid w:val="591A65FD"/>
    <w:rsid w:val="5995D14D"/>
    <w:rsid w:val="59988C7A"/>
    <w:rsid w:val="5A62F977"/>
    <w:rsid w:val="5A9C3C09"/>
    <w:rsid w:val="5AB9B8AB"/>
    <w:rsid w:val="5ABA0DAA"/>
    <w:rsid w:val="5B1870D3"/>
    <w:rsid w:val="5B202B0B"/>
    <w:rsid w:val="5B4DD16D"/>
    <w:rsid w:val="5C375720"/>
    <w:rsid w:val="5C3FA0CF"/>
    <w:rsid w:val="5CDBB235"/>
    <w:rsid w:val="5CEA6F8A"/>
    <w:rsid w:val="5D1EE24F"/>
    <w:rsid w:val="5E32A801"/>
    <w:rsid w:val="5F2CFEBF"/>
    <w:rsid w:val="5F5898FD"/>
    <w:rsid w:val="5F67088F"/>
    <w:rsid w:val="5F9CF9AC"/>
    <w:rsid w:val="5FBE45C7"/>
    <w:rsid w:val="60131FD8"/>
    <w:rsid w:val="601AFEEB"/>
    <w:rsid w:val="6050D858"/>
    <w:rsid w:val="62682C4D"/>
    <w:rsid w:val="6280EB22"/>
    <w:rsid w:val="62B1681B"/>
    <w:rsid w:val="633464BB"/>
    <w:rsid w:val="637123FB"/>
    <w:rsid w:val="63BBE377"/>
    <w:rsid w:val="63DCDF6E"/>
    <w:rsid w:val="64241C83"/>
    <w:rsid w:val="64908786"/>
    <w:rsid w:val="65D92383"/>
    <w:rsid w:val="666ED423"/>
    <w:rsid w:val="66DA534B"/>
    <w:rsid w:val="66E064D0"/>
    <w:rsid w:val="66E94DC7"/>
    <w:rsid w:val="6708C0D7"/>
    <w:rsid w:val="6720E096"/>
    <w:rsid w:val="6723080A"/>
    <w:rsid w:val="672DCBD2"/>
    <w:rsid w:val="67780C3C"/>
    <w:rsid w:val="67785AEF"/>
    <w:rsid w:val="67B147FB"/>
    <w:rsid w:val="67B2516F"/>
    <w:rsid w:val="67E6D4E6"/>
    <w:rsid w:val="67FC43CE"/>
    <w:rsid w:val="686FAEB6"/>
    <w:rsid w:val="692F71C4"/>
    <w:rsid w:val="697EF027"/>
    <w:rsid w:val="69E89FCC"/>
    <w:rsid w:val="6AD28119"/>
    <w:rsid w:val="6AD9AE92"/>
    <w:rsid w:val="6B0ED8D2"/>
    <w:rsid w:val="6B54DA11"/>
    <w:rsid w:val="6B587607"/>
    <w:rsid w:val="6B71E69D"/>
    <w:rsid w:val="6BB2AA9C"/>
    <w:rsid w:val="6C22C6B6"/>
    <w:rsid w:val="6C5AC9B7"/>
    <w:rsid w:val="6CEC3E6A"/>
    <w:rsid w:val="6CF40FB5"/>
    <w:rsid w:val="6D41CDF0"/>
    <w:rsid w:val="6D4D8C9D"/>
    <w:rsid w:val="6D8C3DB5"/>
    <w:rsid w:val="6DA7A288"/>
    <w:rsid w:val="6E05DD37"/>
    <w:rsid w:val="6E141651"/>
    <w:rsid w:val="6F47EDE4"/>
    <w:rsid w:val="7015655E"/>
    <w:rsid w:val="70A63533"/>
    <w:rsid w:val="70BC12D4"/>
    <w:rsid w:val="71391498"/>
    <w:rsid w:val="71EBE6CC"/>
    <w:rsid w:val="720F4B25"/>
    <w:rsid w:val="73187CCA"/>
    <w:rsid w:val="75520D9F"/>
    <w:rsid w:val="757B1665"/>
    <w:rsid w:val="764311DB"/>
    <w:rsid w:val="789E71C7"/>
    <w:rsid w:val="7A05501D"/>
    <w:rsid w:val="7B2499EF"/>
    <w:rsid w:val="7B5C8D02"/>
    <w:rsid w:val="7BADB5B9"/>
    <w:rsid w:val="7C80F3E7"/>
    <w:rsid w:val="7D241268"/>
    <w:rsid w:val="7D2510ED"/>
    <w:rsid w:val="7D2C4157"/>
    <w:rsid w:val="7D893F9C"/>
    <w:rsid w:val="7DD82957"/>
    <w:rsid w:val="7E305038"/>
    <w:rsid w:val="7EC0E14E"/>
    <w:rsid w:val="7FAFCCA2"/>
    <w:rsid w:val="7FD380BD"/>
    <w:rsid w:val="7FE418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0B7D"/>
  <w15:chartTrackingRefBased/>
  <w15:docId w15:val="{6BB76C75-8DFF-4C49-A109-14DDD3AE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AB9"/>
    <w:pPr>
      <w:spacing w:after="0" w:line="240" w:lineRule="auto"/>
    </w:pPr>
    <w:rPr>
      <w:rFonts w:ascii="Arial" w:eastAsia="Times New Roman" w:hAnsi="Arial" w:cs="Times New Roman"/>
      <w:sz w:val="24"/>
      <w:szCs w:val="24"/>
      <w:lang w:eastAsia="en-US"/>
    </w:rPr>
  </w:style>
  <w:style w:type="paragraph" w:styleId="Heading1">
    <w:name w:val="heading 1"/>
    <w:basedOn w:val="Normal"/>
    <w:next w:val="Normal"/>
    <w:link w:val="Heading1Char"/>
    <w:uiPriority w:val="9"/>
    <w:qFormat/>
    <w:rsid w:val="007266D8"/>
    <w:pPr>
      <w:keepNext/>
      <w:keepLines/>
      <w:spacing w:before="240" w:after="240" w:line="360" w:lineRule="auto"/>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AE47A9"/>
    <w:pPr>
      <w:keepNext/>
      <w:keepLines/>
      <w:spacing w:before="240" w:after="24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BC7330"/>
    <w:pPr>
      <w:keepNext/>
      <w:keepLines/>
      <w:spacing w:before="240" w:after="24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7A43E3"/>
    <w:pPr>
      <w:keepNext/>
      <w:keepLines/>
      <w:spacing w:before="240" w:after="240"/>
      <w:outlineLvl w:val="3"/>
    </w:pPr>
    <w:rPr>
      <w:rFonts w:eastAsiaTheme="majorEastAsia" w:cstheme="majorBidi"/>
      <w:i/>
      <w:iCs/>
    </w:rPr>
  </w:style>
  <w:style w:type="paragraph" w:styleId="Heading5">
    <w:name w:val="heading 5"/>
    <w:basedOn w:val="Normal"/>
    <w:next w:val="Normal"/>
    <w:link w:val="Heading5Char"/>
    <w:uiPriority w:val="9"/>
    <w:unhideWhenUsed/>
    <w:qFormat/>
    <w:rsid w:val="00EB1E42"/>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EB1E42"/>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EB1E42"/>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6D8"/>
    <w:rPr>
      <w:rFonts w:ascii="Arial" w:eastAsiaTheme="majorEastAsia" w:hAnsi="Arial" w:cstheme="majorBidi"/>
      <w:b/>
      <w:sz w:val="40"/>
      <w:szCs w:val="32"/>
      <w:lang w:eastAsia="en-US"/>
    </w:rPr>
  </w:style>
  <w:style w:type="character" w:customStyle="1" w:styleId="Heading2Char">
    <w:name w:val="Heading 2 Char"/>
    <w:basedOn w:val="DefaultParagraphFont"/>
    <w:link w:val="Heading2"/>
    <w:uiPriority w:val="9"/>
    <w:rsid w:val="00AE47A9"/>
    <w:rPr>
      <w:rFonts w:ascii="Arial" w:eastAsiaTheme="majorEastAsia" w:hAnsi="Arial" w:cstheme="majorBidi"/>
      <w:b/>
      <w:sz w:val="36"/>
      <w:szCs w:val="26"/>
      <w:lang w:eastAsia="en-US"/>
    </w:rPr>
  </w:style>
  <w:style w:type="character" w:styleId="Hyperlink">
    <w:name w:val="Hyperlink"/>
    <w:uiPriority w:val="99"/>
    <w:rsid w:val="00423AB9"/>
    <w:rPr>
      <w:color w:val="0000FF"/>
      <w:u w:val="single"/>
    </w:rPr>
  </w:style>
  <w:style w:type="paragraph" w:styleId="Header">
    <w:name w:val="header"/>
    <w:basedOn w:val="Normal"/>
    <w:link w:val="HeaderChar"/>
    <w:uiPriority w:val="99"/>
    <w:unhideWhenUsed/>
    <w:rsid w:val="00423AB9"/>
    <w:pPr>
      <w:tabs>
        <w:tab w:val="center" w:pos="4680"/>
        <w:tab w:val="right" w:pos="9360"/>
      </w:tabs>
    </w:pPr>
  </w:style>
  <w:style w:type="character" w:customStyle="1" w:styleId="HeaderChar">
    <w:name w:val="Header Char"/>
    <w:basedOn w:val="DefaultParagraphFont"/>
    <w:link w:val="Header"/>
    <w:uiPriority w:val="99"/>
    <w:rsid w:val="00423AB9"/>
    <w:rPr>
      <w:rFonts w:ascii="Arial" w:eastAsia="Times New Roman" w:hAnsi="Arial" w:cs="Times New Roman"/>
      <w:sz w:val="24"/>
      <w:szCs w:val="24"/>
      <w:lang w:eastAsia="en-US"/>
    </w:rPr>
  </w:style>
  <w:style w:type="table" w:styleId="TableGrid">
    <w:name w:val="Table Grid"/>
    <w:basedOn w:val="TableNormal"/>
    <w:uiPriority w:val="39"/>
    <w:rsid w:val="00423AB9"/>
    <w:pPr>
      <w:spacing w:after="0" w:line="240" w:lineRule="auto"/>
    </w:pPr>
    <w:rPr>
      <w:rFonts w:eastAsiaTheme="minorHAnsi"/>
      <w:lang w:eastAsia="en-US"/>
    </w:rPr>
    <w:tblPr/>
  </w:style>
  <w:style w:type="character" w:styleId="CommentReference">
    <w:name w:val="annotation reference"/>
    <w:basedOn w:val="DefaultParagraphFont"/>
    <w:uiPriority w:val="99"/>
    <w:unhideWhenUsed/>
    <w:rsid w:val="00423AB9"/>
    <w:rPr>
      <w:sz w:val="16"/>
      <w:szCs w:val="16"/>
    </w:rPr>
  </w:style>
  <w:style w:type="paragraph" w:styleId="Footer">
    <w:name w:val="footer"/>
    <w:basedOn w:val="Normal"/>
    <w:link w:val="FooterChar"/>
    <w:uiPriority w:val="99"/>
    <w:unhideWhenUsed/>
    <w:rsid w:val="00423AB9"/>
    <w:pPr>
      <w:tabs>
        <w:tab w:val="center" w:pos="4680"/>
        <w:tab w:val="right" w:pos="9360"/>
      </w:tabs>
    </w:pPr>
  </w:style>
  <w:style w:type="character" w:customStyle="1" w:styleId="FooterChar">
    <w:name w:val="Footer Char"/>
    <w:basedOn w:val="DefaultParagraphFont"/>
    <w:link w:val="Footer"/>
    <w:uiPriority w:val="99"/>
    <w:rsid w:val="00423AB9"/>
    <w:rPr>
      <w:rFonts w:ascii="Arial" w:eastAsia="Times New Roman" w:hAnsi="Arial" w:cs="Times New Roman"/>
      <w:sz w:val="24"/>
      <w:szCs w:val="24"/>
      <w:lang w:eastAsia="en-US"/>
    </w:rPr>
  </w:style>
  <w:style w:type="character" w:customStyle="1" w:styleId="Heading3Char">
    <w:name w:val="Heading 3 Char"/>
    <w:basedOn w:val="DefaultParagraphFont"/>
    <w:link w:val="Heading3"/>
    <w:uiPriority w:val="9"/>
    <w:rsid w:val="00BC7330"/>
    <w:rPr>
      <w:rFonts w:ascii="Arial" w:eastAsiaTheme="majorEastAsia" w:hAnsi="Arial" w:cstheme="majorBidi"/>
      <w:b/>
      <w:sz w:val="28"/>
      <w:szCs w:val="24"/>
      <w:lang w:eastAsia="en-US"/>
    </w:rPr>
  </w:style>
  <w:style w:type="character" w:customStyle="1" w:styleId="Heading4Char">
    <w:name w:val="Heading 4 Char"/>
    <w:basedOn w:val="DefaultParagraphFont"/>
    <w:link w:val="Heading4"/>
    <w:uiPriority w:val="9"/>
    <w:rsid w:val="007A43E3"/>
    <w:rPr>
      <w:rFonts w:ascii="Arial" w:eastAsiaTheme="majorEastAsia" w:hAnsi="Arial" w:cstheme="majorBidi"/>
      <w:i/>
      <w:iCs/>
      <w:sz w:val="24"/>
      <w:szCs w:val="24"/>
      <w:lang w:eastAsia="en-US"/>
    </w:rPr>
  </w:style>
  <w:style w:type="character" w:customStyle="1" w:styleId="Heading5Char">
    <w:name w:val="Heading 5 Char"/>
    <w:basedOn w:val="DefaultParagraphFont"/>
    <w:link w:val="Heading5"/>
    <w:uiPriority w:val="9"/>
    <w:rsid w:val="00EB1E42"/>
    <w:rPr>
      <w:rFonts w:ascii="Arial" w:eastAsiaTheme="majorEastAsia" w:hAnsi="Arial" w:cstheme="majorBidi"/>
      <w:sz w:val="24"/>
      <w:szCs w:val="24"/>
      <w:lang w:eastAsia="en-US"/>
    </w:rPr>
  </w:style>
  <w:style w:type="character" w:customStyle="1" w:styleId="Heading6Char">
    <w:name w:val="Heading 6 Char"/>
    <w:basedOn w:val="DefaultParagraphFont"/>
    <w:link w:val="Heading6"/>
    <w:uiPriority w:val="9"/>
    <w:rsid w:val="00EB1E42"/>
    <w:rPr>
      <w:rFonts w:ascii="Arial" w:eastAsiaTheme="majorEastAsia" w:hAnsi="Arial" w:cstheme="majorBidi"/>
      <w:sz w:val="24"/>
      <w:szCs w:val="24"/>
      <w:lang w:eastAsia="en-US"/>
    </w:rPr>
  </w:style>
  <w:style w:type="character" w:customStyle="1" w:styleId="Heading7Char">
    <w:name w:val="Heading 7 Char"/>
    <w:basedOn w:val="DefaultParagraphFont"/>
    <w:link w:val="Heading7"/>
    <w:uiPriority w:val="9"/>
    <w:semiHidden/>
    <w:rsid w:val="00EB1E42"/>
    <w:rPr>
      <w:rFonts w:ascii="Arial" w:eastAsiaTheme="majorEastAsia" w:hAnsi="Arial" w:cstheme="majorBidi"/>
      <w:i/>
      <w:iCs/>
      <w:color w:val="1F3763" w:themeColor="accent1" w:themeShade="7F"/>
      <w:sz w:val="24"/>
      <w:szCs w:val="24"/>
      <w:lang w:eastAsia="en-US"/>
    </w:rPr>
  </w:style>
  <w:style w:type="paragraph" w:styleId="Title">
    <w:name w:val="Title"/>
    <w:basedOn w:val="Normal"/>
    <w:next w:val="Normal"/>
    <w:link w:val="TitleChar"/>
    <w:uiPriority w:val="10"/>
    <w:qFormat/>
    <w:rsid w:val="00EB1E42"/>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1E42"/>
    <w:rPr>
      <w:rFonts w:ascii="Arial" w:eastAsiaTheme="majorEastAsia" w:hAnsi="Arial" w:cstheme="majorBidi"/>
      <w:spacing w:val="-10"/>
      <w:kern w:val="28"/>
      <w:sz w:val="56"/>
      <w:szCs w:val="56"/>
      <w:lang w:eastAsia="en-US"/>
    </w:rPr>
  </w:style>
  <w:style w:type="paragraph" w:styleId="NoSpacing">
    <w:name w:val="No Spacing"/>
    <w:uiPriority w:val="1"/>
    <w:qFormat/>
    <w:rsid w:val="00EB1E42"/>
    <w:pPr>
      <w:spacing w:after="0" w:line="240" w:lineRule="auto"/>
    </w:pPr>
    <w:rPr>
      <w:rFonts w:ascii="Arial" w:eastAsiaTheme="minorHAnsi" w:hAnsi="Arial"/>
      <w:sz w:val="24"/>
      <w:lang w:eastAsia="en-US"/>
    </w:rPr>
  </w:style>
  <w:style w:type="paragraph" w:styleId="Subtitle">
    <w:name w:val="Subtitle"/>
    <w:basedOn w:val="Normal"/>
    <w:next w:val="Normal"/>
    <w:link w:val="SubtitleChar"/>
    <w:uiPriority w:val="11"/>
    <w:qFormat/>
    <w:rsid w:val="00EB1E42"/>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B1E42"/>
    <w:rPr>
      <w:rFonts w:ascii="Arial" w:hAnsi="Arial" w:cs="Times New Roman"/>
      <w:color w:val="5A5A5A" w:themeColor="text1" w:themeTint="A5"/>
      <w:spacing w:val="15"/>
      <w:sz w:val="28"/>
      <w:szCs w:val="24"/>
      <w:lang w:eastAsia="en-US"/>
    </w:rPr>
  </w:style>
  <w:style w:type="paragraph" w:styleId="ListParagraph">
    <w:name w:val="List Paragraph"/>
    <w:aliases w:val="Indented Paragraph,list,List1,List11,Step Paragraph"/>
    <w:basedOn w:val="Normal"/>
    <w:link w:val="ListParagraphChar"/>
    <w:uiPriority w:val="34"/>
    <w:qFormat/>
    <w:rsid w:val="00EB1E42"/>
    <w:pPr>
      <w:ind w:left="720"/>
      <w:contextualSpacing/>
    </w:pPr>
  </w:style>
  <w:style w:type="paragraph" w:styleId="BalloonText">
    <w:name w:val="Balloon Text"/>
    <w:basedOn w:val="Normal"/>
    <w:link w:val="BalloonTextChar"/>
    <w:uiPriority w:val="99"/>
    <w:semiHidden/>
    <w:unhideWhenUsed/>
    <w:rsid w:val="00EB1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E42"/>
    <w:rPr>
      <w:rFonts w:ascii="Segoe UI" w:eastAsia="Times New Roman" w:hAnsi="Segoe UI" w:cs="Segoe UI"/>
      <w:sz w:val="18"/>
      <w:szCs w:val="18"/>
      <w:lang w:eastAsia="en-US"/>
    </w:rPr>
  </w:style>
  <w:style w:type="paragraph" w:styleId="TOCHeading">
    <w:name w:val="TOC Heading"/>
    <w:basedOn w:val="Heading1"/>
    <w:next w:val="Normal"/>
    <w:uiPriority w:val="39"/>
    <w:unhideWhenUsed/>
    <w:qFormat/>
    <w:rsid w:val="00EB1E42"/>
    <w:pPr>
      <w:spacing w:after="0" w:line="259" w:lineRule="auto"/>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271D3B"/>
    <w:pPr>
      <w:tabs>
        <w:tab w:val="right" w:leader="dot" w:pos="9350"/>
      </w:tabs>
      <w:spacing w:after="100"/>
    </w:pPr>
  </w:style>
  <w:style w:type="paragraph" w:styleId="TOC2">
    <w:name w:val="toc 2"/>
    <w:basedOn w:val="Normal"/>
    <w:next w:val="Normal"/>
    <w:autoRedefine/>
    <w:uiPriority w:val="39"/>
    <w:unhideWhenUsed/>
    <w:rsid w:val="006E3D8C"/>
    <w:pPr>
      <w:tabs>
        <w:tab w:val="right" w:leader="dot" w:pos="9350"/>
      </w:tabs>
      <w:spacing w:after="100"/>
      <w:ind w:left="240"/>
    </w:pPr>
  </w:style>
  <w:style w:type="paragraph" w:styleId="TOC3">
    <w:name w:val="toc 3"/>
    <w:basedOn w:val="Normal"/>
    <w:next w:val="Normal"/>
    <w:autoRedefine/>
    <w:uiPriority w:val="39"/>
    <w:unhideWhenUsed/>
    <w:rsid w:val="006E3D8C"/>
    <w:pPr>
      <w:tabs>
        <w:tab w:val="right" w:leader="dot" w:pos="9350"/>
      </w:tabs>
      <w:spacing w:after="100" w:line="259" w:lineRule="auto"/>
      <w:ind w:left="440"/>
    </w:pPr>
    <w:rPr>
      <w:rFonts w:asciiTheme="minorHAnsi" w:eastAsiaTheme="minorEastAsia" w:hAnsiTheme="minorHAnsi"/>
      <w:sz w:val="22"/>
      <w:szCs w:val="22"/>
    </w:rPr>
  </w:style>
  <w:style w:type="table" w:customStyle="1" w:styleId="TableGrid1">
    <w:name w:val="Table Grid1"/>
    <w:basedOn w:val="TableNormal"/>
    <w:next w:val="TableGrid"/>
    <w:uiPriority w:val="39"/>
    <w:rsid w:val="00EB1E42"/>
    <w:pPr>
      <w:spacing w:after="0" w:line="240" w:lineRule="auto"/>
    </w:pPr>
    <w:rPr>
      <w:rFonts w:eastAsiaTheme="minorHAnsi"/>
      <w:lang w:eastAsia="en-US"/>
    </w:rPr>
    <w:tblPr/>
  </w:style>
  <w:style w:type="table" w:customStyle="1" w:styleId="TableGrid2">
    <w:name w:val="Table Grid2"/>
    <w:basedOn w:val="TableNormal"/>
    <w:next w:val="TableGrid"/>
    <w:uiPriority w:val="39"/>
    <w:rsid w:val="00EB1E42"/>
    <w:pPr>
      <w:spacing w:after="0" w:line="240" w:lineRule="auto"/>
    </w:pPr>
    <w:rPr>
      <w:rFonts w:eastAsiaTheme="minorHAnsi"/>
      <w:lang w:eastAsia="en-US"/>
    </w:rPr>
    <w:tblPr/>
  </w:style>
  <w:style w:type="table" w:customStyle="1" w:styleId="TableGrid3">
    <w:name w:val="Table Grid3"/>
    <w:basedOn w:val="TableNormal"/>
    <w:next w:val="TableGrid"/>
    <w:uiPriority w:val="39"/>
    <w:rsid w:val="00EB1E42"/>
    <w:pPr>
      <w:spacing w:after="0" w:line="240" w:lineRule="auto"/>
    </w:pPr>
    <w:rPr>
      <w:rFonts w:eastAsiaTheme="minorHAnsi"/>
      <w:lang w:eastAsia="en-US"/>
    </w:rPr>
    <w:tblPr/>
  </w:style>
  <w:style w:type="table" w:customStyle="1" w:styleId="TableGrid4">
    <w:name w:val="Table Grid4"/>
    <w:basedOn w:val="TableNormal"/>
    <w:next w:val="TableGrid"/>
    <w:uiPriority w:val="39"/>
    <w:rsid w:val="00EB1E42"/>
    <w:pPr>
      <w:spacing w:after="0" w:line="240" w:lineRule="auto"/>
    </w:pPr>
    <w:rPr>
      <w:rFonts w:eastAsiaTheme="minorHAnsi"/>
      <w:lang w:eastAsia="en-US"/>
    </w:rPr>
    <w:tblPr/>
  </w:style>
  <w:style w:type="table" w:customStyle="1" w:styleId="TableGrid5">
    <w:name w:val="Table Grid5"/>
    <w:basedOn w:val="TableNormal"/>
    <w:next w:val="TableGrid"/>
    <w:uiPriority w:val="39"/>
    <w:rsid w:val="00EB1E42"/>
    <w:pPr>
      <w:spacing w:after="0" w:line="240" w:lineRule="auto"/>
    </w:pPr>
    <w:rPr>
      <w:rFonts w:eastAsiaTheme="minorHAnsi"/>
      <w:lang w:eastAsia="en-US"/>
    </w:rPr>
    <w:tblPr/>
  </w:style>
  <w:style w:type="table" w:customStyle="1" w:styleId="TableGrid6">
    <w:name w:val="Table Grid6"/>
    <w:basedOn w:val="TableNormal"/>
    <w:next w:val="TableGrid"/>
    <w:uiPriority w:val="39"/>
    <w:rsid w:val="00EB1E42"/>
    <w:pPr>
      <w:spacing w:after="0" w:line="240" w:lineRule="auto"/>
    </w:pPr>
    <w:rPr>
      <w:rFonts w:eastAsiaTheme="minorHAnsi"/>
      <w:lang w:eastAsia="en-US"/>
    </w:rPr>
    <w:tblPr/>
  </w:style>
  <w:style w:type="table" w:customStyle="1" w:styleId="TableGrid7">
    <w:name w:val="Table Grid7"/>
    <w:basedOn w:val="TableNormal"/>
    <w:next w:val="TableGrid"/>
    <w:uiPriority w:val="39"/>
    <w:rsid w:val="00EB1E42"/>
    <w:pPr>
      <w:spacing w:after="0" w:line="240" w:lineRule="auto"/>
    </w:pPr>
    <w:rPr>
      <w:rFonts w:eastAsiaTheme="minorHAnsi"/>
      <w:lang w:eastAsia="en-US"/>
    </w:rPr>
    <w:tblPr/>
  </w:style>
  <w:style w:type="table" w:customStyle="1" w:styleId="TableGrid8">
    <w:name w:val="Table Grid8"/>
    <w:basedOn w:val="TableNormal"/>
    <w:next w:val="TableGrid"/>
    <w:uiPriority w:val="39"/>
    <w:rsid w:val="00EB1E42"/>
    <w:pPr>
      <w:spacing w:after="0" w:line="240" w:lineRule="auto"/>
    </w:pPr>
    <w:rPr>
      <w:rFonts w:eastAsiaTheme="minorHAnsi"/>
      <w:lang w:eastAsia="en-US"/>
    </w:rPr>
    <w:tblPr/>
  </w:style>
  <w:style w:type="table" w:customStyle="1" w:styleId="TableGrid9">
    <w:name w:val="Table Grid9"/>
    <w:basedOn w:val="TableNormal"/>
    <w:next w:val="TableGrid"/>
    <w:uiPriority w:val="39"/>
    <w:rsid w:val="00EB1E42"/>
    <w:pPr>
      <w:spacing w:after="0" w:line="240" w:lineRule="auto"/>
    </w:pPr>
    <w:rPr>
      <w:rFonts w:eastAsiaTheme="minorHAnsi"/>
      <w:lang w:eastAsia="en-US"/>
    </w:rPr>
    <w:tblPr/>
  </w:style>
  <w:style w:type="table" w:customStyle="1" w:styleId="TableGrid10">
    <w:name w:val="Table Grid10"/>
    <w:basedOn w:val="TableNormal"/>
    <w:next w:val="TableGrid"/>
    <w:uiPriority w:val="39"/>
    <w:rsid w:val="00EB1E42"/>
    <w:pPr>
      <w:spacing w:after="0" w:line="240" w:lineRule="auto"/>
    </w:pPr>
    <w:rPr>
      <w:rFonts w:eastAsiaTheme="minorHAnsi"/>
      <w:lang w:eastAsia="en-US"/>
    </w:rPr>
    <w:tblPr/>
  </w:style>
  <w:style w:type="table" w:customStyle="1" w:styleId="TableGrid11">
    <w:name w:val="Table Grid11"/>
    <w:basedOn w:val="TableNormal"/>
    <w:next w:val="TableGrid"/>
    <w:uiPriority w:val="39"/>
    <w:rsid w:val="00EB1E42"/>
    <w:pPr>
      <w:spacing w:after="0" w:line="240" w:lineRule="auto"/>
    </w:pPr>
    <w:rPr>
      <w:rFonts w:eastAsiaTheme="minorHAnsi"/>
      <w:lang w:eastAsia="en-US"/>
    </w:rPr>
    <w:tblPr/>
  </w:style>
  <w:style w:type="table" w:customStyle="1" w:styleId="TableGrid12">
    <w:name w:val="Table Grid12"/>
    <w:basedOn w:val="TableNormal"/>
    <w:next w:val="TableGrid"/>
    <w:uiPriority w:val="39"/>
    <w:rsid w:val="00EB1E42"/>
    <w:pPr>
      <w:spacing w:after="0" w:line="240" w:lineRule="auto"/>
    </w:pPr>
    <w:rPr>
      <w:rFonts w:eastAsiaTheme="minorHAnsi"/>
      <w:lang w:eastAsia="en-US"/>
    </w:rPr>
    <w:tblPr/>
  </w:style>
  <w:style w:type="table" w:customStyle="1" w:styleId="TableGrid13">
    <w:name w:val="Table Grid13"/>
    <w:basedOn w:val="TableNormal"/>
    <w:next w:val="TableGrid"/>
    <w:uiPriority w:val="39"/>
    <w:rsid w:val="00EB1E42"/>
    <w:pPr>
      <w:spacing w:after="0" w:line="240" w:lineRule="auto"/>
    </w:pPr>
    <w:rPr>
      <w:rFonts w:eastAsiaTheme="minorHAnsi"/>
      <w:lang w:eastAsia="en-US"/>
    </w:rPr>
    <w:tblPr/>
  </w:style>
  <w:style w:type="table" w:customStyle="1" w:styleId="TableGrid14">
    <w:name w:val="Table Grid14"/>
    <w:basedOn w:val="TableNormal"/>
    <w:next w:val="TableGrid"/>
    <w:uiPriority w:val="39"/>
    <w:rsid w:val="00EB1E42"/>
    <w:pPr>
      <w:spacing w:after="0" w:line="240" w:lineRule="auto"/>
    </w:pPr>
    <w:rPr>
      <w:rFonts w:eastAsiaTheme="minorHAnsi"/>
      <w:lang w:eastAsia="en-US"/>
    </w:rPr>
    <w:tblPr/>
  </w:style>
  <w:style w:type="table" w:customStyle="1" w:styleId="TableGrid15">
    <w:name w:val="Table Grid15"/>
    <w:basedOn w:val="TableNormal"/>
    <w:next w:val="TableGrid"/>
    <w:uiPriority w:val="39"/>
    <w:rsid w:val="00EB1E42"/>
    <w:pPr>
      <w:spacing w:after="0" w:line="240" w:lineRule="auto"/>
    </w:pPr>
    <w:rPr>
      <w:rFonts w:eastAsiaTheme="minorHAnsi"/>
      <w:lang w:eastAsia="en-US"/>
    </w:rPr>
    <w:tblPr/>
  </w:style>
  <w:style w:type="table" w:customStyle="1" w:styleId="TableGrid16">
    <w:name w:val="Table Grid16"/>
    <w:basedOn w:val="TableNormal"/>
    <w:next w:val="TableGrid"/>
    <w:uiPriority w:val="39"/>
    <w:rsid w:val="00EB1E42"/>
    <w:pPr>
      <w:spacing w:after="0" w:line="240" w:lineRule="auto"/>
    </w:pPr>
    <w:rPr>
      <w:rFonts w:eastAsiaTheme="minorHAnsi"/>
      <w:lang w:eastAsia="en-US"/>
    </w:rPr>
    <w:tblPr/>
  </w:style>
  <w:style w:type="paragraph" w:styleId="TOC4">
    <w:name w:val="toc 4"/>
    <w:basedOn w:val="Normal"/>
    <w:next w:val="Normal"/>
    <w:autoRedefine/>
    <w:uiPriority w:val="39"/>
    <w:unhideWhenUsed/>
    <w:rsid w:val="00EB1E4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B1E4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B1E4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B1E4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B1E4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B1E42"/>
    <w:pPr>
      <w:spacing w:after="100" w:line="259" w:lineRule="auto"/>
      <w:ind w:left="1760"/>
    </w:pPr>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rsid w:val="00EB1E42"/>
    <w:rPr>
      <w:sz w:val="20"/>
      <w:szCs w:val="20"/>
    </w:rPr>
  </w:style>
  <w:style w:type="character" w:customStyle="1" w:styleId="CommentTextChar">
    <w:name w:val="Comment Text Char"/>
    <w:basedOn w:val="DefaultParagraphFont"/>
    <w:link w:val="CommentText"/>
    <w:uiPriority w:val="99"/>
    <w:rsid w:val="00EB1E42"/>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B1E42"/>
    <w:rPr>
      <w:b/>
      <w:bCs/>
    </w:rPr>
  </w:style>
  <w:style w:type="character" w:customStyle="1" w:styleId="CommentSubjectChar">
    <w:name w:val="Comment Subject Char"/>
    <w:basedOn w:val="CommentTextChar"/>
    <w:link w:val="CommentSubject"/>
    <w:uiPriority w:val="99"/>
    <w:semiHidden/>
    <w:rsid w:val="00EB1E42"/>
    <w:rPr>
      <w:rFonts w:ascii="Arial" w:eastAsia="Times New Roman" w:hAnsi="Arial" w:cs="Times New Roman"/>
      <w:b/>
      <w:bCs/>
      <w:sz w:val="20"/>
      <w:szCs w:val="20"/>
      <w:lang w:eastAsia="en-US"/>
    </w:rPr>
  </w:style>
  <w:style w:type="character" w:styleId="UnresolvedMention">
    <w:name w:val="Unresolved Mention"/>
    <w:basedOn w:val="DefaultParagraphFont"/>
    <w:uiPriority w:val="99"/>
    <w:semiHidden/>
    <w:unhideWhenUsed/>
    <w:rsid w:val="00EB1E42"/>
    <w:rPr>
      <w:color w:val="605E5C"/>
      <w:shd w:val="clear" w:color="auto" w:fill="E1DFDD"/>
    </w:rPr>
  </w:style>
  <w:style w:type="character" w:styleId="Mention">
    <w:name w:val="Mention"/>
    <w:basedOn w:val="DefaultParagraphFont"/>
    <w:uiPriority w:val="99"/>
    <w:unhideWhenUsed/>
    <w:rsid w:val="00EB1E42"/>
    <w:rPr>
      <w:color w:val="2B579A"/>
      <w:shd w:val="clear" w:color="auto" w:fill="E6E6E6"/>
    </w:rPr>
  </w:style>
  <w:style w:type="table" w:customStyle="1" w:styleId="TableGrid17">
    <w:name w:val="Table Grid17"/>
    <w:basedOn w:val="TableNormal"/>
    <w:next w:val="TableGrid"/>
    <w:uiPriority w:val="39"/>
    <w:rsid w:val="00EB1E42"/>
    <w:pPr>
      <w:spacing w:after="0" w:line="240" w:lineRule="auto"/>
    </w:pPr>
    <w:rPr>
      <w:rFonts w:eastAsiaTheme="minorHAnsi"/>
      <w:lang w:eastAsia="en-US"/>
    </w:rPr>
    <w:tblPr/>
  </w:style>
  <w:style w:type="table" w:customStyle="1" w:styleId="TableGrid18">
    <w:name w:val="Table Grid18"/>
    <w:basedOn w:val="TableNormal"/>
    <w:next w:val="TableGrid"/>
    <w:uiPriority w:val="39"/>
    <w:rsid w:val="00EB1E42"/>
    <w:pPr>
      <w:spacing w:after="0" w:line="240" w:lineRule="auto"/>
    </w:pPr>
    <w:rPr>
      <w:rFonts w:eastAsiaTheme="minorHAnsi"/>
      <w:lang w:eastAsia="en-US"/>
    </w:rPr>
    <w:tblPr/>
  </w:style>
  <w:style w:type="table" w:customStyle="1" w:styleId="TableGrid19">
    <w:name w:val="Table Grid19"/>
    <w:basedOn w:val="TableNormal"/>
    <w:next w:val="TableGrid"/>
    <w:uiPriority w:val="39"/>
    <w:rsid w:val="00EB1E42"/>
    <w:pPr>
      <w:spacing w:after="0" w:line="240" w:lineRule="auto"/>
    </w:pPr>
    <w:rPr>
      <w:rFonts w:eastAsiaTheme="minorHAnsi"/>
      <w:lang w:eastAsia="en-US"/>
    </w:rPr>
    <w:tblPr/>
  </w:style>
  <w:style w:type="table" w:customStyle="1" w:styleId="TableGrid20">
    <w:name w:val="Table Grid20"/>
    <w:basedOn w:val="TableNormal"/>
    <w:next w:val="TableGrid"/>
    <w:uiPriority w:val="39"/>
    <w:rsid w:val="00EB1E42"/>
    <w:pPr>
      <w:spacing w:after="0" w:line="240" w:lineRule="auto"/>
    </w:pPr>
    <w:rPr>
      <w:rFonts w:eastAsiaTheme="minorHAnsi"/>
      <w:lang w:eastAsia="en-US"/>
    </w:rPr>
    <w:tblPr/>
  </w:style>
  <w:style w:type="table" w:customStyle="1" w:styleId="TableGrid110">
    <w:name w:val="Table Grid110"/>
    <w:basedOn w:val="TableNormal"/>
    <w:next w:val="TableGrid"/>
    <w:uiPriority w:val="39"/>
    <w:rsid w:val="00EB1E42"/>
    <w:pPr>
      <w:spacing w:after="0" w:line="240" w:lineRule="auto"/>
    </w:pPr>
    <w:rPr>
      <w:rFonts w:eastAsiaTheme="minorHAnsi"/>
      <w:lang w:eastAsia="en-US"/>
    </w:rPr>
    <w:tblPr/>
  </w:style>
  <w:style w:type="table" w:customStyle="1" w:styleId="TableGrid21">
    <w:name w:val="Table Grid21"/>
    <w:basedOn w:val="TableNormal"/>
    <w:next w:val="TableGrid"/>
    <w:uiPriority w:val="39"/>
    <w:rsid w:val="00EB1E42"/>
    <w:pPr>
      <w:spacing w:after="0" w:line="240" w:lineRule="auto"/>
    </w:pPr>
    <w:rPr>
      <w:rFonts w:eastAsiaTheme="minorHAnsi"/>
      <w:lang w:eastAsia="en-US"/>
    </w:rPr>
    <w:tblPr/>
  </w:style>
  <w:style w:type="table" w:customStyle="1" w:styleId="TableGrid31">
    <w:name w:val="Table Grid31"/>
    <w:basedOn w:val="TableNormal"/>
    <w:next w:val="TableGrid"/>
    <w:uiPriority w:val="39"/>
    <w:rsid w:val="00EB1E42"/>
    <w:pPr>
      <w:spacing w:after="0" w:line="240" w:lineRule="auto"/>
    </w:pPr>
    <w:rPr>
      <w:rFonts w:eastAsiaTheme="minorHAnsi"/>
      <w:lang w:eastAsia="en-US"/>
    </w:rPr>
    <w:tblPr/>
  </w:style>
  <w:style w:type="table" w:customStyle="1" w:styleId="TableGrid141">
    <w:name w:val="Table Grid141"/>
    <w:basedOn w:val="TableNormal"/>
    <w:next w:val="TableGrid"/>
    <w:uiPriority w:val="39"/>
    <w:rsid w:val="00EB1E42"/>
    <w:pPr>
      <w:spacing w:after="0" w:line="240" w:lineRule="auto"/>
    </w:pPr>
    <w:rPr>
      <w:rFonts w:eastAsiaTheme="minorHAnsi"/>
      <w:lang w:eastAsia="en-US"/>
    </w:rPr>
    <w:tblPr/>
  </w:style>
  <w:style w:type="table" w:customStyle="1" w:styleId="TableGrid151">
    <w:name w:val="Table Grid151"/>
    <w:basedOn w:val="TableNormal"/>
    <w:next w:val="TableGrid"/>
    <w:uiPriority w:val="39"/>
    <w:rsid w:val="00EB1E42"/>
    <w:pPr>
      <w:spacing w:after="0" w:line="240" w:lineRule="auto"/>
    </w:pPr>
    <w:rPr>
      <w:rFonts w:eastAsiaTheme="minorHAnsi"/>
      <w:lang w:eastAsia="en-US"/>
    </w:rPr>
    <w:tblPr/>
  </w:style>
  <w:style w:type="table" w:customStyle="1" w:styleId="TableGrid161">
    <w:name w:val="Table Grid161"/>
    <w:basedOn w:val="TableNormal"/>
    <w:next w:val="TableGrid"/>
    <w:uiPriority w:val="39"/>
    <w:rsid w:val="00EB1E42"/>
    <w:pPr>
      <w:spacing w:after="0" w:line="240" w:lineRule="auto"/>
    </w:pPr>
    <w:rPr>
      <w:rFonts w:eastAsiaTheme="minorHAnsi"/>
      <w:lang w:eastAsia="en-US"/>
    </w:rPr>
    <w:tblPr/>
  </w:style>
  <w:style w:type="paragraph" w:styleId="NormalWeb">
    <w:name w:val="Normal (Web)"/>
    <w:basedOn w:val="Normal"/>
    <w:uiPriority w:val="99"/>
    <w:unhideWhenUsed/>
    <w:rsid w:val="00560576"/>
    <w:pPr>
      <w:spacing w:before="100" w:beforeAutospacing="1" w:after="100" w:afterAutospacing="1"/>
    </w:pPr>
    <w:rPr>
      <w:rFonts w:ascii="Times New Roman" w:hAnsi="Times New Roman"/>
    </w:rPr>
  </w:style>
  <w:style w:type="paragraph" w:styleId="FootnoteText">
    <w:name w:val="footnote text"/>
    <w:basedOn w:val="Normal"/>
    <w:link w:val="FootnoteTextChar"/>
    <w:uiPriority w:val="99"/>
    <w:semiHidden/>
    <w:unhideWhenUsed/>
    <w:rsid w:val="001E2A8B"/>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1E2A8B"/>
    <w:rPr>
      <w:rFonts w:ascii="Arial" w:eastAsiaTheme="minorHAnsi" w:hAnsi="Arial"/>
      <w:sz w:val="20"/>
      <w:szCs w:val="20"/>
      <w:lang w:eastAsia="en-US"/>
    </w:rPr>
  </w:style>
  <w:style w:type="character" w:styleId="FootnoteReference">
    <w:name w:val="footnote reference"/>
    <w:basedOn w:val="DefaultParagraphFont"/>
    <w:uiPriority w:val="99"/>
    <w:semiHidden/>
    <w:unhideWhenUsed/>
    <w:rsid w:val="001E2A8B"/>
    <w:rPr>
      <w:vertAlign w:val="superscript"/>
    </w:rPr>
  </w:style>
  <w:style w:type="paragraph" w:customStyle="1" w:styleId="Default">
    <w:name w:val="Default"/>
    <w:rsid w:val="0019441F"/>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EA5782"/>
    <w:rPr>
      <w:i/>
      <w:iCs/>
    </w:rPr>
  </w:style>
  <w:style w:type="character" w:styleId="FollowedHyperlink">
    <w:name w:val="FollowedHyperlink"/>
    <w:basedOn w:val="DefaultParagraphFont"/>
    <w:uiPriority w:val="99"/>
    <w:semiHidden/>
    <w:unhideWhenUsed/>
    <w:rsid w:val="00FA02BD"/>
    <w:rPr>
      <w:color w:val="954F72" w:themeColor="followedHyperlink"/>
      <w:u w:val="single"/>
    </w:rPr>
  </w:style>
  <w:style w:type="character" w:styleId="Strong">
    <w:name w:val="Strong"/>
    <w:basedOn w:val="DefaultParagraphFont"/>
    <w:uiPriority w:val="22"/>
    <w:qFormat/>
    <w:rsid w:val="0034478B"/>
    <w:rPr>
      <w:b/>
      <w:bCs/>
    </w:rPr>
  </w:style>
  <w:style w:type="character" w:customStyle="1" w:styleId="normaltextrun">
    <w:name w:val="normaltextrun"/>
    <w:basedOn w:val="DefaultParagraphFont"/>
    <w:rsid w:val="00F430BB"/>
  </w:style>
  <w:style w:type="character" w:customStyle="1" w:styleId="ListParagraphChar">
    <w:name w:val="List Paragraph Char"/>
    <w:aliases w:val="Indented Paragraph Char,list Char,List1 Char,List11 Char,Step Paragraph Char"/>
    <w:basedOn w:val="DefaultParagraphFont"/>
    <w:link w:val="ListParagraph"/>
    <w:uiPriority w:val="34"/>
    <w:locked/>
    <w:rsid w:val="0040049D"/>
    <w:rPr>
      <w:rFonts w:ascii="Arial" w:eastAsia="Times New Roman" w:hAnsi="Arial" w:cs="Times New Roman"/>
      <w:sz w:val="24"/>
      <w:szCs w:val="24"/>
      <w:lang w:eastAsia="en-US"/>
    </w:rPr>
  </w:style>
  <w:style w:type="paragraph" w:customStyle="1" w:styleId="Pa5">
    <w:name w:val="Pa5"/>
    <w:basedOn w:val="Normal"/>
    <w:next w:val="Normal"/>
    <w:uiPriority w:val="99"/>
    <w:rsid w:val="00984B91"/>
    <w:pPr>
      <w:autoSpaceDE w:val="0"/>
      <w:autoSpaceDN w:val="0"/>
      <w:adjustRightInd w:val="0"/>
      <w:spacing w:line="241" w:lineRule="atLeast"/>
    </w:pPr>
    <w:rPr>
      <w:rFonts w:ascii="Work Sans" w:eastAsia="Arial" w:hAnsi="Work Sans" w:cs="Arial"/>
    </w:rPr>
  </w:style>
  <w:style w:type="character" w:customStyle="1" w:styleId="A5">
    <w:name w:val="A5"/>
    <w:uiPriority w:val="99"/>
    <w:rsid w:val="00984B91"/>
    <w:rPr>
      <w:rFonts w:ascii="Work Sans" w:hAnsi="Work Sans" w:cs="Work Sans" w:hint="default"/>
      <w:color w:val="211D1E"/>
      <w:sz w:val="22"/>
      <w:szCs w:val="22"/>
    </w:rPr>
  </w:style>
  <w:style w:type="character" w:customStyle="1" w:styleId="s9">
    <w:name w:val="s9"/>
    <w:basedOn w:val="DefaultParagraphFont"/>
    <w:rsid w:val="009F6305"/>
  </w:style>
  <w:style w:type="character" w:customStyle="1" w:styleId="apple-converted-space">
    <w:name w:val="apple-converted-space"/>
    <w:basedOn w:val="DefaultParagraphFont"/>
    <w:rsid w:val="009F6305"/>
  </w:style>
  <w:style w:type="paragraph" w:styleId="Revision">
    <w:name w:val="Revision"/>
    <w:hidden/>
    <w:uiPriority w:val="99"/>
    <w:semiHidden/>
    <w:rsid w:val="00BD20A7"/>
    <w:pPr>
      <w:spacing w:after="0" w:line="240" w:lineRule="auto"/>
    </w:pPr>
    <w:rPr>
      <w:rFonts w:ascii="Arial" w:eastAsia="Times New Roman" w:hAnsi="Arial" w:cs="Times New Roman"/>
      <w:sz w:val="24"/>
      <w:szCs w:val="24"/>
      <w:lang w:eastAsia="en-US"/>
    </w:rPr>
  </w:style>
  <w:style w:type="paragraph" w:styleId="BodyText">
    <w:name w:val="Body Text"/>
    <w:basedOn w:val="Normal"/>
    <w:link w:val="BodyTextChar"/>
    <w:uiPriority w:val="1"/>
    <w:qFormat/>
    <w:rsid w:val="00742972"/>
    <w:pPr>
      <w:widowControl w:val="0"/>
      <w:autoSpaceDE w:val="0"/>
      <w:autoSpaceDN w:val="0"/>
      <w:ind w:left="10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742972"/>
    <w:rPr>
      <w:rFonts w:ascii="Calibri" w:eastAsia="Calibri" w:hAnsi="Calibri" w:cs="Calibri"/>
      <w:lang w:eastAsia="en-US" w:bidi="en-US"/>
    </w:rPr>
  </w:style>
  <w:style w:type="character" w:customStyle="1" w:styleId="eop">
    <w:name w:val="eop"/>
    <w:basedOn w:val="DefaultParagraphFont"/>
    <w:rsid w:val="00C3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198">
      <w:bodyDiv w:val="1"/>
      <w:marLeft w:val="0"/>
      <w:marRight w:val="0"/>
      <w:marTop w:val="0"/>
      <w:marBottom w:val="0"/>
      <w:divBdr>
        <w:top w:val="none" w:sz="0" w:space="0" w:color="auto"/>
        <w:left w:val="none" w:sz="0" w:space="0" w:color="auto"/>
        <w:bottom w:val="none" w:sz="0" w:space="0" w:color="auto"/>
        <w:right w:val="none" w:sz="0" w:space="0" w:color="auto"/>
      </w:divBdr>
    </w:div>
    <w:div w:id="64257191">
      <w:bodyDiv w:val="1"/>
      <w:marLeft w:val="0"/>
      <w:marRight w:val="0"/>
      <w:marTop w:val="0"/>
      <w:marBottom w:val="0"/>
      <w:divBdr>
        <w:top w:val="none" w:sz="0" w:space="0" w:color="auto"/>
        <w:left w:val="none" w:sz="0" w:space="0" w:color="auto"/>
        <w:bottom w:val="none" w:sz="0" w:space="0" w:color="auto"/>
        <w:right w:val="none" w:sz="0" w:space="0" w:color="auto"/>
      </w:divBdr>
    </w:div>
    <w:div w:id="81948668">
      <w:bodyDiv w:val="1"/>
      <w:marLeft w:val="0"/>
      <w:marRight w:val="0"/>
      <w:marTop w:val="0"/>
      <w:marBottom w:val="0"/>
      <w:divBdr>
        <w:top w:val="none" w:sz="0" w:space="0" w:color="auto"/>
        <w:left w:val="none" w:sz="0" w:space="0" w:color="auto"/>
        <w:bottom w:val="none" w:sz="0" w:space="0" w:color="auto"/>
        <w:right w:val="none" w:sz="0" w:space="0" w:color="auto"/>
      </w:divBdr>
    </w:div>
    <w:div w:id="88236153">
      <w:bodyDiv w:val="1"/>
      <w:marLeft w:val="0"/>
      <w:marRight w:val="0"/>
      <w:marTop w:val="0"/>
      <w:marBottom w:val="0"/>
      <w:divBdr>
        <w:top w:val="none" w:sz="0" w:space="0" w:color="auto"/>
        <w:left w:val="none" w:sz="0" w:space="0" w:color="auto"/>
        <w:bottom w:val="none" w:sz="0" w:space="0" w:color="auto"/>
        <w:right w:val="none" w:sz="0" w:space="0" w:color="auto"/>
      </w:divBdr>
    </w:div>
    <w:div w:id="168298914">
      <w:bodyDiv w:val="1"/>
      <w:marLeft w:val="0"/>
      <w:marRight w:val="0"/>
      <w:marTop w:val="0"/>
      <w:marBottom w:val="0"/>
      <w:divBdr>
        <w:top w:val="none" w:sz="0" w:space="0" w:color="auto"/>
        <w:left w:val="none" w:sz="0" w:space="0" w:color="auto"/>
        <w:bottom w:val="none" w:sz="0" w:space="0" w:color="auto"/>
        <w:right w:val="none" w:sz="0" w:space="0" w:color="auto"/>
      </w:divBdr>
    </w:div>
    <w:div w:id="178852967">
      <w:bodyDiv w:val="1"/>
      <w:marLeft w:val="0"/>
      <w:marRight w:val="0"/>
      <w:marTop w:val="0"/>
      <w:marBottom w:val="0"/>
      <w:divBdr>
        <w:top w:val="none" w:sz="0" w:space="0" w:color="auto"/>
        <w:left w:val="none" w:sz="0" w:space="0" w:color="auto"/>
        <w:bottom w:val="none" w:sz="0" w:space="0" w:color="auto"/>
        <w:right w:val="none" w:sz="0" w:space="0" w:color="auto"/>
      </w:divBdr>
    </w:div>
    <w:div w:id="202984642">
      <w:bodyDiv w:val="1"/>
      <w:marLeft w:val="0"/>
      <w:marRight w:val="0"/>
      <w:marTop w:val="0"/>
      <w:marBottom w:val="0"/>
      <w:divBdr>
        <w:top w:val="none" w:sz="0" w:space="0" w:color="auto"/>
        <w:left w:val="none" w:sz="0" w:space="0" w:color="auto"/>
        <w:bottom w:val="none" w:sz="0" w:space="0" w:color="auto"/>
        <w:right w:val="none" w:sz="0" w:space="0" w:color="auto"/>
      </w:divBdr>
    </w:div>
    <w:div w:id="298657194">
      <w:bodyDiv w:val="1"/>
      <w:marLeft w:val="0"/>
      <w:marRight w:val="0"/>
      <w:marTop w:val="0"/>
      <w:marBottom w:val="0"/>
      <w:divBdr>
        <w:top w:val="none" w:sz="0" w:space="0" w:color="auto"/>
        <w:left w:val="none" w:sz="0" w:space="0" w:color="auto"/>
        <w:bottom w:val="none" w:sz="0" w:space="0" w:color="auto"/>
        <w:right w:val="none" w:sz="0" w:space="0" w:color="auto"/>
      </w:divBdr>
    </w:div>
    <w:div w:id="328873415">
      <w:bodyDiv w:val="1"/>
      <w:marLeft w:val="0"/>
      <w:marRight w:val="0"/>
      <w:marTop w:val="0"/>
      <w:marBottom w:val="0"/>
      <w:divBdr>
        <w:top w:val="none" w:sz="0" w:space="0" w:color="auto"/>
        <w:left w:val="none" w:sz="0" w:space="0" w:color="auto"/>
        <w:bottom w:val="none" w:sz="0" w:space="0" w:color="auto"/>
        <w:right w:val="none" w:sz="0" w:space="0" w:color="auto"/>
      </w:divBdr>
    </w:div>
    <w:div w:id="338973337">
      <w:bodyDiv w:val="1"/>
      <w:marLeft w:val="0"/>
      <w:marRight w:val="0"/>
      <w:marTop w:val="0"/>
      <w:marBottom w:val="0"/>
      <w:divBdr>
        <w:top w:val="none" w:sz="0" w:space="0" w:color="auto"/>
        <w:left w:val="none" w:sz="0" w:space="0" w:color="auto"/>
        <w:bottom w:val="none" w:sz="0" w:space="0" w:color="auto"/>
        <w:right w:val="none" w:sz="0" w:space="0" w:color="auto"/>
      </w:divBdr>
    </w:div>
    <w:div w:id="365108587">
      <w:bodyDiv w:val="1"/>
      <w:marLeft w:val="0"/>
      <w:marRight w:val="0"/>
      <w:marTop w:val="0"/>
      <w:marBottom w:val="0"/>
      <w:divBdr>
        <w:top w:val="none" w:sz="0" w:space="0" w:color="auto"/>
        <w:left w:val="none" w:sz="0" w:space="0" w:color="auto"/>
        <w:bottom w:val="none" w:sz="0" w:space="0" w:color="auto"/>
        <w:right w:val="none" w:sz="0" w:space="0" w:color="auto"/>
      </w:divBdr>
    </w:div>
    <w:div w:id="382366309">
      <w:bodyDiv w:val="1"/>
      <w:marLeft w:val="0"/>
      <w:marRight w:val="0"/>
      <w:marTop w:val="0"/>
      <w:marBottom w:val="0"/>
      <w:divBdr>
        <w:top w:val="none" w:sz="0" w:space="0" w:color="auto"/>
        <w:left w:val="none" w:sz="0" w:space="0" w:color="auto"/>
        <w:bottom w:val="none" w:sz="0" w:space="0" w:color="auto"/>
        <w:right w:val="none" w:sz="0" w:space="0" w:color="auto"/>
      </w:divBdr>
    </w:div>
    <w:div w:id="457532314">
      <w:bodyDiv w:val="1"/>
      <w:marLeft w:val="0"/>
      <w:marRight w:val="0"/>
      <w:marTop w:val="0"/>
      <w:marBottom w:val="0"/>
      <w:divBdr>
        <w:top w:val="none" w:sz="0" w:space="0" w:color="auto"/>
        <w:left w:val="none" w:sz="0" w:space="0" w:color="auto"/>
        <w:bottom w:val="none" w:sz="0" w:space="0" w:color="auto"/>
        <w:right w:val="none" w:sz="0" w:space="0" w:color="auto"/>
      </w:divBdr>
    </w:div>
    <w:div w:id="490483097">
      <w:bodyDiv w:val="1"/>
      <w:marLeft w:val="0"/>
      <w:marRight w:val="0"/>
      <w:marTop w:val="0"/>
      <w:marBottom w:val="0"/>
      <w:divBdr>
        <w:top w:val="none" w:sz="0" w:space="0" w:color="auto"/>
        <w:left w:val="none" w:sz="0" w:space="0" w:color="auto"/>
        <w:bottom w:val="none" w:sz="0" w:space="0" w:color="auto"/>
        <w:right w:val="none" w:sz="0" w:space="0" w:color="auto"/>
      </w:divBdr>
    </w:div>
    <w:div w:id="500581043">
      <w:bodyDiv w:val="1"/>
      <w:marLeft w:val="0"/>
      <w:marRight w:val="0"/>
      <w:marTop w:val="0"/>
      <w:marBottom w:val="0"/>
      <w:divBdr>
        <w:top w:val="none" w:sz="0" w:space="0" w:color="auto"/>
        <w:left w:val="none" w:sz="0" w:space="0" w:color="auto"/>
        <w:bottom w:val="none" w:sz="0" w:space="0" w:color="auto"/>
        <w:right w:val="none" w:sz="0" w:space="0" w:color="auto"/>
      </w:divBdr>
    </w:div>
    <w:div w:id="557056916">
      <w:bodyDiv w:val="1"/>
      <w:marLeft w:val="0"/>
      <w:marRight w:val="0"/>
      <w:marTop w:val="0"/>
      <w:marBottom w:val="0"/>
      <w:divBdr>
        <w:top w:val="none" w:sz="0" w:space="0" w:color="auto"/>
        <w:left w:val="none" w:sz="0" w:space="0" w:color="auto"/>
        <w:bottom w:val="none" w:sz="0" w:space="0" w:color="auto"/>
        <w:right w:val="none" w:sz="0" w:space="0" w:color="auto"/>
      </w:divBdr>
    </w:div>
    <w:div w:id="560873177">
      <w:bodyDiv w:val="1"/>
      <w:marLeft w:val="0"/>
      <w:marRight w:val="0"/>
      <w:marTop w:val="0"/>
      <w:marBottom w:val="0"/>
      <w:divBdr>
        <w:top w:val="none" w:sz="0" w:space="0" w:color="auto"/>
        <w:left w:val="none" w:sz="0" w:space="0" w:color="auto"/>
        <w:bottom w:val="none" w:sz="0" w:space="0" w:color="auto"/>
        <w:right w:val="none" w:sz="0" w:space="0" w:color="auto"/>
      </w:divBdr>
    </w:div>
    <w:div w:id="578517211">
      <w:bodyDiv w:val="1"/>
      <w:marLeft w:val="0"/>
      <w:marRight w:val="0"/>
      <w:marTop w:val="0"/>
      <w:marBottom w:val="0"/>
      <w:divBdr>
        <w:top w:val="none" w:sz="0" w:space="0" w:color="auto"/>
        <w:left w:val="none" w:sz="0" w:space="0" w:color="auto"/>
        <w:bottom w:val="none" w:sz="0" w:space="0" w:color="auto"/>
        <w:right w:val="none" w:sz="0" w:space="0" w:color="auto"/>
      </w:divBdr>
    </w:div>
    <w:div w:id="627399060">
      <w:bodyDiv w:val="1"/>
      <w:marLeft w:val="0"/>
      <w:marRight w:val="0"/>
      <w:marTop w:val="0"/>
      <w:marBottom w:val="0"/>
      <w:divBdr>
        <w:top w:val="none" w:sz="0" w:space="0" w:color="auto"/>
        <w:left w:val="none" w:sz="0" w:space="0" w:color="auto"/>
        <w:bottom w:val="none" w:sz="0" w:space="0" w:color="auto"/>
        <w:right w:val="none" w:sz="0" w:space="0" w:color="auto"/>
      </w:divBdr>
    </w:div>
    <w:div w:id="683214663">
      <w:bodyDiv w:val="1"/>
      <w:marLeft w:val="0"/>
      <w:marRight w:val="0"/>
      <w:marTop w:val="0"/>
      <w:marBottom w:val="0"/>
      <w:divBdr>
        <w:top w:val="none" w:sz="0" w:space="0" w:color="auto"/>
        <w:left w:val="none" w:sz="0" w:space="0" w:color="auto"/>
        <w:bottom w:val="none" w:sz="0" w:space="0" w:color="auto"/>
        <w:right w:val="none" w:sz="0" w:space="0" w:color="auto"/>
      </w:divBdr>
    </w:div>
    <w:div w:id="707334990">
      <w:bodyDiv w:val="1"/>
      <w:marLeft w:val="0"/>
      <w:marRight w:val="0"/>
      <w:marTop w:val="0"/>
      <w:marBottom w:val="0"/>
      <w:divBdr>
        <w:top w:val="none" w:sz="0" w:space="0" w:color="auto"/>
        <w:left w:val="none" w:sz="0" w:space="0" w:color="auto"/>
        <w:bottom w:val="none" w:sz="0" w:space="0" w:color="auto"/>
        <w:right w:val="none" w:sz="0" w:space="0" w:color="auto"/>
      </w:divBdr>
    </w:div>
    <w:div w:id="713623238">
      <w:bodyDiv w:val="1"/>
      <w:marLeft w:val="0"/>
      <w:marRight w:val="0"/>
      <w:marTop w:val="0"/>
      <w:marBottom w:val="0"/>
      <w:divBdr>
        <w:top w:val="none" w:sz="0" w:space="0" w:color="auto"/>
        <w:left w:val="none" w:sz="0" w:space="0" w:color="auto"/>
        <w:bottom w:val="none" w:sz="0" w:space="0" w:color="auto"/>
        <w:right w:val="none" w:sz="0" w:space="0" w:color="auto"/>
      </w:divBdr>
    </w:div>
    <w:div w:id="771818900">
      <w:bodyDiv w:val="1"/>
      <w:marLeft w:val="0"/>
      <w:marRight w:val="0"/>
      <w:marTop w:val="0"/>
      <w:marBottom w:val="0"/>
      <w:divBdr>
        <w:top w:val="none" w:sz="0" w:space="0" w:color="auto"/>
        <w:left w:val="none" w:sz="0" w:space="0" w:color="auto"/>
        <w:bottom w:val="none" w:sz="0" w:space="0" w:color="auto"/>
        <w:right w:val="none" w:sz="0" w:space="0" w:color="auto"/>
      </w:divBdr>
    </w:div>
    <w:div w:id="788351284">
      <w:bodyDiv w:val="1"/>
      <w:marLeft w:val="0"/>
      <w:marRight w:val="0"/>
      <w:marTop w:val="0"/>
      <w:marBottom w:val="0"/>
      <w:divBdr>
        <w:top w:val="none" w:sz="0" w:space="0" w:color="auto"/>
        <w:left w:val="none" w:sz="0" w:space="0" w:color="auto"/>
        <w:bottom w:val="none" w:sz="0" w:space="0" w:color="auto"/>
        <w:right w:val="none" w:sz="0" w:space="0" w:color="auto"/>
      </w:divBdr>
    </w:div>
    <w:div w:id="856236080">
      <w:bodyDiv w:val="1"/>
      <w:marLeft w:val="0"/>
      <w:marRight w:val="0"/>
      <w:marTop w:val="0"/>
      <w:marBottom w:val="0"/>
      <w:divBdr>
        <w:top w:val="none" w:sz="0" w:space="0" w:color="auto"/>
        <w:left w:val="none" w:sz="0" w:space="0" w:color="auto"/>
        <w:bottom w:val="none" w:sz="0" w:space="0" w:color="auto"/>
        <w:right w:val="none" w:sz="0" w:space="0" w:color="auto"/>
      </w:divBdr>
    </w:div>
    <w:div w:id="901067167">
      <w:bodyDiv w:val="1"/>
      <w:marLeft w:val="0"/>
      <w:marRight w:val="0"/>
      <w:marTop w:val="0"/>
      <w:marBottom w:val="0"/>
      <w:divBdr>
        <w:top w:val="none" w:sz="0" w:space="0" w:color="auto"/>
        <w:left w:val="none" w:sz="0" w:space="0" w:color="auto"/>
        <w:bottom w:val="none" w:sz="0" w:space="0" w:color="auto"/>
        <w:right w:val="none" w:sz="0" w:space="0" w:color="auto"/>
      </w:divBdr>
    </w:div>
    <w:div w:id="904804843">
      <w:bodyDiv w:val="1"/>
      <w:marLeft w:val="0"/>
      <w:marRight w:val="0"/>
      <w:marTop w:val="0"/>
      <w:marBottom w:val="0"/>
      <w:divBdr>
        <w:top w:val="none" w:sz="0" w:space="0" w:color="auto"/>
        <w:left w:val="none" w:sz="0" w:space="0" w:color="auto"/>
        <w:bottom w:val="none" w:sz="0" w:space="0" w:color="auto"/>
        <w:right w:val="none" w:sz="0" w:space="0" w:color="auto"/>
      </w:divBdr>
    </w:div>
    <w:div w:id="947614943">
      <w:bodyDiv w:val="1"/>
      <w:marLeft w:val="0"/>
      <w:marRight w:val="0"/>
      <w:marTop w:val="0"/>
      <w:marBottom w:val="0"/>
      <w:divBdr>
        <w:top w:val="none" w:sz="0" w:space="0" w:color="auto"/>
        <w:left w:val="none" w:sz="0" w:space="0" w:color="auto"/>
        <w:bottom w:val="none" w:sz="0" w:space="0" w:color="auto"/>
        <w:right w:val="none" w:sz="0" w:space="0" w:color="auto"/>
      </w:divBdr>
    </w:div>
    <w:div w:id="978921467">
      <w:bodyDiv w:val="1"/>
      <w:marLeft w:val="0"/>
      <w:marRight w:val="0"/>
      <w:marTop w:val="0"/>
      <w:marBottom w:val="0"/>
      <w:divBdr>
        <w:top w:val="none" w:sz="0" w:space="0" w:color="auto"/>
        <w:left w:val="none" w:sz="0" w:space="0" w:color="auto"/>
        <w:bottom w:val="none" w:sz="0" w:space="0" w:color="auto"/>
        <w:right w:val="none" w:sz="0" w:space="0" w:color="auto"/>
      </w:divBdr>
    </w:div>
    <w:div w:id="993338219">
      <w:bodyDiv w:val="1"/>
      <w:marLeft w:val="0"/>
      <w:marRight w:val="0"/>
      <w:marTop w:val="0"/>
      <w:marBottom w:val="0"/>
      <w:divBdr>
        <w:top w:val="none" w:sz="0" w:space="0" w:color="auto"/>
        <w:left w:val="none" w:sz="0" w:space="0" w:color="auto"/>
        <w:bottom w:val="none" w:sz="0" w:space="0" w:color="auto"/>
        <w:right w:val="none" w:sz="0" w:space="0" w:color="auto"/>
      </w:divBdr>
    </w:div>
    <w:div w:id="999770388">
      <w:bodyDiv w:val="1"/>
      <w:marLeft w:val="0"/>
      <w:marRight w:val="0"/>
      <w:marTop w:val="0"/>
      <w:marBottom w:val="0"/>
      <w:divBdr>
        <w:top w:val="none" w:sz="0" w:space="0" w:color="auto"/>
        <w:left w:val="none" w:sz="0" w:space="0" w:color="auto"/>
        <w:bottom w:val="none" w:sz="0" w:space="0" w:color="auto"/>
        <w:right w:val="none" w:sz="0" w:space="0" w:color="auto"/>
      </w:divBdr>
    </w:div>
    <w:div w:id="1038625471">
      <w:bodyDiv w:val="1"/>
      <w:marLeft w:val="0"/>
      <w:marRight w:val="0"/>
      <w:marTop w:val="0"/>
      <w:marBottom w:val="0"/>
      <w:divBdr>
        <w:top w:val="none" w:sz="0" w:space="0" w:color="auto"/>
        <w:left w:val="none" w:sz="0" w:space="0" w:color="auto"/>
        <w:bottom w:val="none" w:sz="0" w:space="0" w:color="auto"/>
        <w:right w:val="none" w:sz="0" w:space="0" w:color="auto"/>
      </w:divBdr>
    </w:div>
    <w:div w:id="1046486061">
      <w:bodyDiv w:val="1"/>
      <w:marLeft w:val="0"/>
      <w:marRight w:val="0"/>
      <w:marTop w:val="0"/>
      <w:marBottom w:val="0"/>
      <w:divBdr>
        <w:top w:val="none" w:sz="0" w:space="0" w:color="auto"/>
        <w:left w:val="none" w:sz="0" w:space="0" w:color="auto"/>
        <w:bottom w:val="none" w:sz="0" w:space="0" w:color="auto"/>
        <w:right w:val="none" w:sz="0" w:space="0" w:color="auto"/>
      </w:divBdr>
    </w:div>
    <w:div w:id="1087117652">
      <w:bodyDiv w:val="1"/>
      <w:marLeft w:val="0"/>
      <w:marRight w:val="0"/>
      <w:marTop w:val="0"/>
      <w:marBottom w:val="0"/>
      <w:divBdr>
        <w:top w:val="none" w:sz="0" w:space="0" w:color="auto"/>
        <w:left w:val="none" w:sz="0" w:space="0" w:color="auto"/>
        <w:bottom w:val="none" w:sz="0" w:space="0" w:color="auto"/>
        <w:right w:val="none" w:sz="0" w:space="0" w:color="auto"/>
      </w:divBdr>
    </w:div>
    <w:div w:id="1115095713">
      <w:bodyDiv w:val="1"/>
      <w:marLeft w:val="0"/>
      <w:marRight w:val="0"/>
      <w:marTop w:val="0"/>
      <w:marBottom w:val="0"/>
      <w:divBdr>
        <w:top w:val="none" w:sz="0" w:space="0" w:color="auto"/>
        <w:left w:val="none" w:sz="0" w:space="0" w:color="auto"/>
        <w:bottom w:val="none" w:sz="0" w:space="0" w:color="auto"/>
        <w:right w:val="none" w:sz="0" w:space="0" w:color="auto"/>
      </w:divBdr>
    </w:div>
    <w:div w:id="1115177473">
      <w:bodyDiv w:val="1"/>
      <w:marLeft w:val="0"/>
      <w:marRight w:val="0"/>
      <w:marTop w:val="0"/>
      <w:marBottom w:val="0"/>
      <w:divBdr>
        <w:top w:val="none" w:sz="0" w:space="0" w:color="auto"/>
        <w:left w:val="none" w:sz="0" w:space="0" w:color="auto"/>
        <w:bottom w:val="none" w:sz="0" w:space="0" w:color="auto"/>
        <w:right w:val="none" w:sz="0" w:space="0" w:color="auto"/>
      </w:divBdr>
    </w:div>
    <w:div w:id="1201091843">
      <w:bodyDiv w:val="1"/>
      <w:marLeft w:val="0"/>
      <w:marRight w:val="0"/>
      <w:marTop w:val="0"/>
      <w:marBottom w:val="0"/>
      <w:divBdr>
        <w:top w:val="none" w:sz="0" w:space="0" w:color="auto"/>
        <w:left w:val="none" w:sz="0" w:space="0" w:color="auto"/>
        <w:bottom w:val="none" w:sz="0" w:space="0" w:color="auto"/>
        <w:right w:val="none" w:sz="0" w:space="0" w:color="auto"/>
      </w:divBdr>
    </w:div>
    <w:div w:id="1208225041">
      <w:bodyDiv w:val="1"/>
      <w:marLeft w:val="0"/>
      <w:marRight w:val="0"/>
      <w:marTop w:val="0"/>
      <w:marBottom w:val="0"/>
      <w:divBdr>
        <w:top w:val="none" w:sz="0" w:space="0" w:color="auto"/>
        <w:left w:val="none" w:sz="0" w:space="0" w:color="auto"/>
        <w:bottom w:val="none" w:sz="0" w:space="0" w:color="auto"/>
        <w:right w:val="none" w:sz="0" w:space="0" w:color="auto"/>
      </w:divBdr>
    </w:div>
    <w:div w:id="1210452781">
      <w:bodyDiv w:val="1"/>
      <w:marLeft w:val="0"/>
      <w:marRight w:val="0"/>
      <w:marTop w:val="0"/>
      <w:marBottom w:val="0"/>
      <w:divBdr>
        <w:top w:val="none" w:sz="0" w:space="0" w:color="auto"/>
        <w:left w:val="none" w:sz="0" w:space="0" w:color="auto"/>
        <w:bottom w:val="none" w:sz="0" w:space="0" w:color="auto"/>
        <w:right w:val="none" w:sz="0" w:space="0" w:color="auto"/>
      </w:divBdr>
    </w:div>
    <w:div w:id="1221096622">
      <w:bodyDiv w:val="1"/>
      <w:marLeft w:val="0"/>
      <w:marRight w:val="0"/>
      <w:marTop w:val="0"/>
      <w:marBottom w:val="0"/>
      <w:divBdr>
        <w:top w:val="none" w:sz="0" w:space="0" w:color="auto"/>
        <w:left w:val="none" w:sz="0" w:space="0" w:color="auto"/>
        <w:bottom w:val="none" w:sz="0" w:space="0" w:color="auto"/>
        <w:right w:val="none" w:sz="0" w:space="0" w:color="auto"/>
      </w:divBdr>
    </w:div>
    <w:div w:id="1305623414">
      <w:bodyDiv w:val="1"/>
      <w:marLeft w:val="0"/>
      <w:marRight w:val="0"/>
      <w:marTop w:val="0"/>
      <w:marBottom w:val="0"/>
      <w:divBdr>
        <w:top w:val="none" w:sz="0" w:space="0" w:color="auto"/>
        <w:left w:val="none" w:sz="0" w:space="0" w:color="auto"/>
        <w:bottom w:val="none" w:sz="0" w:space="0" w:color="auto"/>
        <w:right w:val="none" w:sz="0" w:space="0" w:color="auto"/>
      </w:divBdr>
    </w:div>
    <w:div w:id="1317957474">
      <w:bodyDiv w:val="1"/>
      <w:marLeft w:val="0"/>
      <w:marRight w:val="0"/>
      <w:marTop w:val="0"/>
      <w:marBottom w:val="0"/>
      <w:divBdr>
        <w:top w:val="none" w:sz="0" w:space="0" w:color="auto"/>
        <w:left w:val="none" w:sz="0" w:space="0" w:color="auto"/>
        <w:bottom w:val="none" w:sz="0" w:space="0" w:color="auto"/>
        <w:right w:val="none" w:sz="0" w:space="0" w:color="auto"/>
      </w:divBdr>
    </w:div>
    <w:div w:id="1320495750">
      <w:bodyDiv w:val="1"/>
      <w:marLeft w:val="0"/>
      <w:marRight w:val="0"/>
      <w:marTop w:val="0"/>
      <w:marBottom w:val="0"/>
      <w:divBdr>
        <w:top w:val="none" w:sz="0" w:space="0" w:color="auto"/>
        <w:left w:val="none" w:sz="0" w:space="0" w:color="auto"/>
        <w:bottom w:val="none" w:sz="0" w:space="0" w:color="auto"/>
        <w:right w:val="none" w:sz="0" w:space="0" w:color="auto"/>
      </w:divBdr>
    </w:div>
    <w:div w:id="1321932602">
      <w:bodyDiv w:val="1"/>
      <w:marLeft w:val="0"/>
      <w:marRight w:val="0"/>
      <w:marTop w:val="0"/>
      <w:marBottom w:val="0"/>
      <w:divBdr>
        <w:top w:val="none" w:sz="0" w:space="0" w:color="auto"/>
        <w:left w:val="none" w:sz="0" w:space="0" w:color="auto"/>
        <w:bottom w:val="none" w:sz="0" w:space="0" w:color="auto"/>
        <w:right w:val="none" w:sz="0" w:space="0" w:color="auto"/>
      </w:divBdr>
    </w:div>
    <w:div w:id="1384020227">
      <w:bodyDiv w:val="1"/>
      <w:marLeft w:val="0"/>
      <w:marRight w:val="0"/>
      <w:marTop w:val="0"/>
      <w:marBottom w:val="0"/>
      <w:divBdr>
        <w:top w:val="none" w:sz="0" w:space="0" w:color="auto"/>
        <w:left w:val="none" w:sz="0" w:space="0" w:color="auto"/>
        <w:bottom w:val="none" w:sz="0" w:space="0" w:color="auto"/>
        <w:right w:val="none" w:sz="0" w:space="0" w:color="auto"/>
      </w:divBdr>
    </w:div>
    <w:div w:id="1418820803">
      <w:bodyDiv w:val="1"/>
      <w:marLeft w:val="0"/>
      <w:marRight w:val="0"/>
      <w:marTop w:val="0"/>
      <w:marBottom w:val="0"/>
      <w:divBdr>
        <w:top w:val="none" w:sz="0" w:space="0" w:color="auto"/>
        <w:left w:val="none" w:sz="0" w:space="0" w:color="auto"/>
        <w:bottom w:val="none" w:sz="0" w:space="0" w:color="auto"/>
        <w:right w:val="none" w:sz="0" w:space="0" w:color="auto"/>
      </w:divBdr>
    </w:div>
    <w:div w:id="1437604783">
      <w:bodyDiv w:val="1"/>
      <w:marLeft w:val="0"/>
      <w:marRight w:val="0"/>
      <w:marTop w:val="0"/>
      <w:marBottom w:val="0"/>
      <w:divBdr>
        <w:top w:val="none" w:sz="0" w:space="0" w:color="auto"/>
        <w:left w:val="none" w:sz="0" w:space="0" w:color="auto"/>
        <w:bottom w:val="none" w:sz="0" w:space="0" w:color="auto"/>
        <w:right w:val="none" w:sz="0" w:space="0" w:color="auto"/>
      </w:divBdr>
    </w:div>
    <w:div w:id="1440102982">
      <w:bodyDiv w:val="1"/>
      <w:marLeft w:val="0"/>
      <w:marRight w:val="0"/>
      <w:marTop w:val="0"/>
      <w:marBottom w:val="0"/>
      <w:divBdr>
        <w:top w:val="none" w:sz="0" w:space="0" w:color="auto"/>
        <w:left w:val="none" w:sz="0" w:space="0" w:color="auto"/>
        <w:bottom w:val="none" w:sz="0" w:space="0" w:color="auto"/>
        <w:right w:val="none" w:sz="0" w:space="0" w:color="auto"/>
      </w:divBdr>
    </w:div>
    <w:div w:id="1449010267">
      <w:bodyDiv w:val="1"/>
      <w:marLeft w:val="0"/>
      <w:marRight w:val="0"/>
      <w:marTop w:val="0"/>
      <w:marBottom w:val="0"/>
      <w:divBdr>
        <w:top w:val="none" w:sz="0" w:space="0" w:color="auto"/>
        <w:left w:val="none" w:sz="0" w:space="0" w:color="auto"/>
        <w:bottom w:val="none" w:sz="0" w:space="0" w:color="auto"/>
        <w:right w:val="none" w:sz="0" w:space="0" w:color="auto"/>
      </w:divBdr>
    </w:div>
    <w:div w:id="1486313606">
      <w:bodyDiv w:val="1"/>
      <w:marLeft w:val="0"/>
      <w:marRight w:val="0"/>
      <w:marTop w:val="0"/>
      <w:marBottom w:val="0"/>
      <w:divBdr>
        <w:top w:val="none" w:sz="0" w:space="0" w:color="auto"/>
        <w:left w:val="none" w:sz="0" w:space="0" w:color="auto"/>
        <w:bottom w:val="none" w:sz="0" w:space="0" w:color="auto"/>
        <w:right w:val="none" w:sz="0" w:space="0" w:color="auto"/>
      </w:divBdr>
    </w:div>
    <w:div w:id="1573083989">
      <w:bodyDiv w:val="1"/>
      <w:marLeft w:val="0"/>
      <w:marRight w:val="0"/>
      <w:marTop w:val="0"/>
      <w:marBottom w:val="0"/>
      <w:divBdr>
        <w:top w:val="none" w:sz="0" w:space="0" w:color="auto"/>
        <w:left w:val="none" w:sz="0" w:space="0" w:color="auto"/>
        <w:bottom w:val="none" w:sz="0" w:space="0" w:color="auto"/>
        <w:right w:val="none" w:sz="0" w:space="0" w:color="auto"/>
      </w:divBdr>
    </w:div>
    <w:div w:id="1600721913">
      <w:bodyDiv w:val="1"/>
      <w:marLeft w:val="0"/>
      <w:marRight w:val="0"/>
      <w:marTop w:val="0"/>
      <w:marBottom w:val="0"/>
      <w:divBdr>
        <w:top w:val="none" w:sz="0" w:space="0" w:color="auto"/>
        <w:left w:val="none" w:sz="0" w:space="0" w:color="auto"/>
        <w:bottom w:val="none" w:sz="0" w:space="0" w:color="auto"/>
        <w:right w:val="none" w:sz="0" w:space="0" w:color="auto"/>
      </w:divBdr>
    </w:div>
    <w:div w:id="1602299328">
      <w:bodyDiv w:val="1"/>
      <w:marLeft w:val="0"/>
      <w:marRight w:val="0"/>
      <w:marTop w:val="0"/>
      <w:marBottom w:val="0"/>
      <w:divBdr>
        <w:top w:val="none" w:sz="0" w:space="0" w:color="auto"/>
        <w:left w:val="none" w:sz="0" w:space="0" w:color="auto"/>
        <w:bottom w:val="none" w:sz="0" w:space="0" w:color="auto"/>
        <w:right w:val="none" w:sz="0" w:space="0" w:color="auto"/>
      </w:divBdr>
    </w:div>
    <w:div w:id="1734083425">
      <w:bodyDiv w:val="1"/>
      <w:marLeft w:val="0"/>
      <w:marRight w:val="0"/>
      <w:marTop w:val="0"/>
      <w:marBottom w:val="0"/>
      <w:divBdr>
        <w:top w:val="none" w:sz="0" w:space="0" w:color="auto"/>
        <w:left w:val="none" w:sz="0" w:space="0" w:color="auto"/>
        <w:bottom w:val="none" w:sz="0" w:space="0" w:color="auto"/>
        <w:right w:val="none" w:sz="0" w:space="0" w:color="auto"/>
      </w:divBdr>
    </w:div>
    <w:div w:id="1789010697">
      <w:bodyDiv w:val="1"/>
      <w:marLeft w:val="0"/>
      <w:marRight w:val="0"/>
      <w:marTop w:val="0"/>
      <w:marBottom w:val="0"/>
      <w:divBdr>
        <w:top w:val="none" w:sz="0" w:space="0" w:color="auto"/>
        <w:left w:val="none" w:sz="0" w:space="0" w:color="auto"/>
        <w:bottom w:val="none" w:sz="0" w:space="0" w:color="auto"/>
        <w:right w:val="none" w:sz="0" w:space="0" w:color="auto"/>
      </w:divBdr>
    </w:div>
    <w:div w:id="1864630905">
      <w:bodyDiv w:val="1"/>
      <w:marLeft w:val="0"/>
      <w:marRight w:val="0"/>
      <w:marTop w:val="0"/>
      <w:marBottom w:val="0"/>
      <w:divBdr>
        <w:top w:val="none" w:sz="0" w:space="0" w:color="auto"/>
        <w:left w:val="none" w:sz="0" w:space="0" w:color="auto"/>
        <w:bottom w:val="none" w:sz="0" w:space="0" w:color="auto"/>
        <w:right w:val="none" w:sz="0" w:space="0" w:color="auto"/>
      </w:divBdr>
    </w:div>
    <w:div w:id="1877545476">
      <w:bodyDiv w:val="1"/>
      <w:marLeft w:val="0"/>
      <w:marRight w:val="0"/>
      <w:marTop w:val="0"/>
      <w:marBottom w:val="0"/>
      <w:divBdr>
        <w:top w:val="none" w:sz="0" w:space="0" w:color="auto"/>
        <w:left w:val="none" w:sz="0" w:space="0" w:color="auto"/>
        <w:bottom w:val="none" w:sz="0" w:space="0" w:color="auto"/>
        <w:right w:val="none" w:sz="0" w:space="0" w:color="auto"/>
      </w:divBdr>
    </w:div>
    <w:div w:id="1878546476">
      <w:bodyDiv w:val="1"/>
      <w:marLeft w:val="0"/>
      <w:marRight w:val="0"/>
      <w:marTop w:val="0"/>
      <w:marBottom w:val="0"/>
      <w:divBdr>
        <w:top w:val="none" w:sz="0" w:space="0" w:color="auto"/>
        <w:left w:val="none" w:sz="0" w:space="0" w:color="auto"/>
        <w:bottom w:val="none" w:sz="0" w:space="0" w:color="auto"/>
        <w:right w:val="none" w:sz="0" w:space="0" w:color="auto"/>
      </w:divBdr>
    </w:div>
    <w:div w:id="2024285954">
      <w:bodyDiv w:val="1"/>
      <w:marLeft w:val="0"/>
      <w:marRight w:val="0"/>
      <w:marTop w:val="0"/>
      <w:marBottom w:val="0"/>
      <w:divBdr>
        <w:top w:val="none" w:sz="0" w:space="0" w:color="auto"/>
        <w:left w:val="none" w:sz="0" w:space="0" w:color="auto"/>
        <w:bottom w:val="none" w:sz="0" w:space="0" w:color="auto"/>
        <w:right w:val="none" w:sz="0" w:space="0" w:color="auto"/>
      </w:divBdr>
    </w:div>
    <w:div w:id="2056538238">
      <w:bodyDiv w:val="1"/>
      <w:marLeft w:val="0"/>
      <w:marRight w:val="0"/>
      <w:marTop w:val="0"/>
      <w:marBottom w:val="0"/>
      <w:divBdr>
        <w:top w:val="none" w:sz="0" w:space="0" w:color="auto"/>
        <w:left w:val="none" w:sz="0" w:space="0" w:color="auto"/>
        <w:bottom w:val="none" w:sz="0" w:space="0" w:color="auto"/>
        <w:right w:val="none" w:sz="0" w:space="0" w:color="auto"/>
      </w:divBdr>
    </w:div>
    <w:div w:id="2058628356">
      <w:bodyDiv w:val="1"/>
      <w:marLeft w:val="0"/>
      <w:marRight w:val="0"/>
      <w:marTop w:val="0"/>
      <w:marBottom w:val="0"/>
      <w:divBdr>
        <w:top w:val="none" w:sz="0" w:space="0" w:color="auto"/>
        <w:left w:val="none" w:sz="0" w:space="0" w:color="auto"/>
        <w:bottom w:val="none" w:sz="0" w:space="0" w:color="auto"/>
        <w:right w:val="none" w:sz="0" w:space="0" w:color="auto"/>
      </w:divBdr>
    </w:div>
    <w:div w:id="2083600922">
      <w:bodyDiv w:val="1"/>
      <w:marLeft w:val="0"/>
      <w:marRight w:val="0"/>
      <w:marTop w:val="0"/>
      <w:marBottom w:val="0"/>
      <w:divBdr>
        <w:top w:val="none" w:sz="0" w:space="0" w:color="auto"/>
        <w:left w:val="none" w:sz="0" w:space="0" w:color="auto"/>
        <w:bottom w:val="none" w:sz="0" w:space="0" w:color="auto"/>
        <w:right w:val="none" w:sz="0" w:space="0" w:color="auto"/>
      </w:divBdr>
    </w:div>
    <w:div w:id="21201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be/ag/ag/yr25/agenda202501.asp" TargetMode="External"/><Relationship Id="rId18" Type="http://schemas.openxmlformats.org/officeDocument/2006/relationships/hyperlink" Target="https://www.cde.ca.gov/be/ag/ag/yr21/agenda202103.asp" TargetMode="External"/><Relationship Id="rId26" Type="http://schemas.openxmlformats.org/officeDocument/2006/relationships/hyperlink" Target="https://caltan.info/partner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de.ca.gov/be/ag/ag/yr21/agenda202101.asp" TargetMode="External"/><Relationship Id="rId25" Type="http://schemas.openxmlformats.org/officeDocument/2006/relationships/hyperlink" Target="https://caltan.info/partners" TargetMode="External"/><Relationship Id="rId2" Type="http://schemas.openxmlformats.org/officeDocument/2006/relationships/customXml" Target="../customXml/item2.xml"/><Relationship Id="rId16" Type="http://schemas.openxmlformats.org/officeDocument/2006/relationships/hyperlink" Target="https://www.cde.ca.gov/be/ag/ag/yr22/agenda202201.asp" TargetMode="External"/><Relationship Id="rId20" Type="http://schemas.openxmlformats.org/officeDocument/2006/relationships/header" Target="header2.xml"/><Relationship Id="rId29" Type="http://schemas.openxmlformats.org/officeDocument/2006/relationships/hyperlink" Target="https://caltan.info/partn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ltan.info/partners"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cde.ca.gov/be/ag/ag/yr23/agenda202301.asp" TargetMode="External"/><Relationship Id="rId23" Type="http://schemas.openxmlformats.org/officeDocument/2006/relationships/hyperlink" Target="https://caltan.info/partners" TargetMode="External"/><Relationship Id="rId28" Type="http://schemas.openxmlformats.org/officeDocument/2006/relationships/hyperlink" Target="https://caltan.info/partners" TargetMode="External"/><Relationship Id="rId10" Type="http://schemas.openxmlformats.org/officeDocument/2006/relationships/endnotes" Target="endnotes.xml"/><Relationship Id="rId19" Type="http://schemas.openxmlformats.org/officeDocument/2006/relationships/hyperlink" Target="https://www.cde.ca.gov/be/ag/ag/yr21/agenda202111.as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be/ag/ag/yr24/agenda202401.asp" TargetMode="External"/><Relationship Id="rId22" Type="http://schemas.openxmlformats.org/officeDocument/2006/relationships/hyperlink" Target="https://www.cde.ca.gov/be/ag/ag/yr17/documents/mar17item01.doc" TargetMode="External"/><Relationship Id="rId27" Type="http://schemas.openxmlformats.org/officeDocument/2006/relationships/hyperlink" Target="https://caltan.info/partn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3f4712-ee56-4109-9a44-4624c3825ebc">
      <UserInfo>
        <DisplayName/>
        <AccountId xsi:nil="true"/>
        <AccountType/>
      </UserInfo>
    </SharedWithUsers>
    <lcf76f155ced4ddcb4097134ff3c332f xmlns="e575f4c1-135a-47ba-a4cd-74cbaa3a4f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5BDE9C93DC13408EB6161C2B998D63" ma:contentTypeVersion="12" ma:contentTypeDescription="Create a new document." ma:contentTypeScope="" ma:versionID="0d1cad0e815277aa4e2b591cb6c54488">
  <xsd:schema xmlns:xsd="http://www.w3.org/2001/XMLSchema" xmlns:xs="http://www.w3.org/2001/XMLSchema" xmlns:p="http://schemas.microsoft.com/office/2006/metadata/properties" xmlns:ns2="e575f4c1-135a-47ba-a4cd-74cbaa3a4f63" xmlns:ns3="da3f4712-ee56-4109-9a44-4624c3825ebc" targetNamespace="http://schemas.microsoft.com/office/2006/metadata/properties" ma:root="true" ma:fieldsID="73174705b7cdb6a89bf7ecc975529421" ns2:_="" ns3:_="">
    <xsd:import namespace="e575f4c1-135a-47ba-a4cd-74cbaa3a4f63"/>
    <xsd:import namespace="da3f4712-ee56-4109-9a44-4624c3825e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5f4c1-135a-47ba-a4cd-74cbaa3a4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f4712-ee56-4109-9a44-4624c3825e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EB6C-2362-4882-9B3D-34CF99BC5A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575f4c1-135a-47ba-a4cd-74cbaa3a4f63"/>
    <ds:schemaRef ds:uri="http://schemas.microsoft.com/office/2006/metadata/properties"/>
    <ds:schemaRef ds:uri="da3f4712-ee56-4109-9a44-4624c3825ebc"/>
    <ds:schemaRef ds:uri="http://www.w3.org/XML/1998/namespace"/>
    <ds:schemaRef ds:uri="http://purl.org/dc/dcmitype/"/>
  </ds:schemaRefs>
</ds:datastoreItem>
</file>

<file path=customXml/itemProps2.xml><?xml version="1.0" encoding="utf-8"?>
<ds:datastoreItem xmlns:ds="http://schemas.openxmlformats.org/officeDocument/2006/customXml" ds:itemID="{4312D5A4-6D82-41A3-AC33-9573B1001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5f4c1-135a-47ba-a4cd-74cbaa3a4f63"/>
    <ds:schemaRef ds:uri="da3f4712-ee56-4109-9a44-4624c3825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B0B9-20CB-45D0-88F5-8F7128EE2867}">
  <ds:schemaRefs>
    <ds:schemaRef ds:uri="http://schemas.microsoft.com/sharepoint/v3/contenttype/forms"/>
  </ds:schemaRefs>
</ds:datastoreItem>
</file>

<file path=customXml/itemProps4.xml><?xml version="1.0" encoding="utf-8"?>
<ds:datastoreItem xmlns:ds="http://schemas.openxmlformats.org/officeDocument/2006/customXml" ds:itemID="{3EB3F74E-38E8-456A-A04A-E88E661E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16432</Words>
  <Characters>93669</Characters>
  <DocSecurity>0</DocSecurity>
  <Lines>3345</Lines>
  <Paragraphs>2621</Paragraphs>
  <ScaleCrop>false</ScaleCrop>
  <HeadingPairs>
    <vt:vector size="2" baseType="variant">
      <vt:variant>
        <vt:lpstr>Title</vt:lpstr>
      </vt:variant>
      <vt:variant>
        <vt:i4>1</vt:i4>
      </vt:variant>
    </vt:vector>
  </HeadingPairs>
  <TitlesOfParts>
    <vt:vector size="1" baseType="lpstr">
      <vt:lpstr>January 2026 Agenda Item 1- Meeting Agendas (CA State Board of Education)</vt:lpstr>
    </vt:vector>
  </TitlesOfParts>
  <Company>CA State Board of Education</Company>
  <LinksUpToDate>false</LinksUpToDate>
  <CharactersWithSpaces>107480</CharactersWithSpaces>
  <SharedDoc>false</SharedDoc>
  <HLinks>
    <vt:vector size="852" baseType="variant">
      <vt:variant>
        <vt:i4>2293865</vt:i4>
      </vt:variant>
      <vt:variant>
        <vt:i4>828</vt:i4>
      </vt:variant>
      <vt:variant>
        <vt:i4>0</vt:i4>
      </vt:variant>
      <vt:variant>
        <vt:i4>5</vt:i4>
      </vt:variant>
      <vt:variant>
        <vt:lpwstr>https://www.cde.ca.gov/be/ag/ag/yr17/documents/mar17item01.doc</vt:lpwstr>
      </vt:variant>
      <vt:variant>
        <vt:lpwstr/>
      </vt:variant>
      <vt:variant>
        <vt:i4>1179703</vt:i4>
      </vt:variant>
      <vt:variant>
        <vt:i4>821</vt:i4>
      </vt:variant>
      <vt:variant>
        <vt:i4>0</vt:i4>
      </vt:variant>
      <vt:variant>
        <vt:i4>5</vt:i4>
      </vt:variant>
      <vt:variant>
        <vt:lpwstr/>
      </vt:variant>
      <vt:variant>
        <vt:lpwstr>_Toc212464148</vt:lpwstr>
      </vt:variant>
      <vt:variant>
        <vt:i4>1179703</vt:i4>
      </vt:variant>
      <vt:variant>
        <vt:i4>815</vt:i4>
      </vt:variant>
      <vt:variant>
        <vt:i4>0</vt:i4>
      </vt:variant>
      <vt:variant>
        <vt:i4>5</vt:i4>
      </vt:variant>
      <vt:variant>
        <vt:lpwstr/>
      </vt:variant>
      <vt:variant>
        <vt:lpwstr>_Toc212464147</vt:lpwstr>
      </vt:variant>
      <vt:variant>
        <vt:i4>1179703</vt:i4>
      </vt:variant>
      <vt:variant>
        <vt:i4>809</vt:i4>
      </vt:variant>
      <vt:variant>
        <vt:i4>0</vt:i4>
      </vt:variant>
      <vt:variant>
        <vt:i4>5</vt:i4>
      </vt:variant>
      <vt:variant>
        <vt:lpwstr/>
      </vt:variant>
      <vt:variant>
        <vt:lpwstr>_Toc212464146</vt:lpwstr>
      </vt:variant>
      <vt:variant>
        <vt:i4>1179703</vt:i4>
      </vt:variant>
      <vt:variant>
        <vt:i4>803</vt:i4>
      </vt:variant>
      <vt:variant>
        <vt:i4>0</vt:i4>
      </vt:variant>
      <vt:variant>
        <vt:i4>5</vt:i4>
      </vt:variant>
      <vt:variant>
        <vt:lpwstr/>
      </vt:variant>
      <vt:variant>
        <vt:lpwstr>_Toc212464145</vt:lpwstr>
      </vt:variant>
      <vt:variant>
        <vt:i4>1179703</vt:i4>
      </vt:variant>
      <vt:variant>
        <vt:i4>797</vt:i4>
      </vt:variant>
      <vt:variant>
        <vt:i4>0</vt:i4>
      </vt:variant>
      <vt:variant>
        <vt:i4>5</vt:i4>
      </vt:variant>
      <vt:variant>
        <vt:lpwstr/>
      </vt:variant>
      <vt:variant>
        <vt:lpwstr>_Toc212464144</vt:lpwstr>
      </vt:variant>
      <vt:variant>
        <vt:i4>1179703</vt:i4>
      </vt:variant>
      <vt:variant>
        <vt:i4>791</vt:i4>
      </vt:variant>
      <vt:variant>
        <vt:i4>0</vt:i4>
      </vt:variant>
      <vt:variant>
        <vt:i4>5</vt:i4>
      </vt:variant>
      <vt:variant>
        <vt:lpwstr/>
      </vt:variant>
      <vt:variant>
        <vt:lpwstr>_Toc212464143</vt:lpwstr>
      </vt:variant>
      <vt:variant>
        <vt:i4>1179703</vt:i4>
      </vt:variant>
      <vt:variant>
        <vt:i4>785</vt:i4>
      </vt:variant>
      <vt:variant>
        <vt:i4>0</vt:i4>
      </vt:variant>
      <vt:variant>
        <vt:i4>5</vt:i4>
      </vt:variant>
      <vt:variant>
        <vt:lpwstr/>
      </vt:variant>
      <vt:variant>
        <vt:lpwstr>_Toc212464142</vt:lpwstr>
      </vt:variant>
      <vt:variant>
        <vt:i4>1179703</vt:i4>
      </vt:variant>
      <vt:variant>
        <vt:i4>779</vt:i4>
      </vt:variant>
      <vt:variant>
        <vt:i4>0</vt:i4>
      </vt:variant>
      <vt:variant>
        <vt:i4>5</vt:i4>
      </vt:variant>
      <vt:variant>
        <vt:lpwstr/>
      </vt:variant>
      <vt:variant>
        <vt:lpwstr>_Toc212464141</vt:lpwstr>
      </vt:variant>
      <vt:variant>
        <vt:i4>1179703</vt:i4>
      </vt:variant>
      <vt:variant>
        <vt:i4>773</vt:i4>
      </vt:variant>
      <vt:variant>
        <vt:i4>0</vt:i4>
      </vt:variant>
      <vt:variant>
        <vt:i4>5</vt:i4>
      </vt:variant>
      <vt:variant>
        <vt:lpwstr/>
      </vt:variant>
      <vt:variant>
        <vt:lpwstr>_Toc212464140</vt:lpwstr>
      </vt:variant>
      <vt:variant>
        <vt:i4>1376311</vt:i4>
      </vt:variant>
      <vt:variant>
        <vt:i4>767</vt:i4>
      </vt:variant>
      <vt:variant>
        <vt:i4>0</vt:i4>
      </vt:variant>
      <vt:variant>
        <vt:i4>5</vt:i4>
      </vt:variant>
      <vt:variant>
        <vt:lpwstr/>
      </vt:variant>
      <vt:variant>
        <vt:lpwstr>_Toc212464139</vt:lpwstr>
      </vt:variant>
      <vt:variant>
        <vt:i4>1376311</vt:i4>
      </vt:variant>
      <vt:variant>
        <vt:i4>761</vt:i4>
      </vt:variant>
      <vt:variant>
        <vt:i4>0</vt:i4>
      </vt:variant>
      <vt:variant>
        <vt:i4>5</vt:i4>
      </vt:variant>
      <vt:variant>
        <vt:lpwstr/>
      </vt:variant>
      <vt:variant>
        <vt:lpwstr>_Toc212464138</vt:lpwstr>
      </vt:variant>
      <vt:variant>
        <vt:i4>1376311</vt:i4>
      </vt:variant>
      <vt:variant>
        <vt:i4>755</vt:i4>
      </vt:variant>
      <vt:variant>
        <vt:i4>0</vt:i4>
      </vt:variant>
      <vt:variant>
        <vt:i4>5</vt:i4>
      </vt:variant>
      <vt:variant>
        <vt:lpwstr/>
      </vt:variant>
      <vt:variant>
        <vt:lpwstr>_Toc212464137</vt:lpwstr>
      </vt:variant>
      <vt:variant>
        <vt:i4>1376311</vt:i4>
      </vt:variant>
      <vt:variant>
        <vt:i4>749</vt:i4>
      </vt:variant>
      <vt:variant>
        <vt:i4>0</vt:i4>
      </vt:variant>
      <vt:variant>
        <vt:i4>5</vt:i4>
      </vt:variant>
      <vt:variant>
        <vt:lpwstr/>
      </vt:variant>
      <vt:variant>
        <vt:lpwstr>_Toc212464136</vt:lpwstr>
      </vt:variant>
      <vt:variant>
        <vt:i4>1376311</vt:i4>
      </vt:variant>
      <vt:variant>
        <vt:i4>743</vt:i4>
      </vt:variant>
      <vt:variant>
        <vt:i4>0</vt:i4>
      </vt:variant>
      <vt:variant>
        <vt:i4>5</vt:i4>
      </vt:variant>
      <vt:variant>
        <vt:lpwstr/>
      </vt:variant>
      <vt:variant>
        <vt:lpwstr>_Toc212464135</vt:lpwstr>
      </vt:variant>
      <vt:variant>
        <vt:i4>1376311</vt:i4>
      </vt:variant>
      <vt:variant>
        <vt:i4>737</vt:i4>
      </vt:variant>
      <vt:variant>
        <vt:i4>0</vt:i4>
      </vt:variant>
      <vt:variant>
        <vt:i4>5</vt:i4>
      </vt:variant>
      <vt:variant>
        <vt:lpwstr/>
      </vt:variant>
      <vt:variant>
        <vt:lpwstr>_Toc212464134</vt:lpwstr>
      </vt:variant>
      <vt:variant>
        <vt:i4>1376311</vt:i4>
      </vt:variant>
      <vt:variant>
        <vt:i4>731</vt:i4>
      </vt:variant>
      <vt:variant>
        <vt:i4>0</vt:i4>
      </vt:variant>
      <vt:variant>
        <vt:i4>5</vt:i4>
      </vt:variant>
      <vt:variant>
        <vt:lpwstr/>
      </vt:variant>
      <vt:variant>
        <vt:lpwstr>_Toc212464133</vt:lpwstr>
      </vt:variant>
      <vt:variant>
        <vt:i4>1376311</vt:i4>
      </vt:variant>
      <vt:variant>
        <vt:i4>725</vt:i4>
      </vt:variant>
      <vt:variant>
        <vt:i4>0</vt:i4>
      </vt:variant>
      <vt:variant>
        <vt:i4>5</vt:i4>
      </vt:variant>
      <vt:variant>
        <vt:lpwstr/>
      </vt:variant>
      <vt:variant>
        <vt:lpwstr>_Toc212464132</vt:lpwstr>
      </vt:variant>
      <vt:variant>
        <vt:i4>1376311</vt:i4>
      </vt:variant>
      <vt:variant>
        <vt:i4>719</vt:i4>
      </vt:variant>
      <vt:variant>
        <vt:i4>0</vt:i4>
      </vt:variant>
      <vt:variant>
        <vt:i4>5</vt:i4>
      </vt:variant>
      <vt:variant>
        <vt:lpwstr/>
      </vt:variant>
      <vt:variant>
        <vt:lpwstr>_Toc212464131</vt:lpwstr>
      </vt:variant>
      <vt:variant>
        <vt:i4>1376311</vt:i4>
      </vt:variant>
      <vt:variant>
        <vt:i4>713</vt:i4>
      </vt:variant>
      <vt:variant>
        <vt:i4>0</vt:i4>
      </vt:variant>
      <vt:variant>
        <vt:i4>5</vt:i4>
      </vt:variant>
      <vt:variant>
        <vt:lpwstr/>
      </vt:variant>
      <vt:variant>
        <vt:lpwstr>_Toc212464130</vt:lpwstr>
      </vt:variant>
      <vt:variant>
        <vt:i4>1310775</vt:i4>
      </vt:variant>
      <vt:variant>
        <vt:i4>707</vt:i4>
      </vt:variant>
      <vt:variant>
        <vt:i4>0</vt:i4>
      </vt:variant>
      <vt:variant>
        <vt:i4>5</vt:i4>
      </vt:variant>
      <vt:variant>
        <vt:lpwstr/>
      </vt:variant>
      <vt:variant>
        <vt:lpwstr>_Toc212464129</vt:lpwstr>
      </vt:variant>
      <vt:variant>
        <vt:i4>1310775</vt:i4>
      </vt:variant>
      <vt:variant>
        <vt:i4>701</vt:i4>
      </vt:variant>
      <vt:variant>
        <vt:i4>0</vt:i4>
      </vt:variant>
      <vt:variant>
        <vt:i4>5</vt:i4>
      </vt:variant>
      <vt:variant>
        <vt:lpwstr/>
      </vt:variant>
      <vt:variant>
        <vt:lpwstr>_Toc212464128</vt:lpwstr>
      </vt:variant>
      <vt:variant>
        <vt:i4>1310775</vt:i4>
      </vt:variant>
      <vt:variant>
        <vt:i4>695</vt:i4>
      </vt:variant>
      <vt:variant>
        <vt:i4>0</vt:i4>
      </vt:variant>
      <vt:variant>
        <vt:i4>5</vt:i4>
      </vt:variant>
      <vt:variant>
        <vt:lpwstr/>
      </vt:variant>
      <vt:variant>
        <vt:lpwstr>_Toc212464127</vt:lpwstr>
      </vt:variant>
      <vt:variant>
        <vt:i4>1310775</vt:i4>
      </vt:variant>
      <vt:variant>
        <vt:i4>689</vt:i4>
      </vt:variant>
      <vt:variant>
        <vt:i4>0</vt:i4>
      </vt:variant>
      <vt:variant>
        <vt:i4>5</vt:i4>
      </vt:variant>
      <vt:variant>
        <vt:lpwstr/>
      </vt:variant>
      <vt:variant>
        <vt:lpwstr>_Toc212464126</vt:lpwstr>
      </vt:variant>
      <vt:variant>
        <vt:i4>1310775</vt:i4>
      </vt:variant>
      <vt:variant>
        <vt:i4>683</vt:i4>
      </vt:variant>
      <vt:variant>
        <vt:i4>0</vt:i4>
      </vt:variant>
      <vt:variant>
        <vt:i4>5</vt:i4>
      </vt:variant>
      <vt:variant>
        <vt:lpwstr/>
      </vt:variant>
      <vt:variant>
        <vt:lpwstr>_Toc212464125</vt:lpwstr>
      </vt:variant>
      <vt:variant>
        <vt:i4>1310775</vt:i4>
      </vt:variant>
      <vt:variant>
        <vt:i4>677</vt:i4>
      </vt:variant>
      <vt:variant>
        <vt:i4>0</vt:i4>
      </vt:variant>
      <vt:variant>
        <vt:i4>5</vt:i4>
      </vt:variant>
      <vt:variant>
        <vt:lpwstr/>
      </vt:variant>
      <vt:variant>
        <vt:lpwstr>_Toc212464124</vt:lpwstr>
      </vt:variant>
      <vt:variant>
        <vt:i4>1310775</vt:i4>
      </vt:variant>
      <vt:variant>
        <vt:i4>671</vt:i4>
      </vt:variant>
      <vt:variant>
        <vt:i4>0</vt:i4>
      </vt:variant>
      <vt:variant>
        <vt:i4>5</vt:i4>
      </vt:variant>
      <vt:variant>
        <vt:lpwstr/>
      </vt:variant>
      <vt:variant>
        <vt:lpwstr>_Toc212464123</vt:lpwstr>
      </vt:variant>
      <vt:variant>
        <vt:i4>1310775</vt:i4>
      </vt:variant>
      <vt:variant>
        <vt:i4>665</vt:i4>
      </vt:variant>
      <vt:variant>
        <vt:i4>0</vt:i4>
      </vt:variant>
      <vt:variant>
        <vt:i4>5</vt:i4>
      </vt:variant>
      <vt:variant>
        <vt:lpwstr/>
      </vt:variant>
      <vt:variant>
        <vt:lpwstr>_Toc212464122</vt:lpwstr>
      </vt:variant>
      <vt:variant>
        <vt:i4>1310775</vt:i4>
      </vt:variant>
      <vt:variant>
        <vt:i4>659</vt:i4>
      </vt:variant>
      <vt:variant>
        <vt:i4>0</vt:i4>
      </vt:variant>
      <vt:variant>
        <vt:i4>5</vt:i4>
      </vt:variant>
      <vt:variant>
        <vt:lpwstr/>
      </vt:variant>
      <vt:variant>
        <vt:lpwstr>_Toc212464121</vt:lpwstr>
      </vt:variant>
      <vt:variant>
        <vt:i4>1310775</vt:i4>
      </vt:variant>
      <vt:variant>
        <vt:i4>653</vt:i4>
      </vt:variant>
      <vt:variant>
        <vt:i4>0</vt:i4>
      </vt:variant>
      <vt:variant>
        <vt:i4>5</vt:i4>
      </vt:variant>
      <vt:variant>
        <vt:lpwstr/>
      </vt:variant>
      <vt:variant>
        <vt:lpwstr>_Toc212464120</vt:lpwstr>
      </vt:variant>
      <vt:variant>
        <vt:i4>1507383</vt:i4>
      </vt:variant>
      <vt:variant>
        <vt:i4>647</vt:i4>
      </vt:variant>
      <vt:variant>
        <vt:i4>0</vt:i4>
      </vt:variant>
      <vt:variant>
        <vt:i4>5</vt:i4>
      </vt:variant>
      <vt:variant>
        <vt:lpwstr/>
      </vt:variant>
      <vt:variant>
        <vt:lpwstr>_Toc212464119</vt:lpwstr>
      </vt:variant>
      <vt:variant>
        <vt:i4>1507383</vt:i4>
      </vt:variant>
      <vt:variant>
        <vt:i4>641</vt:i4>
      </vt:variant>
      <vt:variant>
        <vt:i4>0</vt:i4>
      </vt:variant>
      <vt:variant>
        <vt:i4>5</vt:i4>
      </vt:variant>
      <vt:variant>
        <vt:lpwstr/>
      </vt:variant>
      <vt:variant>
        <vt:lpwstr>_Toc212464118</vt:lpwstr>
      </vt:variant>
      <vt:variant>
        <vt:i4>1507383</vt:i4>
      </vt:variant>
      <vt:variant>
        <vt:i4>635</vt:i4>
      </vt:variant>
      <vt:variant>
        <vt:i4>0</vt:i4>
      </vt:variant>
      <vt:variant>
        <vt:i4>5</vt:i4>
      </vt:variant>
      <vt:variant>
        <vt:lpwstr/>
      </vt:variant>
      <vt:variant>
        <vt:lpwstr>_Toc212464117</vt:lpwstr>
      </vt:variant>
      <vt:variant>
        <vt:i4>1507383</vt:i4>
      </vt:variant>
      <vt:variant>
        <vt:i4>629</vt:i4>
      </vt:variant>
      <vt:variant>
        <vt:i4>0</vt:i4>
      </vt:variant>
      <vt:variant>
        <vt:i4>5</vt:i4>
      </vt:variant>
      <vt:variant>
        <vt:lpwstr/>
      </vt:variant>
      <vt:variant>
        <vt:lpwstr>_Toc212464116</vt:lpwstr>
      </vt:variant>
      <vt:variant>
        <vt:i4>1507383</vt:i4>
      </vt:variant>
      <vt:variant>
        <vt:i4>623</vt:i4>
      </vt:variant>
      <vt:variant>
        <vt:i4>0</vt:i4>
      </vt:variant>
      <vt:variant>
        <vt:i4>5</vt:i4>
      </vt:variant>
      <vt:variant>
        <vt:lpwstr/>
      </vt:variant>
      <vt:variant>
        <vt:lpwstr>_Toc212464115</vt:lpwstr>
      </vt:variant>
      <vt:variant>
        <vt:i4>1507383</vt:i4>
      </vt:variant>
      <vt:variant>
        <vt:i4>617</vt:i4>
      </vt:variant>
      <vt:variant>
        <vt:i4>0</vt:i4>
      </vt:variant>
      <vt:variant>
        <vt:i4>5</vt:i4>
      </vt:variant>
      <vt:variant>
        <vt:lpwstr/>
      </vt:variant>
      <vt:variant>
        <vt:lpwstr>_Toc212464114</vt:lpwstr>
      </vt:variant>
      <vt:variant>
        <vt:i4>1507383</vt:i4>
      </vt:variant>
      <vt:variant>
        <vt:i4>611</vt:i4>
      </vt:variant>
      <vt:variant>
        <vt:i4>0</vt:i4>
      </vt:variant>
      <vt:variant>
        <vt:i4>5</vt:i4>
      </vt:variant>
      <vt:variant>
        <vt:lpwstr/>
      </vt:variant>
      <vt:variant>
        <vt:lpwstr>_Toc212464113</vt:lpwstr>
      </vt:variant>
      <vt:variant>
        <vt:i4>1507383</vt:i4>
      </vt:variant>
      <vt:variant>
        <vt:i4>605</vt:i4>
      </vt:variant>
      <vt:variant>
        <vt:i4>0</vt:i4>
      </vt:variant>
      <vt:variant>
        <vt:i4>5</vt:i4>
      </vt:variant>
      <vt:variant>
        <vt:lpwstr/>
      </vt:variant>
      <vt:variant>
        <vt:lpwstr>_Toc212464112</vt:lpwstr>
      </vt:variant>
      <vt:variant>
        <vt:i4>1507383</vt:i4>
      </vt:variant>
      <vt:variant>
        <vt:i4>599</vt:i4>
      </vt:variant>
      <vt:variant>
        <vt:i4>0</vt:i4>
      </vt:variant>
      <vt:variant>
        <vt:i4>5</vt:i4>
      </vt:variant>
      <vt:variant>
        <vt:lpwstr/>
      </vt:variant>
      <vt:variant>
        <vt:lpwstr>_Toc212464111</vt:lpwstr>
      </vt:variant>
      <vt:variant>
        <vt:i4>1507383</vt:i4>
      </vt:variant>
      <vt:variant>
        <vt:i4>593</vt:i4>
      </vt:variant>
      <vt:variant>
        <vt:i4>0</vt:i4>
      </vt:variant>
      <vt:variant>
        <vt:i4>5</vt:i4>
      </vt:variant>
      <vt:variant>
        <vt:lpwstr/>
      </vt:variant>
      <vt:variant>
        <vt:lpwstr>_Toc212464110</vt:lpwstr>
      </vt:variant>
      <vt:variant>
        <vt:i4>1441847</vt:i4>
      </vt:variant>
      <vt:variant>
        <vt:i4>587</vt:i4>
      </vt:variant>
      <vt:variant>
        <vt:i4>0</vt:i4>
      </vt:variant>
      <vt:variant>
        <vt:i4>5</vt:i4>
      </vt:variant>
      <vt:variant>
        <vt:lpwstr/>
      </vt:variant>
      <vt:variant>
        <vt:lpwstr>_Toc212464109</vt:lpwstr>
      </vt:variant>
      <vt:variant>
        <vt:i4>1441847</vt:i4>
      </vt:variant>
      <vt:variant>
        <vt:i4>581</vt:i4>
      </vt:variant>
      <vt:variant>
        <vt:i4>0</vt:i4>
      </vt:variant>
      <vt:variant>
        <vt:i4>5</vt:i4>
      </vt:variant>
      <vt:variant>
        <vt:lpwstr/>
      </vt:variant>
      <vt:variant>
        <vt:lpwstr>_Toc212464108</vt:lpwstr>
      </vt:variant>
      <vt:variant>
        <vt:i4>1441847</vt:i4>
      </vt:variant>
      <vt:variant>
        <vt:i4>575</vt:i4>
      </vt:variant>
      <vt:variant>
        <vt:i4>0</vt:i4>
      </vt:variant>
      <vt:variant>
        <vt:i4>5</vt:i4>
      </vt:variant>
      <vt:variant>
        <vt:lpwstr/>
      </vt:variant>
      <vt:variant>
        <vt:lpwstr>_Toc212464107</vt:lpwstr>
      </vt:variant>
      <vt:variant>
        <vt:i4>1441847</vt:i4>
      </vt:variant>
      <vt:variant>
        <vt:i4>569</vt:i4>
      </vt:variant>
      <vt:variant>
        <vt:i4>0</vt:i4>
      </vt:variant>
      <vt:variant>
        <vt:i4>5</vt:i4>
      </vt:variant>
      <vt:variant>
        <vt:lpwstr/>
      </vt:variant>
      <vt:variant>
        <vt:lpwstr>_Toc212464106</vt:lpwstr>
      </vt:variant>
      <vt:variant>
        <vt:i4>1441847</vt:i4>
      </vt:variant>
      <vt:variant>
        <vt:i4>563</vt:i4>
      </vt:variant>
      <vt:variant>
        <vt:i4>0</vt:i4>
      </vt:variant>
      <vt:variant>
        <vt:i4>5</vt:i4>
      </vt:variant>
      <vt:variant>
        <vt:lpwstr/>
      </vt:variant>
      <vt:variant>
        <vt:lpwstr>_Toc212464105</vt:lpwstr>
      </vt:variant>
      <vt:variant>
        <vt:i4>1441847</vt:i4>
      </vt:variant>
      <vt:variant>
        <vt:i4>557</vt:i4>
      </vt:variant>
      <vt:variant>
        <vt:i4>0</vt:i4>
      </vt:variant>
      <vt:variant>
        <vt:i4>5</vt:i4>
      </vt:variant>
      <vt:variant>
        <vt:lpwstr/>
      </vt:variant>
      <vt:variant>
        <vt:lpwstr>_Toc212464104</vt:lpwstr>
      </vt:variant>
      <vt:variant>
        <vt:i4>1441847</vt:i4>
      </vt:variant>
      <vt:variant>
        <vt:i4>551</vt:i4>
      </vt:variant>
      <vt:variant>
        <vt:i4>0</vt:i4>
      </vt:variant>
      <vt:variant>
        <vt:i4>5</vt:i4>
      </vt:variant>
      <vt:variant>
        <vt:lpwstr/>
      </vt:variant>
      <vt:variant>
        <vt:lpwstr>_Toc212464103</vt:lpwstr>
      </vt:variant>
      <vt:variant>
        <vt:i4>1441847</vt:i4>
      </vt:variant>
      <vt:variant>
        <vt:i4>545</vt:i4>
      </vt:variant>
      <vt:variant>
        <vt:i4>0</vt:i4>
      </vt:variant>
      <vt:variant>
        <vt:i4>5</vt:i4>
      </vt:variant>
      <vt:variant>
        <vt:lpwstr/>
      </vt:variant>
      <vt:variant>
        <vt:lpwstr>_Toc212464102</vt:lpwstr>
      </vt:variant>
      <vt:variant>
        <vt:i4>1441847</vt:i4>
      </vt:variant>
      <vt:variant>
        <vt:i4>539</vt:i4>
      </vt:variant>
      <vt:variant>
        <vt:i4>0</vt:i4>
      </vt:variant>
      <vt:variant>
        <vt:i4>5</vt:i4>
      </vt:variant>
      <vt:variant>
        <vt:lpwstr/>
      </vt:variant>
      <vt:variant>
        <vt:lpwstr>_Toc212464101</vt:lpwstr>
      </vt:variant>
      <vt:variant>
        <vt:i4>1441847</vt:i4>
      </vt:variant>
      <vt:variant>
        <vt:i4>533</vt:i4>
      </vt:variant>
      <vt:variant>
        <vt:i4>0</vt:i4>
      </vt:variant>
      <vt:variant>
        <vt:i4>5</vt:i4>
      </vt:variant>
      <vt:variant>
        <vt:lpwstr/>
      </vt:variant>
      <vt:variant>
        <vt:lpwstr>_Toc212464100</vt:lpwstr>
      </vt:variant>
      <vt:variant>
        <vt:i4>2031670</vt:i4>
      </vt:variant>
      <vt:variant>
        <vt:i4>527</vt:i4>
      </vt:variant>
      <vt:variant>
        <vt:i4>0</vt:i4>
      </vt:variant>
      <vt:variant>
        <vt:i4>5</vt:i4>
      </vt:variant>
      <vt:variant>
        <vt:lpwstr/>
      </vt:variant>
      <vt:variant>
        <vt:lpwstr>_Toc212464099</vt:lpwstr>
      </vt:variant>
      <vt:variant>
        <vt:i4>2031670</vt:i4>
      </vt:variant>
      <vt:variant>
        <vt:i4>521</vt:i4>
      </vt:variant>
      <vt:variant>
        <vt:i4>0</vt:i4>
      </vt:variant>
      <vt:variant>
        <vt:i4>5</vt:i4>
      </vt:variant>
      <vt:variant>
        <vt:lpwstr/>
      </vt:variant>
      <vt:variant>
        <vt:lpwstr>_Toc212464098</vt:lpwstr>
      </vt:variant>
      <vt:variant>
        <vt:i4>2031670</vt:i4>
      </vt:variant>
      <vt:variant>
        <vt:i4>515</vt:i4>
      </vt:variant>
      <vt:variant>
        <vt:i4>0</vt:i4>
      </vt:variant>
      <vt:variant>
        <vt:i4>5</vt:i4>
      </vt:variant>
      <vt:variant>
        <vt:lpwstr/>
      </vt:variant>
      <vt:variant>
        <vt:lpwstr>_Toc212464097</vt:lpwstr>
      </vt:variant>
      <vt:variant>
        <vt:i4>2031670</vt:i4>
      </vt:variant>
      <vt:variant>
        <vt:i4>509</vt:i4>
      </vt:variant>
      <vt:variant>
        <vt:i4>0</vt:i4>
      </vt:variant>
      <vt:variant>
        <vt:i4>5</vt:i4>
      </vt:variant>
      <vt:variant>
        <vt:lpwstr/>
      </vt:variant>
      <vt:variant>
        <vt:lpwstr>_Toc212464096</vt:lpwstr>
      </vt:variant>
      <vt:variant>
        <vt:i4>2031670</vt:i4>
      </vt:variant>
      <vt:variant>
        <vt:i4>503</vt:i4>
      </vt:variant>
      <vt:variant>
        <vt:i4>0</vt:i4>
      </vt:variant>
      <vt:variant>
        <vt:i4>5</vt:i4>
      </vt:variant>
      <vt:variant>
        <vt:lpwstr/>
      </vt:variant>
      <vt:variant>
        <vt:lpwstr>_Toc212464095</vt:lpwstr>
      </vt:variant>
      <vt:variant>
        <vt:i4>2031670</vt:i4>
      </vt:variant>
      <vt:variant>
        <vt:i4>497</vt:i4>
      </vt:variant>
      <vt:variant>
        <vt:i4>0</vt:i4>
      </vt:variant>
      <vt:variant>
        <vt:i4>5</vt:i4>
      </vt:variant>
      <vt:variant>
        <vt:lpwstr/>
      </vt:variant>
      <vt:variant>
        <vt:lpwstr>_Toc212464094</vt:lpwstr>
      </vt:variant>
      <vt:variant>
        <vt:i4>2031670</vt:i4>
      </vt:variant>
      <vt:variant>
        <vt:i4>491</vt:i4>
      </vt:variant>
      <vt:variant>
        <vt:i4>0</vt:i4>
      </vt:variant>
      <vt:variant>
        <vt:i4>5</vt:i4>
      </vt:variant>
      <vt:variant>
        <vt:lpwstr/>
      </vt:variant>
      <vt:variant>
        <vt:lpwstr>_Toc212464093</vt:lpwstr>
      </vt:variant>
      <vt:variant>
        <vt:i4>2031670</vt:i4>
      </vt:variant>
      <vt:variant>
        <vt:i4>485</vt:i4>
      </vt:variant>
      <vt:variant>
        <vt:i4>0</vt:i4>
      </vt:variant>
      <vt:variant>
        <vt:i4>5</vt:i4>
      </vt:variant>
      <vt:variant>
        <vt:lpwstr/>
      </vt:variant>
      <vt:variant>
        <vt:lpwstr>_Toc212464092</vt:lpwstr>
      </vt:variant>
      <vt:variant>
        <vt:i4>2031670</vt:i4>
      </vt:variant>
      <vt:variant>
        <vt:i4>479</vt:i4>
      </vt:variant>
      <vt:variant>
        <vt:i4>0</vt:i4>
      </vt:variant>
      <vt:variant>
        <vt:i4>5</vt:i4>
      </vt:variant>
      <vt:variant>
        <vt:lpwstr/>
      </vt:variant>
      <vt:variant>
        <vt:lpwstr>_Toc212464091</vt:lpwstr>
      </vt:variant>
      <vt:variant>
        <vt:i4>2031670</vt:i4>
      </vt:variant>
      <vt:variant>
        <vt:i4>473</vt:i4>
      </vt:variant>
      <vt:variant>
        <vt:i4>0</vt:i4>
      </vt:variant>
      <vt:variant>
        <vt:i4>5</vt:i4>
      </vt:variant>
      <vt:variant>
        <vt:lpwstr/>
      </vt:variant>
      <vt:variant>
        <vt:lpwstr>_Toc212464090</vt:lpwstr>
      </vt:variant>
      <vt:variant>
        <vt:i4>1966134</vt:i4>
      </vt:variant>
      <vt:variant>
        <vt:i4>467</vt:i4>
      </vt:variant>
      <vt:variant>
        <vt:i4>0</vt:i4>
      </vt:variant>
      <vt:variant>
        <vt:i4>5</vt:i4>
      </vt:variant>
      <vt:variant>
        <vt:lpwstr/>
      </vt:variant>
      <vt:variant>
        <vt:lpwstr>_Toc212464089</vt:lpwstr>
      </vt:variant>
      <vt:variant>
        <vt:i4>1966134</vt:i4>
      </vt:variant>
      <vt:variant>
        <vt:i4>461</vt:i4>
      </vt:variant>
      <vt:variant>
        <vt:i4>0</vt:i4>
      </vt:variant>
      <vt:variant>
        <vt:i4>5</vt:i4>
      </vt:variant>
      <vt:variant>
        <vt:lpwstr/>
      </vt:variant>
      <vt:variant>
        <vt:lpwstr>_Toc212464088</vt:lpwstr>
      </vt:variant>
      <vt:variant>
        <vt:i4>1966134</vt:i4>
      </vt:variant>
      <vt:variant>
        <vt:i4>455</vt:i4>
      </vt:variant>
      <vt:variant>
        <vt:i4>0</vt:i4>
      </vt:variant>
      <vt:variant>
        <vt:i4>5</vt:i4>
      </vt:variant>
      <vt:variant>
        <vt:lpwstr/>
      </vt:variant>
      <vt:variant>
        <vt:lpwstr>_Toc212464087</vt:lpwstr>
      </vt:variant>
      <vt:variant>
        <vt:i4>1966134</vt:i4>
      </vt:variant>
      <vt:variant>
        <vt:i4>449</vt:i4>
      </vt:variant>
      <vt:variant>
        <vt:i4>0</vt:i4>
      </vt:variant>
      <vt:variant>
        <vt:i4>5</vt:i4>
      </vt:variant>
      <vt:variant>
        <vt:lpwstr/>
      </vt:variant>
      <vt:variant>
        <vt:lpwstr>_Toc212464086</vt:lpwstr>
      </vt:variant>
      <vt:variant>
        <vt:i4>1966134</vt:i4>
      </vt:variant>
      <vt:variant>
        <vt:i4>443</vt:i4>
      </vt:variant>
      <vt:variant>
        <vt:i4>0</vt:i4>
      </vt:variant>
      <vt:variant>
        <vt:i4>5</vt:i4>
      </vt:variant>
      <vt:variant>
        <vt:lpwstr/>
      </vt:variant>
      <vt:variant>
        <vt:lpwstr>_Toc212464085</vt:lpwstr>
      </vt:variant>
      <vt:variant>
        <vt:i4>1966134</vt:i4>
      </vt:variant>
      <vt:variant>
        <vt:i4>437</vt:i4>
      </vt:variant>
      <vt:variant>
        <vt:i4>0</vt:i4>
      </vt:variant>
      <vt:variant>
        <vt:i4>5</vt:i4>
      </vt:variant>
      <vt:variant>
        <vt:lpwstr/>
      </vt:variant>
      <vt:variant>
        <vt:lpwstr>_Toc212464084</vt:lpwstr>
      </vt:variant>
      <vt:variant>
        <vt:i4>1966134</vt:i4>
      </vt:variant>
      <vt:variant>
        <vt:i4>431</vt:i4>
      </vt:variant>
      <vt:variant>
        <vt:i4>0</vt:i4>
      </vt:variant>
      <vt:variant>
        <vt:i4>5</vt:i4>
      </vt:variant>
      <vt:variant>
        <vt:lpwstr/>
      </vt:variant>
      <vt:variant>
        <vt:lpwstr>_Toc212464083</vt:lpwstr>
      </vt:variant>
      <vt:variant>
        <vt:i4>1966134</vt:i4>
      </vt:variant>
      <vt:variant>
        <vt:i4>425</vt:i4>
      </vt:variant>
      <vt:variant>
        <vt:i4>0</vt:i4>
      </vt:variant>
      <vt:variant>
        <vt:i4>5</vt:i4>
      </vt:variant>
      <vt:variant>
        <vt:lpwstr/>
      </vt:variant>
      <vt:variant>
        <vt:lpwstr>_Toc212464082</vt:lpwstr>
      </vt:variant>
      <vt:variant>
        <vt:i4>1966134</vt:i4>
      </vt:variant>
      <vt:variant>
        <vt:i4>419</vt:i4>
      </vt:variant>
      <vt:variant>
        <vt:i4>0</vt:i4>
      </vt:variant>
      <vt:variant>
        <vt:i4>5</vt:i4>
      </vt:variant>
      <vt:variant>
        <vt:lpwstr/>
      </vt:variant>
      <vt:variant>
        <vt:lpwstr>_Toc212464081</vt:lpwstr>
      </vt:variant>
      <vt:variant>
        <vt:i4>1966134</vt:i4>
      </vt:variant>
      <vt:variant>
        <vt:i4>413</vt:i4>
      </vt:variant>
      <vt:variant>
        <vt:i4>0</vt:i4>
      </vt:variant>
      <vt:variant>
        <vt:i4>5</vt:i4>
      </vt:variant>
      <vt:variant>
        <vt:lpwstr/>
      </vt:variant>
      <vt:variant>
        <vt:lpwstr>_Toc212464080</vt:lpwstr>
      </vt:variant>
      <vt:variant>
        <vt:i4>1114166</vt:i4>
      </vt:variant>
      <vt:variant>
        <vt:i4>407</vt:i4>
      </vt:variant>
      <vt:variant>
        <vt:i4>0</vt:i4>
      </vt:variant>
      <vt:variant>
        <vt:i4>5</vt:i4>
      </vt:variant>
      <vt:variant>
        <vt:lpwstr/>
      </vt:variant>
      <vt:variant>
        <vt:lpwstr>_Toc212464079</vt:lpwstr>
      </vt:variant>
      <vt:variant>
        <vt:i4>1114166</vt:i4>
      </vt:variant>
      <vt:variant>
        <vt:i4>401</vt:i4>
      </vt:variant>
      <vt:variant>
        <vt:i4>0</vt:i4>
      </vt:variant>
      <vt:variant>
        <vt:i4>5</vt:i4>
      </vt:variant>
      <vt:variant>
        <vt:lpwstr/>
      </vt:variant>
      <vt:variant>
        <vt:lpwstr>_Toc212464078</vt:lpwstr>
      </vt:variant>
      <vt:variant>
        <vt:i4>1114166</vt:i4>
      </vt:variant>
      <vt:variant>
        <vt:i4>395</vt:i4>
      </vt:variant>
      <vt:variant>
        <vt:i4>0</vt:i4>
      </vt:variant>
      <vt:variant>
        <vt:i4>5</vt:i4>
      </vt:variant>
      <vt:variant>
        <vt:lpwstr/>
      </vt:variant>
      <vt:variant>
        <vt:lpwstr>_Toc212464077</vt:lpwstr>
      </vt:variant>
      <vt:variant>
        <vt:i4>1114166</vt:i4>
      </vt:variant>
      <vt:variant>
        <vt:i4>389</vt:i4>
      </vt:variant>
      <vt:variant>
        <vt:i4>0</vt:i4>
      </vt:variant>
      <vt:variant>
        <vt:i4>5</vt:i4>
      </vt:variant>
      <vt:variant>
        <vt:lpwstr/>
      </vt:variant>
      <vt:variant>
        <vt:lpwstr>_Toc212464076</vt:lpwstr>
      </vt:variant>
      <vt:variant>
        <vt:i4>1114166</vt:i4>
      </vt:variant>
      <vt:variant>
        <vt:i4>383</vt:i4>
      </vt:variant>
      <vt:variant>
        <vt:i4>0</vt:i4>
      </vt:variant>
      <vt:variant>
        <vt:i4>5</vt:i4>
      </vt:variant>
      <vt:variant>
        <vt:lpwstr/>
      </vt:variant>
      <vt:variant>
        <vt:lpwstr>_Toc212464075</vt:lpwstr>
      </vt:variant>
      <vt:variant>
        <vt:i4>1114166</vt:i4>
      </vt:variant>
      <vt:variant>
        <vt:i4>377</vt:i4>
      </vt:variant>
      <vt:variant>
        <vt:i4>0</vt:i4>
      </vt:variant>
      <vt:variant>
        <vt:i4>5</vt:i4>
      </vt:variant>
      <vt:variant>
        <vt:lpwstr/>
      </vt:variant>
      <vt:variant>
        <vt:lpwstr>_Toc212464074</vt:lpwstr>
      </vt:variant>
      <vt:variant>
        <vt:i4>1114166</vt:i4>
      </vt:variant>
      <vt:variant>
        <vt:i4>371</vt:i4>
      </vt:variant>
      <vt:variant>
        <vt:i4>0</vt:i4>
      </vt:variant>
      <vt:variant>
        <vt:i4>5</vt:i4>
      </vt:variant>
      <vt:variant>
        <vt:lpwstr/>
      </vt:variant>
      <vt:variant>
        <vt:lpwstr>_Toc212464073</vt:lpwstr>
      </vt:variant>
      <vt:variant>
        <vt:i4>1114166</vt:i4>
      </vt:variant>
      <vt:variant>
        <vt:i4>365</vt:i4>
      </vt:variant>
      <vt:variant>
        <vt:i4>0</vt:i4>
      </vt:variant>
      <vt:variant>
        <vt:i4>5</vt:i4>
      </vt:variant>
      <vt:variant>
        <vt:lpwstr/>
      </vt:variant>
      <vt:variant>
        <vt:lpwstr>_Toc212464072</vt:lpwstr>
      </vt:variant>
      <vt:variant>
        <vt:i4>1114166</vt:i4>
      </vt:variant>
      <vt:variant>
        <vt:i4>359</vt:i4>
      </vt:variant>
      <vt:variant>
        <vt:i4>0</vt:i4>
      </vt:variant>
      <vt:variant>
        <vt:i4>5</vt:i4>
      </vt:variant>
      <vt:variant>
        <vt:lpwstr/>
      </vt:variant>
      <vt:variant>
        <vt:lpwstr>_Toc212464071</vt:lpwstr>
      </vt:variant>
      <vt:variant>
        <vt:i4>1114166</vt:i4>
      </vt:variant>
      <vt:variant>
        <vt:i4>353</vt:i4>
      </vt:variant>
      <vt:variant>
        <vt:i4>0</vt:i4>
      </vt:variant>
      <vt:variant>
        <vt:i4>5</vt:i4>
      </vt:variant>
      <vt:variant>
        <vt:lpwstr/>
      </vt:variant>
      <vt:variant>
        <vt:lpwstr>_Toc212464070</vt:lpwstr>
      </vt:variant>
      <vt:variant>
        <vt:i4>1048630</vt:i4>
      </vt:variant>
      <vt:variant>
        <vt:i4>347</vt:i4>
      </vt:variant>
      <vt:variant>
        <vt:i4>0</vt:i4>
      </vt:variant>
      <vt:variant>
        <vt:i4>5</vt:i4>
      </vt:variant>
      <vt:variant>
        <vt:lpwstr/>
      </vt:variant>
      <vt:variant>
        <vt:lpwstr>_Toc212464069</vt:lpwstr>
      </vt:variant>
      <vt:variant>
        <vt:i4>1048630</vt:i4>
      </vt:variant>
      <vt:variant>
        <vt:i4>341</vt:i4>
      </vt:variant>
      <vt:variant>
        <vt:i4>0</vt:i4>
      </vt:variant>
      <vt:variant>
        <vt:i4>5</vt:i4>
      </vt:variant>
      <vt:variant>
        <vt:lpwstr/>
      </vt:variant>
      <vt:variant>
        <vt:lpwstr>_Toc212464068</vt:lpwstr>
      </vt:variant>
      <vt:variant>
        <vt:i4>1048630</vt:i4>
      </vt:variant>
      <vt:variant>
        <vt:i4>335</vt:i4>
      </vt:variant>
      <vt:variant>
        <vt:i4>0</vt:i4>
      </vt:variant>
      <vt:variant>
        <vt:i4>5</vt:i4>
      </vt:variant>
      <vt:variant>
        <vt:lpwstr/>
      </vt:variant>
      <vt:variant>
        <vt:lpwstr>_Toc212464067</vt:lpwstr>
      </vt:variant>
      <vt:variant>
        <vt:i4>1048630</vt:i4>
      </vt:variant>
      <vt:variant>
        <vt:i4>329</vt:i4>
      </vt:variant>
      <vt:variant>
        <vt:i4>0</vt:i4>
      </vt:variant>
      <vt:variant>
        <vt:i4>5</vt:i4>
      </vt:variant>
      <vt:variant>
        <vt:lpwstr/>
      </vt:variant>
      <vt:variant>
        <vt:lpwstr>_Toc212464066</vt:lpwstr>
      </vt:variant>
      <vt:variant>
        <vt:i4>1048630</vt:i4>
      </vt:variant>
      <vt:variant>
        <vt:i4>323</vt:i4>
      </vt:variant>
      <vt:variant>
        <vt:i4>0</vt:i4>
      </vt:variant>
      <vt:variant>
        <vt:i4>5</vt:i4>
      </vt:variant>
      <vt:variant>
        <vt:lpwstr/>
      </vt:variant>
      <vt:variant>
        <vt:lpwstr>_Toc212464065</vt:lpwstr>
      </vt:variant>
      <vt:variant>
        <vt:i4>1048630</vt:i4>
      </vt:variant>
      <vt:variant>
        <vt:i4>317</vt:i4>
      </vt:variant>
      <vt:variant>
        <vt:i4>0</vt:i4>
      </vt:variant>
      <vt:variant>
        <vt:i4>5</vt:i4>
      </vt:variant>
      <vt:variant>
        <vt:lpwstr/>
      </vt:variant>
      <vt:variant>
        <vt:lpwstr>_Toc212464064</vt:lpwstr>
      </vt:variant>
      <vt:variant>
        <vt:i4>1048630</vt:i4>
      </vt:variant>
      <vt:variant>
        <vt:i4>311</vt:i4>
      </vt:variant>
      <vt:variant>
        <vt:i4>0</vt:i4>
      </vt:variant>
      <vt:variant>
        <vt:i4>5</vt:i4>
      </vt:variant>
      <vt:variant>
        <vt:lpwstr/>
      </vt:variant>
      <vt:variant>
        <vt:lpwstr>_Toc212464063</vt:lpwstr>
      </vt:variant>
      <vt:variant>
        <vt:i4>1048630</vt:i4>
      </vt:variant>
      <vt:variant>
        <vt:i4>305</vt:i4>
      </vt:variant>
      <vt:variant>
        <vt:i4>0</vt:i4>
      </vt:variant>
      <vt:variant>
        <vt:i4>5</vt:i4>
      </vt:variant>
      <vt:variant>
        <vt:lpwstr/>
      </vt:variant>
      <vt:variant>
        <vt:lpwstr>_Toc212464062</vt:lpwstr>
      </vt:variant>
      <vt:variant>
        <vt:i4>1048630</vt:i4>
      </vt:variant>
      <vt:variant>
        <vt:i4>299</vt:i4>
      </vt:variant>
      <vt:variant>
        <vt:i4>0</vt:i4>
      </vt:variant>
      <vt:variant>
        <vt:i4>5</vt:i4>
      </vt:variant>
      <vt:variant>
        <vt:lpwstr/>
      </vt:variant>
      <vt:variant>
        <vt:lpwstr>_Toc212464061</vt:lpwstr>
      </vt:variant>
      <vt:variant>
        <vt:i4>1048630</vt:i4>
      </vt:variant>
      <vt:variant>
        <vt:i4>293</vt:i4>
      </vt:variant>
      <vt:variant>
        <vt:i4>0</vt:i4>
      </vt:variant>
      <vt:variant>
        <vt:i4>5</vt:i4>
      </vt:variant>
      <vt:variant>
        <vt:lpwstr/>
      </vt:variant>
      <vt:variant>
        <vt:lpwstr>_Toc212464060</vt:lpwstr>
      </vt:variant>
      <vt:variant>
        <vt:i4>1245238</vt:i4>
      </vt:variant>
      <vt:variant>
        <vt:i4>287</vt:i4>
      </vt:variant>
      <vt:variant>
        <vt:i4>0</vt:i4>
      </vt:variant>
      <vt:variant>
        <vt:i4>5</vt:i4>
      </vt:variant>
      <vt:variant>
        <vt:lpwstr/>
      </vt:variant>
      <vt:variant>
        <vt:lpwstr>_Toc212464059</vt:lpwstr>
      </vt:variant>
      <vt:variant>
        <vt:i4>1245238</vt:i4>
      </vt:variant>
      <vt:variant>
        <vt:i4>281</vt:i4>
      </vt:variant>
      <vt:variant>
        <vt:i4>0</vt:i4>
      </vt:variant>
      <vt:variant>
        <vt:i4>5</vt:i4>
      </vt:variant>
      <vt:variant>
        <vt:lpwstr/>
      </vt:variant>
      <vt:variant>
        <vt:lpwstr>_Toc212464058</vt:lpwstr>
      </vt:variant>
      <vt:variant>
        <vt:i4>1245238</vt:i4>
      </vt:variant>
      <vt:variant>
        <vt:i4>275</vt:i4>
      </vt:variant>
      <vt:variant>
        <vt:i4>0</vt:i4>
      </vt:variant>
      <vt:variant>
        <vt:i4>5</vt:i4>
      </vt:variant>
      <vt:variant>
        <vt:lpwstr/>
      </vt:variant>
      <vt:variant>
        <vt:lpwstr>_Toc212464057</vt:lpwstr>
      </vt:variant>
      <vt:variant>
        <vt:i4>1245238</vt:i4>
      </vt:variant>
      <vt:variant>
        <vt:i4>269</vt:i4>
      </vt:variant>
      <vt:variant>
        <vt:i4>0</vt:i4>
      </vt:variant>
      <vt:variant>
        <vt:i4>5</vt:i4>
      </vt:variant>
      <vt:variant>
        <vt:lpwstr/>
      </vt:variant>
      <vt:variant>
        <vt:lpwstr>_Toc212464056</vt:lpwstr>
      </vt:variant>
      <vt:variant>
        <vt:i4>1245238</vt:i4>
      </vt:variant>
      <vt:variant>
        <vt:i4>263</vt:i4>
      </vt:variant>
      <vt:variant>
        <vt:i4>0</vt:i4>
      </vt:variant>
      <vt:variant>
        <vt:i4>5</vt:i4>
      </vt:variant>
      <vt:variant>
        <vt:lpwstr/>
      </vt:variant>
      <vt:variant>
        <vt:lpwstr>_Toc212464055</vt:lpwstr>
      </vt:variant>
      <vt:variant>
        <vt:i4>1245238</vt:i4>
      </vt:variant>
      <vt:variant>
        <vt:i4>257</vt:i4>
      </vt:variant>
      <vt:variant>
        <vt:i4>0</vt:i4>
      </vt:variant>
      <vt:variant>
        <vt:i4>5</vt:i4>
      </vt:variant>
      <vt:variant>
        <vt:lpwstr/>
      </vt:variant>
      <vt:variant>
        <vt:lpwstr>_Toc212464054</vt:lpwstr>
      </vt:variant>
      <vt:variant>
        <vt:i4>1245238</vt:i4>
      </vt:variant>
      <vt:variant>
        <vt:i4>251</vt:i4>
      </vt:variant>
      <vt:variant>
        <vt:i4>0</vt:i4>
      </vt:variant>
      <vt:variant>
        <vt:i4>5</vt:i4>
      </vt:variant>
      <vt:variant>
        <vt:lpwstr/>
      </vt:variant>
      <vt:variant>
        <vt:lpwstr>_Toc212464053</vt:lpwstr>
      </vt:variant>
      <vt:variant>
        <vt:i4>1245238</vt:i4>
      </vt:variant>
      <vt:variant>
        <vt:i4>245</vt:i4>
      </vt:variant>
      <vt:variant>
        <vt:i4>0</vt:i4>
      </vt:variant>
      <vt:variant>
        <vt:i4>5</vt:i4>
      </vt:variant>
      <vt:variant>
        <vt:lpwstr/>
      </vt:variant>
      <vt:variant>
        <vt:lpwstr>_Toc212464052</vt:lpwstr>
      </vt:variant>
      <vt:variant>
        <vt:i4>1245238</vt:i4>
      </vt:variant>
      <vt:variant>
        <vt:i4>239</vt:i4>
      </vt:variant>
      <vt:variant>
        <vt:i4>0</vt:i4>
      </vt:variant>
      <vt:variant>
        <vt:i4>5</vt:i4>
      </vt:variant>
      <vt:variant>
        <vt:lpwstr/>
      </vt:variant>
      <vt:variant>
        <vt:lpwstr>_Toc212464051</vt:lpwstr>
      </vt:variant>
      <vt:variant>
        <vt:i4>1245238</vt:i4>
      </vt:variant>
      <vt:variant>
        <vt:i4>233</vt:i4>
      </vt:variant>
      <vt:variant>
        <vt:i4>0</vt:i4>
      </vt:variant>
      <vt:variant>
        <vt:i4>5</vt:i4>
      </vt:variant>
      <vt:variant>
        <vt:lpwstr/>
      </vt:variant>
      <vt:variant>
        <vt:lpwstr>_Toc212464050</vt:lpwstr>
      </vt:variant>
      <vt:variant>
        <vt:i4>1179702</vt:i4>
      </vt:variant>
      <vt:variant>
        <vt:i4>227</vt:i4>
      </vt:variant>
      <vt:variant>
        <vt:i4>0</vt:i4>
      </vt:variant>
      <vt:variant>
        <vt:i4>5</vt:i4>
      </vt:variant>
      <vt:variant>
        <vt:lpwstr/>
      </vt:variant>
      <vt:variant>
        <vt:lpwstr>_Toc212464049</vt:lpwstr>
      </vt:variant>
      <vt:variant>
        <vt:i4>1179702</vt:i4>
      </vt:variant>
      <vt:variant>
        <vt:i4>221</vt:i4>
      </vt:variant>
      <vt:variant>
        <vt:i4>0</vt:i4>
      </vt:variant>
      <vt:variant>
        <vt:i4>5</vt:i4>
      </vt:variant>
      <vt:variant>
        <vt:lpwstr/>
      </vt:variant>
      <vt:variant>
        <vt:lpwstr>_Toc212464048</vt:lpwstr>
      </vt:variant>
      <vt:variant>
        <vt:i4>1179702</vt:i4>
      </vt:variant>
      <vt:variant>
        <vt:i4>215</vt:i4>
      </vt:variant>
      <vt:variant>
        <vt:i4>0</vt:i4>
      </vt:variant>
      <vt:variant>
        <vt:i4>5</vt:i4>
      </vt:variant>
      <vt:variant>
        <vt:lpwstr/>
      </vt:variant>
      <vt:variant>
        <vt:lpwstr>_Toc212464047</vt:lpwstr>
      </vt:variant>
      <vt:variant>
        <vt:i4>1179702</vt:i4>
      </vt:variant>
      <vt:variant>
        <vt:i4>209</vt:i4>
      </vt:variant>
      <vt:variant>
        <vt:i4>0</vt:i4>
      </vt:variant>
      <vt:variant>
        <vt:i4>5</vt:i4>
      </vt:variant>
      <vt:variant>
        <vt:lpwstr/>
      </vt:variant>
      <vt:variant>
        <vt:lpwstr>_Toc212464046</vt:lpwstr>
      </vt:variant>
      <vt:variant>
        <vt:i4>1179702</vt:i4>
      </vt:variant>
      <vt:variant>
        <vt:i4>203</vt:i4>
      </vt:variant>
      <vt:variant>
        <vt:i4>0</vt:i4>
      </vt:variant>
      <vt:variant>
        <vt:i4>5</vt:i4>
      </vt:variant>
      <vt:variant>
        <vt:lpwstr/>
      </vt:variant>
      <vt:variant>
        <vt:lpwstr>_Toc212464045</vt:lpwstr>
      </vt:variant>
      <vt:variant>
        <vt:i4>1179702</vt:i4>
      </vt:variant>
      <vt:variant>
        <vt:i4>197</vt:i4>
      </vt:variant>
      <vt:variant>
        <vt:i4>0</vt:i4>
      </vt:variant>
      <vt:variant>
        <vt:i4>5</vt:i4>
      </vt:variant>
      <vt:variant>
        <vt:lpwstr/>
      </vt:variant>
      <vt:variant>
        <vt:lpwstr>_Toc212464044</vt:lpwstr>
      </vt:variant>
      <vt:variant>
        <vt:i4>1179702</vt:i4>
      </vt:variant>
      <vt:variant>
        <vt:i4>191</vt:i4>
      </vt:variant>
      <vt:variant>
        <vt:i4>0</vt:i4>
      </vt:variant>
      <vt:variant>
        <vt:i4>5</vt:i4>
      </vt:variant>
      <vt:variant>
        <vt:lpwstr/>
      </vt:variant>
      <vt:variant>
        <vt:lpwstr>_Toc212464043</vt:lpwstr>
      </vt:variant>
      <vt:variant>
        <vt:i4>1179702</vt:i4>
      </vt:variant>
      <vt:variant>
        <vt:i4>185</vt:i4>
      </vt:variant>
      <vt:variant>
        <vt:i4>0</vt:i4>
      </vt:variant>
      <vt:variant>
        <vt:i4>5</vt:i4>
      </vt:variant>
      <vt:variant>
        <vt:lpwstr/>
      </vt:variant>
      <vt:variant>
        <vt:lpwstr>_Toc212464042</vt:lpwstr>
      </vt:variant>
      <vt:variant>
        <vt:i4>1179702</vt:i4>
      </vt:variant>
      <vt:variant>
        <vt:i4>179</vt:i4>
      </vt:variant>
      <vt:variant>
        <vt:i4>0</vt:i4>
      </vt:variant>
      <vt:variant>
        <vt:i4>5</vt:i4>
      </vt:variant>
      <vt:variant>
        <vt:lpwstr/>
      </vt:variant>
      <vt:variant>
        <vt:lpwstr>_Toc212464041</vt:lpwstr>
      </vt:variant>
      <vt:variant>
        <vt:i4>1179702</vt:i4>
      </vt:variant>
      <vt:variant>
        <vt:i4>173</vt:i4>
      </vt:variant>
      <vt:variant>
        <vt:i4>0</vt:i4>
      </vt:variant>
      <vt:variant>
        <vt:i4>5</vt:i4>
      </vt:variant>
      <vt:variant>
        <vt:lpwstr/>
      </vt:variant>
      <vt:variant>
        <vt:lpwstr>_Toc212464040</vt:lpwstr>
      </vt:variant>
      <vt:variant>
        <vt:i4>1376310</vt:i4>
      </vt:variant>
      <vt:variant>
        <vt:i4>167</vt:i4>
      </vt:variant>
      <vt:variant>
        <vt:i4>0</vt:i4>
      </vt:variant>
      <vt:variant>
        <vt:i4>5</vt:i4>
      </vt:variant>
      <vt:variant>
        <vt:lpwstr/>
      </vt:variant>
      <vt:variant>
        <vt:lpwstr>_Toc212464039</vt:lpwstr>
      </vt:variant>
      <vt:variant>
        <vt:i4>1376310</vt:i4>
      </vt:variant>
      <vt:variant>
        <vt:i4>161</vt:i4>
      </vt:variant>
      <vt:variant>
        <vt:i4>0</vt:i4>
      </vt:variant>
      <vt:variant>
        <vt:i4>5</vt:i4>
      </vt:variant>
      <vt:variant>
        <vt:lpwstr/>
      </vt:variant>
      <vt:variant>
        <vt:lpwstr>_Toc212464038</vt:lpwstr>
      </vt:variant>
      <vt:variant>
        <vt:i4>1376310</vt:i4>
      </vt:variant>
      <vt:variant>
        <vt:i4>155</vt:i4>
      </vt:variant>
      <vt:variant>
        <vt:i4>0</vt:i4>
      </vt:variant>
      <vt:variant>
        <vt:i4>5</vt:i4>
      </vt:variant>
      <vt:variant>
        <vt:lpwstr/>
      </vt:variant>
      <vt:variant>
        <vt:lpwstr>_Toc212464037</vt:lpwstr>
      </vt:variant>
      <vt:variant>
        <vt:i4>1376310</vt:i4>
      </vt:variant>
      <vt:variant>
        <vt:i4>149</vt:i4>
      </vt:variant>
      <vt:variant>
        <vt:i4>0</vt:i4>
      </vt:variant>
      <vt:variant>
        <vt:i4>5</vt:i4>
      </vt:variant>
      <vt:variant>
        <vt:lpwstr/>
      </vt:variant>
      <vt:variant>
        <vt:lpwstr>_Toc212464036</vt:lpwstr>
      </vt:variant>
      <vt:variant>
        <vt:i4>1376310</vt:i4>
      </vt:variant>
      <vt:variant>
        <vt:i4>143</vt:i4>
      </vt:variant>
      <vt:variant>
        <vt:i4>0</vt:i4>
      </vt:variant>
      <vt:variant>
        <vt:i4>5</vt:i4>
      </vt:variant>
      <vt:variant>
        <vt:lpwstr/>
      </vt:variant>
      <vt:variant>
        <vt:lpwstr>_Toc212464035</vt:lpwstr>
      </vt:variant>
      <vt:variant>
        <vt:i4>1376310</vt:i4>
      </vt:variant>
      <vt:variant>
        <vt:i4>137</vt:i4>
      </vt:variant>
      <vt:variant>
        <vt:i4>0</vt:i4>
      </vt:variant>
      <vt:variant>
        <vt:i4>5</vt:i4>
      </vt:variant>
      <vt:variant>
        <vt:lpwstr/>
      </vt:variant>
      <vt:variant>
        <vt:lpwstr>_Toc212464034</vt:lpwstr>
      </vt:variant>
      <vt:variant>
        <vt:i4>1376310</vt:i4>
      </vt:variant>
      <vt:variant>
        <vt:i4>131</vt:i4>
      </vt:variant>
      <vt:variant>
        <vt:i4>0</vt:i4>
      </vt:variant>
      <vt:variant>
        <vt:i4>5</vt:i4>
      </vt:variant>
      <vt:variant>
        <vt:lpwstr/>
      </vt:variant>
      <vt:variant>
        <vt:lpwstr>_Toc212464033</vt:lpwstr>
      </vt:variant>
      <vt:variant>
        <vt:i4>1376310</vt:i4>
      </vt:variant>
      <vt:variant>
        <vt:i4>125</vt:i4>
      </vt:variant>
      <vt:variant>
        <vt:i4>0</vt:i4>
      </vt:variant>
      <vt:variant>
        <vt:i4>5</vt:i4>
      </vt:variant>
      <vt:variant>
        <vt:lpwstr/>
      </vt:variant>
      <vt:variant>
        <vt:lpwstr>_Toc212464032</vt:lpwstr>
      </vt:variant>
      <vt:variant>
        <vt:i4>1376310</vt:i4>
      </vt:variant>
      <vt:variant>
        <vt:i4>119</vt:i4>
      </vt:variant>
      <vt:variant>
        <vt:i4>0</vt:i4>
      </vt:variant>
      <vt:variant>
        <vt:i4>5</vt:i4>
      </vt:variant>
      <vt:variant>
        <vt:lpwstr/>
      </vt:variant>
      <vt:variant>
        <vt:lpwstr>_Toc212464031</vt:lpwstr>
      </vt:variant>
      <vt:variant>
        <vt:i4>1376310</vt:i4>
      </vt:variant>
      <vt:variant>
        <vt:i4>113</vt:i4>
      </vt:variant>
      <vt:variant>
        <vt:i4>0</vt:i4>
      </vt:variant>
      <vt:variant>
        <vt:i4>5</vt:i4>
      </vt:variant>
      <vt:variant>
        <vt:lpwstr/>
      </vt:variant>
      <vt:variant>
        <vt:lpwstr>_Toc212464030</vt:lpwstr>
      </vt:variant>
      <vt:variant>
        <vt:i4>1310774</vt:i4>
      </vt:variant>
      <vt:variant>
        <vt:i4>107</vt:i4>
      </vt:variant>
      <vt:variant>
        <vt:i4>0</vt:i4>
      </vt:variant>
      <vt:variant>
        <vt:i4>5</vt:i4>
      </vt:variant>
      <vt:variant>
        <vt:lpwstr/>
      </vt:variant>
      <vt:variant>
        <vt:lpwstr>_Toc212464029</vt:lpwstr>
      </vt:variant>
      <vt:variant>
        <vt:i4>1310774</vt:i4>
      </vt:variant>
      <vt:variant>
        <vt:i4>101</vt:i4>
      </vt:variant>
      <vt:variant>
        <vt:i4>0</vt:i4>
      </vt:variant>
      <vt:variant>
        <vt:i4>5</vt:i4>
      </vt:variant>
      <vt:variant>
        <vt:lpwstr/>
      </vt:variant>
      <vt:variant>
        <vt:lpwstr>_Toc212464028</vt:lpwstr>
      </vt:variant>
      <vt:variant>
        <vt:i4>1310774</vt:i4>
      </vt:variant>
      <vt:variant>
        <vt:i4>95</vt:i4>
      </vt:variant>
      <vt:variant>
        <vt:i4>0</vt:i4>
      </vt:variant>
      <vt:variant>
        <vt:i4>5</vt:i4>
      </vt:variant>
      <vt:variant>
        <vt:lpwstr/>
      </vt:variant>
      <vt:variant>
        <vt:lpwstr>_Toc212464027</vt:lpwstr>
      </vt:variant>
      <vt:variant>
        <vt:i4>1310774</vt:i4>
      </vt:variant>
      <vt:variant>
        <vt:i4>89</vt:i4>
      </vt:variant>
      <vt:variant>
        <vt:i4>0</vt:i4>
      </vt:variant>
      <vt:variant>
        <vt:i4>5</vt:i4>
      </vt:variant>
      <vt:variant>
        <vt:lpwstr/>
      </vt:variant>
      <vt:variant>
        <vt:lpwstr>_Toc212464026</vt:lpwstr>
      </vt:variant>
      <vt:variant>
        <vt:i4>1310774</vt:i4>
      </vt:variant>
      <vt:variant>
        <vt:i4>83</vt:i4>
      </vt:variant>
      <vt:variant>
        <vt:i4>0</vt:i4>
      </vt:variant>
      <vt:variant>
        <vt:i4>5</vt:i4>
      </vt:variant>
      <vt:variant>
        <vt:lpwstr/>
      </vt:variant>
      <vt:variant>
        <vt:lpwstr>_Toc212464025</vt:lpwstr>
      </vt:variant>
      <vt:variant>
        <vt:i4>1310774</vt:i4>
      </vt:variant>
      <vt:variant>
        <vt:i4>77</vt:i4>
      </vt:variant>
      <vt:variant>
        <vt:i4>0</vt:i4>
      </vt:variant>
      <vt:variant>
        <vt:i4>5</vt:i4>
      </vt:variant>
      <vt:variant>
        <vt:lpwstr/>
      </vt:variant>
      <vt:variant>
        <vt:lpwstr>_Toc212464024</vt:lpwstr>
      </vt:variant>
      <vt:variant>
        <vt:i4>1310774</vt:i4>
      </vt:variant>
      <vt:variant>
        <vt:i4>71</vt:i4>
      </vt:variant>
      <vt:variant>
        <vt:i4>0</vt:i4>
      </vt:variant>
      <vt:variant>
        <vt:i4>5</vt:i4>
      </vt:variant>
      <vt:variant>
        <vt:lpwstr/>
      </vt:variant>
      <vt:variant>
        <vt:lpwstr>_Toc212464023</vt:lpwstr>
      </vt:variant>
      <vt:variant>
        <vt:i4>1310774</vt:i4>
      </vt:variant>
      <vt:variant>
        <vt:i4>65</vt:i4>
      </vt:variant>
      <vt:variant>
        <vt:i4>0</vt:i4>
      </vt:variant>
      <vt:variant>
        <vt:i4>5</vt:i4>
      </vt:variant>
      <vt:variant>
        <vt:lpwstr/>
      </vt:variant>
      <vt:variant>
        <vt:lpwstr>_Toc212464022</vt:lpwstr>
      </vt:variant>
      <vt:variant>
        <vt:i4>1310774</vt:i4>
      </vt:variant>
      <vt:variant>
        <vt:i4>59</vt:i4>
      </vt:variant>
      <vt:variant>
        <vt:i4>0</vt:i4>
      </vt:variant>
      <vt:variant>
        <vt:i4>5</vt:i4>
      </vt:variant>
      <vt:variant>
        <vt:lpwstr/>
      </vt:variant>
      <vt:variant>
        <vt:lpwstr>_Toc212464021</vt:lpwstr>
      </vt:variant>
      <vt:variant>
        <vt:i4>1310774</vt:i4>
      </vt:variant>
      <vt:variant>
        <vt:i4>53</vt:i4>
      </vt:variant>
      <vt:variant>
        <vt:i4>0</vt:i4>
      </vt:variant>
      <vt:variant>
        <vt:i4>5</vt:i4>
      </vt:variant>
      <vt:variant>
        <vt:lpwstr/>
      </vt:variant>
      <vt:variant>
        <vt:lpwstr>_Toc212464020</vt:lpwstr>
      </vt:variant>
      <vt:variant>
        <vt:i4>1507382</vt:i4>
      </vt:variant>
      <vt:variant>
        <vt:i4>47</vt:i4>
      </vt:variant>
      <vt:variant>
        <vt:i4>0</vt:i4>
      </vt:variant>
      <vt:variant>
        <vt:i4>5</vt:i4>
      </vt:variant>
      <vt:variant>
        <vt:lpwstr/>
      </vt:variant>
      <vt:variant>
        <vt:lpwstr>_Toc212464019</vt:lpwstr>
      </vt:variant>
      <vt:variant>
        <vt:i4>1507382</vt:i4>
      </vt:variant>
      <vt:variant>
        <vt:i4>41</vt:i4>
      </vt:variant>
      <vt:variant>
        <vt:i4>0</vt:i4>
      </vt:variant>
      <vt:variant>
        <vt:i4>5</vt:i4>
      </vt:variant>
      <vt:variant>
        <vt:lpwstr/>
      </vt:variant>
      <vt:variant>
        <vt:lpwstr>_Toc212464018</vt:lpwstr>
      </vt:variant>
      <vt:variant>
        <vt:i4>1507382</vt:i4>
      </vt:variant>
      <vt:variant>
        <vt:i4>35</vt:i4>
      </vt:variant>
      <vt:variant>
        <vt:i4>0</vt:i4>
      </vt:variant>
      <vt:variant>
        <vt:i4>5</vt:i4>
      </vt:variant>
      <vt:variant>
        <vt:lpwstr/>
      </vt:variant>
      <vt:variant>
        <vt:lpwstr>_Toc212464017</vt:lpwstr>
      </vt:variant>
      <vt:variant>
        <vt:i4>1507382</vt:i4>
      </vt:variant>
      <vt:variant>
        <vt:i4>29</vt:i4>
      </vt:variant>
      <vt:variant>
        <vt:i4>0</vt:i4>
      </vt:variant>
      <vt:variant>
        <vt:i4>5</vt:i4>
      </vt:variant>
      <vt:variant>
        <vt:lpwstr/>
      </vt:variant>
      <vt:variant>
        <vt:lpwstr>_Toc212464016</vt:lpwstr>
      </vt:variant>
      <vt:variant>
        <vt:i4>1507382</vt:i4>
      </vt:variant>
      <vt:variant>
        <vt:i4>23</vt:i4>
      </vt:variant>
      <vt:variant>
        <vt:i4>0</vt:i4>
      </vt:variant>
      <vt:variant>
        <vt:i4>5</vt:i4>
      </vt:variant>
      <vt:variant>
        <vt:lpwstr/>
      </vt:variant>
      <vt:variant>
        <vt:lpwstr>_Toc212464015</vt:lpwstr>
      </vt:variant>
      <vt:variant>
        <vt:i4>5832794</vt:i4>
      </vt:variant>
      <vt:variant>
        <vt:i4>18</vt:i4>
      </vt:variant>
      <vt:variant>
        <vt:i4>0</vt:i4>
      </vt:variant>
      <vt:variant>
        <vt:i4>5</vt:i4>
      </vt:variant>
      <vt:variant>
        <vt:lpwstr>https://www.cde.ca.gov/be/ag/ag/yr21/agenda202111.asp</vt:lpwstr>
      </vt:variant>
      <vt:variant>
        <vt:lpwstr/>
      </vt:variant>
      <vt:variant>
        <vt:i4>5767256</vt:i4>
      </vt:variant>
      <vt:variant>
        <vt:i4>15</vt:i4>
      </vt:variant>
      <vt:variant>
        <vt:i4>0</vt:i4>
      </vt:variant>
      <vt:variant>
        <vt:i4>5</vt:i4>
      </vt:variant>
      <vt:variant>
        <vt:lpwstr>https://www.cde.ca.gov/be/ag/ag/yr21/agenda202103.asp</vt:lpwstr>
      </vt:variant>
      <vt:variant>
        <vt:lpwstr/>
      </vt:variant>
      <vt:variant>
        <vt:i4>5767258</vt:i4>
      </vt:variant>
      <vt:variant>
        <vt:i4>12</vt:i4>
      </vt:variant>
      <vt:variant>
        <vt:i4>0</vt:i4>
      </vt:variant>
      <vt:variant>
        <vt:i4>5</vt:i4>
      </vt:variant>
      <vt:variant>
        <vt:lpwstr>https://www.cde.ca.gov/be/ag/ag/yr21/agenda202101.asp</vt:lpwstr>
      </vt:variant>
      <vt:variant>
        <vt:lpwstr/>
      </vt:variant>
      <vt:variant>
        <vt:i4>5963865</vt:i4>
      </vt:variant>
      <vt:variant>
        <vt:i4>9</vt:i4>
      </vt:variant>
      <vt:variant>
        <vt:i4>0</vt:i4>
      </vt:variant>
      <vt:variant>
        <vt:i4>5</vt:i4>
      </vt:variant>
      <vt:variant>
        <vt:lpwstr>https://www.cde.ca.gov/be/ag/ag/yr22/agenda202201.asp</vt:lpwstr>
      </vt:variant>
      <vt:variant>
        <vt:lpwstr/>
      </vt:variant>
      <vt:variant>
        <vt:i4>5898328</vt:i4>
      </vt:variant>
      <vt:variant>
        <vt:i4>6</vt:i4>
      </vt:variant>
      <vt:variant>
        <vt:i4>0</vt:i4>
      </vt:variant>
      <vt:variant>
        <vt:i4>5</vt:i4>
      </vt:variant>
      <vt:variant>
        <vt:lpwstr>https://www.cde.ca.gov/be/ag/ag/yr23/agenda202301.asp</vt:lpwstr>
      </vt:variant>
      <vt:variant>
        <vt:lpwstr/>
      </vt:variant>
      <vt:variant>
        <vt:i4>6094943</vt:i4>
      </vt:variant>
      <vt:variant>
        <vt:i4>3</vt:i4>
      </vt:variant>
      <vt:variant>
        <vt:i4>0</vt:i4>
      </vt:variant>
      <vt:variant>
        <vt:i4>5</vt:i4>
      </vt:variant>
      <vt:variant>
        <vt:lpwstr>https://www.cde.ca.gov/be/ag/ag/yr24/agenda202401.asp</vt:lpwstr>
      </vt:variant>
      <vt:variant>
        <vt:lpwstr/>
      </vt:variant>
      <vt:variant>
        <vt:i4>6029406</vt:i4>
      </vt:variant>
      <vt:variant>
        <vt:i4>0</vt:i4>
      </vt:variant>
      <vt:variant>
        <vt:i4>0</vt:i4>
      </vt:variant>
      <vt:variant>
        <vt:i4>5</vt:i4>
      </vt:variant>
      <vt:variant>
        <vt:lpwstr>https://www.cde.ca.gov/be/ag/ag/yr25/agenda202501.asp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2026 Agenda Item 15- Meeting Agendas (CA State Board of Education)</dc:title>
  <dc:subject>State Annual Performance Report for Part B of the Individuals with Disabilities Education Act (IDEA) of 2004 covering program year 2024-25.</dc:subject>
  <dc:creator/>
  <cp:keywords/>
  <dc:description/>
  <cp:lastPrinted>2025-11-13T21:13:00Z</cp:lastPrinted>
  <dcterms:created xsi:type="dcterms:W3CDTF">2025-12-13T01:27:00Z</dcterms:created>
  <dcterms:modified xsi:type="dcterms:W3CDTF">2025-12-15T22:37:00Z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0x0101004A5BDE9C93DC13408EB6161C2B998D63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Order">
    <vt:r8>4664000</vt:r8>
  </property>
  <property fmtid="{D5CDD505-2E9C-101B-9397-08002B2CF9AE}" pid="11" name="_SourceUrl">
    <vt:lpwstr/>
  </property>
  <property fmtid="{D5CDD505-2E9C-101B-9397-08002B2CF9AE}" pid="12" name="_SharedFileIndex">
    <vt:lpwstr/>
  </property>
</Properties>
</file>