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A0BCB" w14:textId="77777777" w:rsidR="00FB3A7F" w:rsidRDefault="00FB3A7F" w:rsidP="00FB3A7F">
      <w:pPr>
        <w:rPr>
          <w:rFonts w:ascii="Arial" w:hAnsi="Arial" w:cs="Arial"/>
        </w:rPr>
      </w:pPr>
      <w:bookmarkStart w:id="0" w:name="_Hlk33705131"/>
      <w:bookmarkStart w:id="1" w:name="_Toc532370547"/>
      <w:bookmarkStart w:id="2" w:name="_Toc20312290"/>
      <w:bookmarkStart w:id="3" w:name="_Toc21440582"/>
    </w:p>
    <w:p w14:paraId="7254E526" w14:textId="77777777" w:rsidR="00FB3A7F" w:rsidRDefault="00FB3A7F" w:rsidP="00FB3A7F">
      <w:pPr>
        <w:jc w:val="right"/>
        <w:rPr>
          <w:rFonts w:ascii="Arial" w:hAnsi="Arial" w:cs="Arial"/>
        </w:rPr>
      </w:pPr>
    </w:p>
    <w:p w14:paraId="42F0D150" w14:textId="3FA32F28" w:rsidR="009C56D2" w:rsidRDefault="009C56D2" w:rsidP="00FB3A7F">
      <w:pPr>
        <w:jc w:val="right"/>
        <w:rPr>
          <w:rFonts w:ascii="Arial" w:hAnsi="Arial" w:cs="Arial"/>
        </w:rPr>
      </w:pPr>
      <w:r w:rsidRPr="008B6064">
        <w:rPr>
          <w:rFonts w:ascii="Arial" w:hAnsi="Arial" w:cs="Arial"/>
        </w:rPr>
        <w:t>sbe-</w:t>
      </w:r>
      <w:r w:rsidR="008B6064" w:rsidRPr="008B6064">
        <w:rPr>
          <w:rFonts w:ascii="Arial" w:hAnsi="Arial" w:cs="Arial"/>
        </w:rPr>
        <w:t>july26</w:t>
      </w:r>
      <w:r w:rsidRPr="008B6064">
        <w:rPr>
          <w:rFonts w:ascii="Arial" w:hAnsi="Arial" w:cs="Arial"/>
        </w:rPr>
        <w:t>item</w:t>
      </w:r>
      <w:r w:rsidR="008B6064" w:rsidRPr="008B6064">
        <w:rPr>
          <w:rFonts w:ascii="Arial" w:hAnsi="Arial" w:cs="Arial"/>
        </w:rPr>
        <w:t>03</w:t>
      </w:r>
    </w:p>
    <w:p w14:paraId="77AEC50C" w14:textId="61005A4F" w:rsidR="00461104" w:rsidRDefault="00461104" w:rsidP="009C56D2">
      <w:pPr>
        <w:jc w:val="right"/>
        <w:rPr>
          <w:rFonts w:ascii="Arial" w:hAnsi="Arial" w:cs="Arial"/>
        </w:rPr>
      </w:pPr>
      <w:r>
        <w:rPr>
          <w:rFonts w:ascii="Arial" w:hAnsi="Arial" w:cs="Arial"/>
        </w:rPr>
        <w:t>Attachment 2</w:t>
      </w:r>
    </w:p>
    <w:p w14:paraId="0893330C" w14:textId="5543DB49" w:rsidR="00FB3A7F" w:rsidRDefault="00FB3A7F" w:rsidP="009C56D2">
      <w:pPr>
        <w:jc w:val="right"/>
        <w:rPr>
          <w:rFonts w:ascii="Arial" w:hAnsi="Arial" w:cs="Arial"/>
        </w:rPr>
      </w:pPr>
      <w:r>
        <w:rPr>
          <w:rFonts w:ascii="Arial" w:hAnsi="Arial" w:cs="Arial"/>
        </w:rPr>
        <w:t>Page 1 of 27</w:t>
      </w:r>
    </w:p>
    <w:p w14:paraId="2B9ACD7E" w14:textId="77777777" w:rsidR="009C56D2" w:rsidRPr="003C49B4" w:rsidRDefault="009C56D2" w:rsidP="009C56D2">
      <w:pPr>
        <w:rPr>
          <w:rFonts w:ascii="Arial" w:hAnsi="Arial" w:cs="Arial"/>
        </w:rPr>
      </w:pPr>
    </w:p>
    <w:p w14:paraId="6CCA3609" w14:textId="35C453AD" w:rsidR="009C56D2" w:rsidRPr="003C49B4" w:rsidRDefault="009C56D2" w:rsidP="009C56D2">
      <w:pPr>
        <w:pStyle w:val="Heading1"/>
        <w:jc w:val="center"/>
        <w:rPr>
          <w:rFonts w:ascii="Arial" w:hAnsi="Arial" w:cs="Arial"/>
          <w:color w:val="auto"/>
        </w:rPr>
      </w:pPr>
      <w:r w:rsidRPr="002E5266">
        <w:rPr>
          <w:rFonts w:ascii="Arial" w:hAnsi="Arial" w:cs="Arial"/>
          <w:color w:val="auto"/>
        </w:rPr>
        <w:t xml:space="preserve">Attachment </w:t>
      </w:r>
      <w:r w:rsidR="002E5266">
        <w:rPr>
          <w:rFonts w:ascii="Arial" w:hAnsi="Arial" w:cs="Arial"/>
          <w:color w:val="auto"/>
        </w:rPr>
        <w:t>2</w:t>
      </w:r>
      <w:r w:rsidRPr="002E5266">
        <w:rPr>
          <w:rFonts w:ascii="Arial" w:hAnsi="Arial" w:cs="Arial"/>
          <w:color w:val="auto"/>
        </w:rPr>
        <w:t xml:space="preserve">: </w:t>
      </w:r>
      <w:r w:rsidR="002E5266">
        <w:rPr>
          <w:rFonts w:ascii="Arial" w:hAnsi="Arial" w:cs="Arial"/>
          <w:color w:val="auto"/>
        </w:rPr>
        <w:t>Differentiated Assistance Input Sessions Findings Report</w:t>
      </w:r>
    </w:p>
    <w:p w14:paraId="4516277D" w14:textId="77777777" w:rsidR="008B6064" w:rsidRDefault="008B6064" w:rsidP="009C56D2">
      <w:pPr>
        <w:rPr>
          <w:rFonts w:ascii="Arial" w:hAnsi="Arial" w:cs="Arial"/>
        </w:rPr>
      </w:pPr>
    </w:p>
    <w:p w14:paraId="2487DA40" w14:textId="1E223F46" w:rsidR="009C56D2" w:rsidRPr="008B6064" w:rsidRDefault="008B6064" w:rsidP="009C56D2">
      <w:pPr>
        <w:rPr>
          <w:rFonts w:ascii="Arial" w:hAnsi="Arial" w:cs="Arial"/>
          <w:color w:val="1C1C1C" w:themeColor="text1"/>
        </w:rPr>
      </w:pPr>
      <w:r w:rsidRPr="008B6064">
        <w:rPr>
          <w:rFonts w:ascii="Arial" w:hAnsi="Arial" w:cs="Arial"/>
          <w:color w:val="1C1C1C" w:themeColor="text1"/>
        </w:rPr>
        <w:t>This report synthesizes themes from six listening sessions, held in April 2026, across a wide range of educational partners. This report is intended to inform SBE’s decision-making process for potential refinement to the Differentiated Assistance (DA) and Direct Technical Assistance (DTA) criteria.</w:t>
      </w:r>
    </w:p>
    <w:p w14:paraId="0ACCA125" w14:textId="77777777" w:rsidR="009C56D2" w:rsidRPr="003C49B4" w:rsidRDefault="009C56D2" w:rsidP="009C56D2">
      <w:pPr>
        <w:pStyle w:val="Heading2"/>
        <w:rPr>
          <w:rFonts w:ascii="Arial" w:hAnsi="Arial" w:cs="Arial"/>
          <w:b w:val="0"/>
          <w:bCs/>
          <w:color w:val="auto"/>
          <w:sz w:val="24"/>
          <w:szCs w:val="24"/>
        </w:rPr>
      </w:pPr>
      <w:r w:rsidRPr="003C49B4">
        <w:rPr>
          <w:rFonts w:ascii="Arial" w:hAnsi="Arial" w:cs="Arial"/>
          <w:bCs/>
          <w:color w:val="auto"/>
          <w:sz w:val="24"/>
          <w:szCs w:val="24"/>
        </w:rPr>
        <w:t>Third-Party Document Notice</w:t>
      </w:r>
    </w:p>
    <w:p w14:paraId="674EBE63" w14:textId="2F9F7111" w:rsidR="009C56D2" w:rsidRPr="003C49B4" w:rsidRDefault="009C56D2" w:rsidP="009C56D2">
      <w:pPr>
        <w:rPr>
          <w:rFonts w:ascii="Arial" w:hAnsi="Arial" w:cs="Arial"/>
        </w:rPr>
      </w:pPr>
      <w:r w:rsidRPr="003C49B4">
        <w:rPr>
          <w:rFonts w:ascii="Arial" w:hAnsi="Arial" w:cs="Arial"/>
        </w:rPr>
        <w:t xml:space="preserve">This document was created by </w:t>
      </w:r>
      <w:r w:rsidR="002E5266" w:rsidRPr="002E5266">
        <w:rPr>
          <w:rFonts w:ascii="Arial" w:hAnsi="Arial" w:cs="Arial"/>
        </w:rPr>
        <w:t>American Institutes for Research</w:t>
      </w:r>
      <w:r w:rsidR="002E5266">
        <w:rPr>
          <w:rFonts w:ascii="Arial" w:hAnsi="Arial" w:cs="Arial"/>
        </w:rPr>
        <w:t xml:space="preserve"> (AIR)</w:t>
      </w:r>
      <w:r w:rsidR="002E5266" w:rsidRPr="002E5266">
        <w:rPr>
          <w:rFonts w:ascii="Arial" w:hAnsi="Arial" w:cs="Arial"/>
        </w:rPr>
        <w:t xml:space="preserve">, </w:t>
      </w:r>
      <w:r w:rsidRPr="002E5266">
        <w:rPr>
          <w:rFonts w:ascii="Arial" w:hAnsi="Arial" w:cs="Arial"/>
        </w:rPr>
        <w:t>an</w:t>
      </w:r>
      <w:r w:rsidRPr="003C49B4">
        <w:rPr>
          <w:rFonts w:ascii="Arial" w:hAnsi="Arial" w:cs="Arial"/>
        </w:rPr>
        <w:t xml:space="preserve"> external entity, and is provided by the California Department of Education (CDE) in the format in which it was received. </w:t>
      </w:r>
    </w:p>
    <w:p w14:paraId="4B519FD6" w14:textId="3B18FC1A" w:rsidR="008B6064" w:rsidRDefault="009C56D2" w:rsidP="008B6064">
      <w:pPr>
        <w:spacing w:after="6720"/>
        <w:rPr>
          <w:rFonts w:ascii="Arial" w:hAnsi="Arial" w:cs="Arial"/>
        </w:rPr>
      </w:pPr>
      <w:r w:rsidRPr="003C49B4">
        <w:rPr>
          <w:rFonts w:ascii="Arial" w:hAnsi="Arial" w:cs="Arial"/>
        </w:rPr>
        <w:t>For questions about the content of this document</w:t>
      </w:r>
      <w:r>
        <w:rPr>
          <w:rFonts w:ascii="Arial" w:hAnsi="Arial" w:cs="Arial"/>
        </w:rPr>
        <w:t>,</w:t>
      </w:r>
      <w:r w:rsidRPr="003C49B4">
        <w:rPr>
          <w:rFonts w:ascii="Arial" w:hAnsi="Arial" w:cs="Arial"/>
        </w:rPr>
        <w:t xml:space="preserve"> please contact </w:t>
      </w:r>
      <w:r w:rsidR="002E5266">
        <w:rPr>
          <w:rFonts w:ascii="Arial" w:hAnsi="Arial" w:cs="Arial"/>
        </w:rPr>
        <w:t xml:space="preserve">the State Board of Education </w:t>
      </w:r>
      <w:r w:rsidRPr="003C49B4">
        <w:rPr>
          <w:rFonts w:ascii="Arial" w:hAnsi="Arial" w:cs="Arial"/>
        </w:rPr>
        <w:t xml:space="preserve">at </w:t>
      </w:r>
      <w:hyperlink r:id="rId11" w:history="1">
        <w:r w:rsidR="008B6064" w:rsidRPr="002210C9">
          <w:rPr>
            <w:rStyle w:val="Hyperlink"/>
            <w:rFonts w:ascii="Arial" w:hAnsi="Arial" w:cs="Arial"/>
          </w:rPr>
          <w:t>SBE@sbe.ca.gov</w:t>
        </w:r>
      </w:hyperlink>
    </w:p>
    <w:p w14:paraId="3D8DE192" w14:textId="488C4836" w:rsidR="009C56D2" w:rsidRPr="008B6064" w:rsidRDefault="009C56D2" w:rsidP="008B6064">
      <w:pPr>
        <w:spacing w:after="6720"/>
        <w:rPr>
          <w:rFonts w:ascii="Arial" w:hAnsi="Arial" w:cs="Arial"/>
        </w:rPr>
      </w:pPr>
      <w:r w:rsidRPr="003C49B4">
        <w:rPr>
          <w:rFonts w:ascii="Arial" w:hAnsi="Arial" w:cs="Arial"/>
        </w:rPr>
        <w:t>This document is made available consistent with applicable accessibility requirements for third-party content under Title II of the Americans with Disabilities Act (ADA</w:t>
      </w:r>
      <w:r>
        <w:rPr>
          <w:rFonts w:ascii="Arial" w:hAnsi="Arial" w:cs="Arial"/>
        </w:rPr>
        <w:t>).</w:t>
      </w:r>
      <w:r>
        <w:br w:type="page"/>
      </w:r>
    </w:p>
    <w:p w14:paraId="6FC64F91" w14:textId="256C0F26" w:rsidR="00AB735D" w:rsidRPr="004A2817" w:rsidRDefault="0090074B" w:rsidP="004A2817">
      <w:pPr>
        <w:pStyle w:val="CoverFrontGraphicsAnchor"/>
        <w:sectPr w:rsidR="00AB735D" w:rsidRPr="004A2817" w:rsidSect="008711BB">
          <w:footerReference w:type="default" r:id="rId12"/>
          <w:pgSz w:w="12240" w:h="15840"/>
          <w:pgMar w:top="14" w:right="1440" w:bottom="29" w:left="1440" w:header="0" w:footer="0" w:gutter="0"/>
          <w:cols w:space="720"/>
          <w:docGrid w:linePitch="360"/>
        </w:sectPr>
      </w:pPr>
      <w:r>
        <w:rPr>
          <w:noProof/>
        </w:rPr>
        <w:lastRenderedPageBreak/>
        <mc:AlternateContent>
          <mc:Choice Requires="wps">
            <w:drawing>
              <wp:anchor distT="0" distB="0" distL="114300" distR="114300" simplePos="0" relativeHeight="251676672" behindDoc="0" locked="0" layoutInCell="1" allowOverlap="1" wp14:anchorId="76579180" wp14:editId="563B0D3B">
                <wp:simplePos x="0" y="0"/>
                <wp:positionH relativeFrom="column">
                  <wp:posOffset>-152400</wp:posOffset>
                </wp:positionH>
                <wp:positionV relativeFrom="paragraph">
                  <wp:posOffset>2550160</wp:posOffset>
                </wp:positionV>
                <wp:extent cx="3727450" cy="1258570"/>
                <wp:effectExtent l="0" t="0" r="6350" b="0"/>
                <wp:wrapNone/>
                <wp:docPr id="1380531817" name="Text Box 1"/>
                <wp:cNvGraphicFramePr/>
                <a:graphic xmlns:a="http://schemas.openxmlformats.org/drawingml/2006/main">
                  <a:graphicData uri="http://schemas.microsoft.com/office/word/2010/wordprocessingShape">
                    <wps:wsp>
                      <wps:cNvSpPr txBox="1"/>
                      <wps:spPr>
                        <a:xfrm>
                          <a:off x="0" y="0"/>
                          <a:ext cx="3727450" cy="1258570"/>
                        </a:xfrm>
                        <a:prstGeom prst="rect">
                          <a:avLst/>
                        </a:prstGeom>
                        <a:noFill/>
                        <a:ln w="6350">
                          <a:noFill/>
                        </a:ln>
                      </wps:spPr>
                      <wps:txbx>
                        <w:txbxContent>
                          <w:p w14:paraId="01975FE8" w14:textId="5362DB3B" w:rsidR="008711BB" w:rsidRPr="00F635B7" w:rsidRDefault="005B3653" w:rsidP="008711BB">
                            <w:pPr>
                              <w:pStyle w:val="Title"/>
                              <w:rPr>
                                <w:b w:val="0"/>
                                <w:color w:val="FFFFFF"/>
                              </w:rPr>
                            </w:pPr>
                            <w:r w:rsidRPr="005B3653">
                              <w:t>Differentiated Assistance Listening Session</w:t>
                            </w:r>
                            <w:r w:rsidR="0018187B">
                              <w:t>s</w:t>
                            </w:r>
                            <w:r w:rsidR="003C188A">
                              <w:t>: Summary Report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v:shapetype id="_x0000_t202" coordsize="21600,21600" o:spt="202" path="m,l,21600r21600,l21600,xe" w14:anchorId="76579180">
                <v:stroke joinstyle="miter"/>
                <v:path gradientshapeok="t" o:connecttype="rect"/>
              </v:shapetype>
              <v:shape id="Text Box 1" style="position:absolute;left:0;text-align:left;margin-left:-12pt;margin-top:200.8pt;width:293.5pt;height:99.1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">
                <v:textbox inset="0,0,0,0">
                  <w:txbxContent>
                    <w:p w:rsidRPr="00F635B7" w:rsidR="008711BB" w:rsidP="008711BB" w:rsidRDefault="005B3653" w14:paraId="01975FE8" w14:textId="5362DB3B">
                      <w:pPr>
                        <w:pStyle w:val="Title"/>
                        <w:rPr>
                          <w:b w:val="0"/>
                          <w:color w:val="FFFFFF"/>
                        </w:rPr>
                      </w:pPr>
                      <w:r w:rsidRPr="005B3653">
                        <w:t>Differentiated Assistance Listening Session</w:t>
                      </w:r>
                      <w:r w:rsidR="0018187B">
                        <w:t>s</w:t>
                      </w:r>
                      <w:r w:rsidR="003C188A">
                        <w:t>: Summary Report</w:t>
                      </w:r>
                    </w:p>
                  </w:txbxContent>
                </v:textbox>
              </v:shape>
            </w:pict>
          </mc:Fallback>
        </mc:AlternateContent>
      </w:r>
      <w:r w:rsidR="00B56041">
        <w:rPr>
          <w:noProof/>
          <w:color w:val="545454" w:themeColor="text1" w:themeTint="BF"/>
        </w:rPr>
        <w:drawing>
          <wp:anchor distT="0" distB="0" distL="114300" distR="114300" simplePos="0" relativeHeight="251679744" behindDoc="0" locked="0" layoutInCell="1" allowOverlap="1" wp14:anchorId="75954505" wp14:editId="5B80EB21">
            <wp:simplePos x="0" y="0"/>
            <wp:positionH relativeFrom="column">
              <wp:posOffset>-227279</wp:posOffset>
            </wp:positionH>
            <wp:positionV relativeFrom="paragraph">
              <wp:posOffset>9235870</wp:posOffset>
            </wp:positionV>
            <wp:extent cx="2590687" cy="438912"/>
            <wp:effectExtent l="0" t="0" r="0" b="0"/>
            <wp:wrapNone/>
            <wp:docPr id="349344208" name="Picture 1" descr="A black background with text and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344208" name="Picture 1" descr="A black background with text and arrows&#10;&#10;Description automatically generated"/>
                    <pic:cNvPicPr/>
                  </pic:nvPicPr>
                  <pic:blipFill rotWithShape="1">
                    <a:blip r:embed="rId13"/>
                    <a:srcRect l="4416" t="29790" r="23907" b="21636"/>
                    <a:stretch/>
                  </pic:blipFill>
                  <pic:spPr bwMode="auto">
                    <a:xfrm>
                      <a:off x="0" y="0"/>
                      <a:ext cx="2590687" cy="438912"/>
                    </a:xfrm>
                    <a:prstGeom prst="rect">
                      <a:avLst/>
                    </a:prstGeom>
                    <a:ln>
                      <a:noFill/>
                    </a:ln>
                    <a:extLst>
                      <a:ext uri="{53640926-AAD7-44D8-BBD7-CCE9431645EC}">
                        <a14:shadowObscured xmlns:a14="http://schemas.microsoft.com/office/drawing/2010/main"/>
                      </a:ext>
                    </a:extLst>
                  </pic:spPr>
                </pic:pic>
              </a:graphicData>
            </a:graphic>
          </wp:anchor>
        </w:drawing>
      </w:r>
      <w:bookmarkEnd w:id="0"/>
      <w:r w:rsidR="008711BB">
        <w:rPr>
          <w:rFonts w:eastAsia="Calibri" w:cs="Times New Roman"/>
          <w:noProof/>
          <w:sz w:val="16"/>
          <w:szCs w:val="16"/>
        </w:rPr>
        <w:drawing>
          <wp:anchor distT="0" distB="0" distL="114300" distR="114300" simplePos="0" relativeHeight="251675648" behindDoc="1" locked="0" layoutInCell="1" allowOverlap="1" wp14:anchorId="7BF62015" wp14:editId="13744362">
            <wp:simplePos x="0" y="0"/>
            <wp:positionH relativeFrom="column">
              <wp:posOffset>-914400</wp:posOffset>
            </wp:positionH>
            <wp:positionV relativeFrom="paragraph">
              <wp:posOffset>-3455</wp:posOffset>
            </wp:positionV>
            <wp:extent cx="7772082" cy="9292079"/>
            <wp:effectExtent l="0" t="0" r="635" b="4445"/>
            <wp:wrapNone/>
            <wp:docPr id="133267385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673858" name="Picture 16"/>
                    <pic:cNvPicPr/>
                  </pic:nvPicPr>
                  <pic:blipFill rotWithShape="1">
                    <a:blip r:embed="rId14"/>
                    <a:srcRect t="-5" b="7619"/>
                    <a:stretch/>
                  </pic:blipFill>
                  <pic:spPr bwMode="auto">
                    <a:xfrm>
                      <a:off x="0" y="0"/>
                      <a:ext cx="7772082" cy="9292079"/>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5E753BB" w14:textId="77777777" w:rsidR="00AB735D" w:rsidRDefault="00AB735D" w:rsidP="000C201D">
      <w:pPr>
        <w:pStyle w:val="TOCHeading"/>
      </w:pPr>
      <w:r>
        <w:lastRenderedPageBreak/>
        <w:t>Contents</w:t>
      </w:r>
    </w:p>
    <w:p w14:paraId="3683EF8C" w14:textId="77777777" w:rsidR="00AB735D" w:rsidRPr="009C5689" w:rsidRDefault="00217BD4" w:rsidP="000A38AA">
      <w:pPr>
        <w:pStyle w:val="TOCPage"/>
      </w:pPr>
      <w:r>
        <w:t>Page</w:t>
      </w:r>
    </w:p>
    <w:p w14:paraId="2D191522" w14:textId="78D0F8C4" w:rsidR="00323FC2" w:rsidRDefault="00AB735D">
      <w:pPr>
        <w:pStyle w:val="TOC1"/>
        <w:rPr>
          <w:rFonts w:asciiTheme="minorHAnsi" w:eastAsiaTheme="minorEastAsia" w:hAnsiTheme="minorHAnsi" w:cstheme="minorBidi"/>
          <w:noProof/>
          <w:kern w:val="2"/>
          <w14:ligatures w14:val="standardContextual"/>
        </w:rPr>
      </w:pPr>
      <w:r>
        <w:fldChar w:fldCharType="begin"/>
      </w:r>
      <w:r>
        <w:instrText xml:space="preserve"> TOC \h \z \u \t "Heading 2,1,Heading 3,2" </w:instrText>
      </w:r>
      <w:r>
        <w:fldChar w:fldCharType="separate"/>
      </w:r>
      <w:hyperlink w:anchor="_Toc232618423" w:history="1">
        <w:r w:rsidR="00323FC2" w:rsidRPr="00FF6AD1">
          <w:rPr>
            <w:rStyle w:val="Hyperlink"/>
            <w:noProof/>
          </w:rPr>
          <w:t>Executive Summary</w:t>
        </w:r>
        <w:r w:rsidR="00323FC2">
          <w:rPr>
            <w:noProof/>
            <w:webHidden/>
          </w:rPr>
          <w:tab/>
        </w:r>
        <w:r w:rsidR="00323FC2">
          <w:rPr>
            <w:noProof/>
            <w:webHidden/>
          </w:rPr>
          <w:fldChar w:fldCharType="begin"/>
        </w:r>
        <w:r w:rsidR="00323FC2">
          <w:rPr>
            <w:noProof/>
            <w:webHidden/>
          </w:rPr>
          <w:instrText xml:space="preserve"> PAGEREF _Toc232618423 \h </w:instrText>
        </w:r>
        <w:r w:rsidR="00323FC2">
          <w:rPr>
            <w:noProof/>
            <w:webHidden/>
          </w:rPr>
        </w:r>
        <w:r w:rsidR="00323FC2">
          <w:rPr>
            <w:noProof/>
            <w:webHidden/>
          </w:rPr>
          <w:fldChar w:fldCharType="separate"/>
        </w:r>
        <w:r w:rsidR="00FD0DDD">
          <w:rPr>
            <w:noProof/>
            <w:webHidden/>
          </w:rPr>
          <w:t>i</w:t>
        </w:r>
        <w:r w:rsidR="00323FC2">
          <w:rPr>
            <w:noProof/>
            <w:webHidden/>
          </w:rPr>
          <w:fldChar w:fldCharType="end"/>
        </w:r>
      </w:hyperlink>
    </w:p>
    <w:p w14:paraId="364C8F12" w14:textId="39388524" w:rsidR="00323FC2" w:rsidRDefault="00323FC2">
      <w:pPr>
        <w:pStyle w:val="TOC1"/>
        <w:rPr>
          <w:rFonts w:asciiTheme="minorHAnsi" w:eastAsiaTheme="minorEastAsia" w:hAnsiTheme="minorHAnsi" w:cstheme="minorBidi"/>
          <w:noProof/>
          <w:kern w:val="2"/>
          <w14:ligatures w14:val="standardContextual"/>
        </w:rPr>
      </w:pPr>
      <w:hyperlink w:anchor="_Toc232618424" w:history="1">
        <w:r w:rsidRPr="00FF6AD1">
          <w:rPr>
            <w:rStyle w:val="Hyperlink"/>
            <w:noProof/>
          </w:rPr>
          <w:t>Introduction</w:t>
        </w:r>
        <w:r>
          <w:rPr>
            <w:noProof/>
            <w:webHidden/>
          </w:rPr>
          <w:tab/>
        </w:r>
        <w:r>
          <w:rPr>
            <w:noProof/>
            <w:webHidden/>
          </w:rPr>
          <w:fldChar w:fldCharType="begin"/>
        </w:r>
        <w:r>
          <w:rPr>
            <w:noProof/>
            <w:webHidden/>
          </w:rPr>
          <w:instrText xml:space="preserve"> PAGEREF _Toc232618424 \h </w:instrText>
        </w:r>
        <w:r>
          <w:rPr>
            <w:noProof/>
            <w:webHidden/>
          </w:rPr>
        </w:r>
        <w:r>
          <w:rPr>
            <w:noProof/>
            <w:webHidden/>
          </w:rPr>
          <w:fldChar w:fldCharType="separate"/>
        </w:r>
        <w:r w:rsidR="00FD0DDD">
          <w:rPr>
            <w:noProof/>
            <w:webHidden/>
          </w:rPr>
          <w:t>1</w:t>
        </w:r>
        <w:r>
          <w:rPr>
            <w:noProof/>
            <w:webHidden/>
          </w:rPr>
          <w:fldChar w:fldCharType="end"/>
        </w:r>
      </w:hyperlink>
    </w:p>
    <w:p w14:paraId="32197796" w14:textId="2BFF7C56" w:rsidR="00323FC2" w:rsidRDefault="00323FC2">
      <w:pPr>
        <w:pStyle w:val="TOC1"/>
        <w:rPr>
          <w:rFonts w:asciiTheme="minorHAnsi" w:eastAsiaTheme="minorEastAsia" w:hAnsiTheme="minorHAnsi" w:cstheme="minorBidi"/>
          <w:noProof/>
          <w:kern w:val="2"/>
          <w14:ligatures w14:val="standardContextual"/>
        </w:rPr>
      </w:pPr>
      <w:hyperlink w:anchor="_Toc232618425" w:history="1">
        <w:r w:rsidRPr="00FF6AD1">
          <w:rPr>
            <w:rStyle w:val="Hyperlink"/>
            <w:noProof/>
          </w:rPr>
          <w:t>Overview of the Listening Sessions &amp; Polls</w:t>
        </w:r>
        <w:r>
          <w:rPr>
            <w:noProof/>
            <w:webHidden/>
          </w:rPr>
          <w:tab/>
        </w:r>
        <w:r>
          <w:rPr>
            <w:noProof/>
            <w:webHidden/>
          </w:rPr>
          <w:fldChar w:fldCharType="begin"/>
        </w:r>
        <w:r>
          <w:rPr>
            <w:noProof/>
            <w:webHidden/>
          </w:rPr>
          <w:instrText xml:space="preserve"> PAGEREF _Toc232618425 \h </w:instrText>
        </w:r>
        <w:r>
          <w:rPr>
            <w:noProof/>
            <w:webHidden/>
          </w:rPr>
        </w:r>
        <w:r>
          <w:rPr>
            <w:noProof/>
            <w:webHidden/>
          </w:rPr>
          <w:fldChar w:fldCharType="separate"/>
        </w:r>
        <w:r w:rsidR="00FD0DDD">
          <w:rPr>
            <w:noProof/>
            <w:webHidden/>
          </w:rPr>
          <w:t>2</w:t>
        </w:r>
        <w:r>
          <w:rPr>
            <w:noProof/>
            <w:webHidden/>
          </w:rPr>
          <w:fldChar w:fldCharType="end"/>
        </w:r>
      </w:hyperlink>
    </w:p>
    <w:p w14:paraId="160D8B5D" w14:textId="11B55A27" w:rsidR="00323FC2" w:rsidRDefault="00323FC2">
      <w:pPr>
        <w:pStyle w:val="TOC2"/>
        <w:rPr>
          <w:rFonts w:asciiTheme="minorHAnsi" w:eastAsiaTheme="minorEastAsia" w:hAnsiTheme="minorHAnsi" w:cstheme="minorBidi"/>
          <w:noProof/>
          <w:kern w:val="2"/>
          <w14:ligatures w14:val="standardContextual"/>
        </w:rPr>
      </w:pPr>
      <w:hyperlink w:anchor="_Toc232618426" w:history="1">
        <w:r w:rsidRPr="00FF6AD1">
          <w:rPr>
            <w:rStyle w:val="Hyperlink"/>
            <w:noProof/>
          </w:rPr>
          <w:t>Participants</w:t>
        </w:r>
        <w:r>
          <w:rPr>
            <w:noProof/>
            <w:webHidden/>
          </w:rPr>
          <w:tab/>
        </w:r>
        <w:r>
          <w:rPr>
            <w:noProof/>
            <w:webHidden/>
          </w:rPr>
          <w:fldChar w:fldCharType="begin"/>
        </w:r>
        <w:r>
          <w:rPr>
            <w:noProof/>
            <w:webHidden/>
          </w:rPr>
          <w:instrText xml:space="preserve"> PAGEREF _Toc232618426 \h </w:instrText>
        </w:r>
        <w:r>
          <w:rPr>
            <w:noProof/>
            <w:webHidden/>
          </w:rPr>
        </w:r>
        <w:r>
          <w:rPr>
            <w:noProof/>
            <w:webHidden/>
          </w:rPr>
          <w:fldChar w:fldCharType="separate"/>
        </w:r>
        <w:r w:rsidR="00FD0DDD">
          <w:rPr>
            <w:noProof/>
            <w:webHidden/>
          </w:rPr>
          <w:t>2</w:t>
        </w:r>
        <w:r>
          <w:rPr>
            <w:noProof/>
            <w:webHidden/>
          </w:rPr>
          <w:fldChar w:fldCharType="end"/>
        </w:r>
      </w:hyperlink>
    </w:p>
    <w:p w14:paraId="20A82868" w14:textId="1F94EAD0" w:rsidR="00323FC2" w:rsidRDefault="00323FC2">
      <w:pPr>
        <w:pStyle w:val="TOC2"/>
        <w:rPr>
          <w:rFonts w:asciiTheme="minorHAnsi" w:eastAsiaTheme="minorEastAsia" w:hAnsiTheme="minorHAnsi" w:cstheme="minorBidi"/>
          <w:noProof/>
          <w:kern w:val="2"/>
          <w14:ligatures w14:val="standardContextual"/>
        </w:rPr>
      </w:pPr>
      <w:hyperlink w:anchor="_Toc232618427" w:history="1">
        <w:r w:rsidRPr="00FF6AD1">
          <w:rPr>
            <w:rStyle w:val="Hyperlink"/>
            <w:noProof/>
          </w:rPr>
          <w:t>Process</w:t>
        </w:r>
        <w:r>
          <w:rPr>
            <w:noProof/>
            <w:webHidden/>
          </w:rPr>
          <w:tab/>
        </w:r>
        <w:r>
          <w:rPr>
            <w:noProof/>
            <w:webHidden/>
          </w:rPr>
          <w:fldChar w:fldCharType="begin"/>
        </w:r>
        <w:r>
          <w:rPr>
            <w:noProof/>
            <w:webHidden/>
          </w:rPr>
          <w:instrText xml:space="preserve"> PAGEREF _Toc232618427 \h </w:instrText>
        </w:r>
        <w:r>
          <w:rPr>
            <w:noProof/>
            <w:webHidden/>
          </w:rPr>
        </w:r>
        <w:r>
          <w:rPr>
            <w:noProof/>
            <w:webHidden/>
          </w:rPr>
          <w:fldChar w:fldCharType="separate"/>
        </w:r>
        <w:r w:rsidR="00FD0DDD">
          <w:rPr>
            <w:noProof/>
            <w:webHidden/>
          </w:rPr>
          <w:t>3</w:t>
        </w:r>
        <w:r>
          <w:rPr>
            <w:noProof/>
            <w:webHidden/>
          </w:rPr>
          <w:fldChar w:fldCharType="end"/>
        </w:r>
      </w:hyperlink>
    </w:p>
    <w:p w14:paraId="6E22EB68" w14:textId="51B5FF65" w:rsidR="00323FC2" w:rsidRDefault="00323FC2">
      <w:pPr>
        <w:pStyle w:val="TOC2"/>
        <w:rPr>
          <w:rFonts w:asciiTheme="minorHAnsi" w:eastAsiaTheme="minorEastAsia" w:hAnsiTheme="minorHAnsi" w:cstheme="minorBidi"/>
          <w:noProof/>
          <w:kern w:val="2"/>
          <w14:ligatures w14:val="standardContextual"/>
        </w:rPr>
      </w:pPr>
      <w:hyperlink w:anchor="_Toc232618428" w:history="1">
        <w:r w:rsidRPr="00FF6AD1">
          <w:rPr>
            <w:rStyle w:val="Hyperlink"/>
            <w:noProof/>
          </w:rPr>
          <w:t>Overview of the Polls</w:t>
        </w:r>
        <w:r>
          <w:rPr>
            <w:noProof/>
            <w:webHidden/>
          </w:rPr>
          <w:tab/>
        </w:r>
        <w:r>
          <w:rPr>
            <w:noProof/>
            <w:webHidden/>
          </w:rPr>
          <w:fldChar w:fldCharType="begin"/>
        </w:r>
        <w:r>
          <w:rPr>
            <w:noProof/>
            <w:webHidden/>
          </w:rPr>
          <w:instrText xml:space="preserve"> PAGEREF _Toc232618428 \h </w:instrText>
        </w:r>
        <w:r>
          <w:rPr>
            <w:noProof/>
            <w:webHidden/>
          </w:rPr>
        </w:r>
        <w:r>
          <w:rPr>
            <w:noProof/>
            <w:webHidden/>
          </w:rPr>
          <w:fldChar w:fldCharType="separate"/>
        </w:r>
        <w:r w:rsidR="00FD0DDD">
          <w:rPr>
            <w:noProof/>
            <w:webHidden/>
          </w:rPr>
          <w:t>3</w:t>
        </w:r>
        <w:r>
          <w:rPr>
            <w:noProof/>
            <w:webHidden/>
          </w:rPr>
          <w:fldChar w:fldCharType="end"/>
        </w:r>
      </w:hyperlink>
    </w:p>
    <w:p w14:paraId="4CADD583" w14:textId="35DD5BB1" w:rsidR="00323FC2" w:rsidRDefault="00323FC2">
      <w:pPr>
        <w:pStyle w:val="TOC2"/>
        <w:rPr>
          <w:rFonts w:asciiTheme="minorHAnsi" w:eastAsiaTheme="minorEastAsia" w:hAnsiTheme="minorHAnsi" w:cstheme="minorBidi"/>
          <w:noProof/>
          <w:kern w:val="2"/>
          <w14:ligatures w14:val="standardContextual"/>
        </w:rPr>
      </w:pPr>
      <w:hyperlink w:anchor="_Toc232618429" w:history="1">
        <w:r w:rsidRPr="00FF6AD1">
          <w:rPr>
            <w:rStyle w:val="Hyperlink"/>
            <w:noProof/>
          </w:rPr>
          <w:t>Analysis Approach</w:t>
        </w:r>
        <w:r>
          <w:rPr>
            <w:noProof/>
            <w:webHidden/>
          </w:rPr>
          <w:tab/>
        </w:r>
        <w:r>
          <w:rPr>
            <w:noProof/>
            <w:webHidden/>
          </w:rPr>
          <w:fldChar w:fldCharType="begin"/>
        </w:r>
        <w:r>
          <w:rPr>
            <w:noProof/>
            <w:webHidden/>
          </w:rPr>
          <w:instrText xml:space="preserve"> PAGEREF _Toc232618429 \h </w:instrText>
        </w:r>
        <w:r>
          <w:rPr>
            <w:noProof/>
            <w:webHidden/>
          </w:rPr>
        </w:r>
        <w:r>
          <w:rPr>
            <w:noProof/>
            <w:webHidden/>
          </w:rPr>
          <w:fldChar w:fldCharType="separate"/>
        </w:r>
        <w:r w:rsidR="00FD0DDD">
          <w:rPr>
            <w:noProof/>
            <w:webHidden/>
          </w:rPr>
          <w:t>4</w:t>
        </w:r>
        <w:r>
          <w:rPr>
            <w:noProof/>
            <w:webHidden/>
          </w:rPr>
          <w:fldChar w:fldCharType="end"/>
        </w:r>
      </w:hyperlink>
    </w:p>
    <w:p w14:paraId="43E4EF9C" w14:textId="608356A3" w:rsidR="00323FC2" w:rsidRDefault="00323FC2">
      <w:pPr>
        <w:pStyle w:val="TOC2"/>
        <w:rPr>
          <w:rFonts w:asciiTheme="minorHAnsi" w:eastAsiaTheme="minorEastAsia" w:hAnsiTheme="minorHAnsi" w:cstheme="minorBidi"/>
          <w:noProof/>
          <w:kern w:val="2"/>
          <w14:ligatures w14:val="standardContextual"/>
        </w:rPr>
      </w:pPr>
      <w:hyperlink w:anchor="_Toc232618430" w:history="1">
        <w:r w:rsidRPr="00FF6AD1">
          <w:rPr>
            <w:rStyle w:val="Hyperlink"/>
            <w:noProof/>
          </w:rPr>
          <w:t>Considerations</w:t>
        </w:r>
        <w:r>
          <w:rPr>
            <w:noProof/>
            <w:webHidden/>
          </w:rPr>
          <w:tab/>
        </w:r>
        <w:r>
          <w:rPr>
            <w:noProof/>
            <w:webHidden/>
          </w:rPr>
          <w:fldChar w:fldCharType="begin"/>
        </w:r>
        <w:r>
          <w:rPr>
            <w:noProof/>
            <w:webHidden/>
          </w:rPr>
          <w:instrText xml:space="preserve"> PAGEREF _Toc232618430 \h </w:instrText>
        </w:r>
        <w:r>
          <w:rPr>
            <w:noProof/>
            <w:webHidden/>
          </w:rPr>
        </w:r>
        <w:r>
          <w:rPr>
            <w:noProof/>
            <w:webHidden/>
          </w:rPr>
          <w:fldChar w:fldCharType="separate"/>
        </w:r>
        <w:r w:rsidR="00FD0DDD">
          <w:rPr>
            <w:noProof/>
            <w:webHidden/>
          </w:rPr>
          <w:t>5</w:t>
        </w:r>
        <w:r>
          <w:rPr>
            <w:noProof/>
            <w:webHidden/>
          </w:rPr>
          <w:fldChar w:fldCharType="end"/>
        </w:r>
      </w:hyperlink>
    </w:p>
    <w:p w14:paraId="40C91887" w14:textId="7A2249E3" w:rsidR="00323FC2" w:rsidRDefault="00323FC2">
      <w:pPr>
        <w:pStyle w:val="TOC1"/>
        <w:rPr>
          <w:rFonts w:asciiTheme="minorHAnsi" w:eastAsiaTheme="minorEastAsia" w:hAnsiTheme="minorHAnsi" w:cstheme="minorBidi"/>
          <w:noProof/>
          <w:kern w:val="2"/>
          <w14:ligatures w14:val="standardContextual"/>
        </w:rPr>
      </w:pPr>
      <w:hyperlink w:anchor="_Toc232618431" w:history="1">
        <w:r w:rsidRPr="00FF6AD1">
          <w:rPr>
            <w:rStyle w:val="Hyperlink"/>
            <w:noProof/>
          </w:rPr>
          <w:t>Cross-Cutting Themes</w:t>
        </w:r>
        <w:r>
          <w:rPr>
            <w:noProof/>
            <w:webHidden/>
          </w:rPr>
          <w:tab/>
        </w:r>
        <w:r>
          <w:rPr>
            <w:noProof/>
            <w:webHidden/>
          </w:rPr>
          <w:fldChar w:fldCharType="begin"/>
        </w:r>
        <w:r>
          <w:rPr>
            <w:noProof/>
            <w:webHidden/>
          </w:rPr>
          <w:instrText xml:space="preserve"> PAGEREF _Toc232618431 \h </w:instrText>
        </w:r>
        <w:r>
          <w:rPr>
            <w:noProof/>
            <w:webHidden/>
          </w:rPr>
        </w:r>
        <w:r>
          <w:rPr>
            <w:noProof/>
            <w:webHidden/>
          </w:rPr>
          <w:fldChar w:fldCharType="separate"/>
        </w:r>
        <w:r w:rsidR="00FD0DDD">
          <w:rPr>
            <w:noProof/>
            <w:webHidden/>
          </w:rPr>
          <w:t>5</w:t>
        </w:r>
        <w:r>
          <w:rPr>
            <w:noProof/>
            <w:webHidden/>
          </w:rPr>
          <w:fldChar w:fldCharType="end"/>
        </w:r>
      </w:hyperlink>
    </w:p>
    <w:p w14:paraId="7DBEB93F" w14:textId="7A87EAC6" w:rsidR="00323FC2" w:rsidRDefault="00323FC2">
      <w:pPr>
        <w:pStyle w:val="TOC2"/>
        <w:rPr>
          <w:rFonts w:asciiTheme="minorHAnsi" w:eastAsiaTheme="minorEastAsia" w:hAnsiTheme="minorHAnsi" w:cstheme="minorBidi"/>
          <w:noProof/>
          <w:kern w:val="2"/>
          <w14:ligatures w14:val="standardContextual"/>
        </w:rPr>
      </w:pPr>
      <w:hyperlink w:anchor="_Toc232618432" w:history="1">
        <w:r w:rsidRPr="00FF6AD1">
          <w:rPr>
            <w:rStyle w:val="Hyperlink"/>
            <w:noProof/>
          </w:rPr>
          <w:t>Aligning With Research and Study Sessions</w:t>
        </w:r>
        <w:r>
          <w:rPr>
            <w:noProof/>
            <w:webHidden/>
          </w:rPr>
          <w:tab/>
        </w:r>
        <w:r>
          <w:rPr>
            <w:noProof/>
            <w:webHidden/>
          </w:rPr>
          <w:fldChar w:fldCharType="begin"/>
        </w:r>
        <w:r>
          <w:rPr>
            <w:noProof/>
            <w:webHidden/>
          </w:rPr>
          <w:instrText xml:space="preserve"> PAGEREF _Toc232618432 \h </w:instrText>
        </w:r>
        <w:r>
          <w:rPr>
            <w:noProof/>
            <w:webHidden/>
          </w:rPr>
        </w:r>
        <w:r>
          <w:rPr>
            <w:noProof/>
            <w:webHidden/>
          </w:rPr>
          <w:fldChar w:fldCharType="separate"/>
        </w:r>
        <w:r w:rsidR="00FD0DDD">
          <w:rPr>
            <w:noProof/>
            <w:webHidden/>
          </w:rPr>
          <w:t>5</w:t>
        </w:r>
        <w:r>
          <w:rPr>
            <w:noProof/>
            <w:webHidden/>
          </w:rPr>
          <w:fldChar w:fldCharType="end"/>
        </w:r>
      </w:hyperlink>
    </w:p>
    <w:p w14:paraId="18D5ADA9" w14:textId="68761E31" w:rsidR="00323FC2" w:rsidRDefault="00323FC2">
      <w:pPr>
        <w:pStyle w:val="TOC2"/>
        <w:rPr>
          <w:rFonts w:asciiTheme="minorHAnsi" w:eastAsiaTheme="minorEastAsia" w:hAnsiTheme="minorHAnsi" w:cstheme="minorBidi"/>
          <w:noProof/>
          <w:kern w:val="2"/>
          <w14:ligatures w14:val="standardContextual"/>
        </w:rPr>
      </w:pPr>
      <w:hyperlink w:anchor="_Toc232618433" w:history="1">
        <w:r w:rsidRPr="00FF6AD1">
          <w:rPr>
            <w:rStyle w:val="Hyperlink"/>
            <w:noProof/>
          </w:rPr>
          <w:t>Balancing Consistency and Local Context</w:t>
        </w:r>
        <w:r>
          <w:rPr>
            <w:noProof/>
            <w:webHidden/>
          </w:rPr>
          <w:tab/>
        </w:r>
        <w:r>
          <w:rPr>
            <w:noProof/>
            <w:webHidden/>
          </w:rPr>
          <w:fldChar w:fldCharType="begin"/>
        </w:r>
        <w:r>
          <w:rPr>
            <w:noProof/>
            <w:webHidden/>
          </w:rPr>
          <w:instrText xml:space="preserve"> PAGEREF _Toc232618433 \h </w:instrText>
        </w:r>
        <w:r>
          <w:rPr>
            <w:noProof/>
            <w:webHidden/>
          </w:rPr>
        </w:r>
        <w:r>
          <w:rPr>
            <w:noProof/>
            <w:webHidden/>
          </w:rPr>
          <w:fldChar w:fldCharType="separate"/>
        </w:r>
        <w:r w:rsidR="00FD0DDD">
          <w:rPr>
            <w:noProof/>
            <w:webHidden/>
          </w:rPr>
          <w:t>5</w:t>
        </w:r>
        <w:r>
          <w:rPr>
            <w:noProof/>
            <w:webHidden/>
          </w:rPr>
          <w:fldChar w:fldCharType="end"/>
        </w:r>
      </w:hyperlink>
    </w:p>
    <w:p w14:paraId="5873E4F7" w14:textId="121E2D67" w:rsidR="00323FC2" w:rsidRDefault="00323FC2">
      <w:pPr>
        <w:pStyle w:val="TOC2"/>
        <w:rPr>
          <w:rFonts w:asciiTheme="minorHAnsi" w:eastAsiaTheme="minorEastAsia" w:hAnsiTheme="minorHAnsi" w:cstheme="minorBidi"/>
          <w:noProof/>
          <w:kern w:val="2"/>
          <w14:ligatures w14:val="standardContextual"/>
        </w:rPr>
      </w:pPr>
      <w:hyperlink w:anchor="_Toc232618434" w:history="1">
        <w:r w:rsidRPr="00FF6AD1">
          <w:rPr>
            <w:rStyle w:val="Hyperlink"/>
            <w:noProof/>
          </w:rPr>
          <w:t>Promoting Coherence Across Statewide System of Support</w:t>
        </w:r>
        <w:r>
          <w:rPr>
            <w:noProof/>
            <w:webHidden/>
          </w:rPr>
          <w:tab/>
        </w:r>
        <w:r>
          <w:rPr>
            <w:noProof/>
            <w:webHidden/>
          </w:rPr>
          <w:fldChar w:fldCharType="begin"/>
        </w:r>
        <w:r>
          <w:rPr>
            <w:noProof/>
            <w:webHidden/>
          </w:rPr>
          <w:instrText xml:space="preserve"> PAGEREF _Toc232618434 \h </w:instrText>
        </w:r>
        <w:r>
          <w:rPr>
            <w:noProof/>
            <w:webHidden/>
          </w:rPr>
        </w:r>
        <w:r>
          <w:rPr>
            <w:noProof/>
            <w:webHidden/>
          </w:rPr>
          <w:fldChar w:fldCharType="separate"/>
        </w:r>
        <w:r w:rsidR="00FD0DDD">
          <w:rPr>
            <w:noProof/>
            <w:webHidden/>
          </w:rPr>
          <w:t>6</w:t>
        </w:r>
        <w:r>
          <w:rPr>
            <w:noProof/>
            <w:webHidden/>
          </w:rPr>
          <w:fldChar w:fldCharType="end"/>
        </w:r>
      </w:hyperlink>
    </w:p>
    <w:p w14:paraId="7123B6E3" w14:textId="37ACF454" w:rsidR="00323FC2" w:rsidRDefault="00323FC2">
      <w:pPr>
        <w:pStyle w:val="TOC2"/>
        <w:rPr>
          <w:rFonts w:asciiTheme="minorHAnsi" w:eastAsiaTheme="minorEastAsia" w:hAnsiTheme="minorHAnsi" w:cstheme="minorBidi"/>
          <w:noProof/>
          <w:kern w:val="2"/>
          <w14:ligatures w14:val="standardContextual"/>
        </w:rPr>
      </w:pPr>
      <w:hyperlink w:anchor="_Toc232618435" w:history="1">
        <w:r w:rsidRPr="00FF6AD1">
          <w:rPr>
            <w:rStyle w:val="Hyperlink"/>
            <w:noProof/>
          </w:rPr>
          <w:t>Maintaining Focus on Equity</w:t>
        </w:r>
        <w:r>
          <w:rPr>
            <w:noProof/>
            <w:webHidden/>
          </w:rPr>
          <w:tab/>
        </w:r>
        <w:r>
          <w:rPr>
            <w:noProof/>
            <w:webHidden/>
          </w:rPr>
          <w:fldChar w:fldCharType="begin"/>
        </w:r>
        <w:r>
          <w:rPr>
            <w:noProof/>
            <w:webHidden/>
          </w:rPr>
          <w:instrText xml:space="preserve"> PAGEREF _Toc232618435 \h </w:instrText>
        </w:r>
        <w:r>
          <w:rPr>
            <w:noProof/>
            <w:webHidden/>
          </w:rPr>
        </w:r>
        <w:r>
          <w:rPr>
            <w:noProof/>
            <w:webHidden/>
          </w:rPr>
          <w:fldChar w:fldCharType="separate"/>
        </w:r>
        <w:r w:rsidR="00FD0DDD">
          <w:rPr>
            <w:noProof/>
            <w:webHidden/>
          </w:rPr>
          <w:t>6</w:t>
        </w:r>
        <w:r>
          <w:rPr>
            <w:noProof/>
            <w:webHidden/>
          </w:rPr>
          <w:fldChar w:fldCharType="end"/>
        </w:r>
      </w:hyperlink>
    </w:p>
    <w:p w14:paraId="022C1688" w14:textId="573740C4" w:rsidR="00323FC2" w:rsidRDefault="00323FC2">
      <w:pPr>
        <w:pStyle w:val="TOC2"/>
        <w:rPr>
          <w:rFonts w:asciiTheme="minorHAnsi" w:eastAsiaTheme="minorEastAsia" w:hAnsiTheme="minorHAnsi" w:cstheme="minorBidi"/>
          <w:noProof/>
          <w:kern w:val="2"/>
          <w14:ligatures w14:val="standardContextual"/>
        </w:rPr>
      </w:pPr>
      <w:hyperlink w:anchor="_Toc232618436" w:history="1">
        <w:r w:rsidRPr="00FF6AD1">
          <w:rPr>
            <w:rStyle w:val="Hyperlink"/>
            <w:noProof/>
          </w:rPr>
          <w:t>Reviewing Data Runs to Inform Opinions</w:t>
        </w:r>
        <w:r>
          <w:rPr>
            <w:noProof/>
            <w:webHidden/>
          </w:rPr>
          <w:tab/>
        </w:r>
        <w:r>
          <w:rPr>
            <w:noProof/>
            <w:webHidden/>
          </w:rPr>
          <w:fldChar w:fldCharType="begin"/>
        </w:r>
        <w:r>
          <w:rPr>
            <w:noProof/>
            <w:webHidden/>
          </w:rPr>
          <w:instrText xml:space="preserve"> PAGEREF _Toc232618436 \h </w:instrText>
        </w:r>
        <w:r>
          <w:rPr>
            <w:noProof/>
            <w:webHidden/>
          </w:rPr>
        </w:r>
        <w:r>
          <w:rPr>
            <w:noProof/>
            <w:webHidden/>
          </w:rPr>
          <w:fldChar w:fldCharType="separate"/>
        </w:r>
        <w:r w:rsidR="00FD0DDD">
          <w:rPr>
            <w:noProof/>
            <w:webHidden/>
          </w:rPr>
          <w:t>6</w:t>
        </w:r>
        <w:r>
          <w:rPr>
            <w:noProof/>
            <w:webHidden/>
          </w:rPr>
          <w:fldChar w:fldCharType="end"/>
        </w:r>
      </w:hyperlink>
    </w:p>
    <w:p w14:paraId="706920D1" w14:textId="5A6F0292" w:rsidR="00323FC2" w:rsidRDefault="00323FC2">
      <w:pPr>
        <w:pStyle w:val="TOC2"/>
        <w:rPr>
          <w:rFonts w:asciiTheme="minorHAnsi" w:eastAsiaTheme="minorEastAsia" w:hAnsiTheme="minorHAnsi" w:cstheme="minorBidi"/>
          <w:noProof/>
          <w:kern w:val="2"/>
          <w14:ligatures w14:val="standardContextual"/>
        </w:rPr>
      </w:pPr>
      <w:hyperlink w:anchor="_Toc232618437" w:history="1">
        <w:r w:rsidRPr="00FF6AD1">
          <w:rPr>
            <w:rStyle w:val="Hyperlink"/>
            <w:noProof/>
          </w:rPr>
          <w:t>Seeking Further Input From Colleagues</w:t>
        </w:r>
        <w:r>
          <w:rPr>
            <w:noProof/>
            <w:webHidden/>
          </w:rPr>
          <w:tab/>
        </w:r>
        <w:r>
          <w:rPr>
            <w:noProof/>
            <w:webHidden/>
          </w:rPr>
          <w:fldChar w:fldCharType="begin"/>
        </w:r>
        <w:r>
          <w:rPr>
            <w:noProof/>
            <w:webHidden/>
          </w:rPr>
          <w:instrText xml:space="preserve"> PAGEREF _Toc232618437 \h </w:instrText>
        </w:r>
        <w:r>
          <w:rPr>
            <w:noProof/>
            <w:webHidden/>
          </w:rPr>
        </w:r>
        <w:r>
          <w:rPr>
            <w:noProof/>
            <w:webHidden/>
          </w:rPr>
          <w:fldChar w:fldCharType="separate"/>
        </w:r>
        <w:r w:rsidR="00FD0DDD">
          <w:rPr>
            <w:noProof/>
            <w:webHidden/>
          </w:rPr>
          <w:t>6</w:t>
        </w:r>
        <w:r>
          <w:rPr>
            <w:noProof/>
            <w:webHidden/>
          </w:rPr>
          <w:fldChar w:fldCharType="end"/>
        </w:r>
      </w:hyperlink>
    </w:p>
    <w:p w14:paraId="0C1CE1BA" w14:textId="40A442D1" w:rsidR="00323FC2" w:rsidRDefault="00323FC2">
      <w:pPr>
        <w:pStyle w:val="TOC1"/>
        <w:rPr>
          <w:rFonts w:asciiTheme="minorHAnsi" w:eastAsiaTheme="minorEastAsia" w:hAnsiTheme="minorHAnsi" w:cstheme="minorBidi"/>
          <w:noProof/>
          <w:kern w:val="2"/>
          <w14:ligatures w14:val="standardContextual"/>
        </w:rPr>
      </w:pPr>
      <w:hyperlink w:anchor="_Toc232618438" w:history="1">
        <w:r w:rsidRPr="00FF6AD1">
          <w:rPr>
            <w:rStyle w:val="Hyperlink"/>
            <w:noProof/>
          </w:rPr>
          <w:t>Findings by Focus Areas</w:t>
        </w:r>
        <w:r>
          <w:rPr>
            <w:noProof/>
            <w:webHidden/>
          </w:rPr>
          <w:tab/>
        </w:r>
        <w:r>
          <w:rPr>
            <w:noProof/>
            <w:webHidden/>
          </w:rPr>
          <w:fldChar w:fldCharType="begin"/>
        </w:r>
        <w:r>
          <w:rPr>
            <w:noProof/>
            <w:webHidden/>
          </w:rPr>
          <w:instrText xml:space="preserve"> PAGEREF _Toc232618438 \h </w:instrText>
        </w:r>
        <w:r>
          <w:rPr>
            <w:noProof/>
            <w:webHidden/>
          </w:rPr>
        </w:r>
        <w:r>
          <w:rPr>
            <w:noProof/>
            <w:webHidden/>
          </w:rPr>
          <w:fldChar w:fldCharType="separate"/>
        </w:r>
        <w:r w:rsidR="00FD0DDD">
          <w:rPr>
            <w:noProof/>
            <w:webHidden/>
          </w:rPr>
          <w:t>7</w:t>
        </w:r>
        <w:r>
          <w:rPr>
            <w:noProof/>
            <w:webHidden/>
          </w:rPr>
          <w:fldChar w:fldCharType="end"/>
        </w:r>
      </w:hyperlink>
    </w:p>
    <w:p w14:paraId="4B0C40E9" w14:textId="2A900010" w:rsidR="00323FC2" w:rsidRDefault="00323FC2">
      <w:pPr>
        <w:pStyle w:val="TOC2"/>
        <w:rPr>
          <w:rFonts w:asciiTheme="minorHAnsi" w:eastAsiaTheme="minorEastAsia" w:hAnsiTheme="minorHAnsi" w:cstheme="minorBidi"/>
          <w:noProof/>
          <w:kern w:val="2"/>
          <w14:ligatures w14:val="standardContextual"/>
        </w:rPr>
      </w:pPr>
      <w:hyperlink w:anchor="_Toc232618439" w:history="1">
        <w:r w:rsidRPr="00FF6AD1">
          <w:rPr>
            <w:rStyle w:val="Hyperlink"/>
            <w:noProof/>
          </w:rPr>
          <w:t>Number of years of eligibility</w:t>
        </w:r>
        <w:r>
          <w:rPr>
            <w:noProof/>
            <w:webHidden/>
          </w:rPr>
          <w:tab/>
        </w:r>
        <w:r>
          <w:rPr>
            <w:noProof/>
            <w:webHidden/>
          </w:rPr>
          <w:fldChar w:fldCharType="begin"/>
        </w:r>
        <w:r>
          <w:rPr>
            <w:noProof/>
            <w:webHidden/>
          </w:rPr>
          <w:instrText xml:space="preserve"> PAGEREF _Toc232618439 \h </w:instrText>
        </w:r>
        <w:r>
          <w:rPr>
            <w:noProof/>
            <w:webHidden/>
          </w:rPr>
        </w:r>
        <w:r>
          <w:rPr>
            <w:noProof/>
            <w:webHidden/>
          </w:rPr>
          <w:fldChar w:fldCharType="separate"/>
        </w:r>
        <w:r w:rsidR="00FD0DDD">
          <w:rPr>
            <w:noProof/>
            <w:webHidden/>
          </w:rPr>
          <w:t>7</w:t>
        </w:r>
        <w:r>
          <w:rPr>
            <w:noProof/>
            <w:webHidden/>
          </w:rPr>
          <w:fldChar w:fldCharType="end"/>
        </w:r>
      </w:hyperlink>
    </w:p>
    <w:p w14:paraId="30230828" w14:textId="30A75A02" w:rsidR="00323FC2" w:rsidRDefault="00323FC2">
      <w:pPr>
        <w:pStyle w:val="TOC2"/>
        <w:rPr>
          <w:rFonts w:asciiTheme="minorHAnsi" w:eastAsiaTheme="minorEastAsia" w:hAnsiTheme="minorHAnsi" w:cstheme="minorBidi"/>
          <w:noProof/>
          <w:kern w:val="2"/>
          <w14:ligatures w14:val="standardContextual"/>
        </w:rPr>
      </w:pPr>
      <w:hyperlink w:anchor="_Toc232618440" w:history="1">
        <w:r w:rsidRPr="00FF6AD1">
          <w:rPr>
            <w:rStyle w:val="Hyperlink"/>
            <w:noProof/>
          </w:rPr>
          <w:t>Separating state indicators from LCFF priority areas</w:t>
        </w:r>
        <w:r>
          <w:rPr>
            <w:noProof/>
            <w:webHidden/>
          </w:rPr>
          <w:tab/>
        </w:r>
        <w:r>
          <w:rPr>
            <w:noProof/>
            <w:webHidden/>
          </w:rPr>
          <w:fldChar w:fldCharType="begin"/>
        </w:r>
        <w:r>
          <w:rPr>
            <w:noProof/>
            <w:webHidden/>
          </w:rPr>
          <w:instrText xml:space="preserve"> PAGEREF _Toc232618440 \h </w:instrText>
        </w:r>
        <w:r>
          <w:rPr>
            <w:noProof/>
            <w:webHidden/>
          </w:rPr>
        </w:r>
        <w:r>
          <w:rPr>
            <w:noProof/>
            <w:webHidden/>
          </w:rPr>
          <w:fldChar w:fldCharType="separate"/>
        </w:r>
        <w:r w:rsidR="00FD0DDD">
          <w:rPr>
            <w:noProof/>
            <w:webHidden/>
          </w:rPr>
          <w:t>8</w:t>
        </w:r>
        <w:r>
          <w:rPr>
            <w:noProof/>
            <w:webHidden/>
          </w:rPr>
          <w:fldChar w:fldCharType="end"/>
        </w:r>
      </w:hyperlink>
    </w:p>
    <w:p w14:paraId="4AFCB462" w14:textId="043DA624" w:rsidR="00323FC2" w:rsidRDefault="00323FC2">
      <w:pPr>
        <w:pStyle w:val="TOC2"/>
        <w:rPr>
          <w:rFonts w:asciiTheme="minorHAnsi" w:eastAsiaTheme="minorEastAsia" w:hAnsiTheme="minorHAnsi" w:cstheme="minorBidi"/>
          <w:noProof/>
          <w:kern w:val="2"/>
          <w14:ligatures w14:val="standardContextual"/>
        </w:rPr>
      </w:pPr>
      <w:hyperlink w:anchor="_Toc232618441" w:history="1">
        <w:r w:rsidRPr="00FF6AD1">
          <w:rPr>
            <w:rStyle w:val="Hyperlink"/>
            <w:noProof/>
          </w:rPr>
          <w:t>Growth</w:t>
        </w:r>
        <w:r>
          <w:rPr>
            <w:noProof/>
            <w:webHidden/>
          </w:rPr>
          <w:tab/>
        </w:r>
        <w:r>
          <w:rPr>
            <w:noProof/>
            <w:webHidden/>
          </w:rPr>
          <w:fldChar w:fldCharType="begin"/>
        </w:r>
        <w:r>
          <w:rPr>
            <w:noProof/>
            <w:webHidden/>
          </w:rPr>
          <w:instrText xml:space="preserve"> PAGEREF _Toc232618441 \h </w:instrText>
        </w:r>
        <w:r>
          <w:rPr>
            <w:noProof/>
            <w:webHidden/>
          </w:rPr>
        </w:r>
        <w:r>
          <w:rPr>
            <w:noProof/>
            <w:webHidden/>
          </w:rPr>
          <w:fldChar w:fldCharType="separate"/>
        </w:r>
        <w:r w:rsidR="00FD0DDD">
          <w:rPr>
            <w:noProof/>
            <w:webHidden/>
          </w:rPr>
          <w:t>9</w:t>
        </w:r>
        <w:r>
          <w:rPr>
            <w:noProof/>
            <w:webHidden/>
          </w:rPr>
          <w:fldChar w:fldCharType="end"/>
        </w:r>
      </w:hyperlink>
    </w:p>
    <w:p w14:paraId="5BA0E2E0" w14:textId="5DEE5B60" w:rsidR="00323FC2" w:rsidRDefault="00323FC2">
      <w:pPr>
        <w:pStyle w:val="TOC2"/>
        <w:rPr>
          <w:rFonts w:asciiTheme="minorHAnsi" w:eastAsiaTheme="minorEastAsia" w:hAnsiTheme="minorHAnsi" w:cstheme="minorBidi"/>
          <w:noProof/>
          <w:kern w:val="2"/>
          <w14:ligatures w14:val="standardContextual"/>
        </w:rPr>
      </w:pPr>
      <w:hyperlink w:anchor="_Toc232618442" w:history="1">
        <w:r w:rsidRPr="00FF6AD1">
          <w:rPr>
            <w:rStyle w:val="Hyperlink"/>
            <w:noProof/>
          </w:rPr>
          <w:t>All Students subgroup</w:t>
        </w:r>
        <w:r>
          <w:rPr>
            <w:noProof/>
            <w:webHidden/>
          </w:rPr>
          <w:tab/>
        </w:r>
        <w:r>
          <w:rPr>
            <w:noProof/>
            <w:webHidden/>
          </w:rPr>
          <w:fldChar w:fldCharType="begin"/>
        </w:r>
        <w:r>
          <w:rPr>
            <w:noProof/>
            <w:webHidden/>
          </w:rPr>
          <w:instrText xml:space="preserve"> PAGEREF _Toc232618442 \h </w:instrText>
        </w:r>
        <w:r>
          <w:rPr>
            <w:noProof/>
            <w:webHidden/>
          </w:rPr>
        </w:r>
        <w:r>
          <w:rPr>
            <w:noProof/>
            <w:webHidden/>
          </w:rPr>
          <w:fldChar w:fldCharType="separate"/>
        </w:r>
        <w:r w:rsidR="00FD0DDD">
          <w:rPr>
            <w:noProof/>
            <w:webHidden/>
          </w:rPr>
          <w:t>10</w:t>
        </w:r>
        <w:r>
          <w:rPr>
            <w:noProof/>
            <w:webHidden/>
          </w:rPr>
          <w:fldChar w:fldCharType="end"/>
        </w:r>
      </w:hyperlink>
    </w:p>
    <w:p w14:paraId="462C8BF5" w14:textId="4AF605C5" w:rsidR="00323FC2" w:rsidRDefault="00323FC2">
      <w:pPr>
        <w:pStyle w:val="TOC2"/>
        <w:rPr>
          <w:rFonts w:asciiTheme="minorHAnsi" w:eastAsiaTheme="minorEastAsia" w:hAnsiTheme="minorHAnsi" w:cstheme="minorBidi"/>
          <w:noProof/>
          <w:kern w:val="2"/>
          <w14:ligatures w14:val="standardContextual"/>
        </w:rPr>
      </w:pPr>
      <w:hyperlink w:anchor="_Toc232618443" w:history="1">
        <w:r w:rsidRPr="00FF6AD1">
          <w:rPr>
            <w:rStyle w:val="Hyperlink"/>
            <w:noProof/>
          </w:rPr>
          <w:t>Science</w:t>
        </w:r>
        <w:r>
          <w:rPr>
            <w:noProof/>
            <w:webHidden/>
          </w:rPr>
          <w:tab/>
        </w:r>
        <w:r>
          <w:rPr>
            <w:noProof/>
            <w:webHidden/>
          </w:rPr>
          <w:fldChar w:fldCharType="begin"/>
        </w:r>
        <w:r>
          <w:rPr>
            <w:noProof/>
            <w:webHidden/>
          </w:rPr>
          <w:instrText xml:space="preserve"> PAGEREF _Toc232618443 \h </w:instrText>
        </w:r>
        <w:r>
          <w:rPr>
            <w:noProof/>
            <w:webHidden/>
          </w:rPr>
        </w:r>
        <w:r>
          <w:rPr>
            <w:noProof/>
            <w:webHidden/>
          </w:rPr>
          <w:fldChar w:fldCharType="separate"/>
        </w:r>
        <w:r w:rsidR="00FD0DDD">
          <w:rPr>
            <w:noProof/>
            <w:webHidden/>
          </w:rPr>
          <w:t>11</w:t>
        </w:r>
        <w:r>
          <w:rPr>
            <w:noProof/>
            <w:webHidden/>
          </w:rPr>
          <w:fldChar w:fldCharType="end"/>
        </w:r>
      </w:hyperlink>
    </w:p>
    <w:p w14:paraId="36021504" w14:textId="228BAB46" w:rsidR="00323FC2" w:rsidRDefault="00323FC2">
      <w:pPr>
        <w:pStyle w:val="TOC2"/>
        <w:rPr>
          <w:rFonts w:asciiTheme="minorHAnsi" w:eastAsiaTheme="minorEastAsia" w:hAnsiTheme="minorHAnsi" w:cstheme="minorBidi"/>
          <w:noProof/>
          <w:kern w:val="2"/>
          <w14:ligatures w14:val="standardContextual"/>
        </w:rPr>
      </w:pPr>
      <w:hyperlink w:anchor="_Toc232618444" w:history="1">
        <w:r w:rsidRPr="00FF6AD1">
          <w:rPr>
            <w:rStyle w:val="Hyperlink"/>
            <w:noProof/>
          </w:rPr>
          <w:t>CALPADS</w:t>
        </w:r>
        <w:r>
          <w:rPr>
            <w:noProof/>
            <w:webHidden/>
          </w:rPr>
          <w:tab/>
        </w:r>
        <w:r>
          <w:rPr>
            <w:noProof/>
            <w:webHidden/>
          </w:rPr>
          <w:fldChar w:fldCharType="begin"/>
        </w:r>
        <w:r>
          <w:rPr>
            <w:noProof/>
            <w:webHidden/>
          </w:rPr>
          <w:instrText xml:space="preserve"> PAGEREF _Toc232618444 \h </w:instrText>
        </w:r>
        <w:r>
          <w:rPr>
            <w:noProof/>
            <w:webHidden/>
          </w:rPr>
        </w:r>
        <w:r>
          <w:rPr>
            <w:noProof/>
            <w:webHidden/>
          </w:rPr>
          <w:fldChar w:fldCharType="separate"/>
        </w:r>
        <w:r w:rsidR="00FD0DDD">
          <w:rPr>
            <w:noProof/>
            <w:webHidden/>
          </w:rPr>
          <w:t>12</w:t>
        </w:r>
        <w:r>
          <w:rPr>
            <w:noProof/>
            <w:webHidden/>
          </w:rPr>
          <w:fldChar w:fldCharType="end"/>
        </w:r>
      </w:hyperlink>
    </w:p>
    <w:p w14:paraId="08ECFA39" w14:textId="7BB0FA3A" w:rsidR="00323FC2" w:rsidRDefault="00323FC2">
      <w:pPr>
        <w:pStyle w:val="TOC2"/>
        <w:rPr>
          <w:rFonts w:asciiTheme="minorHAnsi" w:eastAsiaTheme="minorEastAsia" w:hAnsiTheme="minorHAnsi" w:cstheme="minorBidi"/>
          <w:noProof/>
          <w:kern w:val="2"/>
          <w14:ligatures w14:val="standardContextual"/>
        </w:rPr>
      </w:pPr>
      <w:hyperlink w:anchor="_Toc232618445" w:history="1">
        <w:r w:rsidRPr="00FF6AD1">
          <w:rPr>
            <w:rStyle w:val="Hyperlink"/>
            <w:noProof/>
          </w:rPr>
          <w:t>Direct Technical Assistance (DTA)</w:t>
        </w:r>
        <w:r>
          <w:rPr>
            <w:noProof/>
            <w:webHidden/>
          </w:rPr>
          <w:tab/>
        </w:r>
        <w:r>
          <w:rPr>
            <w:noProof/>
            <w:webHidden/>
          </w:rPr>
          <w:fldChar w:fldCharType="begin"/>
        </w:r>
        <w:r>
          <w:rPr>
            <w:noProof/>
            <w:webHidden/>
          </w:rPr>
          <w:instrText xml:space="preserve"> PAGEREF _Toc232618445 \h </w:instrText>
        </w:r>
        <w:r>
          <w:rPr>
            <w:noProof/>
            <w:webHidden/>
          </w:rPr>
        </w:r>
        <w:r>
          <w:rPr>
            <w:noProof/>
            <w:webHidden/>
          </w:rPr>
          <w:fldChar w:fldCharType="separate"/>
        </w:r>
        <w:r w:rsidR="00FD0DDD">
          <w:rPr>
            <w:noProof/>
            <w:webHidden/>
          </w:rPr>
          <w:t>13</w:t>
        </w:r>
        <w:r>
          <w:rPr>
            <w:noProof/>
            <w:webHidden/>
          </w:rPr>
          <w:fldChar w:fldCharType="end"/>
        </w:r>
      </w:hyperlink>
    </w:p>
    <w:p w14:paraId="0647FFED" w14:textId="3620D389" w:rsidR="00323FC2" w:rsidRDefault="00323FC2">
      <w:pPr>
        <w:pStyle w:val="TOC2"/>
        <w:rPr>
          <w:rFonts w:asciiTheme="minorHAnsi" w:eastAsiaTheme="minorEastAsia" w:hAnsiTheme="minorHAnsi" w:cstheme="minorBidi"/>
          <w:noProof/>
          <w:kern w:val="2"/>
          <w14:ligatures w14:val="standardContextual"/>
        </w:rPr>
      </w:pPr>
      <w:hyperlink w:anchor="_Toc232618446" w:history="1">
        <w:r w:rsidRPr="00FF6AD1">
          <w:rPr>
            <w:rStyle w:val="Hyperlink"/>
            <w:noProof/>
          </w:rPr>
          <w:t>DASS- and COE-specific eligibility design</w:t>
        </w:r>
        <w:r>
          <w:rPr>
            <w:noProof/>
            <w:webHidden/>
          </w:rPr>
          <w:tab/>
        </w:r>
        <w:r>
          <w:rPr>
            <w:noProof/>
            <w:webHidden/>
          </w:rPr>
          <w:fldChar w:fldCharType="begin"/>
        </w:r>
        <w:r>
          <w:rPr>
            <w:noProof/>
            <w:webHidden/>
          </w:rPr>
          <w:instrText xml:space="preserve"> PAGEREF _Toc232618446 \h </w:instrText>
        </w:r>
        <w:r>
          <w:rPr>
            <w:noProof/>
            <w:webHidden/>
          </w:rPr>
        </w:r>
        <w:r>
          <w:rPr>
            <w:noProof/>
            <w:webHidden/>
          </w:rPr>
          <w:fldChar w:fldCharType="separate"/>
        </w:r>
        <w:r w:rsidR="00FD0DDD">
          <w:rPr>
            <w:noProof/>
            <w:webHidden/>
          </w:rPr>
          <w:t>14</w:t>
        </w:r>
        <w:r>
          <w:rPr>
            <w:noProof/>
            <w:webHidden/>
          </w:rPr>
          <w:fldChar w:fldCharType="end"/>
        </w:r>
      </w:hyperlink>
    </w:p>
    <w:p w14:paraId="1331E8D0" w14:textId="24FAE978" w:rsidR="00323FC2" w:rsidRDefault="00323FC2">
      <w:pPr>
        <w:pStyle w:val="TOC1"/>
        <w:rPr>
          <w:rFonts w:asciiTheme="minorHAnsi" w:eastAsiaTheme="minorEastAsia" w:hAnsiTheme="minorHAnsi" w:cstheme="minorBidi"/>
          <w:noProof/>
          <w:kern w:val="2"/>
          <w14:ligatures w14:val="standardContextual"/>
        </w:rPr>
      </w:pPr>
      <w:hyperlink w:anchor="_Toc232618447" w:history="1">
        <w:r w:rsidRPr="00FF6AD1">
          <w:rPr>
            <w:rStyle w:val="Hyperlink"/>
            <w:noProof/>
          </w:rPr>
          <w:t>Perspectives Across Focus Areas</w:t>
        </w:r>
        <w:r>
          <w:rPr>
            <w:noProof/>
            <w:webHidden/>
          </w:rPr>
          <w:tab/>
        </w:r>
        <w:r>
          <w:rPr>
            <w:noProof/>
            <w:webHidden/>
          </w:rPr>
          <w:fldChar w:fldCharType="begin"/>
        </w:r>
        <w:r>
          <w:rPr>
            <w:noProof/>
            <w:webHidden/>
          </w:rPr>
          <w:instrText xml:space="preserve"> PAGEREF _Toc232618447 \h </w:instrText>
        </w:r>
        <w:r>
          <w:rPr>
            <w:noProof/>
            <w:webHidden/>
          </w:rPr>
        </w:r>
        <w:r>
          <w:rPr>
            <w:noProof/>
            <w:webHidden/>
          </w:rPr>
          <w:fldChar w:fldCharType="separate"/>
        </w:r>
        <w:r w:rsidR="00FD0DDD">
          <w:rPr>
            <w:noProof/>
            <w:webHidden/>
          </w:rPr>
          <w:t>15</w:t>
        </w:r>
        <w:r>
          <w:rPr>
            <w:noProof/>
            <w:webHidden/>
          </w:rPr>
          <w:fldChar w:fldCharType="end"/>
        </w:r>
      </w:hyperlink>
    </w:p>
    <w:p w14:paraId="7CBD3280" w14:textId="337E1E34" w:rsidR="00323FC2" w:rsidRDefault="00323FC2">
      <w:pPr>
        <w:pStyle w:val="TOC1"/>
        <w:rPr>
          <w:rFonts w:asciiTheme="minorHAnsi" w:eastAsiaTheme="minorEastAsia" w:hAnsiTheme="minorHAnsi" w:cstheme="minorBidi"/>
          <w:noProof/>
          <w:kern w:val="2"/>
          <w14:ligatures w14:val="standardContextual"/>
        </w:rPr>
      </w:pPr>
      <w:hyperlink w:anchor="_Toc232618448" w:history="1">
        <w:r w:rsidRPr="00FF6AD1">
          <w:rPr>
            <w:rStyle w:val="Hyperlink"/>
            <w:noProof/>
          </w:rPr>
          <w:t>Conclusion</w:t>
        </w:r>
        <w:r>
          <w:rPr>
            <w:noProof/>
            <w:webHidden/>
          </w:rPr>
          <w:tab/>
        </w:r>
        <w:r>
          <w:rPr>
            <w:noProof/>
            <w:webHidden/>
          </w:rPr>
          <w:fldChar w:fldCharType="begin"/>
        </w:r>
        <w:r>
          <w:rPr>
            <w:noProof/>
            <w:webHidden/>
          </w:rPr>
          <w:instrText xml:space="preserve"> PAGEREF _Toc232618448 \h </w:instrText>
        </w:r>
        <w:r>
          <w:rPr>
            <w:noProof/>
            <w:webHidden/>
          </w:rPr>
        </w:r>
        <w:r>
          <w:rPr>
            <w:noProof/>
            <w:webHidden/>
          </w:rPr>
          <w:fldChar w:fldCharType="separate"/>
        </w:r>
        <w:r w:rsidR="00FD0DDD">
          <w:rPr>
            <w:noProof/>
            <w:webHidden/>
          </w:rPr>
          <w:t>15</w:t>
        </w:r>
        <w:r>
          <w:rPr>
            <w:noProof/>
            <w:webHidden/>
          </w:rPr>
          <w:fldChar w:fldCharType="end"/>
        </w:r>
      </w:hyperlink>
    </w:p>
    <w:p w14:paraId="01474886" w14:textId="71AC0046" w:rsidR="00323FC2" w:rsidRDefault="00323FC2">
      <w:pPr>
        <w:pStyle w:val="TOC1"/>
        <w:rPr>
          <w:rFonts w:asciiTheme="minorHAnsi" w:eastAsiaTheme="minorEastAsia" w:hAnsiTheme="minorHAnsi" w:cstheme="minorBidi"/>
          <w:noProof/>
          <w:kern w:val="2"/>
          <w14:ligatures w14:val="standardContextual"/>
        </w:rPr>
      </w:pPr>
      <w:hyperlink w:anchor="_Toc232618449" w:history="1">
        <w:r w:rsidRPr="00FF6AD1">
          <w:rPr>
            <w:rStyle w:val="Hyperlink"/>
            <w:noProof/>
          </w:rPr>
          <w:t>Appendix: Listening Session Discussion Questions &amp; Poll Questions</w:t>
        </w:r>
        <w:r>
          <w:rPr>
            <w:noProof/>
            <w:webHidden/>
          </w:rPr>
          <w:tab/>
        </w:r>
        <w:r>
          <w:rPr>
            <w:noProof/>
            <w:webHidden/>
          </w:rPr>
          <w:fldChar w:fldCharType="begin"/>
        </w:r>
        <w:r>
          <w:rPr>
            <w:noProof/>
            <w:webHidden/>
          </w:rPr>
          <w:instrText xml:space="preserve"> PAGEREF _Toc232618449 \h </w:instrText>
        </w:r>
        <w:r>
          <w:rPr>
            <w:noProof/>
            <w:webHidden/>
          </w:rPr>
        </w:r>
        <w:r>
          <w:rPr>
            <w:noProof/>
            <w:webHidden/>
          </w:rPr>
          <w:fldChar w:fldCharType="separate"/>
        </w:r>
        <w:r w:rsidR="00FD0DDD">
          <w:rPr>
            <w:noProof/>
            <w:webHidden/>
          </w:rPr>
          <w:t>17</w:t>
        </w:r>
        <w:r>
          <w:rPr>
            <w:noProof/>
            <w:webHidden/>
          </w:rPr>
          <w:fldChar w:fldCharType="end"/>
        </w:r>
      </w:hyperlink>
    </w:p>
    <w:p w14:paraId="26B5DF13" w14:textId="73F32801" w:rsidR="00323FC2" w:rsidRDefault="00323FC2">
      <w:pPr>
        <w:pStyle w:val="TOC2"/>
        <w:rPr>
          <w:rFonts w:asciiTheme="minorHAnsi" w:eastAsiaTheme="minorEastAsia" w:hAnsiTheme="minorHAnsi" w:cstheme="minorBidi"/>
          <w:noProof/>
          <w:kern w:val="2"/>
          <w14:ligatures w14:val="standardContextual"/>
        </w:rPr>
      </w:pPr>
      <w:hyperlink w:anchor="_Toc232618450" w:history="1">
        <w:r w:rsidRPr="00FF6AD1">
          <w:rPr>
            <w:rStyle w:val="Hyperlink"/>
            <w:noProof/>
          </w:rPr>
          <w:t>Listening Session Questions</w:t>
        </w:r>
        <w:r>
          <w:rPr>
            <w:noProof/>
            <w:webHidden/>
          </w:rPr>
          <w:tab/>
        </w:r>
        <w:r>
          <w:rPr>
            <w:noProof/>
            <w:webHidden/>
          </w:rPr>
          <w:fldChar w:fldCharType="begin"/>
        </w:r>
        <w:r>
          <w:rPr>
            <w:noProof/>
            <w:webHidden/>
          </w:rPr>
          <w:instrText xml:space="preserve"> PAGEREF _Toc232618450 \h </w:instrText>
        </w:r>
        <w:r>
          <w:rPr>
            <w:noProof/>
            <w:webHidden/>
          </w:rPr>
        </w:r>
        <w:r>
          <w:rPr>
            <w:noProof/>
            <w:webHidden/>
          </w:rPr>
          <w:fldChar w:fldCharType="separate"/>
        </w:r>
        <w:r w:rsidR="00FD0DDD">
          <w:rPr>
            <w:noProof/>
            <w:webHidden/>
          </w:rPr>
          <w:t>17</w:t>
        </w:r>
        <w:r>
          <w:rPr>
            <w:noProof/>
            <w:webHidden/>
          </w:rPr>
          <w:fldChar w:fldCharType="end"/>
        </w:r>
      </w:hyperlink>
    </w:p>
    <w:p w14:paraId="70FC8F38" w14:textId="2A3B9DB1" w:rsidR="00AB735D" w:rsidRDefault="00AB735D" w:rsidP="002A2F60">
      <w:pPr>
        <w:tabs>
          <w:tab w:val="left" w:leader="dot" w:pos="11520"/>
        </w:tabs>
      </w:pPr>
      <w:r>
        <w:fldChar w:fldCharType="end"/>
      </w:r>
    </w:p>
    <w:p w14:paraId="240F3C93" w14:textId="77777777" w:rsidR="00AB735D" w:rsidRDefault="00AB735D" w:rsidP="002A2F60">
      <w:r>
        <w:br w:type="page"/>
      </w:r>
    </w:p>
    <w:p w14:paraId="77939629" w14:textId="77777777" w:rsidR="00AB735D" w:rsidRDefault="00AB735D" w:rsidP="00AB735D">
      <w:pPr>
        <w:pStyle w:val="TOCHeading"/>
      </w:pPr>
      <w:r>
        <w:lastRenderedPageBreak/>
        <w:t>Exhibits</w:t>
      </w:r>
    </w:p>
    <w:p w14:paraId="73F49D06" w14:textId="77777777" w:rsidR="00AB735D" w:rsidRPr="00FD3609" w:rsidRDefault="00217BD4" w:rsidP="000A38AA">
      <w:pPr>
        <w:pStyle w:val="TOCPage"/>
      </w:pPr>
      <w:r w:rsidRPr="00FD3609">
        <w:t>Page</w:t>
      </w:r>
    </w:p>
    <w:p w14:paraId="39F1EF3C" w14:textId="10F2E37F" w:rsidR="00323FC2" w:rsidRDefault="00AB735D">
      <w:pPr>
        <w:pStyle w:val="TOC1"/>
        <w:rPr>
          <w:rFonts w:asciiTheme="minorHAnsi" w:eastAsiaTheme="minorEastAsia" w:hAnsiTheme="minorHAnsi" w:cstheme="minorBidi"/>
          <w:noProof/>
          <w:kern w:val="2"/>
          <w14:ligatures w14:val="standardContextual"/>
        </w:rPr>
      </w:pPr>
      <w:r>
        <w:fldChar w:fldCharType="begin"/>
      </w:r>
      <w:r>
        <w:instrText xml:space="preserve"> TOC \h \z \t "Caption,1,Exhibit Title,1,Figure Title,1,Table Title,1,Exhibit Title Appendix,1" </w:instrText>
      </w:r>
      <w:r>
        <w:fldChar w:fldCharType="separate"/>
      </w:r>
      <w:hyperlink w:anchor="_Toc232618451" w:history="1">
        <w:r w:rsidR="00323FC2" w:rsidRPr="00C31880">
          <w:rPr>
            <w:rStyle w:val="Hyperlink"/>
            <w:noProof/>
          </w:rPr>
          <w:t>Exhibit 1. Focus Areas Addressed by Listening Session</w:t>
        </w:r>
        <w:r w:rsidR="00323FC2">
          <w:rPr>
            <w:noProof/>
            <w:webHidden/>
          </w:rPr>
          <w:tab/>
        </w:r>
        <w:r w:rsidR="00323FC2">
          <w:rPr>
            <w:noProof/>
            <w:webHidden/>
          </w:rPr>
          <w:fldChar w:fldCharType="begin"/>
        </w:r>
        <w:r w:rsidR="00323FC2">
          <w:rPr>
            <w:noProof/>
            <w:webHidden/>
          </w:rPr>
          <w:instrText xml:space="preserve"> PAGEREF _Toc232618451 \h </w:instrText>
        </w:r>
        <w:r w:rsidR="00323FC2">
          <w:rPr>
            <w:noProof/>
            <w:webHidden/>
          </w:rPr>
        </w:r>
        <w:r w:rsidR="00323FC2">
          <w:rPr>
            <w:noProof/>
            <w:webHidden/>
          </w:rPr>
          <w:fldChar w:fldCharType="separate"/>
        </w:r>
        <w:r w:rsidR="00841F85">
          <w:rPr>
            <w:noProof/>
            <w:webHidden/>
          </w:rPr>
          <w:t>8</w:t>
        </w:r>
        <w:r w:rsidR="00323FC2">
          <w:rPr>
            <w:noProof/>
            <w:webHidden/>
          </w:rPr>
          <w:fldChar w:fldCharType="end"/>
        </w:r>
      </w:hyperlink>
    </w:p>
    <w:p w14:paraId="44E379AE" w14:textId="1173B128" w:rsidR="00AB735D" w:rsidRDefault="00AB735D" w:rsidP="00AB735D">
      <w:r>
        <w:fldChar w:fldCharType="end"/>
      </w:r>
    </w:p>
    <w:p w14:paraId="65BFD89B" w14:textId="77777777" w:rsidR="00AB735D" w:rsidRDefault="00AB735D" w:rsidP="00AB735D">
      <w:pPr>
        <w:sectPr w:rsidR="00AB735D" w:rsidSect="00A002AF">
          <w:headerReference w:type="default" r:id="rId15"/>
          <w:pgSz w:w="12240" w:h="15840"/>
          <w:pgMar w:top="1080" w:right="1080" w:bottom="1080" w:left="1080" w:header="0" w:footer="634" w:gutter="0"/>
          <w:cols w:space="720"/>
          <w:docGrid w:linePitch="360"/>
        </w:sectPr>
      </w:pPr>
    </w:p>
    <w:p w14:paraId="20544FFF" w14:textId="77777777" w:rsidR="004A2817" w:rsidRDefault="004A2817" w:rsidP="00F8504B">
      <w:pPr>
        <w:pStyle w:val="Heading2"/>
        <w:spacing w:before="240" w:after="60"/>
      </w:pPr>
      <w:bookmarkStart w:id="4" w:name="_Toc232618423"/>
      <w:bookmarkEnd w:id="1"/>
      <w:bookmarkEnd w:id="2"/>
      <w:bookmarkEnd w:id="3"/>
      <w:r>
        <w:lastRenderedPageBreak/>
        <w:t>Executive Summary</w:t>
      </w:r>
      <w:bookmarkEnd w:id="4"/>
    </w:p>
    <w:p w14:paraId="5D8DAF9E" w14:textId="281E37CA" w:rsidR="004A2817" w:rsidRPr="00E25A09" w:rsidRDefault="004A2817" w:rsidP="004A2817">
      <w:pPr>
        <w:pStyle w:val="BodyTextPostHead"/>
      </w:pPr>
      <w:r>
        <w:t>In 2026, p</w:t>
      </w:r>
      <w:r w:rsidRPr="008714E1">
        <w:t xml:space="preserve">ursuant to Education Code Section 52064.5, </w:t>
      </w:r>
      <w:r>
        <w:t xml:space="preserve">the California State Board of Education (SBE) was charged with redesigning the California Differentiated Assistance (DA) and Direct Technical Assistance (DTA) eligibility criteria </w:t>
      </w:r>
      <w:r w:rsidRPr="00933C2A">
        <w:t xml:space="preserve">to more effectively identify and prioritize local education agencies (LEAs) with the greatest demonstrated need. In doing so, the </w:t>
      </w:r>
      <w:r>
        <w:t>SBE sought</w:t>
      </w:r>
      <w:r w:rsidRPr="00933C2A">
        <w:t xml:space="preserve"> to </w:t>
      </w:r>
      <w:r>
        <w:t xml:space="preserve">revise the </w:t>
      </w:r>
      <w:r w:rsidRPr="00933C2A">
        <w:t xml:space="preserve">criteria </w:t>
      </w:r>
      <w:r>
        <w:t xml:space="preserve">to reduce </w:t>
      </w:r>
      <w:r w:rsidRPr="00933C2A">
        <w:t xml:space="preserve">year-to-year instability in identification and </w:t>
      </w:r>
      <w:r>
        <w:t xml:space="preserve">better align </w:t>
      </w:r>
      <w:r w:rsidRPr="00933C2A">
        <w:t>supports with the time needed for meaningful, sustained improvement</w:t>
      </w:r>
      <w:r>
        <w:t>.</w:t>
      </w:r>
    </w:p>
    <w:p w14:paraId="1F973344" w14:textId="2A4F0BB0" w:rsidR="004A2817" w:rsidRDefault="004A2817" w:rsidP="00F8504B">
      <w:pPr>
        <w:pStyle w:val="BodyText"/>
        <w:spacing w:before="200"/>
      </w:pPr>
      <w:r>
        <w:t xml:space="preserve">This report synthesizes themes from six listening sessions intended to inform SBE’s decision-making process for potential refinement to the DA and DTA systems. Participants represented a range of perspectives, including statewide system of support providers, charter school and LEA representatives, equity-focused organizations, and other education partners. Across these groups, participants expressed broad interest in strengthening the clarity, coherence, and effectiveness of the California accountability and support framework while preserving responsiveness to local context and long-standing emphasis on </w:t>
      </w:r>
      <w:r w:rsidR="008F4EDD">
        <w:t>student group performance</w:t>
      </w:r>
      <w:r>
        <w:t>.</w:t>
      </w:r>
    </w:p>
    <w:p w14:paraId="06967CA4" w14:textId="77777777" w:rsidR="004A2817" w:rsidRPr="004A2817" w:rsidRDefault="004A2817" w:rsidP="00F8504B">
      <w:pPr>
        <w:pStyle w:val="BodyText"/>
        <w:spacing w:before="200" w:after="60"/>
      </w:pPr>
      <w:r w:rsidRPr="004A2817">
        <w:t>Participants were asked a series of questions aligned to key focus areas about potential changes to DA eligibility criteria and DA supports under consideration by SBE:</w:t>
      </w:r>
    </w:p>
    <w:p w14:paraId="56385740" w14:textId="77777777" w:rsidR="004A2817" w:rsidRDefault="004A2817" w:rsidP="00F8504B">
      <w:pPr>
        <w:pStyle w:val="Bullet1"/>
        <w:spacing w:before="60" w:after="60"/>
      </w:pPr>
      <w:r>
        <w:t>Number of years of eligibility</w:t>
      </w:r>
    </w:p>
    <w:p w14:paraId="4A780A84" w14:textId="77777777" w:rsidR="004A2817" w:rsidRDefault="004A2817" w:rsidP="00F8504B">
      <w:pPr>
        <w:pStyle w:val="Bullet1"/>
        <w:spacing w:before="60" w:after="60"/>
      </w:pPr>
      <w:r>
        <w:t>Separating state indicators from Local Control Funding Formula (LCFF) priority areas</w:t>
      </w:r>
    </w:p>
    <w:p w14:paraId="7A3842BD" w14:textId="77777777" w:rsidR="004A2817" w:rsidRDefault="004A2817" w:rsidP="00F8504B">
      <w:pPr>
        <w:pStyle w:val="Bullet1"/>
        <w:spacing w:before="60" w:after="60"/>
      </w:pPr>
      <w:r>
        <w:t>Growth</w:t>
      </w:r>
    </w:p>
    <w:p w14:paraId="5B65563A" w14:textId="3F5B7F61" w:rsidR="004A2817" w:rsidRDefault="004A2817" w:rsidP="00F8504B">
      <w:pPr>
        <w:pStyle w:val="Bullet1"/>
        <w:spacing w:before="60" w:after="60"/>
      </w:pPr>
      <w:r>
        <w:t>All Students subgroup</w:t>
      </w:r>
    </w:p>
    <w:p w14:paraId="59A9DBCA" w14:textId="77777777" w:rsidR="004A2817" w:rsidRDefault="004A2817" w:rsidP="00F8504B">
      <w:pPr>
        <w:pStyle w:val="Bullet1"/>
        <w:spacing w:before="60" w:after="60"/>
      </w:pPr>
      <w:r>
        <w:t>Science</w:t>
      </w:r>
    </w:p>
    <w:p w14:paraId="6461C3B9" w14:textId="77777777" w:rsidR="004A2817" w:rsidRDefault="004A2817" w:rsidP="00F8504B">
      <w:pPr>
        <w:pStyle w:val="Bullet1"/>
        <w:spacing w:before="60" w:after="60"/>
      </w:pPr>
      <w:r>
        <w:t xml:space="preserve">California Longitudinal Pupil Achievement Data System (CALPADS) </w:t>
      </w:r>
    </w:p>
    <w:p w14:paraId="159E8D44" w14:textId="0E1863EE" w:rsidR="004A2817" w:rsidRDefault="004A2817" w:rsidP="00F8504B">
      <w:pPr>
        <w:pStyle w:val="Bullet1"/>
        <w:spacing w:before="60" w:after="60"/>
      </w:pPr>
      <w:r>
        <w:t>DTA</w:t>
      </w:r>
    </w:p>
    <w:p w14:paraId="7E9E233F" w14:textId="58BE49D9" w:rsidR="004A2817" w:rsidRPr="00074F46" w:rsidRDefault="004A2817" w:rsidP="00F8504B">
      <w:pPr>
        <w:pStyle w:val="Bullet1"/>
        <w:spacing w:before="60" w:after="60"/>
      </w:pPr>
      <w:r>
        <w:t>Dashboard Alternative School Status (DASS) and County Offices of Education–specific eligibility design</w:t>
      </w:r>
    </w:p>
    <w:p w14:paraId="13BB14E9" w14:textId="77777777" w:rsidR="004A2817" w:rsidRDefault="004A2817" w:rsidP="00F8504B">
      <w:pPr>
        <w:pStyle w:val="BodyText"/>
        <w:spacing w:before="200"/>
      </w:pPr>
      <w:r>
        <w:t>The goal of this report is to reflect listening session participant perceptions, opinions, and beliefs about the proposed changes to DA eligibility criteria.</w:t>
      </w:r>
    </w:p>
    <w:p w14:paraId="0B1DED37" w14:textId="1723E001" w:rsidR="004A2817" w:rsidRDefault="004A2817" w:rsidP="00F8504B">
      <w:pPr>
        <w:pStyle w:val="BodyText"/>
        <w:spacing w:before="200"/>
      </w:pPr>
      <w:r>
        <w:t>Several cross-cutting themes emerged across listening sessions. Participants emphasized the need to balance greater consistency and predictability in DA identification with sufficient flexibility to account for the varied realities of California’s LEAs, including small districts, rural communities, charter schools, and DASS settings. They also underscored the importance of coherence across the statewide system of support, noting that changes to eligibility criteria alone will not improve outcomes unless they are paired with clear roles, strong implementation capacity, and high-</w:t>
      </w:r>
      <w:r>
        <w:lastRenderedPageBreak/>
        <w:t>quality assistance once LEAs are identified. In addition, participants repeatedly stressed that any redesign must maintain a strong focus on preserving visibility into the performance and needs of historically underserved student groups. Across sessions, participants also requested additional modeling and data runs to better understand how proposed changes would affect the number and characteristics of LEAs identified for support.</w:t>
      </w:r>
    </w:p>
    <w:p w14:paraId="1621FDCC" w14:textId="77777777" w:rsidR="004A2817" w:rsidRDefault="004A2817" w:rsidP="00F8504B">
      <w:pPr>
        <w:pStyle w:val="BodyText"/>
        <w:spacing w:before="200" w:after="60"/>
      </w:pPr>
      <w:r>
        <w:t>Findings across focus areas suggest general support for several possible changes to the DA framework.</w:t>
      </w:r>
    </w:p>
    <w:p w14:paraId="31123208" w14:textId="5E850305" w:rsidR="004A2817" w:rsidRPr="00845E4B" w:rsidRDefault="004A2817" w:rsidP="00F8504B">
      <w:pPr>
        <w:pStyle w:val="Bullet1"/>
        <w:spacing w:before="60" w:after="60"/>
        <w:rPr>
          <w:rFonts w:eastAsiaTheme="minorHAnsi"/>
        </w:rPr>
      </w:pPr>
      <w:r w:rsidRPr="00845E4B">
        <w:rPr>
          <w:rFonts w:eastAsiaTheme="minorHAnsi"/>
        </w:rPr>
        <w:t xml:space="preserve">There was strong support for </w:t>
      </w:r>
      <w:r w:rsidRPr="000003AA">
        <w:rPr>
          <w:rFonts w:eastAsiaTheme="minorHAnsi"/>
          <w:b/>
          <w:bCs/>
        </w:rPr>
        <w:t>removing CALPADS and local indicators</w:t>
      </w:r>
      <w:r w:rsidRPr="00845E4B">
        <w:rPr>
          <w:rFonts w:eastAsiaTheme="minorHAnsi"/>
        </w:rPr>
        <w:t xml:space="preserve"> from the DA eligibility criteria. However, participants recognized the need for</w:t>
      </w:r>
      <w:r>
        <w:rPr>
          <w:rFonts w:eastAsiaTheme="minorHAnsi"/>
        </w:rPr>
        <w:t xml:space="preserve"> another form of</w:t>
      </w:r>
      <w:r w:rsidRPr="00845E4B">
        <w:rPr>
          <w:rFonts w:eastAsiaTheme="minorHAnsi"/>
        </w:rPr>
        <w:t xml:space="preserve"> accountability for accurate and timely data submissions.</w:t>
      </w:r>
    </w:p>
    <w:p w14:paraId="22163C38" w14:textId="77777777" w:rsidR="004A2817" w:rsidRDefault="004A2817" w:rsidP="00F8504B">
      <w:pPr>
        <w:pStyle w:val="Bullet1"/>
        <w:spacing w:before="60" w:after="60"/>
      </w:pPr>
      <w:r>
        <w:t xml:space="preserve">Many participants saw value in </w:t>
      </w:r>
      <w:r w:rsidRPr="000003AA">
        <w:rPr>
          <w:b/>
        </w:rPr>
        <w:t xml:space="preserve">using </w:t>
      </w:r>
      <w:r w:rsidRPr="000003AA">
        <w:rPr>
          <w:b/>
          <w:bCs/>
        </w:rPr>
        <w:t>multiple years of data</w:t>
      </w:r>
      <w:r>
        <w:t>, which could reduce year-to-year volatility and better align support with improvement cycles, but also warned that longer eligibility windows could delay assistance for LEAs with urgent needs.</w:t>
      </w:r>
    </w:p>
    <w:p w14:paraId="4A10E59E" w14:textId="1A27348E" w:rsidR="004A2817" w:rsidRDefault="004A2817" w:rsidP="00F8504B">
      <w:pPr>
        <w:pStyle w:val="Bullet1"/>
        <w:spacing w:before="60" w:after="60"/>
      </w:pPr>
      <w:r w:rsidRPr="005630A1">
        <w:t xml:space="preserve">Participants generally supported </w:t>
      </w:r>
      <w:r w:rsidRPr="0006749E">
        <w:rPr>
          <w:b/>
        </w:rPr>
        <w:t xml:space="preserve">separating state indicators </w:t>
      </w:r>
      <w:r w:rsidRPr="0006749E">
        <w:rPr>
          <w:b/>
          <w:bCs/>
        </w:rPr>
        <w:t xml:space="preserve">on the </w:t>
      </w:r>
      <w:r>
        <w:rPr>
          <w:b/>
          <w:bCs/>
        </w:rPr>
        <w:t>d</w:t>
      </w:r>
      <w:r w:rsidRPr="0006749E">
        <w:rPr>
          <w:b/>
          <w:bCs/>
        </w:rPr>
        <w:t xml:space="preserve">ashboard </w:t>
      </w:r>
      <w:r w:rsidRPr="0006749E">
        <w:rPr>
          <w:b/>
        </w:rPr>
        <w:t>from LCFF priority areas</w:t>
      </w:r>
      <w:r w:rsidRPr="005630A1">
        <w:t xml:space="preserve"> if doing so improves clarity and better elevates academic outcomes. Separately, they cautioned that if </w:t>
      </w:r>
      <w:r>
        <w:t>the state moves away from the full set of LCFF priority areas</w:t>
      </w:r>
      <w:r w:rsidRPr="005630A1">
        <w:t xml:space="preserve">, the system should draw on the full set of </w:t>
      </w:r>
      <w:r>
        <w:t>d</w:t>
      </w:r>
      <w:r w:rsidRPr="005630A1">
        <w:t>ashboard indicators rather than narrow academic indicators alone, which could weaken California</w:t>
      </w:r>
      <w:r>
        <w:t>’</w:t>
      </w:r>
      <w:r w:rsidRPr="005630A1">
        <w:t xml:space="preserve">s </w:t>
      </w:r>
      <w:proofErr w:type="gramStart"/>
      <w:r w:rsidRPr="005630A1">
        <w:t>broader multiple measures</w:t>
      </w:r>
      <w:proofErr w:type="gramEnd"/>
      <w:r w:rsidRPr="005630A1">
        <w:t xml:space="preserve"> approach.</w:t>
      </w:r>
    </w:p>
    <w:p w14:paraId="0545BDDC" w14:textId="4E6AD0CF" w:rsidR="004A2817" w:rsidRDefault="004A2817" w:rsidP="00F8504B">
      <w:pPr>
        <w:pStyle w:val="Bullet1"/>
        <w:spacing w:before="60" w:after="60"/>
      </w:pPr>
      <w:r>
        <w:t xml:space="preserve">Participants also expressed interest in </w:t>
      </w:r>
      <w:r w:rsidRPr="00CF0ED3">
        <w:rPr>
          <w:b/>
        </w:rPr>
        <w:t xml:space="preserve">incorporating </w:t>
      </w:r>
      <w:r w:rsidRPr="00CF0ED3">
        <w:rPr>
          <w:b/>
          <w:bCs/>
        </w:rPr>
        <w:t>growth</w:t>
      </w:r>
      <w:r>
        <w:rPr>
          <w:b/>
          <w:bCs/>
        </w:rPr>
        <w:t xml:space="preserve"> measures</w:t>
      </w:r>
      <w:r w:rsidRPr="00C34C10">
        <w:rPr>
          <w:b/>
          <w:bCs/>
        </w:rPr>
        <w:t xml:space="preserve">, science, and an </w:t>
      </w:r>
      <w:proofErr w:type="gramStart"/>
      <w:r w:rsidRPr="00C34C10">
        <w:rPr>
          <w:b/>
          <w:bCs/>
        </w:rPr>
        <w:t>All Students</w:t>
      </w:r>
      <w:proofErr w:type="gramEnd"/>
      <w:r w:rsidRPr="00C34C10">
        <w:rPr>
          <w:b/>
          <w:bCs/>
        </w:rPr>
        <w:t xml:space="preserve"> subgroup</w:t>
      </w:r>
      <w:r>
        <w:t xml:space="preserve"> under certain conditions, especially when these additions might create a more complete picture of need or improve identification for smaller LEAs. At the same time, participants raised concerns about data quality, operational complexity, and overidentification.</w:t>
      </w:r>
    </w:p>
    <w:p w14:paraId="5F916422" w14:textId="18A599E8" w:rsidR="004A2817" w:rsidRDefault="004A2817" w:rsidP="00F8504B">
      <w:pPr>
        <w:pStyle w:val="BodyText"/>
        <w:spacing w:before="200"/>
      </w:pPr>
      <w:r>
        <w:t>Overall, these data demonstrate a keen interest among education partners in refining the DA system to enhance stability, clarity, and alignment with the broader statewide system of support, but not at the expense of equity, nuance, or timely intervention. Participants consistently signaled that future refinements should be guided by further analysis, transparent modeling, and continued engagement with the education community. The report therefore suggests that the most promising path forward is not a single policy adjustment but a careful, evidence-informed effort to improve how LEAs are identified for assistance and how that assistance is structured, delivered, and experienced in practice.</w:t>
      </w:r>
    </w:p>
    <w:p w14:paraId="417517A3" w14:textId="1C8FC4B8" w:rsidR="00F8504B" w:rsidRDefault="004A2817" w:rsidP="00F8504B">
      <w:pPr>
        <w:pStyle w:val="BodyText"/>
        <w:spacing w:before="200"/>
        <w:sectPr w:rsidR="00F8504B" w:rsidSect="00F8504B">
          <w:headerReference w:type="default" r:id="rId16"/>
          <w:footerReference w:type="default" r:id="rId17"/>
          <w:pgSz w:w="12240" w:h="15840"/>
          <w:pgMar w:top="1080" w:right="1080" w:bottom="1080" w:left="1080" w:header="720" w:footer="634" w:gutter="0"/>
          <w:pgNumType w:fmt="lowerRoman" w:start="1"/>
          <w:cols w:space="720"/>
          <w:docGrid w:linePitch="360"/>
        </w:sectPr>
      </w:pPr>
      <w:r w:rsidRPr="006F7E04">
        <w:t>As SBE continues to consider refinements to DA and DTA, the findings in this report should be weighed alongside insights from SBE study sessions and other interest-holder engagement efforts. The perceptions and suggestions captured here offer valuable practitioner-informed insight into how proposed changes may be experienced across diverse local contexts, helping to surface promising directions for refinement and implementation considerations that may not be evident through policy analysis alone.</w:t>
      </w:r>
    </w:p>
    <w:p w14:paraId="4A9F5C2C" w14:textId="77777777" w:rsidR="004A2817" w:rsidRDefault="004A2817" w:rsidP="00E439F1">
      <w:pPr>
        <w:pStyle w:val="Heading2"/>
      </w:pPr>
      <w:bookmarkStart w:id="5" w:name="_Toc232618424"/>
      <w:r>
        <w:lastRenderedPageBreak/>
        <w:t>Introduction</w:t>
      </w:r>
      <w:bookmarkEnd w:id="5"/>
      <w:r>
        <w:t xml:space="preserve"> </w:t>
      </w:r>
    </w:p>
    <w:p w14:paraId="5E9FEB75" w14:textId="41074E06" w:rsidR="004A2817" w:rsidRDefault="004A2817" w:rsidP="006F7E04">
      <w:pPr>
        <w:pStyle w:val="BodyTextPostHead"/>
      </w:pPr>
      <w:r>
        <w:t>In 2026, p</w:t>
      </w:r>
      <w:r w:rsidRPr="008714E1">
        <w:t xml:space="preserve">ursuant to Education Code Section 52064.5, </w:t>
      </w:r>
      <w:r>
        <w:t xml:space="preserve">the California State Board of Education (SBE) was charged with redesigning the California Differentiated Assistance (DA) and Direct Technical Assistance (DTA) eligibility criteria </w:t>
      </w:r>
      <w:r w:rsidRPr="00933C2A">
        <w:t xml:space="preserve">to more effectively identify and prioritize local education agencies (LEAs) with the greatest demonstrated need. In doing so, the </w:t>
      </w:r>
      <w:r w:rsidR="0095080F">
        <w:t>SBE</w:t>
      </w:r>
      <w:r>
        <w:t xml:space="preserve"> sought</w:t>
      </w:r>
      <w:r w:rsidRPr="00933C2A">
        <w:t xml:space="preserve"> to </w:t>
      </w:r>
      <w:r>
        <w:t xml:space="preserve">revise the </w:t>
      </w:r>
      <w:r w:rsidRPr="00933C2A">
        <w:t xml:space="preserve">criteria </w:t>
      </w:r>
      <w:r>
        <w:t xml:space="preserve">to reduce </w:t>
      </w:r>
      <w:r w:rsidRPr="00933C2A">
        <w:t xml:space="preserve">year-to-year instability in identification and </w:t>
      </w:r>
      <w:r>
        <w:t xml:space="preserve">better align </w:t>
      </w:r>
      <w:r w:rsidRPr="00933C2A">
        <w:t>supports with the time needed for meaningful, sustained improvement</w:t>
      </w:r>
      <w:r>
        <w:t>.</w:t>
      </w:r>
    </w:p>
    <w:p w14:paraId="3818E1CA" w14:textId="1D0724B3" w:rsidR="004A2817" w:rsidRPr="00074F46" w:rsidRDefault="004A2817" w:rsidP="006F7E04">
      <w:pPr>
        <w:pStyle w:val="BodyText"/>
      </w:pPr>
      <w:r>
        <w:t>SBE’s efforts to adopt revised performance criteria for LEA eligibility for DA and DTA included soliciting input on potential changes from practitioners across California who are affected by the DA system. As part of this effort, in April 2026 the SBE partnered with the American Institutes for Research</w:t>
      </w:r>
      <w:r w:rsidRPr="00D15531">
        <w:rPr>
          <w:vertAlign w:val="superscript"/>
        </w:rPr>
        <w:t>®</w:t>
      </w:r>
      <w:r>
        <w:t xml:space="preserve"> (AIR</w:t>
      </w:r>
      <w:r w:rsidRPr="00D15531">
        <w:rPr>
          <w:vertAlign w:val="superscript"/>
        </w:rPr>
        <w:t>®</w:t>
      </w:r>
      <w:r>
        <w:t xml:space="preserve">), through the West Comprehensive Center, to facilitate six listening sessions with members of the California education community. The listening sessions fit within the broader context of statewide discussions regarding the effectiveness, coherence, and implementation of California’s statewide system of support. Participants represented a broad cross-section of statewide </w:t>
      </w:r>
      <w:proofErr w:type="gramStart"/>
      <w:r>
        <w:t>system of support</w:t>
      </w:r>
      <w:proofErr w:type="gramEnd"/>
      <w:r>
        <w:t xml:space="preserve"> providers, charter school and LEA representatives, equity coalition leaders, and other education partners with experience in the state’s approach to accountability, continuous improvement, and district and school support.</w:t>
      </w:r>
    </w:p>
    <w:p w14:paraId="2D9AC6A5" w14:textId="77777777" w:rsidR="004A2817" w:rsidRDefault="004A2817" w:rsidP="00FF56BC">
      <w:pPr>
        <w:pStyle w:val="BodyText"/>
      </w:pPr>
      <w:r>
        <w:t>Listening sessions addressed a range of focus areas under consideration for potential changes by SBE, including accountability indicators to consider relative to DA eligibility criteria, technical assistance structures, and opportunities to strengthen alignment across state and local systems. Facilitators invited participants to reflect on their current implementation experiences, identify challenges, and highlight considerations for potential future refinements. The focus areas included:</w:t>
      </w:r>
    </w:p>
    <w:p w14:paraId="25C36DA0" w14:textId="77777777" w:rsidR="004A2817" w:rsidRDefault="004A2817" w:rsidP="00FF56BC">
      <w:pPr>
        <w:pStyle w:val="Bullet1"/>
      </w:pPr>
      <w:r>
        <w:t>Number of years of eligibility</w:t>
      </w:r>
    </w:p>
    <w:p w14:paraId="55516A1E" w14:textId="77777777" w:rsidR="004A2817" w:rsidRDefault="004A2817" w:rsidP="00FF56BC">
      <w:pPr>
        <w:pStyle w:val="Bullet1"/>
      </w:pPr>
      <w:r>
        <w:t>Separating state indicators from Local Control Funding Formula (LCFF) priority areas</w:t>
      </w:r>
    </w:p>
    <w:p w14:paraId="2F60D651" w14:textId="77777777" w:rsidR="004A2817" w:rsidRDefault="004A2817" w:rsidP="00FF56BC">
      <w:pPr>
        <w:pStyle w:val="Bullet1"/>
      </w:pPr>
      <w:r>
        <w:t>Growth</w:t>
      </w:r>
    </w:p>
    <w:p w14:paraId="310ABDF7" w14:textId="0FF15345" w:rsidR="004A2817" w:rsidRDefault="004A2817" w:rsidP="00FF56BC">
      <w:pPr>
        <w:pStyle w:val="Bullet1"/>
      </w:pPr>
      <w:r>
        <w:t>All Students subgroup</w:t>
      </w:r>
    </w:p>
    <w:p w14:paraId="04266CB9" w14:textId="77777777" w:rsidR="004A2817" w:rsidRDefault="004A2817" w:rsidP="00FF56BC">
      <w:pPr>
        <w:pStyle w:val="Bullet1"/>
      </w:pPr>
      <w:r>
        <w:t>Science</w:t>
      </w:r>
    </w:p>
    <w:p w14:paraId="5125AD54" w14:textId="77777777" w:rsidR="004A2817" w:rsidRDefault="004A2817" w:rsidP="00FF56BC">
      <w:pPr>
        <w:pStyle w:val="Bullet1"/>
      </w:pPr>
      <w:r>
        <w:t>California Longitudinal Pupil Achievement Data System (CALPADS)</w:t>
      </w:r>
    </w:p>
    <w:p w14:paraId="2D774B3B" w14:textId="78282566" w:rsidR="004A2817" w:rsidRDefault="004A2817" w:rsidP="00FF56BC">
      <w:pPr>
        <w:pStyle w:val="Bullet1"/>
      </w:pPr>
      <w:r>
        <w:t>DTA</w:t>
      </w:r>
    </w:p>
    <w:p w14:paraId="548DD67F" w14:textId="372FBF6E" w:rsidR="004A2817" w:rsidRPr="00074F46" w:rsidRDefault="004A2817" w:rsidP="00FF56BC">
      <w:pPr>
        <w:pStyle w:val="Bullet1"/>
      </w:pPr>
      <w:r>
        <w:t>Dashboard Alternative School Status (DASS) and County Offices of Education–specific eligibility design</w:t>
      </w:r>
    </w:p>
    <w:p w14:paraId="606AAB97" w14:textId="77777777" w:rsidR="004A2817" w:rsidRDefault="004A2817" w:rsidP="0095080F">
      <w:pPr>
        <w:pStyle w:val="BodyText"/>
      </w:pPr>
      <w:r>
        <w:lastRenderedPageBreak/>
        <w:t>The purpose of this report is to synthesize the themes that emerged across the listening sessions, highlight areas of alignment and divergence in perspectives, and elevate key considerations raised by participants. This report is intended to inform ongoing discussions and future exploration. The themes and considerations presented reflect participant input and should not be interpreted as formal recommendations or consensus positions.</w:t>
      </w:r>
    </w:p>
    <w:p w14:paraId="77459772" w14:textId="606EBB58" w:rsidR="004A2817" w:rsidRDefault="004A2817" w:rsidP="00E439F1">
      <w:pPr>
        <w:pStyle w:val="Heading2"/>
      </w:pPr>
      <w:bookmarkStart w:id="6" w:name="_Toc232618425"/>
      <w:r>
        <w:t xml:space="preserve">Overview of the Listening Sessions </w:t>
      </w:r>
      <w:r w:rsidR="00F8504B">
        <w:t>and</w:t>
      </w:r>
      <w:r>
        <w:t xml:space="preserve"> Polls</w:t>
      </w:r>
      <w:bookmarkEnd w:id="6"/>
    </w:p>
    <w:p w14:paraId="43CFD737" w14:textId="77777777" w:rsidR="004A2817" w:rsidRPr="00E6379A" w:rsidRDefault="004A2817" w:rsidP="000122BD">
      <w:pPr>
        <w:pStyle w:val="BodyTextPostHead"/>
      </w:pPr>
      <w:r>
        <w:t>This section describes the recruitment process for the listening sessions, participants who attended the sessions, discussion focus areas and activities, and the approach to data analysis.</w:t>
      </w:r>
    </w:p>
    <w:p w14:paraId="17803AEA" w14:textId="77777777" w:rsidR="004A2817" w:rsidRPr="009E7019" w:rsidRDefault="004A2817" w:rsidP="009E7019">
      <w:pPr>
        <w:pStyle w:val="Heading3"/>
      </w:pPr>
      <w:bookmarkStart w:id="7" w:name="_Toc232618426"/>
      <w:r w:rsidRPr="009E7019">
        <w:t>Participants</w:t>
      </w:r>
      <w:bookmarkEnd w:id="7"/>
      <w:r w:rsidRPr="009E7019">
        <w:t xml:space="preserve"> </w:t>
      </w:r>
    </w:p>
    <w:p w14:paraId="2D60E5FF" w14:textId="1CC4BACB" w:rsidR="004A2817" w:rsidRDefault="004A2817" w:rsidP="000122BD">
      <w:pPr>
        <w:pStyle w:val="BodyTextPostHead"/>
      </w:pPr>
      <w:r>
        <w:t>AIR conducted a series of six virtual listening sessions with over 60 education partners representing a range of perspectives and roles within California’s education system. SBE invited representative groups through education partner networks and organizations. SBE intentionally sought a range of perspectives in an attempt to elevate important considerations about the design of DA eligibility criteria.</w:t>
      </w:r>
    </w:p>
    <w:p w14:paraId="796429F2" w14:textId="56B51A67" w:rsidR="004A2817" w:rsidRPr="002D7A99" w:rsidRDefault="004A2817" w:rsidP="0095080F">
      <w:pPr>
        <w:pStyle w:val="BodyText"/>
      </w:pPr>
      <w:r>
        <w:t>Invited participants</w:t>
      </w:r>
      <w:r w:rsidRPr="002D7A99">
        <w:t xml:space="preserve"> </w:t>
      </w:r>
      <w:r>
        <w:t>represented one or more of</w:t>
      </w:r>
      <w:r w:rsidRPr="002D7A99">
        <w:t xml:space="preserve"> the following six categories:</w:t>
      </w:r>
    </w:p>
    <w:p w14:paraId="39F7A9C1" w14:textId="442E40ED" w:rsidR="009758A1" w:rsidRPr="002D7A99" w:rsidRDefault="00571729" w:rsidP="009758A1">
      <w:pPr>
        <w:pStyle w:val="BodyText"/>
      </w:pPr>
      <w:r>
        <w:rPr>
          <w:noProof/>
        </w:rPr>
        <w:drawing>
          <wp:inline distT="0" distB="0" distL="0" distR="0" wp14:anchorId="3D7D95D8" wp14:editId="25C01895">
            <wp:extent cx="5943600" cy="3487480"/>
            <wp:effectExtent l="0" t="19050" r="19050" b="17780"/>
            <wp:docPr id="1716393464" name="Diagram 1">
              <a:extLst xmlns:a="http://schemas.openxmlformats.org/drawingml/2006/main">
                <a:ext uri="{FF2B5EF4-FFF2-40B4-BE49-F238E27FC236}">
                  <a16:creationId xmlns:a16="http://schemas.microsoft.com/office/drawing/2014/main" id="{E1EAE439-227D-3637-825B-E6EA43C420A9}"/>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7524188E" w14:textId="7B460F65" w:rsidR="004A2817" w:rsidRDefault="004A2817" w:rsidP="008D1CB9">
      <w:pPr>
        <w:pStyle w:val="BodyText"/>
      </w:pPr>
      <w:r>
        <w:lastRenderedPageBreak/>
        <w:t>Each session was limited to 20 participants to facilitate inclusive discussions. Participation was open equally to all groups, but the number of participants and representation per group varied based on who registered and attended. For example, across sessions designed for Geographic Lead Agencies (Geo Leads), COEs, and members of the Education Coalition, 29 representatives from 19 of the state’s 58 counties shared their thoughts in at least one session. In contrast, the listening sessions included five LEA leaders from the state’s 1,011 school districts.</w:t>
      </w:r>
      <w:r>
        <w:rPr>
          <w:rStyle w:val="FootnoteReference"/>
        </w:rPr>
        <w:footnoteReference w:id="2"/>
      </w:r>
      <w:r>
        <w:t xml:space="preserve"> Thus, while the insights generated across the listening sessions elevate important considerations to inform the SBE’s decisions, they may not reflect the full range of perspectives and contexts of individuals and organizations who are connected to the statewide system of support.</w:t>
      </w:r>
    </w:p>
    <w:p w14:paraId="04CF05A3" w14:textId="77777777" w:rsidR="004A2817" w:rsidRDefault="004A2817" w:rsidP="00DD6281">
      <w:pPr>
        <w:pStyle w:val="Heading3"/>
      </w:pPr>
      <w:bookmarkStart w:id="8" w:name="_Toc232618427"/>
      <w:r>
        <w:t>Process</w:t>
      </w:r>
      <w:bookmarkEnd w:id="8"/>
    </w:p>
    <w:p w14:paraId="1517F00C" w14:textId="731C8A6D" w:rsidR="004A2817" w:rsidRPr="0095080F" w:rsidRDefault="004A2817" w:rsidP="008D1CB9">
      <w:pPr>
        <w:pStyle w:val="BodyTextPostHead"/>
      </w:pPr>
      <w:r>
        <w:t xml:space="preserve">AIR and SBE staff designed the listening sessions to encourage discussion around the opportunities and challenges associated with potential refinements to DA and related support structures (see Appendix for session protocol). AIR facilitators invited participants to reflect on how potential changes could affect stability, equity, coherence, and the effectiveness of support provided to LEAs. Staff from SBE provided introductory context for each listening session to support participant awareness and understanding of resources and approaches embedded in DA. In addition, staff from both SBE and the California Department of Education (CDE) were on hand </w:t>
      </w:r>
      <w:r w:rsidRPr="00207347">
        <w:t>in each session to address technical questions raised during conversations.</w:t>
      </w:r>
    </w:p>
    <w:p w14:paraId="5260A7D1" w14:textId="77777777" w:rsidR="004A2817" w:rsidRPr="009E7019" w:rsidRDefault="004A2817" w:rsidP="009E7019">
      <w:pPr>
        <w:pStyle w:val="Heading3"/>
      </w:pPr>
      <w:bookmarkStart w:id="9" w:name="_Toc232618428"/>
      <w:r w:rsidRPr="009E7019">
        <w:t>Overview of the Polls</w:t>
      </w:r>
      <w:bookmarkEnd w:id="9"/>
    </w:p>
    <w:p w14:paraId="6112E440" w14:textId="47C9B2CB" w:rsidR="004A2817" w:rsidRPr="009E7019" w:rsidRDefault="004A2817" w:rsidP="009E7019">
      <w:pPr>
        <w:pStyle w:val="BodyTextPostHead"/>
      </w:pPr>
      <w:r w:rsidRPr="009E7019">
        <w:t xml:space="preserve">In addition to interactive discussions, facilitators periodically asked participants to respond to poll questions through Google Forms. Facilitators displayed poll results in real time and used them to prompt discussion, surface differing perspectives, and encourage participants to reflect on areas of agreement, divergence, or uncertainty. The combination of facilitated discussion and live polling provided participants with multiple opportunities to share perspectives and engage with </w:t>
      </w:r>
      <w:r w:rsidR="00D15531">
        <w:t>each other’s</w:t>
      </w:r>
      <w:r w:rsidR="00D15531" w:rsidRPr="009E7019">
        <w:t xml:space="preserve"> </w:t>
      </w:r>
      <w:r w:rsidRPr="009E7019">
        <w:t>viewpoints. The AIR team analyzed poll findings alongside qualitative discussion themes to help contextualize participant feedback and identify areas that may warrant additional exploration or analysis.</w:t>
      </w:r>
    </w:p>
    <w:p w14:paraId="2CCB5799" w14:textId="1FDD0278" w:rsidR="004A2817" w:rsidRDefault="004A2817" w:rsidP="008D1CB9">
      <w:pPr>
        <w:pStyle w:val="BodyText"/>
      </w:pPr>
      <w:r w:rsidRPr="00D02177">
        <w:t xml:space="preserve">Poll questions explored participant perspectives on </w:t>
      </w:r>
      <w:r>
        <w:t>each of the focus areas</w:t>
      </w:r>
      <w:r w:rsidRPr="00D02177">
        <w:t xml:space="preserve">. </w:t>
      </w:r>
      <w:r>
        <w:t>E</w:t>
      </w:r>
      <w:r w:rsidRPr="00D02177">
        <w:t xml:space="preserve">ach poll question offered participants the option to select from a set of response options (i.e., Yes, No, </w:t>
      </w:r>
      <w:proofErr w:type="gramStart"/>
      <w:r w:rsidRPr="00D02177">
        <w:t>Yes</w:t>
      </w:r>
      <w:proofErr w:type="gramEnd"/>
      <w:r w:rsidRPr="00D02177">
        <w:t xml:space="preserve"> with reservations)</w:t>
      </w:r>
      <w:r>
        <w:t>,</w:t>
      </w:r>
      <w:r w:rsidRPr="00D02177">
        <w:t xml:space="preserve"> or answer with further context within </w:t>
      </w:r>
      <w:proofErr w:type="gramStart"/>
      <w:r w:rsidRPr="00D02177">
        <w:t>an “other”</w:t>
      </w:r>
      <w:proofErr w:type="gramEnd"/>
      <w:r w:rsidRPr="00D02177">
        <w:t xml:space="preserve"> option. This open</w:t>
      </w:r>
      <w:r>
        <w:t>-</w:t>
      </w:r>
      <w:r w:rsidRPr="00D02177">
        <w:t xml:space="preserve">response format limits the interpretation of the polling data into specific categories of agreement or disagreement. Also, </w:t>
      </w:r>
      <w:r w:rsidR="009E3F84">
        <w:t>because</w:t>
      </w:r>
      <w:r w:rsidR="009E3F84" w:rsidRPr="00D02177">
        <w:t xml:space="preserve"> </w:t>
      </w:r>
      <w:r w:rsidRPr="00D02177">
        <w:t xml:space="preserve">sessions were customized to </w:t>
      </w:r>
      <w:proofErr w:type="gramStart"/>
      <w:r w:rsidRPr="00D02177">
        <w:t>particular constituent</w:t>
      </w:r>
      <w:proofErr w:type="gramEnd"/>
      <w:r w:rsidRPr="00D02177">
        <w:t xml:space="preserve"> groups, not all groups discussed </w:t>
      </w:r>
      <w:r w:rsidRPr="00D02177">
        <w:lastRenderedPageBreak/>
        <w:t xml:space="preserve">or answered poll questions for every </w:t>
      </w:r>
      <w:r>
        <w:t>focus area</w:t>
      </w:r>
      <w:r w:rsidRPr="00D02177">
        <w:t>.</w:t>
      </w:r>
      <w:r>
        <w:rPr>
          <w:rStyle w:val="FootnoteReference"/>
        </w:rPr>
        <w:footnoteReference w:id="3"/>
      </w:r>
      <w:r>
        <w:t xml:space="preserve"> (See Exhibit 1 for a summary of focus areas addressed by each group.)</w:t>
      </w:r>
    </w:p>
    <w:p w14:paraId="0FEC5516" w14:textId="77777777" w:rsidR="004A2817" w:rsidRPr="00DB76E9" w:rsidRDefault="004A2817" w:rsidP="005369F7">
      <w:pPr>
        <w:pStyle w:val="ExhibitTitle"/>
      </w:pPr>
      <w:bookmarkStart w:id="10" w:name="_Toc232618451"/>
      <w:r w:rsidRPr="00DB76E9">
        <w:t xml:space="preserve">Exhibit 1. Focus </w:t>
      </w:r>
      <w:r>
        <w:t>A</w:t>
      </w:r>
      <w:r w:rsidRPr="00DB76E9">
        <w:t>reas Addressed by Listening Session</w:t>
      </w:r>
      <w:bookmarkEnd w:id="10"/>
    </w:p>
    <w:tbl>
      <w:tblPr>
        <w:tblStyle w:val="TableStyle-Accent1"/>
        <w:tblW w:w="0" w:type="auto"/>
        <w:tblLook w:val="04A0" w:firstRow="1" w:lastRow="0" w:firstColumn="1" w:lastColumn="0" w:noHBand="0" w:noVBand="1"/>
      </w:tblPr>
      <w:tblGrid>
        <w:gridCol w:w="1392"/>
        <w:gridCol w:w="1326"/>
        <w:gridCol w:w="1326"/>
        <w:gridCol w:w="1327"/>
        <w:gridCol w:w="1326"/>
        <w:gridCol w:w="1326"/>
        <w:gridCol w:w="1327"/>
      </w:tblGrid>
      <w:tr w:rsidR="004A2817" w:rsidRPr="005369F7" w14:paraId="36A3C3B1" w14:textId="77777777" w:rsidTr="0095080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92" w:type="dxa"/>
            <w:vMerge w:val="restart"/>
            <w:tcBorders>
              <w:right w:val="single" w:sz="4" w:space="0" w:color="326EA3" w:themeColor="accent1"/>
            </w:tcBorders>
          </w:tcPr>
          <w:p w14:paraId="7888F1EC" w14:textId="77777777" w:rsidR="004A2817" w:rsidRPr="005369F7" w:rsidRDefault="004A2817" w:rsidP="00CA0553">
            <w:pPr>
              <w:pStyle w:val="Table11ColumnHeading"/>
            </w:pPr>
            <w:r w:rsidRPr="005369F7">
              <w:t>Focus area</w:t>
            </w:r>
          </w:p>
        </w:tc>
        <w:tc>
          <w:tcPr>
            <w:tcW w:w="7958" w:type="dxa"/>
            <w:gridSpan w:val="6"/>
            <w:tcBorders>
              <w:left w:val="single" w:sz="4" w:space="0" w:color="326EA3" w:themeColor="accent1"/>
              <w:bottom w:val="nil"/>
            </w:tcBorders>
          </w:tcPr>
          <w:p w14:paraId="38B5EF22" w14:textId="77777777" w:rsidR="004A2817" w:rsidRPr="005369F7" w:rsidRDefault="004A2817" w:rsidP="00CA0553">
            <w:pPr>
              <w:pStyle w:val="Table11ColumnHeading"/>
              <w:cnfStyle w:val="100000000000" w:firstRow="1" w:lastRow="0" w:firstColumn="0" w:lastColumn="0" w:oddVBand="0" w:evenVBand="0" w:oddHBand="0" w:evenHBand="0" w:firstRowFirstColumn="0" w:firstRowLastColumn="0" w:lastRowFirstColumn="0" w:lastRowLastColumn="0"/>
            </w:pPr>
            <w:r w:rsidRPr="005369F7">
              <w:t>Listening Session</w:t>
            </w:r>
          </w:p>
        </w:tc>
      </w:tr>
      <w:tr w:rsidR="004A2817" w14:paraId="00C4E662" w14:textId="77777777" w:rsidTr="009508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2" w:type="dxa"/>
            <w:vMerge/>
          </w:tcPr>
          <w:p w14:paraId="43973D0F" w14:textId="77777777" w:rsidR="004A2817" w:rsidRDefault="004A2817" w:rsidP="00CA0553">
            <w:pPr>
              <w:pStyle w:val="Table11ColumnHeading"/>
            </w:pPr>
          </w:p>
        </w:tc>
        <w:tc>
          <w:tcPr>
            <w:tcW w:w="1326" w:type="dxa"/>
            <w:tcBorders>
              <w:top w:val="nil"/>
            </w:tcBorders>
            <w:shd w:val="clear" w:color="auto" w:fill="326EA3" w:themeFill="accent1"/>
            <w:vAlign w:val="bottom"/>
          </w:tcPr>
          <w:p w14:paraId="1C0E4789" w14:textId="77777777" w:rsidR="004A2817" w:rsidRPr="003B2BE5" w:rsidRDefault="004A2817" w:rsidP="0095080F">
            <w:pPr>
              <w:pStyle w:val="Table11ColumnHeading"/>
              <w:cnfStyle w:val="000000100000" w:firstRow="0" w:lastRow="0" w:firstColumn="0" w:lastColumn="0" w:oddVBand="0" w:evenVBand="0" w:oddHBand="1" w:evenHBand="0" w:firstRowFirstColumn="0" w:firstRowLastColumn="0" w:lastRowFirstColumn="0" w:lastRowLastColumn="0"/>
              <w:rPr>
                <w:bCs/>
              </w:rPr>
            </w:pPr>
            <w:r w:rsidRPr="003B2BE5">
              <w:t>Geo Leads</w:t>
            </w:r>
          </w:p>
        </w:tc>
        <w:tc>
          <w:tcPr>
            <w:tcW w:w="1326" w:type="dxa"/>
            <w:tcBorders>
              <w:top w:val="nil"/>
            </w:tcBorders>
            <w:shd w:val="clear" w:color="auto" w:fill="326EA3" w:themeFill="accent1"/>
            <w:vAlign w:val="bottom"/>
          </w:tcPr>
          <w:p w14:paraId="6ADB1980" w14:textId="77777777" w:rsidR="004A2817" w:rsidRPr="003B2BE5" w:rsidRDefault="004A2817" w:rsidP="0095080F">
            <w:pPr>
              <w:pStyle w:val="Table11ColumnHeading"/>
              <w:cnfStyle w:val="000000100000" w:firstRow="0" w:lastRow="0" w:firstColumn="0" w:lastColumn="0" w:oddVBand="0" w:evenVBand="0" w:oddHBand="1" w:evenHBand="0" w:firstRowFirstColumn="0" w:firstRowLastColumn="0" w:lastRowFirstColumn="0" w:lastRowLastColumn="0"/>
              <w:rPr>
                <w:bCs/>
              </w:rPr>
            </w:pPr>
            <w:r w:rsidRPr="003B2BE5">
              <w:t>Charters</w:t>
            </w:r>
          </w:p>
        </w:tc>
        <w:tc>
          <w:tcPr>
            <w:tcW w:w="1327" w:type="dxa"/>
            <w:tcBorders>
              <w:top w:val="nil"/>
            </w:tcBorders>
            <w:shd w:val="clear" w:color="auto" w:fill="326EA3" w:themeFill="accent1"/>
            <w:vAlign w:val="bottom"/>
          </w:tcPr>
          <w:p w14:paraId="726E2F52" w14:textId="7CB47E92" w:rsidR="004A2817" w:rsidRPr="003B2BE5" w:rsidRDefault="004A2817" w:rsidP="0095080F">
            <w:pPr>
              <w:pStyle w:val="Table11ColumnHeading"/>
              <w:cnfStyle w:val="000000100000" w:firstRow="0" w:lastRow="0" w:firstColumn="0" w:lastColumn="0" w:oddVBand="0" w:evenVBand="0" w:oddHBand="1" w:evenHBand="0" w:firstRowFirstColumn="0" w:firstRowLastColumn="0" w:lastRowFirstColumn="0" w:lastRowLastColumn="0"/>
              <w:rPr>
                <w:bCs/>
              </w:rPr>
            </w:pPr>
            <w:r w:rsidRPr="003B2BE5">
              <w:t>Equity</w:t>
            </w:r>
            <w:r>
              <w:t xml:space="preserve"> Coalition</w:t>
            </w:r>
          </w:p>
        </w:tc>
        <w:tc>
          <w:tcPr>
            <w:tcW w:w="1326" w:type="dxa"/>
            <w:tcBorders>
              <w:top w:val="nil"/>
            </w:tcBorders>
            <w:shd w:val="clear" w:color="auto" w:fill="326EA3" w:themeFill="accent1"/>
            <w:vAlign w:val="bottom"/>
          </w:tcPr>
          <w:p w14:paraId="081A4551" w14:textId="77777777" w:rsidR="004A2817" w:rsidRPr="003B2BE5" w:rsidRDefault="004A2817" w:rsidP="0095080F">
            <w:pPr>
              <w:pStyle w:val="Table11ColumnHeading"/>
              <w:cnfStyle w:val="000000100000" w:firstRow="0" w:lastRow="0" w:firstColumn="0" w:lastColumn="0" w:oddVBand="0" w:evenVBand="0" w:oddHBand="1" w:evenHBand="0" w:firstRowFirstColumn="0" w:firstRowLastColumn="0" w:lastRowFirstColumn="0" w:lastRowLastColumn="0"/>
              <w:rPr>
                <w:bCs/>
              </w:rPr>
            </w:pPr>
            <w:r w:rsidRPr="003B2BE5">
              <w:t>COEs</w:t>
            </w:r>
          </w:p>
        </w:tc>
        <w:tc>
          <w:tcPr>
            <w:tcW w:w="1326" w:type="dxa"/>
            <w:tcBorders>
              <w:top w:val="nil"/>
            </w:tcBorders>
            <w:shd w:val="clear" w:color="auto" w:fill="326EA3" w:themeFill="accent1"/>
            <w:vAlign w:val="bottom"/>
          </w:tcPr>
          <w:p w14:paraId="72E1F6E2" w14:textId="3368A418" w:rsidR="004A2817" w:rsidRPr="003B2BE5" w:rsidRDefault="004A2817" w:rsidP="0095080F">
            <w:pPr>
              <w:pStyle w:val="Table11ColumnHeading"/>
              <w:cnfStyle w:val="000000100000" w:firstRow="0" w:lastRow="0" w:firstColumn="0" w:lastColumn="0" w:oddVBand="0" w:evenVBand="0" w:oddHBand="1" w:evenHBand="0" w:firstRowFirstColumn="0" w:firstRowLastColumn="0" w:lastRowFirstColumn="0" w:lastRowLastColumn="0"/>
              <w:rPr>
                <w:bCs/>
              </w:rPr>
            </w:pPr>
            <w:r w:rsidRPr="003B2BE5">
              <w:t>Ed</w:t>
            </w:r>
            <w:r>
              <w:t>ucation Coalition</w:t>
            </w:r>
          </w:p>
        </w:tc>
        <w:tc>
          <w:tcPr>
            <w:tcW w:w="1327" w:type="dxa"/>
            <w:tcBorders>
              <w:top w:val="nil"/>
            </w:tcBorders>
            <w:shd w:val="clear" w:color="auto" w:fill="326EA3" w:themeFill="accent1"/>
            <w:vAlign w:val="bottom"/>
          </w:tcPr>
          <w:p w14:paraId="61C940B9" w14:textId="77777777" w:rsidR="004A2817" w:rsidRPr="003B2BE5" w:rsidRDefault="004A2817" w:rsidP="0095080F">
            <w:pPr>
              <w:pStyle w:val="Table11ColumnHeading"/>
              <w:cnfStyle w:val="000000100000" w:firstRow="0" w:lastRow="0" w:firstColumn="0" w:lastColumn="0" w:oddVBand="0" w:evenVBand="0" w:oddHBand="1" w:evenHBand="0" w:firstRowFirstColumn="0" w:firstRowLastColumn="0" w:lastRowFirstColumn="0" w:lastRowLastColumn="0"/>
              <w:rPr>
                <w:bCs/>
              </w:rPr>
            </w:pPr>
            <w:r w:rsidRPr="003B2BE5">
              <w:t>LEA</w:t>
            </w:r>
            <w:r>
              <w:t xml:space="preserve"> leaders</w:t>
            </w:r>
          </w:p>
        </w:tc>
      </w:tr>
      <w:tr w:rsidR="004A2817" w14:paraId="045C2CDA" w14:textId="77777777" w:rsidTr="00EF3E7E">
        <w:tc>
          <w:tcPr>
            <w:cnfStyle w:val="001000000000" w:firstRow="0" w:lastRow="0" w:firstColumn="1" w:lastColumn="0" w:oddVBand="0" w:evenVBand="0" w:oddHBand="0" w:evenHBand="0" w:firstRowFirstColumn="0" w:firstRowLastColumn="0" w:lastRowFirstColumn="0" w:lastRowLastColumn="0"/>
            <w:tcW w:w="1392" w:type="dxa"/>
          </w:tcPr>
          <w:p w14:paraId="1CC6E3AB" w14:textId="081D5BA3" w:rsidR="004A2817" w:rsidRPr="005369F7" w:rsidRDefault="004A2817" w:rsidP="005369F7">
            <w:pPr>
              <w:pStyle w:val="Table11RowHeading"/>
            </w:pPr>
            <w:r w:rsidRPr="005369F7">
              <w:t xml:space="preserve">Years of </w:t>
            </w:r>
            <w:r w:rsidR="0095080F" w:rsidRPr="005369F7">
              <w:t>eligibility</w:t>
            </w:r>
          </w:p>
        </w:tc>
        <w:tc>
          <w:tcPr>
            <w:tcW w:w="1326" w:type="dxa"/>
            <w:vAlign w:val="center"/>
          </w:tcPr>
          <w:p w14:paraId="1518D517" w14:textId="77777777" w:rsidR="004A2817" w:rsidRPr="0031723A" w:rsidRDefault="004A2817" w:rsidP="00EF3E7E">
            <w:pPr>
              <w:pStyle w:val="Table11Basic"/>
              <w:numPr>
                <w:ilvl w:val="0"/>
                <w:numId w:val="32"/>
              </w:numPr>
              <w:jc w:val="center"/>
              <w:cnfStyle w:val="000000000000" w:firstRow="0" w:lastRow="0" w:firstColumn="0" w:lastColumn="0" w:oddVBand="0" w:evenVBand="0" w:oddHBand="0" w:evenHBand="0" w:firstRowFirstColumn="0" w:firstRowLastColumn="0" w:lastRowFirstColumn="0" w:lastRowLastColumn="0"/>
            </w:pPr>
          </w:p>
        </w:tc>
        <w:tc>
          <w:tcPr>
            <w:tcW w:w="1326" w:type="dxa"/>
            <w:vAlign w:val="center"/>
          </w:tcPr>
          <w:p w14:paraId="74B39AA6" w14:textId="77777777" w:rsidR="004A2817" w:rsidRPr="0031723A" w:rsidRDefault="004A2817" w:rsidP="00EF3E7E">
            <w:pPr>
              <w:pStyle w:val="Table11Basic"/>
              <w:numPr>
                <w:ilvl w:val="0"/>
                <w:numId w:val="32"/>
              </w:numPr>
              <w:jc w:val="center"/>
              <w:cnfStyle w:val="000000000000" w:firstRow="0" w:lastRow="0" w:firstColumn="0" w:lastColumn="0" w:oddVBand="0" w:evenVBand="0" w:oddHBand="0" w:evenHBand="0" w:firstRowFirstColumn="0" w:firstRowLastColumn="0" w:lastRowFirstColumn="0" w:lastRowLastColumn="0"/>
            </w:pPr>
          </w:p>
        </w:tc>
        <w:tc>
          <w:tcPr>
            <w:tcW w:w="1327" w:type="dxa"/>
            <w:vAlign w:val="center"/>
          </w:tcPr>
          <w:p w14:paraId="2940B8D9" w14:textId="77777777" w:rsidR="004A2817" w:rsidRPr="0031723A" w:rsidRDefault="004A2817" w:rsidP="00EF3E7E">
            <w:pPr>
              <w:pStyle w:val="Table11Basic"/>
              <w:numPr>
                <w:ilvl w:val="0"/>
                <w:numId w:val="32"/>
              </w:numPr>
              <w:jc w:val="center"/>
              <w:cnfStyle w:val="000000000000" w:firstRow="0" w:lastRow="0" w:firstColumn="0" w:lastColumn="0" w:oddVBand="0" w:evenVBand="0" w:oddHBand="0" w:evenHBand="0" w:firstRowFirstColumn="0" w:firstRowLastColumn="0" w:lastRowFirstColumn="0" w:lastRowLastColumn="0"/>
            </w:pPr>
          </w:p>
        </w:tc>
        <w:tc>
          <w:tcPr>
            <w:tcW w:w="1326" w:type="dxa"/>
            <w:vAlign w:val="center"/>
          </w:tcPr>
          <w:p w14:paraId="33001328" w14:textId="77777777" w:rsidR="004A2817" w:rsidRPr="0031723A" w:rsidRDefault="004A2817" w:rsidP="00EF3E7E">
            <w:pPr>
              <w:pStyle w:val="Table11Basic"/>
              <w:numPr>
                <w:ilvl w:val="0"/>
                <w:numId w:val="32"/>
              </w:numPr>
              <w:jc w:val="center"/>
              <w:cnfStyle w:val="000000000000" w:firstRow="0" w:lastRow="0" w:firstColumn="0" w:lastColumn="0" w:oddVBand="0" w:evenVBand="0" w:oddHBand="0" w:evenHBand="0" w:firstRowFirstColumn="0" w:firstRowLastColumn="0" w:lastRowFirstColumn="0" w:lastRowLastColumn="0"/>
            </w:pPr>
          </w:p>
        </w:tc>
        <w:tc>
          <w:tcPr>
            <w:tcW w:w="1326" w:type="dxa"/>
            <w:vAlign w:val="center"/>
          </w:tcPr>
          <w:p w14:paraId="24EBB375" w14:textId="77777777" w:rsidR="004A2817" w:rsidRPr="0031723A" w:rsidRDefault="004A2817" w:rsidP="00EF3E7E">
            <w:pPr>
              <w:pStyle w:val="Table11Basic"/>
              <w:numPr>
                <w:ilvl w:val="0"/>
                <w:numId w:val="32"/>
              </w:numPr>
              <w:jc w:val="center"/>
              <w:cnfStyle w:val="000000000000" w:firstRow="0" w:lastRow="0" w:firstColumn="0" w:lastColumn="0" w:oddVBand="0" w:evenVBand="0" w:oddHBand="0" w:evenHBand="0" w:firstRowFirstColumn="0" w:firstRowLastColumn="0" w:lastRowFirstColumn="0" w:lastRowLastColumn="0"/>
            </w:pPr>
          </w:p>
        </w:tc>
        <w:tc>
          <w:tcPr>
            <w:tcW w:w="1327" w:type="dxa"/>
            <w:vAlign w:val="center"/>
          </w:tcPr>
          <w:p w14:paraId="015065C0" w14:textId="77777777" w:rsidR="004A2817" w:rsidRPr="0031723A" w:rsidRDefault="004A2817" w:rsidP="00EF3E7E">
            <w:pPr>
              <w:pStyle w:val="Table11Basic"/>
              <w:numPr>
                <w:ilvl w:val="0"/>
                <w:numId w:val="32"/>
              </w:numPr>
              <w:jc w:val="center"/>
              <w:cnfStyle w:val="000000000000" w:firstRow="0" w:lastRow="0" w:firstColumn="0" w:lastColumn="0" w:oddVBand="0" w:evenVBand="0" w:oddHBand="0" w:evenHBand="0" w:firstRowFirstColumn="0" w:firstRowLastColumn="0" w:lastRowFirstColumn="0" w:lastRowLastColumn="0"/>
            </w:pPr>
          </w:p>
        </w:tc>
      </w:tr>
      <w:tr w:rsidR="004A2817" w14:paraId="69A406FC" w14:textId="77777777" w:rsidTr="00EF3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2" w:type="dxa"/>
          </w:tcPr>
          <w:p w14:paraId="5F316037" w14:textId="3BCD0A16" w:rsidR="004A2817" w:rsidRPr="005369F7" w:rsidRDefault="004A2817" w:rsidP="005369F7">
            <w:pPr>
              <w:pStyle w:val="Table11RowHeading"/>
            </w:pPr>
            <w:r w:rsidRPr="005369F7">
              <w:t xml:space="preserve">Separating </w:t>
            </w:r>
            <w:r w:rsidR="0095080F" w:rsidRPr="005369F7">
              <w:t>indicators</w:t>
            </w:r>
          </w:p>
        </w:tc>
        <w:tc>
          <w:tcPr>
            <w:tcW w:w="1326" w:type="dxa"/>
            <w:vAlign w:val="center"/>
          </w:tcPr>
          <w:p w14:paraId="04450C17" w14:textId="77777777" w:rsidR="004A2817" w:rsidRPr="0031723A" w:rsidRDefault="004A2817" w:rsidP="00EF3E7E">
            <w:pPr>
              <w:pStyle w:val="Table11Basic"/>
              <w:numPr>
                <w:ilvl w:val="0"/>
                <w:numId w:val="32"/>
              </w:numPr>
              <w:jc w:val="center"/>
              <w:cnfStyle w:val="000000100000" w:firstRow="0" w:lastRow="0" w:firstColumn="0" w:lastColumn="0" w:oddVBand="0" w:evenVBand="0" w:oddHBand="1" w:evenHBand="0" w:firstRowFirstColumn="0" w:firstRowLastColumn="0" w:lastRowFirstColumn="0" w:lastRowLastColumn="0"/>
            </w:pPr>
          </w:p>
        </w:tc>
        <w:tc>
          <w:tcPr>
            <w:tcW w:w="1326" w:type="dxa"/>
            <w:vAlign w:val="center"/>
          </w:tcPr>
          <w:p w14:paraId="67ED9203" w14:textId="77777777" w:rsidR="004A2817" w:rsidRPr="0031723A" w:rsidRDefault="004A2817" w:rsidP="00EF3E7E">
            <w:pPr>
              <w:pStyle w:val="Table11Basic"/>
              <w:numPr>
                <w:ilvl w:val="0"/>
                <w:numId w:val="32"/>
              </w:numPr>
              <w:jc w:val="center"/>
              <w:cnfStyle w:val="000000100000" w:firstRow="0" w:lastRow="0" w:firstColumn="0" w:lastColumn="0" w:oddVBand="0" w:evenVBand="0" w:oddHBand="1" w:evenHBand="0" w:firstRowFirstColumn="0" w:firstRowLastColumn="0" w:lastRowFirstColumn="0" w:lastRowLastColumn="0"/>
            </w:pPr>
          </w:p>
        </w:tc>
        <w:tc>
          <w:tcPr>
            <w:tcW w:w="1327" w:type="dxa"/>
            <w:vAlign w:val="center"/>
          </w:tcPr>
          <w:p w14:paraId="20077E1E" w14:textId="77777777" w:rsidR="004A2817" w:rsidRPr="0031723A" w:rsidRDefault="004A2817" w:rsidP="00EF3E7E">
            <w:pPr>
              <w:pStyle w:val="Table11Basic"/>
              <w:numPr>
                <w:ilvl w:val="0"/>
                <w:numId w:val="32"/>
              </w:numPr>
              <w:jc w:val="center"/>
              <w:cnfStyle w:val="000000100000" w:firstRow="0" w:lastRow="0" w:firstColumn="0" w:lastColumn="0" w:oddVBand="0" w:evenVBand="0" w:oddHBand="1" w:evenHBand="0" w:firstRowFirstColumn="0" w:firstRowLastColumn="0" w:lastRowFirstColumn="0" w:lastRowLastColumn="0"/>
            </w:pPr>
          </w:p>
        </w:tc>
        <w:tc>
          <w:tcPr>
            <w:tcW w:w="1326" w:type="dxa"/>
            <w:vAlign w:val="center"/>
          </w:tcPr>
          <w:p w14:paraId="5A7E167E" w14:textId="77777777" w:rsidR="004A2817" w:rsidRPr="0031723A" w:rsidRDefault="004A2817" w:rsidP="00EF3E7E">
            <w:pPr>
              <w:pStyle w:val="Table11Basic"/>
              <w:numPr>
                <w:ilvl w:val="0"/>
                <w:numId w:val="32"/>
              </w:numPr>
              <w:jc w:val="center"/>
              <w:cnfStyle w:val="000000100000" w:firstRow="0" w:lastRow="0" w:firstColumn="0" w:lastColumn="0" w:oddVBand="0" w:evenVBand="0" w:oddHBand="1" w:evenHBand="0" w:firstRowFirstColumn="0" w:firstRowLastColumn="0" w:lastRowFirstColumn="0" w:lastRowLastColumn="0"/>
            </w:pPr>
          </w:p>
        </w:tc>
        <w:tc>
          <w:tcPr>
            <w:tcW w:w="1326" w:type="dxa"/>
            <w:vAlign w:val="center"/>
          </w:tcPr>
          <w:p w14:paraId="3231D88F" w14:textId="77777777" w:rsidR="004A2817" w:rsidRPr="0031723A" w:rsidRDefault="004A2817" w:rsidP="00EF3E7E">
            <w:pPr>
              <w:pStyle w:val="Table11Basic"/>
              <w:numPr>
                <w:ilvl w:val="0"/>
                <w:numId w:val="32"/>
              </w:numPr>
              <w:jc w:val="center"/>
              <w:cnfStyle w:val="000000100000" w:firstRow="0" w:lastRow="0" w:firstColumn="0" w:lastColumn="0" w:oddVBand="0" w:evenVBand="0" w:oddHBand="1" w:evenHBand="0" w:firstRowFirstColumn="0" w:firstRowLastColumn="0" w:lastRowFirstColumn="0" w:lastRowLastColumn="0"/>
            </w:pPr>
          </w:p>
        </w:tc>
        <w:tc>
          <w:tcPr>
            <w:tcW w:w="1327" w:type="dxa"/>
            <w:vAlign w:val="center"/>
          </w:tcPr>
          <w:p w14:paraId="3D4DB84C" w14:textId="77777777" w:rsidR="004A2817" w:rsidRPr="0031723A" w:rsidRDefault="004A2817" w:rsidP="00EF3E7E">
            <w:pPr>
              <w:pStyle w:val="Table11Basic"/>
              <w:numPr>
                <w:ilvl w:val="0"/>
                <w:numId w:val="32"/>
              </w:numPr>
              <w:jc w:val="center"/>
              <w:cnfStyle w:val="000000100000" w:firstRow="0" w:lastRow="0" w:firstColumn="0" w:lastColumn="0" w:oddVBand="0" w:evenVBand="0" w:oddHBand="1" w:evenHBand="0" w:firstRowFirstColumn="0" w:firstRowLastColumn="0" w:lastRowFirstColumn="0" w:lastRowLastColumn="0"/>
            </w:pPr>
          </w:p>
        </w:tc>
      </w:tr>
      <w:tr w:rsidR="004A2817" w14:paraId="54470AC4" w14:textId="77777777" w:rsidTr="00EF3E7E">
        <w:tc>
          <w:tcPr>
            <w:cnfStyle w:val="001000000000" w:firstRow="0" w:lastRow="0" w:firstColumn="1" w:lastColumn="0" w:oddVBand="0" w:evenVBand="0" w:oddHBand="0" w:evenHBand="0" w:firstRowFirstColumn="0" w:firstRowLastColumn="0" w:lastRowFirstColumn="0" w:lastRowLastColumn="0"/>
            <w:tcW w:w="1392" w:type="dxa"/>
          </w:tcPr>
          <w:p w14:paraId="54ACE768" w14:textId="77777777" w:rsidR="004A2817" w:rsidRPr="005369F7" w:rsidRDefault="004A2817" w:rsidP="005369F7">
            <w:pPr>
              <w:pStyle w:val="Table11RowHeading"/>
            </w:pPr>
            <w:r w:rsidRPr="005369F7">
              <w:t>Growth</w:t>
            </w:r>
          </w:p>
        </w:tc>
        <w:tc>
          <w:tcPr>
            <w:tcW w:w="1326" w:type="dxa"/>
            <w:vAlign w:val="center"/>
          </w:tcPr>
          <w:p w14:paraId="08367646" w14:textId="77777777" w:rsidR="004A2817" w:rsidRPr="0031723A" w:rsidRDefault="004A2817" w:rsidP="005E05BB">
            <w:pPr>
              <w:pStyle w:val="Table11Basic"/>
              <w:numPr>
                <w:ilvl w:val="0"/>
                <w:numId w:val="32"/>
              </w:numPr>
              <w:jc w:val="center"/>
              <w:cnfStyle w:val="000000000000" w:firstRow="0" w:lastRow="0" w:firstColumn="0" w:lastColumn="0" w:oddVBand="0" w:evenVBand="0" w:oddHBand="0" w:evenHBand="0" w:firstRowFirstColumn="0" w:firstRowLastColumn="0" w:lastRowFirstColumn="0" w:lastRowLastColumn="0"/>
            </w:pPr>
          </w:p>
        </w:tc>
        <w:tc>
          <w:tcPr>
            <w:tcW w:w="1326" w:type="dxa"/>
            <w:vAlign w:val="center"/>
          </w:tcPr>
          <w:p w14:paraId="2C6407B7" w14:textId="77777777" w:rsidR="004A2817" w:rsidRPr="0031723A" w:rsidRDefault="004A2817" w:rsidP="005E05BB">
            <w:pPr>
              <w:pStyle w:val="Table11Basic"/>
              <w:numPr>
                <w:ilvl w:val="0"/>
                <w:numId w:val="32"/>
              </w:numPr>
              <w:jc w:val="center"/>
              <w:cnfStyle w:val="000000000000" w:firstRow="0" w:lastRow="0" w:firstColumn="0" w:lastColumn="0" w:oddVBand="0" w:evenVBand="0" w:oddHBand="0" w:evenHBand="0" w:firstRowFirstColumn="0" w:firstRowLastColumn="0" w:lastRowFirstColumn="0" w:lastRowLastColumn="0"/>
            </w:pPr>
          </w:p>
        </w:tc>
        <w:tc>
          <w:tcPr>
            <w:tcW w:w="1327" w:type="dxa"/>
            <w:vAlign w:val="center"/>
          </w:tcPr>
          <w:p w14:paraId="1488B85F" w14:textId="77777777" w:rsidR="004A2817" w:rsidRPr="0031723A" w:rsidRDefault="004A2817" w:rsidP="005E05BB">
            <w:pPr>
              <w:pStyle w:val="Table11Basic"/>
              <w:numPr>
                <w:ilvl w:val="0"/>
                <w:numId w:val="32"/>
              </w:numPr>
              <w:jc w:val="center"/>
              <w:cnfStyle w:val="000000000000" w:firstRow="0" w:lastRow="0" w:firstColumn="0" w:lastColumn="0" w:oddVBand="0" w:evenVBand="0" w:oddHBand="0" w:evenHBand="0" w:firstRowFirstColumn="0" w:firstRowLastColumn="0" w:lastRowFirstColumn="0" w:lastRowLastColumn="0"/>
            </w:pPr>
          </w:p>
        </w:tc>
        <w:tc>
          <w:tcPr>
            <w:tcW w:w="1326" w:type="dxa"/>
            <w:vAlign w:val="center"/>
          </w:tcPr>
          <w:p w14:paraId="5C15D386" w14:textId="77777777" w:rsidR="004A2817" w:rsidRPr="0031723A" w:rsidRDefault="004A2817" w:rsidP="005E05BB">
            <w:pPr>
              <w:pStyle w:val="Table11Basic"/>
              <w:numPr>
                <w:ilvl w:val="0"/>
                <w:numId w:val="32"/>
              </w:numPr>
              <w:jc w:val="center"/>
              <w:cnfStyle w:val="000000000000" w:firstRow="0" w:lastRow="0" w:firstColumn="0" w:lastColumn="0" w:oddVBand="0" w:evenVBand="0" w:oddHBand="0" w:evenHBand="0" w:firstRowFirstColumn="0" w:firstRowLastColumn="0" w:lastRowFirstColumn="0" w:lastRowLastColumn="0"/>
            </w:pPr>
          </w:p>
        </w:tc>
        <w:tc>
          <w:tcPr>
            <w:tcW w:w="1326" w:type="dxa"/>
            <w:vAlign w:val="center"/>
          </w:tcPr>
          <w:p w14:paraId="4C60B2AA" w14:textId="77777777" w:rsidR="004A2817" w:rsidRPr="0031723A" w:rsidRDefault="004A2817" w:rsidP="005E05BB">
            <w:pPr>
              <w:pStyle w:val="Table11Basic"/>
              <w:numPr>
                <w:ilvl w:val="0"/>
                <w:numId w:val="32"/>
              </w:numPr>
              <w:jc w:val="center"/>
              <w:cnfStyle w:val="000000000000" w:firstRow="0" w:lastRow="0" w:firstColumn="0" w:lastColumn="0" w:oddVBand="0" w:evenVBand="0" w:oddHBand="0" w:evenHBand="0" w:firstRowFirstColumn="0" w:firstRowLastColumn="0" w:lastRowFirstColumn="0" w:lastRowLastColumn="0"/>
            </w:pPr>
          </w:p>
        </w:tc>
        <w:tc>
          <w:tcPr>
            <w:tcW w:w="1327" w:type="dxa"/>
            <w:vAlign w:val="center"/>
          </w:tcPr>
          <w:p w14:paraId="34B30EAE" w14:textId="77777777" w:rsidR="004A2817" w:rsidRPr="0031723A" w:rsidRDefault="004A2817" w:rsidP="005E05BB">
            <w:pPr>
              <w:pStyle w:val="Table11Basic"/>
              <w:numPr>
                <w:ilvl w:val="0"/>
                <w:numId w:val="32"/>
              </w:numPr>
              <w:jc w:val="center"/>
              <w:cnfStyle w:val="000000000000" w:firstRow="0" w:lastRow="0" w:firstColumn="0" w:lastColumn="0" w:oddVBand="0" w:evenVBand="0" w:oddHBand="0" w:evenHBand="0" w:firstRowFirstColumn="0" w:firstRowLastColumn="0" w:lastRowFirstColumn="0" w:lastRowLastColumn="0"/>
            </w:pPr>
          </w:p>
        </w:tc>
      </w:tr>
      <w:tr w:rsidR="004A2817" w14:paraId="492C1CC7" w14:textId="77777777" w:rsidTr="00EF3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2" w:type="dxa"/>
          </w:tcPr>
          <w:p w14:paraId="4474EE13" w14:textId="5C302304" w:rsidR="004A2817" w:rsidRPr="005369F7" w:rsidRDefault="004A2817" w:rsidP="005369F7">
            <w:pPr>
              <w:pStyle w:val="Table11RowHeading"/>
            </w:pPr>
            <w:r w:rsidRPr="005369F7">
              <w:t>All students</w:t>
            </w:r>
          </w:p>
        </w:tc>
        <w:tc>
          <w:tcPr>
            <w:tcW w:w="1326" w:type="dxa"/>
            <w:vAlign w:val="center"/>
          </w:tcPr>
          <w:p w14:paraId="54DE25D1" w14:textId="77777777" w:rsidR="004A2817" w:rsidRPr="0031723A" w:rsidRDefault="004A2817" w:rsidP="005E05BB">
            <w:pPr>
              <w:pStyle w:val="Table11Basic"/>
              <w:numPr>
                <w:ilvl w:val="0"/>
                <w:numId w:val="32"/>
              </w:numPr>
              <w:jc w:val="center"/>
              <w:cnfStyle w:val="000000100000" w:firstRow="0" w:lastRow="0" w:firstColumn="0" w:lastColumn="0" w:oddVBand="0" w:evenVBand="0" w:oddHBand="1" w:evenHBand="0" w:firstRowFirstColumn="0" w:firstRowLastColumn="0" w:lastRowFirstColumn="0" w:lastRowLastColumn="0"/>
              <w:rPr>
                <w:rFonts w:ascii="Wingdings" w:eastAsia="Wingdings" w:hAnsi="Wingdings" w:cs="Wingdings"/>
              </w:rPr>
            </w:pPr>
          </w:p>
        </w:tc>
        <w:tc>
          <w:tcPr>
            <w:tcW w:w="1326" w:type="dxa"/>
            <w:vAlign w:val="center"/>
          </w:tcPr>
          <w:p w14:paraId="695DB7BD" w14:textId="77777777" w:rsidR="004A2817" w:rsidRPr="0031723A" w:rsidRDefault="004A2817" w:rsidP="005E05BB">
            <w:pPr>
              <w:pStyle w:val="Table11Basic"/>
              <w:numPr>
                <w:ilvl w:val="0"/>
                <w:numId w:val="32"/>
              </w:numPr>
              <w:jc w:val="center"/>
              <w:cnfStyle w:val="000000100000" w:firstRow="0" w:lastRow="0" w:firstColumn="0" w:lastColumn="0" w:oddVBand="0" w:evenVBand="0" w:oddHBand="1" w:evenHBand="0" w:firstRowFirstColumn="0" w:firstRowLastColumn="0" w:lastRowFirstColumn="0" w:lastRowLastColumn="0"/>
              <w:rPr>
                <w:rFonts w:ascii="Wingdings" w:eastAsia="Wingdings" w:hAnsi="Wingdings" w:cs="Wingdings"/>
              </w:rPr>
            </w:pPr>
          </w:p>
        </w:tc>
        <w:tc>
          <w:tcPr>
            <w:tcW w:w="1327" w:type="dxa"/>
            <w:vAlign w:val="center"/>
          </w:tcPr>
          <w:p w14:paraId="4B5EAE51" w14:textId="77777777" w:rsidR="004A2817" w:rsidRPr="0031723A" w:rsidRDefault="004A2817" w:rsidP="005E05BB">
            <w:pPr>
              <w:pStyle w:val="Table11Basic"/>
              <w:numPr>
                <w:ilvl w:val="0"/>
                <w:numId w:val="32"/>
              </w:numPr>
              <w:jc w:val="center"/>
              <w:cnfStyle w:val="000000100000" w:firstRow="0" w:lastRow="0" w:firstColumn="0" w:lastColumn="0" w:oddVBand="0" w:evenVBand="0" w:oddHBand="1" w:evenHBand="0" w:firstRowFirstColumn="0" w:firstRowLastColumn="0" w:lastRowFirstColumn="0" w:lastRowLastColumn="0"/>
              <w:rPr>
                <w:rFonts w:ascii="Wingdings" w:eastAsia="Wingdings" w:hAnsi="Wingdings" w:cs="Wingdings"/>
              </w:rPr>
            </w:pPr>
          </w:p>
        </w:tc>
        <w:tc>
          <w:tcPr>
            <w:tcW w:w="1326" w:type="dxa"/>
            <w:vAlign w:val="center"/>
          </w:tcPr>
          <w:p w14:paraId="0A523F68" w14:textId="77777777" w:rsidR="004A2817" w:rsidRPr="0031723A" w:rsidRDefault="004A2817" w:rsidP="0070633F">
            <w:pPr>
              <w:pStyle w:val="Table11Basic"/>
              <w:numPr>
                <w:ilvl w:val="0"/>
                <w:numId w:val="32"/>
              </w:numPr>
              <w:jc w:val="center"/>
              <w:cnfStyle w:val="000000100000" w:firstRow="0" w:lastRow="0" w:firstColumn="0" w:lastColumn="0" w:oddVBand="0" w:evenVBand="0" w:oddHBand="1" w:evenHBand="0" w:firstRowFirstColumn="0" w:firstRowLastColumn="0" w:lastRowFirstColumn="0" w:lastRowLastColumn="0"/>
              <w:rPr>
                <w:rFonts w:ascii="Wingdings" w:eastAsia="Wingdings" w:hAnsi="Wingdings" w:cs="Wingdings"/>
              </w:rPr>
            </w:pPr>
          </w:p>
        </w:tc>
        <w:tc>
          <w:tcPr>
            <w:tcW w:w="1326" w:type="dxa"/>
            <w:vAlign w:val="center"/>
          </w:tcPr>
          <w:p w14:paraId="1057346D" w14:textId="77777777" w:rsidR="004A2817" w:rsidRPr="0031723A" w:rsidRDefault="004A2817" w:rsidP="0070633F">
            <w:pPr>
              <w:pStyle w:val="Table11Basic"/>
              <w:numPr>
                <w:ilvl w:val="0"/>
                <w:numId w:val="32"/>
              </w:numPr>
              <w:jc w:val="center"/>
              <w:cnfStyle w:val="000000100000" w:firstRow="0" w:lastRow="0" w:firstColumn="0" w:lastColumn="0" w:oddVBand="0" w:evenVBand="0" w:oddHBand="1" w:evenHBand="0" w:firstRowFirstColumn="0" w:firstRowLastColumn="0" w:lastRowFirstColumn="0" w:lastRowLastColumn="0"/>
              <w:rPr>
                <w:rFonts w:ascii="Wingdings" w:eastAsia="Wingdings" w:hAnsi="Wingdings" w:cs="Wingdings"/>
              </w:rPr>
            </w:pPr>
          </w:p>
        </w:tc>
        <w:tc>
          <w:tcPr>
            <w:tcW w:w="1327" w:type="dxa"/>
            <w:vAlign w:val="center"/>
          </w:tcPr>
          <w:p w14:paraId="7C83038C" w14:textId="77777777" w:rsidR="004A2817" w:rsidRPr="0031723A" w:rsidRDefault="004A2817" w:rsidP="0070633F">
            <w:pPr>
              <w:pStyle w:val="Table11Basic"/>
              <w:numPr>
                <w:ilvl w:val="0"/>
                <w:numId w:val="32"/>
              </w:numPr>
              <w:jc w:val="center"/>
              <w:cnfStyle w:val="000000100000" w:firstRow="0" w:lastRow="0" w:firstColumn="0" w:lastColumn="0" w:oddVBand="0" w:evenVBand="0" w:oddHBand="1" w:evenHBand="0" w:firstRowFirstColumn="0" w:firstRowLastColumn="0" w:lastRowFirstColumn="0" w:lastRowLastColumn="0"/>
              <w:rPr>
                <w:rFonts w:ascii="Wingdings" w:eastAsia="Wingdings" w:hAnsi="Wingdings" w:cs="Wingdings"/>
              </w:rPr>
            </w:pPr>
          </w:p>
        </w:tc>
      </w:tr>
      <w:tr w:rsidR="004A2817" w14:paraId="7573FD93" w14:textId="77777777" w:rsidTr="00EF3E7E">
        <w:tc>
          <w:tcPr>
            <w:cnfStyle w:val="001000000000" w:firstRow="0" w:lastRow="0" w:firstColumn="1" w:lastColumn="0" w:oddVBand="0" w:evenVBand="0" w:oddHBand="0" w:evenHBand="0" w:firstRowFirstColumn="0" w:firstRowLastColumn="0" w:lastRowFirstColumn="0" w:lastRowLastColumn="0"/>
            <w:tcW w:w="1392" w:type="dxa"/>
          </w:tcPr>
          <w:p w14:paraId="3C58CEFE" w14:textId="77777777" w:rsidR="004A2817" w:rsidRPr="005369F7" w:rsidRDefault="004A2817" w:rsidP="005369F7">
            <w:pPr>
              <w:pStyle w:val="Table11RowHeading"/>
            </w:pPr>
            <w:r w:rsidRPr="005369F7">
              <w:t>Science</w:t>
            </w:r>
          </w:p>
        </w:tc>
        <w:tc>
          <w:tcPr>
            <w:tcW w:w="1326" w:type="dxa"/>
            <w:vAlign w:val="center"/>
          </w:tcPr>
          <w:p w14:paraId="3609B1CD" w14:textId="77777777" w:rsidR="004A2817" w:rsidRPr="0031723A" w:rsidRDefault="004A2817" w:rsidP="0070633F">
            <w:pPr>
              <w:pStyle w:val="Table11Basic"/>
              <w:numPr>
                <w:ilvl w:val="0"/>
                <w:numId w:val="32"/>
              </w:numPr>
              <w:jc w:val="center"/>
              <w:cnfStyle w:val="000000000000" w:firstRow="0" w:lastRow="0" w:firstColumn="0" w:lastColumn="0" w:oddVBand="0" w:evenVBand="0" w:oddHBand="0" w:evenHBand="0" w:firstRowFirstColumn="0" w:firstRowLastColumn="0" w:lastRowFirstColumn="0" w:lastRowLastColumn="0"/>
            </w:pPr>
          </w:p>
        </w:tc>
        <w:tc>
          <w:tcPr>
            <w:tcW w:w="1326" w:type="dxa"/>
            <w:vAlign w:val="center"/>
          </w:tcPr>
          <w:p w14:paraId="2CF6E2E9" w14:textId="77777777" w:rsidR="004A2817" w:rsidRPr="0031723A" w:rsidRDefault="004A2817" w:rsidP="0070633F">
            <w:pPr>
              <w:pStyle w:val="Table11Basic"/>
              <w:numPr>
                <w:ilvl w:val="0"/>
                <w:numId w:val="32"/>
              </w:numPr>
              <w:jc w:val="center"/>
              <w:cnfStyle w:val="000000000000" w:firstRow="0" w:lastRow="0" w:firstColumn="0" w:lastColumn="0" w:oddVBand="0" w:evenVBand="0" w:oddHBand="0" w:evenHBand="0" w:firstRowFirstColumn="0" w:firstRowLastColumn="0" w:lastRowFirstColumn="0" w:lastRowLastColumn="0"/>
            </w:pPr>
          </w:p>
        </w:tc>
        <w:tc>
          <w:tcPr>
            <w:tcW w:w="1327" w:type="dxa"/>
            <w:vAlign w:val="center"/>
          </w:tcPr>
          <w:p w14:paraId="166BCB88" w14:textId="77777777" w:rsidR="004A2817" w:rsidRPr="0031723A" w:rsidRDefault="004A2817" w:rsidP="0070633F">
            <w:pPr>
              <w:pStyle w:val="Table11Basic"/>
              <w:numPr>
                <w:ilvl w:val="0"/>
                <w:numId w:val="32"/>
              </w:numPr>
              <w:jc w:val="center"/>
              <w:cnfStyle w:val="000000000000" w:firstRow="0" w:lastRow="0" w:firstColumn="0" w:lastColumn="0" w:oddVBand="0" w:evenVBand="0" w:oddHBand="0" w:evenHBand="0" w:firstRowFirstColumn="0" w:firstRowLastColumn="0" w:lastRowFirstColumn="0" w:lastRowLastColumn="0"/>
            </w:pPr>
          </w:p>
        </w:tc>
        <w:tc>
          <w:tcPr>
            <w:tcW w:w="1326" w:type="dxa"/>
            <w:vAlign w:val="center"/>
          </w:tcPr>
          <w:p w14:paraId="406BCD70" w14:textId="77777777" w:rsidR="004A2817" w:rsidRPr="0031723A" w:rsidRDefault="004A2817" w:rsidP="0070633F">
            <w:pPr>
              <w:pStyle w:val="Table11Basic"/>
              <w:numPr>
                <w:ilvl w:val="0"/>
                <w:numId w:val="32"/>
              </w:numPr>
              <w:jc w:val="center"/>
              <w:cnfStyle w:val="000000000000" w:firstRow="0" w:lastRow="0" w:firstColumn="0" w:lastColumn="0" w:oddVBand="0" w:evenVBand="0" w:oddHBand="0" w:evenHBand="0" w:firstRowFirstColumn="0" w:firstRowLastColumn="0" w:lastRowFirstColumn="0" w:lastRowLastColumn="0"/>
            </w:pPr>
          </w:p>
        </w:tc>
        <w:tc>
          <w:tcPr>
            <w:tcW w:w="1326" w:type="dxa"/>
            <w:vAlign w:val="center"/>
          </w:tcPr>
          <w:p w14:paraId="02B521E6" w14:textId="77777777" w:rsidR="004A2817" w:rsidRPr="0031723A" w:rsidRDefault="004A2817" w:rsidP="0070633F">
            <w:pPr>
              <w:pStyle w:val="Table11Basic"/>
              <w:numPr>
                <w:ilvl w:val="0"/>
                <w:numId w:val="32"/>
              </w:numPr>
              <w:jc w:val="center"/>
              <w:cnfStyle w:val="000000000000" w:firstRow="0" w:lastRow="0" w:firstColumn="0" w:lastColumn="0" w:oddVBand="0" w:evenVBand="0" w:oddHBand="0" w:evenHBand="0" w:firstRowFirstColumn="0" w:firstRowLastColumn="0" w:lastRowFirstColumn="0" w:lastRowLastColumn="0"/>
            </w:pPr>
          </w:p>
        </w:tc>
        <w:tc>
          <w:tcPr>
            <w:tcW w:w="1327" w:type="dxa"/>
            <w:vAlign w:val="center"/>
          </w:tcPr>
          <w:p w14:paraId="79E230B8" w14:textId="77777777" w:rsidR="004A2817" w:rsidRPr="0031723A" w:rsidRDefault="004A2817" w:rsidP="0070633F">
            <w:pPr>
              <w:pStyle w:val="Table11Basic"/>
              <w:numPr>
                <w:ilvl w:val="0"/>
                <w:numId w:val="32"/>
              </w:numPr>
              <w:jc w:val="center"/>
              <w:cnfStyle w:val="000000000000" w:firstRow="0" w:lastRow="0" w:firstColumn="0" w:lastColumn="0" w:oddVBand="0" w:evenVBand="0" w:oddHBand="0" w:evenHBand="0" w:firstRowFirstColumn="0" w:firstRowLastColumn="0" w:lastRowFirstColumn="0" w:lastRowLastColumn="0"/>
            </w:pPr>
          </w:p>
        </w:tc>
      </w:tr>
      <w:tr w:rsidR="004A2817" w14:paraId="3B78FD43" w14:textId="77777777" w:rsidTr="00EF3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2" w:type="dxa"/>
          </w:tcPr>
          <w:p w14:paraId="7DD3F566" w14:textId="77777777" w:rsidR="004A2817" w:rsidRPr="005369F7" w:rsidRDefault="004A2817" w:rsidP="005369F7">
            <w:pPr>
              <w:pStyle w:val="Table11RowHeading"/>
            </w:pPr>
            <w:r w:rsidRPr="005369F7">
              <w:t>CALPADS</w:t>
            </w:r>
          </w:p>
        </w:tc>
        <w:tc>
          <w:tcPr>
            <w:tcW w:w="1326" w:type="dxa"/>
            <w:vAlign w:val="center"/>
          </w:tcPr>
          <w:p w14:paraId="477A33C7" w14:textId="77777777" w:rsidR="004A2817" w:rsidRPr="0031723A" w:rsidRDefault="004A2817" w:rsidP="00EF3E7E">
            <w:pPr>
              <w:pStyle w:val="Table11Basic"/>
              <w:jc w:val="center"/>
              <w:cnfStyle w:val="000000100000" w:firstRow="0" w:lastRow="0" w:firstColumn="0" w:lastColumn="0" w:oddVBand="0" w:evenVBand="0" w:oddHBand="1" w:evenHBand="0" w:firstRowFirstColumn="0" w:firstRowLastColumn="0" w:lastRowFirstColumn="0" w:lastRowLastColumn="0"/>
            </w:pPr>
          </w:p>
        </w:tc>
        <w:tc>
          <w:tcPr>
            <w:tcW w:w="1326" w:type="dxa"/>
            <w:vAlign w:val="center"/>
          </w:tcPr>
          <w:p w14:paraId="36213E86" w14:textId="77777777" w:rsidR="004A2817" w:rsidRPr="0031723A" w:rsidRDefault="004A2817" w:rsidP="00EF3E7E">
            <w:pPr>
              <w:pStyle w:val="Table11Basic"/>
              <w:jc w:val="center"/>
              <w:cnfStyle w:val="000000100000" w:firstRow="0" w:lastRow="0" w:firstColumn="0" w:lastColumn="0" w:oddVBand="0" w:evenVBand="0" w:oddHBand="1" w:evenHBand="0" w:firstRowFirstColumn="0" w:firstRowLastColumn="0" w:lastRowFirstColumn="0" w:lastRowLastColumn="0"/>
            </w:pPr>
          </w:p>
        </w:tc>
        <w:tc>
          <w:tcPr>
            <w:tcW w:w="1327" w:type="dxa"/>
            <w:vAlign w:val="center"/>
          </w:tcPr>
          <w:p w14:paraId="34685D5E" w14:textId="77777777" w:rsidR="004A2817" w:rsidRPr="0031723A" w:rsidRDefault="004A2817" w:rsidP="00EF3E7E">
            <w:pPr>
              <w:pStyle w:val="Table11Basic"/>
              <w:jc w:val="center"/>
              <w:cnfStyle w:val="000000100000" w:firstRow="0" w:lastRow="0" w:firstColumn="0" w:lastColumn="0" w:oddVBand="0" w:evenVBand="0" w:oddHBand="1" w:evenHBand="0" w:firstRowFirstColumn="0" w:firstRowLastColumn="0" w:lastRowFirstColumn="0" w:lastRowLastColumn="0"/>
            </w:pPr>
          </w:p>
        </w:tc>
        <w:tc>
          <w:tcPr>
            <w:tcW w:w="1326" w:type="dxa"/>
            <w:vAlign w:val="center"/>
          </w:tcPr>
          <w:p w14:paraId="22D2ABF4" w14:textId="77777777" w:rsidR="004A2817" w:rsidRPr="0031723A" w:rsidRDefault="004A2817" w:rsidP="0070633F">
            <w:pPr>
              <w:pStyle w:val="Table11Basic"/>
              <w:numPr>
                <w:ilvl w:val="0"/>
                <w:numId w:val="32"/>
              </w:numPr>
              <w:jc w:val="center"/>
              <w:cnfStyle w:val="000000100000" w:firstRow="0" w:lastRow="0" w:firstColumn="0" w:lastColumn="0" w:oddVBand="0" w:evenVBand="0" w:oddHBand="1" w:evenHBand="0" w:firstRowFirstColumn="0" w:firstRowLastColumn="0" w:lastRowFirstColumn="0" w:lastRowLastColumn="0"/>
            </w:pPr>
          </w:p>
        </w:tc>
        <w:tc>
          <w:tcPr>
            <w:tcW w:w="1326" w:type="dxa"/>
            <w:vAlign w:val="center"/>
          </w:tcPr>
          <w:p w14:paraId="071B6A17" w14:textId="77777777" w:rsidR="004A2817" w:rsidRPr="0031723A" w:rsidRDefault="004A2817" w:rsidP="0070633F">
            <w:pPr>
              <w:pStyle w:val="Table11Basic"/>
              <w:numPr>
                <w:ilvl w:val="0"/>
                <w:numId w:val="32"/>
              </w:numPr>
              <w:jc w:val="center"/>
              <w:cnfStyle w:val="000000100000" w:firstRow="0" w:lastRow="0" w:firstColumn="0" w:lastColumn="0" w:oddVBand="0" w:evenVBand="0" w:oddHBand="1" w:evenHBand="0" w:firstRowFirstColumn="0" w:firstRowLastColumn="0" w:lastRowFirstColumn="0" w:lastRowLastColumn="0"/>
            </w:pPr>
          </w:p>
        </w:tc>
        <w:tc>
          <w:tcPr>
            <w:tcW w:w="1327" w:type="dxa"/>
            <w:vAlign w:val="center"/>
          </w:tcPr>
          <w:p w14:paraId="41C19B8B" w14:textId="77777777" w:rsidR="004A2817" w:rsidRPr="0031723A" w:rsidRDefault="004A2817" w:rsidP="0070633F">
            <w:pPr>
              <w:pStyle w:val="Table11Basic"/>
              <w:numPr>
                <w:ilvl w:val="0"/>
                <w:numId w:val="32"/>
              </w:numPr>
              <w:jc w:val="center"/>
              <w:cnfStyle w:val="000000100000" w:firstRow="0" w:lastRow="0" w:firstColumn="0" w:lastColumn="0" w:oddVBand="0" w:evenVBand="0" w:oddHBand="1" w:evenHBand="0" w:firstRowFirstColumn="0" w:firstRowLastColumn="0" w:lastRowFirstColumn="0" w:lastRowLastColumn="0"/>
            </w:pPr>
          </w:p>
        </w:tc>
      </w:tr>
      <w:tr w:rsidR="004A2817" w14:paraId="4F6BC1C9" w14:textId="77777777" w:rsidTr="00EF3E7E">
        <w:tc>
          <w:tcPr>
            <w:cnfStyle w:val="001000000000" w:firstRow="0" w:lastRow="0" w:firstColumn="1" w:lastColumn="0" w:oddVBand="0" w:evenVBand="0" w:oddHBand="0" w:evenHBand="0" w:firstRowFirstColumn="0" w:firstRowLastColumn="0" w:lastRowFirstColumn="0" w:lastRowLastColumn="0"/>
            <w:tcW w:w="1392" w:type="dxa"/>
          </w:tcPr>
          <w:p w14:paraId="2B98BE0C" w14:textId="77777777" w:rsidR="004A2817" w:rsidRPr="005369F7" w:rsidRDefault="004A2817" w:rsidP="005369F7">
            <w:pPr>
              <w:pStyle w:val="Table11RowHeading"/>
            </w:pPr>
            <w:r w:rsidRPr="005369F7">
              <w:t>DTA</w:t>
            </w:r>
          </w:p>
        </w:tc>
        <w:tc>
          <w:tcPr>
            <w:tcW w:w="1326" w:type="dxa"/>
            <w:vAlign w:val="center"/>
          </w:tcPr>
          <w:p w14:paraId="1DBF8982" w14:textId="77777777" w:rsidR="004A2817" w:rsidRPr="0031723A" w:rsidRDefault="004A2817" w:rsidP="00EF3E7E">
            <w:pPr>
              <w:pStyle w:val="Table11Basic"/>
              <w:jc w:val="center"/>
              <w:cnfStyle w:val="000000000000" w:firstRow="0" w:lastRow="0" w:firstColumn="0" w:lastColumn="0" w:oddVBand="0" w:evenVBand="0" w:oddHBand="0" w:evenHBand="0" w:firstRowFirstColumn="0" w:firstRowLastColumn="0" w:lastRowFirstColumn="0" w:lastRowLastColumn="0"/>
            </w:pPr>
          </w:p>
        </w:tc>
        <w:tc>
          <w:tcPr>
            <w:tcW w:w="1326" w:type="dxa"/>
            <w:vAlign w:val="center"/>
          </w:tcPr>
          <w:p w14:paraId="580B0E13" w14:textId="77777777" w:rsidR="004A2817" w:rsidRPr="0031723A" w:rsidRDefault="004A2817" w:rsidP="000802B9">
            <w:pPr>
              <w:pStyle w:val="Table11Basic"/>
              <w:numPr>
                <w:ilvl w:val="0"/>
                <w:numId w:val="32"/>
              </w:numPr>
              <w:jc w:val="center"/>
              <w:cnfStyle w:val="000000000000" w:firstRow="0" w:lastRow="0" w:firstColumn="0" w:lastColumn="0" w:oddVBand="0" w:evenVBand="0" w:oddHBand="0" w:evenHBand="0" w:firstRowFirstColumn="0" w:firstRowLastColumn="0" w:lastRowFirstColumn="0" w:lastRowLastColumn="0"/>
            </w:pPr>
          </w:p>
        </w:tc>
        <w:tc>
          <w:tcPr>
            <w:tcW w:w="1327" w:type="dxa"/>
            <w:vAlign w:val="center"/>
          </w:tcPr>
          <w:p w14:paraId="3B27E48A" w14:textId="77777777" w:rsidR="004A2817" w:rsidRPr="0031723A" w:rsidRDefault="004A2817" w:rsidP="000802B9">
            <w:pPr>
              <w:pStyle w:val="Table11Basic"/>
              <w:numPr>
                <w:ilvl w:val="0"/>
                <w:numId w:val="32"/>
              </w:numPr>
              <w:jc w:val="center"/>
              <w:cnfStyle w:val="000000000000" w:firstRow="0" w:lastRow="0" w:firstColumn="0" w:lastColumn="0" w:oddVBand="0" w:evenVBand="0" w:oddHBand="0" w:evenHBand="0" w:firstRowFirstColumn="0" w:firstRowLastColumn="0" w:lastRowFirstColumn="0" w:lastRowLastColumn="0"/>
            </w:pPr>
          </w:p>
        </w:tc>
        <w:tc>
          <w:tcPr>
            <w:tcW w:w="1326" w:type="dxa"/>
            <w:vAlign w:val="center"/>
          </w:tcPr>
          <w:p w14:paraId="047762B8" w14:textId="77777777" w:rsidR="004A2817" w:rsidRPr="0031723A" w:rsidRDefault="004A2817" w:rsidP="000802B9">
            <w:pPr>
              <w:pStyle w:val="Table11Basic"/>
              <w:numPr>
                <w:ilvl w:val="0"/>
                <w:numId w:val="32"/>
              </w:numPr>
              <w:jc w:val="center"/>
              <w:cnfStyle w:val="000000000000" w:firstRow="0" w:lastRow="0" w:firstColumn="0" w:lastColumn="0" w:oddVBand="0" w:evenVBand="0" w:oddHBand="0" w:evenHBand="0" w:firstRowFirstColumn="0" w:firstRowLastColumn="0" w:lastRowFirstColumn="0" w:lastRowLastColumn="0"/>
            </w:pPr>
          </w:p>
        </w:tc>
        <w:tc>
          <w:tcPr>
            <w:tcW w:w="1326" w:type="dxa"/>
            <w:vAlign w:val="center"/>
          </w:tcPr>
          <w:p w14:paraId="7312E57D" w14:textId="77777777" w:rsidR="004A2817" w:rsidRPr="0031723A" w:rsidRDefault="004A2817" w:rsidP="000802B9">
            <w:pPr>
              <w:pStyle w:val="Table11Basic"/>
              <w:numPr>
                <w:ilvl w:val="0"/>
                <w:numId w:val="32"/>
              </w:numPr>
              <w:jc w:val="center"/>
              <w:cnfStyle w:val="000000000000" w:firstRow="0" w:lastRow="0" w:firstColumn="0" w:lastColumn="0" w:oddVBand="0" w:evenVBand="0" w:oddHBand="0" w:evenHBand="0" w:firstRowFirstColumn="0" w:firstRowLastColumn="0" w:lastRowFirstColumn="0" w:lastRowLastColumn="0"/>
            </w:pPr>
          </w:p>
        </w:tc>
        <w:tc>
          <w:tcPr>
            <w:tcW w:w="1327" w:type="dxa"/>
            <w:vAlign w:val="center"/>
          </w:tcPr>
          <w:p w14:paraId="36FAD28A" w14:textId="77777777" w:rsidR="004A2817" w:rsidRPr="0031723A" w:rsidRDefault="004A2817" w:rsidP="000802B9">
            <w:pPr>
              <w:pStyle w:val="Table11Basic"/>
              <w:numPr>
                <w:ilvl w:val="0"/>
                <w:numId w:val="32"/>
              </w:numPr>
              <w:jc w:val="center"/>
              <w:cnfStyle w:val="000000000000" w:firstRow="0" w:lastRow="0" w:firstColumn="0" w:lastColumn="0" w:oddVBand="0" w:evenVBand="0" w:oddHBand="0" w:evenHBand="0" w:firstRowFirstColumn="0" w:firstRowLastColumn="0" w:lastRowFirstColumn="0" w:lastRowLastColumn="0"/>
            </w:pPr>
          </w:p>
        </w:tc>
      </w:tr>
      <w:tr w:rsidR="004A2817" w14:paraId="3A994899" w14:textId="77777777" w:rsidTr="00EF3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2" w:type="dxa"/>
          </w:tcPr>
          <w:p w14:paraId="73F62B0F" w14:textId="77777777" w:rsidR="004A2817" w:rsidRPr="005369F7" w:rsidRDefault="004A2817" w:rsidP="005369F7">
            <w:pPr>
              <w:pStyle w:val="Table11RowHeading"/>
            </w:pPr>
            <w:r w:rsidRPr="005369F7">
              <w:t>DASS</w:t>
            </w:r>
          </w:p>
        </w:tc>
        <w:tc>
          <w:tcPr>
            <w:tcW w:w="1326" w:type="dxa"/>
            <w:vAlign w:val="center"/>
          </w:tcPr>
          <w:p w14:paraId="45DEE5FF" w14:textId="77777777" w:rsidR="004A2817" w:rsidRPr="0031723A" w:rsidRDefault="004A2817" w:rsidP="000802B9">
            <w:pPr>
              <w:pStyle w:val="Table11Basic"/>
              <w:numPr>
                <w:ilvl w:val="0"/>
                <w:numId w:val="32"/>
              </w:numPr>
              <w:jc w:val="center"/>
              <w:cnfStyle w:val="000000100000" w:firstRow="0" w:lastRow="0" w:firstColumn="0" w:lastColumn="0" w:oddVBand="0" w:evenVBand="0" w:oddHBand="1" w:evenHBand="0" w:firstRowFirstColumn="0" w:firstRowLastColumn="0" w:lastRowFirstColumn="0" w:lastRowLastColumn="0"/>
            </w:pPr>
          </w:p>
        </w:tc>
        <w:tc>
          <w:tcPr>
            <w:tcW w:w="1326" w:type="dxa"/>
            <w:vAlign w:val="center"/>
          </w:tcPr>
          <w:p w14:paraId="132A31BE" w14:textId="77777777" w:rsidR="004A2817" w:rsidRPr="0031723A" w:rsidRDefault="004A2817" w:rsidP="000802B9">
            <w:pPr>
              <w:pStyle w:val="Table11Basic"/>
              <w:numPr>
                <w:ilvl w:val="0"/>
                <w:numId w:val="32"/>
              </w:numPr>
              <w:jc w:val="center"/>
              <w:cnfStyle w:val="000000100000" w:firstRow="0" w:lastRow="0" w:firstColumn="0" w:lastColumn="0" w:oddVBand="0" w:evenVBand="0" w:oddHBand="1" w:evenHBand="0" w:firstRowFirstColumn="0" w:firstRowLastColumn="0" w:lastRowFirstColumn="0" w:lastRowLastColumn="0"/>
            </w:pPr>
          </w:p>
        </w:tc>
        <w:tc>
          <w:tcPr>
            <w:tcW w:w="1327" w:type="dxa"/>
            <w:vAlign w:val="center"/>
          </w:tcPr>
          <w:p w14:paraId="54C31226" w14:textId="77777777" w:rsidR="004A2817" w:rsidRPr="0031723A" w:rsidRDefault="004A2817" w:rsidP="000802B9">
            <w:pPr>
              <w:pStyle w:val="Table11Basic"/>
              <w:numPr>
                <w:ilvl w:val="0"/>
                <w:numId w:val="32"/>
              </w:numPr>
              <w:jc w:val="center"/>
              <w:cnfStyle w:val="000000100000" w:firstRow="0" w:lastRow="0" w:firstColumn="0" w:lastColumn="0" w:oddVBand="0" w:evenVBand="0" w:oddHBand="1" w:evenHBand="0" w:firstRowFirstColumn="0" w:firstRowLastColumn="0" w:lastRowFirstColumn="0" w:lastRowLastColumn="0"/>
            </w:pPr>
          </w:p>
        </w:tc>
        <w:tc>
          <w:tcPr>
            <w:tcW w:w="1326" w:type="dxa"/>
            <w:vAlign w:val="center"/>
          </w:tcPr>
          <w:p w14:paraId="5A9C2A9F" w14:textId="77777777" w:rsidR="004A2817" w:rsidRPr="0031723A" w:rsidRDefault="004A2817" w:rsidP="000802B9">
            <w:pPr>
              <w:pStyle w:val="Table11Basic"/>
              <w:numPr>
                <w:ilvl w:val="0"/>
                <w:numId w:val="32"/>
              </w:numPr>
              <w:jc w:val="center"/>
              <w:cnfStyle w:val="000000100000" w:firstRow="0" w:lastRow="0" w:firstColumn="0" w:lastColumn="0" w:oddVBand="0" w:evenVBand="0" w:oddHBand="1" w:evenHBand="0" w:firstRowFirstColumn="0" w:firstRowLastColumn="0" w:lastRowFirstColumn="0" w:lastRowLastColumn="0"/>
            </w:pPr>
          </w:p>
        </w:tc>
        <w:tc>
          <w:tcPr>
            <w:tcW w:w="1326" w:type="dxa"/>
            <w:vAlign w:val="center"/>
          </w:tcPr>
          <w:p w14:paraId="341C0867" w14:textId="77777777" w:rsidR="004A2817" w:rsidRPr="0031723A" w:rsidRDefault="004A2817" w:rsidP="000802B9">
            <w:pPr>
              <w:pStyle w:val="Table11Basic"/>
              <w:numPr>
                <w:ilvl w:val="0"/>
                <w:numId w:val="32"/>
              </w:numPr>
              <w:jc w:val="center"/>
              <w:cnfStyle w:val="000000100000" w:firstRow="0" w:lastRow="0" w:firstColumn="0" w:lastColumn="0" w:oddVBand="0" w:evenVBand="0" w:oddHBand="1" w:evenHBand="0" w:firstRowFirstColumn="0" w:firstRowLastColumn="0" w:lastRowFirstColumn="0" w:lastRowLastColumn="0"/>
            </w:pPr>
          </w:p>
        </w:tc>
        <w:tc>
          <w:tcPr>
            <w:tcW w:w="1327" w:type="dxa"/>
            <w:vAlign w:val="center"/>
          </w:tcPr>
          <w:p w14:paraId="327B2DD0" w14:textId="77777777" w:rsidR="004A2817" w:rsidRPr="0031723A" w:rsidRDefault="004A2817" w:rsidP="000802B9">
            <w:pPr>
              <w:pStyle w:val="Table11Basic"/>
              <w:numPr>
                <w:ilvl w:val="0"/>
                <w:numId w:val="32"/>
              </w:numPr>
              <w:jc w:val="center"/>
              <w:cnfStyle w:val="000000100000" w:firstRow="0" w:lastRow="0" w:firstColumn="0" w:lastColumn="0" w:oddVBand="0" w:evenVBand="0" w:oddHBand="1" w:evenHBand="0" w:firstRowFirstColumn="0" w:firstRowLastColumn="0" w:lastRowFirstColumn="0" w:lastRowLastColumn="0"/>
            </w:pPr>
          </w:p>
        </w:tc>
      </w:tr>
    </w:tbl>
    <w:p w14:paraId="2AC05890" w14:textId="00EBB5D3" w:rsidR="004A2817" w:rsidRPr="009E7019" w:rsidRDefault="004A2817" w:rsidP="009E7019">
      <w:pPr>
        <w:pStyle w:val="BodyText"/>
      </w:pPr>
      <w:r w:rsidRPr="009E7019">
        <w:t>In addition to the polls administered as part of the listening sessions, two constituent groups (Geo Leads and LEA leaders) requested opportunities to share the polls with additional colleagues asynchronously after the listening sessions concluded. Distributing the poll questions more broadly helped expand participation and allowed additional constituents to share their views on the focus areas discussed during the sessions.</w:t>
      </w:r>
    </w:p>
    <w:p w14:paraId="3012609C" w14:textId="77777777" w:rsidR="004A2817" w:rsidRPr="009E7019" w:rsidRDefault="004A2817" w:rsidP="009E7019">
      <w:pPr>
        <w:pStyle w:val="Heading3"/>
      </w:pPr>
      <w:bookmarkStart w:id="11" w:name="_Toc232618429"/>
      <w:r w:rsidRPr="009E7019">
        <w:t>Analysis Approach</w:t>
      </w:r>
      <w:bookmarkEnd w:id="11"/>
    </w:p>
    <w:p w14:paraId="4C110169" w14:textId="6DAB0D95" w:rsidR="004A2817" w:rsidRPr="009E7019" w:rsidRDefault="004A2817" w:rsidP="009E7019">
      <w:pPr>
        <w:pStyle w:val="BodyTextPostHead"/>
      </w:pPr>
      <w:r w:rsidRPr="009E7019">
        <w:t>AIR staff reviewed video and audio recordings, transcripts, chats, and facilitator notes from the listening sessions to identify recurring themes, patterns, areas of alignment, and key considerations raised across participant groups. The AIR team analyzed feedback qualitatively through a process that examined the consistency, frequency, and variation of perspectives within and across sessions using an Excel-based data capture sheet. Analysis also considered differences in how focus areas were discussed across participant types and organizational contexts.</w:t>
      </w:r>
    </w:p>
    <w:p w14:paraId="436FF096" w14:textId="2D513001" w:rsidR="004A2817" w:rsidRPr="009E7019" w:rsidRDefault="004A2817" w:rsidP="009E7019">
      <w:pPr>
        <w:pStyle w:val="BodyText"/>
      </w:pPr>
      <w:r w:rsidRPr="009E7019">
        <w:lastRenderedPageBreak/>
        <w:t xml:space="preserve">Because the additional respondents from the Geo Leads and LEA groups were not present during live sessions, the AIR team analyzed and reported these poll results separately from those gathered during the listening sessions. This distinction aims to acknowledge the different contexts in which individuals offered their responses, as well as the substantially larger numbers of participants who completed the follow-up polls relative to the number of live participants. In addition, the follow-up distribution process was unique to the Geo Leads and LEA groups, </w:t>
      </w:r>
      <w:r w:rsidR="009E3F84">
        <w:t xml:space="preserve">because </w:t>
      </w:r>
      <w:r w:rsidRPr="009E7019">
        <w:t>the polls were not redistributed to the other interest-holder groups in the same manner.</w:t>
      </w:r>
    </w:p>
    <w:p w14:paraId="386D835C" w14:textId="77777777" w:rsidR="004A2817" w:rsidRDefault="004A2817" w:rsidP="00B817DB">
      <w:pPr>
        <w:pStyle w:val="Heading3"/>
      </w:pPr>
      <w:bookmarkStart w:id="12" w:name="_Toc232618430"/>
      <w:r>
        <w:t>Considerations</w:t>
      </w:r>
      <w:bookmarkEnd w:id="12"/>
    </w:p>
    <w:p w14:paraId="5C55243B" w14:textId="394326BC" w:rsidR="004A2817" w:rsidRPr="009E7019" w:rsidRDefault="004A2817" w:rsidP="009E7019">
      <w:pPr>
        <w:pStyle w:val="BodyTextPostHead"/>
      </w:pPr>
      <w:r w:rsidRPr="009E7019">
        <w:t xml:space="preserve">Findings presented in this report are intended to capture the range and nuance of perspectives shared during the sessions rather than quantify constituent opinion or present formal recommendations. As described above, these findings represent the perspectives of 60 participants. The findings are based on a relatively small group of participants and therefore should not be generalized to represent all California education partners. Also, participation varied across constituent groups, with some groups—particularly LEA leaders—represented by fewer participants than others. In addition, not all groups discussed every focus area or completed every poll question, which limits comparability. Finally, strategies used in the collection and use of polling data are useful for contextualizing discussion themes but not for drawing precise conclusions about levels of agreement. Therefore, the findings presented in this report, </w:t>
      </w:r>
      <w:r w:rsidR="009E3F84">
        <w:t>although</w:t>
      </w:r>
      <w:r w:rsidRPr="009E7019">
        <w:t xml:space="preserve"> instructive, should be interpreted within the context of the listening session parameters.</w:t>
      </w:r>
    </w:p>
    <w:p w14:paraId="495BD409" w14:textId="77777777" w:rsidR="004A2817" w:rsidRDefault="004A2817" w:rsidP="00E439F1">
      <w:pPr>
        <w:pStyle w:val="Heading2"/>
      </w:pPr>
      <w:bookmarkStart w:id="13" w:name="_Toc232618431"/>
      <w:r>
        <w:t>Cross-Cutting Themes</w:t>
      </w:r>
      <w:bookmarkEnd w:id="13"/>
    </w:p>
    <w:p w14:paraId="62E2269F" w14:textId="77777777" w:rsidR="004A2817" w:rsidRPr="00B86F47" w:rsidRDefault="004A2817" w:rsidP="00B86F47">
      <w:pPr>
        <w:pStyle w:val="BodyTextPostHead"/>
      </w:pPr>
      <w:r w:rsidRPr="00B86F47">
        <w:t>Several cross-cutting themes emerged across listening sessions regardless of participant role or focus area.</w:t>
      </w:r>
    </w:p>
    <w:p w14:paraId="18F09B4C" w14:textId="6031D64F" w:rsidR="004A2817" w:rsidRPr="00B86F47" w:rsidRDefault="004A2817" w:rsidP="00B86F47">
      <w:pPr>
        <w:pStyle w:val="Heading3"/>
      </w:pPr>
      <w:bookmarkStart w:id="14" w:name="_Toc232618432"/>
      <w:r w:rsidRPr="00B86F47">
        <w:t>Aligning With Research and Study Sessions</w:t>
      </w:r>
      <w:bookmarkEnd w:id="14"/>
    </w:p>
    <w:p w14:paraId="61827DE9" w14:textId="72F770A2" w:rsidR="004A2817" w:rsidRDefault="004A2817" w:rsidP="00B86F47">
      <w:pPr>
        <w:pStyle w:val="BodyTextPostHead"/>
      </w:pPr>
      <w:r>
        <w:t>These listening sessions were not the first effort to engage members in the California education community in a process of reflection about strengths and areas for growth with the statewide system of support. Rather, these sessions built on independent research and SBE-facilitated study sessions that also explored opportunities to refine the state’s DA eligibility criteria. Feedback in the listening sessions conducted in spring 2026 echoed many of the observations that have previously been shared through those avenues.</w:t>
      </w:r>
    </w:p>
    <w:p w14:paraId="66254289" w14:textId="77777777" w:rsidR="004A2817" w:rsidRPr="00B86F47" w:rsidRDefault="004A2817" w:rsidP="0058111F">
      <w:pPr>
        <w:pStyle w:val="Heading3"/>
      </w:pPr>
      <w:bookmarkStart w:id="15" w:name="_Toc232618433"/>
      <w:r w:rsidRPr="00B86F47">
        <w:t>Balancing Consistency and Local Context</w:t>
      </w:r>
      <w:bookmarkEnd w:id="15"/>
    </w:p>
    <w:p w14:paraId="3E767B61" w14:textId="77777777" w:rsidR="004A2817" w:rsidRDefault="004A2817" w:rsidP="0058111F">
      <w:pPr>
        <w:pStyle w:val="BodyTextPostHead"/>
      </w:pPr>
      <w:r>
        <w:t>California’s 1,011 school districts and 1,283 charter schools</w:t>
      </w:r>
      <w:r>
        <w:rPr>
          <w:rStyle w:val="FootnoteReference"/>
        </w:rPr>
        <w:footnoteReference w:id="4"/>
      </w:r>
      <w:r>
        <w:t xml:space="preserve"> feature a wide range of district and school sizes, student demographics, geographies, and other contextual details that complicate </w:t>
      </w:r>
      <w:r>
        <w:lastRenderedPageBreak/>
        <w:t>efforts to apply a single approach to identify LEAs in need of assistance. Participants therefore frequently emphasized the importance of balancing stability and predictability within the accountability system while also ensuring that support structures remain responsive to student needs and local context.</w:t>
      </w:r>
    </w:p>
    <w:p w14:paraId="62680A82" w14:textId="77777777" w:rsidR="004A2817" w:rsidRPr="00C17C79" w:rsidRDefault="004A2817" w:rsidP="00C17C79">
      <w:pPr>
        <w:pStyle w:val="Heading3"/>
      </w:pPr>
      <w:bookmarkStart w:id="16" w:name="_Toc232618434"/>
      <w:r w:rsidRPr="00C17C79">
        <w:t>Promoting Coherence Across Statewide System of Support</w:t>
      </w:r>
      <w:bookmarkEnd w:id="16"/>
    </w:p>
    <w:p w14:paraId="4C680800" w14:textId="537AB9B7" w:rsidR="004A2817" w:rsidRPr="00C17C79" w:rsidRDefault="004A2817" w:rsidP="00C17C79">
      <w:pPr>
        <w:pStyle w:val="BodyTextPostHead"/>
      </w:pPr>
      <w:r w:rsidRPr="00C17C79">
        <w:t>Listening session participants also urged prioritizing coherence across the components of California’s system of support. Participants emphasized the importance of aligning accountability indicators, eligibility criteria, and technical assistance structures to reduce confusion and improve implementation consistency across the state. They also stressed that improving eligibility criteria alone will not ensure that DA meets LEA needs. The success of the statewide system of support depends on not only accurately identifying LEAs for assistance but also the quality, alignment, and capacity of the support provided once LEAs are identified. As a result, discussions frequently extended beyond eligibility criteria to broader questions about implementation capacity, statewide consistency, and the coherence of support delivered through DA and DTA structures.</w:t>
      </w:r>
    </w:p>
    <w:p w14:paraId="4E07BB9F" w14:textId="54AC17DD" w:rsidR="004A2817" w:rsidRPr="00C17C79" w:rsidRDefault="004A2817" w:rsidP="00C17C79">
      <w:pPr>
        <w:pStyle w:val="Heading3"/>
      </w:pPr>
      <w:bookmarkStart w:id="17" w:name="_Toc232618435"/>
      <w:r w:rsidRPr="00C17C79">
        <w:t xml:space="preserve">Maintaining Focus on </w:t>
      </w:r>
      <w:bookmarkEnd w:id="17"/>
      <w:r w:rsidR="0056653B">
        <w:t>Subgroups</w:t>
      </w:r>
    </w:p>
    <w:p w14:paraId="19B59184" w14:textId="62D66031" w:rsidR="004A2817" w:rsidRDefault="004A2817" w:rsidP="00C17C79">
      <w:pPr>
        <w:pStyle w:val="BodyTextPostHead"/>
      </w:pPr>
      <w:r>
        <w:t xml:space="preserve">Participants frequently raised tensions between simplicity and precision within the accountability system design. These observations reflect the balancing effort inherent to an accountability system built on multiple measures, in which the state has aimed to capture a broad range of contributing factors to and measures of student success. Some participants supported efforts to streamline indicators or eligibility structures, but others expressed concern that efforts to simplify the system could weaken attention to subgroups. This could reduce visibility into specific student group needs or unintentionally weaken </w:t>
      </w:r>
      <w:r w:rsidR="00EF00A9">
        <w:t>subgroup</w:t>
      </w:r>
      <w:r>
        <w:t>-focused supports.</w:t>
      </w:r>
    </w:p>
    <w:p w14:paraId="659C24C1" w14:textId="77777777" w:rsidR="004A2817" w:rsidRDefault="004A2817" w:rsidP="00E4453C">
      <w:pPr>
        <w:pStyle w:val="Heading3"/>
      </w:pPr>
      <w:bookmarkStart w:id="18" w:name="_Toc232618436"/>
      <w:r>
        <w:t>Reviewing Data Runs to Inform Opinions</w:t>
      </w:r>
      <w:bookmarkEnd w:id="18"/>
    </w:p>
    <w:p w14:paraId="323AFBF9" w14:textId="39BA75F5" w:rsidR="004A2817" w:rsidRPr="00C17C79" w:rsidRDefault="004A2817" w:rsidP="00C17C79">
      <w:pPr>
        <w:pStyle w:val="BodyTextPostHead"/>
      </w:pPr>
      <w:r w:rsidRPr="00C17C79">
        <w:t>By design, during listening sessions constituents were asked about proposed changes to understand their perspectives with respect to the principle of each proposed change. However, participants in every listening session requested an opportunity to better understand ways in which these changes would affect the number and composition of LEAs identified for DA. Although individuals responded to the questions posed to them, they clarified that their opinions might change depending on how shifts in the criteria would affect the LEAs eligible for support. It is important to note that the listening sessions described in this report were held before SBE’s May 2026 meeting, when data runs were presented. This timing should be taken into consideration throughout this report when participant feedback is noted relative to data runs.</w:t>
      </w:r>
    </w:p>
    <w:p w14:paraId="1BE13C9A" w14:textId="414C02B5" w:rsidR="004A2817" w:rsidRDefault="004A2817" w:rsidP="00D012E6">
      <w:pPr>
        <w:pStyle w:val="Heading3"/>
      </w:pPr>
      <w:bookmarkStart w:id="19" w:name="_Toc232618437"/>
      <w:r>
        <w:t xml:space="preserve">Seeking Further Input </w:t>
      </w:r>
      <w:proofErr w:type="gramStart"/>
      <w:r>
        <w:t>From</w:t>
      </w:r>
      <w:proofErr w:type="gramEnd"/>
      <w:r>
        <w:t xml:space="preserve"> Colleagues</w:t>
      </w:r>
      <w:bookmarkEnd w:id="19"/>
    </w:p>
    <w:p w14:paraId="2ADE9BD1" w14:textId="77777777" w:rsidR="004A2817" w:rsidRPr="00C17C79" w:rsidRDefault="004A2817" w:rsidP="00C17C79">
      <w:pPr>
        <w:pStyle w:val="BodyTextPostHead"/>
      </w:pPr>
      <w:r w:rsidRPr="00C17C79">
        <w:t xml:space="preserve">Listening session participants also often expressed a desire to explore proposed changes with colleagues before sharing their opinions. In some cases, AIR and SBE staff provided questions from </w:t>
      </w:r>
      <w:r w:rsidRPr="00C17C79">
        <w:lastRenderedPageBreak/>
        <w:t>the listening sessions to participants afterward to enable them to facilitate their own conversations. As with the data runs, however, these individuals sometimes warned facilitators that their perspectives might change based on those discussions.</w:t>
      </w:r>
    </w:p>
    <w:p w14:paraId="390C596C" w14:textId="77777777" w:rsidR="004A2817" w:rsidRDefault="004A2817" w:rsidP="00E439F1">
      <w:pPr>
        <w:pStyle w:val="Heading2"/>
      </w:pPr>
      <w:bookmarkStart w:id="20" w:name="_Toc232618438"/>
      <w:r>
        <w:t>Findings by Focus Areas</w:t>
      </w:r>
      <w:bookmarkEnd w:id="20"/>
    </w:p>
    <w:p w14:paraId="29CF5C6D" w14:textId="77777777" w:rsidR="004A2817" w:rsidRPr="00D14328" w:rsidRDefault="004A2817" w:rsidP="00C17C79">
      <w:pPr>
        <w:pStyle w:val="BodyTextPostHead"/>
      </w:pPr>
      <w:r>
        <w:t>This section of the report provides learnings by each focus area included in the listening sessions. Each focus area section highlights areas of general support and alignment as well as key concerns and considerations.</w:t>
      </w:r>
    </w:p>
    <w:p w14:paraId="1319936C" w14:textId="77777777" w:rsidR="004A2817" w:rsidRPr="00C17C79" w:rsidRDefault="004A2817" w:rsidP="00C17C79">
      <w:pPr>
        <w:pStyle w:val="Heading3"/>
      </w:pPr>
      <w:bookmarkStart w:id="21" w:name="_Toc232618439"/>
      <w:r w:rsidRPr="00C17C79">
        <w:t>Number of years of eligibility</w:t>
      </w:r>
      <w:bookmarkEnd w:id="21"/>
    </w:p>
    <w:tbl>
      <w:tblPr>
        <w:tblStyle w:val="TableStyle-ProposalBox"/>
        <w:tblW w:w="5000" w:type="pct"/>
        <w:tblLook w:val="04A0" w:firstRow="1" w:lastRow="0" w:firstColumn="1" w:lastColumn="0" w:noHBand="0" w:noVBand="1"/>
      </w:tblPr>
      <w:tblGrid>
        <w:gridCol w:w="10080"/>
      </w:tblGrid>
      <w:tr w:rsidR="00020E94" w:rsidRPr="007862F4" w14:paraId="02A9BCDF" w14:textId="77777777" w:rsidTr="009E3F84">
        <w:tc>
          <w:tcPr>
            <w:tcW w:w="9360" w:type="dxa"/>
          </w:tcPr>
          <w:p w14:paraId="4819038B" w14:textId="1DD14FEE" w:rsidR="00020E94" w:rsidRPr="007862F4" w:rsidRDefault="00020E94" w:rsidP="0095080F">
            <w:pPr>
              <w:pStyle w:val="BoxText"/>
            </w:pPr>
            <w:r>
              <w:t>California designates LEAs for DA eligibility on an annual basis based on outcomes from the previous academic year. To reduce volatility and sharpen a focus on LEAs with clearly identified needs, SBE is considering a transition to a 3-year model in which DA determinations draw on 3 years of data rather than a single year</w:t>
            </w:r>
            <w:r w:rsidRPr="009676B3">
              <w:t>.</w:t>
            </w:r>
          </w:p>
        </w:tc>
      </w:tr>
    </w:tbl>
    <w:p w14:paraId="4DD30583" w14:textId="0F456A4E" w:rsidR="004A2817" w:rsidRDefault="004A2817" w:rsidP="00C17C79">
      <w:pPr>
        <w:pStyle w:val="BodyText"/>
      </w:pPr>
      <w:proofErr w:type="gramStart"/>
      <w:r w:rsidRPr="009676B3">
        <w:t>Across</w:t>
      </w:r>
      <w:proofErr w:type="gramEnd"/>
      <w:r w:rsidRPr="009676B3">
        <w:t xml:space="preserve"> listening sessions, participants generally </w:t>
      </w:r>
      <w:r>
        <w:t>perceived</w:t>
      </w:r>
      <w:r w:rsidRPr="009676B3">
        <w:t xml:space="preserve"> value in moving toward a </w:t>
      </w:r>
      <w:r>
        <w:t>3</w:t>
      </w:r>
      <w:r w:rsidRPr="009676B3">
        <w:t>-year eligibility cycle for DA for two primary reasons. First, it could help reduce year-to-year volatility in identification. Many participants felt that relying on a single year of data can produce unstable results and may not accurately reflect longer-term district or school performance trends. Second, it could create stronger alignment with Local Control and Accountability Plan cycles.</w:t>
      </w:r>
    </w:p>
    <w:p w14:paraId="33873F18" w14:textId="570807D8" w:rsidR="004A2817" w:rsidRPr="009676B3" w:rsidRDefault="004A2817" w:rsidP="008063D7">
      <w:pPr>
        <w:pStyle w:val="IntenseQuote"/>
        <w:spacing w:after="0"/>
      </w:pPr>
      <w:r w:rsidRPr="007743CF">
        <w:t>I like the idea of using multiple years of data to determine eligibility</w:t>
      </w:r>
      <w:r>
        <w:t xml:space="preserve"> …</w:t>
      </w:r>
      <w:r w:rsidRPr="007743CF">
        <w:t xml:space="preserve"> in theory, in concept, it makes sense</w:t>
      </w:r>
      <w:r>
        <w:t>.… T</w:t>
      </w:r>
      <w:r w:rsidRPr="007743CF">
        <w:t>hose are the LEAs with the most need if they</w:t>
      </w:r>
      <w:r>
        <w:t>’</w:t>
      </w:r>
      <w:r w:rsidRPr="007743CF">
        <w:t>re showing this lack of progress over time.</w:t>
      </w:r>
      <w:r>
        <w:t xml:space="preserve"> —LCFF Equity Coalition session participant</w:t>
      </w:r>
    </w:p>
    <w:p w14:paraId="668C40A7" w14:textId="6A21D5D0" w:rsidR="004A2817" w:rsidRDefault="004A2817" w:rsidP="00C17C79">
      <w:pPr>
        <w:pStyle w:val="BodyText"/>
      </w:pPr>
      <w:r w:rsidRPr="1F262B26">
        <w:t xml:space="preserve">The most common concern across groups was that a </w:t>
      </w:r>
      <w:r>
        <w:t>3</w:t>
      </w:r>
      <w:r w:rsidRPr="1F262B26">
        <w:t xml:space="preserve">-year cycle could delay support for LEAs or schools with urgent needs. Participants questioned whether districts with emerging </w:t>
      </w:r>
      <w:r>
        <w:t>needs</w:t>
      </w:r>
      <w:r w:rsidRPr="1F262B26">
        <w:t xml:space="preserve"> would “fall through the cracks,” whether struggling schools </w:t>
      </w:r>
      <w:r>
        <w:t xml:space="preserve">would not have timely access to needed </w:t>
      </w:r>
      <w:r w:rsidRPr="1F262B26">
        <w:t>assistance, and whether the system would be responsive enough to changing conditions.</w:t>
      </w:r>
    </w:p>
    <w:p w14:paraId="2D9924B4" w14:textId="262A263A" w:rsidR="004A2817" w:rsidRDefault="004A2817" w:rsidP="00C17C79">
      <w:pPr>
        <w:pStyle w:val="BodyText"/>
      </w:pPr>
      <w:r w:rsidRPr="1F262B26">
        <w:t xml:space="preserve">Geo Leads/COEs raised concerns about districts that may clearly need support but would not yet qualify within a </w:t>
      </w:r>
      <w:r>
        <w:t>3</w:t>
      </w:r>
      <w:r w:rsidRPr="1F262B26">
        <w:t>-year identification structure</w:t>
      </w:r>
      <w:r>
        <w:t>. However, c</w:t>
      </w:r>
      <w:r w:rsidRPr="1F262B26">
        <w:t xml:space="preserve">harter representatives raised concerns that a longer eligibility cycle could create unintended consequences for charter renewal processes. </w:t>
      </w:r>
      <w:r>
        <w:t>Charter representatives</w:t>
      </w:r>
      <w:r w:rsidRPr="1F262B26">
        <w:t xml:space="preserve"> noted that DA identification can sometimes be viewed negatively during renewal reviews, even when schools are actively implementing improvement efforts or demonstrating progress. As a result, some charter representatives worried that remaining </w:t>
      </w:r>
      <w:r w:rsidRPr="1F262B26">
        <w:lastRenderedPageBreak/>
        <w:t xml:space="preserve">identified for a multiyear period could affect public perception, relationships with authorizers, or renewal decisions, particularly if </w:t>
      </w:r>
      <w:r>
        <w:t>constituents</w:t>
      </w:r>
      <w:r w:rsidRPr="1F262B26">
        <w:t xml:space="preserve"> interpret ongoing identification as evidence that a school is not improving.</w:t>
      </w:r>
    </w:p>
    <w:p w14:paraId="6721E5A7" w14:textId="24DFB11D" w:rsidR="004A2817" w:rsidRPr="00C17C79" w:rsidRDefault="004A2817" w:rsidP="00C17C79">
      <w:pPr>
        <w:pStyle w:val="BodyText"/>
      </w:pPr>
      <w:r>
        <w:t>Participants across groups emphasized that any changes to years of eligibility would be effective only if the underlying data to determine eligibility are accurate, reliable, and interpreted within the appropriate local context. They raised questions about whether the data adequately capture the realities of small districts with limited subgroup sizes, charter schools and DASS schools serving higher</w:t>
      </w:r>
      <w:r w:rsidR="009E3F84">
        <w:t xml:space="preserve"> </w:t>
      </w:r>
      <w:r>
        <w:t>need populations, and LEAs experiencing significant demographic or enrollment shifts.</w:t>
      </w:r>
    </w:p>
    <w:p w14:paraId="1A7436D3" w14:textId="26DACB4B" w:rsidR="004A2817" w:rsidRDefault="004A2817" w:rsidP="00C17C79">
      <w:pPr>
        <w:pStyle w:val="Heading3"/>
      </w:pPr>
      <w:bookmarkStart w:id="22" w:name="_Toc232618440"/>
      <w:r w:rsidRPr="00C17C79">
        <w:t xml:space="preserve">Separating </w:t>
      </w:r>
      <w:r w:rsidR="00617183" w:rsidRPr="00C17C79">
        <w:t xml:space="preserve">State Indicators </w:t>
      </w:r>
      <w:proofErr w:type="gramStart"/>
      <w:r w:rsidR="00617183" w:rsidRPr="00C17C79">
        <w:t>From</w:t>
      </w:r>
      <w:proofErr w:type="gramEnd"/>
      <w:r w:rsidR="00617183" w:rsidRPr="00C17C79">
        <w:t xml:space="preserve"> </w:t>
      </w:r>
      <w:r w:rsidRPr="00C17C79">
        <w:t xml:space="preserve">LCFF </w:t>
      </w:r>
      <w:r w:rsidR="00617183" w:rsidRPr="00C17C79">
        <w:t>Priority Areas</w:t>
      </w:r>
      <w:bookmarkEnd w:id="22"/>
    </w:p>
    <w:tbl>
      <w:tblPr>
        <w:tblStyle w:val="TableStyle-ProposalBox"/>
        <w:tblW w:w="5000" w:type="pct"/>
        <w:tblLook w:val="04A0" w:firstRow="1" w:lastRow="0" w:firstColumn="1" w:lastColumn="0" w:noHBand="0" w:noVBand="1"/>
      </w:tblPr>
      <w:tblGrid>
        <w:gridCol w:w="10080"/>
      </w:tblGrid>
      <w:tr w:rsidR="00020E94" w:rsidRPr="007862F4" w14:paraId="24131D47" w14:textId="77777777" w:rsidTr="009D6456">
        <w:tc>
          <w:tcPr>
            <w:tcW w:w="9360" w:type="dxa"/>
          </w:tcPr>
          <w:p w14:paraId="69F62C6C" w14:textId="349A6BE5" w:rsidR="00020E94" w:rsidRPr="007862F4" w:rsidRDefault="00020E94" w:rsidP="00020E94">
            <w:pPr>
              <w:pStyle w:val="BoxText"/>
            </w:pPr>
            <w:r w:rsidRPr="0005370F">
              <w:t>Current DA eligibility decisions rely on California</w:t>
            </w:r>
            <w:r>
              <w:t>’</w:t>
            </w:r>
            <w:r w:rsidRPr="0005370F">
              <w:t>s 10 LCFF priority areas, each of which is measured by one or more California School Dashboard and local indicators</w:t>
            </w:r>
            <w:r>
              <w:t>. SBE is considering decoupling DA designations from the LCFF priority areas and instead using the Dashboard measures alone to identify LEAs for support.</w:t>
            </w:r>
          </w:p>
        </w:tc>
      </w:tr>
    </w:tbl>
    <w:p w14:paraId="6ADB437E" w14:textId="77777777" w:rsidR="004A2817" w:rsidRPr="00C17C79" w:rsidRDefault="004A2817" w:rsidP="00C17C79">
      <w:pPr>
        <w:pStyle w:val="BodyText"/>
      </w:pPr>
      <w:r w:rsidRPr="00C17C79">
        <w:t>Participants expressed support for separating state indicators from LCFF priority areas for purposes of DA eligibility. Many participants noted that decoupling these structures could simplify the system and allow for greater prioritization of academic outcomes within accountability determinations. Some participants viewed this approach as an opportunity to improve clarity and focus within the accountability system by concentrating on a smaller set of key indicators. Across groups, there was general agreement that the accountability system should maintain a strong focus on academic indicators (including English Learner Progress Indicators, or ELPIs) and that academic indicators should meaningfully inform eligibility decisions.</w:t>
      </w:r>
    </w:p>
    <w:p w14:paraId="78B92830" w14:textId="77777777" w:rsidR="004A2817" w:rsidRPr="00C17C79" w:rsidRDefault="004A2817" w:rsidP="00C17C79">
      <w:pPr>
        <w:pStyle w:val="BodyText"/>
      </w:pPr>
      <w:r w:rsidRPr="00C17C79">
        <w:t>At the same time, support for reducing and/or separating indicators from LCFF priority areas was often paired with caution. Even participants who favored a stronger academic emphasis did not advocate abandoning California’s multiple-measures philosophy altogether. The most significant concern raised across groups was that reducing the number of indicators and/or separating indicators could unintentionally move California away from its broader systems-based approach to accountability and improvement. Individuals who expressed this opinion noted that narrowing eligibility too heavily around academic indicators could begin to resemble older accountability systems that relied primarily on test-based identification models.</w:t>
      </w:r>
    </w:p>
    <w:p w14:paraId="7247BD89" w14:textId="2329F92C" w:rsidR="004A2817" w:rsidRPr="00C17C79" w:rsidRDefault="004A2817" w:rsidP="00C17C79">
      <w:pPr>
        <w:pStyle w:val="BodyText"/>
      </w:pPr>
      <w:r w:rsidRPr="00C17C79">
        <w:t xml:space="preserve">Participants also expressed concern that prioritizing academic indicators above other measures could unintentionally minimize the importance of school climate, engagement, attendance, and other indicators that often serve as early signals of broader systemic challenges. Some participants </w:t>
      </w:r>
      <w:r w:rsidRPr="00C17C79">
        <w:lastRenderedPageBreak/>
        <w:t>specifically noted that local indicators should continue to play a meaningful role within the system, particularly for small rural schools or LEAs in which Dashboard measures alone may not fully capture local conditions or student needs.</w:t>
      </w:r>
    </w:p>
    <w:p w14:paraId="453F139A" w14:textId="7AE29162" w:rsidR="004A2817" w:rsidRDefault="004A2817" w:rsidP="00C17C79">
      <w:pPr>
        <w:pStyle w:val="BodyText"/>
      </w:pPr>
      <w:r w:rsidRPr="00C17C79">
        <w:t>Poll responses reflected varied perspectives regarding the prioritization of Dashboard indicators. Several respondents supported continuing to use Dashboard indicators while placing greater weight on academic indicators, particularly when combined with growth measures. Some participants recommended that SBE consider including the ELPI and College/Career Indicator as part of a broader academic category. Others argued that eligibility determinations should account for both current achievement status and academic growth, recognizing LEAs that are making meaningful progress even when overall performance levels remain low. Several respondents also emphasized the importance of supplementing Dashboard measures with additional contextual information, particularly for DASS schools and schools experiencing high student turnover.</w:t>
      </w:r>
    </w:p>
    <w:p w14:paraId="1FDFC4E7" w14:textId="77777777" w:rsidR="004A2817" w:rsidRDefault="004A2817" w:rsidP="00C2429B">
      <w:pPr>
        <w:pStyle w:val="Heading3"/>
      </w:pPr>
      <w:bookmarkStart w:id="23" w:name="_Toc232618441"/>
      <w:r w:rsidRPr="00C2429B">
        <w:t>Growth</w:t>
      </w:r>
      <w:bookmarkEnd w:id="23"/>
    </w:p>
    <w:tbl>
      <w:tblPr>
        <w:tblStyle w:val="TableStyle-ProposalBox"/>
        <w:tblW w:w="5000" w:type="pct"/>
        <w:tblLook w:val="04A0" w:firstRow="1" w:lastRow="0" w:firstColumn="1" w:lastColumn="0" w:noHBand="0" w:noVBand="1"/>
      </w:tblPr>
      <w:tblGrid>
        <w:gridCol w:w="10080"/>
      </w:tblGrid>
      <w:tr w:rsidR="00173C88" w:rsidRPr="007862F4" w14:paraId="34CE4BF5" w14:textId="77777777" w:rsidTr="009D6456">
        <w:tc>
          <w:tcPr>
            <w:tcW w:w="9360" w:type="dxa"/>
          </w:tcPr>
          <w:p w14:paraId="14FFCFA9" w14:textId="7EDA03AA" w:rsidR="00173C88" w:rsidRPr="007862F4" w:rsidRDefault="00173C88" w:rsidP="00173C88">
            <w:pPr>
              <w:pStyle w:val="BoxText"/>
            </w:pPr>
            <w:r>
              <w:t xml:space="preserve">In </w:t>
            </w:r>
            <w:r w:rsidRPr="00173C88">
              <w:t>2025</w:t>
            </w:r>
            <w:r>
              <w:t>, California began publishing data about student achievement growth as a component of the Dashboard to be used for informational purposes only. SBE is considering whether and how to incorporate growth data into eligibility criteria for DA.</w:t>
            </w:r>
          </w:p>
        </w:tc>
      </w:tr>
    </w:tbl>
    <w:p w14:paraId="795252DE" w14:textId="0CCB90BD" w:rsidR="004A2817" w:rsidRDefault="004A2817" w:rsidP="00622165">
      <w:pPr>
        <w:pStyle w:val="BodyText"/>
      </w:pPr>
      <w:r w:rsidRPr="00141301">
        <w:t xml:space="preserve">Many participants noted limitations associated with the use of status and change measures. Because status measures—that is, the percentage of students meeting or exceeding expectations </w:t>
      </w:r>
      <w:proofErr w:type="gramStart"/>
      <w:r w:rsidRPr="00141301">
        <w:t>in a given year</w:t>
      </w:r>
      <w:proofErr w:type="gramEnd"/>
      <w:r w:rsidRPr="00141301">
        <w:t xml:space="preserve">—capture only overall levels of performance, they may insufficiently capture LEAs in which achievement is improving. </w:t>
      </w:r>
      <w:r w:rsidRPr="00717750">
        <w:t>Additionally, because the California accountability system measures the performance of different students from year to year (e.g., Grades 8 students in 2025 vs. Grades 8 students in 2024), it is susceptible to cohort differences across years in which outcomes might change without necessarily reflecting meaningful improvement or declines in student learning.</w:t>
      </w:r>
    </w:p>
    <w:p w14:paraId="6642008A" w14:textId="787C5F6D" w:rsidR="004A2817" w:rsidRDefault="004A2817" w:rsidP="00622165">
      <w:pPr>
        <w:pStyle w:val="BodyText"/>
      </w:pPr>
      <w:r w:rsidRPr="00141301">
        <w:t xml:space="preserve">Participants generally expressed support for the value of incorporating growth data into accountability and support discussions, particularly because growth measures may better capture LEA contributions to student learning over time and recognize improvement even when overall performance levels remain low. </w:t>
      </w:r>
      <w:r>
        <w:t>California’s newly available g</w:t>
      </w:r>
      <w:r w:rsidRPr="00717750">
        <w:t xml:space="preserve">rowth </w:t>
      </w:r>
      <w:r>
        <w:t>measure</w:t>
      </w:r>
      <w:r w:rsidRPr="00717750">
        <w:t xml:space="preserve"> aims to address th</w:t>
      </w:r>
      <w:r>
        <w:t>e</w:t>
      </w:r>
      <w:r w:rsidRPr="00717750">
        <w:t xml:space="preserve"> concern</w:t>
      </w:r>
      <w:r>
        <w:t>s associated with the current system</w:t>
      </w:r>
      <w:r w:rsidRPr="00717750">
        <w:t xml:space="preserve"> by measuring whether individual students improved their assessment scale scores from one year to the next—unlike status and change measures, which track average performance across potentially different groups of students each year. </w:t>
      </w:r>
      <w:r>
        <w:t>When</w:t>
      </w:r>
      <w:r w:rsidRPr="00717750">
        <w:t xml:space="preserve"> the same students </w:t>
      </w:r>
      <w:r>
        <w:t xml:space="preserve">are followed </w:t>
      </w:r>
      <w:r w:rsidRPr="00717750">
        <w:t xml:space="preserve">over time, growth can capture whether </w:t>
      </w:r>
      <w:proofErr w:type="gramStart"/>
      <w:r w:rsidRPr="00717750">
        <w:t>an LEA</w:t>
      </w:r>
      <w:proofErr w:type="gramEnd"/>
      <w:r w:rsidRPr="00717750">
        <w:t xml:space="preserve"> is meaningfully improving student learning even when overall performance levels remain low.</w:t>
      </w:r>
    </w:p>
    <w:p w14:paraId="0D1B8B92" w14:textId="18444FF3" w:rsidR="004A2817" w:rsidRPr="00141301" w:rsidRDefault="004A2817" w:rsidP="00622165">
      <w:pPr>
        <w:pStyle w:val="BodyText"/>
      </w:pPr>
      <w:r>
        <w:lastRenderedPageBreak/>
        <w:t>Even though there was</w:t>
      </w:r>
      <w:r w:rsidRPr="00141301">
        <w:t xml:space="preserve"> broad interest in growth measures, participants expressed differing perspectives regarding whether and how growth should be incorporated into DA eligibility criteria. Some participants noted concerns regarding the limited availability of longitudinal growth data, particularly given that </w:t>
      </w:r>
      <w:r>
        <w:t xml:space="preserve">in </w:t>
      </w:r>
      <w:r w:rsidRPr="00141301">
        <w:t>the</w:t>
      </w:r>
      <w:r>
        <w:t xml:space="preserve"> California system, there are no growth data for high school grades</w:t>
      </w:r>
      <w:r w:rsidRPr="00141301">
        <w:t>. Others raised questions regarding how growth measures should interact with status measures and whether growth should function as a trigger for support, an exit criterion, or a complementary measure alongside status indicators. Several participants suggested that growth measures should be used in conjunction with status measures rather than replacing them entirely.</w:t>
      </w:r>
    </w:p>
    <w:p w14:paraId="74C626EB" w14:textId="0FBBDB2C" w:rsidR="004A2817" w:rsidRPr="00141301" w:rsidRDefault="004A2817" w:rsidP="00927733">
      <w:pPr>
        <w:pStyle w:val="IntenseQuote"/>
      </w:pPr>
      <w:r>
        <w:t xml:space="preserve">Using growth alongside the </w:t>
      </w:r>
      <w:proofErr w:type="gramStart"/>
      <w:r>
        <w:t>current status</w:t>
      </w:r>
      <w:proofErr w:type="gramEnd"/>
      <w:r>
        <w:t xml:space="preserve"> model creates a more balanced accountability approach. This helps distinguish between districts with persistently low outcomes but meaningful improvement trajectories and districts where performance remains low with limited evidence of progress. —LEA representative</w:t>
      </w:r>
    </w:p>
    <w:p w14:paraId="70CFFF20" w14:textId="4571A38E" w:rsidR="004A2817" w:rsidRPr="00800C6A" w:rsidRDefault="004A2817" w:rsidP="00622165">
      <w:pPr>
        <w:pStyle w:val="BodyText"/>
      </w:pPr>
      <w:r>
        <w:t xml:space="preserve">Although the listening sessions asked participants to share their opinions about whether to incorporate growth data into DA eligibility determinations, they did not explicitly ask about the relationship between growth and change data. One participant, for example, suggested that SBE </w:t>
      </w:r>
      <w:proofErr w:type="gramStart"/>
      <w:r>
        <w:t>use</w:t>
      </w:r>
      <w:proofErr w:type="gramEnd"/>
      <w:r>
        <w:t xml:space="preserve"> growth data in place of the change data that currently </w:t>
      </w:r>
      <w:proofErr w:type="gramStart"/>
      <w:r>
        <w:t>determine</w:t>
      </w:r>
      <w:proofErr w:type="gramEnd"/>
      <w:r>
        <w:t xml:space="preserve"> eligibility. Both change and growth data arguably provide some insight into LEA contributions to student learning in a way that status alone does not. However, the listening sessions did not explore whether growth data—if they are incorporated—should </w:t>
      </w:r>
      <w:r w:rsidRPr="00EF00A9">
        <w:t>complement</w:t>
      </w:r>
      <w:r>
        <w:t xml:space="preserve"> the existing change data as a new lens into student academic performance or </w:t>
      </w:r>
      <w:r w:rsidRPr="00EF00A9">
        <w:t>replace</w:t>
      </w:r>
      <w:r>
        <w:t xml:space="preserve"> change data as a more effective measure of improvement. This relationship may merit further exploration to inform any final DA eligibility decisions.</w:t>
      </w:r>
    </w:p>
    <w:p w14:paraId="767B7545" w14:textId="0F3E47AE" w:rsidR="004A2817" w:rsidRPr="00622165" w:rsidRDefault="004A2817" w:rsidP="00622165">
      <w:pPr>
        <w:pStyle w:val="Heading3"/>
      </w:pPr>
      <w:bookmarkStart w:id="24" w:name="_Toc232618442"/>
      <w:r w:rsidRPr="00622165">
        <w:t xml:space="preserve">All Students </w:t>
      </w:r>
      <w:r w:rsidR="00617183" w:rsidRPr="00622165">
        <w:t>Subgroup</w:t>
      </w:r>
      <w:bookmarkEnd w:id="24"/>
    </w:p>
    <w:tbl>
      <w:tblPr>
        <w:tblStyle w:val="TableStyle-ProposalBox"/>
        <w:tblW w:w="5000" w:type="pct"/>
        <w:tblLook w:val="04A0" w:firstRow="1" w:lastRow="0" w:firstColumn="1" w:lastColumn="0" w:noHBand="0" w:noVBand="1"/>
      </w:tblPr>
      <w:tblGrid>
        <w:gridCol w:w="10080"/>
      </w:tblGrid>
      <w:tr w:rsidR="00173C88" w:rsidRPr="007862F4" w14:paraId="79AAE178" w14:textId="77777777" w:rsidTr="009D6456">
        <w:tc>
          <w:tcPr>
            <w:tcW w:w="9360" w:type="dxa"/>
          </w:tcPr>
          <w:p w14:paraId="3C148123" w14:textId="24C6C08D" w:rsidR="00173C88" w:rsidRPr="007862F4" w:rsidRDefault="000B186F" w:rsidP="000B186F">
            <w:pPr>
              <w:pStyle w:val="BoxText"/>
            </w:pPr>
            <w:r>
              <w:t xml:space="preserve">SBE is considering incorporating a new All Students subgroup that captures the performance of all students in </w:t>
            </w:r>
            <w:proofErr w:type="gramStart"/>
            <w:r>
              <w:t>an LEA</w:t>
            </w:r>
            <w:proofErr w:type="gramEnd"/>
            <w:r>
              <w:t xml:space="preserve"> and the associated Dashboard color as a new eligibility criterion.</w:t>
            </w:r>
          </w:p>
        </w:tc>
      </w:tr>
    </w:tbl>
    <w:p w14:paraId="5D6787DE" w14:textId="041E7643" w:rsidR="004A2817" w:rsidRPr="00622165" w:rsidRDefault="004A2817" w:rsidP="00622165">
      <w:pPr>
        <w:pStyle w:val="BodyText"/>
      </w:pPr>
      <w:r w:rsidRPr="00622165">
        <w:t xml:space="preserve">Two themes emerged in the data analysis: general support for the proposal with questions about applicability of the new subgroup, and concerns about manageability of supports. There was general support among participants for the inclusion of the </w:t>
      </w:r>
      <w:proofErr w:type="gramStart"/>
      <w:r w:rsidRPr="00622165">
        <w:t>All Students</w:t>
      </w:r>
      <w:proofErr w:type="gramEnd"/>
      <w:r w:rsidRPr="00622165">
        <w:t xml:space="preserve"> subgroup within DA eligibility criteria, particularly for smaller LEAs that do not consistently meet minimum subgroup size requirements. Participants noted that an </w:t>
      </w:r>
      <w:proofErr w:type="gramStart"/>
      <w:r w:rsidRPr="00622165">
        <w:t>All Students</w:t>
      </w:r>
      <w:proofErr w:type="gramEnd"/>
      <w:r w:rsidRPr="00622165">
        <w:t xml:space="preserve"> subgroup could help address situations in which subgroup performance fluctuates from year to year because of small student populations, potentially allowing for more stable identification practices over time. Several COE </w:t>
      </w:r>
      <w:r w:rsidRPr="00622165">
        <w:lastRenderedPageBreak/>
        <w:t>representatives asked whether the approach would apply only to small LEAs that lack qualifying subgroup counts (</w:t>
      </w:r>
      <w:r w:rsidRPr="00EF00A9">
        <w:rPr>
          <w:i/>
          <w:iCs/>
        </w:rPr>
        <w:t>n</w:t>
      </w:r>
      <w:r w:rsidRPr="00622165">
        <w:t>-size) or if it would apply universally across all LEAs in addition to existing subgroup criteria.</w:t>
      </w:r>
    </w:p>
    <w:p w14:paraId="67D44103" w14:textId="0E0CDBA5" w:rsidR="004A2817" w:rsidRPr="00622165" w:rsidRDefault="004A2817" w:rsidP="00622165">
      <w:pPr>
        <w:pStyle w:val="BodyText"/>
      </w:pPr>
      <w:r w:rsidRPr="00622165">
        <w:t xml:space="preserve">The most common concern raised across groups was the perception that adding an </w:t>
      </w:r>
      <w:proofErr w:type="gramStart"/>
      <w:r w:rsidRPr="00622165">
        <w:t>All Students</w:t>
      </w:r>
      <w:proofErr w:type="gramEnd"/>
      <w:r w:rsidRPr="00622165">
        <w:t xml:space="preserve"> pathway could increase the number of LEAs identified for DA and potentially expand the system beyond what was intended or manageable. Geo Leads and charter representatives </w:t>
      </w:r>
      <w:proofErr w:type="gramStart"/>
      <w:r w:rsidRPr="00622165">
        <w:t>in particular questioned</w:t>
      </w:r>
      <w:proofErr w:type="gramEnd"/>
      <w:r w:rsidRPr="00622165">
        <w:t xml:space="preserve"> whether the proposal might move the system in the opposite direction of efforts to narrow or stabilize identification.</w:t>
      </w:r>
    </w:p>
    <w:p w14:paraId="54CF0979" w14:textId="77777777" w:rsidR="004A2817" w:rsidRPr="00622165" w:rsidRDefault="004A2817" w:rsidP="00622165">
      <w:pPr>
        <w:pStyle w:val="BodyText"/>
      </w:pPr>
      <w:r w:rsidRPr="00622165">
        <w:t>Additional considerations also emerged around the idea that smaller LEAs may require differentiated structures of support beyond eligibility changes alone. Charter and COE participants suggested that consortium models, regional partnerships, or greater access to county-level resources may help address capacity challenges faced by smaller LEAs.</w:t>
      </w:r>
    </w:p>
    <w:p w14:paraId="25AB4AB0" w14:textId="173E493A" w:rsidR="004A2817" w:rsidRPr="00622165" w:rsidRDefault="004A2817" w:rsidP="00622165">
      <w:pPr>
        <w:pStyle w:val="BodyText"/>
      </w:pPr>
      <w:r w:rsidRPr="00622165">
        <w:t xml:space="preserve">Participants also raised considerations about whether there may be alternative solutions besides creating an </w:t>
      </w:r>
      <w:proofErr w:type="gramStart"/>
      <w:r w:rsidRPr="00622165">
        <w:t>All Students</w:t>
      </w:r>
      <w:proofErr w:type="gramEnd"/>
      <w:r w:rsidRPr="00622165">
        <w:t xml:space="preserve"> subgroup. Some </w:t>
      </w:r>
      <w:r w:rsidR="000F4E5B">
        <w:t>LCFF Equity Coalition</w:t>
      </w:r>
      <w:r w:rsidRPr="00622165">
        <w:t xml:space="preserve"> participants suggested exploring different subgroup thresholds or alternative triggering mechanisms specifically for smaller districts rather than creating an entirely new pathway for eligibility.</w:t>
      </w:r>
    </w:p>
    <w:p w14:paraId="375D12B6" w14:textId="77777777" w:rsidR="004A2817" w:rsidRPr="00B7741D" w:rsidRDefault="004A2817" w:rsidP="1F262B26">
      <w:pPr>
        <w:pStyle w:val="Heading3"/>
      </w:pPr>
      <w:bookmarkStart w:id="25" w:name="_Toc232618443"/>
      <w:r>
        <w:t>Science</w:t>
      </w:r>
      <w:bookmarkEnd w:id="25"/>
    </w:p>
    <w:tbl>
      <w:tblPr>
        <w:tblStyle w:val="TableStyle-ProposalBox"/>
        <w:tblW w:w="5000" w:type="pct"/>
        <w:tblLook w:val="04A0" w:firstRow="1" w:lastRow="0" w:firstColumn="1" w:lastColumn="0" w:noHBand="0" w:noVBand="1"/>
      </w:tblPr>
      <w:tblGrid>
        <w:gridCol w:w="10080"/>
      </w:tblGrid>
      <w:tr w:rsidR="00173C88" w:rsidRPr="007862F4" w14:paraId="1D9454AC" w14:textId="77777777" w:rsidTr="009D6456">
        <w:tc>
          <w:tcPr>
            <w:tcW w:w="9360" w:type="dxa"/>
          </w:tcPr>
          <w:p w14:paraId="2B98BCEB" w14:textId="530046BD" w:rsidR="00173C88" w:rsidRPr="000B186F" w:rsidRDefault="000B186F" w:rsidP="000B186F">
            <w:pPr>
              <w:pStyle w:val="BoxText"/>
            </w:pPr>
            <w:r w:rsidRPr="000B186F">
              <w:t>The state administers the California Science Test to students in Grades 5 and 8 and once in high school. In 2025, California began publishing data about student achievement in science as a component of the California School Dashboard to be used for informational purposes only. SBE is considering whether and how to incorporate science achievement data into eligibility criteria for DA.</w:t>
            </w:r>
          </w:p>
        </w:tc>
      </w:tr>
    </w:tbl>
    <w:p w14:paraId="08A23A5A" w14:textId="77777777" w:rsidR="004A2817" w:rsidRPr="00B7741D" w:rsidRDefault="004A2817" w:rsidP="00B7741D">
      <w:pPr>
        <w:pStyle w:val="BodyText"/>
      </w:pPr>
      <w:r w:rsidRPr="00B7741D">
        <w:t>Across multiple groups, participants generally acknowledged that science is an important component of a well-rounded academic program and that it should play a role in broader conversations about student outcomes and accountability. Several participants noted that science represents a core area of learning and that elevating science within the accountability framework could reinforce its instructional importance at the local level.</w:t>
      </w:r>
    </w:p>
    <w:p w14:paraId="52A555F4" w14:textId="07629BDB" w:rsidR="004A2817" w:rsidRPr="00B7741D" w:rsidRDefault="004A2817" w:rsidP="00B7741D">
      <w:pPr>
        <w:pStyle w:val="BodyText"/>
      </w:pPr>
      <w:r w:rsidRPr="00B7741D">
        <w:t xml:space="preserve">Another area of alignment involved the need for additional data analysis and modeling before making design decisions. Participants across COEs, Geo Leads, </w:t>
      </w:r>
      <w:r w:rsidR="000E3C7F">
        <w:t xml:space="preserve">and </w:t>
      </w:r>
      <w:r w:rsidR="00A36CD2">
        <w:t>LCFF Equity Coali</w:t>
      </w:r>
      <w:r w:rsidR="008F72AF">
        <w:t>tion and Education Coalition</w:t>
      </w:r>
      <w:r w:rsidRPr="00B7741D">
        <w:t xml:space="preserve"> groups consistently emphasized the importance of understanding how incorporating science would influence DA identification rates and whether the resulting changes would improve the system’s ability to target support effectively.</w:t>
      </w:r>
    </w:p>
    <w:p w14:paraId="2BDF4184" w14:textId="5E9F54A7" w:rsidR="004A2817" w:rsidRPr="0095080F" w:rsidRDefault="004A2817" w:rsidP="00B7741D">
      <w:pPr>
        <w:pStyle w:val="BodyText"/>
      </w:pPr>
      <w:r w:rsidRPr="1F262B26">
        <w:lastRenderedPageBreak/>
        <w:t xml:space="preserve">The most significant concern raised across groups involved the current reliability and maturity of the </w:t>
      </w:r>
      <w:r>
        <w:t>s</w:t>
      </w:r>
      <w:r w:rsidRPr="1F262B26">
        <w:t>cience indicator. Many participants questioned whether the science assessment system is stable enough to carry higher</w:t>
      </w:r>
      <w:r w:rsidR="009E3F84">
        <w:t xml:space="preserve"> </w:t>
      </w:r>
      <w:r w:rsidRPr="1F262B26">
        <w:t xml:space="preserve">stakes accountability consequences. County office representatives, Geo Leads, and district participants frequently noted that the science assessment is still relatively new compared </w:t>
      </w:r>
      <w:r>
        <w:t>with</w:t>
      </w:r>
      <w:r w:rsidRPr="1F262B26">
        <w:t xml:space="preserve"> ELA and mathematics and may not produce sufficiently stable longitudinal data for identification purposes</w:t>
      </w:r>
      <w:r w:rsidRPr="00207347">
        <w:t>.</w:t>
      </w:r>
    </w:p>
    <w:p w14:paraId="2EE1308F" w14:textId="14B16A05" w:rsidR="004A2817" w:rsidRPr="00B7741D" w:rsidRDefault="004A2817" w:rsidP="00B7741D">
      <w:pPr>
        <w:pStyle w:val="BodyText"/>
      </w:pPr>
      <w:r w:rsidRPr="00B7741D">
        <w:t>A related concern involved the possibility that incorporating science as an additional indicator could increase the number of LEAs identified for DA. Several groups expressed concern that adding another indicator without narrowing or restructuring other parts of the system could contribute to overidentification and reduce the system’s focus and coherence. Some participants also raised concerns that the statewide science assessment results are available only in Grades 5 and 8 and once in high school, which some felt may limit the indicator’s comprehensiveness compared with ELA and math.</w:t>
      </w:r>
    </w:p>
    <w:p w14:paraId="10109BFE" w14:textId="77777777" w:rsidR="004A2817" w:rsidRPr="00B7741D" w:rsidRDefault="004A2817" w:rsidP="00B7741D">
      <w:pPr>
        <w:pStyle w:val="BodyText"/>
      </w:pPr>
      <w:r w:rsidRPr="00B7741D">
        <w:t>Participants also repeatedly emphasized the importance of understanding how science would interact with the broader accountability system if incorporated more formally. Several participants across groups questioned whether science would function as an independent trigger for eligibility, as part of a broader academic category, or simply as a supplemental indicator. Some participants supported adding science to DA eligibility using a phased or delayed approach.</w:t>
      </w:r>
    </w:p>
    <w:p w14:paraId="683D2208" w14:textId="42AE80F9" w:rsidR="004A2817" w:rsidRDefault="004A2817" w:rsidP="000C5FFF">
      <w:pPr>
        <w:pStyle w:val="IntenseQuote"/>
      </w:pPr>
      <w:r>
        <w:t xml:space="preserve">Including science in DA eligibility would help create a more comprehensive view of district performance beyond ELA and math alone. However, implementation should be delayed until the next cycle to allow time for greater stability, statewide familiarity, and confidence in the science data and accountability methodology. </w:t>
      </w:r>
      <w:r w:rsidR="0095080F">
        <w:br/>
      </w:r>
      <w:r>
        <w:t>—LEA representative</w:t>
      </w:r>
    </w:p>
    <w:p w14:paraId="0C4F870B" w14:textId="77777777" w:rsidR="004A2817" w:rsidRPr="00B7741D" w:rsidRDefault="004A2817" w:rsidP="1F262B26">
      <w:pPr>
        <w:pStyle w:val="Heading3"/>
      </w:pPr>
      <w:bookmarkStart w:id="26" w:name="_Toc232618444"/>
      <w:r>
        <w:t>CALPADS</w:t>
      </w:r>
      <w:bookmarkEnd w:id="26"/>
    </w:p>
    <w:tbl>
      <w:tblPr>
        <w:tblStyle w:val="TableStyle-ProposalBox"/>
        <w:tblW w:w="5000" w:type="pct"/>
        <w:tblLook w:val="04A0" w:firstRow="1" w:lastRow="0" w:firstColumn="1" w:lastColumn="0" w:noHBand="0" w:noVBand="1"/>
      </w:tblPr>
      <w:tblGrid>
        <w:gridCol w:w="10080"/>
      </w:tblGrid>
      <w:tr w:rsidR="00173C88" w:rsidRPr="007862F4" w14:paraId="161172BD" w14:textId="77777777" w:rsidTr="009D6456">
        <w:tc>
          <w:tcPr>
            <w:tcW w:w="9360" w:type="dxa"/>
          </w:tcPr>
          <w:p w14:paraId="5E810108" w14:textId="32D35923" w:rsidR="00173C88" w:rsidRPr="007862F4" w:rsidRDefault="000B186F" w:rsidP="000B186F">
            <w:pPr>
              <w:pStyle w:val="BoxText"/>
            </w:pPr>
            <w:r w:rsidRPr="00B7741D">
              <w:t>LEAs under the current system are identified to receive DA if they fail to submit accurate and timely CALPADS data to the state. SBE is considering the removal of CALPADS data submission compliance as a determining factor for DA eligibility.</w:t>
            </w:r>
          </w:p>
        </w:tc>
      </w:tr>
    </w:tbl>
    <w:p w14:paraId="2B1482B7" w14:textId="77777777" w:rsidR="004A2817" w:rsidRDefault="004A2817" w:rsidP="00B7741D">
      <w:pPr>
        <w:pStyle w:val="BodyText"/>
      </w:pPr>
      <w:r>
        <w:t>Participants expressed strong support for removing CALPADS submission issues from DA eligibility criteria. All participants viewed compliance with state deadlines as disconnected from student outcomes and expressed concern that their inclusion within eligibility determinations may not accurately reflect LEA performance or support needs.</w:t>
      </w:r>
    </w:p>
    <w:p w14:paraId="4CE77CB9" w14:textId="539CB68F" w:rsidR="004A2817" w:rsidRDefault="004A2817" w:rsidP="00132D38">
      <w:pPr>
        <w:pStyle w:val="IntenseQuote"/>
      </w:pPr>
      <w:r>
        <w:lastRenderedPageBreak/>
        <w:t>I</w:t>
      </w:r>
      <w:r w:rsidRPr="00132D38">
        <w:t>t would enable us to really focus on that meaningful system support, should we not have these compliance matters in the DA criteria.</w:t>
      </w:r>
      <w:r>
        <w:t xml:space="preserve"> —COE representative</w:t>
      </w:r>
    </w:p>
    <w:p w14:paraId="67A8A1AB" w14:textId="77777777" w:rsidR="004A2817" w:rsidRPr="00B7741D" w:rsidRDefault="004A2817" w:rsidP="00B7741D">
      <w:pPr>
        <w:pStyle w:val="BodyText"/>
      </w:pPr>
      <w:r w:rsidRPr="00B7741D">
        <w:t>At the same time, participants emphasized the continued importance of maintaining accountability for accurate and timely data submissions, even if these measures are no longer included in formal DA eligibility criteria, to ensure access to quality information about the state’s education system.</w:t>
      </w:r>
    </w:p>
    <w:p w14:paraId="4B4EFC81" w14:textId="3E147719" w:rsidR="004A2817" w:rsidRPr="00B7741D" w:rsidRDefault="004A2817" w:rsidP="00B7741D">
      <w:pPr>
        <w:pStyle w:val="BodyText"/>
      </w:pPr>
      <w:r w:rsidRPr="00B7741D">
        <w:t>Questions about data accuracy and local context surfaced repeatedly throughout the discussions. Participants emphasized that CALPADS reporting capacity varies considerably across LEAs, particularly for small districts and rural systems with limited staffing. Some participants worried that differences in local capacity could unintentionally affect eligibility determinations if data-quality issues are not adequately accounted for within the system.</w:t>
      </w:r>
    </w:p>
    <w:p w14:paraId="3039C378" w14:textId="3229CA2E" w:rsidR="004A2817" w:rsidRPr="00B7741D" w:rsidRDefault="004A2817" w:rsidP="00B7741D">
      <w:pPr>
        <w:pStyle w:val="Heading3"/>
      </w:pPr>
      <w:bookmarkStart w:id="27" w:name="_Toc232618445"/>
      <w:r w:rsidRPr="00B7741D">
        <w:t>Direct Technical Assistance</w:t>
      </w:r>
      <w:bookmarkEnd w:id="27"/>
    </w:p>
    <w:tbl>
      <w:tblPr>
        <w:tblStyle w:val="TableStyle-ProposalBox"/>
        <w:tblW w:w="5000" w:type="pct"/>
        <w:tblLook w:val="04A0" w:firstRow="1" w:lastRow="0" w:firstColumn="1" w:lastColumn="0" w:noHBand="0" w:noVBand="1"/>
      </w:tblPr>
      <w:tblGrid>
        <w:gridCol w:w="10080"/>
      </w:tblGrid>
      <w:tr w:rsidR="00173C88" w:rsidRPr="007862F4" w14:paraId="561539B8" w14:textId="77777777" w:rsidTr="009D6456">
        <w:tc>
          <w:tcPr>
            <w:tcW w:w="9360" w:type="dxa"/>
          </w:tcPr>
          <w:p w14:paraId="366B868A" w14:textId="38307CA7" w:rsidR="00173C88" w:rsidRPr="000B186F" w:rsidRDefault="000B186F" w:rsidP="000B186F">
            <w:pPr>
              <w:pStyle w:val="BoxText"/>
            </w:pPr>
            <w:r w:rsidRPr="00B7741D">
              <w:t xml:space="preserve">California has identified an additional level of support, DTA, to improve the performance of LEAs with persistent performance challenges. The criteria for DTA eligibility differ for </w:t>
            </w:r>
            <w:proofErr w:type="spellStart"/>
            <w:r w:rsidRPr="00B7741D">
              <w:t>noncharter</w:t>
            </w:r>
            <w:proofErr w:type="spellEnd"/>
            <w:r w:rsidRPr="00B7741D">
              <w:t xml:space="preserve"> LEAs and charter LEAs. However, in both cases, guidelines can result in LEAs participating in DA and DTA simultaneously. SBE is considering the relationship between DA and DTA and how they interact as part of the broader statewide system of support.</w:t>
            </w:r>
          </w:p>
        </w:tc>
      </w:tr>
    </w:tbl>
    <w:p w14:paraId="08796D6A" w14:textId="77777777" w:rsidR="004A2817" w:rsidRDefault="004A2817" w:rsidP="00B7741D">
      <w:pPr>
        <w:pStyle w:val="BodyText"/>
      </w:pPr>
      <w:r w:rsidRPr="1F262B26">
        <w:t xml:space="preserve">Across multiple groups, participants generally agreed that the current relationship between DA and DTA can sometimes feel fragmented or difficult for LEAs to navigate. County office representatives, Geo Leads, and </w:t>
      </w:r>
      <w:r>
        <w:t>LEA</w:t>
      </w:r>
      <w:r w:rsidRPr="1F262B26">
        <w:t xml:space="preserve"> participants frequently emphasized the importance of creating a more coherent and understandable system of support, particularly for LEAs already managing multiple accountability and improvement requirements.</w:t>
      </w:r>
    </w:p>
    <w:p w14:paraId="356728D7" w14:textId="1B0C36E9" w:rsidR="004A2817" w:rsidRDefault="004A2817" w:rsidP="00344B75">
      <w:pPr>
        <w:pStyle w:val="IntenseQuote"/>
      </w:pPr>
      <w:r>
        <w:t>L</w:t>
      </w:r>
      <w:r w:rsidRPr="00344B75">
        <w:t>ayers of support aren</w:t>
      </w:r>
      <w:r>
        <w:t>’</w:t>
      </w:r>
      <w:r w:rsidRPr="00344B75">
        <w:t>t as supportive as they might appear, and so I think that just </w:t>
      </w:r>
      <w:proofErr w:type="gramStart"/>
      <w:r w:rsidRPr="00344B75">
        <w:t>focusing in</w:t>
      </w:r>
      <w:proofErr w:type="gramEnd"/>
      <w:r w:rsidRPr="00344B75">
        <w:t> on just a few things at a time is much better.</w:t>
      </w:r>
      <w:r>
        <w:t xml:space="preserve"> —Charter school representati</w:t>
      </w:r>
      <w:r w:rsidR="008063D7">
        <w:t>ve</w:t>
      </w:r>
    </w:p>
    <w:p w14:paraId="519695D3" w14:textId="77777777" w:rsidR="004A2817" w:rsidRPr="00B7741D" w:rsidRDefault="004A2817" w:rsidP="00B7741D">
      <w:pPr>
        <w:pStyle w:val="BodyText"/>
      </w:pPr>
      <w:r w:rsidRPr="00B7741D">
        <w:t>Several respondents described the importance of measuring the outcomes and value of current DTA supports to better understand whether the model is functioning as intended across different county and LEA contexts. Concerns about effectiveness surfaced frequently throughout the poll responses. Some participants stated directly that DTA has not consistently functioned as a value-</w:t>
      </w:r>
      <w:r w:rsidRPr="00B7741D">
        <w:lastRenderedPageBreak/>
        <w:t>add in all counties and argued that continuation or expansion of the process should depend on stronger evidence of efficacy. Several respondents suggested that the current structure requires reevaluation before additional alignment or expansion occurs.</w:t>
      </w:r>
    </w:p>
    <w:p w14:paraId="18FE91B4" w14:textId="77777777" w:rsidR="004A2817" w:rsidRPr="00B7741D" w:rsidRDefault="004A2817" w:rsidP="00B7741D">
      <w:pPr>
        <w:pStyle w:val="BodyText"/>
      </w:pPr>
      <w:r w:rsidRPr="00B7741D">
        <w:t>Participants also repeatedly emphasized the need to clarify the purpose, goals, and logic model underlying DTA. Some participants questioned whether there is sufficient statewide clarity around what DTA is intended to accomplish, how it differs from DA, and how success should be measured. Relatedly, several respondents noted that the current process of supporting LEAs that have been identified can feel inconsistent across regions, and they suggested that clearer articulation of roles, expectations, and intended outcomes would strengthen implementation.</w:t>
      </w:r>
    </w:p>
    <w:p w14:paraId="792855E4" w14:textId="650D875A" w:rsidR="004A2817" w:rsidRPr="00B7741D" w:rsidRDefault="004A2817" w:rsidP="1F262B26">
      <w:pPr>
        <w:pStyle w:val="Heading3"/>
      </w:pPr>
      <w:bookmarkStart w:id="28" w:name="_Toc232618446"/>
      <w:r>
        <w:t>DASS- and COE-</w:t>
      </w:r>
      <w:r w:rsidR="00617183">
        <w:t>Specific Eligibility Design</w:t>
      </w:r>
      <w:bookmarkEnd w:id="28"/>
    </w:p>
    <w:tbl>
      <w:tblPr>
        <w:tblStyle w:val="TableStyle-ProposalBox"/>
        <w:tblW w:w="5000" w:type="pct"/>
        <w:tblLook w:val="04A0" w:firstRow="1" w:lastRow="0" w:firstColumn="1" w:lastColumn="0" w:noHBand="0" w:noVBand="1"/>
      </w:tblPr>
      <w:tblGrid>
        <w:gridCol w:w="10080"/>
      </w:tblGrid>
      <w:tr w:rsidR="00173C88" w:rsidRPr="007862F4" w14:paraId="40DC70E9" w14:textId="77777777" w:rsidTr="009D6456">
        <w:tc>
          <w:tcPr>
            <w:tcW w:w="9360" w:type="dxa"/>
          </w:tcPr>
          <w:p w14:paraId="07541CAB" w14:textId="76966D36" w:rsidR="00173C88" w:rsidRPr="007862F4" w:rsidRDefault="000B186F" w:rsidP="000B186F">
            <w:pPr>
              <w:pStyle w:val="BoxText"/>
            </w:pPr>
            <w:r w:rsidRPr="00B7741D">
              <w:t>In California, DASS schools are designed to support students who may not thrive in traditional school settings, such as transient students, homeless or foster youth, and credit-deficient students. COEs also operate specialized programs or schools that serve students who need alternative education placements. SBE leveraged the listening sessions to gather early input on how in future iterations of DA eligibility it could incorporate DASS schools in a way that reflects the realities of the students they served.</w:t>
            </w:r>
          </w:p>
        </w:tc>
      </w:tr>
    </w:tbl>
    <w:p w14:paraId="4EEA160C" w14:textId="45C5B0DC" w:rsidR="004A2817" w:rsidRPr="00B7741D" w:rsidRDefault="004A2817" w:rsidP="00B7741D">
      <w:pPr>
        <w:pStyle w:val="BodyText"/>
      </w:pPr>
      <w:r w:rsidRPr="00B7741D">
        <w:t xml:space="preserve">Participants generally expressed support for modifying DA eligibility criteria for DASS schools and COE programs in recognition of the unique contexts and student populations these schools serve. Discussions reflected an understanding that traditional accountability indicators and eligibility criteria may not fully capture the circumstances, mobility patterns, and instructional settings associated with alternative education environments. For example, many DASS schools serve students who remain enrolled for short periods of time after significant interruptions in schooling or enter the school as credit deficient, which can make it more difficult for traditional Dashboard indicators to fully reflect student growth, progress, 4-year graduation rates, and the impact of school </w:t>
      </w:r>
      <w:proofErr w:type="gramStart"/>
      <w:r w:rsidRPr="00B7741D">
        <w:t>supports</w:t>
      </w:r>
      <w:proofErr w:type="gramEnd"/>
      <w:r w:rsidRPr="00B7741D">
        <w:t>. Participants suggested that supplemental measures could provide a more accurate understanding of the extent to which DASS schools are contributing to student learning and engagement. Moreover, participants shared that current indicators can “bounce around” significantly for DASS schools because of the small populations and high student mobility rates that are built into the design of these schools.</w:t>
      </w:r>
    </w:p>
    <w:p w14:paraId="055CB210" w14:textId="77777777" w:rsidR="004A2817" w:rsidRPr="00B7741D" w:rsidRDefault="004A2817" w:rsidP="00B7741D">
      <w:pPr>
        <w:pStyle w:val="BodyText"/>
      </w:pPr>
      <w:r w:rsidRPr="00B7741D">
        <w:t xml:space="preserve">At the same time, participants strongly emphasized that concerns about measurement should not result in DASS schools being excluded from accountability or support systems altogether. Several respondents cautioned against removing </w:t>
      </w:r>
      <w:proofErr w:type="gramStart"/>
      <w:r w:rsidRPr="00B7741D">
        <w:t>supports</w:t>
      </w:r>
      <w:proofErr w:type="gramEnd"/>
      <w:r w:rsidRPr="00B7741D">
        <w:t xml:space="preserve"> simply because current metrics are imperfect, stressing that DASS schools serve highly vulnerable student populations that still require </w:t>
      </w:r>
      <w:r w:rsidRPr="00B7741D">
        <w:lastRenderedPageBreak/>
        <w:t>meaningful assistance and oversight. Participants repeatedly emphasized the importance of “getting the data right” while also recognizing the critical support needs of these schools.</w:t>
      </w:r>
    </w:p>
    <w:p w14:paraId="5027D246" w14:textId="5F5A9B67" w:rsidR="004A2817" w:rsidRDefault="004A2817" w:rsidP="00FE1ED3">
      <w:pPr>
        <w:pStyle w:val="IntenseQuote"/>
      </w:pPr>
      <w:r w:rsidRPr="00284134">
        <w:t>I really feel strongly about how we measure these schools, and I really would love for our state to look</w:t>
      </w:r>
      <w:r>
        <w:t xml:space="preserve"> </w:t>
      </w:r>
      <w:r w:rsidRPr="00284134">
        <w:t>… to create a baseline for what the most successful D</w:t>
      </w:r>
      <w:r>
        <w:t>AS</w:t>
      </w:r>
      <w:r w:rsidRPr="00284134">
        <w:t xml:space="preserve">S schools are </w:t>
      </w:r>
      <w:proofErr w:type="gramStart"/>
      <w:r w:rsidRPr="00284134">
        <w:t>doing, and</w:t>
      </w:r>
      <w:proofErr w:type="gramEnd"/>
      <w:r w:rsidRPr="00284134">
        <w:t xml:space="preserve"> then use that as criteria</w:t>
      </w:r>
      <w:r>
        <w:t xml:space="preserve"> … </w:t>
      </w:r>
      <w:r w:rsidRPr="00284134">
        <w:t>to measure the other schools against. </w:t>
      </w:r>
      <w:r>
        <w:t>—LEA representati</w:t>
      </w:r>
      <w:r w:rsidR="0008002B">
        <w:t>ve</w:t>
      </w:r>
    </w:p>
    <w:p w14:paraId="22BAA5B1" w14:textId="2B4EE036" w:rsidR="004A2817" w:rsidRPr="00B7741D" w:rsidRDefault="004A2817" w:rsidP="00B7741D">
      <w:pPr>
        <w:pStyle w:val="BodyText"/>
      </w:pPr>
      <w:r w:rsidRPr="00B7741D">
        <w:t>A key point of concern within the charter school representatives involved the disproportionately high rate at which DASS charter schools are identified for support. Charter representatives noted that DASS schools represent a relatively small percentage of charter schools overall but account for a much larger share of charter schools identified for DA or DTA.</w:t>
      </w:r>
    </w:p>
    <w:p w14:paraId="6D733E1B" w14:textId="77777777" w:rsidR="004A2817" w:rsidRDefault="004A2817" w:rsidP="00741DFA">
      <w:pPr>
        <w:pStyle w:val="Heading2"/>
      </w:pPr>
      <w:bookmarkStart w:id="29" w:name="_Toc232618447"/>
      <w:r>
        <w:t>Perspectives Across Focus Areas</w:t>
      </w:r>
      <w:bookmarkEnd w:id="29"/>
    </w:p>
    <w:p w14:paraId="79228498" w14:textId="2FC94CDC" w:rsidR="004A2817" w:rsidRDefault="004A2817" w:rsidP="00B7741D">
      <w:pPr>
        <w:pStyle w:val="BodyTextPostHead"/>
      </w:pPr>
      <w:r>
        <w:t>Three focus areas rose to the surface as the most popular options among poll respondents. By design, listening sessions asked participants for their perspectives about individual proposed changes to DA and DTA instead of exploring the relationships across the changes. Each session ended with a final poll that asked participants to rank the proposed changes in order of preference. Top among these was the shift to using 3 years of data to determine DA eligibility. On average, respondents ranked this option as first or second among available options. The other two most preferred changes were separating LCFF indicators from the Dashboard to determine DA eligibility and the incorporation of growth data into the criteria. On average, both of these options were selected as second and third among available options. We emphasize again that these polling data were not collected in a systematic way that enables us to conclude that they are representative of listening session participants or members of the California education community overall. These selected focus areas may nevertheless offer some insight into the relative perceived value of the proposed changes discussed during the sessions.</w:t>
      </w:r>
    </w:p>
    <w:p w14:paraId="3C45C5E9" w14:textId="77777777" w:rsidR="004A2817" w:rsidRDefault="004A2817" w:rsidP="00C07712">
      <w:pPr>
        <w:pStyle w:val="Heading2"/>
      </w:pPr>
      <w:bookmarkStart w:id="30" w:name="_Toc232618448"/>
      <w:r>
        <w:t>Conclusion</w:t>
      </w:r>
      <w:bookmarkEnd w:id="30"/>
    </w:p>
    <w:p w14:paraId="5BC65DE0" w14:textId="0E4B6901" w:rsidR="004A2817" w:rsidRPr="00B7741D" w:rsidRDefault="004A2817" w:rsidP="00B7741D">
      <w:pPr>
        <w:pStyle w:val="BodyTextPostHead"/>
      </w:pPr>
      <w:r w:rsidRPr="00B7741D">
        <w:t>Taken together, the main findings suggest broad interest in refining California’s DA framework to improve clarity, stability, and coherence while maintaining a strong focus on</w:t>
      </w:r>
      <w:r w:rsidR="000A7E5F">
        <w:t xml:space="preserve"> subgroups</w:t>
      </w:r>
      <w:r w:rsidRPr="00B7741D">
        <w:t xml:space="preserve"> and responsiveness to local context. Across listening sessions, participants generally supported potential changes such as the inclusion of multiyear eligibility, separating LCFF priorities from the Dashboard, and eliminating CALPADS as a trigger for DA identification. Participants also expressed interest in incorporating growth, science, and an All Students subgroup, while raising </w:t>
      </w:r>
      <w:r w:rsidRPr="00B7741D">
        <w:lastRenderedPageBreak/>
        <w:t>several key considerations of how these changes could be implemented. Across all focus areas discussed in the listening sessions, participants consistently emphasized caution. Concerns about overidentification, reduced subgroup visibility, uneven impacts across LEA types, and the readiness of available data surfaced throughout the discussions. Overall, the findings point to a need for careful modeling, continued engagement with the education community, and close attention to implementation capacity so that any future refinements strengthen both the quality of identification and the effectiveness of support provided through the statewide system of support.</w:t>
      </w:r>
    </w:p>
    <w:p w14:paraId="640C393B" w14:textId="77777777" w:rsidR="004A2817" w:rsidRPr="00F8504B" w:rsidRDefault="004A2817" w:rsidP="00F8504B">
      <w:pPr>
        <w:pStyle w:val="BodyText"/>
      </w:pPr>
      <w:r>
        <w:br w:type="page"/>
      </w:r>
    </w:p>
    <w:p w14:paraId="43FC8AFD" w14:textId="74800F24" w:rsidR="004A2817" w:rsidRDefault="004A2817" w:rsidP="00E439F1">
      <w:pPr>
        <w:pStyle w:val="Heading2"/>
      </w:pPr>
      <w:bookmarkStart w:id="31" w:name="_Toc232618449"/>
      <w:r>
        <w:lastRenderedPageBreak/>
        <w:t xml:space="preserve">Appendix: Listening Session Discussion Questions </w:t>
      </w:r>
      <w:r w:rsidR="009E3F84">
        <w:t xml:space="preserve">and </w:t>
      </w:r>
      <w:r>
        <w:t>Poll Questions</w:t>
      </w:r>
      <w:bookmarkEnd w:id="31"/>
    </w:p>
    <w:p w14:paraId="4A6CDDBB" w14:textId="77777777" w:rsidR="004A2817" w:rsidRDefault="004A2817" w:rsidP="000E71E7">
      <w:pPr>
        <w:pStyle w:val="Heading3"/>
      </w:pPr>
      <w:bookmarkStart w:id="32" w:name="_Toc232618450"/>
      <w:r>
        <w:t>Listening Session Questions</w:t>
      </w:r>
      <w:bookmarkEnd w:id="32"/>
    </w:p>
    <w:p w14:paraId="4D833642" w14:textId="77777777" w:rsidR="004A2817" w:rsidRDefault="004A2817" w:rsidP="00857F4C">
      <w:pPr>
        <w:pStyle w:val="Heading4"/>
      </w:pPr>
      <w:r>
        <w:t>Number of Years of Eligibility</w:t>
      </w:r>
    </w:p>
    <w:p w14:paraId="3DC56E53" w14:textId="77777777" w:rsidR="004A2817" w:rsidRPr="00C8194C" w:rsidRDefault="004A2817" w:rsidP="00C8194C">
      <w:pPr>
        <w:pStyle w:val="BodyTextPostHead"/>
        <w:rPr>
          <w:b/>
          <w:bCs/>
        </w:rPr>
      </w:pPr>
      <w:r w:rsidRPr="00C8194C">
        <w:rPr>
          <w:b/>
          <w:bCs/>
        </w:rPr>
        <w:t>Discussion Questions</w:t>
      </w:r>
    </w:p>
    <w:p w14:paraId="5A2632A7" w14:textId="77777777" w:rsidR="004A2817" w:rsidRDefault="004A2817" w:rsidP="00C8194C">
      <w:pPr>
        <w:pStyle w:val="NumberedList"/>
      </w:pPr>
      <w:r>
        <w:t>What needs to be considered with the potential to use multiple years of data to determine eligibility?</w:t>
      </w:r>
    </w:p>
    <w:p w14:paraId="06721BF8" w14:textId="77777777" w:rsidR="004A2817" w:rsidRDefault="004A2817" w:rsidP="00C8194C">
      <w:pPr>
        <w:pStyle w:val="NumberedList"/>
      </w:pPr>
      <w:r>
        <w:t>What are some unintended consequences that the state would need to prepare for?</w:t>
      </w:r>
    </w:p>
    <w:p w14:paraId="62A7B0C4" w14:textId="6FD1D38F" w:rsidR="004A2817" w:rsidRDefault="004A2817" w:rsidP="00C8194C">
      <w:pPr>
        <w:pStyle w:val="NumberedList"/>
      </w:pPr>
      <w:r>
        <w:t>For charter schools, should a 3-year support cycle and the same DA eligibility criteria as traditional LEAs be used?</w:t>
      </w:r>
    </w:p>
    <w:p w14:paraId="56352778" w14:textId="77777777" w:rsidR="004A2817" w:rsidRPr="00C8194C" w:rsidRDefault="004A2817" w:rsidP="00C8194C">
      <w:pPr>
        <w:pStyle w:val="BodyText"/>
        <w:rPr>
          <w:b/>
          <w:bCs/>
        </w:rPr>
      </w:pPr>
      <w:r w:rsidRPr="00C8194C">
        <w:rPr>
          <w:b/>
          <w:bCs/>
        </w:rPr>
        <w:t>Poll Questions</w:t>
      </w:r>
    </w:p>
    <w:p w14:paraId="5037FF62" w14:textId="5FADFBF9" w:rsidR="004A2817" w:rsidRPr="00C8194C" w:rsidRDefault="004A2817">
      <w:pPr>
        <w:pStyle w:val="NumberedList"/>
        <w:numPr>
          <w:ilvl w:val="0"/>
          <w:numId w:val="17"/>
        </w:numPr>
      </w:pPr>
      <w:r w:rsidRPr="00C8194C">
        <w:t>Do you support the shift to using 3 years of data to determine DA eligibility?</w:t>
      </w:r>
    </w:p>
    <w:p w14:paraId="0F4D35CF" w14:textId="77777777" w:rsidR="004A2817" w:rsidRPr="00C8194C" w:rsidRDefault="004A2817">
      <w:pPr>
        <w:pStyle w:val="NumberedList"/>
        <w:numPr>
          <w:ilvl w:val="1"/>
          <w:numId w:val="9"/>
        </w:numPr>
      </w:pPr>
      <w:r w:rsidRPr="00C8194C">
        <w:t>Yes</w:t>
      </w:r>
    </w:p>
    <w:p w14:paraId="20160C8F" w14:textId="77777777" w:rsidR="004A2817" w:rsidRPr="00C8194C" w:rsidRDefault="004A2817">
      <w:pPr>
        <w:pStyle w:val="NumberedList"/>
        <w:numPr>
          <w:ilvl w:val="1"/>
          <w:numId w:val="9"/>
        </w:numPr>
      </w:pPr>
      <w:r w:rsidRPr="00C8194C">
        <w:t>Yes, with reservations</w:t>
      </w:r>
    </w:p>
    <w:p w14:paraId="08EC92EF" w14:textId="77777777" w:rsidR="004A2817" w:rsidRPr="00C8194C" w:rsidRDefault="004A2817">
      <w:pPr>
        <w:pStyle w:val="NumberedList"/>
        <w:numPr>
          <w:ilvl w:val="1"/>
          <w:numId w:val="9"/>
        </w:numPr>
      </w:pPr>
      <w:r w:rsidRPr="00C8194C">
        <w:t>No</w:t>
      </w:r>
    </w:p>
    <w:p w14:paraId="76CD8B26" w14:textId="77777777" w:rsidR="004A2817" w:rsidRPr="00C8194C" w:rsidRDefault="004A2817">
      <w:pPr>
        <w:pStyle w:val="NumberedList"/>
        <w:numPr>
          <w:ilvl w:val="1"/>
          <w:numId w:val="9"/>
        </w:numPr>
      </w:pPr>
      <w:r w:rsidRPr="00C8194C">
        <w:t>Other</w:t>
      </w:r>
    </w:p>
    <w:p w14:paraId="46603713" w14:textId="30A8765F" w:rsidR="004A2817" w:rsidRPr="00C8194C" w:rsidRDefault="004A2817" w:rsidP="00C8194C">
      <w:pPr>
        <w:pStyle w:val="NumberedList"/>
      </w:pPr>
      <w:r w:rsidRPr="00C8194C">
        <w:t>Do you support a 3-year support cycle for DA compared to a shorter timeline? For charters, this is in comparison to a 1-year support cycle. For traditional districts, this is in comparison to a 2-year support cycle.</w:t>
      </w:r>
    </w:p>
    <w:p w14:paraId="742DC0EC" w14:textId="77777777" w:rsidR="004A2817" w:rsidRPr="00C8194C" w:rsidRDefault="004A2817">
      <w:pPr>
        <w:pStyle w:val="NumberedList"/>
        <w:numPr>
          <w:ilvl w:val="1"/>
          <w:numId w:val="9"/>
        </w:numPr>
      </w:pPr>
      <w:r w:rsidRPr="00C8194C">
        <w:t>Yes</w:t>
      </w:r>
    </w:p>
    <w:p w14:paraId="1A4F0297" w14:textId="77777777" w:rsidR="004A2817" w:rsidRPr="00C8194C" w:rsidRDefault="004A2817">
      <w:pPr>
        <w:pStyle w:val="NumberedList"/>
        <w:numPr>
          <w:ilvl w:val="1"/>
          <w:numId w:val="9"/>
        </w:numPr>
      </w:pPr>
      <w:r w:rsidRPr="00C8194C">
        <w:t>Yes, with reservations</w:t>
      </w:r>
    </w:p>
    <w:p w14:paraId="64232110" w14:textId="77777777" w:rsidR="004A2817" w:rsidRPr="00C8194C" w:rsidRDefault="004A2817">
      <w:pPr>
        <w:pStyle w:val="NumberedList"/>
        <w:numPr>
          <w:ilvl w:val="1"/>
          <w:numId w:val="9"/>
        </w:numPr>
      </w:pPr>
      <w:r w:rsidRPr="00C8194C">
        <w:t>No</w:t>
      </w:r>
    </w:p>
    <w:p w14:paraId="32B84438" w14:textId="77777777" w:rsidR="004A2817" w:rsidRPr="00C8194C" w:rsidRDefault="004A2817">
      <w:pPr>
        <w:pStyle w:val="NumberedList"/>
        <w:numPr>
          <w:ilvl w:val="1"/>
          <w:numId w:val="9"/>
        </w:numPr>
      </w:pPr>
      <w:r w:rsidRPr="00C8194C">
        <w:t>Other</w:t>
      </w:r>
    </w:p>
    <w:p w14:paraId="621DF747" w14:textId="49D1D81A" w:rsidR="004A2817" w:rsidRDefault="004A2817" w:rsidP="00E25A09">
      <w:pPr>
        <w:pStyle w:val="Heading4"/>
      </w:pPr>
      <w:r>
        <w:t xml:space="preserve">Separating Indicators </w:t>
      </w:r>
      <w:proofErr w:type="gramStart"/>
      <w:r>
        <w:t>From</w:t>
      </w:r>
      <w:proofErr w:type="gramEnd"/>
      <w:r>
        <w:t xml:space="preserve"> Local Control Funding Formula (LCFF) Priority Areas</w:t>
      </w:r>
    </w:p>
    <w:p w14:paraId="32A43DF4" w14:textId="77777777" w:rsidR="004A2817" w:rsidRPr="007D6B19" w:rsidRDefault="004A2817" w:rsidP="007D6B19">
      <w:pPr>
        <w:pStyle w:val="BodyTextPostHead"/>
        <w:rPr>
          <w:b/>
          <w:bCs/>
        </w:rPr>
      </w:pPr>
      <w:r w:rsidRPr="007D6B19">
        <w:rPr>
          <w:b/>
          <w:bCs/>
        </w:rPr>
        <w:t>Discussion Questions</w:t>
      </w:r>
    </w:p>
    <w:p w14:paraId="61E98757" w14:textId="77777777" w:rsidR="004A2817" w:rsidRDefault="004A2817">
      <w:pPr>
        <w:pStyle w:val="NumberedList"/>
        <w:numPr>
          <w:ilvl w:val="0"/>
          <w:numId w:val="18"/>
        </w:numPr>
      </w:pPr>
      <w:r>
        <w:t>How might the separation of indicators from LCFF priority areas change how support is targeted for DA?</w:t>
      </w:r>
    </w:p>
    <w:p w14:paraId="56F9FC4E" w14:textId="77777777" w:rsidR="004A2817" w:rsidRDefault="004A2817" w:rsidP="007D6B19">
      <w:pPr>
        <w:pStyle w:val="NumberedList"/>
      </w:pPr>
      <w:r>
        <w:t>What do you see as the pros and cons of this approach?</w:t>
      </w:r>
    </w:p>
    <w:p w14:paraId="4F512529" w14:textId="77777777" w:rsidR="004A2817" w:rsidRDefault="004A2817" w:rsidP="007D6B19">
      <w:pPr>
        <w:pStyle w:val="NumberedList"/>
      </w:pPr>
      <w:r>
        <w:t xml:space="preserve">If DA eligibility explicitly requires at least one academic indicator, can you think of any unintended consequences that might change the type of support that is provided? </w:t>
      </w:r>
    </w:p>
    <w:p w14:paraId="770B7427" w14:textId="77777777" w:rsidR="004A2817" w:rsidRPr="00771113" w:rsidRDefault="004A2817" w:rsidP="00E25A09">
      <w:pPr>
        <w:rPr>
          <w:b/>
          <w:bCs/>
        </w:rPr>
      </w:pPr>
      <w:r w:rsidRPr="1F262B26">
        <w:rPr>
          <w:b/>
          <w:bCs/>
        </w:rPr>
        <w:lastRenderedPageBreak/>
        <w:t>Poll Question</w:t>
      </w:r>
    </w:p>
    <w:p w14:paraId="0D73E958" w14:textId="77777777" w:rsidR="004A2817" w:rsidRPr="007D6B19" w:rsidRDefault="004A2817">
      <w:pPr>
        <w:pStyle w:val="NumberedList"/>
        <w:numPr>
          <w:ilvl w:val="0"/>
          <w:numId w:val="19"/>
        </w:numPr>
      </w:pPr>
      <w:r w:rsidRPr="007D6B19">
        <w:t>What do you recommend as the most effective source for determining DA eligibility?</w:t>
      </w:r>
    </w:p>
    <w:p w14:paraId="32CB7B1C" w14:textId="77777777" w:rsidR="004A2817" w:rsidRPr="007D6B19" w:rsidRDefault="004A2817">
      <w:pPr>
        <w:pStyle w:val="NumberedList"/>
        <w:numPr>
          <w:ilvl w:val="1"/>
          <w:numId w:val="9"/>
        </w:numPr>
      </w:pPr>
      <w:r w:rsidRPr="007D6B19">
        <w:t>Keep the system as is</w:t>
      </w:r>
    </w:p>
    <w:p w14:paraId="433EA61B" w14:textId="77777777" w:rsidR="004A2817" w:rsidRPr="007D6B19" w:rsidRDefault="004A2817">
      <w:pPr>
        <w:pStyle w:val="NumberedList"/>
        <w:numPr>
          <w:ilvl w:val="1"/>
          <w:numId w:val="9"/>
        </w:numPr>
      </w:pPr>
      <w:r w:rsidRPr="007D6B19">
        <w:t>Use the Dashboard indicators</w:t>
      </w:r>
    </w:p>
    <w:p w14:paraId="557737D8" w14:textId="7887E8C1" w:rsidR="004A2817" w:rsidRPr="007D6B19" w:rsidRDefault="004A2817">
      <w:pPr>
        <w:pStyle w:val="NumberedList"/>
        <w:numPr>
          <w:ilvl w:val="1"/>
          <w:numId w:val="9"/>
        </w:numPr>
      </w:pPr>
      <w:r w:rsidRPr="007D6B19">
        <w:t xml:space="preserve">Use the Dashboard indicators, but one </w:t>
      </w:r>
      <w:proofErr w:type="gramStart"/>
      <w:r w:rsidRPr="007D6B19">
        <w:t>has to</w:t>
      </w:r>
      <w:proofErr w:type="gramEnd"/>
      <w:r w:rsidRPr="007D6B19">
        <w:t xml:space="preserve"> be an academic indicator (math, ELA, science)</w:t>
      </w:r>
    </w:p>
    <w:p w14:paraId="59A631BC" w14:textId="77777777" w:rsidR="004A2817" w:rsidRPr="007D6B19" w:rsidRDefault="004A2817">
      <w:pPr>
        <w:pStyle w:val="NumberedList"/>
        <w:numPr>
          <w:ilvl w:val="1"/>
          <w:numId w:val="9"/>
        </w:numPr>
      </w:pPr>
      <w:r w:rsidRPr="007D6B19">
        <w:t>Other</w:t>
      </w:r>
    </w:p>
    <w:p w14:paraId="57CED216" w14:textId="77777777" w:rsidR="004A2817" w:rsidRDefault="004A2817" w:rsidP="1F262B26">
      <w:pPr>
        <w:pStyle w:val="Heading4"/>
      </w:pPr>
      <w:r>
        <w:t>Growth</w:t>
      </w:r>
    </w:p>
    <w:p w14:paraId="345E7933" w14:textId="77777777" w:rsidR="004A2817" w:rsidRPr="003D75B0" w:rsidRDefault="004A2817" w:rsidP="003D75B0">
      <w:pPr>
        <w:pStyle w:val="BodyTextPostHead"/>
        <w:rPr>
          <w:b/>
          <w:bCs/>
        </w:rPr>
      </w:pPr>
      <w:r w:rsidRPr="003D75B0">
        <w:rPr>
          <w:b/>
          <w:bCs/>
        </w:rPr>
        <w:t>Discussion Questions</w:t>
      </w:r>
    </w:p>
    <w:p w14:paraId="275C5FE3" w14:textId="77777777" w:rsidR="004A2817" w:rsidRDefault="004A2817">
      <w:pPr>
        <w:pStyle w:val="NumberedList"/>
        <w:numPr>
          <w:ilvl w:val="0"/>
          <w:numId w:val="20"/>
        </w:numPr>
      </w:pPr>
      <w:r>
        <w:t>When performance level and growth send different signals (e.g., low status but strong growth, or higher status but weak growth), which should matter more for DA eligibility, and why?</w:t>
      </w:r>
    </w:p>
    <w:p w14:paraId="1DD75073" w14:textId="77777777" w:rsidR="004A2817" w:rsidRDefault="004A2817" w:rsidP="003D75B0">
      <w:pPr>
        <w:pStyle w:val="NumberedList"/>
      </w:pPr>
      <w:r>
        <w:t>What do you see as the concerns and opportunities for using growth data?</w:t>
      </w:r>
    </w:p>
    <w:p w14:paraId="6835FC1B" w14:textId="77777777" w:rsidR="004A2817" w:rsidRPr="003D75B0" w:rsidRDefault="004A2817" w:rsidP="003D75B0">
      <w:pPr>
        <w:pStyle w:val="BodyText"/>
        <w:rPr>
          <w:b/>
          <w:bCs/>
        </w:rPr>
      </w:pPr>
      <w:r w:rsidRPr="003D75B0">
        <w:rPr>
          <w:b/>
          <w:bCs/>
        </w:rPr>
        <w:t>Poll Questions</w:t>
      </w:r>
    </w:p>
    <w:p w14:paraId="7A1577B7" w14:textId="77777777" w:rsidR="004A2817" w:rsidRDefault="004A2817">
      <w:pPr>
        <w:pStyle w:val="NumberedList"/>
        <w:numPr>
          <w:ilvl w:val="0"/>
          <w:numId w:val="21"/>
        </w:numPr>
      </w:pPr>
      <w:r>
        <w:t>Should growth be included in any capacity in DA eligibility determinations based on current data and system readiness?</w:t>
      </w:r>
    </w:p>
    <w:p w14:paraId="249E9481" w14:textId="77777777" w:rsidR="004A2817" w:rsidRDefault="004A2817">
      <w:pPr>
        <w:pStyle w:val="NumberedList"/>
        <w:numPr>
          <w:ilvl w:val="1"/>
          <w:numId w:val="9"/>
        </w:numPr>
      </w:pPr>
      <w:r>
        <w:t>Yes, for 2026</w:t>
      </w:r>
    </w:p>
    <w:p w14:paraId="72B3D76D" w14:textId="77777777" w:rsidR="004A2817" w:rsidRDefault="004A2817">
      <w:pPr>
        <w:pStyle w:val="NumberedList"/>
        <w:numPr>
          <w:ilvl w:val="1"/>
          <w:numId w:val="9"/>
        </w:numPr>
      </w:pPr>
      <w:r>
        <w:t>Yes, but it should be delayed</w:t>
      </w:r>
    </w:p>
    <w:p w14:paraId="785C6422" w14:textId="77777777" w:rsidR="004A2817" w:rsidRDefault="004A2817">
      <w:pPr>
        <w:pStyle w:val="NumberedList"/>
        <w:numPr>
          <w:ilvl w:val="1"/>
          <w:numId w:val="9"/>
        </w:numPr>
      </w:pPr>
      <w:r>
        <w:t>No, it should not be included</w:t>
      </w:r>
    </w:p>
    <w:p w14:paraId="0B7A7001" w14:textId="77777777" w:rsidR="004A2817" w:rsidRDefault="004A2817">
      <w:pPr>
        <w:pStyle w:val="NumberedList"/>
        <w:numPr>
          <w:ilvl w:val="1"/>
          <w:numId w:val="9"/>
        </w:numPr>
      </w:pPr>
      <w:r>
        <w:t>Other</w:t>
      </w:r>
    </w:p>
    <w:p w14:paraId="73278F62" w14:textId="77777777" w:rsidR="004A2817" w:rsidRDefault="004A2817" w:rsidP="003D75B0">
      <w:pPr>
        <w:pStyle w:val="NumberedList"/>
      </w:pPr>
      <w:r>
        <w:t>If you would like to see growth used, how would you like to see growth incorporated?</w:t>
      </w:r>
    </w:p>
    <w:p w14:paraId="4FB48535" w14:textId="77777777" w:rsidR="004A2817" w:rsidRDefault="004A2817">
      <w:pPr>
        <w:pStyle w:val="NumberedList"/>
        <w:numPr>
          <w:ilvl w:val="1"/>
          <w:numId w:val="9"/>
        </w:numPr>
      </w:pPr>
      <w:r>
        <w:t>As an additional state indicator</w:t>
      </w:r>
    </w:p>
    <w:p w14:paraId="5B671D97" w14:textId="10F934EB" w:rsidR="004A2817" w:rsidRDefault="004A2817">
      <w:pPr>
        <w:pStyle w:val="NumberedList"/>
        <w:numPr>
          <w:ilvl w:val="1"/>
          <w:numId w:val="9"/>
        </w:numPr>
      </w:pPr>
      <w:r>
        <w:t>Instead of the math/ELA 5x5</w:t>
      </w:r>
    </w:p>
    <w:p w14:paraId="1DE713CE" w14:textId="4F5674B2" w:rsidR="004A2817" w:rsidRDefault="004A2817">
      <w:pPr>
        <w:pStyle w:val="NumberedList"/>
        <w:numPr>
          <w:ilvl w:val="1"/>
          <w:numId w:val="9"/>
        </w:numPr>
      </w:pPr>
      <w:r>
        <w:t xml:space="preserve">With </w:t>
      </w:r>
      <w:proofErr w:type="gramStart"/>
      <w:r>
        <w:t>the math</w:t>
      </w:r>
      <w:proofErr w:type="gramEnd"/>
      <w:r>
        <w:t>/ELA 5x5 (e.g., a district would need to be in the red and low growth to be eligible)</w:t>
      </w:r>
    </w:p>
    <w:p w14:paraId="44EF9988" w14:textId="77777777" w:rsidR="004A2817" w:rsidRDefault="004A2817">
      <w:pPr>
        <w:pStyle w:val="NumberedList"/>
        <w:numPr>
          <w:ilvl w:val="1"/>
          <w:numId w:val="9"/>
        </w:numPr>
      </w:pPr>
      <w:r>
        <w:t>Other</w:t>
      </w:r>
    </w:p>
    <w:p w14:paraId="36E1CC20" w14:textId="005DCE9E" w:rsidR="004A2817" w:rsidRDefault="004A2817" w:rsidP="1F262B26">
      <w:pPr>
        <w:pStyle w:val="Heading4"/>
      </w:pPr>
      <w:r>
        <w:t>All Students Subgroup</w:t>
      </w:r>
    </w:p>
    <w:p w14:paraId="0F60B9AD" w14:textId="77777777" w:rsidR="004A2817" w:rsidRPr="003D75B0" w:rsidRDefault="004A2817" w:rsidP="003D75B0">
      <w:pPr>
        <w:pStyle w:val="BodyTextPostHead"/>
        <w:rPr>
          <w:b/>
          <w:bCs/>
        </w:rPr>
      </w:pPr>
      <w:r w:rsidRPr="003D75B0">
        <w:rPr>
          <w:b/>
          <w:bCs/>
        </w:rPr>
        <w:t>Discussion Questions</w:t>
      </w:r>
    </w:p>
    <w:p w14:paraId="0CBFD15B" w14:textId="1A989E98" w:rsidR="004A2817" w:rsidRPr="003D75B0" w:rsidRDefault="004A2817">
      <w:pPr>
        <w:pStyle w:val="NumberedList"/>
        <w:numPr>
          <w:ilvl w:val="0"/>
          <w:numId w:val="22"/>
        </w:numPr>
      </w:pPr>
      <w:r w:rsidRPr="003D75B0">
        <w:t xml:space="preserve">How effective might an </w:t>
      </w:r>
      <w:proofErr w:type="gramStart"/>
      <w:r w:rsidRPr="003D75B0">
        <w:t>All Students</w:t>
      </w:r>
      <w:proofErr w:type="gramEnd"/>
      <w:r w:rsidRPr="003D75B0">
        <w:t xml:space="preserve"> subgroup be for identifying LEAs that need support?</w:t>
      </w:r>
    </w:p>
    <w:p w14:paraId="35CF49AE" w14:textId="77777777" w:rsidR="004A2817" w:rsidRPr="003D75B0" w:rsidRDefault="004A2817" w:rsidP="003D75B0">
      <w:pPr>
        <w:pStyle w:val="NumberedList"/>
      </w:pPr>
      <w:r w:rsidRPr="003D75B0">
        <w:t>Are there other approaches the state should consider for ensuring that small LEAs receive the support they need?</w:t>
      </w:r>
    </w:p>
    <w:p w14:paraId="6C4A65D6" w14:textId="77777777" w:rsidR="004A2817" w:rsidRPr="003D75B0" w:rsidRDefault="004A2817" w:rsidP="00D15531">
      <w:pPr>
        <w:pStyle w:val="BodyText"/>
        <w:spacing w:after="80"/>
        <w:rPr>
          <w:b/>
          <w:bCs/>
        </w:rPr>
      </w:pPr>
      <w:r w:rsidRPr="003D75B0">
        <w:rPr>
          <w:b/>
          <w:bCs/>
        </w:rPr>
        <w:lastRenderedPageBreak/>
        <w:t>Poll Question</w:t>
      </w:r>
    </w:p>
    <w:p w14:paraId="7D31A379" w14:textId="2D7B2900" w:rsidR="004A2817" w:rsidRDefault="004A2817" w:rsidP="00D15531">
      <w:pPr>
        <w:pStyle w:val="NumberedList"/>
        <w:numPr>
          <w:ilvl w:val="0"/>
          <w:numId w:val="23"/>
        </w:numPr>
        <w:spacing w:before="80"/>
      </w:pPr>
      <w:r>
        <w:t xml:space="preserve">Should DA eligibility include an </w:t>
      </w:r>
      <w:proofErr w:type="gramStart"/>
      <w:r>
        <w:t>All Students</w:t>
      </w:r>
      <w:proofErr w:type="gramEnd"/>
      <w:r>
        <w:t xml:space="preserve"> subgroup?</w:t>
      </w:r>
    </w:p>
    <w:p w14:paraId="745945FA" w14:textId="77777777" w:rsidR="004A2817" w:rsidRDefault="004A2817" w:rsidP="00D15531">
      <w:pPr>
        <w:pStyle w:val="NumberedList"/>
        <w:numPr>
          <w:ilvl w:val="1"/>
          <w:numId w:val="9"/>
        </w:numPr>
        <w:spacing w:before="60" w:after="60"/>
      </w:pPr>
      <w:r>
        <w:t>Yes, for all districts</w:t>
      </w:r>
    </w:p>
    <w:p w14:paraId="1FDE6CC0" w14:textId="77777777" w:rsidR="004A2817" w:rsidRDefault="004A2817" w:rsidP="00D15531">
      <w:pPr>
        <w:pStyle w:val="NumberedList"/>
        <w:numPr>
          <w:ilvl w:val="1"/>
          <w:numId w:val="9"/>
        </w:numPr>
        <w:spacing w:before="60" w:after="60"/>
      </w:pPr>
      <w:r>
        <w:t>Yes, for small districts only</w:t>
      </w:r>
    </w:p>
    <w:p w14:paraId="32FECF01" w14:textId="77777777" w:rsidR="004A2817" w:rsidRDefault="004A2817" w:rsidP="00D15531">
      <w:pPr>
        <w:pStyle w:val="NumberedList"/>
        <w:numPr>
          <w:ilvl w:val="1"/>
          <w:numId w:val="9"/>
        </w:numPr>
        <w:spacing w:before="60" w:after="60"/>
      </w:pPr>
      <w:r>
        <w:t>No, stay with student groups only</w:t>
      </w:r>
    </w:p>
    <w:p w14:paraId="74581740" w14:textId="77777777" w:rsidR="004A2817" w:rsidRDefault="004A2817" w:rsidP="00D15531">
      <w:pPr>
        <w:pStyle w:val="NumberedList"/>
        <w:numPr>
          <w:ilvl w:val="1"/>
          <w:numId w:val="9"/>
        </w:numPr>
        <w:spacing w:before="60" w:after="60"/>
      </w:pPr>
      <w:r>
        <w:t>Other</w:t>
      </w:r>
    </w:p>
    <w:p w14:paraId="7280F3CC" w14:textId="77777777" w:rsidR="004A2817" w:rsidRDefault="004A2817" w:rsidP="1F262B26">
      <w:pPr>
        <w:pStyle w:val="Heading4"/>
        <w:rPr>
          <w:b w:val="0"/>
          <w:bCs/>
        </w:rPr>
      </w:pPr>
      <w:r>
        <w:t>Science</w:t>
      </w:r>
    </w:p>
    <w:p w14:paraId="5815DB8F" w14:textId="77777777" w:rsidR="004A2817" w:rsidRPr="003D75B0" w:rsidRDefault="004A2817" w:rsidP="00D15531">
      <w:pPr>
        <w:pStyle w:val="BodyTextPostHead"/>
        <w:spacing w:after="80"/>
        <w:rPr>
          <w:b/>
          <w:bCs/>
        </w:rPr>
      </w:pPr>
      <w:r w:rsidRPr="003D75B0">
        <w:rPr>
          <w:b/>
          <w:bCs/>
        </w:rPr>
        <w:t>Discussion Question</w:t>
      </w:r>
    </w:p>
    <w:p w14:paraId="5994DFEE" w14:textId="77777777" w:rsidR="004A2817" w:rsidRDefault="004A2817" w:rsidP="00D15531">
      <w:pPr>
        <w:pStyle w:val="NumberedList"/>
        <w:numPr>
          <w:ilvl w:val="0"/>
          <w:numId w:val="24"/>
        </w:numPr>
        <w:spacing w:before="80"/>
      </w:pPr>
      <w:r>
        <w:t>What do you see as the concerns and opportunities of adding science to DA eligibility criteria?</w:t>
      </w:r>
    </w:p>
    <w:p w14:paraId="3F5F8547" w14:textId="77777777" w:rsidR="004A2817" w:rsidRPr="003D75B0" w:rsidRDefault="004A2817" w:rsidP="00D15531">
      <w:pPr>
        <w:pStyle w:val="BodyText"/>
        <w:spacing w:after="80"/>
        <w:rPr>
          <w:b/>
          <w:bCs/>
        </w:rPr>
      </w:pPr>
      <w:r w:rsidRPr="003D75B0">
        <w:rPr>
          <w:b/>
          <w:bCs/>
        </w:rPr>
        <w:t>Poll Question</w:t>
      </w:r>
    </w:p>
    <w:p w14:paraId="4E88CA23" w14:textId="68E0A2AA" w:rsidR="004A2817" w:rsidRDefault="004A2817" w:rsidP="00D15531">
      <w:pPr>
        <w:pStyle w:val="NumberedList"/>
        <w:numPr>
          <w:ilvl w:val="0"/>
          <w:numId w:val="25"/>
        </w:numPr>
        <w:spacing w:before="80"/>
      </w:pPr>
      <w:r>
        <w:t>Should science be included as part of the DA eligibility criteria alongside ELA and math?</w:t>
      </w:r>
    </w:p>
    <w:p w14:paraId="70BF7648" w14:textId="77777777" w:rsidR="004A2817" w:rsidRDefault="004A2817" w:rsidP="00D15531">
      <w:pPr>
        <w:pStyle w:val="NumberedList"/>
        <w:numPr>
          <w:ilvl w:val="1"/>
          <w:numId w:val="9"/>
        </w:numPr>
        <w:spacing w:before="60" w:after="60"/>
      </w:pPr>
      <w:r>
        <w:t>Yes, for 2026</w:t>
      </w:r>
    </w:p>
    <w:p w14:paraId="7C2992A0" w14:textId="77777777" w:rsidR="004A2817" w:rsidRDefault="004A2817" w:rsidP="00D15531">
      <w:pPr>
        <w:pStyle w:val="NumberedList"/>
        <w:numPr>
          <w:ilvl w:val="1"/>
          <w:numId w:val="9"/>
        </w:numPr>
        <w:spacing w:before="60" w:after="60"/>
      </w:pPr>
      <w:r>
        <w:t>Yes, starting next cycle (2029)</w:t>
      </w:r>
    </w:p>
    <w:p w14:paraId="61EB08AC" w14:textId="77777777" w:rsidR="004A2817" w:rsidRDefault="004A2817" w:rsidP="00D15531">
      <w:pPr>
        <w:pStyle w:val="NumberedList"/>
        <w:numPr>
          <w:ilvl w:val="1"/>
          <w:numId w:val="9"/>
        </w:numPr>
        <w:spacing w:before="60" w:after="60"/>
      </w:pPr>
      <w:r>
        <w:t>No</w:t>
      </w:r>
    </w:p>
    <w:p w14:paraId="10B894C4" w14:textId="77777777" w:rsidR="004A2817" w:rsidRDefault="004A2817" w:rsidP="00D15531">
      <w:pPr>
        <w:pStyle w:val="NumberedList"/>
        <w:numPr>
          <w:ilvl w:val="1"/>
          <w:numId w:val="9"/>
        </w:numPr>
        <w:spacing w:before="60" w:after="60"/>
      </w:pPr>
      <w:r>
        <w:t>Other</w:t>
      </w:r>
    </w:p>
    <w:p w14:paraId="142FD45C" w14:textId="0CCD4068" w:rsidR="004A2817" w:rsidRDefault="004A2817" w:rsidP="1F262B26">
      <w:pPr>
        <w:pStyle w:val="Heading4"/>
      </w:pPr>
      <w:r>
        <w:t>Other Design Features—CALPADS</w:t>
      </w:r>
    </w:p>
    <w:p w14:paraId="09F286E5" w14:textId="77777777" w:rsidR="004A2817" w:rsidRPr="00285E77" w:rsidRDefault="004A2817" w:rsidP="00D15531">
      <w:pPr>
        <w:pStyle w:val="BodyTextPostHead"/>
        <w:spacing w:after="80"/>
        <w:rPr>
          <w:b/>
          <w:bCs/>
        </w:rPr>
      </w:pPr>
      <w:r w:rsidRPr="00285E77">
        <w:rPr>
          <w:b/>
          <w:bCs/>
        </w:rPr>
        <w:t>Discussion Question</w:t>
      </w:r>
    </w:p>
    <w:p w14:paraId="382DBEE2" w14:textId="77777777" w:rsidR="004A2817" w:rsidRDefault="004A2817" w:rsidP="00D15531">
      <w:pPr>
        <w:pStyle w:val="NumberedList"/>
        <w:numPr>
          <w:ilvl w:val="0"/>
          <w:numId w:val="26"/>
        </w:numPr>
        <w:spacing w:before="80"/>
      </w:pPr>
      <w:r>
        <w:t>Should submission of CALPADS and local indicators data continue to factor into DA eligibility, or should they play a different role within the broader improvement system?</w:t>
      </w:r>
    </w:p>
    <w:p w14:paraId="4E00A6B6" w14:textId="77777777" w:rsidR="004A2817" w:rsidRPr="00285E77" w:rsidRDefault="004A2817" w:rsidP="00D15531">
      <w:pPr>
        <w:pStyle w:val="BodyText"/>
        <w:spacing w:after="80"/>
        <w:rPr>
          <w:b/>
          <w:bCs/>
        </w:rPr>
      </w:pPr>
      <w:r w:rsidRPr="00285E77">
        <w:rPr>
          <w:b/>
          <w:bCs/>
        </w:rPr>
        <w:t>Poll Question</w:t>
      </w:r>
    </w:p>
    <w:p w14:paraId="0A088051" w14:textId="77777777" w:rsidR="004A2817" w:rsidRPr="00285E77" w:rsidRDefault="004A2817" w:rsidP="00D15531">
      <w:pPr>
        <w:pStyle w:val="NumberedList"/>
        <w:numPr>
          <w:ilvl w:val="0"/>
          <w:numId w:val="27"/>
        </w:numPr>
        <w:spacing w:before="80"/>
      </w:pPr>
      <w:r>
        <w:t xml:space="preserve">Should CALPADS-related submission delays continue </w:t>
      </w:r>
      <w:r w:rsidRPr="00285E77">
        <w:t>to be part of DA eligibility?</w:t>
      </w:r>
    </w:p>
    <w:p w14:paraId="032F61FF" w14:textId="77777777" w:rsidR="004A2817" w:rsidRPr="00285E77" w:rsidRDefault="004A2817" w:rsidP="00D15531">
      <w:pPr>
        <w:pStyle w:val="NumberedList"/>
        <w:numPr>
          <w:ilvl w:val="1"/>
          <w:numId w:val="9"/>
        </w:numPr>
        <w:spacing w:before="60" w:after="60"/>
      </w:pPr>
      <w:r w:rsidRPr="00285E77">
        <w:t>Yes</w:t>
      </w:r>
    </w:p>
    <w:p w14:paraId="4BCF1A73" w14:textId="77777777" w:rsidR="004A2817" w:rsidRPr="00285E77" w:rsidRDefault="004A2817" w:rsidP="00D15531">
      <w:pPr>
        <w:pStyle w:val="NumberedList"/>
        <w:numPr>
          <w:ilvl w:val="1"/>
          <w:numId w:val="9"/>
        </w:numPr>
        <w:spacing w:before="60" w:after="60"/>
      </w:pPr>
      <w:r w:rsidRPr="00285E77">
        <w:t>No, better supported through technical assistance</w:t>
      </w:r>
    </w:p>
    <w:p w14:paraId="63368B10" w14:textId="77777777" w:rsidR="004A2817" w:rsidRPr="00285E77" w:rsidRDefault="004A2817" w:rsidP="00D15531">
      <w:pPr>
        <w:pStyle w:val="NumberedList"/>
        <w:numPr>
          <w:ilvl w:val="1"/>
          <w:numId w:val="9"/>
        </w:numPr>
        <w:spacing w:before="60" w:after="60"/>
      </w:pPr>
      <w:r w:rsidRPr="00285E77">
        <w:t>Other</w:t>
      </w:r>
    </w:p>
    <w:p w14:paraId="3E81DB20" w14:textId="77777777" w:rsidR="004A2817" w:rsidRDefault="004A2817" w:rsidP="1F262B26">
      <w:pPr>
        <w:pStyle w:val="Heading4"/>
      </w:pPr>
      <w:r>
        <w:t>Direct Technical Assistance</w:t>
      </w:r>
    </w:p>
    <w:p w14:paraId="16C02D33" w14:textId="77777777" w:rsidR="004A2817" w:rsidRPr="00285E77" w:rsidRDefault="004A2817" w:rsidP="00D15531">
      <w:pPr>
        <w:pStyle w:val="BodyTextPostHead"/>
        <w:spacing w:after="80"/>
        <w:rPr>
          <w:b/>
          <w:bCs/>
        </w:rPr>
      </w:pPr>
      <w:r w:rsidRPr="00285E77">
        <w:rPr>
          <w:b/>
          <w:bCs/>
        </w:rPr>
        <w:t>Discussion Questions</w:t>
      </w:r>
    </w:p>
    <w:p w14:paraId="6592B772" w14:textId="73D53C5E" w:rsidR="004A2817" w:rsidRPr="00285E77" w:rsidRDefault="004A2817" w:rsidP="00D15531">
      <w:pPr>
        <w:pStyle w:val="NumberedList"/>
        <w:numPr>
          <w:ilvl w:val="0"/>
          <w:numId w:val="28"/>
        </w:numPr>
        <w:spacing w:after="80"/>
      </w:pPr>
      <w:r>
        <w:t xml:space="preserve">Is there anything you would like to share around current DTA </w:t>
      </w:r>
      <w:r w:rsidRPr="00285E77">
        <w:t>criteria?</w:t>
      </w:r>
    </w:p>
    <w:p w14:paraId="489479EA" w14:textId="392C97CB" w:rsidR="004A2817" w:rsidRPr="00285E77" w:rsidRDefault="004A2817" w:rsidP="00285E77">
      <w:pPr>
        <w:pStyle w:val="NumberedList"/>
      </w:pPr>
      <w:r w:rsidRPr="00285E77">
        <w:t>How do you currently experience DTA in relation to DA? (for LEAs and charters only)</w:t>
      </w:r>
    </w:p>
    <w:p w14:paraId="0315D643" w14:textId="77777777" w:rsidR="004A2817" w:rsidRDefault="004A2817" w:rsidP="00285E77">
      <w:pPr>
        <w:pStyle w:val="NumberedList"/>
      </w:pPr>
      <w:r w:rsidRPr="00285E77">
        <w:t>How does overlapping DA and DTA criteria eligibility affect</w:t>
      </w:r>
      <w:r>
        <w:t xml:space="preserve"> your ability to support districts? (for COEs only)</w:t>
      </w:r>
    </w:p>
    <w:p w14:paraId="77C96A0E" w14:textId="77777777" w:rsidR="004A2817" w:rsidRPr="00285E77" w:rsidRDefault="004A2817" w:rsidP="00285E77">
      <w:pPr>
        <w:pStyle w:val="BodyText"/>
        <w:rPr>
          <w:b/>
          <w:bCs/>
        </w:rPr>
      </w:pPr>
      <w:r w:rsidRPr="00285E77">
        <w:rPr>
          <w:b/>
          <w:bCs/>
        </w:rPr>
        <w:lastRenderedPageBreak/>
        <w:t xml:space="preserve">Poll Question </w:t>
      </w:r>
    </w:p>
    <w:p w14:paraId="04F69141" w14:textId="52A1D195" w:rsidR="004A2817" w:rsidRDefault="004A2817">
      <w:pPr>
        <w:pStyle w:val="NumberedList"/>
        <w:numPr>
          <w:ilvl w:val="0"/>
          <w:numId w:val="29"/>
        </w:numPr>
      </w:pPr>
      <w:r>
        <w:t>As DA eligibility becomes more targeted, how should DA and DTA relate to one another?</w:t>
      </w:r>
    </w:p>
    <w:p w14:paraId="022F1FE4" w14:textId="7EC8218E" w:rsidR="004A2817" w:rsidRDefault="004A2817">
      <w:pPr>
        <w:pStyle w:val="NumberedList"/>
        <w:numPr>
          <w:ilvl w:val="1"/>
          <w:numId w:val="9"/>
        </w:numPr>
      </w:pPr>
      <w:r>
        <w:t>They should continue to have the potential to overlap but be better aligned</w:t>
      </w:r>
    </w:p>
    <w:p w14:paraId="64E726EC" w14:textId="1AD28E8F" w:rsidR="004A2817" w:rsidRDefault="004A2817">
      <w:pPr>
        <w:pStyle w:val="NumberedList"/>
        <w:numPr>
          <w:ilvl w:val="1"/>
          <w:numId w:val="9"/>
        </w:numPr>
      </w:pPr>
      <w:proofErr w:type="gramStart"/>
      <w:r>
        <w:t>An</w:t>
      </w:r>
      <w:proofErr w:type="gramEnd"/>
      <w:r>
        <w:t xml:space="preserve"> LEA should only be eligible for one type of support at a time</w:t>
      </w:r>
    </w:p>
    <w:p w14:paraId="12CD1550" w14:textId="77777777" w:rsidR="004A2817" w:rsidRDefault="004A2817">
      <w:pPr>
        <w:pStyle w:val="NumberedList"/>
        <w:numPr>
          <w:ilvl w:val="1"/>
          <w:numId w:val="9"/>
        </w:numPr>
      </w:pPr>
      <w:r>
        <w:t>Other</w:t>
      </w:r>
    </w:p>
    <w:p w14:paraId="60B765EB" w14:textId="5EBC4A7B" w:rsidR="004A2817" w:rsidRDefault="004A2817" w:rsidP="1F262B26">
      <w:pPr>
        <w:pStyle w:val="Heading4"/>
      </w:pPr>
      <w:r>
        <w:t>DASS- and COE-Specific Eligibility Design</w:t>
      </w:r>
    </w:p>
    <w:p w14:paraId="76CDC9A0" w14:textId="77777777" w:rsidR="004A2817" w:rsidRPr="00285E77" w:rsidRDefault="004A2817" w:rsidP="00285E77">
      <w:pPr>
        <w:pStyle w:val="BodyTextPostHead"/>
        <w:rPr>
          <w:b/>
          <w:bCs/>
        </w:rPr>
      </w:pPr>
      <w:r w:rsidRPr="00285E77">
        <w:rPr>
          <w:b/>
          <w:bCs/>
        </w:rPr>
        <w:t>Discussion Question</w:t>
      </w:r>
    </w:p>
    <w:p w14:paraId="4FBCF67C" w14:textId="77777777" w:rsidR="004A2817" w:rsidRDefault="004A2817">
      <w:pPr>
        <w:pStyle w:val="NumberedList"/>
        <w:numPr>
          <w:ilvl w:val="0"/>
          <w:numId w:val="30"/>
        </w:numPr>
      </w:pPr>
      <w:r>
        <w:t>Given the challenges inherent to serving highly mobile students at DASS and COE schools, how do you think the criteria could shift to more fairly identify DASS for DA eligibility?</w:t>
      </w:r>
    </w:p>
    <w:p w14:paraId="1F48DA86" w14:textId="77777777" w:rsidR="004A2817" w:rsidRPr="00285E77" w:rsidRDefault="004A2817" w:rsidP="00285E77">
      <w:pPr>
        <w:pStyle w:val="BodyText"/>
        <w:rPr>
          <w:b/>
          <w:bCs/>
        </w:rPr>
      </w:pPr>
      <w:r w:rsidRPr="00285E77">
        <w:rPr>
          <w:b/>
          <w:bCs/>
        </w:rPr>
        <w:t>Note: No poll question for this focus area</w:t>
      </w:r>
    </w:p>
    <w:p w14:paraId="48F41A99" w14:textId="77777777" w:rsidR="004A2817" w:rsidRDefault="004A2817" w:rsidP="1F262B26">
      <w:pPr>
        <w:pStyle w:val="Heading4"/>
      </w:pPr>
      <w:r>
        <w:t>Closing Poll Questions</w:t>
      </w:r>
    </w:p>
    <w:p w14:paraId="57AD4A34" w14:textId="77777777" w:rsidR="004A2817" w:rsidRPr="00285E77" w:rsidRDefault="004A2817">
      <w:pPr>
        <w:pStyle w:val="NumberedList"/>
        <w:numPr>
          <w:ilvl w:val="0"/>
          <w:numId w:val="31"/>
        </w:numPr>
      </w:pPr>
      <w:r>
        <w:t xml:space="preserve">Please rank the top five DA focus areas you think should </w:t>
      </w:r>
      <w:r w:rsidRPr="00285E77">
        <w:t>contribute to the state’s DA eligibility criteria.</w:t>
      </w:r>
    </w:p>
    <w:p w14:paraId="2E0498F0" w14:textId="77777777" w:rsidR="004A2817" w:rsidRPr="00285E77" w:rsidRDefault="004A2817">
      <w:pPr>
        <w:pStyle w:val="NumberedList"/>
        <w:numPr>
          <w:ilvl w:val="1"/>
          <w:numId w:val="9"/>
        </w:numPr>
      </w:pPr>
      <w:r w:rsidRPr="00285E77">
        <w:t>Number of years of eligibility</w:t>
      </w:r>
    </w:p>
    <w:p w14:paraId="016C062F" w14:textId="77777777" w:rsidR="004A2817" w:rsidRPr="00285E77" w:rsidRDefault="004A2817">
      <w:pPr>
        <w:pStyle w:val="NumberedList"/>
        <w:numPr>
          <w:ilvl w:val="1"/>
          <w:numId w:val="9"/>
        </w:numPr>
      </w:pPr>
      <w:r w:rsidRPr="00285E77">
        <w:t>Separating state indicators from LCFF priority groups</w:t>
      </w:r>
    </w:p>
    <w:p w14:paraId="2835E822" w14:textId="77777777" w:rsidR="004A2817" w:rsidRPr="00285E77" w:rsidRDefault="004A2817">
      <w:pPr>
        <w:pStyle w:val="NumberedList"/>
        <w:numPr>
          <w:ilvl w:val="1"/>
          <w:numId w:val="9"/>
        </w:numPr>
      </w:pPr>
      <w:r w:rsidRPr="00285E77">
        <w:t>Growth</w:t>
      </w:r>
    </w:p>
    <w:p w14:paraId="37171687" w14:textId="59049CFF" w:rsidR="004A2817" w:rsidRPr="00285E77" w:rsidRDefault="004A2817">
      <w:pPr>
        <w:pStyle w:val="NumberedList"/>
        <w:numPr>
          <w:ilvl w:val="1"/>
          <w:numId w:val="9"/>
        </w:numPr>
      </w:pPr>
      <w:r w:rsidRPr="00285E77">
        <w:t>All Students subgroup</w:t>
      </w:r>
    </w:p>
    <w:p w14:paraId="0BC80489" w14:textId="77777777" w:rsidR="004A2817" w:rsidRPr="00285E77" w:rsidRDefault="004A2817">
      <w:pPr>
        <w:pStyle w:val="NumberedList"/>
        <w:numPr>
          <w:ilvl w:val="1"/>
          <w:numId w:val="9"/>
        </w:numPr>
      </w:pPr>
      <w:r w:rsidRPr="00285E77">
        <w:t>Science</w:t>
      </w:r>
    </w:p>
    <w:p w14:paraId="1362C294" w14:textId="4101840D" w:rsidR="004A2817" w:rsidRPr="00285E77" w:rsidRDefault="004A2817">
      <w:pPr>
        <w:pStyle w:val="NumberedList"/>
        <w:numPr>
          <w:ilvl w:val="1"/>
          <w:numId w:val="9"/>
        </w:numPr>
      </w:pPr>
      <w:r w:rsidRPr="00285E77">
        <w:t>Other design features (CALPADS, timing)</w:t>
      </w:r>
    </w:p>
    <w:p w14:paraId="4ECF7431" w14:textId="77777777" w:rsidR="004A2817" w:rsidRPr="00285E77" w:rsidRDefault="004A2817">
      <w:pPr>
        <w:pStyle w:val="NumberedList"/>
        <w:numPr>
          <w:ilvl w:val="1"/>
          <w:numId w:val="9"/>
        </w:numPr>
      </w:pPr>
      <w:r w:rsidRPr="00285E77">
        <w:t>Direct Technical Assistance (DTA)</w:t>
      </w:r>
    </w:p>
    <w:p w14:paraId="07A96022" w14:textId="77777777" w:rsidR="004A2817" w:rsidRPr="00285E77" w:rsidRDefault="004A2817">
      <w:pPr>
        <w:pStyle w:val="NumberedList"/>
        <w:numPr>
          <w:ilvl w:val="1"/>
          <w:numId w:val="9"/>
        </w:numPr>
      </w:pPr>
      <w:r w:rsidRPr="00285E77">
        <w:t xml:space="preserve">DASS- and COE-specific eligibility design </w:t>
      </w:r>
    </w:p>
    <w:p w14:paraId="07D9B426" w14:textId="3920327A" w:rsidR="004A2817" w:rsidRPr="00285E77" w:rsidRDefault="004A2817" w:rsidP="00285E77">
      <w:pPr>
        <w:pStyle w:val="NumberedList"/>
      </w:pPr>
      <w:r w:rsidRPr="00285E77">
        <w:t>Is there another area you feel is important to consider that was not discussed today?</w:t>
      </w:r>
    </w:p>
    <w:p w14:paraId="45E0C755" w14:textId="77777777" w:rsidR="004A2817" w:rsidRPr="00E25A09" w:rsidRDefault="004A2817" w:rsidP="00285E77">
      <w:pPr>
        <w:pStyle w:val="NumberedList"/>
      </w:pPr>
      <w:r w:rsidRPr="00285E77">
        <w:t>Are there any final thoughts you’d like to share based on our</w:t>
      </w:r>
      <w:r>
        <w:t xml:space="preserve"> discussion today?</w:t>
      </w:r>
    </w:p>
    <w:p w14:paraId="6DB698DF" w14:textId="77777777" w:rsidR="009B2B03" w:rsidRDefault="009B2B03" w:rsidP="000A38AA">
      <w:pPr>
        <w:pStyle w:val="BodyText"/>
      </w:pPr>
    </w:p>
    <w:p w14:paraId="7656CF04" w14:textId="77777777" w:rsidR="004A2817" w:rsidRDefault="004A2817" w:rsidP="000A38AA">
      <w:pPr>
        <w:pStyle w:val="BodyText"/>
      </w:pPr>
    </w:p>
    <w:p w14:paraId="11139DD3" w14:textId="77777777" w:rsidR="00AB735D" w:rsidRDefault="00AB735D" w:rsidP="000A38AA">
      <w:pPr>
        <w:pStyle w:val="BodyText"/>
        <w:sectPr w:rsidR="00AB735D" w:rsidSect="00A002AF">
          <w:pgSz w:w="12240" w:h="15840"/>
          <w:pgMar w:top="1080" w:right="1080" w:bottom="1080" w:left="1080" w:header="720" w:footer="634" w:gutter="0"/>
          <w:pgNumType w:start="1"/>
          <w:cols w:space="720"/>
          <w:docGrid w:linePitch="360"/>
        </w:sectPr>
      </w:pPr>
    </w:p>
    <w:p w14:paraId="389A500A" w14:textId="77777777" w:rsidR="00AB735D" w:rsidRDefault="00AB735D" w:rsidP="00AB735D">
      <w:pPr>
        <w:pStyle w:val="CoverBackTopSpacer"/>
        <w:spacing w:after="8520"/>
      </w:pPr>
      <w:r>
        <w:rPr>
          <w:noProof/>
        </w:rPr>
        <w:lastRenderedPageBreak/>
        <w:drawing>
          <wp:anchor distT="0" distB="0" distL="114300" distR="114300" simplePos="0" relativeHeight="251659264" behindDoc="1" locked="0" layoutInCell="1" allowOverlap="1" wp14:anchorId="2A982518" wp14:editId="29D3C6A3">
            <wp:simplePos x="0" y="0"/>
            <wp:positionH relativeFrom="column">
              <wp:posOffset>-914400</wp:posOffset>
            </wp:positionH>
            <wp:positionV relativeFrom="paragraph">
              <wp:posOffset>1814</wp:posOffset>
            </wp:positionV>
            <wp:extent cx="7773035" cy="1005903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773035" cy="10059035"/>
                    </a:xfrm>
                    <a:prstGeom prst="rect">
                      <a:avLst/>
                    </a:prstGeom>
                    <a:noFill/>
                  </pic:spPr>
                </pic:pic>
              </a:graphicData>
            </a:graphic>
          </wp:anchor>
        </w:drawing>
      </w:r>
    </w:p>
    <w:p w14:paraId="12FD65CE" w14:textId="77777777" w:rsidR="00AB735D" w:rsidRPr="00AB735D" w:rsidRDefault="00AB735D" w:rsidP="00AB735D">
      <w:pPr>
        <w:pStyle w:val="CoverBackText"/>
      </w:pPr>
      <w:r w:rsidRPr="00AB735D">
        <w:t xml:space="preserve">Notice of Trademark: “American Institutes for Research” and “AIR” are registered trademarks. All other </w:t>
      </w:r>
      <w:proofErr w:type="gramStart"/>
      <w:r w:rsidRPr="00AB735D">
        <w:t>brand</w:t>
      </w:r>
      <w:proofErr w:type="gramEnd"/>
      <w:r w:rsidRPr="00AB735D">
        <w:t xml:space="preserve">, </w:t>
      </w:r>
      <w:proofErr w:type="gramStart"/>
      <w:r w:rsidRPr="00AB735D">
        <w:t>product</w:t>
      </w:r>
      <w:proofErr w:type="gramEnd"/>
      <w:r w:rsidRPr="00AB735D">
        <w:t>, or company names are trademarks or registered trademarks of their respective owners.</w:t>
      </w:r>
    </w:p>
    <w:p w14:paraId="1E373EF8" w14:textId="7233CF05" w:rsidR="000213F5" w:rsidRPr="000213F5" w:rsidRDefault="00D767E2" w:rsidP="000213F5">
      <w:pPr>
        <w:pStyle w:val="CoverBackText"/>
        <w:rPr>
          <w:spacing w:val="-2"/>
        </w:rPr>
      </w:pPr>
      <w:bookmarkStart w:id="33" w:name="_Hlk33795616"/>
      <w:r w:rsidRPr="00273498">
        <w:t xml:space="preserve">The contents of this </w:t>
      </w:r>
      <w:r>
        <w:t>document</w:t>
      </w:r>
      <w:r w:rsidRPr="00273498">
        <w:t xml:space="preserve"> were developed under a grant from the U.S. Department of Education (Department). The Department does not mandate or prescribe practices, models, or other activities described or discussed in this document. The contents of this </w:t>
      </w:r>
      <w:r>
        <w:t>document</w:t>
      </w:r>
      <w:r w:rsidRPr="00273498">
        <w:t xml:space="preserve"> may contain examples </w:t>
      </w:r>
      <w:proofErr w:type="gramStart"/>
      <w:r w:rsidRPr="00273498">
        <w:t>of,</w:t>
      </w:r>
      <w:proofErr w:type="gramEnd"/>
      <w:r w:rsidRPr="00273498">
        <w:t xml:space="preserve"> adaptations of, and links to resources created and maintained by another public or private organization. The Department does not control or guarantee the accuracy, relevance, timeliness, or completeness of this outside information. The content of this </w:t>
      </w:r>
      <w:r>
        <w:t>document</w:t>
      </w:r>
      <w:r w:rsidRPr="00273498">
        <w:t xml:space="preserve"> does not necessarily represent the policy of the Department. This </w:t>
      </w:r>
      <w:r>
        <w:t>publication</w:t>
      </w:r>
      <w:r w:rsidRPr="00273498">
        <w:t xml:space="preserve"> is not intended to represent the views or policy of, or be an endorsement of any </w:t>
      </w:r>
      <w:proofErr w:type="gramStart"/>
      <w:r w:rsidRPr="00273498">
        <w:t>views</w:t>
      </w:r>
      <w:proofErr w:type="gramEnd"/>
      <w:r w:rsidRPr="00273498">
        <w:t xml:space="preserve"> expressed, or materials provided by, any Federal agency.</w:t>
      </w:r>
      <w:r>
        <w:t xml:space="preserve"> </w:t>
      </w:r>
      <w:r w:rsidR="003971D7">
        <w:br/>
      </w:r>
      <w:r w:rsidRPr="00273498">
        <w:t>© 20</w:t>
      </w:r>
      <w:r w:rsidR="00F8504B">
        <w:t>26</w:t>
      </w:r>
      <w:r w:rsidRPr="00273498">
        <w:t xml:space="preserve"> American Institutes for Research</w:t>
      </w:r>
      <w:r w:rsidRPr="00273498">
        <w:rPr>
          <w:vertAlign w:val="superscript"/>
        </w:rPr>
        <w:t>®</w:t>
      </w:r>
      <w:r w:rsidRPr="00273498">
        <w:t>.</w:t>
      </w:r>
    </w:p>
    <w:bookmarkStart w:id="34" w:name="_Hlk78380428"/>
    <w:bookmarkEnd w:id="33"/>
    <w:p w14:paraId="48776D3C" w14:textId="77777777" w:rsidR="008A4E7D" w:rsidRPr="00F32AC8" w:rsidRDefault="008A4E7D" w:rsidP="008A4E7D">
      <w:pPr>
        <w:pStyle w:val="CoverBackAIRlogo"/>
        <w:spacing w:before="720"/>
      </w:pPr>
      <w:r>
        <mc:AlternateContent>
          <mc:Choice Requires="wpg">
            <w:drawing>
              <wp:inline distT="0" distB="0" distL="0" distR="0" wp14:anchorId="3C78288B" wp14:editId="68B8215A">
                <wp:extent cx="4000500" cy="685165"/>
                <wp:effectExtent l="0" t="0" r="0" b="19685"/>
                <wp:docPr id="26" name="Group 26"/>
                <wp:cNvGraphicFramePr/>
                <a:graphic xmlns:a="http://schemas.openxmlformats.org/drawingml/2006/main">
                  <a:graphicData uri="http://schemas.microsoft.com/office/word/2010/wordprocessingGroup">
                    <wpg:wgp>
                      <wpg:cNvGrpSpPr/>
                      <wpg:grpSpPr>
                        <a:xfrm>
                          <a:off x="0" y="0"/>
                          <a:ext cx="4000500" cy="685165"/>
                          <a:chOff x="0" y="0"/>
                          <a:chExt cx="4000500" cy="685165"/>
                        </a:xfrm>
                      </wpg:grpSpPr>
                      <wps:wsp>
                        <wps:cNvPr id="27" name="TextBox 70"/>
                        <wps:cNvSpPr txBox="1"/>
                        <wps:spPr>
                          <a:xfrm>
                            <a:off x="1911096" y="0"/>
                            <a:ext cx="2089404" cy="685165"/>
                          </a:xfrm>
                          <a:prstGeom prst="rect">
                            <a:avLst/>
                          </a:prstGeom>
                          <a:noFill/>
                        </wps:spPr>
                        <wps:txbx>
                          <w:txbxContent>
                            <w:p w14:paraId="4DA6A204" w14:textId="77777777" w:rsidR="008A4E7D" w:rsidRPr="00983C61" w:rsidRDefault="008A4E7D" w:rsidP="008A4E7D">
                              <w:pPr>
                                <w:rPr>
                                  <w:rFonts w:cs="Calibri"/>
                                  <w:color w:val="FFFFFF" w:themeColor="background1"/>
                                  <w:kern w:val="24"/>
                                  <w:sz w:val="20"/>
                                  <w:szCs w:val="20"/>
                                </w:rPr>
                              </w:pPr>
                              <w:r w:rsidRPr="00983C61">
                                <w:rPr>
                                  <w:rFonts w:cs="Calibri"/>
                                  <w:color w:val="FFFFFF" w:themeColor="background1"/>
                                  <w:kern w:val="24"/>
                                  <w:sz w:val="20"/>
                                  <w:szCs w:val="20"/>
                                </w:rPr>
                                <w:t>American Institutes for Research</w:t>
                              </w:r>
                              <w:r w:rsidRPr="00455361">
                                <w:rPr>
                                  <w:rFonts w:cs="Calibri"/>
                                  <w:color w:val="FFFFFF" w:themeColor="background1"/>
                                  <w:kern w:val="24"/>
                                  <w:sz w:val="20"/>
                                  <w:szCs w:val="20"/>
                                  <w:vertAlign w:val="superscript"/>
                                </w:rPr>
                                <w:t>®</w:t>
                              </w:r>
                            </w:p>
                            <w:p w14:paraId="0CA24162" w14:textId="77777777" w:rsidR="008A4E7D" w:rsidRPr="00983C61" w:rsidRDefault="008A4E7D" w:rsidP="008A4E7D">
                              <w:pPr>
                                <w:rPr>
                                  <w:rFonts w:eastAsia="Calibri" w:cs="Calibri"/>
                                  <w:color w:val="FFFFFF" w:themeColor="background1"/>
                                  <w:kern w:val="24"/>
                                  <w:sz w:val="20"/>
                                  <w:szCs w:val="20"/>
                                </w:rPr>
                              </w:pPr>
                              <w:r w:rsidRPr="00983C61">
                                <w:rPr>
                                  <w:rFonts w:eastAsia="Calibri" w:cs="Calibri"/>
                                  <w:color w:val="FFFFFF" w:themeColor="background1"/>
                                  <w:kern w:val="24"/>
                                  <w:sz w:val="20"/>
                                  <w:szCs w:val="20"/>
                                </w:rPr>
                                <w:t xml:space="preserve">1400 Crystal Drive, 10th Floor </w:t>
                              </w:r>
                            </w:p>
                            <w:p w14:paraId="47B2FC7B" w14:textId="77777777" w:rsidR="008A4E7D" w:rsidRPr="00983C61" w:rsidRDefault="008A4E7D" w:rsidP="008A4E7D">
                              <w:pPr>
                                <w:rPr>
                                  <w:rFonts w:eastAsia="Calibri" w:cs="Calibri"/>
                                  <w:color w:val="FFFFFF" w:themeColor="background1"/>
                                  <w:kern w:val="24"/>
                                  <w:sz w:val="20"/>
                                  <w:szCs w:val="20"/>
                                </w:rPr>
                              </w:pPr>
                              <w:r w:rsidRPr="00983C61">
                                <w:rPr>
                                  <w:rFonts w:eastAsia="Calibri" w:cs="Calibri"/>
                                  <w:color w:val="FFFFFF" w:themeColor="background1"/>
                                  <w:kern w:val="24"/>
                                  <w:sz w:val="20"/>
                                  <w:szCs w:val="20"/>
                                </w:rPr>
                                <w:t>Arlington, VA 22202-3289</w:t>
                              </w:r>
                            </w:p>
                            <w:p w14:paraId="388CD725" w14:textId="77777777" w:rsidR="008A4E7D" w:rsidRPr="00983C61" w:rsidRDefault="008A4E7D" w:rsidP="008A4E7D">
                              <w:pPr>
                                <w:rPr>
                                  <w:rFonts w:eastAsia="Calibri" w:cs="Calibri"/>
                                  <w:color w:val="FFFFFF" w:themeColor="background1"/>
                                  <w:kern w:val="24"/>
                                  <w:sz w:val="20"/>
                                  <w:szCs w:val="20"/>
                                </w:rPr>
                              </w:pPr>
                              <w:r w:rsidRPr="00983C61">
                                <w:rPr>
                                  <w:rFonts w:eastAsia="Calibri" w:cs="Calibri"/>
                                  <w:color w:val="FFFFFF" w:themeColor="background1"/>
                                  <w:kern w:val="24"/>
                                  <w:sz w:val="20"/>
                                  <w:szCs w:val="20"/>
                                </w:rPr>
                                <w:t xml:space="preserve">+1.202.403.5000 | </w:t>
                              </w:r>
                              <w:r w:rsidRPr="00983C61">
                                <w:rPr>
                                  <w:rFonts w:eastAsia="Calibri" w:cs="Calibri"/>
                                  <w:b/>
                                  <w:bCs/>
                                  <w:color w:val="FFFFFF" w:themeColor="background1"/>
                                  <w:kern w:val="24"/>
                                  <w:sz w:val="20"/>
                                  <w:szCs w:val="20"/>
                                </w:rPr>
                                <w:t>AIR.ORG</w:t>
                              </w:r>
                            </w:p>
                          </w:txbxContent>
                        </wps:txbx>
                        <wps:bodyPr wrap="none" lIns="237744" tIns="0" rIns="0" bIns="0" rtlCol="0">
                          <a:spAutoFit/>
                        </wps:bodyPr>
                      </wps:wsp>
                      <wps:wsp>
                        <wps:cNvPr id="28" name="Straight Connector 71"/>
                        <wps:cNvCnPr>
                          <a:cxnSpLocks/>
                        </wps:cNvCnPr>
                        <wps:spPr>
                          <a:xfrm>
                            <a:off x="1911125" y="38222"/>
                            <a:ext cx="0" cy="64008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9" name="Picture 7"/>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bwMode="auto">
                          <a:xfrm>
                            <a:off x="0" y="55864"/>
                            <a:ext cx="1673225" cy="511810"/>
                          </a:xfrm>
                          <a:prstGeom prst="rect">
                            <a:avLst/>
                          </a:prstGeom>
                          <a:extLst>
                            <a:ext uri="{909E8E84-426E-40DD-AFC4-6F175D3DCCD1}">
                              <a14:hiddenFill xmlns:a14="http://schemas.microsoft.com/office/drawing/2010/main">
                                <a:solidFill>
                                  <a:srgbClr val="FFFFFF"/>
                                </a:solidFill>
                              </a14:hiddenFill>
                            </a:ext>
                          </a:extLst>
                        </pic:spPr>
                      </pic:pic>
                    </wpg:wgp>
                  </a:graphicData>
                </a:graphic>
              </wp:inline>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v:group id="Group 26" style="width:315pt;height:53.95pt;mso-position-horizontal-relative:char;mso-position-vertical-relative:line" coordsize="40005,6851" o:spid="_x0000_s1027" w14:anchorId="3C78288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">
                <v:shape id="TextBox 70" style="position:absolute;left:19110;width:20895;height:6851;visibility:visible;mso-wrap-style:none;v-text-anchor:top" o:spid="_x0000_s10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">
                  <v:textbox style="mso-fit-shape-to-text:t" inset="18.72pt,0,0,0">
                    <w:txbxContent>
                      <w:p w:rsidRPr="00983C61" w:rsidR="008A4E7D" w:rsidP="008A4E7D" w:rsidRDefault="008A4E7D" w14:paraId="4DA6A204" w14:textId="77777777">
                        <w:pPr>
                          <w:rPr>
                            <w:rFonts w:cs="Calibri"/>
                            <w:color w:val="FFFFFF" w:themeColor="background1"/>
                            <w:kern w:val="24"/>
                            <w:sz w:val="20"/>
                            <w:szCs w:val="20"/>
                          </w:rPr>
                        </w:pPr>
                        <w:r w:rsidRPr="00983C61">
                          <w:rPr>
                            <w:rFonts w:cs="Calibri"/>
                            <w:color w:val="FFFFFF" w:themeColor="background1"/>
                            <w:kern w:val="24"/>
                            <w:sz w:val="20"/>
                            <w:szCs w:val="20"/>
                          </w:rPr>
                          <w:t>American Institutes for Research</w:t>
                        </w:r>
                        <w:r w:rsidRPr="00455361">
                          <w:rPr>
                            <w:rFonts w:cs="Calibri"/>
                            <w:color w:val="FFFFFF" w:themeColor="background1"/>
                            <w:kern w:val="24"/>
                            <w:sz w:val="20"/>
                            <w:szCs w:val="20"/>
                            <w:vertAlign w:val="superscript"/>
                          </w:rPr>
                          <w:t>®</w:t>
                        </w:r>
                      </w:p>
                      <w:p w:rsidRPr="00983C61" w:rsidR="008A4E7D" w:rsidP="008A4E7D" w:rsidRDefault="008A4E7D" w14:paraId="0CA24162" w14:textId="77777777">
                        <w:pPr>
                          <w:rPr>
                            <w:rFonts w:eastAsia="Calibri" w:cs="Calibri"/>
                            <w:color w:val="FFFFFF" w:themeColor="background1"/>
                            <w:kern w:val="24"/>
                            <w:sz w:val="20"/>
                            <w:szCs w:val="20"/>
                          </w:rPr>
                        </w:pPr>
                        <w:r w:rsidRPr="00983C61">
                          <w:rPr>
                            <w:rFonts w:eastAsia="Calibri" w:cs="Calibri"/>
                            <w:color w:val="FFFFFF" w:themeColor="background1"/>
                            <w:kern w:val="24"/>
                            <w:sz w:val="20"/>
                            <w:szCs w:val="20"/>
                          </w:rPr>
                          <w:t xml:space="preserve">1400 Crystal Drive, 10th Floor </w:t>
                        </w:r>
                      </w:p>
                      <w:p w:rsidRPr="00983C61" w:rsidR="008A4E7D" w:rsidP="008A4E7D" w:rsidRDefault="008A4E7D" w14:paraId="47B2FC7B" w14:textId="77777777">
                        <w:pPr>
                          <w:rPr>
                            <w:rFonts w:eastAsia="Calibri" w:cs="Calibri"/>
                            <w:color w:val="FFFFFF" w:themeColor="background1"/>
                            <w:kern w:val="24"/>
                            <w:sz w:val="20"/>
                            <w:szCs w:val="20"/>
                          </w:rPr>
                        </w:pPr>
                        <w:r w:rsidRPr="00983C61">
                          <w:rPr>
                            <w:rFonts w:eastAsia="Calibri" w:cs="Calibri"/>
                            <w:color w:val="FFFFFF" w:themeColor="background1"/>
                            <w:kern w:val="24"/>
                            <w:sz w:val="20"/>
                            <w:szCs w:val="20"/>
                          </w:rPr>
                          <w:t>Arlington, VA 22202-3289</w:t>
                        </w:r>
                      </w:p>
                      <w:p w:rsidRPr="00983C61" w:rsidR="008A4E7D" w:rsidP="008A4E7D" w:rsidRDefault="008A4E7D" w14:paraId="388CD725" w14:textId="77777777">
                        <w:pPr>
                          <w:rPr>
                            <w:rFonts w:eastAsia="Calibri" w:cs="Calibri"/>
                            <w:color w:val="FFFFFF" w:themeColor="background1"/>
                            <w:kern w:val="24"/>
                            <w:sz w:val="20"/>
                            <w:szCs w:val="20"/>
                          </w:rPr>
                        </w:pPr>
                        <w:r w:rsidRPr="00983C61">
                          <w:rPr>
                            <w:rFonts w:eastAsia="Calibri" w:cs="Calibri"/>
                            <w:color w:val="FFFFFF" w:themeColor="background1"/>
                            <w:kern w:val="24"/>
                            <w:sz w:val="20"/>
                            <w:szCs w:val="20"/>
                          </w:rPr>
                          <w:t xml:space="preserve">+1.202.403.5000 | </w:t>
                        </w:r>
                        <w:r w:rsidRPr="00983C61">
                          <w:rPr>
                            <w:rFonts w:eastAsia="Calibri" w:cs="Calibri"/>
                            <w:b/>
                            <w:bCs/>
                            <w:color w:val="FFFFFF" w:themeColor="background1"/>
                            <w:kern w:val="24"/>
                            <w:sz w:val="20"/>
                            <w:szCs w:val="20"/>
                          </w:rPr>
                          <w:t>AIR.ORG</w:t>
                        </w:r>
                      </w:p>
                    </w:txbxContent>
                  </v:textbox>
                </v:shape>
                <v:line id="Straight Connector 71" style="position:absolute;visibility:visible;mso-wrap-style:square" o:spid="_x0000_s1029" strokecolor="white [3212]" strokeweight=".5pt" o:connectortype="straight" from="19111,382" to="19111,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">
                  <v:stroke joinstyle="miter"/>
                  <o:lock v:ext="edit" shapetype="f"/>
                </v:lin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7" style="position:absolute;top:558;width:16732;height:5118;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">
                  <v:imagedata o:title="" r:id="rId25"/>
                </v:shape>
                <w10:anchorlock/>
              </v:group>
            </w:pict>
          </mc:Fallback>
        </mc:AlternateContent>
      </w:r>
    </w:p>
    <w:p w14:paraId="28A67908" w14:textId="22F3BB8A" w:rsidR="00A71419" w:rsidRPr="00D767E2" w:rsidRDefault="00F8504B" w:rsidP="00A71419">
      <w:pPr>
        <w:pStyle w:val="CoverBackAIRURL"/>
        <w:spacing w:before="720" w:after="0"/>
        <w:rPr>
          <w:rStyle w:val="CoverBackPubIDChar"/>
          <w:rFonts w:asciiTheme="minorHAnsi" w:hAnsiTheme="minorHAnsi"/>
        </w:rPr>
      </w:pPr>
      <w:r>
        <w:rPr>
          <w:rFonts w:asciiTheme="minorHAnsi" w:hAnsiTheme="minorHAnsi"/>
          <w:color w:val="E8EAF3" w:themeColor="background2"/>
          <w:sz w:val="12"/>
          <w:szCs w:val="12"/>
        </w:rPr>
        <w:t>30457</w:t>
      </w:r>
      <w:r w:rsidR="00A71419" w:rsidRPr="00F8504B">
        <w:rPr>
          <w:rFonts w:asciiTheme="minorHAnsi" w:hAnsiTheme="minorHAnsi"/>
          <w:color w:val="E8EAF3" w:themeColor="background2"/>
          <w:sz w:val="12"/>
          <w:szCs w:val="12"/>
        </w:rPr>
        <w:t>_</w:t>
      </w:r>
      <w:r>
        <w:rPr>
          <w:rFonts w:asciiTheme="minorHAnsi" w:hAnsiTheme="minorHAnsi"/>
          <w:color w:val="E8EAF3" w:themeColor="background2"/>
          <w:sz w:val="12"/>
          <w:szCs w:val="12"/>
        </w:rPr>
        <w:t>06</w:t>
      </w:r>
      <w:r w:rsidR="00A71419" w:rsidRPr="00F8504B">
        <w:rPr>
          <w:rFonts w:asciiTheme="minorHAnsi" w:hAnsiTheme="minorHAnsi"/>
          <w:color w:val="E8EAF3" w:themeColor="background2"/>
          <w:sz w:val="12"/>
          <w:szCs w:val="12"/>
        </w:rPr>
        <w:t>/</w:t>
      </w:r>
      <w:r>
        <w:rPr>
          <w:rFonts w:asciiTheme="minorHAnsi" w:hAnsiTheme="minorHAnsi"/>
          <w:color w:val="E8EAF3" w:themeColor="background2"/>
          <w:sz w:val="12"/>
          <w:szCs w:val="12"/>
        </w:rPr>
        <w:t>26</w:t>
      </w:r>
      <w:r w:rsidR="00A71419" w:rsidRPr="00D767E2">
        <w:rPr>
          <w:rFonts w:asciiTheme="minorHAnsi" w:hAnsiTheme="minorHAnsi"/>
          <w:color w:val="E8EAF3" w:themeColor="background2"/>
          <w:sz w:val="12"/>
          <w:szCs w:val="12"/>
        </w:rPr>
        <w:t xml:space="preserve"> </w:t>
      </w:r>
      <w:bookmarkEnd w:id="34"/>
    </w:p>
    <w:sectPr w:rsidR="00A71419" w:rsidRPr="00D767E2" w:rsidSect="00D275E7">
      <w:headerReference w:type="default" r:id="rId26"/>
      <w:footerReference w:type="default" r:id="rId27"/>
      <w:pgSz w:w="12240" w:h="15840"/>
      <w:pgMar w:top="0" w:right="1440" w:bottom="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3D1EA" w14:textId="77777777" w:rsidR="00AA2A31" w:rsidRDefault="00AA2A31" w:rsidP="00005082">
      <w:pPr>
        <w:spacing w:line="240" w:lineRule="auto"/>
      </w:pPr>
      <w:r>
        <w:separator/>
      </w:r>
    </w:p>
    <w:p w14:paraId="5C38CEA1" w14:textId="77777777" w:rsidR="00AA2A31" w:rsidRDefault="00AA2A31"/>
  </w:endnote>
  <w:endnote w:type="continuationSeparator" w:id="0">
    <w:p w14:paraId="01E35AB5" w14:textId="77777777" w:rsidR="00AA2A31" w:rsidRDefault="00AA2A31" w:rsidP="00005082">
      <w:pPr>
        <w:spacing w:line="240" w:lineRule="auto"/>
      </w:pPr>
      <w:r>
        <w:continuationSeparator/>
      </w:r>
    </w:p>
    <w:p w14:paraId="0A1B71E7" w14:textId="77777777" w:rsidR="00AA2A31" w:rsidRDefault="00AA2A31"/>
  </w:endnote>
  <w:endnote w:type="continuationNotice" w:id="1">
    <w:p w14:paraId="01DB1668" w14:textId="77777777" w:rsidR="00AA2A31" w:rsidRDefault="00AA2A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E13E6" w14:textId="77777777" w:rsidR="008711BB" w:rsidRDefault="008711BB" w:rsidP="008711BB">
    <w:pPr>
      <w:pStyle w:val="Footer"/>
      <w:spacing w:befor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2D97A" w14:textId="77777777" w:rsidR="00FA4DDD" w:rsidRDefault="000A38AA" w:rsidP="00A95057">
    <w:pPr>
      <w:pStyle w:val="Footer"/>
      <w:tabs>
        <w:tab w:val="clear" w:pos="4680"/>
        <w:tab w:val="clear" w:pos="9360"/>
      </w:tabs>
      <w:ind w:left="0"/>
    </w:pPr>
    <w:r>
      <w:rPr>
        <w:noProof/>
        <w:color w:val="545454" w:themeColor="text1" w:themeTint="BF"/>
      </w:rPr>
      <w:drawing>
        <wp:inline distT="0" distB="0" distL="0" distR="0" wp14:anchorId="33778D09" wp14:editId="2FDDDB3D">
          <wp:extent cx="2385644" cy="338328"/>
          <wp:effectExtent l="0" t="0" r="0" b="5080"/>
          <wp:docPr id="1805935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935093" name="Picture 1"/>
                  <pic:cNvPicPr/>
                </pic:nvPicPr>
                <pic:blipFill>
                  <a:blip r:embed="rId1"/>
                  <a:srcRect t="8144" b="8144"/>
                  <a:stretch>
                    <a:fillRect/>
                  </a:stretch>
                </pic:blipFill>
                <pic:spPr bwMode="auto">
                  <a:xfrm>
                    <a:off x="0" y="0"/>
                    <a:ext cx="2385644" cy="338328"/>
                  </a:xfrm>
                  <a:prstGeom prst="rect">
                    <a:avLst/>
                  </a:prstGeom>
                  <a:ln>
                    <a:noFill/>
                  </a:ln>
                  <a:extLst>
                    <a:ext uri="{53640926-AAD7-44D8-BBD7-CCE9431645EC}">
                      <a14:shadowObscured xmlns:a14="http://schemas.microsoft.com/office/drawing/2010/main"/>
                    </a:ext>
                  </a:extLst>
                </pic:spPr>
              </pic:pic>
            </a:graphicData>
          </a:graphic>
        </wp:inline>
      </w:drawing>
    </w:r>
    <w:r w:rsidR="00A95057">
      <w:t xml:space="preserve"> </w:t>
    </w:r>
    <w:r w:rsidR="00A95057">
      <w:ptab w:relativeTo="margin" w:alignment="right" w:leader="none"/>
    </w:r>
    <w:r w:rsidR="00A95057">
      <w:t xml:space="preserve"> </w:t>
    </w:r>
    <w:r w:rsidR="00A95057">
      <w:fldChar w:fldCharType="begin"/>
    </w:r>
    <w:r w:rsidR="00A95057">
      <w:instrText xml:space="preserve"> PAGE   \* MERGEFORMAT </w:instrText>
    </w:r>
    <w:r w:rsidR="00A95057">
      <w:fldChar w:fldCharType="separate"/>
    </w:r>
    <w:r w:rsidR="00A95057">
      <w:t>1</w:t>
    </w:r>
    <w:r w:rsidR="00A95057">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DEFE2" w14:textId="77777777" w:rsidR="00AB735D" w:rsidRPr="00D275E7" w:rsidRDefault="00AB735D" w:rsidP="008F6B56">
    <w:pPr>
      <w:pStyle w:val="Spacer-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59A26" w14:textId="77777777" w:rsidR="00AA2A31" w:rsidRDefault="00AA2A31" w:rsidP="000A38AA">
      <w:pPr>
        <w:pStyle w:val="NoSpacing"/>
      </w:pPr>
      <w:r>
        <w:separator/>
      </w:r>
    </w:p>
  </w:footnote>
  <w:footnote w:type="continuationSeparator" w:id="0">
    <w:p w14:paraId="1600EB5C" w14:textId="77777777" w:rsidR="00AA2A31" w:rsidRDefault="00AA2A31" w:rsidP="000A38AA">
      <w:pPr>
        <w:pStyle w:val="NoSpacing"/>
      </w:pPr>
      <w:r>
        <w:continuationSeparator/>
      </w:r>
    </w:p>
  </w:footnote>
  <w:footnote w:type="continuationNotice" w:id="1">
    <w:p w14:paraId="2F928882" w14:textId="77777777" w:rsidR="00AA2A31" w:rsidRDefault="00AA2A31" w:rsidP="000A38AA">
      <w:pPr>
        <w:pStyle w:val="NoSpacing"/>
      </w:pPr>
    </w:p>
  </w:footnote>
  <w:footnote w:id="2">
    <w:p w14:paraId="03198126" w14:textId="798B9944" w:rsidR="004A2817" w:rsidRPr="00F81E95" w:rsidRDefault="004A2817">
      <w:pPr>
        <w:pStyle w:val="FootnoteText"/>
      </w:pPr>
      <w:r>
        <w:rPr>
          <w:rStyle w:val="FootnoteReference"/>
        </w:rPr>
        <w:footnoteRef/>
      </w:r>
      <w:r>
        <w:t xml:space="preserve"> </w:t>
      </w:r>
      <w:r w:rsidRPr="003315F4">
        <w:t>California Department of Education. (2026).</w:t>
      </w:r>
      <w:r>
        <w:t xml:space="preserve"> </w:t>
      </w:r>
      <w:r w:rsidRPr="003315F4">
        <w:rPr>
          <w:i/>
          <w:iCs/>
        </w:rPr>
        <w:t>Fingertip facts on education in California.</w:t>
      </w:r>
      <w:r>
        <w:rPr>
          <w:i/>
          <w:iCs/>
        </w:rPr>
        <w:t xml:space="preserve"> </w:t>
      </w:r>
      <w:r w:rsidRPr="00C22E4D">
        <w:t>https://www.cde.ca.gov/ds/ad/ceffingertipfacts.asp</w:t>
      </w:r>
    </w:p>
  </w:footnote>
  <w:footnote w:id="3">
    <w:p w14:paraId="047C4428" w14:textId="269AFB82" w:rsidR="004A2817" w:rsidRDefault="004A2817">
      <w:pPr>
        <w:pStyle w:val="FootnoteText"/>
      </w:pPr>
      <w:r>
        <w:rPr>
          <w:rStyle w:val="FootnoteReference"/>
        </w:rPr>
        <w:footnoteRef/>
      </w:r>
      <w:r>
        <w:t xml:space="preserve"> </w:t>
      </w:r>
      <w:r w:rsidRPr="002222FD">
        <w:t xml:space="preserve">Because Geo Leads are themselves members </w:t>
      </w:r>
      <w:r w:rsidR="0095080F">
        <w:t xml:space="preserve">of </w:t>
      </w:r>
      <w:r w:rsidRPr="002222FD">
        <w:t>COEs, our approach to reporting findings in this report combines the perspectives of Geo Leads and COE representatives.</w:t>
      </w:r>
    </w:p>
  </w:footnote>
  <w:footnote w:id="4">
    <w:p w14:paraId="2E4F7299" w14:textId="7B83B38B" w:rsidR="004A2817" w:rsidRPr="0047740B" w:rsidRDefault="004A2817">
      <w:pPr>
        <w:pStyle w:val="FootnoteText"/>
      </w:pPr>
      <w:r>
        <w:rPr>
          <w:rStyle w:val="FootnoteReference"/>
        </w:rPr>
        <w:footnoteRef/>
      </w:r>
      <w:r>
        <w:t xml:space="preserve"> </w:t>
      </w:r>
      <w:r w:rsidRPr="00645925">
        <w:t>California</w:t>
      </w:r>
      <w:r>
        <w:t xml:space="preserve"> Department of Education. (2026). </w:t>
      </w:r>
      <w:r w:rsidRPr="003315F4">
        <w:rPr>
          <w:i/>
          <w:iCs/>
        </w:rPr>
        <w:t>Charter schools in California—CalEdFacts.</w:t>
      </w:r>
      <w:r>
        <w:t xml:space="preserve"> </w:t>
      </w:r>
      <w:r w:rsidRPr="00651FDA">
        <w:t>https://www.cde.ca.gov/sp/ch/cefcharterschools.asp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9EF13" w14:textId="77777777" w:rsidR="00AB735D" w:rsidRDefault="00AB735D" w:rsidP="008F6B56">
    <w:pPr>
      <w:pStyle w:val="Spacer-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FA950" w14:textId="35CCB967" w:rsidR="00AF1CCD" w:rsidRPr="000A38AA" w:rsidRDefault="00AF1CCD" w:rsidP="000A38AA">
    <w:pPr>
      <w:pStyle w:val="Header-DocTitle"/>
      <w:pBdr>
        <w:bottom w:val="single" w:sz="18" w:space="1" w:color="2B8640" w:themeColor="accent2"/>
      </w:pBdr>
      <w:ind w:left="0" w:right="0"/>
      <w:rPr>
        <w:i w:val="0"/>
        <w:iCs/>
      </w:rPr>
    </w:pPr>
    <w:r w:rsidRPr="007415EF">
      <w:t xml:space="preserve"> </w:t>
    </w:r>
    <w:r w:rsidRPr="000A38AA">
      <w:rPr>
        <w:i w:val="0"/>
        <w:iCs/>
      </w:rPr>
      <w:ptab w:relativeTo="margin" w:alignment="right" w:leader="none"/>
    </w:r>
    <w:r w:rsidRPr="000A38AA">
      <w:rPr>
        <w:i w:val="0"/>
        <w:iCs/>
      </w:rPr>
      <w:t xml:space="preserve"> </w:t>
    </w:r>
    <w:r w:rsidR="004A2817">
      <w:rPr>
        <w:i w:val="0"/>
        <w:iCs/>
      </w:rPr>
      <w:t>Differentiated Assistance Listening Session</w:t>
    </w:r>
    <w:r w:rsidR="00005F5F">
      <w:rPr>
        <w:i w:val="0"/>
        <w:iCs/>
      </w:rPr>
      <w:t>s: Summary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8C94F" w14:textId="77777777" w:rsidR="00AB735D" w:rsidRPr="00F32AC8" w:rsidRDefault="00AB735D" w:rsidP="008F6B56">
    <w:pPr>
      <w:pStyle w:val="Spacer-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3036"/>
    <w:multiLevelType w:val="multilevel"/>
    <w:tmpl w:val="80D4DD62"/>
    <w:numStyleLink w:val="ListOrdered-Table10"/>
  </w:abstractNum>
  <w:abstractNum w:abstractNumId="1" w15:restartNumberingAfterBreak="0">
    <w:nsid w:val="03324B80"/>
    <w:multiLevelType w:val="multilevel"/>
    <w:tmpl w:val="46300134"/>
    <w:styleLink w:val="ListOrdered-Table11"/>
    <w:lvl w:ilvl="0">
      <w:start w:val="1"/>
      <w:numFmt w:val="decimal"/>
      <w:pStyle w:val="Table11Numbering"/>
      <w:lvlText w:val="%1."/>
      <w:lvlJc w:val="left"/>
      <w:pPr>
        <w:ind w:left="288" w:hanging="288"/>
      </w:pPr>
      <w:rPr>
        <w:rFonts w:asciiTheme="majorHAnsi" w:hAnsiTheme="majorHAnsi" w:hint="default"/>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2" w15:restartNumberingAfterBreak="0">
    <w:nsid w:val="069772F7"/>
    <w:multiLevelType w:val="multilevel"/>
    <w:tmpl w:val="B600D168"/>
    <w:styleLink w:val="ListStyle-BoxBullets"/>
    <w:lvl w:ilvl="0">
      <w:start w:val="1"/>
      <w:numFmt w:val="bullet"/>
      <w:lvlText w:val="•"/>
      <w:lvlJc w:val="left"/>
      <w:pPr>
        <w:ind w:left="360" w:hanging="360"/>
      </w:pPr>
      <w:rPr>
        <w:rFonts w:asciiTheme="majorHAnsi" w:hAnsiTheme="majorHAnsi" w:cs="Times New Roman" w:hint="default"/>
        <w:color w:val="auto"/>
        <w:sz w:val="24"/>
      </w:rPr>
    </w:lvl>
    <w:lvl w:ilvl="1">
      <w:start w:val="1"/>
      <w:numFmt w:val="bullet"/>
      <w:lvlText w:val="–"/>
      <w:lvlJc w:val="left"/>
      <w:pPr>
        <w:ind w:left="720" w:hanging="360"/>
      </w:pPr>
      <w:rPr>
        <w:rFonts w:ascii="Calibri" w:hAnsi="Calibri" w:hint="default"/>
        <w:color w:val="292929" w:themeColor="text2"/>
        <w:sz w:val="22"/>
      </w:rPr>
    </w:lvl>
    <w:lvl w:ilvl="2">
      <w:start w:val="1"/>
      <w:numFmt w:val="bullet"/>
      <w:lvlText w:val="»"/>
      <w:lvlJc w:val="left"/>
      <w:pPr>
        <w:ind w:left="1080" w:hanging="360"/>
      </w:pPr>
      <w:rPr>
        <w:rFonts w:ascii="Calibri" w:hAnsi="Calibri" w:hint="default"/>
        <w:color w:val="292929" w:themeColor="text2"/>
        <w:sz w:val="22"/>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 w15:restartNumberingAfterBreak="0">
    <w:nsid w:val="07C260A6"/>
    <w:multiLevelType w:val="multilevel"/>
    <w:tmpl w:val="46300134"/>
    <w:numStyleLink w:val="ListOrdered-Table11"/>
  </w:abstractNum>
  <w:abstractNum w:abstractNumId="4" w15:restartNumberingAfterBreak="0">
    <w:nsid w:val="0E9171FB"/>
    <w:multiLevelType w:val="hybridMultilevel"/>
    <w:tmpl w:val="3E0C9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810A6C"/>
    <w:multiLevelType w:val="multilevel"/>
    <w:tmpl w:val="894E1C92"/>
    <w:styleLink w:val="ListBullets-Table11"/>
    <w:lvl w:ilvl="0">
      <w:start w:val="1"/>
      <w:numFmt w:val="bullet"/>
      <w:pStyle w:val="Table11Bullet1"/>
      <w:lvlText w:val="•"/>
      <w:lvlJc w:val="left"/>
      <w:pPr>
        <w:ind w:left="288" w:hanging="288"/>
      </w:pPr>
      <w:rPr>
        <w:rFonts w:ascii="Calibri" w:hAnsi="Calibri" w:hint="default"/>
        <w:color w:val="326EA3" w:themeColor="accent1"/>
      </w:rPr>
    </w:lvl>
    <w:lvl w:ilvl="1">
      <w:start w:val="1"/>
      <w:numFmt w:val="bullet"/>
      <w:pStyle w:val="Table11Bullet2"/>
      <w:lvlText w:val="–"/>
      <w:lvlJc w:val="left"/>
      <w:pPr>
        <w:ind w:left="576" w:hanging="288"/>
      </w:pPr>
      <w:rPr>
        <w:rFonts w:ascii="Calibri" w:hAnsi="Calibri" w:hint="default"/>
        <w:color w:val="326EA3" w:themeColor="accent1"/>
      </w:rPr>
    </w:lvl>
    <w:lvl w:ilvl="2">
      <w:start w:val="1"/>
      <w:numFmt w:val="bullet"/>
      <w:pStyle w:val="Table11Bullet3"/>
      <w:lvlText w:val="»"/>
      <w:lvlJc w:val="left"/>
      <w:pPr>
        <w:ind w:left="864" w:hanging="288"/>
      </w:pPr>
      <w:rPr>
        <w:rFonts w:ascii="Arial" w:hAnsi="Arial" w:hint="default"/>
        <w:color w:val="326EA3" w:themeColor="accent1"/>
      </w:rPr>
    </w:lvl>
    <w:lvl w:ilvl="3">
      <w:start w:val="1"/>
      <w:numFmt w:val="bullet"/>
      <w:lvlText w:val="◦"/>
      <w:lvlJc w:val="left"/>
      <w:pPr>
        <w:ind w:left="1152" w:hanging="288"/>
      </w:pPr>
      <w:rPr>
        <w:rFonts w:ascii="Calibri" w:hAnsi="Calibri" w:hint="default"/>
        <w:color w:val="326EA3" w:themeColor="accent1"/>
      </w:rPr>
    </w:lvl>
    <w:lvl w:ilvl="4">
      <w:start w:val="1"/>
      <w:numFmt w:val="bullet"/>
      <w:lvlText w:val="›"/>
      <w:lvlJc w:val="left"/>
      <w:pPr>
        <w:ind w:left="1440" w:hanging="288"/>
      </w:pPr>
      <w:rPr>
        <w:rFonts w:ascii="Calibri" w:hAnsi="Calibri" w:hint="default"/>
        <w:color w:val="326EA3" w:themeColor="accent1"/>
      </w:rPr>
    </w:lvl>
    <w:lvl w:ilvl="5">
      <w:start w:val="1"/>
      <w:numFmt w:val="bullet"/>
      <w:lvlText w:val="‹"/>
      <w:lvlJc w:val="left"/>
      <w:pPr>
        <w:ind w:left="1728" w:hanging="288"/>
      </w:pPr>
      <w:rPr>
        <w:rFonts w:ascii="Calibri" w:hAnsi="Calibri" w:hint="default"/>
        <w:color w:val="326EA3" w:themeColor="accent1"/>
      </w:rPr>
    </w:lvl>
    <w:lvl w:ilvl="6">
      <w:start w:val="1"/>
      <w:numFmt w:val="bullet"/>
      <w:lvlText w:val="«"/>
      <w:lvlJc w:val="left"/>
      <w:pPr>
        <w:ind w:left="2016" w:hanging="288"/>
      </w:pPr>
      <w:rPr>
        <w:rFonts w:ascii="Calibri" w:hAnsi="Calibri" w:hint="default"/>
        <w:color w:val="326EA3" w:themeColor="accent1"/>
      </w:rPr>
    </w:lvl>
    <w:lvl w:ilvl="7">
      <w:start w:val="1"/>
      <w:numFmt w:val="bullet"/>
      <w:lvlText w:val="-"/>
      <w:lvlJc w:val="left"/>
      <w:pPr>
        <w:ind w:left="2304" w:hanging="288"/>
      </w:pPr>
      <w:rPr>
        <w:rFonts w:ascii="Calibri" w:hAnsi="Calibri" w:hint="default"/>
        <w:color w:val="326EA3" w:themeColor="accent1"/>
      </w:rPr>
    </w:lvl>
    <w:lvl w:ilvl="8">
      <w:start w:val="1"/>
      <w:numFmt w:val="bullet"/>
      <w:lvlText w:val=""/>
      <w:lvlJc w:val="left"/>
      <w:pPr>
        <w:ind w:left="2592" w:hanging="288"/>
      </w:pPr>
      <w:rPr>
        <w:rFonts w:ascii="Wingdings" w:hAnsi="Wingdings" w:hint="default"/>
        <w:color w:val="326EA3" w:themeColor="accent1"/>
      </w:rPr>
    </w:lvl>
  </w:abstractNum>
  <w:abstractNum w:abstractNumId="6" w15:restartNumberingAfterBreak="0">
    <w:nsid w:val="11A4721B"/>
    <w:multiLevelType w:val="multilevel"/>
    <w:tmpl w:val="2940034C"/>
    <w:numStyleLink w:val="ListOrdered-Body"/>
  </w:abstractNum>
  <w:abstractNum w:abstractNumId="7" w15:restartNumberingAfterBreak="0">
    <w:nsid w:val="125B5049"/>
    <w:multiLevelType w:val="multilevel"/>
    <w:tmpl w:val="894E1C92"/>
    <w:numStyleLink w:val="ListBullets-Table11"/>
  </w:abstractNum>
  <w:abstractNum w:abstractNumId="8" w15:restartNumberingAfterBreak="0">
    <w:nsid w:val="1CA94574"/>
    <w:multiLevelType w:val="multilevel"/>
    <w:tmpl w:val="C47673D2"/>
    <w:styleLink w:val="ListBullets-Body"/>
    <w:lvl w:ilvl="0">
      <w:start w:val="1"/>
      <w:numFmt w:val="bullet"/>
      <w:pStyle w:val="Bullet1"/>
      <w:lvlText w:val=""/>
      <w:lvlJc w:val="left"/>
      <w:pPr>
        <w:ind w:left="360" w:hanging="360"/>
      </w:pPr>
      <w:rPr>
        <w:rFonts w:ascii="Symbol" w:hAnsi="Symbol" w:hint="default"/>
        <w:color w:val="326EA3" w:themeColor="accent1"/>
      </w:rPr>
    </w:lvl>
    <w:lvl w:ilvl="1">
      <w:start w:val="1"/>
      <w:numFmt w:val="bullet"/>
      <w:pStyle w:val="Bullet2"/>
      <w:lvlText w:val="–"/>
      <w:lvlJc w:val="left"/>
      <w:pPr>
        <w:ind w:left="720" w:hanging="360"/>
      </w:pPr>
      <w:rPr>
        <w:rFonts w:ascii="Calibri" w:hAnsi="Calibri" w:hint="default"/>
        <w:color w:val="326EA3" w:themeColor="accent1"/>
      </w:rPr>
    </w:lvl>
    <w:lvl w:ilvl="2">
      <w:start w:val="1"/>
      <w:numFmt w:val="bullet"/>
      <w:pStyle w:val="Bullet3"/>
      <w:lvlText w:val="»"/>
      <w:lvlJc w:val="left"/>
      <w:pPr>
        <w:ind w:left="1080" w:hanging="360"/>
      </w:pPr>
      <w:rPr>
        <w:rFonts w:ascii="Calibri" w:hAnsi="Calibri" w:hint="default"/>
        <w:color w:val="326EA3" w:themeColor="accent1"/>
      </w:rPr>
    </w:lvl>
    <w:lvl w:ilvl="3">
      <w:start w:val="1"/>
      <w:numFmt w:val="bullet"/>
      <w:lvlText w:val="◦"/>
      <w:lvlJc w:val="left"/>
      <w:pPr>
        <w:ind w:left="1440" w:hanging="360"/>
      </w:pPr>
      <w:rPr>
        <w:rFonts w:ascii="Calibri" w:hAnsi="Calibri" w:hint="default"/>
        <w:color w:val="326EA3" w:themeColor="accent1"/>
      </w:rPr>
    </w:lvl>
    <w:lvl w:ilvl="4">
      <w:start w:val="1"/>
      <w:numFmt w:val="bullet"/>
      <w:lvlText w:val="›"/>
      <w:lvlJc w:val="left"/>
      <w:pPr>
        <w:ind w:left="1800" w:hanging="360"/>
      </w:pPr>
      <w:rPr>
        <w:rFonts w:ascii="Calibri" w:hAnsi="Calibri" w:hint="default"/>
        <w:color w:val="326EA3" w:themeColor="accent1"/>
      </w:rPr>
    </w:lvl>
    <w:lvl w:ilvl="5">
      <w:start w:val="1"/>
      <w:numFmt w:val="bullet"/>
      <w:lvlText w:val="‹"/>
      <w:lvlJc w:val="left"/>
      <w:pPr>
        <w:ind w:left="2160" w:hanging="360"/>
      </w:pPr>
      <w:rPr>
        <w:rFonts w:ascii="Calibri" w:hAnsi="Calibri" w:hint="default"/>
        <w:color w:val="326EA3" w:themeColor="accent1"/>
      </w:rPr>
    </w:lvl>
    <w:lvl w:ilvl="6">
      <w:start w:val="1"/>
      <w:numFmt w:val="bullet"/>
      <w:lvlText w:val="«"/>
      <w:lvlJc w:val="left"/>
      <w:pPr>
        <w:ind w:left="2520" w:hanging="360"/>
      </w:pPr>
      <w:rPr>
        <w:rFonts w:ascii="Calibri" w:hAnsi="Calibri" w:hint="default"/>
        <w:color w:val="326EA3" w:themeColor="accent1"/>
      </w:rPr>
    </w:lvl>
    <w:lvl w:ilvl="7">
      <w:start w:val="1"/>
      <w:numFmt w:val="bullet"/>
      <w:lvlText w:val="-"/>
      <w:lvlJc w:val="left"/>
      <w:pPr>
        <w:ind w:left="2880" w:hanging="360"/>
      </w:pPr>
      <w:rPr>
        <w:rFonts w:ascii="Calibri" w:hAnsi="Calibri" w:hint="default"/>
        <w:color w:val="326EA3" w:themeColor="accent1"/>
      </w:rPr>
    </w:lvl>
    <w:lvl w:ilvl="8">
      <w:start w:val="1"/>
      <w:numFmt w:val="bullet"/>
      <w:lvlText w:val=""/>
      <w:lvlJc w:val="left"/>
      <w:pPr>
        <w:ind w:left="3240" w:hanging="360"/>
      </w:pPr>
      <w:rPr>
        <w:rFonts w:ascii="Wingdings" w:hAnsi="Wingdings" w:hint="default"/>
        <w:color w:val="326EA3" w:themeColor="accent1"/>
      </w:rPr>
    </w:lvl>
  </w:abstractNum>
  <w:abstractNum w:abstractNumId="9" w15:restartNumberingAfterBreak="0">
    <w:nsid w:val="1DE21612"/>
    <w:multiLevelType w:val="multilevel"/>
    <w:tmpl w:val="B94E7818"/>
    <w:numStyleLink w:val="ListBullets-Table10"/>
  </w:abstractNum>
  <w:abstractNum w:abstractNumId="10" w15:restartNumberingAfterBreak="0">
    <w:nsid w:val="23ED69CC"/>
    <w:multiLevelType w:val="multilevel"/>
    <w:tmpl w:val="80D4DD62"/>
    <w:styleLink w:val="ListOrdered-Table10"/>
    <w:lvl w:ilvl="0">
      <w:start w:val="1"/>
      <w:numFmt w:val="decimal"/>
      <w:pStyle w:val="Table10Numbering"/>
      <w:lvlText w:val="%1."/>
      <w:lvlJc w:val="left"/>
      <w:pPr>
        <w:ind w:left="288" w:hanging="288"/>
      </w:pPr>
      <w:rPr>
        <w:rFonts w:asciiTheme="majorHAnsi" w:hAnsiTheme="majorHAnsi" w:hint="default"/>
        <w:sz w:val="20"/>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11" w15:restartNumberingAfterBreak="0">
    <w:nsid w:val="30D75E31"/>
    <w:multiLevelType w:val="multilevel"/>
    <w:tmpl w:val="D700B5CE"/>
    <w:styleLink w:val="AIRTableNumbering"/>
    <w:lvl w:ilvl="0">
      <w:start w:val="1"/>
      <w:numFmt w:val="decimal"/>
      <w:lvlText w:val="%1."/>
      <w:lvlJc w:val="left"/>
      <w:pPr>
        <w:ind w:left="288" w:hanging="216"/>
      </w:pPr>
      <w:rPr>
        <w:rFonts w:hint="default"/>
      </w:rPr>
    </w:lvl>
    <w:lvl w:ilvl="1">
      <w:start w:val="1"/>
      <w:numFmt w:val="lowerLetter"/>
      <w:lvlText w:val="%2."/>
      <w:lvlJc w:val="left"/>
      <w:pPr>
        <w:ind w:left="648" w:hanging="288"/>
      </w:pPr>
      <w:rPr>
        <w:rFonts w:hint="default"/>
      </w:rPr>
    </w:lvl>
    <w:lvl w:ilvl="2">
      <w:start w:val="1"/>
      <w:numFmt w:val="lowerRoman"/>
      <w:lvlText w:val="%3."/>
      <w:lvlJc w:val="right"/>
      <w:pPr>
        <w:ind w:left="1080" w:hanging="216"/>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3528" w:hanging="360"/>
      </w:pPr>
      <w:rPr>
        <w:rFonts w:hint="default"/>
      </w:rPr>
    </w:lvl>
    <w:lvl w:ilvl="5">
      <w:start w:val="1"/>
      <w:numFmt w:val="lowerRoman"/>
      <w:lvlText w:val="%6."/>
      <w:lvlJc w:val="right"/>
      <w:pPr>
        <w:ind w:left="4248" w:hanging="180"/>
      </w:pPr>
      <w:rPr>
        <w:rFonts w:hint="default"/>
      </w:rPr>
    </w:lvl>
    <w:lvl w:ilvl="6">
      <w:start w:val="1"/>
      <w:numFmt w:val="decimal"/>
      <w:lvlText w:val="%7."/>
      <w:lvlJc w:val="left"/>
      <w:pPr>
        <w:ind w:left="4968" w:hanging="360"/>
      </w:pPr>
      <w:rPr>
        <w:rFonts w:hint="default"/>
      </w:rPr>
    </w:lvl>
    <w:lvl w:ilvl="7">
      <w:start w:val="1"/>
      <w:numFmt w:val="lowerLetter"/>
      <w:lvlText w:val="%8."/>
      <w:lvlJc w:val="left"/>
      <w:pPr>
        <w:ind w:left="5688" w:hanging="360"/>
      </w:pPr>
      <w:rPr>
        <w:rFonts w:hint="default"/>
      </w:rPr>
    </w:lvl>
    <w:lvl w:ilvl="8">
      <w:start w:val="1"/>
      <w:numFmt w:val="lowerRoman"/>
      <w:lvlText w:val="%9."/>
      <w:lvlJc w:val="right"/>
      <w:pPr>
        <w:ind w:left="6408" w:hanging="180"/>
      </w:pPr>
      <w:rPr>
        <w:rFonts w:hint="default"/>
      </w:rPr>
    </w:lvl>
  </w:abstractNum>
  <w:abstractNum w:abstractNumId="12" w15:restartNumberingAfterBreak="0">
    <w:nsid w:val="31026127"/>
    <w:multiLevelType w:val="hybridMultilevel"/>
    <w:tmpl w:val="18E46A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B735F9"/>
    <w:multiLevelType w:val="multilevel"/>
    <w:tmpl w:val="2940034C"/>
    <w:styleLink w:val="ListOrdered-Body"/>
    <w:lvl w:ilvl="0">
      <w:start w:val="1"/>
      <w:numFmt w:val="decimal"/>
      <w:pStyle w:val="NumberedList"/>
      <w:lvlText w:val="%1."/>
      <w:lvlJc w:val="left"/>
      <w:pPr>
        <w:ind w:left="360" w:hanging="360"/>
      </w:pPr>
      <w:rPr>
        <w:rFonts w:asciiTheme="minorHAnsi" w:hAnsiTheme="minorHAnsi" w:hint="default"/>
      </w:rPr>
    </w:lvl>
    <w:lvl w:ilvl="1">
      <w:start w:val="1"/>
      <w:numFmt w:val="lowerLetter"/>
      <w:lvlText w:val="%2."/>
      <w:lvlJc w:val="left"/>
      <w:pPr>
        <w:ind w:left="720" w:hanging="360"/>
      </w:pPr>
      <w:rPr>
        <w:rFonts w:hint="default"/>
      </w:rPr>
    </w:lvl>
    <w:lvl w:ilvl="2">
      <w:start w:val="1"/>
      <w:numFmt w:val="lowerRoman"/>
      <w:lvlText w:val="%3."/>
      <w:lvlJc w:val="right"/>
      <w:pPr>
        <w:tabs>
          <w:tab w:val="num" w:pos="1296"/>
        </w:tabs>
        <w:ind w:left="1080" w:hanging="14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tabs>
          <w:tab w:val="num" w:pos="2160"/>
        </w:tabs>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tabs>
          <w:tab w:val="num" w:pos="3096"/>
        </w:tabs>
        <w:ind w:left="3240" w:hanging="144"/>
      </w:pPr>
      <w:rPr>
        <w:rFonts w:hint="default"/>
      </w:rPr>
    </w:lvl>
  </w:abstractNum>
  <w:abstractNum w:abstractNumId="14" w15:restartNumberingAfterBreak="0">
    <w:nsid w:val="5CBD0429"/>
    <w:multiLevelType w:val="multilevel"/>
    <w:tmpl w:val="C47673D2"/>
    <w:numStyleLink w:val="ListBullets-Body"/>
  </w:abstractNum>
  <w:abstractNum w:abstractNumId="15" w15:restartNumberingAfterBreak="0">
    <w:nsid w:val="5EE07498"/>
    <w:multiLevelType w:val="multilevel"/>
    <w:tmpl w:val="F2D44832"/>
    <w:styleLink w:val="AIRTableBullet"/>
    <w:lvl w:ilvl="0">
      <w:start w:val="1"/>
      <w:numFmt w:val="bullet"/>
      <w:lvlText w:val="•"/>
      <w:lvlJc w:val="left"/>
      <w:pPr>
        <w:ind w:left="288" w:hanging="216"/>
      </w:pPr>
      <w:rPr>
        <w:rFonts w:ascii="Times New Roman" w:hAnsi="Times New Roman" w:cs="Times New Roman" w:hint="default"/>
        <w:color w:val="auto"/>
        <w:sz w:val="28"/>
      </w:rPr>
    </w:lvl>
    <w:lvl w:ilvl="1">
      <w:start w:val="1"/>
      <w:numFmt w:val="bullet"/>
      <w:lvlText w:val="–"/>
      <w:lvlJc w:val="left"/>
      <w:pPr>
        <w:ind w:left="576" w:hanging="216"/>
      </w:pPr>
      <w:rPr>
        <w:rFonts w:ascii="Times New Roman" w:hAnsi="Times New Roman" w:cs="Times New Roman" w:hint="default"/>
        <w:color w:val="auto"/>
      </w:rPr>
    </w:lvl>
    <w:lvl w:ilvl="2">
      <w:start w:val="1"/>
      <w:numFmt w:val="bullet"/>
      <w:lvlText w:val="»"/>
      <w:lvlJc w:val="left"/>
      <w:pPr>
        <w:ind w:left="864" w:hanging="216"/>
      </w:pPr>
      <w:rPr>
        <w:rFonts w:ascii="Times New Roman" w:hAnsi="Times New Roman" w:cs="Times New Roman" w:hint="default"/>
      </w:rPr>
    </w:lvl>
    <w:lvl w:ilvl="3">
      <w:start w:val="1"/>
      <w:numFmt w:val="bullet"/>
      <w:lvlText w:val=""/>
      <w:lvlJc w:val="left"/>
      <w:pPr>
        <w:ind w:left="1152" w:hanging="216"/>
      </w:pPr>
      <w:rPr>
        <w:rFonts w:ascii="Symbol" w:hAnsi="Symbol" w:hint="default"/>
      </w:rPr>
    </w:lvl>
    <w:lvl w:ilvl="4">
      <w:start w:val="1"/>
      <w:numFmt w:val="bullet"/>
      <w:lvlText w:val="o"/>
      <w:lvlJc w:val="left"/>
      <w:pPr>
        <w:ind w:left="1440" w:hanging="216"/>
      </w:pPr>
      <w:rPr>
        <w:rFonts w:ascii="Courier New" w:hAnsi="Courier New" w:hint="default"/>
      </w:rPr>
    </w:lvl>
    <w:lvl w:ilvl="5">
      <w:start w:val="1"/>
      <w:numFmt w:val="bullet"/>
      <w:lvlText w:val=""/>
      <w:lvlJc w:val="left"/>
      <w:pPr>
        <w:ind w:left="1728" w:hanging="216"/>
      </w:pPr>
      <w:rPr>
        <w:rFonts w:ascii="Wingdings" w:hAnsi="Wingdings" w:hint="default"/>
      </w:rPr>
    </w:lvl>
    <w:lvl w:ilvl="6">
      <w:start w:val="1"/>
      <w:numFmt w:val="bullet"/>
      <w:lvlText w:val=""/>
      <w:lvlJc w:val="left"/>
      <w:pPr>
        <w:ind w:left="2016" w:hanging="216"/>
      </w:pPr>
      <w:rPr>
        <w:rFonts w:ascii="Symbol" w:hAnsi="Symbol" w:hint="default"/>
      </w:rPr>
    </w:lvl>
    <w:lvl w:ilvl="7">
      <w:start w:val="1"/>
      <w:numFmt w:val="bullet"/>
      <w:lvlText w:val="o"/>
      <w:lvlJc w:val="left"/>
      <w:pPr>
        <w:ind w:left="2304" w:hanging="216"/>
      </w:pPr>
      <w:rPr>
        <w:rFonts w:ascii="Courier New" w:hAnsi="Courier New" w:cs="Courier New" w:hint="default"/>
      </w:rPr>
    </w:lvl>
    <w:lvl w:ilvl="8">
      <w:start w:val="1"/>
      <w:numFmt w:val="bullet"/>
      <w:lvlText w:val=""/>
      <w:lvlJc w:val="left"/>
      <w:pPr>
        <w:ind w:left="2592" w:hanging="216"/>
      </w:pPr>
      <w:rPr>
        <w:rFonts w:ascii="Wingdings" w:hAnsi="Wingdings" w:hint="default"/>
      </w:rPr>
    </w:lvl>
  </w:abstractNum>
  <w:abstractNum w:abstractNumId="16" w15:restartNumberingAfterBreak="0">
    <w:nsid w:val="6A0756DB"/>
    <w:multiLevelType w:val="multilevel"/>
    <w:tmpl w:val="B94E7818"/>
    <w:styleLink w:val="ListBullets-Table10"/>
    <w:lvl w:ilvl="0">
      <w:start w:val="1"/>
      <w:numFmt w:val="bullet"/>
      <w:pStyle w:val="Table10Bullet1"/>
      <w:lvlText w:val="•"/>
      <w:lvlJc w:val="left"/>
      <w:pPr>
        <w:ind w:left="288" w:hanging="288"/>
      </w:pPr>
      <w:rPr>
        <w:rFonts w:ascii="Calibri" w:hAnsi="Calibri" w:hint="default"/>
        <w:color w:val="326EA3" w:themeColor="accent1"/>
        <w:sz w:val="20"/>
      </w:rPr>
    </w:lvl>
    <w:lvl w:ilvl="1">
      <w:start w:val="1"/>
      <w:numFmt w:val="bullet"/>
      <w:pStyle w:val="Table10Bullet2"/>
      <w:lvlText w:val="–"/>
      <w:lvlJc w:val="left"/>
      <w:pPr>
        <w:ind w:left="576" w:hanging="288"/>
      </w:pPr>
      <w:rPr>
        <w:rFonts w:ascii="Calibri" w:hAnsi="Calibri" w:hint="default"/>
        <w:color w:val="326EA3" w:themeColor="accent1"/>
      </w:rPr>
    </w:lvl>
    <w:lvl w:ilvl="2">
      <w:start w:val="1"/>
      <w:numFmt w:val="bullet"/>
      <w:pStyle w:val="Table10Bullet3"/>
      <w:lvlText w:val="»"/>
      <w:lvlJc w:val="left"/>
      <w:pPr>
        <w:ind w:left="864" w:hanging="288"/>
      </w:pPr>
      <w:rPr>
        <w:rFonts w:ascii="Arial" w:hAnsi="Arial" w:hint="default"/>
        <w:color w:val="326EA3" w:themeColor="accent1"/>
      </w:rPr>
    </w:lvl>
    <w:lvl w:ilvl="3">
      <w:start w:val="1"/>
      <w:numFmt w:val="bullet"/>
      <w:lvlText w:val="◦"/>
      <w:lvlJc w:val="left"/>
      <w:pPr>
        <w:ind w:left="1152" w:hanging="288"/>
      </w:pPr>
      <w:rPr>
        <w:rFonts w:ascii="Calibri" w:hAnsi="Calibri" w:hint="default"/>
        <w:color w:val="326EA3" w:themeColor="accent1"/>
      </w:rPr>
    </w:lvl>
    <w:lvl w:ilvl="4">
      <w:start w:val="1"/>
      <w:numFmt w:val="bullet"/>
      <w:lvlText w:val="›"/>
      <w:lvlJc w:val="left"/>
      <w:pPr>
        <w:ind w:left="1440" w:hanging="288"/>
      </w:pPr>
      <w:rPr>
        <w:rFonts w:ascii="Calibri" w:hAnsi="Calibri" w:hint="default"/>
        <w:color w:val="326EA3" w:themeColor="accent1"/>
      </w:rPr>
    </w:lvl>
    <w:lvl w:ilvl="5">
      <w:start w:val="1"/>
      <w:numFmt w:val="bullet"/>
      <w:lvlText w:val="‹"/>
      <w:lvlJc w:val="left"/>
      <w:pPr>
        <w:ind w:left="1728" w:hanging="288"/>
      </w:pPr>
      <w:rPr>
        <w:rFonts w:ascii="Calibri" w:hAnsi="Calibri" w:hint="default"/>
        <w:color w:val="326EA3" w:themeColor="accent1"/>
      </w:rPr>
    </w:lvl>
    <w:lvl w:ilvl="6">
      <w:start w:val="1"/>
      <w:numFmt w:val="bullet"/>
      <w:lvlText w:val="«"/>
      <w:lvlJc w:val="left"/>
      <w:pPr>
        <w:ind w:left="2016" w:hanging="288"/>
      </w:pPr>
      <w:rPr>
        <w:rFonts w:ascii="Calibri" w:hAnsi="Calibri" w:hint="default"/>
        <w:color w:val="326EA3" w:themeColor="accent1"/>
      </w:rPr>
    </w:lvl>
    <w:lvl w:ilvl="7">
      <w:start w:val="1"/>
      <w:numFmt w:val="bullet"/>
      <w:lvlText w:val="-"/>
      <w:lvlJc w:val="left"/>
      <w:pPr>
        <w:ind w:left="2304" w:hanging="288"/>
      </w:pPr>
      <w:rPr>
        <w:rFonts w:ascii="Calibri" w:hAnsi="Calibri" w:hint="default"/>
        <w:color w:val="326EA3" w:themeColor="accent1"/>
      </w:rPr>
    </w:lvl>
    <w:lvl w:ilvl="8">
      <w:start w:val="1"/>
      <w:numFmt w:val="bullet"/>
      <w:lvlText w:val=""/>
      <w:lvlJc w:val="left"/>
      <w:pPr>
        <w:ind w:left="2592" w:hanging="288"/>
      </w:pPr>
      <w:rPr>
        <w:rFonts w:ascii="Wingdings" w:hAnsi="Wingdings" w:hint="default"/>
        <w:color w:val="326EA3" w:themeColor="accent1"/>
      </w:rPr>
    </w:lvl>
  </w:abstractNum>
  <w:num w:numId="1" w16cid:durableId="810101054">
    <w:abstractNumId w:val="12"/>
  </w:num>
  <w:num w:numId="2" w16cid:durableId="1632393683">
    <w:abstractNumId w:val="8"/>
  </w:num>
  <w:num w:numId="3" w16cid:durableId="1411853881">
    <w:abstractNumId w:val="16"/>
  </w:num>
  <w:num w:numId="4" w16cid:durableId="958802886">
    <w:abstractNumId w:val="5"/>
  </w:num>
  <w:num w:numId="5" w16cid:durableId="1976253272">
    <w:abstractNumId w:val="13"/>
  </w:num>
  <w:num w:numId="6" w16cid:durableId="1591157838">
    <w:abstractNumId w:val="10"/>
  </w:num>
  <w:num w:numId="7" w16cid:durableId="1330794088">
    <w:abstractNumId w:val="1"/>
  </w:num>
  <w:num w:numId="8" w16cid:durableId="802692379">
    <w:abstractNumId w:val="14"/>
  </w:num>
  <w:num w:numId="9" w16cid:durableId="1768425580">
    <w:abstractNumId w:val="6"/>
  </w:num>
  <w:num w:numId="10" w16cid:durableId="284625022">
    <w:abstractNumId w:val="9"/>
  </w:num>
  <w:num w:numId="11" w16cid:durableId="1386220196">
    <w:abstractNumId w:val="0"/>
  </w:num>
  <w:num w:numId="12" w16cid:durableId="704521168">
    <w:abstractNumId w:val="7"/>
  </w:num>
  <w:num w:numId="13" w16cid:durableId="1215964159">
    <w:abstractNumId w:val="3"/>
  </w:num>
  <w:num w:numId="14" w16cid:durableId="1811899107">
    <w:abstractNumId w:val="11"/>
  </w:num>
  <w:num w:numId="15" w16cid:durableId="988439303">
    <w:abstractNumId w:val="15"/>
  </w:num>
  <w:num w:numId="16" w16cid:durableId="347486015">
    <w:abstractNumId w:val="2"/>
  </w:num>
  <w:num w:numId="17" w16cid:durableId="6808604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813056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26654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501875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821081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089516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785398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842427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5563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740242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948774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3621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351880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697635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801885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08484107">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115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EwNDAwsjA2MbAwM7BQ0lEKTi0uzszPAykwqgUAsNGHkCwAAAA="/>
  </w:docVars>
  <w:rsids>
    <w:rsidRoot w:val="00B5518F"/>
    <w:rsid w:val="00005082"/>
    <w:rsid w:val="00005F5F"/>
    <w:rsid w:val="000122BD"/>
    <w:rsid w:val="00020E94"/>
    <w:rsid w:val="000213F5"/>
    <w:rsid w:val="00022FF0"/>
    <w:rsid w:val="00025085"/>
    <w:rsid w:val="00026D6C"/>
    <w:rsid w:val="0004214F"/>
    <w:rsid w:val="00060901"/>
    <w:rsid w:val="0006384A"/>
    <w:rsid w:val="000744E7"/>
    <w:rsid w:val="0008002B"/>
    <w:rsid w:val="000802B9"/>
    <w:rsid w:val="00082F49"/>
    <w:rsid w:val="000861B1"/>
    <w:rsid w:val="00087C83"/>
    <w:rsid w:val="00094A4E"/>
    <w:rsid w:val="00094F13"/>
    <w:rsid w:val="000979A9"/>
    <w:rsid w:val="00097DFD"/>
    <w:rsid w:val="000A38AA"/>
    <w:rsid w:val="000A3AFD"/>
    <w:rsid w:val="000A600B"/>
    <w:rsid w:val="000A6A80"/>
    <w:rsid w:val="000A7E5F"/>
    <w:rsid w:val="000B0039"/>
    <w:rsid w:val="000B186F"/>
    <w:rsid w:val="000B3ED9"/>
    <w:rsid w:val="000B3FFB"/>
    <w:rsid w:val="000C201D"/>
    <w:rsid w:val="000C23D1"/>
    <w:rsid w:val="000D2900"/>
    <w:rsid w:val="000E268F"/>
    <w:rsid w:val="000E3C7F"/>
    <w:rsid w:val="000E4C78"/>
    <w:rsid w:val="000F4E5B"/>
    <w:rsid w:val="000F7223"/>
    <w:rsid w:val="00105FBF"/>
    <w:rsid w:val="00106060"/>
    <w:rsid w:val="001152E0"/>
    <w:rsid w:val="001237C4"/>
    <w:rsid w:val="001266E6"/>
    <w:rsid w:val="0013388B"/>
    <w:rsid w:val="001345C1"/>
    <w:rsid w:val="00134961"/>
    <w:rsid w:val="0013695A"/>
    <w:rsid w:val="001406C6"/>
    <w:rsid w:val="00143910"/>
    <w:rsid w:val="00151408"/>
    <w:rsid w:val="00153AAE"/>
    <w:rsid w:val="001558E5"/>
    <w:rsid w:val="00155B83"/>
    <w:rsid w:val="00157B84"/>
    <w:rsid w:val="0016277D"/>
    <w:rsid w:val="001627C7"/>
    <w:rsid w:val="0017072D"/>
    <w:rsid w:val="00173C88"/>
    <w:rsid w:val="0018187B"/>
    <w:rsid w:val="00181EA9"/>
    <w:rsid w:val="001876F3"/>
    <w:rsid w:val="001A0E10"/>
    <w:rsid w:val="001A6AF1"/>
    <w:rsid w:val="001A6D36"/>
    <w:rsid w:val="001A7724"/>
    <w:rsid w:val="001B073A"/>
    <w:rsid w:val="001B30F7"/>
    <w:rsid w:val="001C2944"/>
    <w:rsid w:val="001D1D91"/>
    <w:rsid w:val="001D7CB7"/>
    <w:rsid w:val="001E044C"/>
    <w:rsid w:val="001E225C"/>
    <w:rsid w:val="001E3916"/>
    <w:rsid w:val="00207347"/>
    <w:rsid w:val="0021518C"/>
    <w:rsid w:val="00216BB4"/>
    <w:rsid w:val="00217BD4"/>
    <w:rsid w:val="00222828"/>
    <w:rsid w:val="0024022D"/>
    <w:rsid w:val="00242028"/>
    <w:rsid w:val="00245CFF"/>
    <w:rsid w:val="0024600B"/>
    <w:rsid w:val="00247CB8"/>
    <w:rsid w:val="002516A0"/>
    <w:rsid w:val="00255602"/>
    <w:rsid w:val="00263F0E"/>
    <w:rsid w:val="00270243"/>
    <w:rsid w:val="00273AEB"/>
    <w:rsid w:val="002759E2"/>
    <w:rsid w:val="0027634F"/>
    <w:rsid w:val="00285E77"/>
    <w:rsid w:val="00286122"/>
    <w:rsid w:val="00293424"/>
    <w:rsid w:val="002A23E5"/>
    <w:rsid w:val="002A2F60"/>
    <w:rsid w:val="002B180E"/>
    <w:rsid w:val="002B5289"/>
    <w:rsid w:val="002B6DBC"/>
    <w:rsid w:val="002C003F"/>
    <w:rsid w:val="002C278F"/>
    <w:rsid w:val="002C60C1"/>
    <w:rsid w:val="002D2C52"/>
    <w:rsid w:val="002D6894"/>
    <w:rsid w:val="002E1079"/>
    <w:rsid w:val="002E1171"/>
    <w:rsid w:val="002E3742"/>
    <w:rsid w:val="002E5266"/>
    <w:rsid w:val="002F7CEE"/>
    <w:rsid w:val="00315BDA"/>
    <w:rsid w:val="0031723A"/>
    <w:rsid w:val="00320A13"/>
    <w:rsid w:val="00323FC2"/>
    <w:rsid w:val="003240A6"/>
    <w:rsid w:val="003250E7"/>
    <w:rsid w:val="003259E4"/>
    <w:rsid w:val="003315F4"/>
    <w:rsid w:val="00332970"/>
    <w:rsid w:val="003416FB"/>
    <w:rsid w:val="00343A7C"/>
    <w:rsid w:val="00351AB5"/>
    <w:rsid w:val="0035277B"/>
    <w:rsid w:val="003538E2"/>
    <w:rsid w:val="00355E71"/>
    <w:rsid w:val="0036122F"/>
    <w:rsid w:val="00365F28"/>
    <w:rsid w:val="0036694A"/>
    <w:rsid w:val="00373490"/>
    <w:rsid w:val="003742E6"/>
    <w:rsid w:val="00375FBC"/>
    <w:rsid w:val="00381E8D"/>
    <w:rsid w:val="00383592"/>
    <w:rsid w:val="00383F00"/>
    <w:rsid w:val="00384256"/>
    <w:rsid w:val="003971D7"/>
    <w:rsid w:val="003B2FFA"/>
    <w:rsid w:val="003C188A"/>
    <w:rsid w:val="003C3656"/>
    <w:rsid w:val="003C71C4"/>
    <w:rsid w:val="003C7BFE"/>
    <w:rsid w:val="003D4493"/>
    <w:rsid w:val="003D75B0"/>
    <w:rsid w:val="003E1D83"/>
    <w:rsid w:val="003E6D38"/>
    <w:rsid w:val="003E7DC9"/>
    <w:rsid w:val="00402ACF"/>
    <w:rsid w:val="00405DAD"/>
    <w:rsid w:val="004140F0"/>
    <w:rsid w:val="00421D99"/>
    <w:rsid w:val="0042547A"/>
    <w:rsid w:val="0042575F"/>
    <w:rsid w:val="00426F6B"/>
    <w:rsid w:val="004327C7"/>
    <w:rsid w:val="004343E3"/>
    <w:rsid w:val="004455F7"/>
    <w:rsid w:val="004467F5"/>
    <w:rsid w:val="004511E6"/>
    <w:rsid w:val="00453429"/>
    <w:rsid w:val="00455361"/>
    <w:rsid w:val="0045627E"/>
    <w:rsid w:val="00461104"/>
    <w:rsid w:val="004667EF"/>
    <w:rsid w:val="004723C3"/>
    <w:rsid w:val="00483603"/>
    <w:rsid w:val="00492D1C"/>
    <w:rsid w:val="0049464B"/>
    <w:rsid w:val="00497734"/>
    <w:rsid w:val="004A2817"/>
    <w:rsid w:val="004A4E9C"/>
    <w:rsid w:val="004B4E67"/>
    <w:rsid w:val="004C7143"/>
    <w:rsid w:val="004D074D"/>
    <w:rsid w:val="004D0D24"/>
    <w:rsid w:val="004D11BE"/>
    <w:rsid w:val="004E3EB0"/>
    <w:rsid w:val="004E7DE9"/>
    <w:rsid w:val="004F7286"/>
    <w:rsid w:val="004F7569"/>
    <w:rsid w:val="0050676A"/>
    <w:rsid w:val="005069A4"/>
    <w:rsid w:val="005161D8"/>
    <w:rsid w:val="005369F7"/>
    <w:rsid w:val="0055139F"/>
    <w:rsid w:val="0055448D"/>
    <w:rsid w:val="00556C55"/>
    <w:rsid w:val="00562361"/>
    <w:rsid w:val="0056653B"/>
    <w:rsid w:val="00571729"/>
    <w:rsid w:val="00573768"/>
    <w:rsid w:val="00573784"/>
    <w:rsid w:val="00580F3D"/>
    <w:rsid w:val="0058111F"/>
    <w:rsid w:val="00581F92"/>
    <w:rsid w:val="0058200F"/>
    <w:rsid w:val="005849A7"/>
    <w:rsid w:val="0058559B"/>
    <w:rsid w:val="0058640A"/>
    <w:rsid w:val="00590F97"/>
    <w:rsid w:val="005B04E3"/>
    <w:rsid w:val="005B0BC7"/>
    <w:rsid w:val="005B11A2"/>
    <w:rsid w:val="005B3653"/>
    <w:rsid w:val="005B58DA"/>
    <w:rsid w:val="005C2FA3"/>
    <w:rsid w:val="005E05BB"/>
    <w:rsid w:val="005E6AD6"/>
    <w:rsid w:val="005E6CE6"/>
    <w:rsid w:val="005F078F"/>
    <w:rsid w:val="0060167B"/>
    <w:rsid w:val="00606E6C"/>
    <w:rsid w:val="00607046"/>
    <w:rsid w:val="006119E5"/>
    <w:rsid w:val="00617183"/>
    <w:rsid w:val="00622165"/>
    <w:rsid w:val="00625129"/>
    <w:rsid w:val="00633952"/>
    <w:rsid w:val="00636F1A"/>
    <w:rsid w:val="00643C42"/>
    <w:rsid w:val="0064416D"/>
    <w:rsid w:val="0064595C"/>
    <w:rsid w:val="00653875"/>
    <w:rsid w:val="006675AA"/>
    <w:rsid w:val="0067069F"/>
    <w:rsid w:val="006826D9"/>
    <w:rsid w:val="006831B6"/>
    <w:rsid w:val="00684357"/>
    <w:rsid w:val="0068560E"/>
    <w:rsid w:val="00690ED2"/>
    <w:rsid w:val="00694956"/>
    <w:rsid w:val="006B3FF8"/>
    <w:rsid w:val="006D1140"/>
    <w:rsid w:val="006E5E90"/>
    <w:rsid w:val="006F18C2"/>
    <w:rsid w:val="006F21B0"/>
    <w:rsid w:val="006F7E04"/>
    <w:rsid w:val="0070633F"/>
    <w:rsid w:val="007115B2"/>
    <w:rsid w:val="00724390"/>
    <w:rsid w:val="007250F5"/>
    <w:rsid w:val="00725361"/>
    <w:rsid w:val="0074086B"/>
    <w:rsid w:val="007415EF"/>
    <w:rsid w:val="00743CB9"/>
    <w:rsid w:val="0075181E"/>
    <w:rsid w:val="007519C4"/>
    <w:rsid w:val="007570CC"/>
    <w:rsid w:val="007642C7"/>
    <w:rsid w:val="00766B8B"/>
    <w:rsid w:val="00767F32"/>
    <w:rsid w:val="00773361"/>
    <w:rsid w:val="007805F2"/>
    <w:rsid w:val="00780A79"/>
    <w:rsid w:val="007841AF"/>
    <w:rsid w:val="00790786"/>
    <w:rsid w:val="00791DF9"/>
    <w:rsid w:val="00794167"/>
    <w:rsid w:val="007A6D2A"/>
    <w:rsid w:val="007C51A2"/>
    <w:rsid w:val="007C7C33"/>
    <w:rsid w:val="007D4B67"/>
    <w:rsid w:val="007D6B19"/>
    <w:rsid w:val="007E7233"/>
    <w:rsid w:val="007F2344"/>
    <w:rsid w:val="007F4DF7"/>
    <w:rsid w:val="007F511B"/>
    <w:rsid w:val="008053E6"/>
    <w:rsid w:val="008063D7"/>
    <w:rsid w:val="00811BD9"/>
    <w:rsid w:val="00814666"/>
    <w:rsid w:val="0081563B"/>
    <w:rsid w:val="00816159"/>
    <w:rsid w:val="00821A55"/>
    <w:rsid w:val="00821D35"/>
    <w:rsid w:val="00830584"/>
    <w:rsid w:val="00831DE5"/>
    <w:rsid w:val="008372DB"/>
    <w:rsid w:val="00841F85"/>
    <w:rsid w:val="00842F0E"/>
    <w:rsid w:val="008711BB"/>
    <w:rsid w:val="00871B87"/>
    <w:rsid w:val="008A1BC1"/>
    <w:rsid w:val="008A1ED8"/>
    <w:rsid w:val="008A4CAB"/>
    <w:rsid w:val="008A4E7D"/>
    <w:rsid w:val="008A5EF4"/>
    <w:rsid w:val="008A7225"/>
    <w:rsid w:val="008A7419"/>
    <w:rsid w:val="008B4656"/>
    <w:rsid w:val="008B6064"/>
    <w:rsid w:val="008C02DB"/>
    <w:rsid w:val="008D1CB9"/>
    <w:rsid w:val="008D27B9"/>
    <w:rsid w:val="008D3B08"/>
    <w:rsid w:val="008E3089"/>
    <w:rsid w:val="008F4EDD"/>
    <w:rsid w:val="008F6B56"/>
    <w:rsid w:val="008F72AF"/>
    <w:rsid w:val="0090074B"/>
    <w:rsid w:val="00904ADC"/>
    <w:rsid w:val="00912137"/>
    <w:rsid w:val="009135F2"/>
    <w:rsid w:val="00913C89"/>
    <w:rsid w:val="0091653E"/>
    <w:rsid w:val="0091760C"/>
    <w:rsid w:val="009177D8"/>
    <w:rsid w:val="009215DA"/>
    <w:rsid w:val="0092261B"/>
    <w:rsid w:val="00924570"/>
    <w:rsid w:val="00926AF6"/>
    <w:rsid w:val="009351C4"/>
    <w:rsid w:val="00943251"/>
    <w:rsid w:val="009443C4"/>
    <w:rsid w:val="00945EA1"/>
    <w:rsid w:val="0095080F"/>
    <w:rsid w:val="009655A9"/>
    <w:rsid w:val="009758A1"/>
    <w:rsid w:val="00980835"/>
    <w:rsid w:val="00983C61"/>
    <w:rsid w:val="00985B50"/>
    <w:rsid w:val="00987326"/>
    <w:rsid w:val="0098738B"/>
    <w:rsid w:val="009902B2"/>
    <w:rsid w:val="009905A8"/>
    <w:rsid w:val="009A3A73"/>
    <w:rsid w:val="009A64C3"/>
    <w:rsid w:val="009B151A"/>
    <w:rsid w:val="009B2B03"/>
    <w:rsid w:val="009C56D2"/>
    <w:rsid w:val="009C6F88"/>
    <w:rsid w:val="009C70A1"/>
    <w:rsid w:val="009D1700"/>
    <w:rsid w:val="009D1C0A"/>
    <w:rsid w:val="009D3CCE"/>
    <w:rsid w:val="009E3F84"/>
    <w:rsid w:val="009E7019"/>
    <w:rsid w:val="009F2360"/>
    <w:rsid w:val="00A002AF"/>
    <w:rsid w:val="00A00DA1"/>
    <w:rsid w:val="00A0310A"/>
    <w:rsid w:val="00A1149F"/>
    <w:rsid w:val="00A14CE1"/>
    <w:rsid w:val="00A16968"/>
    <w:rsid w:val="00A243A6"/>
    <w:rsid w:val="00A269C1"/>
    <w:rsid w:val="00A271B2"/>
    <w:rsid w:val="00A275E8"/>
    <w:rsid w:val="00A27D31"/>
    <w:rsid w:val="00A3026D"/>
    <w:rsid w:val="00A36CD2"/>
    <w:rsid w:val="00A37A72"/>
    <w:rsid w:val="00A44049"/>
    <w:rsid w:val="00A44F28"/>
    <w:rsid w:val="00A4550D"/>
    <w:rsid w:val="00A45E0E"/>
    <w:rsid w:val="00A5014A"/>
    <w:rsid w:val="00A63F2C"/>
    <w:rsid w:val="00A71419"/>
    <w:rsid w:val="00A71A7E"/>
    <w:rsid w:val="00A77A85"/>
    <w:rsid w:val="00A77DA4"/>
    <w:rsid w:val="00A80D9C"/>
    <w:rsid w:val="00A81C8C"/>
    <w:rsid w:val="00A95057"/>
    <w:rsid w:val="00AA2A31"/>
    <w:rsid w:val="00AA4D91"/>
    <w:rsid w:val="00AB51AD"/>
    <w:rsid w:val="00AB5D21"/>
    <w:rsid w:val="00AB735D"/>
    <w:rsid w:val="00AC0C2B"/>
    <w:rsid w:val="00AC6FCE"/>
    <w:rsid w:val="00AD0A44"/>
    <w:rsid w:val="00AD0CA4"/>
    <w:rsid w:val="00AD5377"/>
    <w:rsid w:val="00AE7249"/>
    <w:rsid w:val="00AF1CCD"/>
    <w:rsid w:val="00AF2A8F"/>
    <w:rsid w:val="00AF62E9"/>
    <w:rsid w:val="00AF6763"/>
    <w:rsid w:val="00AF7CDC"/>
    <w:rsid w:val="00B24D98"/>
    <w:rsid w:val="00B3792B"/>
    <w:rsid w:val="00B41455"/>
    <w:rsid w:val="00B418EE"/>
    <w:rsid w:val="00B42FE9"/>
    <w:rsid w:val="00B5518F"/>
    <w:rsid w:val="00B56041"/>
    <w:rsid w:val="00B60254"/>
    <w:rsid w:val="00B70BC9"/>
    <w:rsid w:val="00B7741D"/>
    <w:rsid w:val="00B774DF"/>
    <w:rsid w:val="00B85BC7"/>
    <w:rsid w:val="00B86F47"/>
    <w:rsid w:val="00B90825"/>
    <w:rsid w:val="00B91713"/>
    <w:rsid w:val="00BA1128"/>
    <w:rsid w:val="00BA1250"/>
    <w:rsid w:val="00BB5B88"/>
    <w:rsid w:val="00BB61B3"/>
    <w:rsid w:val="00BC5F88"/>
    <w:rsid w:val="00BD068E"/>
    <w:rsid w:val="00BD1CFE"/>
    <w:rsid w:val="00BD5713"/>
    <w:rsid w:val="00BD7778"/>
    <w:rsid w:val="00BE0CC3"/>
    <w:rsid w:val="00BE18C9"/>
    <w:rsid w:val="00BF07FB"/>
    <w:rsid w:val="00BF6C8D"/>
    <w:rsid w:val="00C1162F"/>
    <w:rsid w:val="00C17C79"/>
    <w:rsid w:val="00C21CF5"/>
    <w:rsid w:val="00C34435"/>
    <w:rsid w:val="00C35732"/>
    <w:rsid w:val="00C504DF"/>
    <w:rsid w:val="00C54E97"/>
    <w:rsid w:val="00C55F2C"/>
    <w:rsid w:val="00C63492"/>
    <w:rsid w:val="00C648DE"/>
    <w:rsid w:val="00C71C1B"/>
    <w:rsid w:val="00C7722F"/>
    <w:rsid w:val="00C8194C"/>
    <w:rsid w:val="00C837CE"/>
    <w:rsid w:val="00C919A6"/>
    <w:rsid w:val="00C93186"/>
    <w:rsid w:val="00CA0553"/>
    <w:rsid w:val="00CA07B4"/>
    <w:rsid w:val="00CB0E07"/>
    <w:rsid w:val="00CB17EB"/>
    <w:rsid w:val="00CB1E96"/>
    <w:rsid w:val="00CC7EFD"/>
    <w:rsid w:val="00CD013E"/>
    <w:rsid w:val="00CD5C27"/>
    <w:rsid w:val="00CD6471"/>
    <w:rsid w:val="00CF54DA"/>
    <w:rsid w:val="00CF5B64"/>
    <w:rsid w:val="00CF78AB"/>
    <w:rsid w:val="00D03DD5"/>
    <w:rsid w:val="00D128E0"/>
    <w:rsid w:val="00D15531"/>
    <w:rsid w:val="00D17EB9"/>
    <w:rsid w:val="00D2000C"/>
    <w:rsid w:val="00D201C6"/>
    <w:rsid w:val="00D210B3"/>
    <w:rsid w:val="00D212AD"/>
    <w:rsid w:val="00D23A21"/>
    <w:rsid w:val="00D25887"/>
    <w:rsid w:val="00D26785"/>
    <w:rsid w:val="00D3193F"/>
    <w:rsid w:val="00D41AEF"/>
    <w:rsid w:val="00D41BED"/>
    <w:rsid w:val="00D41F12"/>
    <w:rsid w:val="00D45FB8"/>
    <w:rsid w:val="00D50CEB"/>
    <w:rsid w:val="00D541FE"/>
    <w:rsid w:val="00D567D1"/>
    <w:rsid w:val="00D61974"/>
    <w:rsid w:val="00D65A06"/>
    <w:rsid w:val="00D660B1"/>
    <w:rsid w:val="00D71ED0"/>
    <w:rsid w:val="00D741D8"/>
    <w:rsid w:val="00D767E2"/>
    <w:rsid w:val="00D76CCF"/>
    <w:rsid w:val="00D77D30"/>
    <w:rsid w:val="00D802C2"/>
    <w:rsid w:val="00D86AD5"/>
    <w:rsid w:val="00D87EB8"/>
    <w:rsid w:val="00D9236C"/>
    <w:rsid w:val="00DB5DF3"/>
    <w:rsid w:val="00DC4C65"/>
    <w:rsid w:val="00DE06EC"/>
    <w:rsid w:val="00DE0BA0"/>
    <w:rsid w:val="00DE24E3"/>
    <w:rsid w:val="00DF1AE5"/>
    <w:rsid w:val="00E03D05"/>
    <w:rsid w:val="00E05ACC"/>
    <w:rsid w:val="00E14978"/>
    <w:rsid w:val="00E14F60"/>
    <w:rsid w:val="00E22D94"/>
    <w:rsid w:val="00E31B76"/>
    <w:rsid w:val="00E33A99"/>
    <w:rsid w:val="00E34B0D"/>
    <w:rsid w:val="00E37A45"/>
    <w:rsid w:val="00E502F7"/>
    <w:rsid w:val="00E52FF9"/>
    <w:rsid w:val="00E56438"/>
    <w:rsid w:val="00E570DE"/>
    <w:rsid w:val="00E571C8"/>
    <w:rsid w:val="00E773C5"/>
    <w:rsid w:val="00E825CB"/>
    <w:rsid w:val="00E8351E"/>
    <w:rsid w:val="00E92A3A"/>
    <w:rsid w:val="00E92DC3"/>
    <w:rsid w:val="00EA2CA4"/>
    <w:rsid w:val="00EA3A53"/>
    <w:rsid w:val="00EB4AB1"/>
    <w:rsid w:val="00EB4BDC"/>
    <w:rsid w:val="00EC1995"/>
    <w:rsid w:val="00EC74A9"/>
    <w:rsid w:val="00ED2A9F"/>
    <w:rsid w:val="00ED433E"/>
    <w:rsid w:val="00ED72FF"/>
    <w:rsid w:val="00EE04F5"/>
    <w:rsid w:val="00EE10FD"/>
    <w:rsid w:val="00EE4E0F"/>
    <w:rsid w:val="00EE7FD2"/>
    <w:rsid w:val="00EF00A9"/>
    <w:rsid w:val="00EF3E7E"/>
    <w:rsid w:val="00F025B5"/>
    <w:rsid w:val="00F03B0E"/>
    <w:rsid w:val="00F04879"/>
    <w:rsid w:val="00F10791"/>
    <w:rsid w:val="00F4050E"/>
    <w:rsid w:val="00F444B0"/>
    <w:rsid w:val="00F46BF8"/>
    <w:rsid w:val="00F527DF"/>
    <w:rsid w:val="00F52E0C"/>
    <w:rsid w:val="00F573B5"/>
    <w:rsid w:val="00F63767"/>
    <w:rsid w:val="00F649C4"/>
    <w:rsid w:val="00F67FBB"/>
    <w:rsid w:val="00F8231F"/>
    <w:rsid w:val="00F84C6D"/>
    <w:rsid w:val="00F8504B"/>
    <w:rsid w:val="00F85308"/>
    <w:rsid w:val="00F92477"/>
    <w:rsid w:val="00F929E6"/>
    <w:rsid w:val="00F92ECC"/>
    <w:rsid w:val="00F97929"/>
    <w:rsid w:val="00FA2E5F"/>
    <w:rsid w:val="00FA4DDD"/>
    <w:rsid w:val="00FB0EF7"/>
    <w:rsid w:val="00FB3A7F"/>
    <w:rsid w:val="00FB51C5"/>
    <w:rsid w:val="00FC2121"/>
    <w:rsid w:val="00FC329A"/>
    <w:rsid w:val="00FC4216"/>
    <w:rsid w:val="00FD0DDD"/>
    <w:rsid w:val="00FD18CD"/>
    <w:rsid w:val="00FD3609"/>
    <w:rsid w:val="00FD7FB4"/>
    <w:rsid w:val="00FE398B"/>
    <w:rsid w:val="00FE6739"/>
    <w:rsid w:val="00FF0D5A"/>
    <w:rsid w:val="00FF146F"/>
    <w:rsid w:val="00FF1D28"/>
    <w:rsid w:val="00FF56BC"/>
    <w:rsid w:val="17EA9296"/>
    <w:rsid w:val="4AFF6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8D2C16"/>
  <w15:chartTrackingRefBased/>
  <w15:docId w15:val="{281298C3-7C1B-F147-AF1B-D08DAB15A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51E"/>
  </w:style>
  <w:style w:type="paragraph" w:styleId="Heading1">
    <w:name w:val="heading 1"/>
    <w:next w:val="DocumentSubtitle"/>
    <w:link w:val="Heading1Char"/>
    <w:uiPriority w:val="9"/>
    <w:qFormat/>
    <w:rsid w:val="00AF2A8F"/>
    <w:pPr>
      <w:suppressAutoHyphens/>
      <w:spacing w:after="120"/>
      <w:outlineLvl w:val="0"/>
    </w:pPr>
    <w:rPr>
      <w:rFonts w:asciiTheme="majorHAnsi" w:eastAsia="Perpetua" w:hAnsiTheme="majorHAnsi" w:cs="Calibri"/>
      <w:b/>
      <w:color w:val="326EA3" w:themeColor="accent1"/>
      <w:sz w:val="44"/>
      <w:szCs w:val="90"/>
    </w:rPr>
  </w:style>
  <w:style w:type="paragraph" w:styleId="Heading2">
    <w:name w:val="heading 2"/>
    <w:basedOn w:val="HeadingFont"/>
    <w:next w:val="BodyTextPostHead"/>
    <w:link w:val="Heading2Char"/>
    <w:uiPriority w:val="9"/>
    <w:unhideWhenUsed/>
    <w:qFormat/>
    <w:rsid w:val="003742E6"/>
    <w:pPr>
      <w:keepLines/>
      <w:spacing w:before="360" w:after="120"/>
      <w:outlineLvl w:val="1"/>
    </w:pPr>
    <w:rPr>
      <w:rFonts w:eastAsiaTheme="majorEastAsia" w:cstheme="majorBidi"/>
      <w:b/>
      <w:color w:val="326EA3" w:themeColor="accent1"/>
      <w:sz w:val="30"/>
      <w:szCs w:val="30"/>
    </w:rPr>
  </w:style>
  <w:style w:type="paragraph" w:styleId="Heading3">
    <w:name w:val="heading 3"/>
    <w:basedOn w:val="Heading2"/>
    <w:next w:val="BodyTextPostHead"/>
    <w:link w:val="Heading3Char"/>
    <w:uiPriority w:val="9"/>
    <w:unhideWhenUsed/>
    <w:qFormat/>
    <w:rsid w:val="00AD5377"/>
    <w:pPr>
      <w:spacing w:before="240" w:after="0"/>
      <w:outlineLvl w:val="2"/>
    </w:pPr>
    <w:rPr>
      <w:rFonts w:eastAsia="Times New Roman" w:cs="Times New Roman"/>
      <w:sz w:val="28"/>
      <w:szCs w:val="26"/>
    </w:rPr>
  </w:style>
  <w:style w:type="paragraph" w:styleId="Heading4">
    <w:name w:val="heading 4"/>
    <w:basedOn w:val="Heading3"/>
    <w:next w:val="BodyTextPostHead"/>
    <w:link w:val="Heading4Char"/>
    <w:uiPriority w:val="9"/>
    <w:unhideWhenUsed/>
    <w:qFormat/>
    <w:rsid w:val="00FE6739"/>
    <w:pPr>
      <w:outlineLvl w:val="3"/>
    </w:pPr>
    <w:rPr>
      <w:i/>
      <w:iCs/>
      <w:sz w:val="26"/>
    </w:rPr>
  </w:style>
  <w:style w:type="paragraph" w:styleId="Heading5">
    <w:name w:val="heading 5"/>
    <w:basedOn w:val="BodyText"/>
    <w:next w:val="BodyTextPostHead"/>
    <w:link w:val="Heading5Char"/>
    <w:uiPriority w:val="9"/>
    <w:unhideWhenUsed/>
    <w:qFormat/>
    <w:rsid w:val="00FE6739"/>
    <w:pPr>
      <w:spacing w:after="0"/>
      <w:outlineLvl w:val="4"/>
    </w:pPr>
    <w:rPr>
      <w:rFonts w:cs="Calibri"/>
      <w:b/>
    </w:rPr>
  </w:style>
  <w:style w:type="paragraph" w:styleId="Heading6">
    <w:name w:val="heading 6"/>
    <w:basedOn w:val="BodyText"/>
    <w:next w:val="BodyTextPostHead"/>
    <w:link w:val="Heading6Char"/>
    <w:uiPriority w:val="9"/>
    <w:unhideWhenUsed/>
    <w:qFormat/>
    <w:rsid w:val="00FE6739"/>
    <w:pPr>
      <w:spacing w:after="0"/>
      <w:outlineLvl w:val="5"/>
    </w:pPr>
    <w:rPr>
      <w:b/>
      <w:i/>
    </w:rPr>
  </w:style>
  <w:style w:type="paragraph" w:styleId="Heading7">
    <w:name w:val="heading 7"/>
    <w:basedOn w:val="Normal"/>
    <w:next w:val="Normal"/>
    <w:link w:val="Heading7Char"/>
    <w:uiPriority w:val="9"/>
    <w:semiHidden/>
    <w:unhideWhenUsed/>
    <w:qFormat/>
    <w:rsid w:val="004A2817"/>
    <w:pPr>
      <w:keepNext/>
      <w:keepLines/>
      <w:spacing w:before="40" w:line="278" w:lineRule="auto"/>
      <w:outlineLvl w:val="6"/>
    </w:pPr>
    <w:rPr>
      <w:rFonts w:eastAsiaTheme="majorEastAsia" w:cstheme="majorBidi"/>
      <w:color w:val="6B6B6B"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A2817"/>
    <w:pPr>
      <w:keepNext/>
      <w:keepLines/>
      <w:spacing w:line="278" w:lineRule="auto"/>
      <w:outlineLvl w:val="7"/>
    </w:pPr>
    <w:rPr>
      <w:rFonts w:eastAsiaTheme="majorEastAsia" w:cstheme="majorBidi"/>
      <w:i/>
      <w:iCs/>
      <w:color w:val="3E3E3E"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A2817"/>
    <w:pPr>
      <w:keepNext/>
      <w:keepLines/>
      <w:spacing w:line="278" w:lineRule="auto"/>
      <w:outlineLvl w:val="8"/>
    </w:pPr>
    <w:rPr>
      <w:rFonts w:eastAsiaTheme="majorEastAsia" w:cstheme="majorBidi"/>
      <w:color w:val="3E3E3E"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BodyText"/>
    <w:link w:val="HeaderChar"/>
    <w:uiPriority w:val="99"/>
    <w:unhideWhenUsed/>
    <w:rsid w:val="00FE6739"/>
    <w:pPr>
      <w:tabs>
        <w:tab w:val="center" w:pos="4680"/>
        <w:tab w:val="right" w:pos="9360"/>
      </w:tabs>
      <w:spacing w:before="0" w:after="0"/>
    </w:pPr>
    <w:rPr>
      <w:sz w:val="20"/>
    </w:rPr>
  </w:style>
  <w:style w:type="character" w:customStyle="1" w:styleId="HeaderChar">
    <w:name w:val="Header Char"/>
    <w:basedOn w:val="DefaultParagraphFont"/>
    <w:link w:val="Header"/>
    <w:uiPriority w:val="99"/>
    <w:rsid w:val="00FE6739"/>
    <w:rPr>
      <w:rFonts w:eastAsia="Calibri" w:cs="Times New Roman"/>
      <w:sz w:val="20"/>
    </w:rPr>
  </w:style>
  <w:style w:type="paragraph" w:styleId="Footer">
    <w:name w:val="footer"/>
    <w:basedOn w:val="HeadingFont"/>
    <w:link w:val="FooterChar"/>
    <w:uiPriority w:val="99"/>
    <w:unhideWhenUsed/>
    <w:qFormat/>
    <w:rsid w:val="00FA4DDD"/>
    <w:pPr>
      <w:keepNext w:val="0"/>
      <w:tabs>
        <w:tab w:val="center" w:pos="4680"/>
        <w:tab w:val="right" w:pos="9360"/>
      </w:tabs>
      <w:spacing w:before="432"/>
      <w:ind w:left="-360"/>
    </w:pPr>
    <w:rPr>
      <w:sz w:val="20"/>
    </w:rPr>
  </w:style>
  <w:style w:type="character" w:customStyle="1" w:styleId="FooterChar">
    <w:name w:val="Footer Char"/>
    <w:basedOn w:val="DefaultParagraphFont"/>
    <w:link w:val="Footer"/>
    <w:uiPriority w:val="99"/>
    <w:rsid w:val="00FA4DDD"/>
    <w:rPr>
      <w:rFonts w:asciiTheme="majorHAnsi" w:hAnsiTheme="majorHAnsi"/>
      <w:sz w:val="20"/>
    </w:rPr>
  </w:style>
  <w:style w:type="paragraph" w:customStyle="1" w:styleId="Footer-PgNum">
    <w:name w:val="Footer-PgNum"/>
    <w:basedOn w:val="Footer-AIR"/>
    <w:qFormat/>
    <w:rsid w:val="009177D8"/>
    <w:pPr>
      <w:ind w:right="360"/>
      <w:jc w:val="right"/>
    </w:pPr>
  </w:style>
  <w:style w:type="paragraph" w:customStyle="1" w:styleId="CoverBackText">
    <w:name w:val="Cover Back Text"/>
    <w:qFormat/>
    <w:rsid w:val="00AB735D"/>
    <w:pPr>
      <w:spacing w:after="240" w:line="240" w:lineRule="auto"/>
      <w:ind w:right="1714"/>
    </w:pPr>
    <w:rPr>
      <w:color w:val="FFFFFF" w:themeColor="background1"/>
      <w:sz w:val="20"/>
      <w:szCs w:val="20"/>
    </w:rPr>
  </w:style>
  <w:style w:type="paragraph" w:styleId="BalloonText">
    <w:name w:val="Balloon Text"/>
    <w:basedOn w:val="BodyText"/>
    <w:link w:val="BalloonTextChar"/>
    <w:uiPriority w:val="99"/>
    <w:semiHidden/>
    <w:unhideWhenUsed/>
    <w:rsid w:val="00FE67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6739"/>
    <w:rPr>
      <w:rFonts w:ascii="Segoe UI" w:eastAsia="Calibri" w:hAnsi="Segoe UI" w:cs="Segoe UI"/>
      <w:sz w:val="18"/>
      <w:szCs w:val="18"/>
    </w:rPr>
  </w:style>
  <w:style w:type="paragraph" w:customStyle="1" w:styleId="Footer-AIR">
    <w:name w:val="Footer-AIR"/>
    <w:basedOn w:val="HeadingFont"/>
    <w:qFormat/>
    <w:rsid w:val="00FE6739"/>
    <w:pPr>
      <w:spacing w:line="240" w:lineRule="auto"/>
    </w:pPr>
    <w:rPr>
      <w:rFonts w:ascii="Calibri" w:hAnsi="Calibri"/>
      <w:sz w:val="22"/>
    </w:rPr>
  </w:style>
  <w:style w:type="paragraph" w:customStyle="1" w:styleId="Header-DocTitle">
    <w:name w:val="Header-DocTitle"/>
    <w:basedOn w:val="HeadingFont"/>
    <w:qFormat/>
    <w:rsid w:val="00AF2A8F"/>
    <w:pPr>
      <w:keepNext w:val="0"/>
      <w:pBdr>
        <w:bottom w:val="single" w:sz="6" w:space="1" w:color="326EA3" w:themeColor="accent1"/>
      </w:pBdr>
      <w:spacing w:after="520"/>
      <w:ind w:left="-360" w:right="-360"/>
    </w:pPr>
    <w:rPr>
      <w:i/>
      <w:sz w:val="20"/>
    </w:rPr>
  </w:style>
  <w:style w:type="paragraph" w:styleId="FootnoteText">
    <w:name w:val="footnote text"/>
    <w:basedOn w:val="BodyText"/>
    <w:link w:val="FootnoteTextChar"/>
    <w:uiPriority w:val="99"/>
    <w:semiHidden/>
    <w:unhideWhenUsed/>
    <w:qFormat/>
    <w:rsid w:val="00FE6739"/>
    <w:pPr>
      <w:spacing w:before="0" w:after="0" w:line="240" w:lineRule="auto"/>
    </w:pPr>
    <w:rPr>
      <w:sz w:val="18"/>
      <w:szCs w:val="20"/>
    </w:rPr>
  </w:style>
  <w:style w:type="character" w:customStyle="1" w:styleId="FootnoteTextChar">
    <w:name w:val="Footnote Text Char"/>
    <w:basedOn w:val="DefaultParagraphFont"/>
    <w:link w:val="FootnoteText"/>
    <w:uiPriority w:val="99"/>
    <w:semiHidden/>
    <w:rsid w:val="00FE6739"/>
    <w:rPr>
      <w:rFonts w:eastAsia="Calibri" w:cs="Times New Roman"/>
      <w:sz w:val="18"/>
      <w:szCs w:val="20"/>
    </w:rPr>
  </w:style>
  <w:style w:type="paragraph" w:styleId="CommentText">
    <w:name w:val="annotation text"/>
    <w:basedOn w:val="BodyText"/>
    <w:link w:val="CommentTextChar"/>
    <w:uiPriority w:val="99"/>
    <w:unhideWhenUsed/>
    <w:rsid w:val="00FE6739"/>
    <w:pPr>
      <w:spacing w:before="0" w:after="0" w:line="240" w:lineRule="auto"/>
    </w:pPr>
    <w:rPr>
      <w:sz w:val="16"/>
      <w:szCs w:val="20"/>
    </w:rPr>
  </w:style>
  <w:style w:type="character" w:customStyle="1" w:styleId="CommentTextChar">
    <w:name w:val="Comment Text Char"/>
    <w:basedOn w:val="DefaultParagraphFont"/>
    <w:link w:val="CommentText"/>
    <w:uiPriority w:val="99"/>
    <w:rsid w:val="00FE6739"/>
    <w:rPr>
      <w:rFonts w:eastAsia="Calibri" w:cs="Times New Roman"/>
      <w:sz w:val="16"/>
      <w:szCs w:val="20"/>
    </w:rPr>
  </w:style>
  <w:style w:type="character" w:styleId="CommentReference">
    <w:name w:val="annotation reference"/>
    <w:uiPriority w:val="99"/>
    <w:unhideWhenUsed/>
    <w:rsid w:val="00FE6739"/>
    <w:rPr>
      <w:sz w:val="16"/>
      <w:szCs w:val="16"/>
    </w:rPr>
  </w:style>
  <w:style w:type="table" w:customStyle="1" w:styleId="TableStyle-Accent1">
    <w:name w:val="__Table Style-Accent 1"/>
    <w:basedOn w:val="TableNormal"/>
    <w:uiPriority w:val="99"/>
    <w:rsid w:val="0024022D"/>
    <w:pPr>
      <w:spacing w:before="60" w:after="60"/>
    </w:pPr>
    <w:rPr>
      <w:rFonts w:ascii="Calibri" w:hAnsi="Calibri"/>
      <w:sz w:val="20"/>
    </w:rPr>
    <w:tblPr>
      <w:tblStyleRowBandSize w:val="1"/>
      <w:tblBorders>
        <w:top w:val="single" w:sz="6" w:space="0" w:color="326EA3" w:themeColor="accent1"/>
        <w:left w:val="single" w:sz="6" w:space="0" w:color="326EA3" w:themeColor="accent1"/>
        <w:bottom w:val="single" w:sz="6" w:space="0" w:color="326EA3" w:themeColor="accent1"/>
        <w:right w:val="single" w:sz="6" w:space="0" w:color="326EA3" w:themeColor="accent1"/>
        <w:insideH w:val="single" w:sz="6" w:space="0" w:color="326EA3" w:themeColor="accent1"/>
        <w:insideV w:val="single" w:sz="6" w:space="0" w:color="326EA3" w:themeColor="accent1"/>
      </w:tblBorders>
      <w:tblCellMar>
        <w:left w:w="72" w:type="dxa"/>
        <w:right w:w="72" w:type="dxa"/>
      </w:tblCellMar>
    </w:tblPr>
    <w:trPr>
      <w:cantSplit/>
    </w:trPr>
    <w:tblStylePr w:type="firstRow">
      <w:pPr>
        <w:jc w:val="center"/>
      </w:pPr>
      <w:rPr>
        <w:b w:val="0"/>
        <w:color w:val="FFFFFF" w:themeColor="background1"/>
      </w:rPr>
      <w:tblPr/>
      <w:tcPr>
        <w:tcBorders>
          <w:top w:val="single" w:sz="6" w:space="0" w:color="FFFFFF" w:themeColor="background1"/>
          <w:left w:val="single" w:sz="6" w:space="0" w:color="326EA3" w:themeColor="accent1"/>
          <w:bottom w:val="single" w:sz="6" w:space="0" w:color="FFFFFF" w:themeColor="background1"/>
          <w:right w:val="single" w:sz="6" w:space="0" w:color="326EA3" w:themeColor="accent1"/>
          <w:insideH w:val="single" w:sz="6" w:space="0" w:color="FFFFFF" w:themeColor="background1"/>
          <w:insideV w:val="single" w:sz="6" w:space="0" w:color="FFFFFF" w:themeColor="background1"/>
          <w:tl2br w:val="nil"/>
          <w:tr2bl w:val="nil"/>
        </w:tcBorders>
        <w:shd w:val="clear" w:color="auto" w:fill="326EA3" w:themeFill="accent1"/>
        <w:vAlign w:val="bottom"/>
      </w:tcPr>
    </w:tblStylePr>
    <w:tblStylePr w:type="lastRow">
      <w:pPr>
        <w:jc w:val="left"/>
      </w:pPr>
      <w:rPr>
        <w:b w:val="0"/>
      </w:rPr>
    </w:tblStylePr>
    <w:tblStylePr w:type="firstCol">
      <w:pPr>
        <w:jc w:val="left"/>
      </w:pPr>
      <w:rPr>
        <w:b w:val="0"/>
      </w:rPr>
      <w:tblPr/>
      <w:tcPr>
        <w:shd w:val="clear" w:color="auto" w:fill="E8EAF3" w:themeFill="background2"/>
      </w:tcPr>
    </w:tblStylePr>
    <w:tblStylePr w:type="band1Horz">
      <w:tblPr/>
      <w:tcPr>
        <w:shd w:val="clear" w:color="auto" w:fill="E8EAF3" w:themeFill="background2"/>
      </w:tcPr>
    </w:tblStylePr>
    <w:tblStylePr w:type="nwCell">
      <w:pPr>
        <w:jc w:val="left"/>
      </w:pPr>
      <w:tblPr/>
      <w:tcPr>
        <w:vAlign w:val="bottom"/>
      </w:tcPr>
    </w:tblStylePr>
  </w:style>
  <w:style w:type="character" w:styleId="Hyperlink">
    <w:name w:val="Hyperlink"/>
    <w:basedOn w:val="DefaultParagraphFont"/>
    <w:uiPriority w:val="99"/>
    <w:rsid w:val="00FE6739"/>
    <w:rPr>
      <w:color w:val="0000FF"/>
      <w:u w:val="single"/>
    </w:rPr>
  </w:style>
  <w:style w:type="character" w:styleId="FootnoteReference">
    <w:name w:val="footnote reference"/>
    <w:uiPriority w:val="99"/>
    <w:rsid w:val="00FE6739"/>
    <w:rPr>
      <w:vertAlign w:val="superscript"/>
    </w:rPr>
  </w:style>
  <w:style w:type="character" w:customStyle="1" w:styleId="Heading3Char">
    <w:name w:val="Heading 3 Char"/>
    <w:basedOn w:val="DefaultParagraphFont"/>
    <w:link w:val="Heading3"/>
    <w:uiPriority w:val="9"/>
    <w:rsid w:val="00AD5377"/>
    <w:rPr>
      <w:rFonts w:asciiTheme="majorHAnsi" w:eastAsia="Times New Roman" w:hAnsiTheme="majorHAnsi" w:cs="Times New Roman"/>
      <w:b/>
      <w:color w:val="326EA3" w:themeColor="accent1"/>
      <w:sz w:val="28"/>
      <w:szCs w:val="26"/>
    </w:rPr>
  </w:style>
  <w:style w:type="paragraph" w:customStyle="1" w:styleId="HandoutTableHeading">
    <w:name w:val="Handout Table Heading"/>
    <w:basedOn w:val="HandoutTableText"/>
    <w:qFormat/>
    <w:rsid w:val="00497734"/>
    <w:rPr>
      <w:b/>
    </w:rPr>
  </w:style>
  <w:style w:type="paragraph" w:styleId="BodyText">
    <w:name w:val="Body Text"/>
    <w:aliases w:val="bt"/>
    <w:link w:val="BodyTextChar"/>
    <w:uiPriority w:val="1"/>
    <w:unhideWhenUsed/>
    <w:qFormat/>
    <w:rsid w:val="000A38AA"/>
    <w:pPr>
      <w:suppressAutoHyphens/>
      <w:spacing w:before="240" w:after="120"/>
    </w:pPr>
    <w:rPr>
      <w:rFonts w:asciiTheme="majorHAnsi" w:eastAsia="Calibri" w:hAnsiTheme="majorHAnsi" w:cs="Times New Roman"/>
    </w:rPr>
  </w:style>
  <w:style w:type="character" w:customStyle="1" w:styleId="BodyTextChar">
    <w:name w:val="Body Text Char"/>
    <w:aliases w:val="bt Char"/>
    <w:basedOn w:val="DefaultParagraphFont"/>
    <w:link w:val="BodyText"/>
    <w:uiPriority w:val="1"/>
    <w:rsid w:val="000A38AA"/>
    <w:rPr>
      <w:rFonts w:asciiTheme="majorHAnsi" w:eastAsia="Calibri" w:hAnsiTheme="majorHAnsi" w:cs="Times New Roman"/>
    </w:rPr>
  </w:style>
  <w:style w:type="paragraph" w:customStyle="1" w:styleId="BodyTextPostHead">
    <w:name w:val="Body Text Post Head"/>
    <w:aliases w:val="btp"/>
    <w:basedOn w:val="BodyText"/>
    <w:next w:val="BodyText"/>
    <w:qFormat/>
    <w:rsid w:val="000A38AA"/>
    <w:pPr>
      <w:spacing w:before="0"/>
    </w:pPr>
    <w:rPr>
      <w:noProof/>
    </w:rPr>
  </w:style>
  <w:style w:type="character" w:customStyle="1" w:styleId="Heading2Char">
    <w:name w:val="Heading 2 Char"/>
    <w:basedOn w:val="DefaultParagraphFont"/>
    <w:link w:val="Heading2"/>
    <w:uiPriority w:val="9"/>
    <w:rsid w:val="003742E6"/>
    <w:rPr>
      <w:rFonts w:asciiTheme="majorHAnsi" w:eastAsiaTheme="majorEastAsia" w:hAnsiTheme="majorHAnsi" w:cstheme="majorBidi"/>
      <w:b/>
      <w:color w:val="326EA3" w:themeColor="accent1"/>
      <w:sz w:val="30"/>
      <w:szCs w:val="30"/>
    </w:rPr>
  </w:style>
  <w:style w:type="character" w:customStyle="1" w:styleId="Heading4Char">
    <w:name w:val="Heading 4 Char"/>
    <w:basedOn w:val="DefaultParagraphFont"/>
    <w:link w:val="Heading4"/>
    <w:uiPriority w:val="9"/>
    <w:rsid w:val="00FE6739"/>
    <w:rPr>
      <w:rFonts w:asciiTheme="majorHAnsi" w:eastAsia="Times New Roman" w:hAnsiTheme="majorHAnsi" w:cs="Times New Roman"/>
      <w:b/>
      <w:i/>
      <w:iCs/>
      <w:color w:val="326EA3" w:themeColor="accent1"/>
      <w:sz w:val="26"/>
      <w:szCs w:val="26"/>
    </w:rPr>
  </w:style>
  <w:style w:type="character" w:customStyle="1" w:styleId="Heading5Char">
    <w:name w:val="Heading 5 Char"/>
    <w:basedOn w:val="DefaultParagraphFont"/>
    <w:link w:val="Heading5"/>
    <w:uiPriority w:val="9"/>
    <w:rsid w:val="00FE6739"/>
    <w:rPr>
      <w:rFonts w:eastAsia="Calibri" w:cs="Calibri"/>
      <w:b/>
    </w:rPr>
  </w:style>
  <w:style w:type="character" w:customStyle="1" w:styleId="Heading6Char">
    <w:name w:val="Heading 6 Char"/>
    <w:basedOn w:val="DefaultParagraphFont"/>
    <w:link w:val="Heading6"/>
    <w:uiPriority w:val="9"/>
    <w:rsid w:val="00FE6739"/>
    <w:rPr>
      <w:rFonts w:eastAsia="Calibri" w:cs="Times New Roman"/>
      <w:b/>
      <w:i/>
    </w:rPr>
  </w:style>
  <w:style w:type="paragraph" w:styleId="BlockText">
    <w:name w:val="Block Text"/>
    <w:basedOn w:val="BodyText"/>
    <w:next w:val="BodyText"/>
    <w:uiPriority w:val="99"/>
    <w:unhideWhenUsed/>
    <w:rsid w:val="00FE6739"/>
    <w:pPr>
      <w:ind w:left="720"/>
    </w:pPr>
  </w:style>
  <w:style w:type="numbering" w:customStyle="1" w:styleId="ListBullets-Body">
    <w:name w:val="_List Bullets-Body"/>
    <w:uiPriority w:val="99"/>
    <w:rsid w:val="00FE6739"/>
    <w:pPr>
      <w:numPr>
        <w:numId w:val="2"/>
      </w:numPr>
    </w:pPr>
  </w:style>
  <w:style w:type="numbering" w:customStyle="1" w:styleId="ListBullets-Table11">
    <w:name w:val="_List Bullets-Table 11"/>
    <w:uiPriority w:val="99"/>
    <w:rsid w:val="00FE6739"/>
    <w:pPr>
      <w:numPr>
        <w:numId w:val="4"/>
      </w:numPr>
    </w:pPr>
  </w:style>
  <w:style w:type="numbering" w:customStyle="1" w:styleId="ListOrdered-Body">
    <w:name w:val="_List Ordered-Body"/>
    <w:uiPriority w:val="99"/>
    <w:rsid w:val="00FE6739"/>
    <w:pPr>
      <w:numPr>
        <w:numId w:val="5"/>
      </w:numPr>
    </w:pPr>
  </w:style>
  <w:style w:type="numbering" w:customStyle="1" w:styleId="ListOrdered-Table11">
    <w:name w:val="_List Ordered-Table 11"/>
    <w:uiPriority w:val="99"/>
    <w:rsid w:val="00FE6739"/>
    <w:pPr>
      <w:numPr>
        <w:numId w:val="7"/>
      </w:numPr>
    </w:pPr>
  </w:style>
  <w:style w:type="paragraph" w:customStyle="1" w:styleId="Bullet1">
    <w:name w:val="Bullet 1"/>
    <w:basedOn w:val="BodyText"/>
    <w:uiPriority w:val="4"/>
    <w:qFormat/>
    <w:rsid w:val="00FE6739"/>
    <w:pPr>
      <w:numPr>
        <w:numId w:val="8"/>
      </w:numPr>
      <w:spacing w:before="120"/>
    </w:pPr>
    <w:rPr>
      <w:rFonts w:eastAsia="Times New Roman"/>
    </w:rPr>
  </w:style>
  <w:style w:type="paragraph" w:customStyle="1" w:styleId="Bullet2">
    <w:name w:val="Bullet 2"/>
    <w:basedOn w:val="BodyText"/>
    <w:uiPriority w:val="4"/>
    <w:qFormat/>
    <w:rsid w:val="00FE6739"/>
    <w:pPr>
      <w:numPr>
        <w:ilvl w:val="1"/>
        <w:numId w:val="8"/>
      </w:numPr>
      <w:spacing w:before="120"/>
    </w:pPr>
    <w:rPr>
      <w:rFonts w:eastAsia="Times New Roman"/>
    </w:rPr>
  </w:style>
  <w:style w:type="paragraph" w:customStyle="1" w:styleId="Bullet3">
    <w:name w:val="Bullet 3"/>
    <w:basedOn w:val="BodyText"/>
    <w:uiPriority w:val="4"/>
    <w:qFormat/>
    <w:rsid w:val="00FE6739"/>
    <w:pPr>
      <w:numPr>
        <w:ilvl w:val="2"/>
        <w:numId w:val="8"/>
      </w:numPr>
      <w:spacing w:before="120"/>
    </w:pPr>
    <w:rPr>
      <w:rFonts w:eastAsiaTheme="minorEastAsia"/>
    </w:rPr>
  </w:style>
  <w:style w:type="paragraph" w:customStyle="1" w:styleId="NumberedList">
    <w:name w:val="Numbered List"/>
    <w:basedOn w:val="BodyText"/>
    <w:qFormat/>
    <w:rsid w:val="00FE6739"/>
    <w:pPr>
      <w:numPr>
        <w:numId w:val="9"/>
      </w:numPr>
      <w:spacing w:before="120"/>
    </w:pPr>
    <w:rPr>
      <w:rFonts w:eastAsia="Times New Roman"/>
    </w:rPr>
  </w:style>
  <w:style w:type="paragraph" w:customStyle="1" w:styleId="Table11Bullet1">
    <w:name w:val="Table 11 Bullet 1"/>
    <w:basedOn w:val="Table11Basic"/>
    <w:qFormat/>
    <w:rsid w:val="00FE6739"/>
    <w:pPr>
      <w:numPr>
        <w:numId w:val="12"/>
      </w:numPr>
    </w:pPr>
  </w:style>
  <w:style w:type="paragraph" w:customStyle="1" w:styleId="Table11Bullet2">
    <w:name w:val="Table 11 Bullet 2"/>
    <w:basedOn w:val="Table11Basic"/>
    <w:qFormat/>
    <w:rsid w:val="00FE6739"/>
    <w:pPr>
      <w:numPr>
        <w:ilvl w:val="1"/>
        <w:numId w:val="12"/>
      </w:numPr>
    </w:pPr>
  </w:style>
  <w:style w:type="paragraph" w:customStyle="1" w:styleId="Table11Bullet3">
    <w:name w:val="Table 11 Bullet 3"/>
    <w:basedOn w:val="Table11Basic"/>
    <w:qFormat/>
    <w:rsid w:val="00FE6739"/>
    <w:pPr>
      <w:numPr>
        <w:ilvl w:val="2"/>
        <w:numId w:val="12"/>
      </w:numPr>
    </w:pPr>
    <w:rPr>
      <w:rFonts w:eastAsia="Times New Roman"/>
    </w:rPr>
  </w:style>
  <w:style w:type="paragraph" w:customStyle="1" w:styleId="Table11Numbering">
    <w:name w:val="Table 11 Numbering"/>
    <w:basedOn w:val="Table11Basic"/>
    <w:next w:val="Table11Basic"/>
    <w:qFormat/>
    <w:rsid w:val="00FE6739"/>
    <w:pPr>
      <w:numPr>
        <w:numId w:val="13"/>
      </w:numPr>
    </w:pPr>
  </w:style>
  <w:style w:type="paragraph" w:customStyle="1" w:styleId="Callout-InlineText">
    <w:name w:val="Callout-Inline Text"/>
    <w:basedOn w:val="Normal"/>
    <w:next w:val="BodyText"/>
    <w:rsid w:val="00373490"/>
    <w:pPr>
      <w:suppressAutoHyphens/>
      <w:spacing w:before="120" w:after="240" w:line="240" w:lineRule="auto"/>
      <w:jc w:val="center"/>
    </w:pPr>
    <w:rPr>
      <w:rFonts w:ascii="Cambria" w:eastAsia="Calibri" w:hAnsi="Cambria" w:cs="Times New Roman"/>
      <w:bCs/>
      <w:color w:val="1C252D"/>
    </w:rPr>
  </w:style>
  <w:style w:type="table" w:styleId="TableGrid">
    <w:name w:val="Table Grid"/>
    <w:basedOn w:val="TableNormal"/>
    <w:uiPriority w:val="39"/>
    <w:rsid w:val="00FE67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Callout">
    <w:name w:val="_Table Style-Callout"/>
    <w:basedOn w:val="TableNormal"/>
    <w:uiPriority w:val="99"/>
    <w:rsid w:val="00351AB5"/>
    <w:pPr>
      <w:spacing w:before="120" w:after="120"/>
      <w:ind w:left="187"/>
    </w:pPr>
    <w:rPr>
      <w:rFonts w:ascii="Calibri" w:hAnsi="Calibri"/>
    </w:rPr>
    <w:tblPr>
      <w:tblBorders>
        <w:left w:val="single" w:sz="24" w:space="0" w:color="326EA3" w:themeColor="accent1"/>
      </w:tblBorders>
    </w:tblPr>
    <w:tcPr>
      <w:shd w:val="clear" w:color="auto" w:fill="E9F0F8"/>
    </w:tcPr>
  </w:style>
  <w:style w:type="paragraph" w:customStyle="1" w:styleId="Callout-TableText">
    <w:name w:val="Callout-Table Text"/>
    <w:basedOn w:val="BodyText"/>
    <w:qFormat/>
    <w:rsid w:val="00FE6739"/>
    <w:pPr>
      <w:spacing w:before="60" w:after="60"/>
      <w:ind w:left="187"/>
    </w:pPr>
    <w:rPr>
      <w:i/>
    </w:rPr>
  </w:style>
  <w:style w:type="paragraph" w:customStyle="1" w:styleId="Table11Basic">
    <w:name w:val="Table 11 Basic"/>
    <w:basedOn w:val="HeadingFont"/>
    <w:qFormat/>
    <w:rsid w:val="00A95057"/>
    <w:pPr>
      <w:keepNext w:val="0"/>
      <w:spacing w:before="60" w:after="60"/>
    </w:pPr>
    <w:rPr>
      <w:rFonts w:asciiTheme="minorHAnsi" w:hAnsiTheme="minorHAnsi"/>
      <w:sz w:val="22"/>
      <w:szCs w:val="22"/>
    </w:rPr>
  </w:style>
  <w:style w:type="paragraph" w:customStyle="1" w:styleId="Table11Centered">
    <w:name w:val="Table 11 Centered"/>
    <w:basedOn w:val="Table11Basic"/>
    <w:qFormat/>
    <w:rsid w:val="00FE6739"/>
    <w:pPr>
      <w:jc w:val="center"/>
    </w:pPr>
  </w:style>
  <w:style w:type="paragraph" w:customStyle="1" w:styleId="Table10Basic">
    <w:name w:val="Table 10 Basic"/>
    <w:basedOn w:val="Table11Basic"/>
    <w:qFormat/>
    <w:rsid w:val="00A95057"/>
    <w:rPr>
      <w:sz w:val="20"/>
    </w:rPr>
  </w:style>
  <w:style w:type="paragraph" w:customStyle="1" w:styleId="Table10Centered">
    <w:name w:val="Table 10 Centered"/>
    <w:basedOn w:val="Table10Basic"/>
    <w:qFormat/>
    <w:rsid w:val="00FE6739"/>
    <w:pPr>
      <w:jc w:val="center"/>
    </w:pPr>
  </w:style>
  <w:style w:type="numbering" w:customStyle="1" w:styleId="ListBullets-Table10">
    <w:name w:val="_List Bullets-Table 10"/>
    <w:uiPriority w:val="99"/>
    <w:rsid w:val="00FE6739"/>
    <w:pPr>
      <w:numPr>
        <w:numId w:val="3"/>
      </w:numPr>
    </w:pPr>
  </w:style>
  <w:style w:type="paragraph" w:customStyle="1" w:styleId="Table10Bullet1">
    <w:name w:val="Table 10 Bullet 1"/>
    <w:basedOn w:val="Table10Basic"/>
    <w:rsid w:val="00FE6739"/>
    <w:pPr>
      <w:numPr>
        <w:numId w:val="10"/>
      </w:numPr>
    </w:pPr>
  </w:style>
  <w:style w:type="paragraph" w:customStyle="1" w:styleId="Table10Bullet2">
    <w:name w:val="Table 10 Bullet 2"/>
    <w:basedOn w:val="Table10Basic"/>
    <w:rsid w:val="00FE6739"/>
    <w:pPr>
      <w:numPr>
        <w:ilvl w:val="1"/>
        <w:numId w:val="10"/>
      </w:numPr>
    </w:pPr>
  </w:style>
  <w:style w:type="paragraph" w:customStyle="1" w:styleId="Table10Bullet3">
    <w:name w:val="Table 10 Bullet 3"/>
    <w:basedOn w:val="Table10Basic"/>
    <w:rsid w:val="00FE6739"/>
    <w:pPr>
      <w:numPr>
        <w:ilvl w:val="2"/>
        <w:numId w:val="10"/>
      </w:numPr>
    </w:pPr>
  </w:style>
  <w:style w:type="numbering" w:customStyle="1" w:styleId="ListOrdered-Table10">
    <w:name w:val="_List Ordered-Table 10"/>
    <w:uiPriority w:val="99"/>
    <w:rsid w:val="00FE6739"/>
    <w:pPr>
      <w:numPr>
        <w:numId w:val="6"/>
      </w:numPr>
    </w:pPr>
  </w:style>
  <w:style w:type="paragraph" w:customStyle="1" w:styleId="Table10Numbering">
    <w:name w:val="Table 10 Numbering"/>
    <w:basedOn w:val="Table10Basic"/>
    <w:rsid w:val="00FE6739"/>
    <w:pPr>
      <w:numPr>
        <w:numId w:val="11"/>
      </w:numPr>
    </w:pPr>
  </w:style>
  <w:style w:type="paragraph" w:customStyle="1" w:styleId="TableNote">
    <w:name w:val="Table Note"/>
    <w:aliases w:val="Figure Note,Exhibit Note"/>
    <w:basedOn w:val="HeadingFont"/>
    <w:qFormat/>
    <w:rsid w:val="00373490"/>
    <w:pPr>
      <w:keepNext w:val="0"/>
      <w:spacing w:before="120" w:after="360"/>
      <w:contextualSpacing/>
    </w:pPr>
    <w:rPr>
      <w:rFonts w:eastAsia="Times New Roman" w:cs="Times New Roman"/>
      <w:i/>
      <w:iCs/>
      <w:sz w:val="20"/>
      <w:szCs w:val="20"/>
    </w:rPr>
  </w:style>
  <w:style w:type="paragraph" w:customStyle="1" w:styleId="FigurePlacement">
    <w:name w:val="Figure Placement"/>
    <w:basedOn w:val="HeadingFont"/>
    <w:qFormat/>
    <w:rsid w:val="00D767E2"/>
    <w:pPr>
      <w:keepNext w:val="0"/>
      <w:jc w:val="center"/>
    </w:pPr>
    <w:rPr>
      <w:rFonts w:eastAsia="Times New Roman"/>
      <w:sz w:val="20"/>
    </w:rPr>
  </w:style>
  <w:style w:type="paragraph" w:styleId="CommentSubject">
    <w:name w:val="annotation subject"/>
    <w:basedOn w:val="BodyText"/>
    <w:next w:val="CommentText"/>
    <w:link w:val="CommentSubjectChar"/>
    <w:uiPriority w:val="99"/>
    <w:semiHidden/>
    <w:unhideWhenUsed/>
    <w:rsid w:val="00FE6739"/>
    <w:rPr>
      <w:b/>
      <w:bCs/>
      <w:sz w:val="16"/>
      <w:szCs w:val="20"/>
    </w:rPr>
  </w:style>
  <w:style w:type="character" w:customStyle="1" w:styleId="CommentSubjectChar">
    <w:name w:val="Comment Subject Char"/>
    <w:basedOn w:val="CommentTextChar"/>
    <w:link w:val="CommentSubject"/>
    <w:uiPriority w:val="99"/>
    <w:semiHidden/>
    <w:rsid w:val="00FE6739"/>
    <w:rPr>
      <w:rFonts w:eastAsia="Calibri" w:cs="Times New Roman"/>
      <w:b/>
      <w:bCs/>
      <w:sz w:val="16"/>
      <w:szCs w:val="20"/>
    </w:rPr>
  </w:style>
  <w:style w:type="paragraph" w:customStyle="1" w:styleId="FigurePlacementBorders">
    <w:name w:val="Figure Placement Borders"/>
    <w:basedOn w:val="FigurePlacement"/>
    <w:rsid w:val="0092261B"/>
    <w:pPr>
      <w:pBdr>
        <w:top w:val="single" w:sz="6" w:space="0" w:color="326EA3" w:themeColor="accent1"/>
        <w:left w:val="single" w:sz="6" w:space="0" w:color="326EA3" w:themeColor="accent1"/>
        <w:bottom w:val="single" w:sz="6" w:space="0" w:color="326EA3" w:themeColor="accent1"/>
        <w:right w:val="single" w:sz="6" w:space="0" w:color="326EA3" w:themeColor="accent1"/>
      </w:pBdr>
    </w:pPr>
    <w:rPr>
      <w:rFonts w:cstheme="majorHAnsi"/>
      <w:szCs w:val="90"/>
    </w:rPr>
  </w:style>
  <w:style w:type="paragraph" w:styleId="Caption">
    <w:name w:val="caption"/>
    <w:basedOn w:val="HeadingFont"/>
    <w:next w:val="BodyText"/>
    <w:link w:val="CaptionChar"/>
    <w:uiPriority w:val="35"/>
    <w:unhideWhenUsed/>
    <w:qFormat/>
    <w:rsid w:val="00987326"/>
    <w:pPr>
      <w:keepLines/>
      <w:spacing w:before="240" w:after="120"/>
    </w:pPr>
    <w:rPr>
      <w:rFonts w:eastAsia="Calibri" w:cs="Times New Roman"/>
      <w:b/>
      <w:iCs/>
      <w:szCs w:val="18"/>
    </w:rPr>
  </w:style>
  <w:style w:type="paragraph" w:customStyle="1" w:styleId="HeadingFont">
    <w:name w:val="Heading Font"/>
    <w:qFormat/>
    <w:rsid w:val="00FE6739"/>
    <w:pPr>
      <w:keepNext/>
      <w:suppressAutoHyphens/>
    </w:pPr>
    <w:rPr>
      <w:rFonts w:asciiTheme="majorHAnsi" w:hAnsiTheme="majorHAnsi"/>
    </w:rPr>
  </w:style>
  <w:style w:type="character" w:customStyle="1" w:styleId="Heading1Char">
    <w:name w:val="Heading 1 Char"/>
    <w:basedOn w:val="DefaultParagraphFont"/>
    <w:link w:val="Heading1"/>
    <w:uiPriority w:val="9"/>
    <w:rsid w:val="00AF2A8F"/>
    <w:rPr>
      <w:rFonts w:asciiTheme="majorHAnsi" w:eastAsia="Perpetua" w:hAnsiTheme="majorHAnsi" w:cs="Calibri"/>
      <w:b/>
      <w:color w:val="326EA3" w:themeColor="accent1"/>
      <w:sz w:val="44"/>
      <w:szCs w:val="90"/>
    </w:rPr>
  </w:style>
  <w:style w:type="paragraph" w:styleId="NoSpacing">
    <w:name w:val="No Spacing"/>
    <w:basedOn w:val="BodyText"/>
    <w:qFormat/>
    <w:rsid w:val="00FE6739"/>
    <w:pPr>
      <w:spacing w:before="0" w:after="0"/>
    </w:pPr>
  </w:style>
  <w:style w:type="paragraph" w:styleId="EndnoteText">
    <w:name w:val="endnote text"/>
    <w:basedOn w:val="BodyText"/>
    <w:link w:val="EndnoteTextChar"/>
    <w:uiPriority w:val="99"/>
    <w:semiHidden/>
    <w:unhideWhenUsed/>
    <w:rsid w:val="00FE673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E6739"/>
    <w:rPr>
      <w:rFonts w:eastAsia="Calibri" w:cs="Times New Roman"/>
      <w:sz w:val="20"/>
      <w:szCs w:val="20"/>
    </w:rPr>
  </w:style>
  <w:style w:type="character" w:styleId="PageNumber">
    <w:name w:val="page number"/>
    <w:uiPriority w:val="99"/>
    <w:semiHidden/>
    <w:unhideWhenUsed/>
    <w:rsid w:val="00FE6739"/>
    <w:rPr>
      <w:color w:val="326EA3" w:themeColor="accent1"/>
    </w:rPr>
  </w:style>
  <w:style w:type="paragraph" w:styleId="TOAHeading">
    <w:name w:val="toa heading"/>
    <w:basedOn w:val="BodyText"/>
    <w:next w:val="Normal"/>
    <w:uiPriority w:val="99"/>
    <w:semiHidden/>
    <w:unhideWhenUsed/>
    <w:rsid w:val="00FE6739"/>
    <w:pPr>
      <w:spacing w:before="120"/>
    </w:pPr>
    <w:rPr>
      <w:rFonts w:eastAsiaTheme="majorEastAsia" w:cstheme="majorBidi"/>
      <w:b/>
      <w:bCs/>
    </w:rPr>
  </w:style>
  <w:style w:type="paragraph" w:customStyle="1" w:styleId="ShapeText">
    <w:name w:val="Shape Text"/>
    <w:basedOn w:val="BodyText"/>
    <w:qFormat/>
    <w:rsid w:val="00FE6739"/>
    <w:pPr>
      <w:spacing w:before="120"/>
      <w:jc w:val="center"/>
    </w:pPr>
    <w:rPr>
      <w:color w:val="292929" w:themeColor="text2"/>
    </w:rPr>
  </w:style>
  <w:style w:type="paragraph" w:customStyle="1" w:styleId="DocumentTitle">
    <w:name w:val="Document Title"/>
    <w:basedOn w:val="Heading1"/>
    <w:uiPriority w:val="1"/>
    <w:rsid w:val="00684357"/>
    <w:pPr>
      <w:spacing w:before="1200" w:after="60"/>
      <w:outlineLvl w:val="9"/>
    </w:pPr>
  </w:style>
  <w:style w:type="paragraph" w:customStyle="1" w:styleId="DocumentDate">
    <w:name w:val="Document Date"/>
    <w:basedOn w:val="DocumentSubtitle"/>
    <w:rsid w:val="00FE6739"/>
    <w:rPr>
      <w:rFonts w:eastAsia="MS Mincho" w:cs="Arial"/>
      <w:caps/>
      <w:sz w:val="42"/>
      <w:szCs w:val="42"/>
    </w:rPr>
  </w:style>
  <w:style w:type="paragraph" w:customStyle="1" w:styleId="DocumentAuthor">
    <w:name w:val="Document Author"/>
    <w:basedOn w:val="DocumentDate"/>
    <w:next w:val="DocumentOrganization"/>
    <w:rsid w:val="00FE6739"/>
    <w:pPr>
      <w:spacing w:after="60"/>
    </w:pPr>
    <w:rPr>
      <w:rFonts w:cstheme="majorHAnsi"/>
      <w:caps w:val="0"/>
      <w:sz w:val="32"/>
      <w:szCs w:val="32"/>
    </w:rPr>
  </w:style>
  <w:style w:type="paragraph" w:customStyle="1" w:styleId="DocumentOrganization">
    <w:name w:val="Document Organization"/>
    <w:basedOn w:val="DocumentAuthor"/>
    <w:next w:val="DocumentAuthor"/>
    <w:rsid w:val="00FE6739"/>
    <w:pPr>
      <w:spacing w:after="240"/>
    </w:pPr>
    <w:rPr>
      <w:rFonts w:cs="Arial"/>
      <w:i/>
    </w:rPr>
  </w:style>
  <w:style w:type="paragraph" w:customStyle="1" w:styleId="TitlePagePubID">
    <w:name w:val="Title Page PubID"/>
    <w:basedOn w:val="BodyText"/>
    <w:next w:val="NoSpacing"/>
    <w:rsid w:val="00FE6739"/>
    <w:pPr>
      <w:spacing w:before="0" w:after="0" w:line="240" w:lineRule="auto"/>
      <w:jc w:val="right"/>
    </w:pPr>
    <w:rPr>
      <w:color w:val="1C1C1C" w:themeColor="text1"/>
      <w:sz w:val="16"/>
      <w:szCs w:val="16"/>
    </w:rPr>
  </w:style>
  <w:style w:type="paragraph" w:styleId="TOC1">
    <w:name w:val="toc 1"/>
    <w:basedOn w:val="BodyText"/>
    <w:autoRedefine/>
    <w:uiPriority w:val="39"/>
    <w:unhideWhenUsed/>
    <w:rsid w:val="007C7C33"/>
    <w:pPr>
      <w:tabs>
        <w:tab w:val="right" w:leader="dot" w:pos="10800"/>
      </w:tabs>
      <w:spacing w:after="0" w:line="216" w:lineRule="auto"/>
    </w:pPr>
    <w:rPr>
      <w:rFonts w:eastAsia="Times New Roman"/>
    </w:rPr>
  </w:style>
  <w:style w:type="paragraph" w:styleId="TOC2">
    <w:name w:val="toc 2"/>
    <w:basedOn w:val="TOC1"/>
    <w:autoRedefine/>
    <w:uiPriority w:val="39"/>
    <w:unhideWhenUsed/>
    <w:rsid w:val="00636F1A"/>
    <w:pPr>
      <w:spacing w:before="80"/>
      <w:ind w:left="245"/>
    </w:pPr>
  </w:style>
  <w:style w:type="paragraph" w:styleId="TableofFigures">
    <w:name w:val="table of figures"/>
    <w:basedOn w:val="TOC1"/>
    <w:uiPriority w:val="99"/>
    <w:unhideWhenUsed/>
    <w:rsid w:val="00FE6739"/>
    <w:rPr>
      <w:rFonts w:eastAsiaTheme="majorEastAsia"/>
    </w:rPr>
  </w:style>
  <w:style w:type="paragraph" w:styleId="TOCHeading">
    <w:name w:val="TOC Heading"/>
    <w:next w:val="TOCPage"/>
    <w:uiPriority w:val="39"/>
    <w:unhideWhenUsed/>
    <w:qFormat/>
    <w:rsid w:val="00FE6739"/>
    <w:pPr>
      <w:suppressAutoHyphens/>
      <w:spacing w:line="204" w:lineRule="auto"/>
    </w:pPr>
    <w:rPr>
      <w:rFonts w:asciiTheme="majorHAnsi" w:eastAsiaTheme="majorEastAsia" w:hAnsiTheme="majorHAnsi" w:cstheme="majorBidi"/>
      <w:b/>
      <w:bCs/>
      <w:color w:val="326EA3" w:themeColor="accent1"/>
      <w:sz w:val="36"/>
      <w:szCs w:val="28"/>
    </w:rPr>
  </w:style>
  <w:style w:type="paragraph" w:customStyle="1" w:styleId="TOCPage">
    <w:name w:val="TOC Page"/>
    <w:basedOn w:val="BodyText"/>
    <w:rsid w:val="00FD3609"/>
    <w:pPr>
      <w:spacing w:before="0" w:after="0" w:line="204" w:lineRule="auto"/>
      <w:jc w:val="right"/>
    </w:pPr>
    <w:rPr>
      <w:b/>
    </w:rPr>
  </w:style>
  <w:style w:type="paragraph" w:customStyle="1" w:styleId="Footer-CoverFront">
    <w:name w:val="Footer-Cover Front"/>
    <w:basedOn w:val="Footer-AIR"/>
    <w:qFormat/>
    <w:rsid w:val="009D1700"/>
    <w:pPr>
      <w:keepNext w:val="0"/>
      <w:widowControl w:val="0"/>
      <w:spacing w:line="276" w:lineRule="auto"/>
      <w:ind w:left="187"/>
    </w:pPr>
    <w:rPr>
      <w:rFonts w:cs="Arial"/>
      <w:color w:val="FFFFFF"/>
      <w:spacing w:val="6"/>
      <w:sz w:val="24"/>
    </w:rPr>
  </w:style>
  <w:style w:type="paragraph" w:customStyle="1" w:styleId="Spacer-HeaderFooter">
    <w:name w:val="Spacer-HeaderFooter"/>
    <w:link w:val="Spacer-HeaderFooterChar"/>
    <w:rsid w:val="00FE6739"/>
    <w:pPr>
      <w:spacing w:line="20" w:lineRule="exact"/>
    </w:pPr>
    <w:rPr>
      <w:sz w:val="2"/>
      <w:szCs w:val="2"/>
    </w:rPr>
  </w:style>
  <w:style w:type="paragraph" w:customStyle="1" w:styleId="FooterPageNumber">
    <w:name w:val="Footer Page Number"/>
    <w:rsid w:val="009177D8"/>
    <w:pPr>
      <w:jc w:val="right"/>
    </w:pPr>
    <w:rPr>
      <w:rFonts w:asciiTheme="majorHAnsi" w:hAnsiTheme="majorHAnsi"/>
      <w:color w:val="292929" w:themeColor="text2"/>
      <w:sz w:val="20"/>
    </w:rPr>
  </w:style>
  <w:style w:type="paragraph" w:customStyle="1" w:styleId="CoverBackLogo">
    <w:name w:val="Cover Back Logo"/>
    <w:basedOn w:val="CoverBackText"/>
    <w:qFormat/>
    <w:rsid w:val="00D50CEB"/>
    <w:pPr>
      <w:spacing w:line="276" w:lineRule="auto"/>
      <w:jc w:val="center"/>
    </w:pPr>
    <w:rPr>
      <w:szCs w:val="24"/>
    </w:rPr>
  </w:style>
  <w:style w:type="paragraph" w:customStyle="1" w:styleId="CoverTagline">
    <w:name w:val="Cover Tagline"/>
    <w:basedOn w:val="CoverFrontHeader"/>
    <w:uiPriority w:val="99"/>
    <w:rsid w:val="00FE6739"/>
    <w:pPr>
      <w:suppressAutoHyphens/>
      <w:spacing w:before="0" w:line="240" w:lineRule="auto"/>
      <w:jc w:val="center"/>
    </w:pPr>
    <w:rPr>
      <w:rFonts w:ascii="Arial" w:eastAsia="Calibri" w:hAnsi="Arial" w:cstheme="majorHAnsi"/>
      <w:bCs/>
      <w:color w:val="FFFFFF" w:themeColor="background1"/>
      <w:sz w:val="26"/>
      <w:szCs w:val="26"/>
    </w:rPr>
  </w:style>
  <w:style w:type="paragraph" w:customStyle="1" w:styleId="CoverBackAIRAddress">
    <w:name w:val="Cover Back AIR Address"/>
    <w:basedOn w:val="CoverBackText"/>
    <w:uiPriority w:val="1"/>
    <w:rsid w:val="003416FB"/>
    <w:pPr>
      <w:spacing w:line="276" w:lineRule="auto"/>
    </w:pPr>
    <w:rPr>
      <w:spacing w:val="-4"/>
    </w:rPr>
  </w:style>
  <w:style w:type="paragraph" w:customStyle="1" w:styleId="CoverBackPubID">
    <w:name w:val="Cover Back PubID"/>
    <w:basedOn w:val="CoverBackAIRURL"/>
    <w:link w:val="CoverBackPubIDChar"/>
    <w:qFormat/>
    <w:rsid w:val="00A71419"/>
    <w:pPr>
      <w:spacing w:before="720" w:after="0"/>
    </w:pPr>
    <w:rPr>
      <w:color w:val="E8EAF3" w:themeColor="background2"/>
      <w:sz w:val="12"/>
      <w:szCs w:val="12"/>
    </w:rPr>
  </w:style>
  <w:style w:type="character" w:customStyle="1" w:styleId="CoverBackPubIDChar">
    <w:name w:val="Cover Back PubID Char"/>
    <w:basedOn w:val="DefaultParagraphFont"/>
    <w:link w:val="CoverBackPubID"/>
    <w:rsid w:val="00A71419"/>
    <w:rPr>
      <w:rFonts w:ascii="Arial" w:hAnsi="Arial" w:cs="Arial"/>
      <w:b/>
      <w:noProof/>
      <w:color w:val="E8EAF3" w:themeColor="background2"/>
      <w:spacing w:val="-4"/>
      <w:sz w:val="12"/>
      <w:szCs w:val="12"/>
    </w:rPr>
  </w:style>
  <w:style w:type="paragraph" w:customStyle="1" w:styleId="CoverBackAIRLocations">
    <w:name w:val="Cover Back AIR Locations"/>
    <w:basedOn w:val="CoverBackText"/>
    <w:uiPriority w:val="1"/>
    <w:rsid w:val="003416FB"/>
    <w:pPr>
      <w:spacing w:before="200" w:line="276" w:lineRule="auto"/>
      <w:ind w:left="-360" w:right="-360"/>
    </w:pPr>
    <w:rPr>
      <w:rFonts w:ascii="Calibri" w:eastAsia="Calibri" w:hAnsi="Calibri"/>
      <w:bCs/>
      <w:color w:val="FFFFFF"/>
      <w:sz w:val="18"/>
      <w:szCs w:val="18"/>
    </w:rPr>
  </w:style>
  <w:style w:type="paragraph" w:customStyle="1" w:styleId="ExhibitTitle">
    <w:name w:val="Exhibit Title"/>
    <w:basedOn w:val="HeadingFont"/>
    <w:next w:val="FigurePlacement"/>
    <w:qFormat/>
    <w:rsid w:val="00FE6739"/>
    <w:pPr>
      <w:keepLines/>
      <w:spacing w:before="240" w:after="120"/>
    </w:pPr>
    <w:rPr>
      <w:rFonts w:eastAsia="Times New Roman" w:cs="Times"/>
      <w:b/>
      <w:iCs/>
    </w:rPr>
  </w:style>
  <w:style w:type="table" w:customStyle="1" w:styleId="TableStyle-Handout">
    <w:name w:val="_Table Style-Handout"/>
    <w:basedOn w:val="TableNormal"/>
    <w:uiPriority w:val="99"/>
    <w:rsid w:val="00FE6739"/>
    <w:pPr>
      <w:spacing w:before="120" w:after="120"/>
    </w:pPr>
    <w:tblPr>
      <w:tblBorders>
        <w:bottom w:val="single" w:sz="6" w:space="0" w:color="A6A6A6" w:themeColor="background1" w:themeShade="A6"/>
        <w:insideH w:val="single" w:sz="6" w:space="0" w:color="A6A6A6" w:themeColor="background1" w:themeShade="A6"/>
      </w:tblBorders>
    </w:tblPr>
    <w:trPr>
      <w:cantSplit/>
    </w:trPr>
    <w:tblStylePr w:type="firstRow">
      <w:pPr>
        <w:jc w:val="left"/>
      </w:pPr>
      <w:rPr>
        <w:b w:val="0"/>
        <w:color w:val="auto"/>
      </w:rPr>
      <w:tblPr/>
      <w:trPr>
        <w:cantSplit w:val="0"/>
      </w:trPr>
      <w:tcPr>
        <w:vAlign w:val="bottom"/>
      </w:tcPr>
    </w:tblStylePr>
    <w:tblStylePr w:type="firstCol">
      <w:rPr>
        <w:b w:val="0"/>
        <w:color w:val="auto"/>
      </w:rPr>
    </w:tblStylePr>
  </w:style>
  <w:style w:type="paragraph" w:customStyle="1" w:styleId="HandoutTableText">
    <w:name w:val="Handout Table Text"/>
    <w:basedOn w:val="BodyText"/>
    <w:qFormat/>
    <w:rsid w:val="00FE6739"/>
    <w:pPr>
      <w:spacing w:before="120"/>
    </w:pPr>
  </w:style>
  <w:style w:type="paragraph" w:styleId="Revision">
    <w:name w:val="Revision"/>
    <w:hidden/>
    <w:uiPriority w:val="99"/>
    <w:semiHidden/>
    <w:rsid w:val="007F511B"/>
    <w:pPr>
      <w:spacing w:line="240" w:lineRule="auto"/>
    </w:pPr>
  </w:style>
  <w:style w:type="paragraph" w:customStyle="1" w:styleId="Reference">
    <w:name w:val="Reference"/>
    <w:basedOn w:val="BodyText"/>
    <w:link w:val="ReferenceChar"/>
    <w:qFormat/>
    <w:rsid w:val="00FE6739"/>
    <w:pPr>
      <w:keepLines/>
      <w:spacing w:before="120" w:after="240"/>
      <w:ind w:left="720" w:hanging="720"/>
    </w:pPr>
    <w:rPr>
      <w:rFonts w:eastAsiaTheme="minorHAnsi" w:cstheme="minorBidi"/>
    </w:rPr>
  </w:style>
  <w:style w:type="character" w:customStyle="1" w:styleId="ReferenceChar">
    <w:name w:val="Reference Char"/>
    <w:basedOn w:val="DefaultParagraphFont"/>
    <w:link w:val="Reference"/>
    <w:rsid w:val="00FE6739"/>
  </w:style>
  <w:style w:type="character" w:customStyle="1" w:styleId="ReferenceItalics">
    <w:name w:val="Reference Italics"/>
    <w:basedOn w:val="DefaultParagraphFont"/>
    <w:qFormat/>
    <w:rsid w:val="00FE6739"/>
    <w:rPr>
      <w:i/>
    </w:rPr>
  </w:style>
  <w:style w:type="paragraph" w:customStyle="1" w:styleId="ReferenceSubheading">
    <w:name w:val="Reference Subheading"/>
    <w:basedOn w:val="Heading3NoTOC"/>
    <w:next w:val="Reference"/>
    <w:qFormat/>
    <w:rsid w:val="00FE6739"/>
    <w:rPr>
      <w:rFonts w:eastAsia="Arial"/>
      <w:bCs/>
      <w:color w:val="auto"/>
    </w:rPr>
  </w:style>
  <w:style w:type="paragraph" w:customStyle="1" w:styleId="Heading3NoTOC">
    <w:name w:val="Heading 3 No TOC"/>
    <w:basedOn w:val="Heading3"/>
    <w:next w:val="BodyTextPostHead"/>
    <w:link w:val="Heading3NoTOCChar"/>
    <w:qFormat/>
    <w:rsid w:val="00FE6739"/>
    <w:pPr>
      <w:outlineLvl w:val="9"/>
    </w:pPr>
  </w:style>
  <w:style w:type="paragraph" w:customStyle="1" w:styleId="Heading4NoTOC">
    <w:name w:val="Heading 4 No TOC"/>
    <w:basedOn w:val="Heading4"/>
    <w:next w:val="BodyTextPostHead"/>
    <w:link w:val="Heading4NoTOCChar"/>
    <w:qFormat/>
    <w:rsid w:val="00FE6739"/>
    <w:pPr>
      <w:outlineLvl w:val="9"/>
    </w:pPr>
  </w:style>
  <w:style w:type="paragraph" w:customStyle="1" w:styleId="Heading5NoTOC">
    <w:name w:val="Heading 5 No TOC"/>
    <w:basedOn w:val="Heading5"/>
    <w:next w:val="BodyTextPostHead"/>
    <w:link w:val="Heading5NoTOCChar"/>
    <w:rsid w:val="00FE6739"/>
    <w:pPr>
      <w:keepNext/>
      <w:keepLines/>
      <w:outlineLvl w:val="9"/>
    </w:pPr>
    <w:rPr>
      <w:rFonts w:cstheme="majorHAnsi"/>
      <w:color w:val="000000"/>
    </w:rPr>
  </w:style>
  <w:style w:type="paragraph" w:customStyle="1" w:styleId="Heading6NoTOC">
    <w:name w:val="Heading 6 No TOC"/>
    <w:basedOn w:val="Heading6"/>
    <w:next w:val="BodyTextPostHead"/>
    <w:link w:val="Heading6NoTOCChar"/>
    <w:qFormat/>
    <w:rsid w:val="00FE6739"/>
    <w:pPr>
      <w:keepNext/>
      <w:keepLines/>
      <w:outlineLvl w:val="9"/>
    </w:pPr>
    <w:rPr>
      <w:color w:val="000000"/>
    </w:rPr>
  </w:style>
  <w:style w:type="character" w:customStyle="1" w:styleId="Heading5NoTOCChar">
    <w:name w:val="Heading 5 No TOC Char"/>
    <w:basedOn w:val="Heading5Char"/>
    <w:link w:val="Heading5NoTOC"/>
    <w:rsid w:val="00FE6739"/>
    <w:rPr>
      <w:rFonts w:eastAsia="Calibri" w:cstheme="majorHAnsi"/>
      <w:b/>
      <w:color w:val="000000"/>
    </w:rPr>
  </w:style>
  <w:style w:type="character" w:customStyle="1" w:styleId="Heading4NoTOCChar">
    <w:name w:val="Heading 4 No TOC Char"/>
    <w:basedOn w:val="DefaultParagraphFont"/>
    <w:link w:val="Heading4NoTOC"/>
    <w:rsid w:val="00FE6739"/>
    <w:rPr>
      <w:rFonts w:asciiTheme="majorHAnsi" w:eastAsia="Times New Roman" w:hAnsiTheme="majorHAnsi" w:cs="Times New Roman"/>
      <w:b/>
      <w:i/>
      <w:iCs/>
      <w:color w:val="326EA3" w:themeColor="accent1"/>
      <w:sz w:val="26"/>
      <w:szCs w:val="26"/>
    </w:rPr>
  </w:style>
  <w:style w:type="character" w:customStyle="1" w:styleId="Heading3NoTOCChar">
    <w:name w:val="Heading 3 No TOC Char"/>
    <w:basedOn w:val="Heading3Char"/>
    <w:link w:val="Heading3NoTOC"/>
    <w:rsid w:val="00FE6739"/>
    <w:rPr>
      <w:rFonts w:asciiTheme="majorHAnsi" w:eastAsia="Times New Roman" w:hAnsiTheme="majorHAnsi" w:cs="Times New Roman"/>
      <w:b/>
      <w:color w:val="326EA3" w:themeColor="accent1"/>
      <w:sz w:val="28"/>
      <w:szCs w:val="26"/>
    </w:rPr>
  </w:style>
  <w:style w:type="paragraph" w:customStyle="1" w:styleId="AgendaTime">
    <w:name w:val="Agenda Time"/>
    <w:basedOn w:val="AgendaDescription"/>
    <w:uiPriority w:val="28"/>
    <w:qFormat/>
    <w:rsid w:val="00FE6739"/>
    <w:pPr>
      <w:spacing w:before="240"/>
    </w:pPr>
    <w:rPr>
      <w:rFonts w:eastAsia="Calibri"/>
      <w:b/>
      <w:color w:val="000000"/>
    </w:rPr>
  </w:style>
  <w:style w:type="paragraph" w:customStyle="1" w:styleId="AgendaItem">
    <w:name w:val="Agenda Item"/>
    <w:basedOn w:val="AgendaDescription"/>
    <w:next w:val="AgendaDescription"/>
    <w:uiPriority w:val="28"/>
    <w:qFormat/>
    <w:rsid w:val="00FE6739"/>
    <w:pPr>
      <w:spacing w:before="240"/>
    </w:pPr>
    <w:rPr>
      <w:rFonts w:eastAsia="Calibri"/>
      <w:b/>
    </w:rPr>
  </w:style>
  <w:style w:type="paragraph" w:customStyle="1" w:styleId="AgendaDescription">
    <w:name w:val="Agenda Description"/>
    <w:basedOn w:val="BodyText"/>
    <w:uiPriority w:val="28"/>
    <w:qFormat/>
    <w:rsid w:val="00FE6739"/>
    <w:pPr>
      <w:spacing w:before="120"/>
    </w:pPr>
    <w:rPr>
      <w:rFonts w:eastAsia="Times New Roman"/>
    </w:rPr>
  </w:style>
  <w:style w:type="paragraph" w:customStyle="1" w:styleId="AgendaLocation">
    <w:name w:val="Agenda Location"/>
    <w:basedOn w:val="AgendaDescription"/>
    <w:uiPriority w:val="28"/>
    <w:qFormat/>
    <w:rsid w:val="00FE6739"/>
    <w:pPr>
      <w:spacing w:before="240"/>
    </w:pPr>
    <w:rPr>
      <w:rFonts w:eastAsia="Calibri"/>
      <w:b/>
      <w:i/>
      <w:color w:val="000000"/>
    </w:rPr>
  </w:style>
  <w:style w:type="table" w:customStyle="1" w:styleId="TableStyle-Agenda">
    <w:name w:val="_Table Style-Agenda"/>
    <w:basedOn w:val="TableNormal"/>
    <w:uiPriority w:val="99"/>
    <w:rsid w:val="008A1ED8"/>
    <w:tblPr/>
    <w:tblStylePr w:type="firstRow">
      <w:pPr>
        <w:wordWrap/>
        <w:spacing w:beforeLines="0" w:before="0" w:beforeAutospacing="0" w:afterLines="0" w:after="0" w:afterAutospacing="0" w:line="276" w:lineRule="auto"/>
        <w:jc w:val="left"/>
      </w:pPr>
      <w:rPr>
        <w:b w:val="0"/>
        <w:color w:val="FFFFFF" w:themeColor="background1"/>
      </w:rPr>
      <w:tblPr/>
      <w:tcPr>
        <w:shd w:val="clear" w:color="auto" w:fill="326EA3" w:themeFill="accent1"/>
        <w:vAlign w:val="bottom"/>
      </w:tcPr>
    </w:tblStylePr>
  </w:style>
  <w:style w:type="paragraph" w:customStyle="1" w:styleId="AgendaColumnHeading">
    <w:name w:val="Agenda Column Heading"/>
    <w:basedOn w:val="AgendaDescription"/>
    <w:uiPriority w:val="28"/>
    <w:rsid w:val="00FE6739"/>
    <w:pPr>
      <w:spacing w:before="60" w:after="60"/>
    </w:pPr>
    <w:rPr>
      <w:b/>
    </w:rPr>
  </w:style>
  <w:style w:type="character" w:customStyle="1" w:styleId="Heading6NoTOCChar">
    <w:name w:val="Heading 6 No TOC Char"/>
    <w:basedOn w:val="Heading6Char"/>
    <w:link w:val="Heading6NoTOC"/>
    <w:rsid w:val="00FE6739"/>
    <w:rPr>
      <w:rFonts w:eastAsia="Calibri" w:cs="Times New Roman"/>
      <w:b/>
      <w:i/>
      <w:color w:val="000000"/>
    </w:rPr>
  </w:style>
  <w:style w:type="paragraph" w:customStyle="1" w:styleId="DocumentSubtitle">
    <w:name w:val="Document Subtitle"/>
    <w:basedOn w:val="Heading1"/>
    <w:rsid w:val="00684357"/>
    <w:pPr>
      <w:spacing w:after="480"/>
      <w:outlineLvl w:val="9"/>
    </w:pPr>
    <w:rPr>
      <w:rFonts w:eastAsia="Calibri"/>
      <w:color w:val="1C1C1C" w:themeColor="text1"/>
      <w:sz w:val="60"/>
      <w:szCs w:val="24"/>
    </w:rPr>
  </w:style>
  <w:style w:type="character" w:styleId="UnresolvedMention">
    <w:name w:val="Unresolved Mention"/>
    <w:basedOn w:val="DefaultParagraphFont"/>
    <w:uiPriority w:val="99"/>
    <w:semiHidden/>
    <w:unhideWhenUsed/>
    <w:rsid w:val="00FE6739"/>
    <w:rPr>
      <w:color w:val="605E5C"/>
      <w:shd w:val="clear" w:color="auto" w:fill="E1DFDD"/>
    </w:rPr>
  </w:style>
  <w:style w:type="paragraph" w:customStyle="1" w:styleId="CoverFrontHeader">
    <w:name w:val="Cover Front Header"/>
    <w:qFormat/>
    <w:rsid w:val="00FE6739"/>
    <w:pPr>
      <w:widowControl w:val="0"/>
      <w:spacing w:before="2520"/>
    </w:pPr>
  </w:style>
  <w:style w:type="character" w:styleId="FollowedHyperlink">
    <w:name w:val="FollowedHyperlink"/>
    <w:basedOn w:val="DefaultParagraphFont"/>
    <w:uiPriority w:val="99"/>
    <w:semiHidden/>
    <w:unhideWhenUsed/>
    <w:rsid w:val="00FE6739"/>
    <w:rPr>
      <w:color w:val="570148" w:themeColor="followedHyperlink"/>
      <w:u w:val="single"/>
    </w:rPr>
  </w:style>
  <w:style w:type="character" w:styleId="PlaceholderText">
    <w:name w:val="Placeholder Text"/>
    <w:basedOn w:val="DefaultParagraphFont"/>
    <w:uiPriority w:val="99"/>
    <w:semiHidden/>
    <w:rsid w:val="00FE6739"/>
    <w:rPr>
      <w:color w:val="808080"/>
    </w:rPr>
  </w:style>
  <w:style w:type="character" w:styleId="Emphasis">
    <w:name w:val="Emphasis"/>
    <w:uiPriority w:val="20"/>
    <w:qFormat/>
    <w:rsid w:val="00FE6739"/>
    <w:rPr>
      <w:i/>
      <w:iCs/>
    </w:rPr>
  </w:style>
  <w:style w:type="character" w:customStyle="1" w:styleId="CaptionChar">
    <w:name w:val="Caption Char"/>
    <w:basedOn w:val="BodyTextChar"/>
    <w:link w:val="Caption"/>
    <w:uiPriority w:val="35"/>
    <w:rsid w:val="00987326"/>
    <w:rPr>
      <w:rFonts w:asciiTheme="majorHAnsi" w:eastAsia="Calibri" w:hAnsiTheme="majorHAnsi" w:cs="Times New Roman"/>
      <w:b/>
      <w:iCs/>
      <w:szCs w:val="18"/>
    </w:rPr>
  </w:style>
  <w:style w:type="paragraph" w:customStyle="1" w:styleId="LastPgCopyright">
    <w:name w:val="LastPg Copyright"/>
    <w:link w:val="LastPgCopyrightChar"/>
    <w:qFormat/>
    <w:rsid w:val="0081563B"/>
    <w:pPr>
      <w:spacing w:before="120" w:after="120" w:line="204" w:lineRule="auto"/>
      <w:ind w:left="360" w:right="339"/>
    </w:pPr>
    <w:rPr>
      <w:color w:val="1C1C1C" w:themeColor="text1"/>
      <w:spacing w:val="-2"/>
      <w:sz w:val="15"/>
      <w:szCs w:val="15"/>
    </w:rPr>
  </w:style>
  <w:style w:type="paragraph" w:customStyle="1" w:styleId="LastPgPubID">
    <w:name w:val="LastPg PubID"/>
    <w:basedOn w:val="LastPgCenterName"/>
    <w:link w:val="LastPgPubIDChar"/>
    <w:qFormat/>
    <w:rsid w:val="00B85BC7"/>
    <w:pPr>
      <w:spacing w:before="0"/>
    </w:pPr>
    <w:rPr>
      <w:color w:val="auto"/>
      <w:sz w:val="15"/>
      <w:szCs w:val="16"/>
    </w:rPr>
  </w:style>
  <w:style w:type="character" w:customStyle="1" w:styleId="LastPgPubIDChar">
    <w:name w:val="LastPg PubID Char"/>
    <w:basedOn w:val="DefaultParagraphFont"/>
    <w:link w:val="LastPgPubID"/>
    <w:rsid w:val="00B85BC7"/>
    <w:rPr>
      <w:rFonts w:cstheme="minorHAnsi"/>
      <w:spacing w:val="-2"/>
      <w:sz w:val="15"/>
      <w:szCs w:val="16"/>
    </w:rPr>
  </w:style>
  <w:style w:type="paragraph" w:customStyle="1" w:styleId="Heading1Demo">
    <w:name w:val="Heading 1 Demo"/>
    <w:basedOn w:val="Heading1"/>
    <w:rsid w:val="00383F00"/>
    <w:pPr>
      <w:outlineLvl w:val="9"/>
    </w:pPr>
    <w:rPr>
      <w:rFonts w:eastAsia="Arial" w:cs="Times New Roman"/>
    </w:rPr>
  </w:style>
  <w:style w:type="paragraph" w:customStyle="1" w:styleId="Heading2NoTOC">
    <w:name w:val="Heading 2 No TOC"/>
    <w:link w:val="Heading2NoTOCChar"/>
    <w:uiPriority w:val="9"/>
    <w:qFormat/>
    <w:rsid w:val="00270243"/>
    <w:pPr>
      <w:keepNext/>
      <w:keepLines/>
      <w:spacing w:before="240" w:after="120" w:line="240" w:lineRule="auto"/>
    </w:pPr>
    <w:rPr>
      <w:rFonts w:asciiTheme="majorHAnsi" w:eastAsia="Times New Roman" w:hAnsiTheme="majorHAnsi" w:cs="Times New Roman"/>
      <w:b/>
      <w:bCs/>
      <w:color w:val="326EA3" w:themeColor="accent1"/>
      <w:sz w:val="36"/>
      <w:szCs w:val="36"/>
    </w:rPr>
  </w:style>
  <w:style w:type="character" w:customStyle="1" w:styleId="Heading2NoTOCChar">
    <w:name w:val="Heading 2 No TOC Char"/>
    <w:basedOn w:val="DefaultParagraphFont"/>
    <w:link w:val="Heading2NoTOC"/>
    <w:uiPriority w:val="9"/>
    <w:rsid w:val="00270243"/>
    <w:rPr>
      <w:rFonts w:asciiTheme="majorHAnsi" w:eastAsia="Times New Roman" w:hAnsiTheme="majorHAnsi" w:cs="Times New Roman"/>
      <w:b/>
      <w:bCs/>
      <w:color w:val="326EA3" w:themeColor="accent1"/>
      <w:sz w:val="36"/>
      <w:szCs w:val="36"/>
    </w:rPr>
  </w:style>
  <w:style w:type="paragraph" w:customStyle="1" w:styleId="AppxTitle">
    <w:name w:val="Appx Title"/>
    <w:basedOn w:val="Heading2"/>
    <w:next w:val="BodyTextPostHead"/>
    <w:qFormat/>
    <w:rsid w:val="009D1700"/>
  </w:style>
  <w:style w:type="paragraph" w:customStyle="1" w:styleId="Table11ColumnHeading">
    <w:name w:val="Table 11 Column Heading"/>
    <w:basedOn w:val="Table11Basic"/>
    <w:qFormat/>
    <w:rsid w:val="005849A7"/>
    <w:pPr>
      <w:jc w:val="center"/>
    </w:pPr>
    <w:rPr>
      <w:b/>
      <w:color w:val="FFFFFF" w:themeColor="background1"/>
    </w:rPr>
  </w:style>
  <w:style w:type="paragraph" w:customStyle="1" w:styleId="Table11RowHeading">
    <w:name w:val="Table 11 Row Heading"/>
    <w:basedOn w:val="Table11Basic"/>
    <w:qFormat/>
    <w:rsid w:val="005849A7"/>
    <w:rPr>
      <w:b/>
    </w:rPr>
  </w:style>
  <w:style w:type="paragraph" w:customStyle="1" w:styleId="Table10ColumnHeading">
    <w:name w:val="Table 10 Column Heading"/>
    <w:basedOn w:val="Table10Basic"/>
    <w:qFormat/>
    <w:rsid w:val="005849A7"/>
    <w:pPr>
      <w:jc w:val="center"/>
    </w:pPr>
    <w:rPr>
      <w:b/>
      <w:color w:val="FFFFFF" w:themeColor="background1"/>
    </w:rPr>
  </w:style>
  <w:style w:type="paragraph" w:customStyle="1" w:styleId="Table10RowHeading">
    <w:name w:val="Table 10 Row Heading"/>
    <w:basedOn w:val="Table10Basic"/>
    <w:qFormat/>
    <w:rsid w:val="005849A7"/>
    <w:rPr>
      <w:b/>
    </w:rPr>
  </w:style>
  <w:style w:type="paragraph" w:customStyle="1" w:styleId="TableTitle">
    <w:name w:val="Table Title"/>
    <w:basedOn w:val="HeadingFont"/>
    <w:qFormat/>
    <w:rsid w:val="001627C7"/>
    <w:pPr>
      <w:keepLines/>
      <w:spacing w:before="240" w:after="120"/>
    </w:pPr>
    <w:rPr>
      <w:rFonts w:eastAsia="Times New Roman" w:cs="Times"/>
      <w:b/>
    </w:rPr>
  </w:style>
  <w:style w:type="numbering" w:customStyle="1" w:styleId="AIRTableNumbering">
    <w:name w:val="AIR Table Numbering"/>
    <w:uiPriority w:val="99"/>
    <w:rsid w:val="007642C7"/>
    <w:pPr>
      <w:numPr>
        <w:numId w:val="14"/>
      </w:numPr>
    </w:pPr>
  </w:style>
  <w:style w:type="numbering" w:customStyle="1" w:styleId="AIRTableBullet">
    <w:name w:val="AIR Table Bullet"/>
    <w:uiPriority w:val="99"/>
    <w:rsid w:val="007642C7"/>
    <w:pPr>
      <w:numPr>
        <w:numId w:val="15"/>
      </w:numPr>
    </w:pPr>
  </w:style>
  <w:style w:type="character" w:customStyle="1" w:styleId="TableHeading">
    <w:name w:val="Table Heading"/>
    <w:uiPriority w:val="1"/>
    <w:qFormat/>
    <w:rsid w:val="007642C7"/>
    <w:rPr>
      <w:b/>
      <w:color w:val="auto"/>
    </w:rPr>
  </w:style>
  <w:style w:type="paragraph" w:customStyle="1" w:styleId="FigureTitle">
    <w:name w:val="Figure Title"/>
    <w:basedOn w:val="Caption"/>
    <w:rsid w:val="00636F1A"/>
  </w:style>
  <w:style w:type="paragraph" w:customStyle="1" w:styleId="Header-Blank">
    <w:name w:val="Header-Blank"/>
    <w:basedOn w:val="HeadingFont"/>
    <w:qFormat/>
    <w:rsid w:val="00453429"/>
    <w:pPr>
      <w:keepNext w:val="0"/>
    </w:pPr>
  </w:style>
  <w:style w:type="paragraph" w:customStyle="1" w:styleId="Header1stPageLogos">
    <w:name w:val="Header 1st Page Logos"/>
    <w:qFormat/>
    <w:rsid w:val="00483603"/>
    <w:pPr>
      <w:widowControl w:val="0"/>
      <w:spacing w:line="240" w:lineRule="auto"/>
      <w:ind w:left="-360" w:right="-360"/>
    </w:pPr>
    <w:rPr>
      <w:rFonts w:eastAsia="Calibri" w:cs="Times New Roman"/>
    </w:rPr>
  </w:style>
  <w:style w:type="paragraph" w:customStyle="1" w:styleId="Header1stPageGraphicRule">
    <w:name w:val="Header 1st Page Graphic Rule"/>
    <w:basedOn w:val="Header1stPageLogos"/>
    <w:qFormat/>
    <w:rsid w:val="00483603"/>
    <w:pPr>
      <w:spacing w:after="360"/>
    </w:pPr>
    <w:rPr>
      <w:noProof/>
      <w:sz w:val="12"/>
      <w:szCs w:val="12"/>
    </w:rPr>
  </w:style>
  <w:style w:type="paragraph" w:customStyle="1" w:styleId="LastPgCenterName">
    <w:name w:val="LastPg Center Name"/>
    <w:basedOn w:val="LastPgCopyright"/>
    <w:link w:val="LastPgCenterNameChar"/>
    <w:qFormat/>
    <w:rsid w:val="00B85BC7"/>
    <w:pPr>
      <w:spacing w:before="80" w:line="240" w:lineRule="auto"/>
      <w:ind w:right="346"/>
    </w:pPr>
    <w:rPr>
      <w:rFonts w:cstheme="minorHAnsi"/>
      <w:sz w:val="20"/>
      <w:szCs w:val="20"/>
    </w:rPr>
  </w:style>
  <w:style w:type="character" w:customStyle="1" w:styleId="LastPgCopyrightChar">
    <w:name w:val="LastPg Copyright Char"/>
    <w:basedOn w:val="DefaultParagraphFont"/>
    <w:link w:val="LastPgCopyright"/>
    <w:rsid w:val="008B4656"/>
    <w:rPr>
      <w:color w:val="1C1C1C" w:themeColor="text1"/>
      <w:spacing w:val="-2"/>
      <w:sz w:val="15"/>
      <w:szCs w:val="15"/>
    </w:rPr>
  </w:style>
  <w:style w:type="character" w:customStyle="1" w:styleId="LastPgCenterNameChar">
    <w:name w:val="LastPg Center Name Char"/>
    <w:basedOn w:val="LastPgCopyrightChar"/>
    <w:link w:val="LastPgCenterName"/>
    <w:rsid w:val="00B85BC7"/>
    <w:rPr>
      <w:rFonts w:cstheme="minorHAnsi"/>
      <w:color w:val="1C1C1C" w:themeColor="text1"/>
      <w:spacing w:val="-2"/>
      <w:sz w:val="20"/>
      <w:szCs w:val="20"/>
    </w:rPr>
  </w:style>
  <w:style w:type="paragraph" w:styleId="Title">
    <w:name w:val="Title"/>
    <w:basedOn w:val="Normal"/>
    <w:next w:val="Normal"/>
    <w:link w:val="TitleChar"/>
    <w:uiPriority w:val="10"/>
    <w:qFormat/>
    <w:rsid w:val="002B5289"/>
    <w:pPr>
      <w:spacing w:line="240" w:lineRule="auto"/>
    </w:pPr>
    <w:rPr>
      <w:rFonts w:asciiTheme="majorHAnsi" w:hAnsiTheme="majorHAnsi"/>
      <w:b/>
      <w:color w:val="FFFFFF" w:themeColor="background1"/>
      <w:sz w:val="48"/>
      <w:szCs w:val="48"/>
    </w:rPr>
  </w:style>
  <w:style w:type="character" w:customStyle="1" w:styleId="TitleChar">
    <w:name w:val="Title Char"/>
    <w:basedOn w:val="DefaultParagraphFont"/>
    <w:link w:val="Title"/>
    <w:uiPriority w:val="10"/>
    <w:rsid w:val="002B5289"/>
    <w:rPr>
      <w:rFonts w:asciiTheme="majorHAnsi" w:hAnsiTheme="majorHAnsi"/>
      <w:b/>
      <w:color w:val="FFFFFF" w:themeColor="background1"/>
      <w:sz w:val="48"/>
      <w:szCs w:val="48"/>
    </w:rPr>
  </w:style>
  <w:style w:type="paragraph" w:styleId="Subtitle">
    <w:name w:val="Subtitle"/>
    <w:basedOn w:val="Normal"/>
    <w:next w:val="Normal"/>
    <w:link w:val="SubtitleChar"/>
    <w:uiPriority w:val="11"/>
    <w:qFormat/>
    <w:rsid w:val="002B5289"/>
    <w:pPr>
      <w:spacing w:line="240" w:lineRule="auto"/>
    </w:pPr>
    <w:rPr>
      <w:color w:val="FFFFFF" w:themeColor="background1"/>
      <w:sz w:val="36"/>
      <w:szCs w:val="36"/>
    </w:rPr>
  </w:style>
  <w:style w:type="character" w:customStyle="1" w:styleId="SubtitleChar">
    <w:name w:val="Subtitle Char"/>
    <w:basedOn w:val="DefaultParagraphFont"/>
    <w:link w:val="Subtitle"/>
    <w:uiPriority w:val="11"/>
    <w:rsid w:val="002B5289"/>
    <w:rPr>
      <w:color w:val="FFFFFF" w:themeColor="background1"/>
      <w:sz w:val="36"/>
      <w:szCs w:val="36"/>
    </w:rPr>
  </w:style>
  <w:style w:type="paragraph" w:customStyle="1" w:styleId="CoverFrontHeading">
    <w:name w:val="Cover Front Heading"/>
    <w:qFormat/>
    <w:rsid w:val="00AB735D"/>
    <w:pPr>
      <w:spacing w:line="240" w:lineRule="auto"/>
    </w:pPr>
    <w:rPr>
      <w:b/>
      <w:color w:val="FFFFFF" w:themeColor="background1"/>
      <w:sz w:val="20"/>
      <w:szCs w:val="20"/>
    </w:rPr>
  </w:style>
  <w:style w:type="paragraph" w:customStyle="1" w:styleId="CoverFrontText">
    <w:name w:val="Cover Front Text"/>
    <w:qFormat/>
    <w:rsid w:val="00AB735D"/>
    <w:pPr>
      <w:spacing w:line="240" w:lineRule="auto"/>
    </w:pPr>
    <w:rPr>
      <w:color w:val="FFFFFF" w:themeColor="background1"/>
      <w:sz w:val="20"/>
      <w:szCs w:val="20"/>
    </w:rPr>
  </w:style>
  <w:style w:type="paragraph" w:customStyle="1" w:styleId="CoverFrontGraphicsAnchor">
    <w:name w:val="Cover Front Graphics Anchor"/>
    <w:qFormat/>
    <w:rsid w:val="00AB735D"/>
    <w:pPr>
      <w:spacing w:line="240" w:lineRule="auto"/>
      <w:ind w:left="-1440" w:right="-1440"/>
    </w:pPr>
  </w:style>
  <w:style w:type="paragraph" w:customStyle="1" w:styleId="TitlePageTitle">
    <w:name w:val="Title Page Title"/>
    <w:basedOn w:val="Title"/>
    <w:qFormat/>
    <w:rsid w:val="002B5289"/>
    <w:pPr>
      <w:spacing w:before="600"/>
      <w:ind w:left="-360" w:right="-360"/>
    </w:pPr>
    <w:rPr>
      <w:color w:val="292929" w:themeColor="text2"/>
    </w:rPr>
  </w:style>
  <w:style w:type="paragraph" w:customStyle="1" w:styleId="TitlePageSubtitle">
    <w:name w:val="Title Page Subtitle"/>
    <w:basedOn w:val="Subtitle"/>
    <w:qFormat/>
    <w:rsid w:val="00AB735D"/>
    <w:pPr>
      <w:spacing w:before="600"/>
      <w:ind w:left="-360" w:right="-360"/>
    </w:pPr>
    <w:rPr>
      <w:color w:val="1C1C1C" w:themeColor="text1"/>
    </w:rPr>
  </w:style>
  <w:style w:type="paragraph" w:customStyle="1" w:styleId="TitlePageHeading">
    <w:name w:val="Title Page Heading"/>
    <w:basedOn w:val="CoverFrontHeading"/>
    <w:qFormat/>
    <w:rsid w:val="00AB735D"/>
    <w:pPr>
      <w:spacing w:before="600"/>
      <w:ind w:left="-360" w:right="-360"/>
    </w:pPr>
    <w:rPr>
      <w:color w:val="1C1C1C" w:themeColor="text1"/>
    </w:rPr>
  </w:style>
  <w:style w:type="paragraph" w:customStyle="1" w:styleId="TitlePageText">
    <w:name w:val="Title Page Text"/>
    <w:basedOn w:val="TitlePageHeading"/>
    <w:qFormat/>
    <w:rsid w:val="00AB735D"/>
    <w:pPr>
      <w:spacing w:before="60"/>
    </w:pPr>
    <w:rPr>
      <w:b w:val="0"/>
      <w:bCs/>
    </w:rPr>
  </w:style>
  <w:style w:type="paragraph" w:customStyle="1" w:styleId="CoverBackAIRlogo">
    <w:name w:val="Cover Back AIR logo"/>
    <w:basedOn w:val="Normal"/>
    <w:uiPriority w:val="1"/>
    <w:rsid w:val="00AB735D"/>
    <w:pPr>
      <w:suppressAutoHyphens/>
      <w:spacing w:before="7200" w:after="60" w:line="240" w:lineRule="auto"/>
    </w:pPr>
    <w:rPr>
      <w:rFonts w:ascii="Arial" w:hAnsi="Arial" w:cs="Arial"/>
      <w:noProof/>
      <w:color w:val="1C1C1C" w:themeColor="text1"/>
      <w:spacing w:val="-4"/>
      <w:sz w:val="20"/>
      <w:szCs w:val="20"/>
    </w:rPr>
  </w:style>
  <w:style w:type="paragraph" w:customStyle="1" w:styleId="CoverBackAIRURL">
    <w:name w:val="Cover Back AIR URL"/>
    <w:basedOn w:val="Normal"/>
    <w:uiPriority w:val="1"/>
    <w:rsid w:val="00AB735D"/>
    <w:pPr>
      <w:suppressAutoHyphens/>
      <w:spacing w:before="60" w:after="200" w:line="240" w:lineRule="auto"/>
    </w:pPr>
    <w:rPr>
      <w:rFonts w:ascii="Arial" w:hAnsi="Arial" w:cs="Arial"/>
      <w:b/>
      <w:noProof/>
      <w:color w:val="1C1C1C" w:themeColor="text1"/>
      <w:spacing w:val="-4"/>
      <w:sz w:val="20"/>
      <w:szCs w:val="20"/>
    </w:rPr>
  </w:style>
  <w:style w:type="paragraph" w:customStyle="1" w:styleId="CoverBackTopSpacer">
    <w:name w:val="Cover Back Top Spacer"/>
    <w:qFormat/>
    <w:rsid w:val="00AB735D"/>
    <w:pPr>
      <w:spacing w:after="10000" w:line="240" w:lineRule="auto"/>
      <w:ind w:left="-1440" w:right="-1440"/>
    </w:pPr>
    <w:rPr>
      <w:color w:val="326EA3" w:themeColor="accent1"/>
    </w:rPr>
  </w:style>
  <w:style w:type="paragraph" w:customStyle="1" w:styleId="LastPgDisclaimer">
    <w:name w:val="LastPg Disclaimer"/>
    <w:basedOn w:val="Normal"/>
    <w:qFormat/>
    <w:rsid w:val="009902B2"/>
    <w:pPr>
      <w:tabs>
        <w:tab w:val="right" w:pos="13680"/>
      </w:tabs>
      <w:spacing w:before="120"/>
    </w:pPr>
    <w:rPr>
      <w:rFonts w:eastAsia="Calibri" w:cstheme="minorHAnsi"/>
      <w:color w:val="FFFFFF" w:themeColor="background1"/>
      <w:kern w:val="24"/>
      <w:sz w:val="13"/>
      <w:szCs w:val="13"/>
    </w:rPr>
  </w:style>
  <w:style w:type="character" w:customStyle="1" w:styleId="LastPgCopyrightTrademarkChar">
    <w:name w:val="LastPg Copyright/Trademark Char"/>
    <w:basedOn w:val="DefaultParagraphFont"/>
    <w:link w:val="LastPgCopyrightTrademark"/>
    <w:locked/>
    <w:rsid w:val="009902B2"/>
    <w:rPr>
      <w:rFonts w:ascii="Calibri" w:eastAsia="Calibri" w:hAnsi="Calibri" w:cstheme="minorHAnsi"/>
      <w:color w:val="FFFFFF" w:themeColor="background1"/>
      <w:kern w:val="24"/>
      <w:sz w:val="13"/>
      <w:szCs w:val="13"/>
    </w:rPr>
  </w:style>
  <w:style w:type="paragraph" w:customStyle="1" w:styleId="LastPgCopyrightTrademark">
    <w:name w:val="LastPg Copyright/Trademark"/>
    <w:link w:val="LastPgCopyrightTrademarkChar"/>
    <w:qFormat/>
    <w:rsid w:val="009902B2"/>
    <w:pPr>
      <w:tabs>
        <w:tab w:val="right" w:pos="13680"/>
      </w:tabs>
      <w:spacing w:before="120" w:after="120"/>
    </w:pPr>
    <w:rPr>
      <w:rFonts w:ascii="Calibri" w:eastAsia="Calibri" w:hAnsi="Calibri" w:cstheme="minorHAnsi"/>
      <w:color w:val="FFFFFF" w:themeColor="background1"/>
      <w:kern w:val="24"/>
      <w:sz w:val="13"/>
      <w:szCs w:val="13"/>
    </w:rPr>
  </w:style>
  <w:style w:type="paragraph" w:customStyle="1" w:styleId="LastPgAIRCenterName">
    <w:name w:val="LastPg AIR/Center Name"/>
    <w:basedOn w:val="Normal"/>
    <w:link w:val="LastPgAIRCenterNameChar"/>
    <w:qFormat/>
    <w:rsid w:val="001B30F7"/>
    <w:pPr>
      <w:tabs>
        <w:tab w:val="right" w:pos="9696"/>
      </w:tabs>
      <w:spacing w:before="120" w:after="120" w:line="204" w:lineRule="auto"/>
      <w:ind w:right="360"/>
    </w:pPr>
    <w:rPr>
      <w:rFonts w:eastAsia="Arial" w:cstheme="minorHAnsi"/>
      <w:color w:val="FFFFFF" w:themeColor="background1"/>
      <w:sz w:val="20"/>
      <w:szCs w:val="20"/>
    </w:rPr>
  </w:style>
  <w:style w:type="character" w:customStyle="1" w:styleId="LastPgAIRCenterNameChar">
    <w:name w:val="LastPg AIR/Center Name Char"/>
    <w:basedOn w:val="DefaultParagraphFont"/>
    <w:link w:val="LastPgAIRCenterName"/>
    <w:rsid w:val="001B30F7"/>
    <w:rPr>
      <w:rFonts w:eastAsia="Arial" w:cstheme="minorHAnsi"/>
      <w:color w:val="FFFFFF" w:themeColor="background1"/>
      <w:sz w:val="20"/>
      <w:szCs w:val="20"/>
    </w:rPr>
  </w:style>
  <w:style w:type="paragraph" w:customStyle="1" w:styleId="SidebarText">
    <w:name w:val="Sidebar Text"/>
    <w:qFormat/>
    <w:rsid w:val="002A2F60"/>
    <w:pPr>
      <w:spacing w:before="100" w:after="100" w:line="240" w:lineRule="auto"/>
      <w:ind w:left="187" w:right="72"/>
    </w:pPr>
    <w:rPr>
      <w:rFonts w:eastAsia="Calibri" w:cstheme="minorHAnsi"/>
      <w:color w:val="000000"/>
      <w:sz w:val="20"/>
      <w:szCs w:val="22"/>
    </w:rPr>
  </w:style>
  <w:style w:type="character" w:customStyle="1" w:styleId="CtrlPlusspacecharacter">
    <w:name w:val="Ctrl Plus space character"/>
    <w:basedOn w:val="DefaultParagraphFont"/>
    <w:uiPriority w:val="1"/>
    <w:qFormat/>
    <w:rsid w:val="001B30F7"/>
    <w:rPr>
      <w:sz w:val="4"/>
    </w:rPr>
  </w:style>
  <w:style w:type="paragraph" w:customStyle="1" w:styleId="SidebarHeading">
    <w:name w:val="Sidebar Heading"/>
    <w:basedOn w:val="SidebarText"/>
    <w:next w:val="SidebarText"/>
    <w:qFormat/>
    <w:rsid w:val="002A2F60"/>
    <w:rPr>
      <w:rFonts w:asciiTheme="majorHAnsi" w:hAnsiTheme="majorHAnsi"/>
      <w:b/>
      <w:bCs/>
      <w:color w:val="326EA3" w:themeColor="accent1"/>
      <w:sz w:val="24"/>
      <w:szCs w:val="28"/>
    </w:rPr>
  </w:style>
  <w:style w:type="paragraph" w:customStyle="1" w:styleId="Heading1-Handout">
    <w:name w:val="Heading 1-Handout"/>
    <w:qFormat/>
    <w:rsid w:val="002A2F60"/>
    <w:rPr>
      <w:rFonts w:asciiTheme="majorHAnsi" w:eastAsia="Perpetua" w:hAnsiTheme="majorHAnsi" w:cstheme="majorHAnsi"/>
      <w:b/>
      <w:bCs/>
      <w:sz w:val="36"/>
      <w:szCs w:val="36"/>
    </w:rPr>
  </w:style>
  <w:style w:type="paragraph" w:customStyle="1" w:styleId="BoxHeading">
    <w:name w:val="Box Heading"/>
    <w:basedOn w:val="BodyText"/>
    <w:next w:val="BoxText"/>
    <w:qFormat/>
    <w:rsid w:val="001B30F7"/>
    <w:pPr>
      <w:spacing w:line="240" w:lineRule="auto"/>
    </w:pPr>
    <w:rPr>
      <w:b/>
      <w:color w:val="292929" w:themeColor="text2"/>
    </w:rPr>
  </w:style>
  <w:style w:type="paragraph" w:customStyle="1" w:styleId="BoxBullets">
    <w:name w:val="Box Bullets"/>
    <w:basedOn w:val="BoxText"/>
    <w:rsid w:val="001B30F7"/>
    <w:pPr>
      <w:tabs>
        <w:tab w:val="num" w:pos="360"/>
      </w:tabs>
    </w:pPr>
    <w:rPr>
      <w:rFonts w:eastAsiaTheme="minorHAnsi" w:cstheme="minorBidi"/>
      <w:color w:val="auto"/>
    </w:rPr>
  </w:style>
  <w:style w:type="paragraph" w:customStyle="1" w:styleId="BoxText">
    <w:name w:val="Box Text"/>
    <w:basedOn w:val="BodyText"/>
    <w:qFormat/>
    <w:rsid w:val="001B30F7"/>
    <w:pPr>
      <w:spacing w:before="60" w:after="60" w:line="240" w:lineRule="auto"/>
    </w:pPr>
    <w:rPr>
      <w:color w:val="292929" w:themeColor="text2"/>
      <w:szCs w:val="22"/>
    </w:rPr>
  </w:style>
  <w:style w:type="table" w:customStyle="1" w:styleId="TableStyle-ProposalBox">
    <w:name w:val="_Table Style-Proposal Box"/>
    <w:basedOn w:val="TableNormal"/>
    <w:uiPriority w:val="99"/>
    <w:rsid w:val="0024022D"/>
    <w:pPr>
      <w:spacing w:line="240" w:lineRule="auto"/>
    </w:pPr>
    <w:rPr>
      <w:color w:val="292929" w:themeColor="text2"/>
    </w:rPr>
    <w:tblPr>
      <w:tblBorders>
        <w:top w:val="single" w:sz="48" w:space="0" w:color="326EA3" w:themeColor="accent1"/>
      </w:tblBorders>
      <w:tblCellMar>
        <w:left w:w="360" w:type="dxa"/>
        <w:bottom w:w="360" w:type="dxa"/>
        <w:right w:w="360" w:type="dxa"/>
      </w:tblCellMar>
    </w:tblPr>
    <w:tcPr>
      <w:shd w:val="clear" w:color="auto" w:fill="E8EAF3" w:themeFill="background2"/>
    </w:tcPr>
  </w:style>
  <w:style w:type="character" w:customStyle="1" w:styleId="Spacer-HeaderFooterChar">
    <w:name w:val="Spacer-HeaderFooter Char"/>
    <w:basedOn w:val="DefaultParagraphFont"/>
    <w:link w:val="Spacer-HeaderFooter"/>
    <w:rsid w:val="001B30F7"/>
    <w:rPr>
      <w:sz w:val="2"/>
      <w:szCs w:val="2"/>
    </w:rPr>
  </w:style>
  <w:style w:type="character" w:customStyle="1" w:styleId="ResPubItal">
    <w:name w:val="Res Pub Ital"/>
    <w:basedOn w:val="DefaultParagraphFont"/>
    <w:uiPriority w:val="16"/>
    <w:rsid w:val="001B30F7"/>
    <w:rPr>
      <w:i/>
    </w:rPr>
  </w:style>
  <w:style w:type="numbering" w:customStyle="1" w:styleId="ListStyle-BoxBullets">
    <w:name w:val="_List Style-Box Bullets"/>
    <w:uiPriority w:val="99"/>
    <w:rsid w:val="001B30F7"/>
    <w:pPr>
      <w:numPr>
        <w:numId w:val="16"/>
      </w:numPr>
    </w:pPr>
  </w:style>
  <w:style w:type="paragraph" w:customStyle="1" w:styleId="LastPagePubIDExternal">
    <w:name w:val="Last Page PubID (External)"/>
    <w:basedOn w:val="Normal"/>
    <w:link w:val="LastPagePubIDExternalChar"/>
    <w:qFormat/>
    <w:rsid w:val="001B30F7"/>
    <w:pPr>
      <w:shd w:val="clear" w:color="auto" w:fill="326EA3" w:themeFill="accent1"/>
      <w:tabs>
        <w:tab w:val="right" w:pos="10080"/>
      </w:tabs>
      <w:spacing w:line="240" w:lineRule="auto"/>
      <w:jc w:val="right"/>
    </w:pPr>
    <w:rPr>
      <w:rFonts w:asciiTheme="majorHAnsi" w:eastAsia="Calibri" w:hAnsi="Calibri"/>
      <w:color w:val="FFFFFF" w:themeColor="background1"/>
      <w:kern w:val="24"/>
      <w:position w:val="-12"/>
      <w:sz w:val="14"/>
      <w:szCs w:val="14"/>
    </w:rPr>
  </w:style>
  <w:style w:type="character" w:customStyle="1" w:styleId="LastPagePubIDExternalChar">
    <w:name w:val="Last Page PubID (External) Char"/>
    <w:basedOn w:val="DefaultParagraphFont"/>
    <w:link w:val="LastPagePubIDExternal"/>
    <w:rsid w:val="001B30F7"/>
    <w:rPr>
      <w:rFonts w:asciiTheme="majorHAnsi" w:eastAsia="Calibri" w:hAnsi="Calibri"/>
      <w:color w:val="FFFFFF" w:themeColor="background1"/>
      <w:kern w:val="24"/>
      <w:position w:val="-12"/>
      <w:sz w:val="14"/>
      <w:szCs w:val="14"/>
      <w:shd w:val="clear" w:color="auto" w:fill="326EA3" w:themeFill="accent1"/>
    </w:rPr>
  </w:style>
  <w:style w:type="paragraph" w:customStyle="1" w:styleId="Callout-inlinesource">
    <w:name w:val="Callout-inline source"/>
    <w:basedOn w:val="Normal"/>
    <w:qFormat/>
    <w:rsid w:val="00373490"/>
    <w:pPr>
      <w:suppressAutoHyphens/>
      <w:spacing w:before="120" w:after="240" w:line="240" w:lineRule="auto"/>
      <w:jc w:val="right"/>
    </w:pPr>
    <w:rPr>
      <w:rFonts w:ascii="Cambria" w:eastAsia="Calibri" w:hAnsi="Cambria" w:cs="Times New Roman"/>
      <w:bCs/>
      <w:i/>
      <w:iCs/>
      <w:color w:val="1C252D"/>
      <w:sz w:val="22"/>
      <w:szCs w:val="22"/>
    </w:rPr>
  </w:style>
  <w:style w:type="paragraph" w:styleId="TOC3">
    <w:name w:val="toc 3"/>
    <w:basedOn w:val="Normal"/>
    <w:next w:val="Normal"/>
    <w:autoRedefine/>
    <w:uiPriority w:val="39"/>
    <w:unhideWhenUsed/>
    <w:rsid w:val="002A2F60"/>
    <w:pPr>
      <w:spacing w:after="100" w:line="259" w:lineRule="auto"/>
      <w:ind w:left="440"/>
    </w:pPr>
    <w:rPr>
      <w:rFonts w:eastAsiaTheme="minorEastAsia" w:cs="Times New Roman"/>
      <w:sz w:val="22"/>
      <w:szCs w:val="22"/>
    </w:rPr>
  </w:style>
  <w:style w:type="table" w:customStyle="1" w:styleId="TableGrid1">
    <w:name w:val="Table Grid1"/>
    <w:basedOn w:val="TableNormal"/>
    <w:next w:val="TableGrid"/>
    <w:uiPriority w:val="39"/>
    <w:rsid w:val="00D802C2"/>
    <w:pPr>
      <w:spacing w:line="240" w:lineRule="auto"/>
    </w:pPr>
    <w:rPr>
      <w:rFonts w:ascii="Calibri" w:hAnsi="Calibri" w:cs="Times New Roman"/>
      <w:bCs/>
      <w:color w:val="1C252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4A2817"/>
    <w:rPr>
      <w:rFonts w:eastAsiaTheme="majorEastAsia" w:cstheme="majorBidi"/>
      <w:color w:val="6B6B6B" w:themeColor="text1" w:themeTint="A6"/>
      <w:kern w:val="2"/>
      <w14:ligatures w14:val="standardContextual"/>
    </w:rPr>
  </w:style>
  <w:style w:type="character" w:customStyle="1" w:styleId="Heading8Char">
    <w:name w:val="Heading 8 Char"/>
    <w:basedOn w:val="DefaultParagraphFont"/>
    <w:link w:val="Heading8"/>
    <w:uiPriority w:val="9"/>
    <w:semiHidden/>
    <w:rsid w:val="004A2817"/>
    <w:rPr>
      <w:rFonts w:eastAsiaTheme="majorEastAsia" w:cstheme="majorBidi"/>
      <w:i/>
      <w:iCs/>
      <w:color w:val="3E3E3E" w:themeColor="text1" w:themeTint="D8"/>
      <w:kern w:val="2"/>
      <w14:ligatures w14:val="standardContextual"/>
    </w:rPr>
  </w:style>
  <w:style w:type="character" w:customStyle="1" w:styleId="Heading9Char">
    <w:name w:val="Heading 9 Char"/>
    <w:basedOn w:val="DefaultParagraphFont"/>
    <w:link w:val="Heading9"/>
    <w:uiPriority w:val="9"/>
    <w:semiHidden/>
    <w:rsid w:val="004A2817"/>
    <w:rPr>
      <w:rFonts w:eastAsiaTheme="majorEastAsia" w:cstheme="majorBidi"/>
      <w:color w:val="3E3E3E" w:themeColor="text1" w:themeTint="D8"/>
      <w:kern w:val="2"/>
      <w14:ligatures w14:val="standardContextual"/>
    </w:rPr>
  </w:style>
  <w:style w:type="paragraph" w:styleId="Quote">
    <w:name w:val="Quote"/>
    <w:basedOn w:val="Normal"/>
    <w:next w:val="Normal"/>
    <w:link w:val="QuoteChar"/>
    <w:uiPriority w:val="29"/>
    <w:qFormat/>
    <w:rsid w:val="004A2817"/>
    <w:pPr>
      <w:spacing w:before="160" w:after="160" w:line="278" w:lineRule="auto"/>
      <w:jc w:val="center"/>
    </w:pPr>
    <w:rPr>
      <w:i/>
      <w:iCs/>
      <w:color w:val="545454" w:themeColor="text1" w:themeTint="BF"/>
      <w:kern w:val="2"/>
      <w14:ligatures w14:val="standardContextual"/>
    </w:rPr>
  </w:style>
  <w:style w:type="character" w:customStyle="1" w:styleId="QuoteChar">
    <w:name w:val="Quote Char"/>
    <w:basedOn w:val="DefaultParagraphFont"/>
    <w:link w:val="Quote"/>
    <w:uiPriority w:val="29"/>
    <w:rsid w:val="004A2817"/>
    <w:rPr>
      <w:i/>
      <w:iCs/>
      <w:color w:val="545454" w:themeColor="text1" w:themeTint="BF"/>
      <w:kern w:val="2"/>
      <w14:ligatures w14:val="standardContextual"/>
    </w:rPr>
  </w:style>
  <w:style w:type="paragraph" w:styleId="ListParagraph">
    <w:name w:val="List Paragraph"/>
    <w:basedOn w:val="Normal"/>
    <w:uiPriority w:val="34"/>
    <w:qFormat/>
    <w:rsid w:val="004A2817"/>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4A2817"/>
    <w:rPr>
      <w:i/>
      <w:iCs/>
      <w:color w:val="255279" w:themeColor="accent1" w:themeShade="BF"/>
    </w:rPr>
  </w:style>
  <w:style w:type="paragraph" w:styleId="IntenseQuote">
    <w:name w:val="Intense Quote"/>
    <w:basedOn w:val="Normal"/>
    <w:next w:val="Normal"/>
    <w:link w:val="IntenseQuoteChar"/>
    <w:uiPriority w:val="30"/>
    <w:qFormat/>
    <w:rsid w:val="004A2817"/>
    <w:pPr>
      <w:pBdr>
        <w:top w:val="single" w:sz="4" w:space="10" w:color="255279" w:themeColor="accent1" w:themeShade="BF"/>
        <w:bottom w:val="single" w:sz="4" w:space="10" w:color="255279" w:themeColor="accent1" w:themeShade="BF"/>
      </w:pBdr>
      <w:spacing w:before="360" w:after="360" w:line="278" w:lineRule="auto"/>
      <w:ind w:left="864" w:right="864"/>
      <w:jc w:val="center"/>
    </w:pPr>
    <w:rPr>
      <w:i/>
      <w:iCs/>
      <w:color w:val="255279" w:themeColor="accent1" w:themeShade="BF"/>
      <w:kern w:val="2"/>
      <w14:ligatures w14:val="standardContextual"/>
    </w:rPr>
  </w:style>
  <w:style w:type="character" w:customStyle="1" w:styleId="IntenseQuoteChar">
    <w:name w:val="Intense Quote Char"/>
    <w:basedOn w:val="DefaultParagraphFont"/>
    <w:link w:val="IntenseQuote"/>
    <w:uiPriority w:val="30"/>
    <w:rsid w:val="004A2817"/>
    <w:rPr>
      <w:i/>
      <w:iCs/>
      <w:color w:val="255279" w:themeColor="accent1" w:themeShade="BF"/>
      <w:kern w:val="2"/>
      <w14:ligatures w14:val="standardContextual"/>
    </w:rPr>
  </w:style>
  <w:style w:type="character" w:styleId="IntenseReference">
    <w:name w:val="Intense Reference"/>
    <w:basedOn w:val="DefaultParagraphFont"/>
    <w:uiPriority w:val="32"/>
    <w:qFormat/>
    <w:rsid w:val="004A2817"/>
    <w:rPr>
      <w:b/>
      <w:bCs/>
      <w:smallCaps/>
      <w:color w:val="255279" w:themeColor="accent1" w:themeShade="BF"/>
      <w:spacing w:val="5"/>
    </w:rPr>
  </w:style>
  <w:style w:type="character" w:styleId="SubtleEmphasis">
    <w:name w:val="Subtle Emphasis"/>
    <w:basedOn w:val="DefaultParagraphFont"/>
    <w:uiPriority w:val="19"/>
    <w:qFormat/>
    <w:rsid w:val="004A2817"/>
    <w:rPr>
      <w:i/>
      <w:iCs/>
      <w:color w:val="545454" w:themeColor="text1" w:themeTint="BF"/>
    </w:rPr>
  </w:style>
  <w:style w:type="paragraph" w:styleId="NormalWeb">
    <w:name w:val="Normal (Web)"/>
    <w:basedOn w:val="Normal"/>
    <w:uiPriority w:val="99"/>
    <w:semiHidden/>
    <w:unhideWhenUsed/>
    <w:rsid w:val="004A2817"/>
    <w:pPr>
      <w:spacing w:before="100" w:beforeAutospacing="1" w:after="100" w:afterAutospacing="1" w:line="240" w:lineRule="auto"/>
    </w:pPr>
    <w:rPr>
      <w:rFonts w:ascii="Times New Roman" w:eastAsiaTheme="minorEastAsia" w:hAnsi="Times New Roman" w:cs="Times New Roman"/>
    </w:rPr>
  </w:style>
  <w:style w:type="table" w:styleId="GridTable4-Accent1">
    <w:name w:val="Grid Table 4 Accent 1"/>
    <w:basedOn w:val="TableNormal"/>
    <w:uiPriority w:val="49"/>
    <w:rsid w:val="004A2817"/>
    <w:pPr>
      <w:spacing w:line="240" w:lineRule="auto"/>
    </w:pPr>
    <w:rPr>
      <w:kern w:val="2"/>
      <w14:ligatures w14:val="standardContextual"/>
    </w:rPr>
    <w:tblPr>
      <w:tblStyleRowBandSize w:val="1"/>
      <w:tblStyleColBandSize w:val="1"/>
      <w:tblBorders>
        <w:top w:val="single" w:sz="4" w:space="0" w:color="76A8D5" w:themeColor="accent1" w:themeTint="99"/>
        <w:left w:val="single" w:sz="4" w:space="0" w:color="76A8D5" w:themeColor="accent1" w:themeTint="99"/>
        <w:bottom w:val="single" w:sz="4" w:space="0" w:color="76A8D5" w:themeColor="accent1" w:themeTint="99"/>
        <w:right w:val="single" w:sz="4" w:space="0" w:color="76A8D5" w:themeColor="accent1" w:themeTint="99"/>
        <w:insideH w:val="single" w:sz="4" w:space="0" w:color="76A8D5" w:themeColor="accent1" w:themeTint="99"/>
        <w:insideV w:val="single" w:sz="4" w:space="0" w:color="76A8D5" w:themeColor="accent1" w:themeTint="99"/>
      </w:tblBorders>
    </w:tblPr>
    <w:tblStylePr w:type="firstRow">
      <w:rPr>
        <w:b/>
        <w:bCs/>
        <w:color w:val="FFFFFF" w:themeColor="background1"/>
      </w:rPr>
      <w:tblPr/>
      <w:tcPr>
        <w:tcBorders>
          <w:top w:val="single" w:sz="4" w:space="0" w:color="326EA3" w:themeColor="accent1"/>
          <w:left w:val="single" w:sz="4" w:space="0" w:color="326EA3" w:themeColor="accent1"/>
          <w:bottom w:val="single" w:sz="4" w:space="0" w:color="326EA3" w:themeColor="accent1"/>
          <w:right w:val="single" w:sz="4" w:space="0" w:color="326EA3" w:themeColor="accent1"/>
          <w:insideH w:val="nil"/>
          <w:insideV w:val="nil"/>
        </w:tcBorders>
        <w:shd w:val="clear" w:color="auto" w:fill="326EA3" w:themeFill="accent1"/>
      </w:tcPr>
    </w:tblStylePr>
    <w:tblStylePr w:type="lastRow">
      <w:rPr>
        <w:b/>
        <w:bCs/>
      </w:rPr>
      <w:tblPr/>
      <w:tcPr>
        <w:tcBorders>
          <w:top w:val="double" w:sz="4" w:space="0" w:color="326EA3" w:themeColor="accent1"/>
        </w:tcBorders>
      </w:tcPr>
    </w:tblStylePr>
    <w:tblStylePr w:type="firstCol">
      <w:rPr>
        <w:b/>
        <w:bCs/>
      </w:rPr>
    </w:tblStylePr>
    <w:tblStylePr w:type="lastCol">
      <w:rPr>
        <w:b/>
        <w:bCs/>
      </w:rPr>
    </w:tblStylePr>
    <w:tblStylePr w:type="band1Vert">
      <w:tblPr/>
      <w:tcPr>
        <w:shd w:val="clear" w:color="auto" w:fill="D1E2F1" w:themeFill="accent1" w:themeFillTint="33"/>
      </w:tcPr>
    </w:tblStylePr>
    <w:tblStylePr w:type="band1Horz">
      <w:tblPr/>
      <w:tcPr>
        <w:shd w:val="clear" w:color="auto" w:fill="D1E2F1" w:themeFill="accent1" w:themeFillTint="33"/>
      </w:tcPr>
    </w:tblStylePr>
  </w:style>
  <w:style w:type="character" w:styleId="Mention">
    <w:name w:val="Mention"/>
    <w:basedOn w:val="DefaultParagraphFont"/>
    <w:uiPriority w:val="99"/>
    <w:unhideWhenUsed/>
    <w:rsid w:val="004A2817"/>
    <w:rPr>
      <w:color w:val="2B579A"/>
      <w:shd w:val="clear" w:color="auto" w:fill="E1DFDD"/>
    </w:rPr>
  </w:style>
  <w:style w:type="paragraph" w:customStyle="1" w:styleId="paragraph">
    <w:name w:val="paragraph"/>
    <w:basedOn w:val="Normal"/>
    <w:rsid w:val="004A2817"/>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efaultParagraphFont"/>
    <w:rsid w:val="004A2817"/>
  </w:style>
  <w:style w:type="character" w:customStyle="1" w:styleId="annotation-bb6640b0-f798-426d-95c2-7cce1615190f">
    <w:name w:val="annotation-bb6640b0-f798-426d-95c2-7cce1615190f"/>
    <w:basedOn w:val="DefaultParagraphFont"/>
    <w:rsid w:val="004A2817"/>
  </w:style>
  <w:style w:type="character" w:customStyle="1" w:styleId="eop">
    <w:name w:val="eop"/>
    <w:basedOn w:val="DefaultParagraphFont"/>
    <w:rsid w:val="004A2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850172">
      <w:bodyDiv w:val="1"/>
      <w:marLeft w:val="0"/>
      <w:marRight w:val="0"/>
      <w:marTop w:val="0"/>
      <w:marBottom w:val="0"/>
      <w:divBdr>
        <w:top w:val="none" w:sz="0" w:space="0" w:color="auto"/>
        <w:left w:val="none" w:sz="0" w:space="0" w:color="auto"/>
        <w:bottom w:val="none" w:sz="0" w:space="0" w:color="auto"/>
        <w:right w:val="none" w:sz="0" w:space="0" w:color="auto"/>
      </w:divBdr>
    </w:div>
    <w:div w:id="616065330">
      <w:bodyDiv w:val="1"/>
      <w:marLeft w:val="0"/>
      <w:marRight w:val="0"/>
      <w:marTop w:val="0"/>
      <w:marBottom w:val="0"/>
      <w:divBdr>
        <w:top w:val="none" w:sz="0" w:space="0" w:color="auto"/>
        <w:left w:val="none" w:sz="0" w:space="0" w:color="auto"/>
        <w:bottom w:val="none" w:sz="0" w:space="0" w:color="auto"/>
        <w:right w:val="none" w:sz="0" w:space="0" w:color="auto"/>
      </w:divBdr>
    </w:div>
    <w:div w:id="1161117039">
      <w:bodyDiv w:val="1"/>
      <w:marLeft w:val="0"/>
      <w:marRight w:val="0"/>
      <w:marTop w:val="0"/>
      <w:marBottom w:val="0"/>
      <w:divBdr>
        <w:top w:val="none" w:sz="0" w:space="0" w:color="auto"/>
        <w:left w:val="none" w:sz="0" w:space="0" w:color="auto"/>
        <w:bottom w:val="none" w:sz="0" w:space="0" w:color="auto"/>
        <w:right w:val="none" w:sz="0" w:space="0" w:color="auto"/>
      </w:divBdr>
    </w:div>
    <w:div w:id="1170170752">
      <w:bodyDiv w:val="1"/>
      <w:marLeft w:val="0"/>
      <w:marRight w:val="0"/>
      <w:marTop w:val="0"/>
      <w:marBottom w:val="0"/>
      <w:divBdr>
        <w:top w:val="none" w:sz="0" w:space="0" w:color="auto"/>
        <w:left w:val="none" w:sz="0" w:space="0" w:color="auto"/>
        <w:bottom w:val="none" w:sz="0" w:space="0" w:color="auto"/>
        <w:right w:val="none" w:sz="0" w:space="0" w:color="auto"/>
      </w:divBdr>
    </w:div>
    <w:div w:id="1374649095">
      <w:bodyDiv w:val="1"/>
      <w:marLeft w:val="0"/>
      <w:marRight w:val="0"/>
      <w:marTop w:val="0"/>
      <w:marBottom w:val="0"/>
      <w:divBdr>
        <w:top w:val="none" w:sz="0" w:space="0" w:color="auto"/>
        <w:left w:val="none" w:sz="0" w:space="0" w:color="auto"/>
        <w:bottom w:val="none" w:sz="0" w:space="0" w:color="auto"/>
        <w:right w:val="none" w:sz="0" w:space="0" w:color="auto"/>
      </w:divBdr>
    </w:div>
    <w:div w:id="1416171123">
      <w:bodyDiv w:val="1"/>
      <w:marLeft w:val="0"/>
      <w:marRight w:val="0"/>
      <w:marTop w:val="0"/>
      <w:marBottom w:val="0"/>
      <w:divBdr>
        <w:top w:val="none" w:sz="0" w:space="0" w:color="auto"/>
        <w:left w:val="none" w:sz="0" w:space="0" w:color="auto"/>
        <w:bottom w:val="none" w:sz="0" w:space="0" w:color="auto"/>
        <w:right w:val="none" w:sz="0" w:space="0" w:color="auto"/>
      </w:divBdr>
    </w:div>
    <w:div w:id="14300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diagramData" Target="diagrams/data1.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diagramQuickStyle" Target="diagrams/quickStyle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BE@sbe.ca.gov" TargetMode="External"/><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 Id="rId22" Type="http://schemas.microsoft.com/office/2007/relationships/diagramDrawing" Target="diagrams/drawing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407637A-4F19-6947-B15E-08C244A8C7F3}" type="doc">
      <dgm:prSet loTypeId="urn:microsoft.com/office/officeart/2016/7/layout/VerticalSolidActionList" loCatId="List" qsTypeId="urn:microsoft.com/office/officeart/2005/8/quickstyle/simple2" qsCatId="simple" csTypeId="urn:microsoft.com/office/officeart/2005/8/colors/colorful1" csCatId="colorful" phldr="1"/>
      <dgm:spPr/>
      <dgm:t>
        <a:bodyPr/>
        <a:lstStyle/>
        <a:p>
          <a:endParaRPr lang="en-US"/>
        </a:p>
      </dgm:t>
    </dgm:pt>
    <dgm:pt modelId="{02907BF1-FDC6-F144-911B-281BE09124CF}">
      <dgm:prSet phldrT="[Text]" custT="1"/>
      <dgm:spPr>
        <a:solidFill>
          <a:srgbClr val="326EA3"/>
        </a:solidFill>
        <a:ln>
          <a:solidFill>
            <a:schemeClr val="tx1"/>
          </a:solidFill>
        </a:ln>
      </dgm:spPr>
      <dgm:t>
        <a:bodyPr/>
        <a:lstStyle/>
        <a:p>
          <a:r>
            <a:rPr lang="en-US" sz="1200" b="1" i="0" dirty="0">
              <a:effectLst/>
              <a:latin typeface="Cambria" panose="02040503050406030204" pitchFamily="18" charset="0"/>
              <a:ea typeface="Aptos" panose="020B0004020202020204" pitchFamily="34" charset="0"/>
              <a:cs typeface="Times New Roman" panose="02020603050405020304" pitchFamily="18" charset="0"/>
            </a:rPr>
            <a:t>Geographic leads</a:t>
          </a:r>
          <a:endParaRPr lang="en-US" sz="1200" b="1" i="0" dirty="0">
            <a:latin typeface="Cambria" panose="02040503050406030204" pitchFamily="18" charset="0"/>
          </a:endParaRPr>
        </a:p>
      </dgm:t>
    </dgm:pt>
    <dgm:pt modelId="{971486EA-E9B9-0D42-9512-07B5F105EA11}" type="parTrans" cxnId="{CF9D43C5-8CBD-7B42-A585-D81F0AE4C330}">
      <dgm:prSet/>
      <dgm:spPr/>
      <dgm:t>
        <a:bodyPr/>
        <a:lstStyle/>
        <a:p>
          <a:endParaRPr lang="en-US"/>
        </a:p>
      </dgm:t>
    </dgm:pt>
    <dgm:pt modelId="{8BD23AD3-91AD-7A42-BC21-31C24AE2CEAE}" type="sibTrans" cxnId="{CF9D43C5-8CBD-7B42-A585-D81F0AE4C330}">
      <dgm:prSet/>
      <dgm:spPr/>
      <dgm:t>
        <a:bodyPr/>
        <a:lstStyle/>
        <a:p>
          <a:endParaRPr lang="en-US"/>
        </a:p>
      </dgm:t>
    </dgm:pt>
    <dgm:pt modelId="{BA12465E-0816-0A41-B636-9BD1F20426FD}">
      <dgm:prSet phldrT="[Text]"/>
      <dgm:spPr>
        <a:solidFill>
          <a:srgbClr val="326EA3">
            <a:alpha val="10000"/>
          </a:srgbClr>
        </a:solidFill>
        <a:ln>
          <a:solidFill>
            <a:schemeClr val="tx1"/>
          </a:solidFill>
        </a:ln>
      </dgm:spPr>
      <dgm:t>
        <a:bodyPr/>
        <a:lstStyle/>
        <a:p>
          <a:pPr marL="0" indent="0">
            <a:buNone/>
          </a:pPr>
          <a:r>
            <a:rPr lang="en-US" b="0" i="0" dirty="0">
              <a:effectLst/>
              <a:latin typeface="Cambria" panose="02040503050406030204" pitchFamily="18" charset="0"/>
              <a:ea typeface="Aptos" panose="020B0004020202020204" pitchFamily="34" charset="0"/>
              <a:cs typeface="Times New Roman" panose="02020603050405020304" pitchFamily="18" charset="0"/>
            </a:rPr>
            <a:t>Members of California’s Geographic Lead Agencies, statewide networks of county offices of education (COEs) charged with building the capacity of COEs to best support LEAs</a:t>
          </a:r>
          <a:endParaRPr lang="en-US" b="0" i="0" dirty="0">
            <a:latin typeface="Cambria" panose="02040503050406030204" pitchFamily="18" charset="0"/>
          </a:endParaRPr>
        </a:p>
      </dgm:t>
    </dgm:pt>
    <dgm:pt modelId="{3B84897A-7723-6246-A9B7-7122264E9070}" type="parTrans" cxnId="{4C40CF38-FCDB-BA4C-B37A-C86D7A8D6197}">
      <dgm:prSet/>
      <dgm:spPr/>
      <dgm:t>
        <a:bodyPr/>
        <a:lstStyle/>
        <a:p>
          <a:endParaRPr lang="en-US"/>
        </a:p>
      </dgm:t>
    </dgm:pt>
    <dgm:pt modelId="{396559A7-A26F-BF4B-82A6-03D19083411E}" type="sibTrans" cxnId="{4C40CF38-FCDB-BA4C-B37A-C86D7A8D6197}">
      <dgm:prSet/>
      <dgm:spPr/>
      <dgm:t>
        <a:bodyPr/>
        <a:lstStyle/>
        <a:p>
          <a:endParaRPr lang="en-US"/>
        </a:p>
      </dgm:t>
    </dgm:pt>
    <dgm:pt modelId="{5D0C95FC-90FB-4F4C-8B23-D7B506613100}">
      <dgm:prSet phldrT="[Text]" custT="1"/>
      <dgm:spPr>
        <a:solidFill>
          <a:srgbClr val="2B8640"/>
        </a:solidFill>
        <a:ln>
          <a:solidFill>
            <a:schemeClr val="tx1"/>
          </a:solidFill>
        </a:ln>
      </dgm:spPr>
      <dgm:t>
        <a:bodyPr/>
        <a:lstStyle/>
        <a:p>
          <a:r>
            <a:rPr lang="en-US" sz="1200" b="1" i="0" dirty="0">
              <a:effectLst/>
              <a:latin typeface="Cambria" panose="02040503050406030204" pitchFamily="18" charset="0"/>
              <a:ea typeface="Aptos" panose="020B0004020202020204" pitchFamily="34" charset="0"/>
              <a:cs typeface="Times New Roman" panose="02020603050405020304" pitchFamily="18" charset="0"/>
            </a:rPr>
            <a:t>Charter schools</a:t>
          </a:r>
          <a:endParaRPr lang="en-US" sz="1200" b="1" i="0" dirty="0">
            <a:latin typeface="Cambria" panose="02040503050406030204" pitchFamily="18" charset="0"/>
          </a:endParaRPr>
        </a:p>
      </dgm:t>
    </dgm:pt>
    <dgm:pt modelId="{9827A6B9-F3F5-0845-9B6D-157D2ABC6DA4}" type="parTrans" cxnId="{16BF0DA4-3BA0-E346-A80D-08A6EE915A4F}">
      <dgm:prSet/>
      <dgm:spPr/>
      <dgm:t>
        <a:bodyPr/>
        <a:lstStyle/>
        <a:p>
          <a:endParaRPr lang="en-US"/>
        </a:p>
      </dgm:t>
    </dgm:pt>
    <dgm:pt modelId="{8D0D00F6-2F55-9541-BD0C-08566E474129}" type="sibTrans" cxnId="{16BF0DA4-3BA0-E346-A80D-08A6EE915A4F}">
      <dgm:prSet/>
      <dgm:spPr/>
      <dgm:t>
        <a:bodyPr/>
        <a:lstStyle/>
        <a:p>
          <a:endParaRPr lang="en-US"/>
        </a:p>
      </dgm:t>
    </dgm:pt>
    <dgm:pt modelId="{3D454BCE-190D-794C-9CB2-AD20F48C3745}">
      <dgm:prSet phldrT="[Text]"/>
      <dgm:spPr>
        <a:solidFill>
          <a:srgbClr val="2B8640">
            <a:alpha val="10000"/>
          </a:srgbClr>
        </a:solidFill>
        <a:ln>
          <a:solidFill>
            <a:schemeClr val="tx1"/>
          </a:solidFill>
        </a:ln>
      </dgm:spPr>
      <dgm:t>
        <a:bodyPr/>
        <a:lstStyle/>
        <a:p>
          <a:pPr marL="0" indent="0">
            <a:buNone/>
          </a:pPr>
          <a:r>
            <a:rPr lang="en-US" b="0" i="0" dirty="0">
              <a:effectLst/>
              <a:latin typeface="Cambria" panose="02040503050406030204" pitchFamily="18" charset="0"/>
              <a:ea typeface="Aptos" panose="020B0004020202020204" pitchFamily="34" charset="0"/>
              <a:cs typeface="Times New Roman" panose="02020603050405020304" pitchFamily="18" charset="0"/>
            </a:rPr>
            <a:t>Educators who lead or work in a charter school or charter management group and members of organizations who represent and support them</a:t>
          </a:r>
          <a:endParaRPr lang="en-US" b="0" i="0" dirty="0">
            <a:latin typeface="Cambria" panose="02040503050406030204" pitchFamily="18" charset="0"/>
          </a:endParaRPr>
        </a:p>
      </dgm:t>
    </dgm:pt>
    <dgm:pt modelId="{D35D9A5D-8567-9341-B8AA-E87C85CFBA9D}" type="parTrans" cxnId="{D8244311-16C9-0945-833D-009FB12B0342}">
      <dgm:prSet/>
      <dgm:spPr/>
      <dgm:t>
        <a:bodyPr/>
        <a:lstStyle/>
        <a:p>
          <a:endParaRPr lang="en-US"/>
        </a:p>
      </dgm:t>
    </dgm:pt>
    <dgm:pt modelId="{84B95236-1670-8D4D-B60C-4B6CB152CC0B}" type="sibTrans" cxnId="{D8244311-16C9-0945-833D-009FB12B0342}">
      <dgm:prSet/>
      <dgm:spPr/>
      <dgm:t>
        <a:bodyPr/>
        <a:lstStyle/>
        <a:p>
          <a:endParaRPr lang="en-US"/>
        </a:p>
      </dgm:t>
    </dgm:pt>
    <dgm:pt modelId="{4FF5EC6D-42DD-F047-AFE3-5748A10D6BA2}">
      <dgm:prSet phldrT="[Text]" custT="1"/>
      <dgm:spPr>
        <a:solidFill>
          <a:srgbClr val="008390"/>
        </a:solidFill>
        <a:ln>
          <a:solidFill>
            <a:schemeClr val="tx1"/>
          </a:solidFill>
        </a:ln>
      </dgm:spPr>
      <dgm:t>
        <a:bodyPr/>
        <a:lstStyle/>
        <a:p>
          <a:r>
            <a:rPr lang="en-US" sz="1200" b="1" i="0" dirty="0">
              <a:effectLst/>
              <a:latin typeface="Cambria" panose="02040503050406030204" pitchFamily="18" charset="0"/>
              <a:ea typeface="Aptos" panose="020B0004020202020204" pitchFamily="34" charset="0"/>
              <a:cs typeface="Times New Roman" panose="02020603050405020304" pitchFamily="18" charset="0"/>
            </a:rPr>
            <a:t>LCFF Equity Coalition</a:t>
          </a:r>
          <a:endParaRPr lang="en-US" sz="1200" b="1" i="0" dirty="0">
            <a:latin typeface="Cambria" panose="02040503050406030204" pitchFamily="18" charset="0"/>
          </a:endParaRPr>
        </a:p>
      </dgm:t>
    </dgm:pt>
    <dgm:pt modelId="{23BAF5A0-E5B4-9A4E-B41D-8B34F237708D}" type="parTrans" cxnId="{4D8B188F-E4FD-5143-9553-239AF6DE4F37}">
      <dgm:prSet/>
      <dgm:spPr/>
      <dgm:t>
        <a:bodyPr/>
        <a:lstStyle/>
        <a:p>
          <a:endParaRPr lang="en-US"/>
        </a:p>
      </dgm:t>
    </dgm:pt>
    <dgm:pt modelId="{D93C5D7A-F6C8-CE44-9775-C5CDD5BFAE90}" type="sibTrans" cxnId="{4D8B188F-E4FD-5143-9553-239AF6DE4F37}">
      <dgm:prSet/>
      <dgm:spPr/>
      <dgm:t>
        <a:bodyPr/>
        <a:lstStyle/>
        <a:p>
          <a:endParaRPr lang="en-US"/>
        </a:p>
      </dgm:t>
    </dgm:pt>
    <dgm:pt modelId="{253E619A-5571-A94D-A3DD-FB963D219889}">
      <dgm:prSet phldrT="[Text]"/>
      <dgm:spPr>
        <a:solidFill>
          <a:srgbClr val="008390">
            <a:alpha val="10000"/>
          </a:srgbClr>
        </a:solidFill>
        <a:ln>
          <a:solidFill>
            <a:schemeClr val="tx1"/>
          </a:solidFill>
        </a:ln>
      </dgm:spPr>
      <dgm:t>
        <a:bodyPr/>
        <a:lstStyle/>
        <a:p>
          <a:pPr marL="0" indent="0">
            <a:buNone/>
          </a:pPr>
          <a:r>
            <a:rPr lang="en-US" b="0" i="0" dirty="0">
              <a:effectLst/>
              <a:latin typeface="Cambria" panose="02040503050406030204" pitchFamily="18" charset="0"/>
              <a:ea typeface="Aptos" panose="020B0004020202020204" pitchFamily="34" charset="0"/>
              <a:cs typeface="Times New Roman" panose="02020603050405020304" pitchFamily="18" charset="0"/>
            </a:rPr>
            <a:t>Members of a coalition of civil rights, advocacy, community, family, student, educator, and other organizations working to implement the state’s LCFF and focus resources on closing opportunity and achievement gaps</a:t>
          </a:r>
          <a:endParaRPr lang="en-US" b="0" i="0" dirty="0">
            <a:latin typeface="Cambria" panose="02040503050406030204" pitchFamily="18" charset="0"/>
          </a:endParaRPr>
        </a:p>
      </dgm:t>
    </dgm:pt>
    <dgm:pt modelId="{0431C407-E257-884D-97BA-6049A3FEE246}" type="parTrans" cxnId="{C5ACF08E-759F-7549-BC31-89931CC99B9C}">
      <dgm:prSet/>
      <dgm:spPr/>
      <dgm:t>
        <a:bodyPr/>
        <a:lstStyle/>
        <a:p>
          <a:endParaRPr lang="en-US"/>
        </a:p>
      </dgm:t>
    </dgm:pt>
    <dgm:pt modelId="{3795E354-8B8F-2446-AEAF-DD8953B383EF}" type="sibTrans" cxnId="{C5ACF08E-759F-7549-BC31-89931CC99B9C}">
      <dgm:prSet/>
      <dgm:spPr/>
      <dgm:t>
        <a:bodyPr/>
        <a:lstStyle/>
        <a:p>
          <a:endParaRPr lang="en-US"/>
        </a:p>
      </dgm:t>
    </dgm:pt>
    <dgm:pt modelId="{AB2FABEE-AC66-3C40-96C7-09BF063723AB}">
      <dgm:prSet phldrT="[Text]" custT="1"/>
      <dgm:spPr>
        <a:solidFill>
          <a:srgbClr val="862271"/>
        </a:solidFill>
        <a:ln>
          <a:solidFill>
            <a:schemeClr val="tx1"/>
          </a:solidFill>
        </a:ln>
      </dgm:spPr>
      <dgm:t>
        <a:bodyPr/>
        <a:lstStyle/>
        <a:p>
          <a:r>
            <a:rPr lang="en-US" sz="1200" b="1" i="0" dirty="0">
              <a:effectLst/>
              <a:latin typeface="Cambria" panose="02040503050406030204" pitchFamily="18" charset="0"/>
              <a:ea typeface="Aptos" panose="020B0004020202020204" pitchFamily="34" charset="0"/>
              <a:cs typeface="Times New Roman" panose="02020603050405020304" pitchFamily="18" charset="0"/>
            </a:rPr>
            <a:t>COEs</a:t>
          </a:r>
          <a:endParaRPr lang="en-US" sz="1300" b="1" i="0" dirty="0">
            <a:latin typeface="Cambria" panose="02040503050406030204" pitchFamily="18" charset="0"/>
          </a:endParaRPr>
        </a:p>
      </dgm:t>
    </dgm:pt>
    <dgm:pt modelId="{3172BE54-2DBA-E845-AA04-4B70A5F4DF6A}" type="parTrans" cxnId="{73F54809-5AA1-A14D-9ABA-43FF8CEA94FB}">
      <dgm:prSet/>
      <dgm:spPr/>
      <dgm:t>
        <a:bodyPr/>
        <a:lstStyle/>
        <a:p>
          <a:endParaRPr lang="en-US"/>
        </a:p>
      </dgm:t>
    </dgm:pt>
    <dgm:pt modelId="{C0AAC92C-29B7-7A45-B252-A62EF1242782}" type="sibTrans" cxnId="{73F54809-5AA1-A14D-9ABA-43FF8CEA94FB}">
      <dgm:prSet/>
      <dgm:spPr/>
      <dgm:t>
        <a:bodyPr/>
        <a:lstStyle/>
        <a:p>
          <a:endParaRPr lang="en-US"/>
        </a:p>
      </dgm:t>
    </dgm:pt>
    <dgm:pt modelId="{1CBDDB35-F343-514D-94BF-62F78B0FD4E8}">
      <dgm:prSet phldrT="[Text]"/>
      <dgm:spPr>
        <a:solidFill>
          <a:srgbClr val="862271">
            <a:alpha val="10000"/>
          </a:srgbClr>
        </a:solidFill>
        <a:ln>
          <a:solidFill>
            <a:schemeClr val="tx1"/>
          </a:solidFill>
        </a:ln>
      </dgm:spPr>
      <dgm:t>
        <a:bodyPr/>
        <a:lstStyle/>
        <a:p>
          <a:pPr marL="0" indent="0">
            <a:buNone/>
          </a:pPr>
          <a:r>
            <a:rPr lang="en-US" b="0" i="0" dirty="0">
              <a:effectLst/>
              <a:latin typeface="Cambria" panose="02040503050406030204" pitchFamily="18" charset="0"/>
              <a:ea typeface="Aptos" panose="020B0004020202020204" pitchFamily="34" charset="0"/>
              <a:cs typeface="Times New Roman" panose="02020603050405020304" pitchFamily="18" charset="0"/>
            </a:rPr>
            <a:t>Representatives from COEs charged with providing DA to identified LEAs and members of organizations who represent and support them</a:t>
          </a:r>
          <a:endParaRPr lang="en-US" b="0" i="0" dirty="0">
            <a:latin typeface="Cambria" panose="02040503050406030204" pitchFamily="18" charset="0"/>
          </a:endParaRPr>
        </a:p>
      </dgm:t>
    </dgm:pt>
    <dgm:pt modelId="{AE8234EF-984D-0345-95FD-DBC90CD5DE7E}" type="parTrans" cxnId="{5439D48A-ED14-C84A-9FC9-C465FC87E514}">
      <dgm:prSet/>
      <dgm:spPr/>
      <dgm:t>
        <a:bodyPr/>
        <a:lstStyle/>
        <a:p>
          <a:endParaRPr lang="en-US"/>
        </a:p>
      </dgm:t>
    </dgm:pt>
    <dgm:pt modelId="{4241C52E-3A99-8343-91AA-26D234DB734C}" type="sibTrans" cxnId="{5439D48A-ED14-C84A-9FC9-C465FC87E514}">
      <dgm:prSet/>
      <dgm:spPr/>
      <dgm:t>
        <a:bodyPr/>
        <a:lstStyle/>
        <a:p>
          <a:endParaRPr lang="en-US"/>
        </a:p>
      </dgm:t>
    </dgm:pt>
    <dgm:pt modelId="{2AE4F5D8-60FB-6E43-AABC-61E5DFDFC5B7}">
      <dgm:prSet phldrT="[Text]" custT="1"/>
      <dgm:spPr>
        <a:solidFill>
          <a:srgbClr val="B00931"/>
        </a:solidFill>
        <a:ln>
          <a:solidFill>
            <a:schemeClr val="tx1"/>
          </a:solidFill>
        </a:ln>
      </dgm:spPr>
      <dgm:t>
        <a:bodyPr/>
        <a:lstStyle/>
        <a:p>
          <a:r>
            <a:rPr lang="en-US" sz="1200" b="1" i="0" dirty="0">
              <a:effectLst/>
              <a:latin typeface="Cambria" panose="02040503050406030204" pitchFamily="18" charset="0"/>
              <a:ea typeface="Aptos" panose="020B0004020202020204" pitchFamily="34" charset="0"/>
              <a:cs typeface="Times New Roman" panose="02020603050405020304" pitchFamily="18" charset="0"/>
            </a:rPr>
            <a:t>Education coalition</a:t>
          </a:r>
          <a:endParaRPr lang="en-US" sz="1200" b="1" i="0" dirty="0">
            <a:latin typeface="Cambria" panose="02040503050406030204" pitchFamily="18" charset="0"/>
          </a:endParaRPr>
        </a:p>
      </dgm:t>
    </dgm:pt>
    <dgm:pt modelId="{FD274295-61D4-7D45-9669-CE350EBE0E83}" type="parTrans" cxnId="{5F5F90B1-3464-4C4E-8A2F-1C8342C03CD9}">
      <dgm:prSet/>
      <dgm:spPr/>
      <dgm:t>
        <a:bodyPr/>
        <a:lstStyle/>
        <a:p>
          <a:endParaRPr lang="en-US"/>
        </a:p>
      </dgm:t>
    </dgm:pt>
    <dgm:pt modelId="{CAFDAA6C-FACB-E94F-92E3-CF55D02AB790}" type="sibTrans" cxnId="{5F5F90B1-3464-4C4E-8A2F-1C8342C03CD9}">
      <dgm:prSet/>
      <dgm:spPr/>
      <dgm:t>
        <a:bodyPr/>
        <a:lstStyle/>
        <a:p>
          <a:endParaRPr lang="en-US"/>
        </a:p>
      </dgm:t>
    </dgm:pt>
    <dgm:pt modelId="{9BED9B70-895E-B54A-B419-9F350E367EBD}">
      <dgm:prSet phldrT="[Text]"/>
      <dgm:spPr>
        <a:solidFill>
          <a:srgbClr val="B00931">
            <a:alpha val="10000"/>
          </a:srgbClr>
        </a:solidFill>
        <a:ln>
          <a:solidFill>
            <a:schemeClr val="tx1"/>
          </a:solidFill>
        </a:ln>
      </dgm:spPr>
      <dgm:t>
        <a:bodyPr/>
        <a:lstStyle/>
        <a:p>
          <a:pPr marL="0" indent="0">
            <a:buNone/>
          </a:pPr>
          <a:r>
            <a:rPr lang="en-US" b="0" i="0" dirty="0">
              <a:effectLst/>
              <a:latin typeface="Cambria" panose="02040503050406030204" pitchFamily="18" charset="0"/>
              <a:ea typeface="Aptos" panose="020B0004020202020204" pitchFamily="34" charset="0"/>
              <a:cs typeface="Times New Roman" panose="02020603050405020304" pitchFamily="18" charset="0"/>
            </a:rPr>
            <a:t>Representatives from a group of major statewide associations representing teachers, administrators, school employees and districts</a:t>
          </a:r>
          <a:endParaRPr lang="en-US" b="0" i="0" dirty="0">
            <a:latin typeface="Cambria" panose="02040503050406030204" pitchFamily="18" charset="0"/>
          </a:endParaRPr>
        </a:p>
      </dgm:t>
    </dgm:pt>
    <dgm:pt modelId="{70021426-5A13-D74B-BCC8-287A77EDBAD7}" type="parTrans" cxnId="{AFF57816-1405-7F45-BD26-6F17CB4A9E2E}">
      <dgm:prSet/>
      <dgm:spPr/>
      <dgm:t>
        <a:bodyPr/>
        <a:lstStyle/>
        <a:p>
          <a:endParaRPr lang="en-US"/>
        </a:p>
      </dgm:t>
    </dgm:pt>
    <dgm:pt modelId="{4293AC2D-BC9C-014E-982A-A11C250D6C78}" type="sibTrans" cxnId="{AFF57816-1405-7F45-BD26-6F17CB4A9E2E}">
      <dgm:prSet/>
      <dgm:spPr/>
      <dgm:t>
        <a:bodyPr/>
        <a:lstStyle/>
        <a:p>
          <a:endParaRPr lang="en-US"/>
        </a:p>
      </dgm:t>
    </dgm:pt>
    <dgm:pt modelId="{A4977AF4-E0FA-6B4E-B38A-C46DBD7C4658}">
      <dgm:prSet phldrT="[Text]" custT="1"/>
      <dgm:spPr>
        <a:solidFill>
          <a:srgbClr val="FAAF3C"/>
        </a:solidFill>
        <a:ln>
          <a:solidFill>
            <a:schemeClr val="tx1"/>
          </a:solidFill>
        </a:ln>
      </dgm:spPr>
      <dgm:t>
        <a:bodyPr/>
        <a:lstStyle/>
        <a:p>
          <a:r>
            <a:rPr lang="en-US" sz="1200" b="1" i="0" dirty="0">
              <a:solidFill>
                <a:schemeClr val="tx1"/>
              </a:solidFill>
              <a:effectLst/>
              <a:latin typeface="Cambria" panose="02040503050406030204" pitchFamily="18" charset="0"/>
              <a:ea typeface="Aptos" panose="020B0004020202020204" pitchFamily="34" charset="0"/>
              <a:cs typeface="Times New Roman" panose="02020603050405020304" pitchFamily="18" charset="0"/>
            </a:rPr>
            <a:t>LEA leaders</a:t>
          </a:r>
          <a:endParaRPr lang="en-US" sz="1200" b="1" i="0" dirty="0">
            <a:solidFill>
              <a:schemeClr val="tx1"/>
            </a:solidFill>
            <a:latin typeface="Cambria" panose="02040503050406030204" pitchFamily="18" charset="0"/>
          </a:endParaRPr>
        </a:p>
      </dgm:t>
    </dgm:pt>
    <dgm:pt modelId="{D6DD0B0F-A36F-4C40-925C-B97FDAE3B45E}" type="parTrans" cxnId="{DB4027BA-DE81-2045-8272-2B515D1536AB}">
      <dgm:prSet/>
      <dgm:spPr/>
      <dgm:t>
        <a:bodyPr/>
        <a:lstStyle/>
        <a:p>
          <a:endParaRPr lang="en-US"/>
        </a:p>
      </dgm:t>
    </dgm:pt>
    <dgm:pt modelId="{534D8551-D544-1F4E-9114-E183FD3E9140}" type="sibTrans" cxnId="{DB4027BA-DE81-2045-8272-2B515D1536AB}">
      <dgm:prSet/>
      <dgm:spPr/>
      <dgm:t>
        <a:bodyPr/>
        <a:lstStyle/>
        <a:p>
          <a:endParaRPr lang="en-US"/>
        </a:p>
      </dgm:t>
    </dgm:pt>
    <dgm:pt modelId="{92853E4B-CE1A-E44A-AE58-39B6FDF8F9CE}">
      <dgm:prSet phldrT="[Text]"/>
      <dgm:spPr>
        <a:solidFill>
          <a:srgbClr val="FAAF3C">
            <a:alpha val="10000"/>
          </a:srgbClr>
        </a:solidFill>
        <a:ln>
          <a:solidFill>
            <a:schemeClr val="tx1"/>
          </a:solidFill>
        </a:ln>
      </dgm:spPr>
      <dgm:t>
        <a:bodyPr/>
        <a:lstStyle/>
        <a:p>
          <a:pPr marL="0" indent="0">
            <a:buNone/>
          </a:pPr>
          <a:r>
            <a:rPr lang="en-US" b="0" i="0" dirty="0">
              <a:effectLst/>
              <a:latin typeface="Cambria" panose="02040503050406030204" pitchFamily="18" charset="0"/>
              <a:ea typeface="Aptos" panose="020B0004020202020204" pitchFamily="34" charset="0"/>
              <a:cs typeface="Times New Roman" panose="02020603050405020304" pitchFamily="18" charset="0"/>
            </a:rPr>
            <a:t>Educators who lead LEAs, including school districts, and members of organizations who represent and support them</a:t>
          </a:r>
          <a:endParaRPr lang="en-US" b="0" i="0" dirty="0">
            <a:latin typeface="Cambria" panose="02040503050406030204" pitchFamily="18" charset="0"/>
          </a:endParaRPr>
        </a:p>
      </dgm:t>
    </dgm:pt>
    <dgm:pt modelId="{89F1E4AA-E701-364C-B375-CE98A1A8F452}" type="parTrans" cxnId="{0B1380B8-CE39-AC4B-8AFF-B79A76377C07}">
      <dgm:prSet/>
      <dgm:spPr/>
      <dgm:t>
        <a:bodyPr/>
        <a:lstStyle/>
        <a:p>
          <a:endParaRPr lang="en-US"/>
        </a:p>
      </dgm:t>
    </dgm:pt>
    <dgm:pt modelId="{02CF3053-2FB0-CB48-9850-2FC8529D73B9}" type="sibTrans" cxnId="{0B1380B8-CE39-AC4B-8AFF-B79A76377C07}">
      <dgm:prSet/>
      <dgm:spPr/>
      <dgm:t>
        <a:bodyPr/>
        <a:lstStyle/>
        <a:p>
          <a:endParaRPr lang="en-US"/>
        </a:p>
      </dgm:t>
    </dgm:pt>
    <dgm:pt modelId="{0443135A-5464-4149-81A3-8086743FBCA0}" type="pres">
      <dgm:prSet presAssocID="{6407637A-4F19-6947-B15E-08C244A8C7F3}" presName="Name0" presStyleCnt="0">
        <dgm:presLayoutVars>
          <dgm:dir/>
          <dgm:animLvl val="lvl"/>
          <dgm:resizeHandles val="exact"/>
        </dgm:presLayoutVars>
      </dgm:prSet>
      <dgm:spPr/>
    </dgm:pt>
    <dgm:pt modelId="{BA4057E5-EB5B-AA46-A626-6D8A6E648CE0}" type="pres">
      <dgm:prSet presAssocID="{02907BF1-FDC6-F144-911B-281BE09124CF}" presName="linNode" presStyleCnt="0"/>
      <dgm:spPr/>
    </dgm:pt>
    <dgm:pt modelId="{86D3B165-C8E3-C349-A165-EBBE718A7F48}" type="pres">
      <dgm:prSet presAssocID="{02907BF1-FDC6-F144-911B-281BE09124CF}" presName="parentText" presStyleLbl="alignNode1" presStyleIdx="0" presStyleCnt="6">
        <dgm:presLayoutVars>
          <dgm:chMax val="1"/>
          <dgm:bulletEnabled/>
        </dgm:presLayoutVars>
      </dgm:prSet>
      <dgm:spPr/>
    </dgm:pt>
    <dgm:pt modelId="{5B59D577-6ABF-984B-B1DD-4C44CACF7793}" type="pres">
      <dgm:prSet presAssocID="{02907BF1-FDC6-F144-911B-281BE09124CF}" presName="descendantText" presStyleLbl="alignAccFollowNode1" presStyleIdx="0" presStyleCnt="6">
        <dgm:presLayoutVars>
          <dgm:bulletEnabled/>
        </dgm:presLayoutVars>
      </dgm:prSet>
      <dgm:spPr/>
    </dgm:pt>
    <dgm:pt modelId="{991565F9-0AE6-D249-A8B2-D73254FBF71C}" type="pres">
      <dgm:prSet presAssocID="{8BD23AD3-91AD-7A42-BC21-31C24AE2CEAE}" presName="sp" presStyleCnt="0"/>
      <dgm:spPr/>
    </dgm:pt>
    <dgm:pt modelId="{5A61A4C8-C442-AF4F-BA47-A68380A84A80}" type="pres">
      <dgm:prSet presAssocID="{5D0C95FC-90FB-4F4C-8B23-D7B506613100}" presName="linNode" presStyleCnt="0"/>
      <dgm:spPr/>
    </dgm:pt>
    <dgm:pt modelId="{6AFE3551-B141-E042-A296-1CBD34289A1A}" type="pres">
      <dgm:prSet presAssocID="{5D0C95FC-90FB-4F4C-8B23-D7B506613100}" presName="parentText" presStyleLbl="alignNode1" presStyleIdx="1" presStyleCnt="6">
        <dgm:presLayoutVars>
          <dgm:chMax val="1"/>
          <dgm:bulletEnabled/>
        </dgm:presLayoutVars>
      </dgm:prSet>
      <dgm:spPr/>
    </dgm:pt>
    <dgm:pt modelId="{BF3B4EBC-F4FA-F140-BB86-5A882223F81B}" type="pres">
      <dgm:prSet presAssocID="{5D0C95FC-90FB-4F4C-8B23-D7B506613100}" presName="descendantText" presStyleLbl="alignAccFollowNode1" presStyleIdx="1" presStyleCnt="6">
        <dgm:presLayoutVars>
          <dgm:bulletEnabled/>
        </dgm:presLayoutVars>
      </dgm:prSet>
      <dgm:spPr/>
    </dgm:pt>
    <dgm:pt modelId="{F53F0273-DC77-BB4B-8B5B-2EE94A16ED47}" type="pres">
      <dgm:prSet presAssocID="{8D0D00F6-2F55-9541-BD0C-08566E474129}" presName="sp" presStyleCnt="0"/>
      <dgm:spPr/>
    </dgm:pt>
    <dgm:pt modelId="{34A05BE6-8FEA-F745-94B1-66B8ADE3D4C2}" type="pres">
      <dgm:prSet presAssocID="{4FF5EC6D-42DD-F047-AFE3-5748A10D6BA2}" presName="linNode" presStyleCnt="0"/>
      <dgm:spPr/>
    </dgm:pt>
    <dgm:pt modelId="{0696C8FE-0E8A-A644-94E8-B31996061CCF}" type="pres">
      <dgm:prSet presAssocID="{4FF5EC6D-42DD-F047-AFE3-5748A10D6BA2}" presName="parentText" presStyleLbl="alignNode1" presStyleIdx="2" presStyleCnt="6">
        <dgm:presLayoutVars>
          <dgm:chMax val="1"/>
          <dgm:bulletEnabled/>
        </dgm:presLayoutVars>
      </dgm:prSet>
      <dgm:spPr/>
    </dgm:pt>
    <dgm:pt modelId="{B50E7DA4-ACB4-8249-A08E-3D87B6225095}" type="pres">
      <dgm:prSet presAssocID="{4FF5EC6D-42DD-F047-AFE3-5748A10D6BA2}" presName="descendantText" presStyleLbl="alignAccFollowNode1" presStyleIdx="2" presStyleCnt="6">
        <dgm:presLayoutVars>
          <dgm:bulletEnabled/>
        </dgm:presLayoutVars>
      </dgm:prSet>
      <dgm:spPr/>
    </dgm:pt>
    <dgm:pt modelId="{F02946CB-F6E8-F748-8B8C-6E66F5456645}" type="pres">
      <dgm:prSet presAssocID="{D93C5D7A-F6C8-CE44-9775-C5CDD5BFAE90}" presName="sp" presStyleCnt="0"/>
      <dgm:spPr/>
    </dgm:pt>
    <dgm:pt modelId="{769BDA64-BA52-8249-873C-8C234F2D2E5E}" type="pres">
      <dgm:prSet presAssocID="{AB2FABEE-AC66-3C40-96C7-09BF063723AB}" presName="linNode" presStyleCnt="0"/>
      <dgm:spPr/>
    </dgm:pt>
    <dgm:pt modelId="{21886DD2-DB0F-2049-A5B0-1828ADA16B02}" type="pres">
      <dgm:prSet presAssocID="{AB2FABEE-AC66-3C40-96C7-09BF063723AB}" presName="parentText" presStyleLbl="alignNode1" presStyleIdx="3" presStyleCnt="6">
        <dgm:presLayoutVars>
          <dgm:chMax val="1"/>
          <dgm:bulletEnabled/>
        </dgm:presLayoutVars>
      </dgm:prSet>
      <dgm:spPr/>
    </dgm:pt>
    <dgm:pt modelId="{5AFA30D2-0E8A-F14E-BFF5-98733222900C}" type="pres">
      <dgm:prSet presAssocID="{AB2FABEE-AC66-3C40-96C7-09BF063723AB}" presName="descendantText" presStyleLbl="alignAccFollowNode1" presStyleIdx="3" presStyleCnt="6">
        <dgm:presLayoutVars>
          <dgm:bulletEnabled/>
        </dgm:presLayoutVars>
      </dgm:prSet>
      <dgm:spPr/>
    </dgm:pt>
    <dgm:pt modelId="{3C37660E-FFD9-0647-94D6-CE03336FC10A}" type="pres">
      <dgm:prSet presAssocID="{C0AAC92C-29B7-7A45-B252-A62EF1242782}" presName="sp" presStyleCnt="0"/>
      <dgm:spPr/>
    </dgm:pt>
    <dgm:pt modelId="{ADCF2B1E-5D8D-8246-84F3-6D4F9E44DE83}" type="pres">
      <dgm:prSet presAssocID="{2AE4F5D8-60FB-6E43-AABC-61E5DFDFC5B7}" presName="linNode" presStyleCnt="0"/>
      <dgm:spPr/>
    </dgm:pt>
    <dgm:pt modelId="{DCC962CB-F486-AF49-8385-FBE879739F1A}" type="pres">
      <dgm:prSet presAssocID="{2AE4F5D8-60FB-6E43-AABC-61E5DFDFC5B7}" presName="parentText" presStyleLbl="alignNode1" presStyleIdx="4" presStyleCnt="6">
        <dgm:presLayoutVars>
          <dgm:chMax val="1"/>
          <dgm:bulletEnabled/>
        </dgm:presLayoutVars>
      </dgm:prSet>
      <dgm:spPr/>
    </dgm:pt>
    <dgm:pt modelId="{45EED8F4-5875-7645-87E9-FC5475C23C5A}" type="pres">
      <dgm:prSet presAssocID="{2AE4F5D8-60FB-6E43-AABC-61E5DFDFC5B7}" presName="descendantText" presStyleLbl="alignAccFollowNode1" presStyleIdx="4" presStyleCnt="6">
        <dgm:presLayoutVars>
          <dgm:bulletEnabled/>
        </dgm:presLayoutVars>
      </dgm:prSet>
      <dgm:spPr/>
    </dgm:pt>
    <dgm:pt modelId="{410D62EE-F9E3-4A44-9210-795448BC59A1}" type="pres">
      <dgm:prSet presAssocID="{CAFDAA6C-FACB-E94F-92E3-CF55D02AB790}" presName="sp" presStyleCnt="0"/>
      <dgm:spPr/>
    </dgm:pt>
    <dgm:pt modelId="{84E8DFD1-4413-5446-B839-7BC871F26982}" type="pres">
      <dgm:prSet presAssocID="{A4977AF4-E0FA-6B4E-B38A-C46DBD7C4658}" presName="linNode" presStyleCnt="0"/>
      <dgm:spPr/>
    </dgm:pt>
    <dgm:pt modelId="{7A8DB834-89EA-BA41-858A-015048DD41E3}" type="pres">
      <dgm:prSet presAssocID="{A4977AF4-E0FA-6B4E-B38A-C46DBD7C4658}" presName="parentText" presStyleLbl="alignNode1" presStyleIdx="5" presStyleCnt="6">
        <dgm:presLayoutVars>
          <dgm:chMax val="1"/>
          <dgm:bulletEnabled/>
        </dgm:presLayoutVars>
      </dgm:prSet>
      <dgm:spPr/>
    </dgm:pt>
    <dgm:pt modelId="{90230DD8-1A52-B84D-8305-CB01EE4AE360}" type="pres">
      <dgm:prSet presAssocID="{A4977AF4-E0FA-6B4E-B38A-C46DBD7C4658}" presName="descendantText" presStyleLbl="alignAccFollowNode1" presStyleIdx="5" presStyleCnt="6">
        <dgm:presLayoutVars>
          <dgm:bulletEnabled/>
        </dgm:presLayoutVars>
      </dgm:prSet>
      <dgm:spPr/>
    </dgm:pt>
  </dgm:ptLst>
  <dgm:cxnLst>
    <dgm:cxn modelId="{73F54809-5AA1-A14D-9ABA-43FF8CEA94FB}" srcId="{6407637A-4F19-6947-B15E-08C244A8C7F3}" destId="{AB2FABEE-AC66-3C40-96C7-09BF063723AB}" srcOrd="3" destOrd="0" parTransId="{3172BE54-2DBA-E845-AA04-4B70A5F4DF6A}" sibTransId="{C0AAC92C-29B7-7A45-B252-A62EF1242782}"/>
    <dgm:cxn modelId="{D8244311-16C9-0945-833D-009FB12B0342}" srcId="{5D0C95FC-90FB-4F4C-8B23-D7B506613100}" destId="{3D454BCE-190D-794C-9CB2-AD20F48C3745}" srcOrd="0" destOrd="0" parTransId="{D35D9A5D-8567-9341-B8AA-E87C85CFBA9D}" sibTransId="{84B95236-1670-8D4D-B60C-4B6CB152CC0B}"/>
    <dgm:cxn modelId="{AFF57816-1405-7F45-BD26-6F17CB4A9E2E}" srcId="{2AE4F5D8-60FB-6E43-AABC-61E5DFDFC5B7}" destId="{9BED9B70-895E-B54A-B419-9F350E367EBD}" srcOrd="0" destOrd="0" parTransId="{70021426-5A13-D74B-BCC8-287A77EDBAD7}" sibTransId="{4293AC2D-BC9C-014E-982A-A11C250D6C78}"/>
    <dgm:cxn modelId="{4C40CF38-FCDB-BA4C-B37A-C86D7A8D6197}" srcId="{02907BF1-FDC6-F144-911B-281BE09124CF}" destId="{BA12465E-0816-0A41-B636-9BD1F20426FD}" srcOrd="0" destOrd="0" parTransId="{3B84897A-7723-6246-A9B7-7122264E9070}" sibTransId="{396559A7-A26F-BF4B-82A6-03D19083411E}"/>
    <dgm:cxn modelId="{B7241839-9954-404D-847A-948642BE445B}" type="presOf" srcId="{6407637A-4F19-6947-B15E-08C244A8C7F3}" destId="{0443135A-5464-4149-81A3-8086743FBCA0}" srcOrd="0" destOrd="0" presId="urn:microsoft.com/office/officeart/2016/7/layout/VerticalSolidActionList"/>
    <dgm:cxn modelId="{0253DD3B-2B6B-B24D-8211-E10535F85BEF}" type="presOf" srcId="{3D454BCE-190D-794C-9CB2-AD20F48C3745}" destId="{BF3B4EBC-F4FA-F140-BB86-5A882223F81B}" srcOrd="0" destOrd="0" presId="urn:microsoft.com/office/officeart/2016/7/layout/VerticalSolidActionList"/>
    <dgm:cxn modelId="{2D16F477-6C8C-704C-B623-A9CEB2C7EBD6}" type="presOf" srcId="{253E619A-5571-A94D-A3DD-FB963D219889}" destId="{B50E7DA4-ACB4-8249-A08E-3D87B6225095}" srcOrd="0" destOrd="0" presId="urn:microsoft.com/office/officeart/2016/7/layout/VerticalSolidActionList"/>
    <dgm:cxn modelId="{4650CE58-C0A9-EA48-A4E2-5CBCEA53CCAE}" type="presOf" srcId="{02907BF1-FDC6-F144-911B-281BE09124CF}" destId="{86D3B165-C8E3-C349-A165-EBBE718A7F48}" srcOrd="0" destOrd="0" presId="urn:microsoft.com/office/officeart/2016/7/layout/VerticalSolidActionList"/>
    <dgm:cxn modelId="{93AF8C7A-57C5-004E-AF80-808A6AA6C913}" type="presOf" srcId="{2AE4F5D8-60FB-6E43-AABC-61E5DFDFC5B7}" destId="{DCC962CB-F486-AF49-8385-FBE879739F1A}" srcOrd="0" destOrd="0" presId="urn:microsoft.com/office/officeart/2016/7/layout/VerticalSolidActionList"/>
    <dgm:cxn modelId="{5439D48A-ED14-C84A-9FC9-C465FC87E514}" srcId="{AB2FABEE-AC66-3C40-96C7-09BF063723AB}" destId="{1CBDDB35-F343-514D-94BF-62F78B0FD4E8}" srcOrd="0" destOrd="0" parTransId="{AE8234EF-984D-0345-95FD-DBC90CD5DE7E}" sibTransId="{4241C52E-3A99-8343-91AA-26D234DB734C}"/>
    <dgm:cxn modelId="{C5ACF08E-759F-7549-BC31-89931CC99B9C}" srcId="{4FF5EC6D-42DD-F047-AFE3-5748A10D6BA2}" destId="{253E619A-5571-A94D-A3DD-FB963D219889}" srcOrd="0" destOrd="0" parTransId="{0431C407-E257-884D-97BA-6049A3FEE246}" sibTransId="{3795E354-8B8F-2446-AEAF-DD8953B383EF}"/>
    <dgm:cxn modelId="{4D8B188F-E4FD-5143-9553-239AF6DE4F37}" srcId="{6407637A-4F19-6947-B15E-08C244A8C7F3}" destId="{4FF5EC6D-42DD-F047-AFE3-5748A10D6BA2}" srcOrd="2" destOrd="0" parTransId="{23BAF5A0-E5B4-9A4E-B41D-8B34F237708D}" sibTransId="{D93C5D7A-F6C8-CE44-9775-C5CDD5BFAE90}"/>
    <dgm:cxn modelId="{4D203C9B-0D12-7542-9EF8-B221AEFCCAD9}" type="presOf" srcId="{1CBDDB35-F343-514D-94BF-62F78B0FD4E8}" destId="{5AFA30D2-0E8A-F14E-BFF5-98733222900C}" srcOrd="0" destOrd="0" presId="urn:microsoft.com/office/officeart/2016/7/layout/VerticalSolidActionList"/>
    <dgm:cxn modelId="{16BF0DA4-3BA0-E346-A80D-08A6EE915A4F}" srcId="{6407637A-4F19-6947-B15E-08C244A8C7F3}" destId="{5D0C95FC-90FB-4F4C-8B23-D7B506613100}" srcOrd="1" destOrd="0" parTransId="{9827A6B9-F3F5-0845-9B6D-157D2ABC6DA4}" sibTransId="{8D0D00F6-2F55-9541-BD0C-08566E474129}"/>
    <dgm:cxn modelId="{5F5F90B1-3464-4C4E-8A2F-1C8342C03CD9}" srcId="{6407637A-4F19-6947-B15E-08C244A8C7F3}" destId="{2AE4F5D8-60FB-6E43-AABC-61E5DFDFC5B7}" srcOrd="4" destOrd="0" parTransId="{FD274295-61D4-7D45-9669-CE350EBE0E83}" sibTransId="{CAFDAA6C-FACB-E94F-92E3-CF55D02AB790}"/>
    <dgm:cxn modelId="{0B1380B8-CE39-AC4B-8AFF-B79A76377C07}" srcId="{A4977AF4-E0FA-6B4E-B38A-C46DBD7C4658}" destId="{92853E4B-CE1A-E44A-AE58-39B6FDF8F9CE}" srcOrd="0" destOrd="0" parTransId="{89F1E4AA-E701-364C-B375-CE98A1A8F452}" sibTransId="{02CF3053-2FB0-CB48-9850-2FC8529D73B9}"/>
    <dgm:cxn modelId="{DB4027BA-DE81-2045-8272-2B515D1536AB}" srcId="{6407637A-4F19-6947-B15E-08C244A8C7F3}" destId="{A4977AF4-E0FA-6B4E-B38A-C46DBD7C4658}" srcOrd="5" destOrd="0" parTransId="{D6DD0B0F-A36F-4C40-925C-B97FDAE3B45E}" sibTransId="{534D8551-D544-1F4E-9114-E183FD3E9140}"/>
    <dgm:cxn modelId="{99DA01C2-72E0-7644-B9DB-3C7A69BDD364}" type="presOf" srcId="{AB2FABEE-AC66-3C40-96C7-09BF063723AB}" destId="{21886DD2-DB0F-2049-A5B0-1828ADA16B02}" srcOrd="0" destOrd="0" presId="urn:microsoft.com/office/officeart/2016/7/layout/VerticalSolidActionList"/>
    <dgm:cxn modelId="{CF9D43C5-8CBD-7B42-A585-D81F0AE4C330}" srcId="{6407637A-4F19-6947-B15E-08C244A8C7F3}" destId="{02907BF1-FDC6-F144-911B-281BE09124CF}" srcOrd="0" destOrd="0" parTransId="{971486EA-E9B9-0D42-9512-07B5F105EA11}" sibTransId="{8BD23AD3-91AD-7A42-BC21-31C24AE2CEAE}"/>
    <dgm:cxn modelId="{79B599D6-443E-5D4D-B445-3B6E515C75A2}" type="presOf" srcId="{5D0C95FC-90FB-4F4C-8B23-D7B506613100}" destId="{6AFE3551-B141-E042-A296-1CBD34289A1A}" srcOrd="0" destOrd="0" presId="urn:microsoft.com/office/officeart/2016/7/layout/VerticalSolidActionList"/>
    <dgm:cxn modelId="{6A1D1BDB-F275-584E-B7C0-04334B3C05BC}" type="presOf" srcId="{BA12465E-0816-0A41-B636-9BD1F20426FD}" destId="{5B59D577-6ABF-984B-B1DD-4C44CACF7793}" srcOrd="0" destOrd="0" presId="urn:microsoft.com/office/officeart/2016/7/layout/VerticalSolidActionList"/>
    <dgm:cxn modelId="{E16788DC-2B7E-5945-AF0E-FF539D82D823}" type="presOf" srcId="{4FF5EC6D-42DD-F047-AFE3-5748A10D6BA2}" destId="{0696C8FE-0E8A-A644-94E8-B31996061CCF}" srcOrd="0" destOrd="0" presId="urn:microsoft.com/office/officeart/2016/7/layout/VerticalSolidActionList"/>
    <dgm:cxn modelId="{65C2A9E0-0D32-EC4D-94AB-F0ADFCF8B5F0}" type="presOf" srcId="{92853E4B-CE1A-E44A-AE58-39B6FDF8F9CE}" destId="{90230DD8-1A52-B84D-8305-CB01EE4AE360}" srcOrd="0" destOrd="0" presId="urn:microsoft.com/office/officeart/2016/7/layout/VerticalSolidActionList"/>
    <dgm:cxn modelId="{8A184DEE-2848-2541-A923-AFF56A4F5138}" type="presOf" srcId="{A4977AF4-E0FA-6B4E-B38A-C46DBD7C4658}" destId="{7A8DB834-89EA-BA41-858A-015048DD41E3}" srcOrd="0" destOrd="0" presId="urn:microsoft.com/office/officeart/2016/7/layout/VerticalSolidActionList"/>
    <dgm:cxn modelId="{3D6B1EF0-9AA3-2145-BADB-07D018D01FEB}" type="presOf" srcId="{9BED9B70-895E-B54A-B419-9F350E367EBD}" destId="{45EED8F4-5875-7645-87E9-FC5475C23C5A}" srcOrd="0" destOrd="0" presId="urn:microsoft.com/office/officeart/2016/7/layout/VerticalSolidActionList"/>
    <dgm:cxn modelId="{20868FFF-5DBA-4643-857C-D35C3C20041D}" type="presParOf" srcId="{0443135A-5464-4149-81A3-8086743FBCA0}" destId="{BA4057E5-EB5B-AA46-A626-6D8A6E648CE0}" srcOrd="0" destOrd="0" presId="urn:microsoft.com/office/officeart/2016/7/layout/VerticalSolidActionList"/>
    <dgm:cxn modelId="{396EB04C-BA59-0D4A-933B-1309002AFD45}" type="presParOf" srcId="{BA4057E5-EB5B-AA46-A626-6D8A6E648CE0}" destId="{86D3B165-C8E3-C349-A165-EBBE718A7F48}" srcOrd="0" destOrd="0" presId="urn:microsoft.com/office/officeart/2016/7/layout/VerticalSolidActionList"/>
    <dgm:cxn modelId="{1FEDEA74-A393-7249-A162-0290D695533B}" type="presParOf" srcId="{BA4057E5-EB5B-AA46-A626-6D8A6E648CE0}" destId="{5B59D577-6ABF-984B-B1DD-4C44CACF7793}" srcOrd="1" destOrd="0" presId="urn:microsoft.com/office/officeart/2016/7/layout/VerticalSolidActionList"/>
    <dgm:cxn modelId="{F6D58720-B572-ED4F-A32B-CBC5523D50E9}" type="presParOf" srcId="{0443135A-5464-4149-81A3-8086743FBCA0}" destId="{991565F9-0AE6-D249-A8B2-D73254FBF71C}" srcOrd="1" destOrd="0" presId="urn:microsoft.com/office/officeart/2016/7/layout/VerticalSolidActionList"/>
    <dgm:cxn modelId="{D3CCD293-0DE0-174B-8730-3D3303062894}" type="presParOf" srcId="{0443135A-5464-4149-81A3-8086743FBCA0}" destId="{5A61A4C8-C442-AF4F-BA47-A68380A84A80}" srcOrd="2" destOrd="0" presId="urn:microsoft.com/office/officeart/2016/7/layout/VerticalSolidActionList"/>
    <dgm:cxn modelId="{BD13202D-86CB-1841-8013-BE547CEC1694}" type="presParOf" srcId="{5A61A4C8-C442-AF4F-BA47-A68380A84A80}" destId="{6AFE3551-B141-E042-A296-1CBD34289A1A}" srcOrd="0" destOrd="0" presId="urn:microsoft.com/office/officeart/2016/7/layout/VerticalSolidActionList"/>
    <dgm:cxn modelId="{92109F47-68AC-CA4A-9159-3C2A974F0019}" type="presParOf" srcId="{5A61A4C8-C442-AF4F-BA47-A68380A84A80}" destId="{BF3B4EBC-F4FA-F140-BB86-5A882223F81B}" srcOrd="1" destOrd="0" presId="urn:microsoft.com/office/officeart/2016/7/layout/VerticalSolidActionList"/>
    <dgm:cxn modelId="{33043B74-441D-9E41-A14D-F025BC18C322}" type="presParOf" srcId="{0443135A-5464-4149-81A3-8086743FBCA0}" destId="{F53F0273-DC77-BB4B-8B5B-2EE94A16ED47}" srcOrd="3" destOrd="0" presId="urn:microsoft.com/office/officeart/2016/7/layout/VerticalSolidActionList"/>
    <dgm:cxn modelId="{9D46BE2D-C2EE-E544-BC62-4DEF7029C834}" type="presParOf" srcId="{0443135A-5464-4149-81A3-8086743FBCA0}" destId="{34A05BE6-8FEA-F745-94B1-66B8ADE3D4C2}" srcOrd="4" destOrd="0" presId="urn:microsoft.com/office/officeart/2016/7/layout/VerticalSolidActionList"/>
    <dgm:cxn modelId="{E9C3C970-385E-8544-9EF6-DF71EDFA697D}" type="presParOf" srcId="{34A05BE6-8FEA-F745-94B1-66B8ADE3D4C2}" destId="{0696C8FE-0E8A-A644-94E8-B31996061CCF}" srcOrd="0" destOrd="0" presId="urn:microsoft.com/office/officeart/2016/7/layout/VerticalSolidActionList"/>
    <dgm:cxn modelId="{67F3D0D9-6767-1444-A214-3FC2D5482326}" type="presParOf" srcId="{34A05BE6-8FEA-F745-94B1-66B8ADE3D4C2}" destId="{B50E7DA4-ACB4-8249-A08E-3D87B6225095}" srcOrd="1" destOrd="0" presId="urn:microsoft.com/office/officeart/2016/7/layout/VerticalSolidActionList"/>
    <dgm:cxn modelId="{14A0FCCE-D851-6649-B262-B3704E9907B3}" type="presParOf" srcId="{0443135A-5464-4149-81A3-8086743FBCA0}" destId="{F02946CB-F6E8-F748-8B8C-6E66F5456645}" srcOrd="5" destOrd="0" presId="urn:microsoft.com/office/officeart/2016/7/layout/VerticalSolidActionList"/>
    <dgm:cxn modelId="{F6B9B755-085D-CA4A-B3B6-ACB224AD110C}" type="presParOf" srcId="{0443135A-5464-4149-81A3-8086743FBCA0}" destId="{769BDA64-BA52-8249-873C-8C234F2D2E5E}" srcOrd="6" destOrd="0" presId="urn:microsoft.com/office/officeart/2016/7/layout/VerticalSolidActionList"/>
    <dgm:cxn modelId="{3E8BDDFA-86F0-5943-8B68-1DAF63AC47AC}" type="presParOf" srcId="{769BDA64-BA52-8249-873C-8C234F2D2E5E}" destId="{21886DD2-DB0F-2049-A5B0-1828ADA16B02}" srcOrd="0" destOrd="0" presId="urn:microsoft.com/office/officeart/2016/7/layout/VerticalSolidActionList"/>
    <dgm:cxn modelId="{16268C91-270C-C541-BB4F-3FD8F2034172}" type="presParOf" srcId="{769BDA64-BA52-8249-873C-8C234F2D2E5E}" destId="{5AFA30D2-0E8A-F14E-BFF5-98733222900C}" srcOrd="1" destOrd="0" presId="urn:microsoft.com/office/officeart/2016/7/layout/VerticalSolidActionList"/>
    <dgm:cxn modelId="{765A54EF-8CC2-F841-9A11-BC3C63EB3F16}" type="presParOf" srcId="{0443135A-5464-4149-81A3-8086743FBCA0}" destId="{3C37660E-FFD9-0647-94D6-CE03336FC10A}" srcOrd="7" destOrd="0" presId="urn:microsoft.com/office/officeart/2016/7/layout/VerticalSolidActionList"/>
    <dgm:cxn modelId="{28A2F599-0392-3B48-9951-25934B783D65}" type="presParOf" srcId="{0443135A-5464-4149-81A3-8086743FBCA0}" destId="{ADCF2B1E-5D8D-8246-84F3-6D4F9E44DE83}" srcOrd="8" destOrd="0" presId="urn:microsoft.com/office/officeart/2016/7/layout/VerticalSolidActionList"/>
    <dgm:cxn modelId="{9D7110A6-F13C-2F44-A6C2-8B20D24A81D6}" type="presParOf" srcId="{ADCF2B1E-5D8D-8246-84F3-6D4F9E44DE83}" destId="{DCC962CB-F486-AF49-8385-FBE879739F1A}" srcOrd="0" destOrd="0" presId="urn:microsoft.com/office/officeart/2016/7/layout/VerticalSolidActionList"/>
    <dgm:cxn modelId="{08B32B35-F2E5-B94F-AE03-4A8654830B4C}" type="presParOf" srcId="{ADCF2B1E-5D8D-8246-84F3-6D4F9E44DE83}" destId="{45EED8F4-5875-7645-87E9-FC5475C23C5A}" srcOrd="1" destOrd="0" presId="urn:microsoft.com/office/officeart/2016/7/layout/VerticalSolidActionList"/>
    <dgm:cxn modelId="{44067B02-1972-634A-B037-2F4C8267CF57}" type="presParOf" srcId="{0443135A-5464-4149-81A3-8086743FBCA0}" destId="{410D62EE-F9E3-4A44-9210-795448BC59A1}" srcOrd="9" destOrd="0" presId="urn:microsoft.com/office/officeart/2016/7/layout/VerticalSolidActionList"/>
    <dgm:cxn modelId="{0666E530-2005-2647-AC5A-B2D5F0BE3E6E}" type="presParOf" srcId="{0443135A-5464-4149-81A3-8086743FBCA0}" destId="{84E8DFD1-4413-5446-B839-7BC871F26982}" srcOrd="10" destOrd="0" presId="urn:microsoft.com/office/officeart/2016/7/layout/VerticalSolidActionList"/>
    <dgm:cxn modelId="{8AFBF732-3B45-4745-AA72-C5BB088E3EBB}" type="presParOf" srcId="{84E8DFD1-4413-5446-B839-7BC871F26982}" destId="{7A8DB834-89EA-BA41-858A-015048DD41E3}" srcOrd="0" destOrd="0" presId="urn:microsoft.com/office/officeart/2016/7/layout/VerticalSolidActionList"/>
    <dgm:cxn modelId="{0A6CC466-E19F-A04E-B095-DB73DD70F2F2}" type="presParOf" srcId="{84E8DFD1-4413-5446-B839-7BC871F26982}" destId="{90230DD8-1A52-B84D-8305-CB01EE4AE360}" srcOrd="1" destOrd="0" presId="urn:microsoft.com/office/officeart/2016/7/layout/VerticalSolidActionList"/>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59D577-6ABF-984B-B1DD-4C44CACF7793}">
      <dsp:nvSpPr>
        <dsp:cNvPr id="0" name=""/>
        <dsp:cNvSpPr/>
      </dsp:nvSpPr>
      <dsp:spPr>
        <a:xfrm>
          <a:off x="1188719" y="425"/>
          <a:ext cx="4754880" cy="553433"/>
        </a:xfrm>
        <a:prstGeom prst="rect">
          <a:avLst/>
        </a:prstGeom>
        <a:solidFill>
          <a:srgbClr val="326EA3">
            <a:alpha val="10000"/>
          </a:srgb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258" tIns="140572" rIns="92258" bIns="140572" numCol="1" spcCol="1270" anchor="ctr" anchorCtr="0">
          <a:noAutofit/>
        </a:bodyPr>
        <a:lstStyle/>
        <a:p>
          <a:pPr marL="0" lvl="0" indent="0" algn="l" defTabSz="488950">
            <a:lnSpc>
              <a:spcPct val="90000"/>
            </a:lnSpc>
            <a:spcBef>
              <a:spcPct val="0"/>
            </a:spcBef>
            <a:spcAft>
              <a:spcPct val="35000"/>
            </a:spcAft>
            <a:buNone/>
          </a:pPr>
          <a:r>
            <a:rPr lang="en-US" sz="1100" b="0" i="0" kern="1200" dirty="0">
              <a:effectLst/>
              <a:latin typeface="Cambria" panose="02040503050406030204" pitchFamily="18" charset="0"/>
              <a:ea typeface="Aptos" panose="020B0004020202020204" pitchFamily="34" charset="0"/>
              <a:cs typeface="Times New Roman" panose="02020603050405020304" pitchFamily="18" charset="0"/>
            </a:rPr>
            <a:t>Members of California’s Geographic Lead Agencies, statewide networks of county offices of education (COEs) charged with building the capacity of COEs to best support LEAs</a:t>
          </a:r>
          <a:endParaRPr lang="en-US" sz="1100" b="0" i="0" kern="1200" dirty="0">
            <a:latin typeface="Cambria" panose="02040503050406030204" pitchFamily="18" charset="0"/>
          </a:endParaRPr>
        </a:p>
      </dsp:txBody>
      <dsp:txXfrm>
        <a:off x="1188719" y="425"/>
        <a:ext cx="4754880" cy="553433"/>
      </dsp:txXfrm>
    </dsp:sp>
    <dsp:sp modelId="{86D3B165-C8E3-C349-A165-EBBE718A7F48}">
      <dsp:nvSpPr>
        <dsp:cNvPr id="0" name=""/>
        <dsp:cNvSpPr/>
      </dsp:nvSpPr>
      <dsp:spPr>
        <a:xfrm>
          <a:off x="0" y="425"/>
          <a:ext cx="1188720" cy="553433"/>
        </a:xfrm>
        <a:prstGeom prst="rect">
          <a:avLst/>
        </a:prstGeom>
        <a:solidFill>
          <a:srgbClr val="326EA3"/>
        </a:solidFill>
        <a:ln w="12700" cap="flat" cmpd="sng" algn="ctr">
          <a:solidFill>
            <a:schemeClr val="tx1"/>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62903" tIns="54667" rIns="62903" bIns="54667" numCol="1" spcCol="1270" anchor="ctr" anchorCtr="0">
          <a:noAutofit/>
        </a:bodyPr>
        <a:lstStyle/>
        <a:p>
          <a:pPr marL="0" lvl="0" indent="0" algn="ctr" defTabSz="533400">
            <a:lnSpc>
              <a:spcPct val="90000"/>
            </a:lnSpc>
            <a:spcBef>
              <a:spcPct val="0"/>
            </a:spcBef>
            <a:spcAft>
              <a:spcPct val="35000"/>
            </a:spcAft>
            <a:buNone/>
          </a:pPr>
          <a:r>
            <a:rPr lang="en-US" sz="1200" b="1" i="0" kern="1200" dirty="0">
              <a:effectLst/>
              <a:latin typeface="Cambria" panose="02040503050406030204" pitchFamily="18" charset="0"/>
              <a:ea typeface="Aptos" panose="020B0004020202020204" pitchFamily="34" charset="0"/>
              <a:cs typeface="Times New Roman" panose="02020603050405020304" pitchFamily="18" charset="0"/>
            </a:rPr>
            <a:t>Geographic leads</a:t>
          </a:r>
          <a:endParaRPr lang="en-US" sz="1200" b="1" i="0" kern="1200" dirty="0">
            <a:latin typeface="Cambria" panose="02040503050406030204" pitchFamily="18" charset="0"/>
          </a:endParaRPr>
        </a:p>
      </dsp:txBody>
      <dsp:txXfrm>
        <a:off x="0" y="425"/>
        <a:ext cx="1188720" cy="553433"/>
      </dsp:txXfrm>
    </dsp:sp>
    <dsp:sp modelId="{BF3B4EBC-F4FA-F140-BB86-5A882223F81B}">
      <dsp:nvSpPr>
        <dsp:cNvPr id="0" name=""/>
        <dsp:cNvSpPr/>
      </dsp:nvSpPr>
      <dsp:spPr>
        <a:xfrm>
          <a:off x="1188720" y="587064"/>
          <a:ext cx="4754880" cy="553433"/>
        </a:xfrm>
        <a:prstGeom prst="rect">
          <a:avLst/>
        </a:prstGeom>
        <a:solidFill>
          <a:srgbClr val="2B8640">
            <a:alpha val="10000"/>
          </a:srgb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258" tIns="140572" rIns="92258" bIns="140572" numCol="1" spcCol="1270" anchor="ctr" anchorCtr="0">
          <a:noAutofit/>
        </a:bodyPr>
        <a:lstStyle/>
        <a:p>
          <a:pPr marL="0" lvl="0" indent="0" algn="l" defTabSz="488950">
            <a:lnSpc>
              <a:spcPct val="90000"/>
            </a:lnSpc>
            <a:spcBef>
              <a:spcPct val="0"/>
            </a:spcBef>
            <a:spcAft>
              <a:spcPct val="35000"/>
            </a:spcAft>
            <a:buNone/>
          </a:pPr>
          <a:r>
            <a:rPr lang="en-US" sz="1100" b="0" i="0" kern="1200" dirty="0">
              <a:effectLst/>
              <a:latin typeface="Cambria" panose="02040503050406030204" pitchFamily="18" charset="0"/>
              <a:ea typeface="Aptos" panose="020B0004020202020204" pitchFamily="34" charset="0"/>
              <a:cs typeface="Times New Roman" panose="02020603050405020304" pitchFamily="18" charset="0"/>
            </a:rPr>
            <a:t>Educators who lead or work in a charter school or charter management group and members of organizations who represent and support them</a:t>
          </a:r>
          <a:endParaRPr lang="en-US" sz="1100" b="0" i="0" kern="1200" dirty="0">
            <a:latin typeface="Cambria" panose="02040503050406030204" pitchFamily="18" charset="0"/>
          </a:endParaRPr>
        </a:p>
      </dsp:txBody>
      <dsp:txXfrm>
        <a:off x="1188720" y="587064"/>
        <a:ext cx="4754880" cy="553433"/>
      </dsp:txXfrm>
    </dsp:sp>
    <dsp:sp modelId="{6AFE3551-B141-E042-A296-1CBD34289A1A}">
      <dsp:nvSpPr>
        <dsp:cNvPr id="0" name=""/>
        <dsp:cNvSpPr/>
      </dsp:nvSpPr>
      <dsp:spPr>
        <a:xfrm>
          <a:off x="0" y="587064"/>
          <a:ext cx="1188720" cy="553433"/>
        </a:xfrm>
        <a:prstGeom prst="rect">
          <a:avLst/>
        </a:prstGeom>
        <a:solidFill>
          <a:srgbClr val="2B8640"/>
        </a:solidFill>
        <a:ln w="12700" cap="flat" cmpd="sng" algn="ctr">
          <a:solidFill>
            <a:schemeClr val="tx1"/>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62903" tIns="54667" rIns="62903" bIns="54667" numCol="1" spcCol="1270" anchor="ctr" anchorCtr="0">
          <a:noAutofit/>
        </a:bodyPr>
        <a:lstStyle/>
        <a:p>
          <a:pPr marL="0" lvl="0" indent="0" algn="ctr" defTabSz="533400">
            <a:lnSpc>
              <a:spcPct val="90000"/>
            </a:lnSpc>
            <a:spcBef>
              <a:spcPct val="0"/>
            </a:spcBef>
            <a:spcAft>
              <a:spcPct val="35000"/>
            </a:spcAft>
            <a:buNone/>
          </a:pPr>
          <a:r>
            <a:rPr lang="en-US" sz="1200" b="1" i="0" kern="1200" dirty="0">
              <a:effectLst/>
              <a:latin typeface="Cambria" panose="02040503050406030204" pitchFamily="18" charset="0"/>
              <a:ea typeface="Aptos" panose="020B0004020202020204" pitchFamily="34" charset="0"/>
              <a:cs typeface="Times New Roman" panose="02020603050405020304" pitchFamily="18" charset="0"/>
            </a:rPr>
            <a:t>Charter schools</a:t>
          </a:r>
          <a:endParaRPr lang="en-US" sz="1200" b="1" i="0" kern="1200" dirty="0">
            <a:latin typeface="Cambria" panose="02040503050406030204" pitchFamily="18" charset="0"/>
          </a:endParaRPr>
        </a:p>
      </dsp:txBody>
      <dsp:txXfrm>
        <a:off x="0" y="587064"/>
        <a:ext cx="1188720" cy="553433"/>
      </dsp:txXfrm>
    </dsp:sp>
    <dsp:sp modelId="{B50E7DA4-ACB4-8249-A08E-3D87B6225095}">
      <dsp:nvSpPr>
        <dsp:cNvPr id="0" name=""/>
        <dsp:cNvSpPr/>
      </dsp:nvSpPr>
      <dsp:spPr>
        <a:xfrm>
          <a:off x="1188720" y="1173703"/>
          <a:ext cx="4754880" cy="553433"/>
        </a:xfrm>
        <a:prstGeom prst="rect">
          <a:avLst/>
        </a:prstGeom>
        <a:solidFill>
          <a:srgbClr val="008390">
            <a:alpha val="10000"/>
          </a:srgb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258" tIns="140572" rIns="92258" bIns="140572" numCol="1" spcCol="1270" anchor="ctr" anchorCtr="0">
          <a:noAutofit/>
        </a:bodyPr>
        <a:lstStyle/>
        <a:p>
          <a:pPr marL="0" lvl="0" indent="0" algn="l" defTabSz="488950">
            <a:lnSpc>
              <a:spcPct val="90000"/>
            </a:lnSpc>
            <a:spcBef>
              <a:spcPct val="0"/>
            </a:spcBef>
            <a:spcAft>
              <a:spcPct val="35000"/>
            </a:spcAft>
            <a:buNone/>
          </a:pPr>
          <a:r>
            <a:rPr lang="en-US" sz="1100" b="0" i="0" kern="1200" dirty="0">
              <a:effectLst/>
              <a:latin typeface="Cambria" panose="02040503050406030204" pitchFamily="18" charset="0"/>
              <a:ea typeface="Aptos" panose="020B0004020202020204" pitchFamily="34" charset="0"/>
              <a:cs typeface="Times New Roman" panose="02020603050405020304" pitchFamily="18" charset="0"/>
            </a:rPr>
            <a:t>Members of a coalition of civil rights, advocacy, community, family, student, educator, and other organizations working to implement the state’s LCFF and focus resources on closing opportunity and achievement gaps</a:t>
          </a:r>
          <a:endParaRPr lang="en-US" sz="1100" b="0" i="0" kern="1200" dirty="0">
            <a:latin typeface="Cambria" panose="02040503050406030204" pitchFamily="18" charset="0"/>
          </a:endParaRPr>
        </a:p>
      </dsp:txBody>
      <dsp:txXfrm>
        <a:off x="1188720" y="1173703"/>
        <a:ext cx="4754880" cy="553433"/>
      </dsp:txXfrm>
    </dsp:sp>
    <dsp:sp modelId="{0696C8FE-0E8A-A644-94E8-B31996061CCF}">
      <dsp:nvSpPr>
        <dsp:cNvPr id="0" name=""/>
        <dsp:cNvSpPr/>
      </dsp:nvSpPr>
      <dsp:spPr>
        <a:xfrm>
          <a:off x="0" y="1173703"/>
          <a:ext cx="1188720" cy="553433"/>
        </a:xfrm>
        <a:prstGeom prst="rect">
          <a:avLst/>
        </a:prstGeom>
        <a:solidFill>
          <a:srgbClr val="008390"/>
        </a:solidFill>
        <a:ln w="12700" cap="flat" cmpd="sng" algn="ctr">
          <a:solidFill>
            <a:schemeClr val="tx1"/>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62903" tIns="54667" rIns="62903" bIns="54667" numCol="1" spcCol="1270" anchor="ctr" anchorCtr="0">
          <a:noAutofit/>
        </a:bodyPr>
        <a:lstStyle/>
        <a:p>
          <a:pPr marL="0" lvl="0" indent="0" algn="ctr" defTabSz="533400">
            <a:lnSpc>
              <a:spcPct val="90000"/>
            </a:lnSpc>
            <a:spcBef>
              <a:spcPct val="0"/>
            </a:spcBef>
            <a:spcAft>
              <a:spcPct val="35000"/>
            </a:spcAft>
            <a:buNone/>
          </a:pPr>
          <a:r>
            <a:rPr lang="en-US" sz="1200" b="1" i="0" kern="1200" dirty="0">
              <a:effectLst/>
              <a:latin typeface="Cambria" panose="02040503050406030204" pitchFamily="18" charset="0"/>
              <a:ea typeface="Aptos" panose="020B0004020202020204" pitchFamily="34" charset="0"/>
              <a:cs typeface="Times New Roman" panose="02020603050405020304" pitchFamily="18" charset="0"/>
            </a:rPr>
            <a:t>LCFF Equity Coalition</a:t>
          </a:r>
          <a:endParaRPr lang="en-US" sz="1200" b="1" i="0" kern="1200" dirty="0">
            <a:latin typeface="Cambria" panose="02040503050406030204" pitchFamily="18" charset="0"/>
          </a:endParaRPr>
        </a:p>
      </dsp:txBody>
      <dsp:txXfrm>
        <a:off x="0" y="1173703"/>
        <a:ext cx="1188720" cy="553433"/>
      </dsp:txXfrm>
    </dsp:sp>
    <dsp:sp modelId="{5AFA30D2-0E8A-F14E-BFF5-98733222900C}">
      <dsp:nvSpPr>
        <dsp:cNvPr id="0" name=""/>
        <dsp:cNvSpPr/>
      </dsp:nvSpPr>
      <dsp:spPr>
        <a:xfrm>
          <a:off x="1188720" y="1760342"/>
          <a:ext cx="4754880" cy="553433"/>
        </a:xfrm>
        <a:prstGeom prst="rect">
          <a:avLst/>
        </a:prstGeom>
        <a:solidFill>
          <a:srgbClr val="862271">
            <a:alpha val="10000"/>
          </a:srgb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258" tIns="140572" rIns="92258" bIns="140572" numCol="1" spcCol="1270" anchor="ctr" anchorCtr="0">
          <a:noAutofit/>
        </a:bodyPr>
        <a:lstStyle/>
        <a:p>
          <a:pPr marL="0" lvl="0" indent="0" algn="l" defTabSz="488950">
            <a:lnSpc>
              <a:spcPct val="90000"/>
            </a:lnSpc>
            <a:spcBef>
              <a:spcPct val="0"/>
            </a:spcBef>
            <a:spcAft>
              <a:spcPct val="35000"/>
            </a:spcAft>
            <a:buNone/>
          </a:pPr>
          <a:r>
            <a:rPr lang="en-US" sz="1100" b="0" i="0" kern="1200" dirty="0">
              <a:effectLst/>
              <a:latin typeface="Cambria" panose="02040503050406030204" pitchFamily="18" charset="0"/>
              <a:ea typeface="Aptos" panose="020B0004020202020204" pitchFamily="34" charset="0"/>
              <a:cs typeface="Times New Roman" panose="02020603050405020304" pitchFamily="18" charset="0"/>
            </a:rPr>
            <a:t>Representatives from COEs charged with providing DA to identified LEAs and members of organizations who represent and support them</a:t>
          </a:r>
          <a:endParaRPr lang="en-US" sz="1100" b="0" i="0" kern="1200" dirty="0">
            <a:latin typeface="Cambria" panose="02040503050406030204" pitchFamily="18" charset="0"/>
          </a:endParaRPr>
        </a:p>
      </dsp:txBody>
      <dsp:txXfrm>
        <a:off x="1188720" y="1760342"/>
        <a:ext cx="4754880" cy="553433"/>
      </dsp:txXfrm>
    </dsp:sp>
    <dsp:sp modelId="{21886DD2-DB0F-2049-A5B0-1828ADA16B02}">
      <dsp:nvSpPr>
        <dsp:cNvPr id="0" name=""/>
        <dsp:cNvSpPr/>
      </dsp:nvSpPr>
      <dsp:spPr>
        <a:xfrm>
          <a:off x="0" y="1760342"/>
          <a:ext cx="1188720" cy="553433"/>
        </a:xfrm>
        <a:prstGeom prst="rect">
          <a:avLst/>
        </a:prstGeom>
        <a:solidFill>
          <a:srgbClr val="862271"/>
        </a:solidFill>
        <a:ln w="12700" cap="flat" cmpd="sng" algn="ctr">
          <a:solidFill>
            <a:schemeClr val="tx1"/>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62903" tIns="54667" rIns="62903" bIns="54667" numCol="1" spcCol="1270" anchor="ctr" anchorCtr="0">
          <a:noAutofit/>
        </a:bodyPr>
        <a:lstStyle/>
        <a:p>
          <a:pPr marL="0" lvl="0" indent="0" algn="ctr" defTabSz="533400">
            <a:lnSpc>
              <a:spcPct val="90000"/>
            </a:lnSpc>
            <a:spcBef>
              <a:spcPct val="0"/>
            </a:spcBef>
            <a:spcAft>
              <a:spcPct val="35000"/>
            </a:spcAft>
            <a:buNone/>
          </a:pPr>
          <a:r>
            <a:rPr lang="en-US" sz="1200" b="1" i="0" kern="1200" dirty="0">
              <a:effectLst/>
              <a:latin typeface="Cambria" panose="02040503050406030204" pitchFamily="18" charset="0"/>
              <a:ea typeface="Aptos" panose="020B0004020202020204" pitchFamily="34" charset="0"/>
              <a:cs typeface="Times New Roman" panose="02020603050405020304" pitchFamily="18" charset="0"/>
            </a:rPr>
            <a:t>COEs</a:t>
          </a:r>
          <a:endParaRPr lang="en-US" sz="1300" b="1" i="0" kern="1200" dirty="0">
            <a:latin typeface="Cambria" panose="02040503050406030204" pitchFamily="18" charset="0"/>
          </a:endParaRPr>
        </a:p>
      </dsp:txBody>
      <dsp:txXfrm>
        <a:off x="0" y="1760342"/>
        <a:ext cx="1188720" cy="553433"/>
      </dsp:txXfrm>
    </dsp:sp>
    <dsp:sp modelId="{45EED8F4-5875-7645-87E9-FC5475C23C5A}">
      <dsp:nvSpPr>
        <dsp:cNvPr id="0" name=""/>
        <dsp:cNvSpPr/>
      </dsp:nvSpPr>
      <dsp:spPr>
        <a:xfrm>
          <a:off x="1188720" y="2346982"/>
          <a:ext cx="4754880" cy="553433"/>
        </a:xfrm>
        <a:prstGeom prst="rect">
          <a:avLst/>
        </a:prstGeom>
        <a:solidFill>
          <a:srgbClr val="B00931">
            <a:alpha val="10000"/>
          </a:srgb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258" tIns="140572" rIns="92258" bIns="140572" numCol="1" spcCol="1270" anchor="ctr" anchorCtr="0">
          <a:noAutofit/>
        </a:bodyPr>
        <a:lstStyle/>
        <a:p>
          <a:pPr marL="0" lvl="0" indent="0" algn="l" defTabSz="488950">
            <a:lnSpc>
              <a:spcPct val="90000"/>
            </a:lnSpc>
            <a:spcBef>
              <a:spcPct val="0"/>
            </a:spcBef>
            <a:spcAft>
              <a:spcPct val="35000"/>
            </a:spcAft>
            <a:buNone/>
          </a:pPr>
          <a:r>
            <a:rPr lang="en-US" sz="1100" b="0" i="0" kern="1200" dirty="0">
              <a:effectLst/>
              <a:latin typeface="Cambria" panose="02040503050406030204" pitchFamily="18" charset="0"/>
              <a:ea typeface="Aptos" panose="020B0004020202020204" pitchFamily="34" charset="0"/>
              <a:cs typeface="Times New Roman" panose="02020603050405020304" pitchFamily="18" charset="0"/>
            </a:rPr>
            <a:t>Representatives from a group of major statewide associations representing teachers, administrators, school employees and districts</a:t>
          </a:r>
          <a:endParaRPr lang="en-US" sz="1100" b="0" i="0" kern="1200" dirty="0">
            <a:latin typeface="Cambria" panose="02040503050406030204" pitchFamily="18" charset="0"/>
          </a:endParaRPr>
        </a:p>
      </dsp:txBody>
      <dsp:txXfrm>
        <a:off x="1188720" y="2346982"/>
        <a:ext cx="4754880" cy="553433"/>
      </dsp:txXfrm>
    </dsp:sp>
    <dsp:sp modelId="{DCC962CB-F486-AF49-8385-FBE879739F1A}">
      <dsp:nvSpPr>
        <dsp:cNvPr id="0" name=""/>
        <dsp:cNvSpPr/>
      </dsp:nvSpPr>
      <dsp:spPr>
        <a:xfrm>
          <a:off x="0" y="2346982"/>
          <a:ext cx="1188720" cy="553433"/>
        </a:xfrm>
        <a:prstGeom prst="rect">
          <a:avLst/>
        </a:prstGeom>
        <a:solidFill>
          <a:srgbClr val="B00931"/>
        </a:solidFill>
        <a:ln w="12700" cap="flat" cmpd="sng" algn="ctr">
          <a:solidFill>
            <a:schemeClr val="tx1"/>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62903" tIns="54667" rIns="62903" bIns="54667" numCol="1" spcCol="1270" anchor="ctr" anchorCtr="0">
          <a:noAutofit/>
        </a:bodyPr>
        <a:lstStyle/>
        <a:p>
          <a:pPr marL="0" lvl="0" indent="0" algn="ctr" defTabSz="533400">
            <a:lnSpc>
              <a:spcPct val="90000"/>
            </a:lnSpc>
            <a:spcBef>
              <a:spcPct val="0"/>
            </a:spcBef>
            <a:spcAft>
              <a:spcPct val="35000"/>
            </a:spcAft>
            <a:buNone/>
          </a:pPr>
          <a:r>
            <a:rPr lang="en-US" sz="1200" b="1" i="0" kern="1200" dirty="0">
              <a:effectLst/>
              <a:latin typeface="Cambria" panose="02040503050406030204" pitchFamily="18" charset="0"/>
              <a:ea typeface="Aptos" panose="020B0004020202020204" pitchFamily="34" charset="0"/>
              <a:cs typeface="Times New Roman" panose="02020603050405020304" pitchFamily="18" charset="0"/>
            </a:rPr>
            <a:t>Education coalition</a:t>
          </a:r>
          <a:endParaRPr lang="en-US" sz="1200" b="1" i="0" kern="1200" dirty="0">
            <a:latin typeface="Cambria" panose="02040503050406030204" pitchFamily="18" charset="0"/>
          </a:endParaRPr>
        </a:p>
      </dsp:txBody>
      <dsp:txXfrm>
        <a:off x="0" y="2346982"/>
        <a:ext cx="1188720" cy="553433"/>
      </dsp:txXfrm>
    </dsp:sp>
    <dsp:sp modelId="{90230DD8-1A52-B84D-8305-CB01EE4AE360}">
      <dsp:nvSpPr>
        <dsp:cNvPr id="0" name=""/>
        <dsp:cNvSpPr/>
      </dsp:nvSpPr>
      <dsp:spPr>
        <a:xfrm>
          <a:off x="1188720" y="2933621"/>
          <a:ext cx="4754880" cy="553433"/>
        </a:xfrm>
        <a:prstGeom prst="rect">
          <a:avLst/>
        </a:prstGeom>
        <a:solidFill>
          <a:srgbClr val="FAAF3C">
            <a:alpha val="10000"/>
          </a:srgb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258" tIns="140572" rIns="92258" bIns="140572" numCol="1" spcCol="1270" anchor="ctr" anchorCtr="0">
          <a:noAutofit/>
        </a:bodyPr>
        <a:lstStyle/>
        <a:p>
          <a:pPr marL="0" lvl="0" indent="0" algn="l" defTabSz="488950">
            <a:lnSpc>
              <a:spcPct val="90000"/>
            </a:lnSpc>
            <a:spcBef>
              <a:spcPct val="0"/>
            </a:spcBef>
            <a:spcAft>
              <a:spcPct val="35000"/>
            </a:spcAft>
            <a:buNone/>
          </a:pPr>
          <a:r>
            <a:rPr lang="en-US" sz="1100" b="0" i="0" kern="1200" dirty="0">
              <a:effectLst/>
              <a:latin typeface="Cambria" panose="02040503050406030204" pitchFamily="18" charset="0"/>
              <a:ea typeface="Aptos" panose="020B0004020202020204" pitchFamily="34" charset="0"/>
              <a:cs typeface="Times New Roman" panose="02020603050405020304" pitchFamily="18" charset="0"/>
            </a:rPr>
            <a:t>Educators who lead LEAs, including school districts, and members of organizations who represent and support them</a:t>
          </a:r>
          <a:endParaRPr lang="en-US" sz="1100" b="0" i="0" kern="1200" dirty="0">
            <a:latin typeface="Cambria" panose="02040503050406030204" pitchFamily="18" charset="0"/>
          </a:endParaRPr>
        </a:p>
      </dsp:txBody>
      <dsp:txXfrm>
        <a:off x="1188720" y="2933621"/>
        <a:ext cx="4754880" cy="553433"/>
      </dsp:txXfrm>
    </dsp:sp>
    <dsp:sp modelId="{7A8DB834-89EA-BA41-858A-015048DD41E3}">
      <dsp:nvSpPr>
        <dsp:cNvPr id="0" name=""/>
        <dsp:cNvSpPr/>
      </dsp:nvSpPr>
      <dsp:spPr>
        <a:xfrm>
          <a:off x="0" y="2933621"/>
          <a:ext cx="1188720" cy="553433"/>
        </a:xfrm>
        <a:prstGeom prst="rect">
          <a:avLst/>
        </a:prstGeom>
        <a:solidFill>
          <a:srgbClr val="FAAF3C"/>
        </a:solidFill>
        <a:ln w="12700" cap="flat" cmpd="sng" algn="ctr">
          <a:solidFill>
            <a:schemeClr val="tx1"/>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62903" tIns="54667" rIns="62903" bIns="54667" numCol="1" spcCol="1270" anchor="ctr" anchorCtr="0">
          <a:noAutofit/>
        </a:bodyPr>
        <a:lstStyle/>
        <a:p>
          <a:pPr marL="0" lvl="0" indent="0" algn="ctr" defTabSz="533400">
            <a:lnSpc>
              <a:spcPct val="90000"/>
            </a:lnSpc>
            <a:spcBef>
              <a:spcPct val="0"/>
            </a:spcBef>
            <a:spcAft>
              <a:spcPct val="35000"/>
            </a:spcAft>
            <a:buNone/>
          </a:pPr>
          <a:r>
            <a:rPr lang="en-US" sz="1200" b="1" i="0" kern="1200" dirty="0">
              <a:solidFill>
                <a:schemeClr val="tx1"/>
              </a:solidFill>
              <a:effectLst/>
              <a:latin typeface="Cambria" panose="02040503050406030204" pitchFamily="18" charset="0"/>
              <a:ea typeface="Aptos" panose="020B0004020202020204" pitchFamily="34" charset="0"/>
              <a:cs typeface="Times New Roman" panose="02020603050405020304" pitchFamily="18" charset="0"/>
            </a:rPr>
            <a:t>LEA leaders</a:t>
          </a:r>
          <a:endParaRPr lang="en-US" sz="1200" b="1" i="0" kern="1200" dirty="0">
            <a:solidFill>
              <a:schemeClr val="tx1"/>
            </a:solidFill>
            <a:latin typeface="Cambria" panose="02040503050406030204" pitchFamily="18" charset="0"/>
          </a:endParaRPr>
        </a:p>
      </dsp:txBody>
      <dsp:txXfrm>
        <a:off x="0" y="2933621"/>
        <a:ext cx="1188720" cy="553433"/>
      </dsp:txXfrm>
    </dsp:sp>
  </dsp:spTree>
</dsp:drawing>
</file>

<file path=word/diagrams/layout1.xml><?xml version="1.0" encoding="utf-8"?>
<dgm:layoutDef xmlns:dgm="http://schemas.openxmlformats.org/drawingml/2006/diagram" xmlns:a="http://schemas.openxmlformats.org/drawingml/2006/main" uniqueId="urn:microsoft.com/office/officeart/2016/7/layout/VerticalSolidActionList">
  <dgm:title val="Vertical Solid Action List"/>
  <dgm:desc val="Use to show non-sequential or grouped lists of information. Works well with large amounts of text. All text has the same level of emphasis, and direction is not implied."/>
  <dgm:catLst>
    <dgm:cat type="list" pri="5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 modelId="5">
          <dgm:prSet phldr="1"/>
        </dgm:pt>
        <dgm:pt modelId="51">
          <dgm:prSet phldr="1"/>
        </dgm:pt>
      </dgm:ptLst>
      <dgm:cxnLst>
        <dgm:cxn modelId="4" srcId="0" destId="1" srcOrd="0" destOrd="0"/>
        <dgm:cxn modelId="5" srcId="0" destId="2" srcOrd="1" destOrd="0"/>
        <dgm:cxn modelId="6" srcId="0" destId="3" srcOrd="2" destOrd="0"/>
        <dgm:cxn modelId="7" srcId="0" destId="4" srcOrd="3" destOrd="0"/>
        <dgm:cxn modelId="8" srcId="0" destId="5" srcOrd="4" destOrd="0"/>
        <dgm:cxn modelId="13" srcId="1" destId="11" srcOrd="0" destOrd="0"/>
        <dgm:cxn modelId="23" srcId="2" destId="21" srcOrd="0" destOrd="0"/>
        <dgm:cxn modelId="33" srcId="3" destId="31" srcOrd="0" destOrd="0"/>
        <dgm:cxn modelId="43" srcId="4" destId="41" srcOrd="0" destOrd="0"/>
        <dgm:cxn modelId="53" srcId="5" destId="5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6"/>
      <dgm:constr type="primFontSz" for="des" forName="parentText" op="equ" val="28"/>
      <dgm:constr type="primFontSz" for="des" forName="descendantText" refType="primFontSz" refFor="des" refForName="parentText" op="lte" fact="0.82"/>
      <dgm:constr type="primFontSz" for="des" forName="parentText" refType="primFontSz" refFor="des" refForName="descendantText" op="lte" fact="1.25"/>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2"/>
          <dgm:constr type="w" for="ch" forName="descendantText" refType="w" fact="0.8"/>
          <dgm:constr type="h" for="ch" forName="parentText" refType="h"/>
          <dgm:constr type="h" for="ch" forName="descendantText" refType="h" refFor="ch" refForName="parentText"/>
        </dgm:constrLst>
        <dgm:ruleLst/>
        <dgm:layoutNode name="parentText" styleLbl="alignNode1">
          <dgm:varLst>
            <dgm:chMax val="1"/>
            <dgm:bulletEnabled/>
          </dgm:varLst>
          <dgm:alg type="tx"/>
          <dgm:shape xmlns:r="http://schemas.openxmlformats.org/officeDocument/2006/relationships" type="rect" r:blip="" zOrderOff="3">
            <dgm:adjLst/>
          </dgm:shape>
          <dgm:presOf axis="self" ptType="node"/>
          <dgm:constrLst>
            <dgm:constr type="tMarg" refType="h" fact="0.28"/>
            <dgm:constr type="bMarg" refType="h" fact="0.28"/>
            <dgm:constr type="lMarg" refType="w" fact="0.15"/>
            <dgm:constr type="rMarg" refType="w" fact="0.15"/>
          </dgm:constrLst>
          <dgm:ruleLst>
            <dgm:rule type="primFontSz" val="15" fact="NaN" max="NaN"/>
          </dgm:ruleLst>
        </dgm:layoutNode>
        <dgm:layoutNode name="descendantText" styleLbl="alignAccFollowNode1">
          <dgm:varLst>
            <dgm:bulletEnabled/>
          </dgm:varLst>
          <dgm:alg type="tx">
            <dgm:param type="stBulletLvl" val="0"/>
            <dgm:param type="parTxLTRAlign" val="l"/>
            <dgm:param type="shpTxLTRAlignCh" val="l"/>
            <dgm:param type="parTxRTLAlign" val="r"/>
            <dgm:param type="shpTxRTLAlignCh" val="r"/>
          </dgm:alg>
          <dgm:choose name="Name10">
            <dgm:if name="Name11" func="var" arg="dir" op="equ" val="norm">
              <dgm:shape xmlns:r="http://schemas.openxmlformats.org/officeDocument/2006/relationships" type="rect" r:blip="">
                <dgm:adjLst/>
              </dgm:shape>
            </dgm:if>
            <dgm:else name="Name12">
              <dgm:shape xmlns:r="http://schemas.openxmlformats.org/officeDocument/2006/relationships" type="rect" r:blip="">
                <dgm:adjLst/>
              </dgm:shape>
            </dgm:else>
          </dgm:choose>
          <dgm:presOf axis="des" ptType="node"/>
          <dgm:constrLst>
            <dgm:constr type="primFontSz" val="24"/>
            <dgm:constr type="lMarg" refType="w" fact="0.055"/>
            <dgm:constr type="rMarg" refType="w" fact="0.055"/>
            <dgm:constr type="tMarg" refType="h" fact="0.72"/>
            <dgm:constr type="bMarg" refType="h" fact="0.72"/>
          </dgm:constrLst>
          <dgm:ruleLst>
            <dgm:rule type="primFontSz" val="11" fact="NaN" max="NaN"/>
          </dgm:ruleLst>
        </dgm:layoutNod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2019_AIR_Corporate_MS-Office_Branding">
  <a:themeElements>
    <a:clrScheme name="COMP CENTERS 2025">
      <a:dk1>
        <a:srgbClr val="1C1C1C"/>
      </a:dk1>
      <a:lt1>
        <a:srgbClr val="FFFFFF"/>
      </a:lt1>
      <a:dk2>
        <a:srgbClr val="292929"/>
      </a:dk2>
      <a:lt2>
        <a:srgbClr val="E8EAF3"/>
      </a:lt2>
      <a:accent1>
        <a:srgbClr val="326EA3"/>
      </a:accent1>
      <a:accent2>
        <a:srgbClr val="2B8640"/>
      </a:accent2>
      <a:accent3>
        <a:srgbClr val="008390"/>
      </a:accent3>
      <a:accent4>
        <a:srgbClr val="862271"/>
      </a:accent4>
      <a:accent5>
        <a:srgbClr val="B00931"/>
      </a:accent5>
      <a:accent6>
        <a:srgbClr val="FAAF3C"/>
      </a:accent6>
      <a:hlink>
        <a:srgbClr val="1C476E"/>
      </a:hlink>
      <a:folHlink>
        <a:srgbClr val="570148"/>
      </a:folHlink>
    </a:clrScheme>
    <a:fontScheme name="COMP CENTERS">
      <a:majorFont>
        <a:latin typeface="Cambria"/>
        <a:ea typeface=""/>
        <a:cs typeface=""/>
      </a:majorFont>
      <a:minorFont>
        <a:latin typeface="Cambr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w="9525">
          <a:solidFill>
            <a:schemeClr val="accent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spAutoFit/>
      </a:bodyPr>
      <a:lstStyle/>
      <a:style>
        <a:lnRef idx="3">
          <a:schemeClr val="lt1"/>
        </a:lnRef>
        <a:fillRef idx="1">
          <a:schemeClr val="accent2"/>
        </a:fillRef>
        <a:effectRef idx="1">
          <a:schemeClr val="accent2"/>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45c991-4b2e-4460-a570-a24d976da03c">
      <Terms xmlns="http://schemas.microsoft.com/office/infopath/2007/PartnerControls"/>
    </lcf76f155ced4ddcb4097134ff3c332f>
    <TaxCatchAll xmlns="10a919b4-cf01-42b7-9a25-7c73100f62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1465F520EAE543B92A96160431E48A" ma:contentTypeVersion="12" ma:contentTypeDescription="Create a new document." ma:contentTypeScope="" ma:versionID="a8c523458263aaefac7bcf174d1ad2ca">
  <xsd:schema xmlns:xsd="http://www.w3.org/2001/XMLSchema" xmlns:xs="http://www.w3.org/2001/XMLSchema" xmlns:p="http://schemas.microsoft.com/office/2006/metadata/properties" xmlns:ns2="1d45c991-4b2e-4460-a570-a24d976da03c" xmlns:ns3="10a919b4-cf01-42b7-9a25-7c73100f6283" targetNamespace="http://schemas.microsoft.com/office/2006/metadata/properties" ma:root="true" ma:fieldsID="ccf2a99c0cb13ae9d9b8110b63adfbdd" ns2:_="" ns3:_="">
    <xsd:import namespace="1d45c991-4b2e-4460-a570-a24d976da03c"/>
    <xsd:import namespace="10a919b4-cf01-42b7-9a25-7c73100f62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5c991-4b2e-4460-a570-a24d976da0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31da6f4-e52d-49d7-b108-9c7783d7746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a919b4-cf01-42b7-9a25-7c73100f628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bb9f413-e3e4-462c-9ba3-f8a28bf10413}" ma:internalName="TaxCatchAll" ma:showField="CatchAllData" ma:web="10a919b4-cf01-42b7-9a25-7c73100f62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37058-033E-4DDE-AAE8-3057F4EB0F14}">
  <ds:schemaRefs>
    <ds:schemaRef ds:uri="http://schemas.microsoft.com/office/2006/metadata/properties"/>
    <ds:schemaRef ds:uri="http://schemas.microsoft.com/office/infopath/2007/PartnerControls"/>
    <ds:schemaRef ds:uri="1d45c991-4b2e-4460-a570-a24d976da03c"/>
    <ds:schemaRef ds:uri="10a919b4-cf01-42b7-9a25-7c73100f6283"/>
  </ds:schemaRefs>
</ds:datastoreItem>
</file>

<file path=customXml/itemProps2.xml><?xml version="1.0" encoding="utf-8"?>
<ds:datastoreItem xmlns:ds="http://schemas.openxmlformats.org/officeDocument/2006/customXml" ds:itemID="{79A18643-481C-4F65-BE44-D2082D7AFD4B}">
  <ds:schemaRefs>
    <ds:schemaRef ds:uri="http://schemas.microsoft.com/sharepoint/v3/contenttype/forms"/>
  </ds:schemaRefs>
</ds:datastoreItem>
</file>

<file path=customXml/itemProps3.xml><?xml version="1.0" encoding="utf-8"?>
<ds:datastoreItem xmlns:ds="http://schemas.openxmlformats.org/officeDocument/2006/customXml" ds:itemID="{3140083C-A5F5-4007-BA78-95CB65E3D1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5c991-4b2e-4460-a570-a24d976da03c"/>
    <ds:schemaRef ds:uri="10a919b4-cf01-42b7-9a25-7c73100f62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711565-197A-47FD-8B84-D0685C9D9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7911</Words>
  <Characters>45097</Characters>
  <Application>Microsoft Office Word</Application>
  <DocSecurity>4</DocSecurity>
  <Lines>375</Lines>
  <Paragraphs>105</Paragraphs>
  <ScaleCrop>false</ScaleCrop>
  <Company>CA State Board of Education</Company>
  <LinksUpToDate>false</LinksUpToDate>
  <CharactersWithSpaces>52903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2026 Agenda Item 02 Attachment 2 - Meeting Agendas (CA State Board of Education)</dc:title>
  <dc:subject>Differentiated Assistance Input Sessions Findings Report.</dc:subject>
  <dc:creator/>
  <cp:keywords/>
  <dc:description/>
  <dcterms:created xsi:type="dcterms:W3CDTF">2026-06-25T21:41:00Z</dcterms:created>
  <dcterms:modified xsi:type="dcterms:W3CDTF">2026-06-25T21:41:00Z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0x010100CD1465F520EAE543B92A96160431E48A</vt:lpwstr>
  </property>
  <property fmtid="{D5CDD505-2E9C-101B-9397-08002B2CF9AE}" pid="3" name="MediaServiceImageTags">
    <vt:lpwstr/>
  </property>
</Properties>
</file>