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054D" w14:textId="768FC315" w:rsidR="00C57EDC" w:rsidRPr="00BB7A09" w:rsidRDefault="00C57EDC" w:rsidP="00172BAF">
      <w:pPr>
        <w:tabs>
          <w:tab w:val="right" w:pos="9360"/>
        </w:tabs>
        <w:rPr>
          <w:rFonts w:cs="Arial"/>
        </w:rPr>
      </w:pPr>
      <w:bookmarkStart w:id="0" w:name="_Hlk56430928"/>
      <w:r w:rsidRPr="00BB7A09">
        <w:rPr>
          <w:rFonts w:cs="Arial"/>
        </w:rPr>
        <w:t>California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Department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of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Education</w:t>
      </w:r>
      <w:r w:rsidR="00DE1807">
        <w:rPr>
          <w:rFonts w:cs="Arial"/>
        </w:rPr>
        <w:tab/>
      </w:r>
      <w:r w:rsidRPr="00BB7A09">
        <w:rPr>
          <w:rFonts w:cs="Arial"/>
        </w:rPr>
        <w:t>m</w:t>
      </w:r>
      <w:r w:rsidRPr="00BB7A09">
        <w:rPr>
          <w:rFonts w:cs="Arial"/>
          <w:szCs w:val="18"/>
        </w:rPr>
        <w:t>emo-</w:t>
      </w:r>
      <w:r w:rsidR="00A105CA">
        <w:rPr>
          <w:rFonts w:cs="Arial"/>
          <w:noProof/>
          <w:szCs w:val="18"/>
        </w:rPr>
        <w:t>imb</w:t>
      </w:r>
      <w:r w:rsidRPr="00BB7A09">
        <w:rPr>
          <w:rFonts w:cs="Arial"/>
          <w:szCs w:val="18"/>
        </w:rPr>
        <w:t>-</w:t>
      </w:r>
      <w:r w:rsidRPr="00BB7A09">
        <w:rPr>
          <w:rFonts w:cs="Arial"/>
          <w:noProof/>
          <w:szCs w:val="18"/>
        </w:rPr>
        <w:t>cpag</w:t>
      </w:r>
      <w:r w:rsidRPr="00BB7A09">
        <w:rPr>
          <w:rFonts w:cs="Arial"/>
          <w:szCs w:val="18"/>
        </w:rPr>
        <w:t>-</w:t>
      </w:r>
      <w:r w:rsidR="000E7B54" w:rsidRPr="00BB7A09">
        <w:rPr>
          <w:rFonts w:cs="Arial"/>
          <w:szCs w:val="18"/>
        </w:rPr>
        <w:t>feb21</w:t>
      </w:r>
      <w:r w:rsidRPr="00BB7A09">
        <w:rPr>
          <w:rFonts w:cs="Arial"/>
          <w:szCs w:val="18"/>
        </w:rPr>
        <w:t>item0</w:t>
      </w:r>
      <w:r w:rsidR="000E7B54" w:rsidRPr="00BB7A09">
        <w:rPr>
          <w:rFonts w:cs="Arial"/>
          <w:szCs w:val="18"/>
        </w:rPr>
        <w:t>2</w:t>
      </w:r>
    </w:p>
    <w:p w14:paraId="1CAF1CB7" w14:textId="0A57009D" w:rsidR="00C57EDC" w:rsidRPr="00BB7A09" w:rsidRDefault="00C57EDC" w:rsidP="00C57EDC">
      <w:pPr>
        <w:rPr>
          <w:rFonts w:cs="Arial"/>
        </w:rPr>
      </w:pPr>
      <w:r w:rsidRPr="00BB7A09">
        <w:rPr>
          <w:rFonts w:cs="Arial"/>
        </w:rPr>
        <w:t>Executive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Office</w:t>
      </w:r>
    </w:p>
    <w:p w14:paraId="24E2896F" w14:textId="214BD2DF" w:rsidR="00C57EDC" w:rsidRPr="00BB7A09" w:rsidRDefault="00C57EDC" w:rsidP="00C57EDC">
      <w:pPr>
        <w:rPr>
          <w:rFonts w:cs="Arial"/>
          <w:sz w:val="40"/>
          <w:szCs w:val="52"/>
        </w:rPr>
      </w:pPr>
      <w:r w:rsidRPr="00BB7A09">
        <w:rPr>
          <w:rFonts w:cs="Arial"/>
        </w:rPr>
        <w:t>SBE-002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(REV.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11/2017)</w:t>
      </w:r>
    </w:p>
    <w:p w14:paraId="61C23185" w14:textId="2175E31C" w:rsidR="00E16CDF" w:rsidRPr="00BB7A09" w:rsidRDefault="00E16CDF" w:rsidP="00C57EDC">
      <w:pPr>
        <w:pStyle w:val="Heading1"/>
        <w:spacing w:before="240" w:line="360" w:lineRule="auto"/>
        <w:rPr>
          <w:rFonts w:cs="Arial"/>
          <w:b w:val="0"/>
          <w:sz w:val="40"/>
          <w:szCs w:val="52"/>
        </w:rPr>
      </w:pPr>
      <w:r w:rsidRPr="00BB7A09">
        <w:rPr>
          <w:rFonts w:cs="Arial"/>
          <w:sz w:val="40"/>
          <w:szCs w:val="52"/>
        </w:rPr>
        <w:t>MEMORANDUM</w:t>
      </w:r>
      <w:r w:rsidR="00627DA5">
        <w:rPr>
          <w:rFonts w:cs="Arial"/>
          <w:sz w:val="40"/>
          <w:szCs w:val="52"/>
        </w:rPr>
        <w:t xml:space="preserve"> </w:t>
      </w:r>
    </w:p>
    <w:p w14:paraId="1A4FB02C" w14:textId="234220ED" w:rsidR="00E16CDF" w:rsidRPr="00BB7A09" w:rsidRDefault="00E16CDF" w:rsidP="00B415C0">
      <w:pPr>
        <w:pStyle w:val="MessageHeader"/>
        <w:rPr>
          <w:rFonts w:cs="Arial"/>
        </w:rPr>
      </w:pPr>
      <w:r w:rsidRPr="00BB7A09">
        <w:rPr>
          <w:rFonts w:cs="Arial"/>
          <w:b/>
        </w:rPr>
        <w:t>DATE:</w:t>
      </w:r>
      <w:r w:rsidRPr="00BB7A09">
        <w:rPr>
          <w:rFonts w:cs="Arial"/>
        </w:rPr>
        <w:tab/>
      </w:r>
      <w:r w:rsidR="000E7B54" w:rsidRPr="00BB7A09">
        <w:rPr>
          <w:rFonts w:cs="Arial"/>
        </w:rPr>
        <w:t>February</w:t>
      </w:r>
      <w:r w:rsidR="00627DA5">
        <w:rPr>
          <w:rFonts w:cs="Arial"/>
        </w:rPr>
        <w:t xml:space="preserve"> </w:t>
      </w:r>
      <w:r w:rsidR="00E14972">
        <w:rPr>
          <w:rFonts w:cs="Arial"/>
        </w:rPr>
        <w:t>5</w:t>
      </w:r>
      <w:r w:rsidR="00C0226F" w:rsidRPr="00BB7A09">
        <w:rPr>
          <w:rFonts w:cs="Arial"/>
        </w:rPr>
        <w:t>,</w:t>
      </w:r>
      <w:r w:rsidR="00627DA5">
        <w:rPr>
          <w:rFonts w:cs="Arial"/>
        </w:rPr>
        <w:t xml:space="preserve"> </w:t>
      </w:r>
      <w:r w:rsidR="006068A5" w:rsidRPr="00BB7A09">
        <w:rPr>
          <w:rFonts w:cs="Arial"/>
        </w:rPr>
        <w:t>20</w:t>
      </w:r>
      <w:r w:rsidR="00BB285A" w:rsidRPr="00BB7A09">
        <w:rPr>
          <w:rFonts w:cs="Arial"/>
        </w:rPr>
        <w:t>2</w:t>
      </w:r>
      <w:r w:rsidR="000E7B54" w:rsidRPr="00BB7A09">
        <w:rPr>
          <w:rFonts w:cs="Arial"/>
        </w:rPr>
        <w:t>1</w:t>
      </w:r>
    </w:p>
    <w:p w14:paraId="6376AB25" w14:textId="41F59AC0" w:rsidR="00E16CDF" w:rsidRPr="00BB7A09" w:rsidRDefault="00E16CDF" w:rsidP="00B415C0">
      <w:pPr>
        <w:pStyle w:val="MessageHeader"/>
        <w:rPr>
          <w:rFonts w:cs="Arial"/>
        </w:rPr>
      </w:pPr>
      <w:r w:rsidRPr="00BB7A09">
        <w:rPr>
          <w:rFonts w:cs="Arial"/>
          <w:b/>
        </w:rPr>
        <w:t>TO:</w:t>
      </w:r>
      <w:r w:rsidRPr="00BB7A09">
        <w:rPr>
          <w:rFonts w:cs="Arial"/>
          <w:b/>
        </w:rPr>
        <w:tab/>
      </w:r>
      <w:r w:rsidRPr="00BB7A09">
        <w:rPr>
          <w:rFonts w:cs="Arial"/>
        </w:rPr>
        <w:t>MEMBERS,</w:t>
      </w:r>
      <w:r w:rsidR="00627DA5">
        <w:rPr>
          <w:rFonts w:cs="Arial"/>
        </w:rPr>
        <w:t xml:space="preserve"> </w:t>
      </w:r>
      <w:r w:rsidRPr="00BB7A09">
        <w:rPr>
          <w:rFonts w:cs="Arial"/>
        </w:rPr>
        <w:t>Californ</w:t>
      </w:r>
      <w:r w:rsidR="00BD18B3" w:rsidRPr="00BB7A09">
        <w:rPr>
          <w:rFonts w:cs="Arial"/>
        </w:rPr>
        <w:t>ia</w:t>
      </w:r>
      <w:r w:rsidR="00627DA5">
        <w:rPr>
          <w:rFonts w:cs="Arial"/>
        </w:rPr>
        <w:t xml:space="preserve"> </w:t>
      </w:r>
      <w:r w:rsidR="00BD18B3" w:rsidRPr="00BB7A09">
        <w:rPr>
          <w:rFonts w:cs="Arial"/>
        </w:rPr>
        <w:t>Practitioners</w:t>
      </w:r>
      <w:r w:rsidR="00627DA5">
        <w:rPr>
          <w:rFonts w:cs="Arial"/>
        </w:rPr>
        <w:t xml:space="preserve"> </w:t>
      </w:r>
      <w:r w:rsidR="00BD18B3" w:rsidRPr="00BB7A09">
        <w:rPr>
          <w:rFonts w:cs="Arial"/>
        </w:rPr>
        <w:t>Advisory</w:t>
      </w:r>
      <w:r w:rsidR="00627DA5">
        <w:rPr>
          <w:rFonts w:cs="Arial"/>
        </w:rPr>
        <w:t xml:space="preserve"> </w:t>
      </w:r>
      <w:r w:rsidR="00BD18B3" w:rsidRPr="00BB7A09">
        <w:rPr>
          <w:rFonts w:cs="Arial"/>
        </w:rPr>
        <w:t>Group</w:t>
      </w:r>
    </w:p>
    <w:p w14:paraId="4DDDDF4D" w14:textId="582C8AE0" w:rsidR="00E16CDF" w:rsidRPr="00BB7A09" w:rsidRDefault="00E16CDF" w:rsidP="00B415C0">
      <w:pPr>
        <w:pStyle w:val="MessageHeader"/>
        <w:rPr>
          <w:rFonts w:cs="Arial"/>
        </w:rPr>
      </w:pPr>
      <w:r w:rsidRPr="00BB7A09">
        <w:rPr>
          <w:rFonts w:cs="Arial"/>
          <w:b/>
        </w:rPr>
        <w:t>FROM:</w:t>
      </w:r>
      <w:r w:rsidRPr="00BB7A09">
        <w:rPr>
          <w:rFonts w:cs="Arial"/>
        </w:rPr>
        <w:tab/>
      </w:r>
      <w:r w:rsidR="00333049" w:rsidRPr="00BB7A09">
        <w:rPr>
          <w:rFonts w:cs="Arial"/>
          <w:noProof/>
        </w:rPr>
        <w:t>STAFF</w:t>
      </w:r>
      <w:r w:rsidRPr="00BB7A09">
        <w:rPr>
          <w:rFonts w:cs="Arial"/>
          <w:noProof/>
        </w:rPr>
        <w:t>,</w:t>
      </w:r>
      <w:r w:rsidR="00627DA5">
        <w:rPr>
          <w:rFonts w:cs="Arial"/>
          <w:noProof/>
        </w:rPr>
        <w:t xml:space="preserve"> </w:t>
      </w:r>
      <w:r w:rsidRPr="00BB7A09">
        <w:rPr>
          <w:rFonts w:cs="Arial"/>
          <w:noProof/>
        </w:rPr>
        <w:t>California</w:t>
      </w:r>
      <w:r w:rsidR="00627DA5">
        <w:rPr>
          <w:rFonts w:cs="Arial"/>
          <w:noProof/>
        </w:rPr>
        <w:t xml:space="preserve"> </w:t>
      </w:r>
      <w:r w:rsidRPr="00BB7A09">
        <w:rPr>
          <w:rFonts w:cs="Arial"/>
          <w:noProof/>
        </w:rPr>
        <w:t>Department</w:t>
      </w:r>
      <w:r w:rsidR="00627DA5">
        <w:rPr>
          <w:rFonts w:cs="Arial"/>
          <w:noProof/>
        </w:rPr>
        <w:t xml:space="preserve"> </w:t>
      </w:r>
      <w:r w:rsidRPr="00BB7A09">
        <w:rPr>
          <w:rFonts w:cs="Arial"/>
          <w:noProof/>
        </w:rPr>
        <w:t>of</w:t>
      </w:r>
      <w:r w:rsidR="00627DA5">
        <w:rPr>
          <w:rFonts w:cs="Arial"/>
          <w:noProof/>
        </w:rPr>
        <w:t xml:space="preserve"> </w:t>
      </w:r>
      <w:r w:rsidRPr="00BB7A09">
        <w:rPr>
          <w:rFonts w:cs="Arial"/>
          <w:noProof/>
        </w:rPr>
        <w:t>Education</w:t>
      </w:r>
    </w:p>
    <w:p w14:paraId="39784334" w14:textId="5C194AD3" w:rsidR="00E16CDF" w:rsidRPr="009361E6" w:rsidRDefault="00E16CDF" w:rsidP="00ED591E">
      <w:pPr>
        <w:ind w:left="1440" w:hanging="1440"/>
        <w:rPr>
          <w:bCs/>
        </w:rPr>
      </w:pPr>
      <w:r w:rsidRPr="00ED591E">
        <w:rPr>
          <w:b/>
          <w:bCs/>
        </w:rPr>
        <w:t>SUBJECT:</w:t>
      </w:r>
      <w:r w:rsidR="00C5536B" w:rsidRPr="009361E6">
        <w:rPr>
          <w:bCs/>
        </w:rPr>
        <w:tab/>
      </w:r>
      <w:r w:rsidR="000E7B54" w:rsidRPr="00ED591E">
        <w:rPr>
          <w:rStyle w:val="normaltextrun"/>
        </w:rPr>
        <w:t>Information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Item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Related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to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California’s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State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and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Federal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Accountability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System: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The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2021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Accountability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Work</w:t>
      </w:r>
      <w:r w:rsidR="00627DA5">
        <w:rPr>
          <w:rStyle w:val="normaltextrun"/>
        </w:rPr>
        <w:t xml:space="preserve"> </w:t>
      </w:r>
      <w:r w:rsidR="000E7B54" w:rsidRPr="00ED591E">
        <w:rPr>
          <w:rStyle w:val="normaltextrun"/>
        </w:rPr>
        <w:t>Plan</w:t>
      </w:r>
    </w:p>
    <w:p w14:paraId="3DFFDE58" w14:textId="07709343" w:rsidR="00D63853" w:rsidRDefault="00D63853" w:rsidP="00D63853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</w:rPr>
        <w:t>T</w:t>
      </w:r>
      <w:r w:rsidRPr="36927DA2">
        <w:rPr>
          <w:rStyle w:val="normaltextrun"/>
          <w:rFonts w:ascii="Arial" w:eastAsiaTheme="majorEastAsia" w:hAnsi="Arial" w:cs="Arial"/>
        </w:rPr>
        <w:t>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California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Department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Education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(CDE)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committed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report</w:t>
      </w:r>
      <w:r>
        <w:rPr>
          <w:rStyle w:val="normaltextrun"/>
          <w:rFonts w:ascii="Arial" w:eastAsiaTheme="majorEastAsia" w:hAnsi="Arial" w:cs="Arial"/>
        </w:rPr>
        <w:t>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valid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reliable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data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assist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local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educational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agencies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(L</w:t>
      </w:r>
      <w:r w:rsidRPr="36927DA2">
        <w:rPr>
          <w:rStyle w:val="normaltextrun"/>
          <w:rFonts w:ascii="Arial" w:eastAsiaTheme="majorEastAsia" w:hAnsi="Arial" w:cs="Arial"/>
        </w:rPr>
        <w:t>EAs</w:t>
      </w:r>
      <w:r>
        <w:rPr>
          <w:rStyle w:val="normaltextrun"/>
          <w:rFonts w:ascii="Arial" w:eastAsiaTheme="majorEastAsia" w:hAnsi="Arial" w:cs="Arial"/>
        </w:rPr>
        <w:t>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develop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their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local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control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accountability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plans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(LCAPs)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D2533">
        <w:rPr>
          <w:rStyle w:val="normaltextrun"/>
          <w:rFonts w:ascii="Arial" w:eastAsiaTheme="majorEastAsia" w:hAnsi="Arial" w:cs="Arial"/>
        </w:rPr>
        <w:t>i</w:t>
      </w:r>
      <w:r>
        <w:rPr>
          <w:rStyle w:val="normaltextrun"/>
          <w:rFonts w:ascii="Arial" w:eastAsiaTheme="majorEastAsia" w:hAnsi="Arial" w:cs="Arial"/>
        </w:rPr>
        <w:t>mproving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student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achievement</w:t>
      </w:r>
      <w:r w:rsidRPr="36927DA2">
        <w:rPr>
          <w:rStyle w:val="normaltextrun"/>
          <w:rFonts w:ascii="Arial" w:eastAsiaTheme="majorEastAsia" w:hAnsi="Arial" w:cs="Arial"/>
        </w:rPr>
        <w:t>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The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CDE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recently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published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all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measures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(data)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from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the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2019</w:t>
      </w:r>
      <w:r w:rsidR="009361E6">
        <w:rPr>
          <w:rFonts w:ascii="Arial" w:eastAsiaTheme="majorEastAsia" w:hAnsi="Arial" w:cs="Arial"/>
        </w:rPr>
        <w:t>–</w:t>
      </w:r>
      <w:r w:rsidRPr="00162702">
        <w:rPr>
          <w:rFonts w:ascii="Arial" w:eastAsiaTheme="majorEastAsia" w:hAnsi="Arial" w:cs="Arial"/>
        </w:rPr>
        <w:t>20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academic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year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that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were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determined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to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be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valid</w:t>
      </w:r>
      <w:r w:rsidR="00627DA5">
        <w:rPr>
          <w:rFonts w:ascii="Arial" w:eastAsiaTheme="majorEastAsia" w:hAnsi="Arial" w:cs="Arial"/>
        </w:rPr>
        <w:t xml:space="preserve"> </w:t>
      </w:r>
      <w:r w:rsidRPr="00162702">
        <w:rPr>
          <w:rFonts w:ascii="Arial" w:eastAsiaTheme="majorEastAsia" w:hAnsi="Arial" w:cs="Arial"/>
        </w:rPr>
        <w:t>and</w:t>
      </w:r>
      <w:r w:rsidR="00627DA5">
        <w:rPr>
          <w:rFonts w:ascii="Arial" w:eastAsiaTheme="majorEastAsia" w:hAnsi="Arial" w:cs="Arial"/>
        </w:rPr>
        <w:t xml:space="preserve"> </w:t>
      </w:r>
      <w:proofErr w:type="gramStart"/>
      <w:r w:rsidRPr="00162702">
        <w:rPr>
          <w:rFonts w:ascii="Arial" w:eastAsiaTheme="majorEastAsia" w:hAnsi="Arial" w:cs="Arial"/>
        </w:rPr>
        <w:t>reliable</w:t>
      </w:r>
      <w:proofErr w:type="gramEnd"/>
      <w:r w:rsidRPr="00162702">
        <w:rPr>
          <w:rFonts w:ascii="Arial" w:eastAsiaTheme="majorEastAsia" w:hAnsi="Arial" w:cs="Arial"/>
        </w:rPr>
        <w:t>.</w:t>
      </w:r>
      <w:r w:rsidR="00627DA5">
        <w:rPr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summary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available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data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proofErr w:type="gramStart"/>
      <w:r>
        <w:rPr>
          <w:rStyle w:val="normaltextrun"/>
          <w:rFonts w:ascii="Arial" w:eastAsiaTheme="majorEastAsia" w:hAnsi="Arial" w:cs="Arial"/>
        </w:rPr>
        <w:t>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included</w:t>
      </w:r>
      <w:proofErr w:type="gramEnd"/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COVID-19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Data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Reporting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web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page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404B1" w:rsidRPr="00021D95">
        <w:rPr>
          <w:rFonts w:ascii="Arial" w:eastAsiaTheme="majorEastAsia" w:hAnsi="Arial" w:cs="Arial"/>
          <w:strike/>
        </w:rPr>
        <w:t>https://www.cde.ca.gov/ls/he/hn/coviddatareporting.asp</w:t>
      </w:r>
      <w:r w:rsidR="00021D95">
        <w:rPr>
          <w:rFonts w:ascii="Arial" w:eastAsiaTheme="majorEastAsia" w:hAnsi="Arial" w:cs="Arial"/>
          <w:strike/>
        </w:rPr>
        <w:t>.</w:t>
      </w:r>
      <w:r w:rsidR="00C404B1">
        <w:rPr>
          <w:rFonts w:ascii="Arial" w:eastAsiaTheme="majorEastAsia" w:hAnsi="Arial" w:cs="Arial"/>
        </w:rPr>
        <w:t xml:space="preserve"> </w:t>
      </w:r>
      <w:r w:rsidR="00C404B1" w:rsidRPr="00C404B1">
        <w:rPr>
          <w:rFonts w:ascii="Arial" w:eastAsiaTheme="majorEastAsia" w:hAnsi="Arial" w:cs="Arial"/>
        </w:rPr>
        <w:t>[The</w:t>
      </w:r>
      <w:r w:rsidR="00C404B1">
        <w:rPr>
          <w:rStyle w:val="normaltextrun"/>
          <w:rFonts w:ascii="Arial" w:eastAsiaTheme="majorEastAsia" w:hAnsi="Arial" w:cs="Arial"/>
        </w:rPr>
        <w:t xml:space="preserve"> preceding link is no longer available.]</w:t>
      </w:r>
    </w:p>
    <w:p w14:paraId="5EBD82F3" w14:textId="5BCDE6F4" w:rsidR="00A76ABD" w:rsidRPr="00627DA5" w:rsidRDefault="00A76ABD" w:rsidP="002D4A4C">
      <w:pPr>
        <w:pStyle w:val="Heading2"/>
      </w:pPr>
      <w:r w:rsidRPr="002D4A4C">
        <w:t>Summary</w:t>
      </w:r>
    </w:p>
    <w:p w14:paraId="672A6659" w14:textId="6F1E6372" w:rsidR="00866616" w:rsidRPr="00BB7A09" w:rsidRDefault="00D63853" w:rsidP="002D4A4C">
      <w:pPr>
        <w:pStyle w:val="paragraph"/>
        <w:spacing w:before="240" w:beforeAutospacing="0" w:after="0" w:afterAutospacing="0"/>
        <w:textAlignment w:val="baseline"/>
        <w:rPr>
          <w:rFonts w:cs="Arial"/>
        </w:rPr>
      </w:pPr>
      <w:r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CDE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proposing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following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activities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for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36927DA2">
        <w:rPr>
          <w:rStyle w:val="normaltextrun"/>
          <w:rFonts w:ascii="Arial" w:eastAsiaTheme="majorEastAsia" w:hAnsi="Arial" w:cs="Arial"/>
        </w:rPr>
        <w:t>2021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that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will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proofErr w:type="gramStart"/>
      <w:r>
        <w:rPr>
          <w:rStyle w:val="normaltextrun"/>
          <w:rFonts w:ascii="Arial" w:eastAsiaTheme="majorEastAsia" w:hAnsi="Arial" w:cs="Arial"/>
        </w:rPr>
        <w:t>be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considered</w:t>
      </w:r>
      <w:proofErr w:type="gramEnd"/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by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State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Board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Education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(SBE)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>
        <w:rPr>
          <w:rStyle w:val="normaltextrun"/>
          <w:rFonts w:ascii="Arial" w:eastAsiaTheme="majorEastAsia" w:hAnsi="Arial" w:cs="Arial"/>
        </w:rPr>
        <w:t>the</w:t>
      </w:r>
      <w:r w:rsidRPr="00337835">
        <w:rPr>
          <w:rStyle w:val="normaltextrun"/>
          <w:rFonts w:eastAsiaTheme="majorEastAsia" w:cs="Arial"/>
        </w:rPr>
        <w:t>ir</w:t>
      </w:r>
      <w:r w:rsidR="00627DA5">
        <w:rPr>
          <w:rStyle w:val="normaltextrun"/>
          <w:rFonts w:eastAsiaTheme="majorEastAsia" w:cs="Arial"/>
        </w:rPr>
        <w:t xml:space="preserve"> </w:t>
      </w:r>
      <w:r w:rsidRPr="00337835">
        <w:rPr>
          <w:rStyle w:val="normaltextrun"/>
          <w:rFonts w:ascii="Arial" w:eastAsiaTheme="majorEastAsia" w:hAnsi="Arial" w:cs="Arial"/>
        </w:rPr>
        <w:t>March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00337835">
        <w:rPr>
          <w:rStyle w:val="normaltextrun"/>
          <w:rFonts w:ascii="Arial" w:eastAsiaTheme="majorEastAsia" w:hAnsi="Arial" w:cs="Arial"/>
        </w:rPr>
        <w:t>2021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00337835">
        <w:rPr>
          <w:rStyle w:val="normaltextrun"/>
          <w:rFonts w:ascii="Arial" w:eastAsiaTheme="majorEastAsia" w:hAnsi="Arial" w:cs="Arial"/>
        </w:rPr>
        <w:t>meeting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A76ABD" w:rsidRPr="00337835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A76ABD" w:rsidRPr="00337835">
        <w:rPr>
          <w:rStyle w:val="normaltextrun"/>
          <w:rFonts w:ascii="Arial" w:eastAsiaTheme="majorEastAsia" w:hAnsi="Arial" w:cs="Arial"/>
        </w:rPr>
        <w:t>requests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A76ABD" w:rsidRPr="00337835">
        <w:rPr>
          <w:rStyle w:val="normaltextrun"/>
          <w:rFonts w:ascii="Arial" w:eastAsiaTheme="majorEastAsia" w:hAnsi="Arial" w:cs="Arial"/>
        </w:rPr>
        <w:t>that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A76ABD" w:rsidRPr="00337835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9F72A2" w:rsidRPr="00A76ABD">
        <w:rPr>
          <w:rFonts w:ascii="Arial" w:hAnsi="Arial" w:cs="Arial"/>
        </w:rPr>
        <w:t>California</w:t>
      </w:r>
      <w:r w:rsidR="00627DA5">
        <w:rPr>
          <w:rFonts w:ascii="Arial" w:hAnsi="Arial" w:cs="Arial"/>
        </w:rPr>
        <w:t xml:space="preserve"> </w:t>
      </w:r>
      <w:r w:rsidR="009F72A2" w:rsidRPr="00A76ABD">
        <w:rPr>
          <w:rFonts w:ascii="Arial" w:hAnsi="Arial" w:cs="Arial"/>
        </w:rPr>
        <w:t>Practitioners</w:t>
      </w:r>
      <w:r w:rsidR="00627DA5">
        <w:rPr>
          <w:rFonts w:ascii="Arial" w:hAnsi="Arial" w:cs="Arial"/>
        </w:rPr>
        <w:t xml:space="preserve"> </w:t>
      </w:r>
      <w:r w:rsidR="009F72A2" w:rsidRPr="00A76ABD">
        <w:rPr>
          <w:rFonts w:ascii="Arial" w:hAnsi="Arial" w:cs="Arial"/>
        </w:rPr>
        <w:t>Advisory</w:t>
      </w:r>
      <w:r w:rsidR="00627DA5">
        <w:rPr>
          <w:rFonts w:ascii="Arial" w:hAnsi="Arial" w:cs="Arial"/>
        </w:rPr>
        <w:t xml:space="preserve"> </w:t>
      </w:r>
      <w:r w:rsidR="009F72A2" w:rsidRPr="00A76ABD">
        <w:rPr>
          <w:rFonts w:ascii="Arial" w:hAnsi="Arial" w:cs="Arial"/>
        </w:rPr>
        <w:t>Group</w:t>
      </w:r>
      <w:r w:rsidR="00627DA5">
        <w:rPr>
          <w:rFonts w:ascii="Arial" w:hAnsi="Arial" w:cs="Arial"/>
        </w:rPr>
        <w:t xml:space="preserve"> </w:t>
      </w:r>
      <w:r w:rsidR="0050314E" w:rsidRPr="00A76ABD">
        <w:rPr>
          <w:rFonts w:ascii="Arial" w:hAnsi="Arial" w:cs="Arial"/>
        </w:rPr>
        <w:t>(CPAG)</w:t>
      </w:r>
      <w:r w:rsidR="00627DA5">
        <w:rPr>
          <w:rFonts w:ascii="Arial" w:hAnsi="Arial" w:cs="Arial"/>
        </w:rPr>
        <w:t xml:space="preserve"> </w:t>
      </w:r>
      <w:r w:rsidR="009F72A2" w:rsidRPr="00A76ABD">
        <w:rPr>
          <w:rFonts w:ascii="Arial" w:hAnsi="Arial" w:cs="Arial"/>
        </w:rPr>
        <w:t>members</w:t>
      </w:r>
      <w:r w:rsidR="00627DA5">
        <w:rPr>
          <w:rFonts w:ascii="Arial" w:hAnsi="Arial" w:cs="Arial"/>
        </w:rPr>
        <w:t xml:space="preserve"> </w:t>
      </w:r>
      <w:r w:rsidR="00A76ABD" w:rsidRPr="00A76ABD">
        <w:rPr>
          <w:rFonts w:ascii="Arial" w:hAnsi="Arial" w:cs="Arial"/>
        </w:rPr>
        <w:t>provide</w:t>
      </w:r>
      <w:r w:rsidR="00627DA5">
        <w:rPr>
          <w:rFonts w:ascii="Arial" w:hAnsi="Arial" w:cs="Arial"/>
        </w:rPr>
        <w:t xml:space="preserve"> </w:t>
      </w:r>
      <w:r w:rsidR="00A76ABD" w:rsidRPr="00A76ABD">
        <w:rPr>
          <w:rFonts w:ascii="Arial" w:hAnsi="Arial" w:cs="Arial"/>
        </w:rPr>
        <w:t>feedback</w:t>
      </w:r>
      <w:r w:rsidR="00627DA5">
        <w:rPr>
          <w:rFonts w:ascii="Arial" w:hAnsi="Arial" w:cs="Arial"/>
        </w:rPr>
        <w:t xml:space="preserve"> </w:t>
      </w:r>
      <w:r w:rsidR="00A76ABD" w:rsidRPr="00A76ABD">
        <w:rPr>
          <w:rFonts w:ascii="Arial" w:hAnsi="Arial" w:cs="Arial"/>
        </w:rPr>
        <w:t>on</w:t>
      </w:r>
      <w:r w:rsidR="00627DA5">
        <w:rPr>
          <w:rFonts w:ascii="Arial" w:hAnsi="Arial" w:cs="Arial"/>
        </w:rPr>
        <w:t xml:space="preserve"> </w:t>
      </w:r>
      <w:r w:rsidR="00A76ABD" w:rsidRPr="00A76ABD">
        <w:rPr>
          <w:rFonts w:ascii="Arial" w:hAnsi="Arial" w:cs="Arial"/>
        </w:rPr>
        <w:t>t</w:t>
      </w:r>
      <w:r w:rsidR="000E7B54" w:rsidRPr="00A76ABD">
        <w:rPr>
          <w:rFonts w:ascii="Arial" w:hAnsi="Arial" w:cs="Arial"/>
        </w:rPr>
        <w:t>he</w:t>
      </w:r>
      <w:r w:rsidR="00627DA5">
        <w:rPr>
          <w:rFonts w:ascii="Arial" w:hAnsi="Arial" w:cs="Arial"/>
        </w:rPr>
        <w:t xml:space="preserve"> </w:t>
      </w:r>
      <w:r w:rsidR="000E7B54" w:rsidRPr="00A76ABD">
        <w:rPr>
          <w:rFonts w:ascii="Arial" w:hAnsi="Arial" w:cs="Arial"/>
        </w:rPr>
        <w:t>2021</w:t>
      </w:r>
      <w:r w:rsidR="00627DA5">
        <w:rPr>
          <w:rFonts w:ascii="Arial" w:hAnsi="Arial" w:cs="Arial"/>
        </w:rPr>
        <w:t xml:space="preserve"> </w:t>
      </w:r>
      <w:r w:rsidR="000E7B54" w:rsidRPr="00A76ABD">
        <w:rPr>
          <w:rFonts w:ascii="Arial" w:hAnsi="Arial" w:cs="Arial"/>
        </w:rPr>
        <w:t>accountability</w:t>
      </w:r>
      <w:r w:rsidR="00627DA5">
        <w:rPr>
          <w:rFonts w:ascii="Arial" w:hAnsi="Arial" w:cs="Arial"/>
        </w:rPr>
        <w:t xml:space="preserve"> </w:t>
      </w:r>
      <w:r w:rsidR="000E7B54" w:rsidRPr="00A76ABD">
        <w:rPr>
          <w:rFonts w:ascii="Arial" w:hAnsi="Arial" w:cs="Arial"/>
        </w:rPr>
        <w:t>work</w:t>
      </w:r>
      <w:r w:rsidR="00627DA5">
        <w:rPr>
          <w:rFonts w:ascii="Arial" w:hAnsi="Arial" w:cs="Arial"/>
        </w:rPr>
        <w:t xml:space="preserve"> </w:t>
      </w:r>
      <w:r w:rsidR="000E7B54" w:rsidRPr="00A76ABD">
        <w:rPr>
          <w:rFonts w:ascii="Arial" w:hAnsi="Arial" w:cs="Arial"/>
        </w:rPr>
        <w:t>plan</w:t>
      </w:r>
      <w:r w:rsidR="00DF3D92" w:rsidRPr="00A76ABD">
        <w:rPr>
          <w:rFonts w:ascii="Arial" w:hAnsi="Arial" w:cs="Arial"/>
        </w:rPr>
        <w:t>,</w:t>
      </w:r>
      <w:r w:rsidR="00627DA5">
        <w:rPr>
          <w:rFonts w:ascii="Arial" w:hAnsi="Arial" w:cs="Arial"/>
        </w:rPr>
        <w:t xml:space="preserve"> </w:t>
      </w:r>
      <w:r w:rsidR="00DF3D92" w:rsidRPr="00A76ABD">
        <w:rPr>
          <w:rFonts w:ascii="Arial" w:hAnsi="Arial" w:cs="Arial"/>
        </w:rPr>
        <w:t>which</w:t>
      </w:r>
      <w:r w:rsidR="00627DA5">
        <w:rPr>
          <w:rFonts w:ascii="Arial" w:hAnsi="Arial" w:cs="Arial"/>
        </w:rPr>
        <w:t xml:space="preserve"> </w:t>
      </w:r>
      <w:r w:rsidR="00DF3D92" w:rsidRPr="00A76ABD">
        <w:rPr>
          <w:rFonts w:ascii="Arial" w:hAnsi="Arial" w:cs="Arial"/>
        </w:rPr>
        <w:t>includes:</w:t>
      </w:r>
    </w:p>
    <w:p w14:paraId="6D77B586" w14:textId="08FD4E06" w:rsidR="002D4A4C" w:rsidRPr="00BB7A09" w:rsidRDefault="00F600D7" w:rsidP="002D4A4C">
      <w:pPr>
        <w:pStyle w:val="ListParagraph"/>
      </w:pPr>
      <w:r>
        <w:t>O</w:t>
      </w:r>
      <w:r w:rsidR="00C86217">
        <w:t>ptions</w:t>
      </w:r>
      <w:r w:rsidR="00627DA5">
        <w:t xml:space="preserve"> </w:t>
      </w:r>
      <w:r w:rsidR="00C86217">
        <w:t>for</w:t>
      </w:r>
      <w:r w:rsidR="00627DA5">
        <w:t xml:space="preserve"> </w:t>
      </w:r>
      <w:r w:rsidR="00C86217">
        <w:t>reporting</w:t>
      </w:r>
      <w:r w:rsidR="00627DA5">
        <w:t xml:space="preserve"> </w:t>
      </w:r>
      <w:r w:rsidR="00C86217">
        <w:t>local</w:t>
      </w:r>
      <w:r w:rsidR="00627DA5">
        <w:t xml:space="preserve"> </w:t>
      </w:r>
      <w:r w:rsidR="00C86217">
        <w:t>and</w:t>
      </w:r>
      <w:r w:rsidR="00627DA5">
        <w:t xml:space="preserve"> </w:t>
      </w:r>
      <w:r w:rsidR="00C86217">
        <w:t>state</w:t>
      </w:r>
      <w:r w:rsidR="00627DA5">
        <w:t xml:space="preserve"> </w:t>
      </w:r>
      <w:r w:rsidR="00C86217">
        <w:t>indicator</w:t>
      </w:r>
      <w:r w:rsidR="00627DA5">
        <w:t xml:space="preserve"> </w:t>
      </w:r>
      <w:r w:rsidR="00C86217">
        <w:t>data</w:t>
      </w:r>
      <w:r w:rsidR="041D6F4C">
        <w:t>,</w:t>
      </w:r>
      <w:r w:rsidR="00627DA5">
        <w:t xml:space="preserve"> </w:t>
      </w:r>
      <w:r w:rsidR="4683FF33">
        <w:t>including</w:t>
      </w:r>
      <w:r w:rsidR="00627DA5">
        <w:t xml:space="preserve"> </w:t>
      </w:r>
      <w:r w:rsidR="4683FF33">
        <w:t>teacher</w:t>
      </w:r>
      <w:r w:rsidR="00627DA5">
        <w:t xml:space="preserve"> </w:t>
      </w:r>
      <w:r w:rsidR="4683FF33">
        <w:t>data</w:t>
      </w:r>
      <w:r w:rsidR="00627DA5">
        <w:t xml:space="preserve"> </w:t>
      </w:r>
      <w:r w:rsidR="4683FF33">
        <w:t>under</w:t>
      </w:r>
      <w:r w:rsidR="00627DA5">
        <w:t xml:space="preserve"> </w:t>
      </w:r>
      <w:r w:rsidR="4683FF33">
        <w:t>the</w:t>
      </w:r>
      <w:r w:rsidR="00627DA5">
        <w:t xml:space="preserve"> </w:t>
      </w:r>
      <w:r w:rsidR="4683FF33">
        <w:t>Local</w:t>
      </w:r>
      <w:r w:rsidR="00627DA5">
        <w:t xml:space="preserve"> </w:t>
      </w:r>
      <w:r w:rsidR="4683FF33">
        <w:t>Control</w:t>
      </w:r>
      <w:r w:rsidR="00627DA5">
        <w:t xml:space="preserve"> </w:t>
      </w:r>
      <w:r w:rsidR="4683FF33">
        <w:t>Funding</w:t>
      </w:r>
      <w:r w:rsidR="00627DA5">
        <w:t xml:space="preserve"> </w:t>
      </w:r>
      <w:r w:rsidR="4683FF33">
        <w:t>Formula</w:t>
      </w:r>
      <w:r w:rsidR="00627DA5">
        <w:t xml:space="preserve"> </w:t>
      </w:r>
      <w:r w:rsidR="4683FF33">
        <w:t>(LCFF)</w:t>
      </w:r>
      <w:r w:rsidR="00627DA5">
        <w:t xml:space="preserve"> </w:t>
      </w:r>
      <w:r w:rsidR="4683FF33">
        <w:t>Priority</w:t>
      </w:r>
      <w:r w:rsidR="00627DA5">
        <w:t xml:space="preserve"> </w:t>
      </w:r>
      <w:r w:rsidR="4683FF33">
        <w:t>Area</w:t>
      </w:r>
      <w:r w:rsidR="00627DA5">
        <w:t xml:space="preserve"> </w:t>
      </w:r>
      <w:r w:rsidR="4683FF33">
        <w:t>1</w:t>
      </w:r>
    </w:p>
    <w:p w14:paraId="27FF54BF" w14:textId="646ED6F0" w:rsidR="00C86217" w:rsidRDefault="00C86217" w:rsidP="002D4A4C">
      <w:pPr>
        <w:pStyle w:val="ListParagraph"/>
        <w:numPr>
          <w:ilvl w:val="0"/>
          <w:numId w:val="2"/>
        </w:numPr>
      </w:pPr>
      <w:r>
        <w:t>Collection</w:t>
      </w:r>
      <w:r w:rsidR="00627DA5">
        <w:t xml:space="preserve"> </w:t>
      </w:r>
      <w:r>
        <w:t>and</w:t>
      </w:r>
      <w:r w:rsidR="00627DA5">
        <w:t xml:space="preserve"> </w:t>
      </w:r>
      <w:r>
        <w:t>reporting</w:t>
      </w:r>
      <w:r w:rsidR="00627DA5">
        <w:t xml:space="preserve"> </w:t>
      </w:r>
      <w:r>
        <w:t>of</w:t>
      </w:r>
      <w:r w:rsidR="00627DA5">
        <w:t xml:space="preserve"> </w:t>
      </w:r>
      <w:r>
        <w:t>new</w:t>
      </w:r>
      <w:r w:rsidR="00627DA5">
        <w:t xml:space="preserve"> </w:t>
      </w:r>
      <w:r>
        <w:t>data,</w:t>
      </w:r>
      <w:r w:rsidR="00627DA5">
        <w:t xml:space="preserve"> </w:t>
      </w:r>
      <w:r>
        <w:t>including</w:t>
      </w:r>
      <w:r w:rsidR="00627DA5">
        <w:t xml:space="preserve"> </w:t>
      </w:r>
      <w:r>
        <w:t>a</w:t>
      </w:r>
      <w:r w:rsidR="00627DA5">
        <w:t xml:space="preserve"> </w:t>
      </w:r>
      <w:r>
        <w:t>positive</w:t>
      </w:r>
      <w:r w:rsidR="00627DA5">
        <w:t xml:space="preserve"> </w:t>
      </w:r>
      <w:r>
        <w:t>transition</w:t>
      </w:r>
      <w:r w:rsidR="00627DA5">
        <w:t xml:space="preserve"> </w:t>
      </w:r>
      <w:r>
        <w:t>rate</w:t>
      </w:r>
      <w:r w:rsidR="00627DA5">
        <w:t xml:space="preserve"> </w:t>
      </w:r>
      <w:r>
        <w:t>for</w:t>
      </w:r>
      <w:r w:rsidR="00627DA5">
        <w:t xml:space="preserve"> </w:t>
      </w:r>
      <w:r>
        <w:t>Dashboard</w:t>
      </w:r>
      <w:r w:rsidR="00627DA5">
        <w:t xml:space="preserve"> </w:t>
      </w:r>
      <w:r>
        <w:t>Alternative</w:t>
      </w:r>
      <w:r w:rsidR="00627DA5">
        <w:t xml:space="preserve"> </w:t>
      </w:r>
      <w:r>
        <w:t>School</w:t>
      </w:r>
      <w:r w:rsidR="00627DA5">
        <w:t xml:space="preserve"> </w:t>
      </w:r>
      <w:r>
        <w:t>Status</w:t>
      </w:r>
      <w:r w:rsidR="00627DA5">
        <w:t xml:space="preserve"> </w:t>
      </w:r>
      <w:r>
        <w:t>(DASS)</w:t>
      </w:r>
      <w:r w:rsidR="00627DA5">
        <w:t xml:space="preserve"> </w:t>
      </w:r>
      <w:r>
        <w:t>schools</w:t>
      </w:r>
      <w:r w:rsidR="65892644">
        <w:t>,</w:t>
      </w:r>
      <w:r w:rsidR="00627DA5">
        <w:t xml:space="preserve"> </w:t>
      </w:r>
      <w:r>
        <w:t>enrollment</w:t>
      </w:r>
      <w:r w:rsidR="00627DA5">
        <w:t xml:space="preserve"> </w:t>
      </w:r>
      <w:r>
        <w:t>data</w:t>
      </w:r>
      <w:r w:rsidR="00627DA5">
        <w:t xml:space="preserve"> </w:t>
      </w:r>
      <w:r>
        <w:t>for</w:t>
      </w:r>
      <w:r w:rsidR="00627DA5">
        <w:t xml:space="preserve"> </w:t>
      </w:r>
      <w:r>
        <w:t>students</w:t>
      </w:r>
      <w:r w:rsidR="00627DA5">
        <w:t xml:space="preserve"> </w:t>
      </w:r>
      <w:r>
        <w:t>attending</w:t>
      </w:r>
      <w:r w:rsidR="00627DA5">
        <w:t xml:space="preserve"> </w:t>
      </w:r>
      <w:r>
        <w:t>and</w:t>
      </w:r>
      <w:r w:rsidR="00627DA5">
        <w:t xml:space="preserve"> </w:t>
      </w:r>
      <w:r>
        <w:t>transitioning</w:t>
      </w:r>
      <w:r w:rsidR="00627DA5">
        <w:t xml:space="preserve"> </w:t>
      </w:r>
      <w:r>
        <w:t>between</w:t>
      </w:r>
      <w:r w:rsidR="00627DA5">
        <w:t xml:space="preserve"> </w:t>
      </w:r>
      <w:r>
        <w:t>DASS</w:t>
      </w:r>
      <w:r w:rsidR="00627DA5">
        <w:t xml:space="preserve"> </w:t>
      </w:r>
      <w:r>
        <w:t>and</w:t>
      </w:r>
      <w:r w:rsidR="00627DA5">
        <w:t xml:space="preserve"> </w:t>
      </w:r>
      <w:r>
        <w:t>non-DASS</w:t>
      </w:r>
      <w:r w:rsidR="00627DA5">
        <w:t xml:space="preserve"> </w:t>
      </w:r>
      <w:r>
        <w:t>schools</w:t>
      </w:r>
      <w:r w:rsidR="7066F435">
        <w:t>,</w:t>
      </w:r>
      <w:r w:rsidR="00627DA5">
        <w:t xml:space="preserve"> </w:t>
      </w:r>
      <w:r w:rsidR="7066F435">
        <w:t>and</w:t>
      </w:r>
      <w:r w:rsidR="00627DA5">
        <w:t xml:space="preserve"> </w:t>
      </w:r>
      <w:r w:rsidR="7066F435">
        <w:t>student-level</w:t>
      </w:r>
      <w:r w:rsidR="00627DA5">
        <w:t xml:space="preserve"> </w:t>
      </w:r>
      <w:r w:rsidR="7066F435">
        <w:t>data</w:t>
      </w:r>
      <w:r w:rsidR="00627DA5">
        <w:t xml:space="preserve"> </w:t>
      </w:r>
      <w:r w:rsidR="7066F435">
        <w:t>files</w:t>
      </w:r>
      <w:r w:rsidR="00627DA5">
        <w:t xml:space="preserve"> </w:t>
      </w:r>
      <w:r w:rsidR="7066F435">
        <w:t>for</w:t>
      </w:r>
      <w:r w:rsidR="00627DA5">
        <w:t xml:space="preserve"> </w:t>
      </w:r>
      <w:r w:rsidR="7066F435">
        <w:t>the</w:t>
      </w:r>
      <w:r w:rsidR="00627DA5">
        <w:t xml:space="preserve"> </w:t>
      </w:r>
      <w:r w:rsidR="7066F435">
        <w:t>College/Career</w:t>
      </w:r>
      <w:r w:rsidR="00627DA5">
        <w:t xml:space="preserve"> </w:t>
      </w:r>
      <w:r w:rsidR="7066F435">
        <w:t>Indicator</w:t>
      </w:r>
      <w:r w:rsidR="00627DA5">
        <w:t xml:space="preserve"> </w:t>
      </w:r>
      <w:r w:rsidR="7066F435">
        <w:t>(CCI)</w:t>
      </w:r>
      <w:r w:rsidR="00627DA5">
        <w:t xml:space="preserve"> </w:t>
      </w:r>
      <w:r w:rsidR="7066F435">
        <w:t>and</w:t>
      </w:r>
      <w:r w:rsidR="00627DA5">
        <w:t xml:space="preserve"> </w:t>
      </w:r>
      <w:r w:rsidR="7066F435">
        <w:t>Academic</w:t>
      </w:r>
      <w:r w:rsidR="00627DA5">
        <w:t xml:space="preserve"> </w:t>
      </w:r>
      <w:r w:rsidR="7066F435">
        <w:t>Indicator</w:t>
      </w:r>
    </w:p>
    <w:p w14:paraId="02EB378F" w14:textId="16BBB383" w:rsidR="00866616" w:rsidRPr="002D4A4C" w:rsidRDefault="00866616" w:rsidP="002D4A4C">
      <w:pPr>
        <w:pStyle w:val="paragraph"/>
        <w:numPr>
          <w:ilvl w:val="0"/>
          <w:numId w:val="2"/>
        </w:numPr>
        <w:spacing w:before="240" w:beforeAutospacing="0" w:after="240" w:afterAutospacing="0"/>
        <w:textAlignment w:val="baseline"/>
        <w:rPr>
          <w:rStyle w:val="eop"/>
          <w:rFonts w:ascii="Arial" w:eastAsiaTheme="majorEastAsia" w:hAnsi="Arial" w:cs="Arial"/>
        </w:rPr>
      </w:pPr>
      <w:r w:rsidRPr="1CDB388D">
        <w:rPr>
          <w:rStyle w:val="normaltextrun"/>
          <w:rFonts w:ascii="Arial" w:eastAsiaTheme="majorEastAsia" w:hAnsi="Arial" w:cs="Arial"/>
        </w:rPr>
        <w:t>Development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report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that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displays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English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Language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Proficiency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Assessments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California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(</w:t>
      </w:r>
      <w:r w:rsidRPr="1CDB388D">
        <w:rPr>
          <w:rStyle w:val="normaltextrun"/>
          <w:rFonts w:ascii="Arial" w:eastAsiaTheme="majorEastAsia" w:hAnsi="Arial" w:cs="Arial"/>
          <w:color w:val="000000"/>
        </w:rPr>
        <w:t>ELPAC</w:t>
      </w:r>
      <w:r w:rsidRPr="1CDB388D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levels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with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growth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score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CDB388D">
        <w:rPr>
          <w:rStyle w:val="normaltextrun"/>
          <w:rFonts w:ascii="Arial" w:eastAsiaTheme="majorEastAsia" w:hAnsi="Arial" w:cs="Arial"/>
        </w:rPr>
        <w:t>results.</w:t>
      </w:r>
      <w:r w:rsidR="00627DA5">
        <w:rPr>
          <w:rStyle w:val="eop"/>
          <w:rFonts w:ascii="Arial" w:hAnsi="Arial" w:cs="Arial"/>
        </w:rPr>
        <w:t xml:space="preserve"> </w:t>
      </w:r>
    </w:p>
    <w:p w14:paraId="6A05A809" w14:textId="36E394E2" w:rsidR="00866616" w:rsidRPr="002D4A4C" w:rsidRDefault="001A3247" w:rsidP="002D4A4C">
      <w:pPr>
        <w:pStyle w:val="paragraph"/>
        <w:numPr>
          <w:ilvl w:val="0"/>
          <w:numId w:val="2"/>
        </w:numPr>
        <w:spacing w:before="240" w:beforeAutospacing="0" w:after="240" w:afterAutospacing="0"/>
        <w:textAlignment w:val="baseline"/>
        <w:rPr>
          <w:rFonts w:ascii="Arial" w:eastAsiaTheme="majorEastAsia" w:hAnsi="Arial" w:cs="Arial"/>
        </w:rPr>
      </w:pPr>
      <w:r w:rsidRPr="00627DA5">
        <w:rPr>
          <w:rStyle w:val="eop"/>
          <w:rFonts w:ascii="Arial" w:hAnsi="Arial" w:cs="Arial"/>
        </w:rPr>
        <w:lastRenderedPageBreak/>
        <w:t>Reporting</w:t>
      </w:r>
      <w:r w:rsidR="00627DA5" w:rsidRPr="00627DA5">
        <w:rPr>
          <w:rStyle w:val="eop"/>
          <w:rFonts w:ascii="Arial" w:hAnsi="Arial" w:cs="Arial"/>
        </w:rPr>
        <w:t xml:space="preserve"> </w:t>
      </w:r>
      <w:r w:rsidR="5D2DC3AB" w:rsidRPr="00627DA5">
        <w:rPr>
          <w:rStyle w:val="eop"/>
          <w:rFonts w:ascii="Arial" w:hAnsi="Arial" w:cs="Arial"/>
        </w:rPr>
        <w:t>t</w:t>
      </w:r>
      <w:r w:rsidR="67BAF521" w:rsidRPr="00627DA5">
        <w:rPr>
          <w:rStyle w:val="eop"/>
          <w:rFonts w:ascii="Arial" w:hAnsi="Arial" w:cs="Arial"/>
        </w:rPr>
        <w:t>he</w:t>
      </w:r>
      <w:r w:rsidR="00627DA5" w:rsidRPr="00627DA5">
        <w:rPr>
          <w:rStyle w:val="eop"/>
          <w:rFonts w:ascii="Arial" w:hAnsi="Arial" w:cs="Arial"/>
        </w:rPr>
        <w:t xml:space="preserve"> </w:t>
      </w:r>
      <w:r w:rsidR="67BAF521" w:rsidRPr="00627DA5">
        <w:rPr>
          <w:rStyle w:val="eop"/>
          <w:rFonts w:ascii="Arial" w:hAnsi="Arial" w:cs="Arial"/>
        </w:rPr>
        <w:t>Student</w:t>
      </w:r>
      <w:r w:rsidR="00627DA5" w:rsidRPr="00627DA5">
        <w:rPr>
          <w:rStyle w:val="eop"/>
          <w:rFonts w:ascii="Arial" w:hAnsi="Arial" w:cs="Arial"/>
        </w:rPr>
        <w:t xml:space="preserve"> </w:t>
      </w:r>
      <w:r w:rsidR="67BAF521" w:rsidRPr="00627DA5">
        <w:rPr>
          <w:rStyle w:val="eop"/>
          <w:rFonts w:ascii="Arial" w:hAnsi="Arial" w:cs="Arial"/>
        </w:rPr>
        <w:t>Growth</w:t>
      </w:r>
      <w:r w:rsidR="00627DA5" w:rsidRPr="00627DA5">
        <w:rPr>
          <w:rStyle w:val="eop"/>
          <w:rFonts w:ascii="Arial" w:hAnsi="Arial" w:cs="Arial"/>
        </w:rPr>
        <w:t xml:space="preserve"> </w:t>
      </w:r>
      <w:r w:rsidR="67BAF521" w:rsidRPr="00627DA5">
        <w:rPr>
          <w:rStyle w:val="eop"/>
          <w:rFonts w:ascii="Arial" w:hAnsi="Arial" w:cs="Arial"/>
        </w:rPr>
        <w:t>Model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results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for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informational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purposes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and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developing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a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communication</w:t>
      </w:r>
      <w:r w:rsidR="00627DA5" w:rsidRPr="00627DA5">
        <w:rPr>
          <w:rStyle w:val="eop"/>
          <w:rFonts w:ascii="Arial" w:hAnsi="Arial" w:cs="Arial"/>
        </w:rPr>
        <w:t xml:space="preserve"> </w:t>
      </w:r>
      <w:r w:rsidRPr="00627DA5">
        <w:rPr>
          <w:rStyle w:val="eop"/>
          <w:rFonts w:ascii="Arial" w:hAnsi="Arial" w:cs="Arial"/>
        </w:rPr>
        <w:t>plan</w:t>
      </w:r>
    </w:p>
    <w:p w14:paraId="5D68F152" w14:textId="272A2FFB" w:rsidR="0014572C" w:rsidRDefault="00C86217" w:rsidP="002D4A4C">
      <w:pPr>
        <w:pStyle w:val="ListParagraph"/>
        <w:numPr>
          <w:ilvl w:val="0"/>
          <w:numId w:val="2"/>
        </w:numPr>
      </w:pPr>
      <w:r>
        <w:t>Development</w:t>
      </w:r>
      <w:r w:rsidR="00627DA5">
        <w:t xml:space="preserve"> </w:t>
      </w:r>
      <w:r>
        <w:t>of</w:t>
      </w:r>
      <w:r w:rsidR="00627DA5">
        <w:t xml:space="preserve"> </w:t>
      </w:r>
      <w:r>
        <w:t>new</w:t>
      </w:r>
      <w:r w:rsidR="00627DA5">
        <w:t xml:space="preserve"> </w:t>
      </w:r>
      <w:r>
        <w:t>CCI</w:t>
      </w:r>
      <w:r w:rsidR="00627DA5">
        <w:t xml:space="preserve"> </w:t>
      </w:r>
      <w:r>
        <w:t>measures</w:t>
      </w:r>
    </w:p>
    <w:p w14:paraId="5A39BBE3" w14:textId="3F0FFE40" w:rsidR="0014572C" w:rsidRPr="002D4A4C" w:rsidRDefault="274337FD" w:rsidP="002D4A4C">
      <w:pPr>
        <w:pStyle w:val="paragraph"/>
        <w:numPr>
          <w:ilvl w:val="0"/>
          <w:numId w:val="2"/>
        </w:numPr>
        <w:spacing w:before="240" w:beforeAutospacing="0" w:after="240" w:afterAutospacing="0"/>
        <w:rPr>
          <w:rFonts w:asciiTheme="minorHAnsi" w:eastAsiaTheme="minorEastAsia" w:hAnsiTheme="minorHAnsi" w:cstheme="minorBidi"/>
        </w:rPr>
      </w:pPr>
      <w:r w:rsidRPr="127C0C4D">
        <w:rPr>
          <w:rStyle w:val="normaltextrun"/>
          <w:rFonts w:ascii="Arial" w:eastAsiaTheme="majorEastAsia" w:hAnsi="Arial" w:cs="Arial"/>
        </w:rPr>
        <w:t>Update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English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Learner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Progress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Indicator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127C0C4D">
        <w:rPr>
          <w:rStyle w:val="normaltextrun"/>
          <w:rFonts w:ascii="Arial" w:eastAsiaTheme="majorEastAsia" w:hAnsi="Arial" w:cs="Arial"/>
        </w:rPr>
        <w:t>(ELPI)</w:t>
      </w:r>
    </w:p>
    <w:p w14:paraId="2E0A6F91" w14:textId="3A74E7E8" w:rsidR="0050314E" w:rsidRPr="00236494" w:rsidRDefault="00337835" w:rsidP="002D4A4C">
      <w:pPr>
        <w:pStyle w:val="Heading2"/>
      </w:pPr>
      <w:r w:rsidRPr="00236494">
        <w:t>2021</w:t>
      </w:r>
      <w:r w:rsidR="00627DA5">
        <w:t xml:space="preserve"> </w:t>
      </w:r>
      <w:r w:rsidRPr="00236494">
        <w:t>Accountability</w:t>
      </w:r>
      <w:r w:rsidR="00627DA5">
        <w:t xml:space="preserve"> </w:t>
      </w:r>
      <w:r w:rsidRPr="00236494">
        <w:t>Reporting</w:t>
      </w:r>
      <w:r w:rsidR="00627DA5">
        <w:t xml:space="preserve"> </w:t>
      </w:r>
    </w:p>
    <w:p w14:paraId="7AB8E114" w14:textId="51DAA763" w:rsidR="00866616" w:rsidRPr="00627DA5" w:rsidRDefault="00337835" w:rsidP="002D4A4C">
      <w:pPr>
        <w:pStyle w:val="Heading3"/>
      </w:pPr>
      <w:r w:rsidRPr="00627DA5">
        <w:t>DASS</w:t>
      </w:r>
      <w:r w:rsidR="00627DA5" w:rsidRPr="00627DA5">
        <w:t xml:space="preserve"> </w:t>
      </w:r>
      <w:r w:rsidRPr="002D4A4C">
        <w:t>Positive</w:t>
      </w:r>
      <w:r w:rsidR="00627DA5" w:rsidRPr="00627DA5">
        <w:t xml:space="preserve"> </w:t>
      </w:r>
      <w:r w:rsidRPr="00627DA5">
        <w:t>Transition</w:t>
      </w:r>
      <w:r w:rsidR="00627DA5" w:rsidRPr="00627DA5">
        <w:t xml:space="preserve"> </w:t>
      </w:r>
      <w:r w:rsidRPr="00627DA5">
        <w:t>Rate</w:t>
      </w:r>
    </w:p>
    <w:p w14:paraId="36EF7308" w14:textId="1E2507DC" w:rsidR="00BB7A09" w:rsidRPr="00BB7A09" w:rsidRDefault="00BB7A09" w:rsidP="36927DA2">
      <w:pPr>
        <w:textAlignment w:val="baseline"/>
        <w:rPr>
          <w:rFonts w:cs="Arial"/>
        </w:rPr>
      </w:pPr>
      <w:r w:rsidRPr="36927DA2">
        <w:rPr>
          <w:rFonts w:cs="Arial"/>
        </w:rPr>
        <w:t>In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November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2020,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the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California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Advisory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Task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Force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on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Alternative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Schools</w:t>
      </w:r>
      <w:r w:rsidR="00627DA5">
        <w:rPr>
          <w:rFonts w:cs="Arial"/>
        </w:rPr>
        <w:t xml:space="preserve"> </w:t>
      </w:r>
      <w:r w:rsidR="741FA9C7" w:rsidRPr="36927DA2">
        <w:rPr>
          <w:rFonts w:cs="Arial"/>
        </w:rPr>
        <w:t>(Task</w:t>
      </w:r>
      <w:r w:rsidR="00627DA5">
        <w:rPr>
          <w:rFonts w:cs="Arial"/>
        </w:rPr>
        <w:t xml:space="preserve"> </w:t>
      </w:r>
      <w:r w:rsidR="741FA9C7" w:rsidRPr="36927DA2">
        <w:rPr>
          <w:rFonts w:cs="Arial"/>
        </w:rPr>
        <w:t>Force)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presented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report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and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recommendations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to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the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SBE.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One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recommendation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was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to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develop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new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local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indicator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for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DASS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schools: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positive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transition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rate.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Such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measure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would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focus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on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alternative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school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students’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continued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path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to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further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education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and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might</w:t>
      </w:r>
      <w:r w:rsidR="00627DA5">
        <w:rPr>
          <w:rFonts w:cs="Arial"/>
        </w:rPr>
        <w:t xml:space="preserve"> </w:t>
      </w:r>
      <w:r w:rsidRPr="36927DA2">
        <w:rPr>
          <w:rFonts w:cs="Arial"/>
        </w:rPr>
        <w:t>include</w:t>
      </w:r>
      <w:r w:rsidR="35E887CC" w:rsidRPr="36927DA2">
        <w:rPr>
          <w:rFonts w:cs="Arial"/>
        </w:rPr>
        <w:t>:</w:t>
      </w:r>
    </w:p>
    <w:p w14:paraId="2DE7B152" w14:textId="04E2F81B" w:rsidR="00BB7A09" w:rsidRPr="00BB7A09" w:rsidRDefault="35E887CC" w:rsidP="002D4A4C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927DA2">
        <w:t>A</w:t>
      </w:r>
      <w:r w:rsidR="00627DA5">
        <w:t xml:space="preserve"> </w:t>
      </w:r>
      <w:r w:rsidR="00BB7A09" w:rsidRPr="36927DA2">
        <w:t>return</w:t>
      </w:r>
      <w:r w:rsidR="00627DA5">
        <w:t xml:space="preserve"> </w:t>
      </w:r>
      <w:r w:rsidR="00BB7A09" w:rsidRPr="36927DA2">
        <w:t>to</w:t>
      </w:r>
      <w:r w:rsidR="00627DA5">
        <w:t xml:space="preserve"> </w:t>
      </w:r>
      <w:r w:rsidR="00BB7A09" w:rsidRPr="36927DA2">
        <w:t>a</w:t>
      </w:r>
      <w:r w:rsidR="00627DA5">
        <w:t xml:space="preserve"> </w:t>
      </w:r>
      <w:r w:rsidR="00BB7A09" w:rsidRPr="36927DA2">
        <w:t>traditional</w:t>
      </w:r>
      <w:r w:rsidR="00627DA5">
        <w:t xml:space="preserve"> </w:t>
      </w:r>
      <w:r w:rsidR="00BB7A09" w:rsidRPr="36927DA2">
        <w:t>comprehensive</w:t>
      </w:r>
      <w:r w:rsidR="00627DA5">
        <w:t xml:space="preserve"> </w:t>
      </w:r>
      <w:r w:rsidR="00BB7A09" w:rsidRPr="36927DA2">
        <w:t>high</w:t>
      </w:r>
      <w:r w:rsidR="00627DA5">
        <w:t xml:space="preserve"> </w:t>
      </w:r>
      <w:r w:rsidR="00BB7A09" w:rsidRPr="36927DA2">
        <w:t>school,</w:t>
      </w:r>
    </w:p>
    <w:p w14:paraId="0C7200D7" w14:textId="75E09A68" w:rsidR="00BB7A09" w:rsidRPr="00BB7A09" w:rsidRDefault="601EB2CE" w:rsidP="002D4A4C">
      <w:pPr>
        <w:pStyle w:val="ListParagraph"/>
        <w:numPr>
          <w:ilvl w:val="0"/>
          <w:numId w:val="1"/>
        </w:numPr>
        <w:rPr>
          <w:szCs w:val="24"/>
        </w:rPr>
      </w:pPr>
      <w:r w:rsidRPr="36927DA2">
        <w:t>E</w:t>
      </w:r>
      <w:r w:rsidR="00BB7A09" w:rsidRPr="36927DA2">
        <w:t>nrollment</w:t>
      </w:r>
      <w:r w:rsidR="00627DA5">
        <w:t xml:space="preserve"> </w:t>
      </w:r>
      <w:r w:rsidR="00BB7A09" w:rsidRPr="36927DA2">
        <w:t>in</w:t>
      </w:r>
      <w:r w:rsidR="00627DA5">
        <w:t xml:space="preserve"> </w:t>
      </w:r>
      <w:r w:rsidR="00BB7A09" w:rsidRPr="36927DA2">
        <w:t>a</w:t>
      </w:r>
      <w:r w:rsidR="00627DA5">
        <w:t xml:space="preserve"> </w:t>
      </w:r>
      <w:r w:rsidR="00BB7A09" w:rsidRPr="36927DA2">
        <w:t>non-DASS</w:t>
      </w:r>
      <w:r w:rsidR="00627DA5">
        <w:t xml:space="preserve"> </w:t>
      </w:r>
      <w:r w:rsidR="00BB7A09" w:rsidRPr="36927DA2">
        <w:t>G</w:t>
      </w:r>
      <w:r w:rsidR="00C62ECA">
        <w:t>eneral</w:t>
      </w:r>
      <w:r w:rsidR="00627DA5">
        <w:t xml:space="preserve"> </w:t>
      </w:r>
      <w:r w:rsidR="00BB7A09" w:rsidRPr="36927DA2">
        <w:t>E</w:t>
      </w:r>
      <w:r w:rsidR="00C62ECA">
        <w:t>ducation</w:t>
      </w:r>
      <w:r w:rsidR="00627DA5">
        <w:t xml:space="preserve"> </w:t>
      </w:r>
      <w:r w:rsidR="00BB7A09" w:rsidRPr="36927DA2">
        <w:t>D</w:t>
      </w:r>
      <w:r w:rsidR="00C62ECA">
        <w:t>iploma</w:t>
      </w:r>
      <w:r w:rsidR="00627DA5">
        <w:t xml:space="preserve"> </w:t>
      </w:r>
      <w:r w:rsidR="00BB7A09" w:rsidRPr="36927DA2">
        <w:t>program</w:t>
      </w:r>
      <w:r w:rsidR="00627DA5">
        <w:t xml:space="preserve"> </w:t>
      </w:r>
      <w:r w:rsidR="00BB7A09" w:rsidRPr="36927DA2">
        <w:t>or</w:t>
      </w:r>
      <w:r w:rsidR="00627DA5">
        <w:t xml:space="preserve"> </w:t>
      </w:r>
      <w:r w:rsidR="00BB7A09" w:rsidRPr="36927DA2">
        <w:t>Adult</w:t>
      </w:r>
      <w:r w:rsidR="00627DA5">
        <w:t xml:space="preserve"> </w:t>
      </w:r>
      <w:r w:rsidR="00BB7A09" w:rsidRPr="36927DA2">
        <w:t>Education</w:t>
      </w:r>
      <w:r w:rsidR="00627DA5">
        <w:t xml:space="preserve"> </w:t>
      </w:r>
      <w:r w:rsidR="00BB7A09" w:rsidRPr="36927DA2">
        <w:t>program</w:t>
      </w:r>
      <w:r w:rsidR="7CA90518" w:rsidRPr="36927DA2">
        <w:t>,</w:t>
      </w:r>
    </w:p>
    <w:p w14:paraId="272BD493" w14:textId="6FBAACE5" w:rsidR="00BB7A09" w:rsidRPr="00BB7A09" w:rsidRDefault="7DC8B9BF" w:rsidP="002D4A4C">
      <w:pPr>
        <w:pStyle w:val="ListParagraph"/>
        <w:numPr>
          <w:ilvl w:val="0"/>
          <w:numId w:val="1"/>
        </w:numPr>
        <w:rPr>
          <w:szCs w:val="24"/>
        </w:rPr>
      </w:pPr>
      <w:r w:rsidRPr="36927DA2">
        <w:t>J</w:t>
      </w:r>
      <w:r w:rsidR="00BB7A09" w:rsidRPr="36927DA2">
        <w:t>oining</w:t>
      </w:r>
      <w:r w:rsidR="00627DA5">
        <w:t xml:space="preserve"> </w:t>
      </w:r>
      <w:r w:rsidR="00BB7A09" w:rsidRPr="36927DA2">
        <w:t>the</w:t>
      </w:r>
      <w:r w:rsidR="00627DA5">
        <w:t xml:space="preserve"> </w:t>
      </w:r>
      <w:r w:rsidR="00BB7A09" w:rsidRPr="36927DA2">
        <w:t>military,</w:t>
      </w:r>
      <w:r w:rsidR="00627DA5">
        <w:t xml:space="preserve"> </w:t>
      </w:r>
      <w:r w:rsidR="00BB7A09" w:rsidRPr="36927DA2">
        <w:t>or</w:t>
      </w:r>
      <w:r w:rsidR="00627DA5">
        <w:t xml:space="preserve"> </w:t>
      </w:r>
    </w:p>
    <w:p w14:paraId="4221F1CF" w14:textId="3225BE57" w:rsidR="00BB7A09" w:rsidRPr="00BB7A09" w:rsidRDefault="64E9D931" w:rsidP="002D4A4C">
      <w:pPr>
        <w:pStyle w:val="ListParagraph"/>
        <w:numPr>
          <w:ilvl w:val="0"/>
          <w:numId w:val="1"/>
        </w:numPr>
      </w:pPr>
      <w:r w:rsidRPr="1D28BA80">
        <w:t>P</w:t>
      </w:r>
      <w:r w:rsidR="0A067542" w:rsidRPr="1D28BA80">
        <w:t>articipating</w:t>
      </w:r>
      <w:r w:rsidR="00627DA5">
        <w:t xml:space="preserve"> </w:t>
      </w:r>
      <w:r w:rsidR="0A067542" w:rsidRPr="1D28BA80">
        <w:t>in</w:t>
      </w:r>
      <w:r w:rsidR="00627DA5">
        <w:t xml:space="preserve"> </w:t>
      </w:r>
      <w:r w:rsidR="0A067542" w:rsidRPr="1D28BA80">
        <w:t>the</w:t>
      </w:r>
      <w:r w:rsidR="00627DA5">
        <w:t xml:space="preserve"> </w:t>
      </w:r>
      <w:r w:rsidR="0A067542" w:rsidRPr="1D28BA80">
        <w:t>Job</w:t>
      </w:r>
      <w:r w:rsidR="00627DA5">
        <w:t xml:space="preserve"> </w:t>
      </w:r>
      <w:r w:rsidR="0A067542" w:rsidRPr="1D28BA80">
        <w:t>Corps</w:t>
      </w:r>
      <w:r w:rsidR="00627DA5">
        <w:t xml:space="preserve"> </w:t>
      </w:r>
      <w:r w:rsidR="0A067542" w:rsidRPr="1D28BA80">
        <w:t>or</w:t>
      </w:r>
      <w:r w:rsidR="00627DA5">
        <w:t xml:space="preserve"> </w:t>
      </w:r>
      <w:r w:rsidR="0A067542" w:rsidRPr="1D28BA80">
        <w:t>Youth</w:t>
      </w:r>
      <w:r w:rsidR="00627DA5">
        <w:t xml:space="preserve"> </w:t>
      </w:r>
      <w:r w:rsidR="0A067542" w:rsidRPr="1D28BA80">
        <w:t>Build</w:t>
      </w:r>
      <w:r w:rsidR="00627DA5">
        <w:t xml:space="preserve"> </w:t>
      </w:r>
      <w:r w:rsidR="0A067542" w:rsidRPr="1D28BA80">
        <w:t>Program.</w:t>
      </w:r>
    </w:p>
    <w:p w14:paraId="12FFC668" w14:textId="725DB08C" w:rsidR="00077A63" w:rsidRDefault="00E70F8D" w:rsidP="775856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  <w:r w:rsidRPr="77585682">
        <w:rPr>
          <w:rStyle w:val="normaltextrun"/>
          <w:rFonts w:ascii="Arial" w:eastAsiaTheme="majorEastAsia" w:hAnsi="Arial" w:cs="Arial"/>
        </w:rPr>
        <w:t>While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Task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Force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recommended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that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data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</w:rPr>
        <w:t>be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reported</w:t>
      </w:r>
      <w:proofErr w:type="gramEnd"/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through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local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indicator,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any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changes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B4041A">
        <w:rPr>
          <w:rStyle w:val="normaltextrun"/>
          <w:rFonts w:ascii="Arial" w:eastAsiaTheme="majorEastAsia" w:hAnsi="Arial" w:cs="Arial"/>
        </w:rPr>
        <w:t>LCFF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B4041A">
        <w:rPr>
          <w:rStyle w:val="normaltextrun"/>
          <w:rFonts w:ascii="Arial" w:eastAsiaTheme="majorEastAsia" w:hAnsi="Arial" w:cs="Arial"/>
        </w:rPr>
        <w:t>criteria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would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require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change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current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E0B27">
        <w:rPr>
          <w:rStyle w:val="normaltextrun"/>
          <w:rFonts w:ascii="Arial" w:eastAsiaTheme="majorEastAsia" w:hAnsi="Arial" w:cs="Arial"/>
        </w:rPr>
        <w:t>statute</w:t>
      </w:r>
      <w:r w:rsidR="00C86217" w:rsidRPr="77585682">
        <w:rPr>
          <w:rStyle w:val="normaltextrun"/>
          <w:rFonts w:ascii="Arial" w:eastAsiaTheme="majorEastAsia" w:hAnsi="Arial" w:cs="Arial"/>
        </w:rPr>
        <w:t>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An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alternative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option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for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CDE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9361E6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report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this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data,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captured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E14972">
        <w:rPr>
          <w:rStyle w:val="normaltextrun"/>
          <w:rFonts w:ascii="Arial" w:eastAsiaTheme="majorEastAsia" w:hAnsi="Arial" w:cs="Arial"/>
        </w:rPr>
        <w:t>using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California</w:t>
      </w:r>
      <w:r w:rsidR="00627DA5">
        <w:rPr>
          <w:rFonts w:ascii="Arial" w:hAnsi="Arial" w:cs="Arial"/>
          <w:color w:val="000000"/>
          <w:lang w:val="en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Longitudinal</w:t>
      </w:r>
      <w:r w:rsidR="00627DA5">
        <w:rPr>
          <w:rFonts w:ascii="Arial" w:hAnsi="Arial" w:cs="Arial"/>
          <w:color w:val="000000"/>
          <w:lang w:val="en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Pupil</w:t>
      </w:r>
      <w:r w:rsidR="00627DA5">
        <w:rPr>
          <w:rFonts w:ascii="Arial" w:hAnsi="Arial" w:cs="Arial"/>
          <w:color w:val="000000"/>
          <w:lang w:val="en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Achievement</w:t>
      </w:r>
      <w:r w:rsidR="00627DA5">
        <w:rPr>
          <w:rFonts w:ascii="Arial" w:hAnsi="Arial" w:cs="Arial"/>
          <w:color w:val="000000"/>
          <w:lang w:val="en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Data</w:t>
      </w:r>
      <w:r w:rsidR="00627DA5">
        <w:rPr>
          <w:rFonts w:ascii="Arial" w:hAnsi="Arial" w:cs="Arial"/>
          <w:color w:val="000000"/>
          <w:lang w:val="en"/>
        </w:rPr>
        <w:t xml:space="preserve"> </w:t>
      </w:r>
      <w:r w:rsidR="0017715E" w:rsidRPr="0017715E">
        <w:rPr>
          <w:rFonts w:ascii="Arial" w:hAnsi="Arial" w:cs="Arial"/>
          <w:color w:val="000000"/>
          <w:lang w:val="en"/>
        </w:rPr>
        <w:t>System</w:t>
      </w:r>
      <w:r w:rsidR="00627DA5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17715E">
        <w:rPr>
          <w:rStyle w:val="normaltextrun"/>
          <w:rFonts w:ascii="Arial" w:eastAsiaTheme="majorEastAsia" w:hAnsi="Arial" w:cs="Arial"/>
        </w:rPr>
        <w:t>(</w:t>
      </w:r>
      <w:r w:rsidR="00E14972">
        <w:rPr>
          <w:rStyle w:val="normaltextrun"/>
          <w:rFonts w:ascii="Arial" w:eastAsiaTheme="majorEastAsia" w:hAnsi="Arial" w:cs="Arial"/>
        </w:rPr>
        <w:t>CALPADS</w:t>
      </w:r>
      <w:r w:rsidR="0017715E">
        <w:rPr>
          <w:rStyle w:val="normaltextrun"/>
          <w:rFonts w:ascii="Arial" w:eastAsiaTheme="majorEastAsia" w:hAnsi="Arial" w:cs="Arial"/>
        </w:rPr>
        <w:t>)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exit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codes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for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DASS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students,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an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Additional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C86217" w:rsidRPr="77585682">
        <w:rPr>
          <w:rStyle w:val="normaltextrun"/>
          <w:rFonts w:ascii="Arial" w:eastAsiaTheme="majorEastAsia" w:hAnsi="Arial" w:cs="Arial"/>
        </w:rPr>
        <w:t>Report.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Task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Force,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as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indicated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their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report,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would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use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data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following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7F5CD0">
        <w:rPr>
          <w:rStyle w:val="normaltextrun"/>
          <w:rFonts w:ascii="Arial" w:eastAsiaTheme="majorEastAsia" w:hAnsi="Arial" w:cs="Arial"/>
        </w:rPr>
        <w:t>manner:</w:t>
      </w:r>
    </w:p>
    <w:p w14:paraId="3471F5E5" w14:textId="77ADC764" w:rsidR="00077A63" w:rsidRPr="007F5CD0" w:rsidRDefault="00077A63" w:rsidP="002D4A4C">
      <w:pPr>
        <w:autoSpaceDE w:val="0"/>
        <w:autoSpaceDN w:val="0"/>
        <w:adjustRightInd w:val="0"/>
        <w:spacing w:before="240" w:after="240"/>
        <w:ind w:left="720" w:right="720"/>
        <w:rPr>
          <w:rFonts w:eastAsiaTheme="minorHAnsi" w:cs="Arial"/>
          <w:szCs w:val="22"/>
        </w:rPr>
      </w:pPr>
      <w:r w:rsidRPr="007F5CD0">
        <w:rPr>
          <w:rFonts w:eastAsiaTheme="minorHAnsi" w:cs="Arial"/>
          <w:szCs w:val="22"/>
        </w:rPr>
        <w:t>These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data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would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provide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more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complete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picture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of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how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many</w:t>
      </w:r>
      <w:r w:rsidR="00627DA5">
        <w:rPr>
          <w:rFonts w:eastAsiaTheme="minorHAnsi" w:cs="Arial"/>
          <w:szCs w:val="22"/>
        </w:rPr>
        <w:t xml:space="preserve"> </w:t>
      </w:r>
      <w:proofErr w:type="gramStart"/>
      <w:r w:rsidRPr="007F5CD0">
        <w:rPr>
          <w:rFonts w:eastAsiaTheme="minorHAnsi" w:cs="Arial"/>
          <w:szCs w:val="22"/>
        </w:rPr>
        <w:t>youth</w:t>
      </w:r>
      <w:proofErr w:type="gramEnd"/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continuing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education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path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how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many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actually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dropping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out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altogether,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since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not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all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students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who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exit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K-12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secondary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dropping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out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of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continuing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education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pathway.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Indeed,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central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goal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of</w:t>
      </w:r>
      <w:r w:rsidR="00627DA5">
        <w:rPr>
          <w:rFonts w:eastAsiaTheme="minorHAnsi" w:cs="Arial"/>
          <w:szCs w:val="22"/>
        </w:rPr>
        <w:t xml:space="preserve"> </w:t>
      </w:r>
      <w:proofErr w:type="gramStart"/>
      <w:r w:rsidRPr="007F5CD0">
        <w:rPr>
          <w:rFonts w:eastAsiaTheme="minorHAnsi" w:cs="Arial"/>
          <w:szCs w:val="22"/>
        </w:rPr>
        <w:t>many</w:t>
      </w:r>
      <w:proofErr w:type="gramEnd"/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DASS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prepare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students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for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transition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back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traditional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comprehensive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within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their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district.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positive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transition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rate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would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recognize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success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rate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of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with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transfer-back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design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goal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for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students.</w:t>
      </w:r>
      <w:r w:rsidR="00627DA5">
        <w:rPr>
          <w:rFonts w:eastAsiaTheme="minorHAnsi" w:cs="Arial"/>
          <w:szCs w:val="22"/>
        </w:rPr>
        <w:t xml:space="preserve"> </w:t>
      </w:r>
    </w:p>
    <w:p w14:paraId="41952893" w14:textId="08906F8F" w:rsidR="00077A63" w:rsidRDefault="00077A63" w:rsidP="007F5CD0">
      <w:pPr>
        <w:autoSpaceDE w:val="0"/>
        <w:autoSpaceDN w:val="0"/>
        <w:adjustRightInd w:val="0"/>
        <w:ind w:left="720" w:right="720"/>
        <w:rPr>
          <w:rFonts w:eastAsiaTheme="majorEastAsia" w:cs="Arial"/>
          <w:bCs/>
          <w:i/>
          <w:color w:val="000000"/>
        </w:rPr>
      </w:pPr>
      <w:r w:rsidRPr="007F5CD0">
        <w:rPr>
          <w:rFonts w:eastAsiaTheme="minorHAnsi" w:cs="Arial"/>
          <w:szCs w:val="22"/>
        </w:rPr>
        <w:t>As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well,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positive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transition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rate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would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create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incentives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for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alternative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prepare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all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youth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persist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positive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continuing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education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pathway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beyond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those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available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traditional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K-12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system.</w:t>
      </w:r>
      <w:r w:rsidR="00627DA5">
        <w:rPr>
          <w:rFonts w:eastAsiaTheme="minorHAnsi" w:cs="Arial"/>
          <w:szCs w:val="22"/>
        </w:rPr>
        <w:t xml:space="preserve"> </w:t>
      </w:r>
      <w:proofErr w:type="gramStart"/>
      <w:r w:rsidRPr="007F5CD0">
        <w:rPr>
          <w:rFonts w:eastAsiaTheme="minorHAnsi" w:cs="Arial"/>
          <w:szCs w:val="22"/>
        </w:rPr>
        <w:t>Some</w:t>
      </w:r>
      <w:proofErr w:type="gramEnd"/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lastRenderedPageBreak/>
        <w:t>schools,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including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court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county-run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community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day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schools,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specifically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designed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help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youth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make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successful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transitions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other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educational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settings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beyond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K-12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system,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youth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employment,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other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postsecondary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pathways.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positive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transition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rate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would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help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these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types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of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“second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chance”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programs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adequately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measure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progress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toward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their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academic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re-engagement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and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student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persistence</w:t>
      </w:r>
      <w:r w:rsidR="00627DA5">
        <w:rPr>
          <w:rFonts w:eastAsiaTheme="minorHAnsi" w:cs="Arial"/>
          <w:szCs w:val="22"/>
        </w:rPr>
        <w:t xml:space="preserve"> </w:t>
      </w:r>
      <w:r w:rsidRPr="007F5CD0">
        <w:rPr>
          <w:rFonts w:eastAsiaTheme="minorHAnsi" w:cs="Arial"/>
          <w:szCs w:val="22"/>
        </w:rPr>
        <w:t>goals</w:t>
      </w:r>
      <w:r w:rsidR="001473B6">
        <w:rPr>
          <w:rFonts w:eastAsiaTheme="minorHAnsi" w:cs="Arial"/>
          <w:szCs w:val="22"/>
        </w:rPr>
        <w:t>.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(John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W.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Gardner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Center,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2020,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p</w:t>
      </w:r>
      <w:r w:rsidR="00627DA5">
        <w:rPr>
          <w:rFonts w:eastAsiaTheme="minorHAnsi" w:cs="Arial"/>
          <w:szCs w:val="22"/>
        </w:rPr>
        <w:t xml:space="preserve"> </w:t>
      </w:r>
      <w:r w:rsidR="001473B6">
        <w:rPr>
          <w:rFonts w:eastAsiaTheme="minorHAnsi" w:cs="Arial"/>
          <w:szCs w:val="22"/>
        </w:rPr>
        <w:t>13)</w:t>
      </w:r>
    </w:p>
    <w:p w14:paraId="6DEB07DE" w14:textId="772BAB43" w:rsidR="00337835" w:rsidRPr="00337835" w:rsidRDefault="00337835" w:rsidP="002D4A4C">
      <w:pPr>
        <w:pStyle w:val="Heading3"/>
      </w:pPr>
      <w:r>
        <w:t>DASS</w:t>
      </w:r>
      <w:r w:rsidR="00627DA5">
        <w:t xml:space="preserve"> </w:t>
      </w:r>
      <w:r>
        <w:t>Enrollment</w:t>
      </w:r>
      <w:r w:rsidR="00627DA5">
        <w:t xml:space="preserve"> </w:t>
      </w:r>
      <w:r>
        <w:t>Patterns</w:t>
      </w:r>
    </w:p>
    <w:p w14:paraId="44EAFD9C" w14:textId="6237D1E6" w:rsidR="00BB7A09" w:rsidRDefault="00BB7A09" w:rsidP="002D4A4C">
      <w:pPr>
        <w:spacing w:before="240" w:after="240"/>
        <w:rPr>
          <w:rFonts w:cs="Arial"/>
          <w:color w:val="000000"/>
        </w:rPr>
      </w:pPr>
      <w:r w:rsidRPr="00BB7A09">
        <w:rPr>
          <w:rFonts w:cs="Arial"/>
          <w:color w:val="000000"/>
        </w:rPr>
        <w:t>In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May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2018,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when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SBE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approved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methodology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to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calculate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DASS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graduation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rate,</w:t>
      </w:r>
      <w:r w:rsidR="00627DA5">
        <w:rPr>
          <w:rFonts w:cs="Arial"/>
          <w:color w:val="000000"/>
        </w:rPr>
        <w:t xml:space="preserve"> </w:t>
      </w:r>
      <w:r w:rsidR="00B4041A">
        <w:rPr>
          <w:rFonts w:cs="Arial"/>
          <w:color w:val="000000"/>
        </w:rPr>
        <w:t>members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raised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concerns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about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modified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Graduation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Rate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Indicator’s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potential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to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impact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mobility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between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non-alternative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and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DASS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schools.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Specifically,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there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was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concern</w:t>
      </w:r>
      <w:r w:rsidR="00627DA5">
        <w:rPr>
          <w:rFonts w:cs="Arial"/>
          <w:color w:val="000000"/>
        </w:rPr>
        <w:t xml:space="preserve"> </w:t>
      </w:r>
      <w:r w:rsidR="00F600D7">
        <w:rPr>
          <w:rFonts w:cs="Arial"/>
          <w:color w:val="000000"/>
        </w:rPr>
        <w:t>around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potential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increase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of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student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transfers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from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non-alternative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high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schools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into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DASS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high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schools.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SBE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directed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the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CDE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to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conduct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analyses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of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enrollment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data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when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it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became</w:t>
      </w:r>
      <w:r w:rsidR="00627DA5">
        <w:rPr>
          <w:rFonts w:cs="Arial"/>
          <w:color w:val="000000"/>
        </w:rPr>
        <w:t xml:space="preserve"> </w:t>
      </w:r>
      <w:r w:rsidRPr="00BB7A09">
        <w:rPr>
          <w:rFonts w:cs="Arial"/>
          <w:color w:val="000000"/>
        </w:rPr>
        <w:t>available.</w:t>
      </w:r>
    </w:p>
    <w:p w14:paraId="066AB500" w14:textId="41C499D6" w:rsidR="0024036E" w:rsidRDefault="00BB7A09" w:rsidP="0014572C">
      <w:pPr>
        <w:rPr>
          <w:rFonts w:cs="Arial"/>
          <w:color w:val="000000"/>
          <w:shd w:val="clear" w:color="auto" w:fill="FFFFFF"/>
        </w:rPr>
      </w:pPr>
      <w:r w:rsidRPr="00BB7A09">
        <w:rPr>
          <w:rFonts w:cs="Arial"/>
          <w:color w:val="000000"/>
          <w:shd w:val="clear" w:color="auto" w:fill="FFFFFF"/>
        </w:rPr>
        <w:t>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August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2019,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CDE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presented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SBE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with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Information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Memorandum,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identifying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trends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student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transfers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from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non-alternative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to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DASS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high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schools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during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2017–</w:t>
      </w:r>
      <w:r>
        <w:rPr>
          <w:rFonts w:cs="Arial"/>
          <w:color w:val="000000"/>
          <w:shd w:val="clear" w:color="auto" w:fill="FFFFFF"/>
        </w:rPr>
        <w:t>2018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and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2018–2019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school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years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shd w:val="clear" w:color="auto" w:fill="FFFFFF"/>
        </w:rPr>
        <w:t>(</w:t>
      </w:r>
      <w:hyperlink r:id="rId8" w:tgtFrame="_blank" w:tooltip="State Board of Education August 2019 Item 01 Memo" w:history="1">
        <w:r w:rsidRPr="00BB7A09">
          <w:rPr>
            <w:rFonts w:cs="Arial"/>
            <w:color w:val="0000FF"/>
            <w:u w:val="single"/>
            <w:shd w:val="clear" w:color="auto" w:fill="FFFFFF"/>
          </w:rPr>
          <w:t>https://www.cde.ca.gov/be/pn/im/documents/memo-pptb-amard-aug19item01.docx</w:t>
        </w:r>
      </w:hyperlink>
      <w:r w:rsidRPr="00BB7A09">
        <w:rPr>
          <w:rFonts w:cs="Arial"/>
          <w:shd w:val="clear" w:color="auto" w:fill="FFFFFF"/>
        </w:rPr>
        <w:t>).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analyses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showed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that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transfer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patterns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from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2017–2018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continued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="59C243D8" w:rsidRPr="00BB7A09">
        <w:rPr>
          <w:rFonts w:cs="Arial"/>
          <w:color w:val="000000"/>
          <w:shd w:val="clear" w:color="auto" w:fill="FFFFFF"/>
        </w:rPr>
        <w:t>i</w:t>
      </w:r>
      <w:r w:rsidRPr="00BB7A09">
        <w:rPr>
          <w:rFonts w:cs="Arial"/>
          <w:color w:val="000000"/>
          <w:shd w:val="clear" w:color="auto" w:fill="FFFFFF"/>
        </w:rPr>
        <w:t>nto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</w:p>
    <w:p w14:paraId="41FB0DFC" w14:textId="486F5319" w:rsidR="00BB7A09" w:rsidRDefault="00BB7A09" w:rsidP="0014572C">
      <w:pPr>
        <w:rPr>
          <w:rFonts w:cs="Arial"/>
          <w:color w:val="000000"/>
          <w:shd w:val="clear" w:color="auto" w:fill="FFFFFF"/>
        </w:rPr>
      </w:pPr>
      <w:r w:rsidRPr="00BB7A09">
        <w:rPr>
          <w:rFonts w:cs="Arial"/>
          <w:color w:val="000000"/>
          <w:shd w:val="clear" w:color="auto" w:fill="FFFFFF"/>
        </w:rPr>
        <w:t>2018–2019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school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year.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Monthly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counts,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race/ethnicity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student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group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counts,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program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student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group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counts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all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stayed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BB7A09">
        <w:rPr>
          <w:rFonts w:cs="Arial"/>
          <w:color w:val="000000"/>
          <w:shd w:val="clear" w:color="auto" w:fill="FFFFFF"/>
        </w:rPr>
        <w:t>relatively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consistent</w:t>
      </w:r>
      <w:proofErr w:type="gramEnd"/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between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2017–2018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2018–2019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school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years.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only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exception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was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notable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decrease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Foster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Youth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2018–2019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transfers.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Overall,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transfer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patterns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were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not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significantly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different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within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this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two-year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span.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Nevertheless,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CDE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committed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to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BB7A09">
        <w:rPr>
          <w:rFonts w:cs="Arial"/>
          <w:color w:val="000000"/>
          <w:shd w:val="clear" w:color="auto" w:fill="FFFFFF"/>
        </w:rPr>
        <w:t>conduct</w:t>
      </w:r>
      <w:proofErr w:type="gramEnd"/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additional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transfer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analyses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for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next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two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years.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In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2021,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CDE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will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report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the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enrollment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patterns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of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DASS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and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non-DASS</w:t>
      </w:r>
      <w:r w:rsidR="00627DA5">
        <w:rPr>
          <w:rFonts w:cs="Arial"/>
          <w:color w:val="000000"/>
          <w:shd w:val="clear" w:color="auto" w:fill="FFFFFF"/>
        </w:rPr>
        <w:t xml:space="preserve"> </w:t>
      </w:r>
      <w:r w:rsidRPr="00BB7A09">
        <w:rPr>
          <w:rFonts w:cs="Arial"/>
          <w:color w:val="000000"/>
          <w:shd w:val="clear" w:color="auto" w:fill="FFFFFF"/>
        </w:rPr>
        <w:t>schools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for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2019</w:t>
      </w:r>
      <w:r w:rsidR="009361E6">
        <w:rPr>
          <w:rFonts w:cs="Arial"/>
          <w:color w:val="000000" w:themeColor="text1"/>
        </w:rPr>
        <w:t>–</w:t>
      </w:r>
      <w:r w:rsidR="00E14972">
        <w:rPr>
          <w:rFonts w:cs="Arial"/>
          <w:color w:val="000000" w:themeColor="text1"/>
        </w:rPr>
        <w:t>20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school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year</w:t>
      </w:r>
      <w:r w:rsidR="00627DA5">
        <w:rPr>
          <w:rFonts w:cs="Arial"/>
          <w:color w:val="000000" w:themeColor="text1"/>
        </w:rPr>
        <w:t xml:space="preserve"> </w:t>
      </w:r>
      <w:r w:rsidR="2FF80D9A" w:rsidRPr="50B89F53">
        <w:rPr>
          <w:rFonts w:cs="Arial"/>
          <w:color w:val="000000" w:themeColor="text1"/>
        </w:rPr>
        <w:t>in</w:t>
      </w:r>
      <w:r w:rsidR="00627DA5">
        <w:rPr>
          <w:rFonts w:cs="Arial"/>
          <w:color w:val="000000" w:themeColor="text1"/>
        </w:rPr>
        <w:t xml:space="preserve"> </w:t>
      </w:r>
      <w:r w:rsidR="2FF80D9A" w:rsidRPr="50B89F53">
        <w:rPr>
          <w:rFonts w:cs="Arial"/>
          <w:color w:val="000000" w:themeColor="text1"/>
        </w:rPr>
        <w:t>an</w:t>
      </w:r>
      <w:r w:rsidR="00627DA5">
        <w:rPr>
          <w:rFonts w:cs="Arial"/>
          <w:color w:val="000000" w:themeColor="text1"/>
        </w:rPr>
        <w:t xml:space="preserve"> </w:t>
      </w:r>
      <w:r w:rsidR="2FF80D9A" w:rsidRPr="50B89F53">
        <w:rPr>
          <w:rFonts w:cs="Arial"/>
          <w:color w:val="000000" w:themeColor="text1"/>
        </w:rPr>
        <w:t>SBE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Information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Memorandum</w:t>
      </w:r>
      <w:r w:rsidRPr="00BB7A09">
        <w:rPr>
          <w:rFonts w:cs="Arial"/>
          <w:color w:val="000000"/>
          <w:shd w:val="clear" w:color="auto" w:fill="FFFFFF"/>
        </w:rPr>
        <w:t>.</w:t>
      </w:r>
    </w:p>
    <w:p w14:paraId="76B00A7D" w14:textId="26F1797A" w:rsidR="36927DA2" w:rsidRDefault="00337835" w:rsidP="002D4A4C">
      <w:pPr>
        <w:pStyle w:val="Heading3"/>
      </w:pPr>
      <w:r>
        <w:t>Student-Level</w:t>
      </w:r>
      <w:r w:rsidR="00627DA5">
        <w:t xml:space="preserve"> </w:t>
      </w:r>
      <w:r>
        <w:t>Data</w:t>
      </w:r>
      <w:r w:rsidR="00627DA5">
        <w:t xml:space="preserve"> </w:t>
      </w:r>
      <w:r>
        <w:t>Files</w:t>
      </w:r>
    </w:p>
    <w:p w14:paraId="4971A8BE" w14:textId="029CC2F3" w:rsidR="50B89F53" w:rsidRDefault="00C0119B" w:rsidP="3645919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</w:t>
      </w:r>
      <w:r w:rsidR="762900FE" w:rsidRPr="36459192">
        <w:rPr>
          <w:rFonts w:cs="Arial"/>
          <w:color w:val="000000" w:themeColor="text1"/>
        </w:rPr>
        <w:t>he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CDE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is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proposing</w:t>
      </w:r>
      <w:r w:rsidR="00627DA5">
        <w:rPr>
          <w:rFonts w:cs="Arial"/>
          <w:color w:val="000000" w:themeColor="text1"/>
        </w:rPr>
        <w:t xml:space="preserve"> </w:t>
      </w:r>
      <w:r w:rsidR="00E1497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37A7E042" w:rsidRPr="36459192">
        <w:rPr>
          <w:rFonts w:cs="Arial"/>
          <w:color w:val="000000" w:themeColor="text1"/>
        </w:rPr>
        <w:t>produc</w:t>
      </w:r>
      <w:r w:rsidR="00E14972">
        <w:rPr>
          <w:rFonts w:cs="Arial"/>
          <w:color w:val="000000" w:themeColor="text1"/>
        </w:rPr>
        <w:t>e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student-level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data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files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for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CCI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and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Academic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Indicator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share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with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authorized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LEA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staff</w:t>
      </w:r>
      <w:r w:rsidR="44F4CAEB" w:rsidRPr="36459192">
        <w:rPr>
          <w:rFonts w:cs="Arial"/>
          <w:color w:val="000000" w:themeColor="text1"/>
        </w:rPr>
        <w:t>.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For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past</w:t>
      </w:r>
      <w:r w:rsidR="00627DA5">
        <w:rPr>
          <w:rFonts w:cs="Arial"/>
          <w:color w:val="000000" w:themeColor="text1"/>
        </w:rPr>
        <w:t xml:space="preserve"> </w:t>
      </w:r>
      <w:proofErr w:type="gramStart"/>
      <w:r w:rsidR="44F4CAEB" w:rsidRPr="36459192">
        <w:rPr>
          <w:rFonts w:cs="Arial"/>
          <w:color w:val="000000" w:themeColor="text1"/>
        </w:rPr>
        <w:t>several</w:t>
      </w:r>
      <w:proofErr w:type="gramEnd"/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years,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LEAs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have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requested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access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student-level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reports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that</w:t>
      </w:r>
      <w:r w:rsidR="00627DA5">
        <w:rPr>
          <w:rFonts w:cs="Arial"/>
          <w:color w:val="000000" w:themeColor="text1"/>
        </w:rPr>
        <w:t xml:space="preserve"> </w:t>
      </w:r>
      <w:r w:rsidR="44F4CAEB" w:rsidRPr="36459192">
        <w:rPr>
          <w:rFonts w:cs="Arial"/>
          <w:color w:val="000000" w:themeColor="text1"/>
        </w:rPr>
        <w:t>identif</w:t>
      </w:r>
      <w:r w:rsidR="526F9C6B" w:rsidRPr="36459192">
        <w:rPr>
          <w:rFonts w:cs="Arial"/>
          <w:color w:val="000000" w:themeColor="text1"/>
        </w:rPr>
        <w:t>y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student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results</w:t>
      </w:r>
      <w:r w:rsidR="00627DA5">
        <w:rPr>
          <w:rFonts w:cs="Arial"/>
          <w:color w:val="000000" w:themeColor="text1"/>
        </w:rPr>
        <w:t xml:space="preserve"> </w:t>
      </w:r>
      <w:r w:rsidR="67C690BE" w:rsidRPr="36459192">
        <w:rPr>
          <w:rFonts w:cs="Arial"/>
          <w:color w:val="000000" w:themeColor="text1"/>
        </w:rPr>
        <w:t>in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both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indicators.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Currently,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LEAs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can</w:t>
      </w:r>
      <w:r w:rsidR="00627DA5">
        <w:rPr>
          <w:rFonts w:cs="Arial"/>
          <w:color w:val="000000" w:themeColor="text1"/>
        </w:rPr>
        <w:t xml:space="preserve"> </w:t>
      </w:r>
      <w:r w:rsidR="233AF4D5" w:rsidRPr="36459192">
        <w:rPr>
          <w:rFonts w:cs="Arial"/>
          <w:color w:val="000000" w:themeColor="text1"/>
        </w:rPr>
        <w:t>connect</w:t>
      </w:r>
      <w:r w:rsidR="00627DA5">
        <w:rPr>
          <w:rFonts w:cs="Arial"/>
          <w:color w:val="000000" w:themeColor="text1"/>
        </w:rPr>
        <w:t xml:space="preserve"> </w:t>
      </w:r>
      <w:r w:rsidR="233AF4D5" w:rsidRPr="3645919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4D6C0FC5" w:rsidRPr="36459192">
        <w:rPr>
          <w:rFonts w:cs="Arial"/>
          <w:color w:val="000000" w:themeColor="text1"/>
        </w:rPr>
        <w:t>specific</w:t>
      </w:r>
      <w:r w:rsidR="00627DA5">
        <w:rPr>
          <w:rFonts w:cs="Arial"/>
          <w:color w:val="000000" w:themeColor="text1"/>
        </w:rPr>
        <w:t xml:space="preserve"> </w:t>
      </w:r>
      <w:r w:rsidR="22E57117" w:rsidRPr="36459192">
        <w:rPr>
          <w:rFonts w:cs="Arial"/>
          <w:color w:val="000000" w:themeColor="text1"/>
        </w:rPr>
        <w:t>student-level</w:t>
      </w:r>
      <w:r w:rsidR="00627DA5">
        <w:rPr>
          <w:rFonts w:cs="Arial"/>
          <w:color w:val="000000" w:themeColor="text1"/>
        </w:rPr>
        <w:t xml:space="preserve"> </w:t>
      </w:r>
      <w:r w:rsidR="4D6C0FC5" w:rsidRPr="36459192">
        <w:rPr>
          <w:rFonts w:cs="Arial"/>
          <w:color w:val="000000" w:themeColor="text1"/>
        </w:rPr>
        <w:t>CALPADS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r</w:t>
      </w:r>
      <w:r w:rsidR="4D6C0FC5" w:rsidRPr="36459192">
        <w:rPr>
          <w:rFonts w:cs="Arial"/>
          <w:color w:val="000000" w:themeColor="text1"/>
        </w:rPr>
        <w:t>eports</w:t>
      </w:r>
      <w:r w:rsidR="00627DA5">
        <w:rPr>
          <w:rFonts w:cs="Arial"/>
          <w:color w:val="000000" w:themeColor="text1"/>
        </w:rPr>
        <w:t xml:space="preserve"> </w:t>
      </w:r>
      <w:r w:rsidR="360C0FE1" w:rsidRPr="36459192">
        <w:rPr>
          <w:rFonts w:cs="Arial"/>
          <w:color w:val="000000" w:themeColor="text1"/>
        </w:rPr>
        <w:t>that</w:t>
      </w:r>
      <w:r w:rsidR="00627DA5">
        <w:rPr>
          <w:rFonts w:cs="Arial"/>
          <w:color w:val="000000" w:themeColor="text1"/>
        </w:rPr>
        <w:t xml:space="preserve"> </w:t>
      </w:r>
      <w:proofErr w:type="gramStart"/>
      <w:r w:rsidR="360C0FE1" w:rsidRPr="36459192">
        <w:rPr>
          <w:rFonts w:cs="Arial"/>
          <w:color w:val="000000" w:themeColor="text1"/>
        </w:rPr>
        <w:t>are</w:t>
      </w:r>
      <w:r w:rsidR="00627DA5">
        <w:rPr>
          <w:rFonts w:cs="Arial"/>
          <w:color w:val="000000" w:themeColor="text1"/>
        </w:rPr>
        <w:t xml:space="preserve"> </w:t>
      </w:r>
      <w:r w:rsidR="360C0FE1" w:rsidRPr="36459192">
        <w:rPr>
          <w:rFonts w:cs="Arial"/>
          <w:color w:val="000000" w:themeColor="text1"/>
        </w:rPr>
        <w:t>tied</w:t>
      </w:r>
      <w:proofErr w:type="gramEnd"/>
      <w:r w:rsidR="00627DA5">
        <w:rPr>
          <w:rFonts w:cs="Arial"/>
          <w:color w:val="000000" w:themeColor="text1"/>
        </w:rPr>
        <w:t xml:space="preserve"> </w:t>
      </w:r>
      <w:r w:rsidR="360C0FE1" w:rsidRPr="3645919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360C0FE1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360C0FE1" w:rsidRPr="36459192">
        <w:rPr>
          <w:rFonts w:cs="Arial"/>
          <w:color w:val="000000" w:themeColor="text1"/>
        </w:rPr>
        <w:t>following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California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School</w:t>
      </w:r>
      <w:r w:rsidR="00627DA5">
        <w:rPr>
          <w:rFonts w:cs="Arial"/>
          <w:color w:val="000000" w:themeColor="text1"/>
        </w:rPr>
        <w:t xml:space="preserve"> </w:t>
      </w:r>
      <w:r w:rsidR="209F1292" w:rsidRPr="36459192">
        <w:rPr>
          <w:rFonts w:cs="Arial"/>
          <w:color w:val="000000" w:themeColor="text1"/>
        </w:rPr>
        <w:t>Dashboard</w:t>
      </w:r>
      <w:r w:rsidR="00627DA5">
        <w:rPr>
          <w:rFonts w:cs="Arial"/>
          <w:color w:val="000000" w:themeColor="text1"/>
        </w:rPr>
        <w:t xml:space="preserve"> </w:t>
      </w:r>
      <w:r w:rsidR="009361E6">
        <w:rPr>
          <w:rFonts w:cs="Arial"/>
          <w:color w:val="000000" w:themeColor="text1"/>
        </w:rPr>
        <w:t>(Dashboard)</w:t>
      </w:r>
      <w:r w:rsidR="00627DA5">
        <w:rPr>
          <w:rFonts w:cs="Arial"/>
          <w:color w:val="000000" w:themeColor="text1"/>
        </w:rPr>
        <w:t xml:space="preserve"> </w:t>
      </w:r>
      <w:r w:rsidR="209F1292" w:rsidRPr="36459192">
        <w:rPr>
          <w:rFonts w:cs="Arial"/>
          <w:color w:val="000000" w:themeColor="text1"/>
        </w:rPr>
        <w:t>state</w:t>
      </w:r>
      <w:r w:rsidR="00627DA5">
        <w:rPr>
          <w:rFonts w:cs="Arial"/>
          <w:color w:val="000000" w:themeColor="text1"/>
        </w:rPr>
        <w:t xml:space="preserve"> </w:t>
      </w:r>
      <w:r w:rsidR="209F1292" w:rsidRPr="36459192">
        <w:rPr>
          <w:rFonts w:cs="Arial"/>
          <w:color w:val="000000" w:themeColor="text1"/>
        </w:rPr>
        <w:t>indicators</w:t>
      </w:r>
      <w:r w:rsidR="476FA988" w:rsidRPr="36459192">
        <w:rPr>
          <w:rFonts w:cs="Arial"/>
          <w:color w:val="000000" w:themeColor="text1"/>
        </w:rPr>
        <w:t>:</w:t>
      </w:r>
      <w:r w:rsidR="00627DA5">
        <w:rPr>
          <w:rFonts w:cs="Arial"/>
          <w:color w:val="000000" w:themeColor="text1"/>
        </w:rPr>
        <w:t xml:space="preserve"> </w:t>
      </w:r>
      <w:r w:rsidR="328D69AE" w:rsidRPr="36459192">
        <w:rPr>
          <w:rFonts w:cs="Arial"/>
          <w:color w:val="000000" w:themeColor="text1"/>
        </w:rPr>
        <w:t>gradu</w:t>
      </w:r>
      <w:r w:rsidR="0F81C1A0" w:rsidRPr="36459192">
        <w:rPr>
          <w:rFonts w:cs="Arial"/>
          <w:color w:val="000000" w:themeColor="text1"/>
        </w:rPr>
        <w:t>ation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rate,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chronic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absenteeism,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and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suspension</w:t>
      </w:r>
      <w:r w:rsidR="00627DA5">
        <w:rPr>
          <w:rFonts w:cs="Arial"/>
          <w:color w:val="000000" w:themeColor="text1"/>
        </w:rPr>
        <w:t xml:space="preserve"> </w:t>
      </w:r>
      <w:r w:rsidR="0F81C1A0" w:rsidRPr="36459192">
        <w:rPr>
          <w:rFonts w:cs="Arial"/>
          <w:color w:val="000000" w:themeColor="text1"/>
        </w:rPr>
        <w:t>rate</w:t>
      </w:r>
      <w:r w:rsidR="75C03D55" w:rsidRPr="36459192">
        <w:rPr>
          <w:rFonts w:cs="Arial"/>
          <w:color w:val="000000" w:themeColor="text1"/>
        </w:rPr>
        <w:t>.</w:t>
      </w:r>
      <w:r w:rsidR="00627DA5">
        <w:rPr>
          <w:rFonts w:cs="Arial"/>
          <w:color w:val="000000" w:themeColor="text1"/>
        </w:rPr>
        <w:t xml:space="preserve"> </w:t>
      </w:r>
      <w:r w:rsidR="223D63A9" w:rsidRPr="36459192">
        <w:rPr>
          <w:rFonts w:cs="Arial"/>
          <w:color w:val="000000" w:themeColor="text1"/>
        </w:rPr>
        <w:t>While</w:t>
      </w:r>
      <w:r w:rsidR="00627DA5">
        <w:rPr>
          <w:rFonts w:cs="Arial"/>
          <w:color w:val="000000" w:themeColor="text1"/>
        </w:rPr>
        <w:t xml:space="preserve"> </w:t>
      </w:r>
      <w:r w:rsidR="223D63A9" w:rsidRPr="36459192">
        <w:rPr>
          <w:rFonts w:cs="Arial"/>
          <w:color w:val="000000" w:themeColor="text1"/>
        </w:rPr>
        <w:t>LEAs</w:t>
      </w:r>
      <w:r w:rsidR="00627DA5">
        <w:rPr>
          <w:rFonts w:cs="Arial"/>
          <w:color w:val="000000" w:themeColor="text1"/>
        </w:rPr>
        <w:t xml:space="preserve"> </w:t>
      </w:r>
      <w:r w:rsidR="223D63A9" w:rsidRPr="36459192">
        <w:rPr>
          <w:rFonts w:cs="Arial"/>
          <w:color w:val="000000" w:themeColor="text1"/>
        </w:rPr>
        <w:t>can</w:t>
      </w:r>
      <w:r w:rsidR="00627DA5">
        <w:rPr>
          <w:rFonts w:cs="Arial"/>
          <w:color w:val="000000" w:themeColor="text1"/>
        </w:rPr>
        <w:t xml:space="preserve"> </w:t>
      </w:r>
      <w:r w:rsidR="223D63A9" w:rsidRPr="36459192">
        <w:rPr>
          <w:rFonts w:cs="Arial"/>
          <w:color w:val="000000" w:themeColor="text1"/>
        </w:rPr>
        <w:t>also</w:t>
      </w:r>
      <w:r w:rsidR="00627DA5">
        <w:rPr>
          <w:rFonts w:cs="Arial"/>
          <w:color w:val="000000" w:themeColor="text1"/>
        </w:rPr>
        <w:t xml:space="preserve"> </w:t>
      </w:r>
      <w:r w:rsidR="223D63A9" w:rsidRPr="36459192">
        <w:rPr>
          <w:rFonts w:cs="Arial"/>
          <w:color w:val="000000" w:themeColor="text1"/>
        </w:rPr>
        <w:t>access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CCI</w:t>
      </w:r>
      <w:r w:rsidR="00627DA5">
        <w:rPr>
          <w:rFonts w:cs="Arial"/>
          <w:color w:val="000000" w:themeColor="text1"/>
        </w:rPr>
        <w:t xml:space="preserve"> </w:t>
      </w:r>
      <w:r w:rsidR="7E600792" w:rsidRPr="36459192">
        <w:rPr>
          <w:rFonts w:cs="Arial"/>
          <w:color w:val="000000" w:themeColor="text1"/>
        </w:rPr>
        <w:t>results</w:t>
      </w:r>
      <w:r w:rsidR="00627DA5">
        <w:rPr>
          <w:rFonts w:cs="Arial"/>
          <w:color w:val="000000" w:themeColor="text1"/>
        </w:rPr>
        <w:t xml:space="preserve"> </w:t>
      </w:r>
      <w:r w:rsidR="7E600792" w:rsidRPr="36459192">
        <w:rPr>
          <w:rFonts w:cs="Arial"/>
          <w:color w:val="000000" w:themeColor="text1"/>
        </w:rPr>
        <w:t>through</w:t>
      </w:r>
      <w:r w:rsidR="00627DA5">
        <w:rPr>
          <w:rFonts w:cs="Arial"/>
          <w:color w:val="000000" w:themeColor="text1"/>
        </w:rPr>
        <w:t xml:space="preserve"> </w:t>
      </w:r>
      <w:r w:rsidR="7E600792" w:rsidRPr="36459192">
        <w:rPr>
          <w:rFonts w:cs="Arial"/>
          <w:color w:val="000000" w:themeColor="text1"/>
        </w:rPr>
        <w:t>these</w:t>
      </w:r>
      <w:r w:rsidR="00627DA5">
        <w:rPr>
          <w:rFonts w:cs="Arial"/>
          <w:color w:val="000000" w:themeColor="text1"/>
        </w:rPr>
        <w:t xml:space="preserve"> </w:t>
      </w:r>
      <w:r w:rsidR="7E600792" w:rsidRPr="36459192">
        <w:rPr>
          <w:rFonts w:cs="Arial"/>
          <w:color w:val="000000" w:themeColor="text1"/>
        </w:rPr>
        <w:t>reports,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process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is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cumbersome</w:t>
      </w:r>
      <w:r w:rsidR="49FDD235" w:rsidRPr="36459192">
        <w:rPr>
          <w:rFonts w:cs="Arial"/>
          <w:color w:val="000000" w:themeColor="text1"/>
        </w:rPr>
        <w:t>,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as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indicator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contains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multiple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measures</w:t>
      </w:r>
      <w:r w:rsidR="00627DA5">
        <w:rPr>
          <w:rFonts w:cs="Arial"/>
          <w:color w:val="000000" w:themeColor="text1"/>
        </w:rPr>
        <w:t xml:space="preserve"> </w:t>
      </w:r>
      <w:r w:rsidR="193019B8" w:rsidRPr="36459192">
        <w:rPr>
          <w:rFonts w:cs="Arial"/>
          <w:color w:val="000000" w:themeColor="text1"/>
        </w:rPr>
        <w:t>and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LEAs</w:t>
      </w:r>
      <w:r w:rsidR="00627DA5">
        <w:rPr>
          <w:rFonts w:cs="Arial"/>
          <w:color w:val="000000" w:themeColor="text1"/>
        </w:rPr>
        <w:t xml:space="preserve"> </w:t>
      </w:r>
      <w:proofErr w:type="gramStart"/>
      <w:r w:rsidR="5C809D3C" w:rsidRPr="36459192">
        <w:rPr>
          <w:rFonts w:cs="Arial"/>
          <w:color w:val="000000" w:themeColor="text1"/>
        </w:rPr>
        <w:t>have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to</w:t>
      </w:r>
      <w:proofErr w:type="gramEnd"/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connect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multiple</w:t>
      </w:r>
      <w:r w:rsidR="00627DA5">
        <w:rPr>
          <w:rFonts w:cs="Arial"/>
          <w:color w:val="000000" w:themeColor="text1"/>
        </w:rPr>
        <w:t xml:space="preserve"> </w:t>
      </w:r>
      <w:r w:rsidR="5C809D3C" w:rsidRPr="36459192">
        <w:rPr>
          <w:rFonts w:cs="Arial"/>
          <w:color w:val="000000" w:themeColor="text1"/>
        </w:rPr>
        <w:t>CALPADS</w:t>
      </w:r>
      <w:r w:rsidR="00627DA5">
        <w:rPr>
          <w:rFonts w:cs="Arial"/>
          <w:color w:val="000000" w:themeColor="text1"/>
        </w:rPr>
        <w:t xml:space="preserve"> </w:t>
      </w:r>
      <w:r w:rsidR="615583BF" w:rsidRPr="36459192">
        <w:rPr>
          <w:rFonts w:cs="Arial"/>
          <w:color w:val="000000" w:themeColor="text1"/>
        </w:rPr>
        <w:t>r</w:t>
      </w:r>
      <w:r w:rsidR="5C809D3C" w:rsidRPr="36459192">
        <w:rPr>
          <w:rFonts w:cs="Arial"/>
          <w:color w:val="000000" w:themeColor="text1"/>
        </w:rPr>
        <w:t>eports</w:t>
      </w:r>
      <w:r w:rsidR="465574FE" w:rsidRPr="36459192">
        <w:rPr>
          <w:rFonts w:cs="Arial"/>
          <w:color w:val="000000" w:themeColor="text1"/>
        </w:rPr>
        <w:t>.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By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developing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a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streamlined</w:t>
      </w:r>
      <w:r w:rsidR="00627DA5">
        <w:rPr>
          <w:rFonts w:cs="Arial"/>
          <w:color w:val="000000" w:themeColor="text1"/>
        </w:rPr>
        <w:t xml:space="preserve"> </w:t>
      </w:r>
      <w:r w:rsidR="7B69591B" w:rsidRPr="36459192">
        <w:rPr>
          <w:rFonts w:cs="Arial"/>
          <w:color w:val="000000" w:themeColor="text1"/>
        </w:rPr>
        <w:t>student-level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report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for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2C280DEE" w:rsidRPr="36459192">
        <w:rPr>
          <w:rFonts w:cs="Arial"/>
          <w:color w:val="000000" w:themeColor="text1"/>
        </w:rPr>
        <w:t>CCI</w:t>
      </w:r>
      <w:r w:rsidR="00627DA5">
        <w:rPr>
          <w:rFonts w:cs="Arial"/>
          <w:color w:val="000000" w:themeColor="text1"/>
        </w:rPr>
        <w:t xml:space="preserve"> </w:t>
      </w:r>
      <w:r w:rsidR="1114819D" w:rsidRPr="36459192">
        <w:rPr>
          <w:rFonts w:cs="Arial"/>
          <w:color w:val="000000" w:themeColor="text1"/>
        </w:rPr>
        <w:t>and</w:t>
      </w:r>
      <w:r w:rsidR="00627DA5">
        <w:rPr>
          <w:rFonts w:cs="Arial"/>
          <w:color w:val="000000" w:themeColor="text1"/>
        </w:rPr>
        <w:t xml:space="preserve"> </w:t>
      </w:r>
      <w:r w:rsidR="3FC252BF" w:rsidRPr="36459192">
        <w:rPr>
          <w:rFonts w:cs="Arial"/>
          <w:color w:val="000000" w:themeColor="text1"/>
        </w:rPr>
        <w:t>Academic</w:t>
      </w:r>
      <w:r w:rsidR="00627DA5">
        <w:rPr>
          <w:rFonts w:cs="Arial"/>
          <w:color w:val="000000" w:themeColor="text1"/>
        </w:rPr>
        <w:t xml:space="preserve"> </w:t>
      </w:r>
      <w:r w:rsidR="3FC252BF" w:rsidRPr="36459192">
        <w:rPr>
          <w:rFonts w:cs="Arial"/>
          <w:color w:val="000000" w:themeColor="text1"/>
        </w:rPr>
        <w:t>Indicator</w:t>
      </w:r>
      <w:r w:rsidR="48FFBE47" w:rsidRPr="36459192">
        <w:rPr>
          <w:rFonts w:cs="Arial"/>
          <w:color w:val="000000" w:themeColor="text1"/>
        </w:rPr>
        <w:t>,</w:t>
      </w:r>
      <w:r w:rsidR="00627DA5">
        <w:rPr>
          <w:rFonts w:cs="Arial"/>
          <w:color w:val="000000" w:themeColor="text1"/>
        </w:rPr>
        <w:t xml:space="preserve"> </w:t>
      </w:r>
      <w:r w:rsidR="0B545F1B" w:rsidRPr="36459192">
        <w:rPr>
          <w:rFonts w:cs="Arial"/>
          <w:color w:val="000000" w:themeColor="text1"/>
        </w:rPr>
        <w:t>LEAs</w:t>
      </w:r>
      <w:r w:rsidR="00627DA5">
        <w:rPr>
          <w:rFonts w:cs="Arial"/>
          <w:color w:val="000000" w:themeColor="text1"/>
        </w:rPr>
        <w:t xml:space="preserve"> </w:t>
      </w:r>
      <w:r w:rsidR="0B545F1B" w:rsidRPr="36459192">
        <w:rPr>
          <w:rFonts w:cs="Arial"/>
          <w:color w:val="000000" w:themeColor="text1"/>
        </w:rPr>
        <w:t>wi</w:t>
      </w:r>
      <w:r w:rsidR="25313C6C" w:rsidRPr="36459192">
        <w:rPr>
          <w:rFonts w:cs="Arial"/>
          <w:color w:val="000000" w:themeColor="text1"/>
        </w:rPr>
        <w:t>ll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have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the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data</w:t>
      </w:r>
      <w:r w:rsidR="00627DA5">
        <w:rPr>
          <w:rFonts w:cs="Arial"/>
          <w:color w:val="000000" w:themeColor="text1"/>
        </w:rPr>
        <w:t xml:space="preserve"> </w:t>
      </w:r>
      <w:r w:rsidR="00CD2533">
        <w:rPr>
          <w:rFonts w:cs="Arial"/>
          <w:color w:val="000000" w:themeColor="text1"/>
        </w:rPr>
        <w:t>necessary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to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conduct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deep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analyses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for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all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state</w:t>
      </w:r>
      <w:r w:rsidR="00627DA5">
        <w:rPr>
          <w:rFonts w:cs="Arial"/>
          <w:color w:val="000000" w:themeColor="text1"/>
        </w:rPr>
        <w:t xml:space="preserve"> </w:t>
      </w:r>
      <w:r w:rsidR="25313C6C" w:rsidRPr="36459192">
        <w:rPr>
          <w:rFonts w:cs="Arial"/>
          <w:color w:val="000000" w:themeColor="text1"/>
        </w:rPr>
        <w:t>indicators.</w:t>
      </w:r>
    </w:p>
    <w:p w14:paraId="61BBB694" w14:textId="61562C3D" w:rsidR="001F1AA8" w:rsidRPr="00002A5D" w:rsidRDefault="00337835" w:rsidP="002D4A4C">
      <w:pPr>
        <w:pStyle w:val="Heading3"/>
      </w:pPr>
      <w:r w:rsidRPr="00002A5D">
        <w:lastRenderedPageBreak/>
        <w:t>Ineffective</w:t>
      </w:r>
      <w:r w:rsidR="00627DA5">
        <w:t xml:space="preserve"> </w:t>
      </w:r>
      <w:r w:rsidRPr="00002A5D">
        <w:t>and</w:t>
      </w:r>
      <w:r w:rsidR="00627DA5">
        <w:t xml:space="preserve"> </w:t>
      </w:r>
      <w:r w:rsidRPr="00002A5D">
        <w:t>Out-of-Field</w:t>
      </w:r>
      <w:r w:rsidR="00627DA5">
        <w:t xml:space="preserve"> </w:t>
      </w:r>
      <w:r w:rsidRPr="00002A5D">
        <w:t>Teachers</w:t>
      </w:r>
    </w:p>
    <w:p w14:paraId="670AF7CD" w14:textId="7E9C8C57" w:rsidR="00C0119B" w:rsidRPr="00C0119B" w:rsidRDefault="00337835" w:rsidP="002D4A4C">
      <w:pPr>
        <w:keepNext/>
        <w:keepLines/>
      </w:pPr>
      <w:r>
        <w:rPr>
          <w:rFonts w:eastAsia="Arial" w:cs="Arial"/>
          <w:color w:val="212121"/>
        </w:rPr>
        <w:t>In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February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2021,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CDE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received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data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on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“Ineffective”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and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“Out-of-Field”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teachers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from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California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Commission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on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Teacher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Credentialing.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These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data</w:t>
      </w:r>
      <w:r w:rsidR="00627DA5">
        <w:rPr>
          <w:rFonts w:eastAsia="Arial" w:cs="Arial"/>
          <w:color w:val="212121"/>
        </w:rPr>
        <w:t xml:space="preserve"> </w:t>
      </w:r>
      <w:proofErr w:type="gramStart"/>
      <w:r w:rsidR="7540A2A2" w:rsidRPr="00F600D7">
        <w:rPr>
          <w:rFonts w:eastAsia="Arial" w:cs="Arial"/>
          <w:color w:val="212121"/>
        </w:rPr>
        <w:t>are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required</w:t>
      </w:r>
      <w:proofErr w:type="gramEnd"/>
      <w:r w:rsidR="00627DA5">
        <w:rPr>
          <w:rFonts w:eastAsia="Arial" w:cs="Arial"/>
          <w:color w:val="212121"/>
        </w:rPr>
        <w:t xml:space="preserve"> </w:t>
      </w:r>
      <w:r w:rsidR="00E41B21">
        <w:rPr>
          <w:rFonts w:eastAsia="Arial" w:cs="Arial"/>
          <w:color w:val="212121"/>
        </w:rPr>
        <w:t>to</w:t>
      </w:r>
      <w:r w:rsidR="00627DA5">
        <w:rPr>
          <w:rFonts w:eastAsia="Arial" w:cs="Arial"/>
          <w:color w:val="212121"/>
        </w:rPr>
        <w:t xml:space="preserve"> </w:t>
      </w:r>
      <w:r w:rsidR="00E41B21">
        <w:rPr>
          <w:rFonts w:eastAsia="Arial" w:cs="Arial"/>
          <w:color w:val="212121"/>
        </w:rPr>
        <w:t>be</w:t>
      </w:r>
      <w:r w:rsidR="00627DA5">
        <w:rPr>
          <w:rFonts w:eastAsia="Arial" w:cs="Arial"/>
          <w:color w:val="212121"/>
        </w:rPr>
        <w:t xml:space="preserve"> </w:t>
      </w:r>
      <w:r w:rsidR="00E41B21">
        <w:rPr>
          <w:rFonts w:eastAsia="Arial" w:cs="Arial"/>
          <w:color w:val="212121"/>
        </w:rPr>
        <w:t>reported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in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Priority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Area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1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under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LCFF.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Additionally,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these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data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are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required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to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meet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federal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reporting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requirement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under</w:t>
      </w:r>
      <w:r w:rsidR="00627DA5">
        <w:rPr>
          <w:rFonts w:eastAsia="Arial" w:cs="Arial"/>
          <w:color w:val="212121"/>
        </w:rPr>
        <w:t xml:space="preserve"> </w:t>
      </w:r>
      <w:proofErr w:type="gramStart"/>
      <w:r w:rsidR="7540A2A2" w:rsidRPr="00F600D7">
        <w:rPr>
          <w:rFonts w:eastAsia="Arial" w:cs="Arial"/>
          <w:color w:val="212121"/>
        </w:rPr>
        <w:t>the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Every</w:t>
      </w:r>
      <w:proofErr w:type="gramEnd"/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Student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Succeeds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Act.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CDE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anticipates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making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these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data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publicly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available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on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DataQuest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in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spring</w:t>
      </w:r>
      <w:r w:rsidR="00627DA5">
        <w:rPr>
          <w:rFonts w:eastAsia="Arial" w:cs="Arial"/>
          <w:color w:val="212121"/>
        </w:rPr>
        <w:t xml:space="preserve"> </w:t>
      </w:r>
      <w:r w:rsidR="7540A2A2" w:rsidRPr="00F600D7">
        <w:rPr>
          <w:rFonts w:eastAsia="Arial" w:cs="Arial"/>
          <w:color w:val="212121"/>
        </w:rPr>
        <w:t>2021.</w:t>
      </w:r>
    </w:p>
    <w:p w14:paraId="71D05F1D" w14:textId="5DB44691" w:rsidR="0014572C" w:rsidRPr="0014572C" w:rsidRDefault="0014572C" w:rsidP="00170C6D">
      <w:pPr>
        <w:pStyle w:val="Heading4"/>
        <w:rPr>
          <w:rStyle w:val="eop"/>
          <w:b/>
          <w:i w:val="0"/>
          <w:iCs w:val="0"/>
        </w:rPr>
      </w:pPr>
      <w:r w:rsidRPr="15A64640">
        <w:rPr>
          <w:rStyle w:val="eop"/>
        </w:rPr>
        <w:t>R</w:t>
      </w:r>
      <w:r w:rsidR="00002A5D" w:rsidRPr="15A64640">
        <w:rPr>
          <w:rStyle w:val="eop"/>
        </w:rPr>
        <w:t>eporting</w:t>
      </w:r>
      <w:r w:rsidR="00627DA5">
        <w:rPr>
          <w:rStyle w:val="eop"/>
          <w:b/>
          <w:i w:val="0"/>
          <w:iCs w:val="0"/>
        </w:rPr>
        <w:t xml:space="preserve"> </w:t>
      </w:r>
      <w:r w:rsidRPr="15A64640">
        <w:rPr>
          <w:rStyle w:val="eop"/>
        </w:rPr>
        <w:t>the</w:t>
      </w:r>
      <w:r w:rsidR="00627DA5">
        <w:rPr>
          <w:rStyle w:val="eop"/>
          <w:b/>
          <w:i w:val="0"/>
          <w:iCs w:val="0"/>
        </w:rPr>
        <w:t xml:space="preserve"> </w:t>
      </w:r>
      <w:r w:rsidRPr="15A64640">
        <w:rPr>
          <w:rStyle w:val="eop"/>
        </w:rPr>
        <w:t>Student</w:t>
      </w:r>
      <w:r w:rsidR="00627DA5">
        <w:rPr>
          <w:rStyle w:val="eop"/>
          <w:b/>
          <w:i w:val="0"/>
          <w:iCs w:val="0"/>
        </w:rPr>
        <w:t xml:space="preserve"> </w:t>
      </w:r>
      <w:r w:rsidRPr="15A64640">
        <w:rPr>
          <w:rStyle w:val="eop"/>
        </w:rPr>
        <w:t>Growth</w:t>
      </w:r>
      <w:r w:rsidR="00627DA5">
        <w:rPr>
          <w:rStyle w:val="eop"/>
          <w:b/>
          <w:i w:val="0"/>
          <w:iCs w:val="0"/>
        </w:rPr>
        <w:t xml:space="preserve"> </w:t>
      </w:r>
      <w:r w:rsidRPr="15A64640">
        <w:rPr>
          <w:rStyle w:val="eop"/>
        </w:rPr>
        <w:t>Model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Results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and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Development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of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a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15A64640">
        <w:rPr>
          <w:rStyle w:val="eop"/>
        </w:rPr>
        <w:t>Communications</w:t>
      </w:r>
      <w:r w:rsidR="00627DA5">
        <w:rPr>
          <w:rStyle w:val="eop"/>
          <w:b/>
          <w:i w:val="0"/>
          <w:iCs w:val="0"/>
        </w:rPr>
        <w:t xml:space="preserve"> </w:t>
      </w:r>
      <w:r w:rsidR="00002A5D" w:rsidRPr="002D4A4C">
        <w:rPr>
          <w:rStyle w:val="eop"/>
        </w:rPr>
        <w:t>Plan</w:t>
      </w:r>
    </w:p>
    <w:p w14:paraId="3FF98F14" w14:textId="30DEC6AB" w:rsidR="007E0B27" w:rsidRDefault="00C86217" w:rsidP="002D4A4C">
      <w:pPr>
        <w:spacing w:before="240" w:after="240"/>
        <w:textAlignment w:val="baseline"/>
        <w:rPr>
          <w:rStyle w:val="normaltextrun"/>
          <w:rFonts w:eastAsiaTheme="majorEastAsia" w:cs="Arial"/>
        </w:rPr>
      </w:pPr>
      <w:r w:rsidRPr="127C0C4D">
        <w:rPr>
          <w:rStyle w:val="normaltextrun"/>
          <w:rFonts w:eastAsiaTheme="majorEastAsia" w:cs="Arial"/>
        </w:rPr>
        <w:t>In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March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2021,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CDE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will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recommend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that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SBE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adopt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Student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Growth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Model,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which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includes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Residual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Gain</w:t>
      </w:r>
      <w:r w:rsidR="00627DA5">
        <w:rPr>
          <w:rStyle w:val="normaltextrun"/>
          <w:rFonts w:eastAsiaTheme="majorEastAsia" w:cs="Arial"/>
        </w:rPr>
        <w:t xml:space="preserve"> </w:t>
      </w:r>
      <w:r w:rsidRPr="127C0C4D">
        <w:rPr>
          <w:rStyle w:val="normaltextrun"/>
          <w:rFonts w:eastAsiaTheme="majorEastAsia" w:cs="Arial"/>
        </w:rPr>
        <w:t>(RG)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model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and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Empirical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Best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Linea</w:t>
      </w:r>
      <w:r w:rsidR="00866616" w:rsidRPr="127C0C4D">
        <w:rPr>
          <w:rStyle w:val="normaltextrun"/>
          <w:rFonts w:eastAsiaTheme="majorEastAsia" w:cs="Arial"/>
        </w:rPr>
        <w:t>r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Prediction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(EBLP)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methodology,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as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detailed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in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a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February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2021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SBE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Information</w:t>
      </w:r>
      <w:r w:rsidR="00627DA5">
        <w:rPr>
          <w:rStyle w:val="normaltextrun"/>
          <w:rFonts w:eastAsiaTheme="majorEastAsia" w:cs="Arial"/>
        </w:rPr>
        <w:t xml:space="preserve"> </w:t>
      </w:r>
      <w:r w:rsidR="00866616" w:rsidRPr="127C0C4D">
        <w:rPr>
          <w:rStyle w:val="normaltextrun"/>
          <w:rFonts w:eastAsiaTheme="majorEastAsia" w:cs="Arial"/>
        </w:rPr>
        <w:t>Memorandum</w:t>
      </w:r>
      <w:r w:rsidR="6F9E498F" w:rsidRPr="127C0C4D">
        <w:rPr>
          <w:rStyle w:val="normaltextrun"/>
          <w:rFonts w:eastAsiaTheme="majorEastAsia" w:cs="Arial"/>
        </w:rPr>
        <w:t>.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If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SBE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adopts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this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model,</w:t>
      </w:r>
      <w:r w:rsidR="00627DA5">
        <w:rPr>
          <w:rStyle w:val="normaltextrun"/>
          <w:rFonts w:eastAsiaTheme="majorEastAsia" w:cs="Arial"/>
        </w:rPr>
        <w:t xml:space="preserve"> </w:t>
      </w:r>
      <w:r w:rsidR="007E0B27">
        <w:rPr>
          <w:rStyle w:val="normaltextrun"/>
          <w:rFonts w:eastAsiaTheme="majorEastAsia" w:cs="Arial"/>
        </w:rPr>
        <w:t>CDE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will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begin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to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report</w:t>
      </w:r>
      <w:r w:rsidR="00627DA5">
        <w:rPr>
          <w:rStyle w:val="normaltextrun"/>
          <w:rFonts w:eastAsiaTheme="majorEastAsia" w:cs="Arial"/>
        </w:rPr>
        <w:t xml:space="preserve"> </w:t>
      </w:r>
      <w:r w:rsidR="007E0B27">
        <w:rPr>
          <w:rStyle w:val="normaltextrun"/>
          <w:rFonts w:eastAsiaTheme="majorEastAsia" w:cs="Arial"/>
        </w:rPr>
        <w:t>historical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student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growth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scores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in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2021.</w:t>
      </w:r>
    </w:p>
    <w:p w14:paraId="3656B9AB" w14:textId="23408CE8" w:rsidR="0014572C" w:rsidRPr="00170C6D" w:rsidRDefault="007E0B27" w:rsidP="127C0C4D">
      <w:pPr>
        <w:textAlignment w:val="baseline"/>
      </w:pPr>
      <w:r>
        <w:rPr>
          <w:rStyle w:val="normaltextrun"/>
          <w:rFonts w:eastAsiaTheme="majorEastAsia" w:cs="Arial"/>
        </w:rPr>
        <w:t>CDE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will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also</w:t>
      </w:r>
      <w:r w:rsidR="00627DA5">
        <w:rPr>
          <w:rStyle w:val="normaltextrun"/>
          <w:rFonts w:eastAsiaTheme="majorEastAsia" w:cs="Arial"/>
        </w:rPr>
        <w:t xml:space="preserve"> </w:t>
      </w:r>
      <w:r>
        <w:rPr>
          <w:rStyle w:val="normaltextrun"/>
          <w:rFonts w:eastAsiaTheme="majorEastAsia" w:cs="Arial"/>
        </w:rPr>
        <w:t>begin</w:t>
      </w:r>
      <w:r w:rsidR="00627DA5">
        <w:rPr>
          <w:rStyle w:val="normaltextrun"/>
          <w:rFonts w:eastAsiaTheme="majorEastAsia" w:cs="Arial"/>
        </w:rPr>
        <w:t xml:space="preserve"> </w:t>
      </w:r>
      <w:r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develop</w:t>
      </w:r>
      <w:r>
        <w:rPr>
          <w:rStyle w:val="normaltextrun"/>
          <w:rFonts w:eastAsiaTheme="majorEastAsia" w:cs="Arial"/>
        </w:rPr>
        <w:t>ment</w:t>
      </w:r>
      <w:r w:rsidR="00627DA5">
        <w:rPr>
          <w:rStyle w:val="normaltextrun"/>
          <w:rFonts w:eastAsiaTheme="majorEastAsia" w:cs="Arial"/>
        </w:rPr>
        <w:t xml:space="preserve"> </w:t>
      </w:r>
      <w:r>
        <w:rPr>
          <w:rStyle w:val="normaltextrun"/>
          <w:rFonts w:eastAsiaTheme="majorEastAsia" w:cs="Arial"/>
        </w:rPr>
        <w:t>of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a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communication</w:t>
      </w:r>
      <w:r w:rsidR="00627DA5">
        <w:rPr>
          <w:rStyle w:val="normaltextrun"/>
          <w:rFonts w:eastAsiaTheme="majorEastAsia" w:cs="Arial"/>
        </w:rPr>
        <w:t xml:space="preserve"> </w:t>
      </w:r>
      <w:r w:rsidR="005A289F" w:rsidRPr="127C0C4D">
        <w:rPr>
          <w:rStyle w:val="normaltextrun"/>
          <w:rFonts w:eastAsiaTheme="majorEastAsia" w:cs="Arial"/>
        </w:rPr>
        <w:t>plan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for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Student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Growth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Model,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based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on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feedback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from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focus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groups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and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outreach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to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stakeholder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groups.</w:t>
      </w:r>
      <w:r w:rsidR="00627DA5">
        <w:rPr>
          <w:rStyle w:val="normaltextrun"/>
          <w:rFonts w:eastAsiaTheme="majorEastAsia" w:cs="Arial"/>
        </w:rPr>
        <w:t xml:space="preserve"> </w:t>
      </w:r>
      <w:r w:rsidR="00BF31F4">
        <w:rPr>
          <w:rStyle w:val="normaltextrun"/>
          <w:rFonts w:eastAsiaTheme="majorEastAsia" w:cs="Arial"/>
        </w:rPr>
        <w:t>In</w:t>
      </w:r>
      <w:r w:rsidR="00627DA5">
        <w:rPr>
          <w:rStyle w:val="normaltextrun"/>
          <w:rFonts w:eastAsiaTheme="majorEastAsia" w:cs="Arial"/>
        </w:rPr>
        <w:t xml:space="preserve"> </w:t>
      </w:r>
      <w:r w:rsidR="00BF31F4">
        <w:rPr>
          <w:rStyle w:val="normaltextrun"/>
          <w:rFonts w:eastAsiaTheme="majorEastAsia" w:cs="Arial"/>
        </w:rPr>
        <w:t>addition,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CDE</w:t>
      </w:r>
      <w:r w:rsidR="00627DA5">
        <w:rPr>
          <w:rStyle w:val="normaltextrun"/>
          <w:rFonts w:eastAsiaTheme="majorEastAsia" w:cs="Arial"/>
        </w:rPr>
        <w:t xml:space="preserve"> </w:t>
      </w:r>
      <w:r w:rsidR="00BB7A09" w:rsidRPr="127C0C4D">
        <w:rPr>
          <w:rStyle w:val="normaltextrun"/>
          <w:rFonts w:eastAsiaTheme="majorEastAsia" w:cs="Arial"/>
        </w:rPr>
        <w:t>will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develop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a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report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that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displays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the</w:t>
      </w:r>
      <w:r w:rsidR="00627DA5">
        <w:rPr>
          <w:rStyle w:val="normaltextrun"/>
          <w:rFonts w:eastAsiaTheme="majorEastAsia" w:cs="Arial"/>
          <w:color w:val="000000" w:themeColor="text1"/>
        </w:rPr>
        <w:t xml:space="preserve"> </w:t>
      </w:r>
      <w:r w:rsidR="00C62ECA">
        <w:rPr>
          <w:rStyle w:val="normaltextrun"/>
          <w:rFonts w:eastAsiaTheme="majorEastAsia" w:cs="Arial"/>
          <w:color w:val="000000" w:themeColor="text1"/>
        </w:rPr>
        <w:t>ELPAC</w:t>
      </w:r>
      <w:r w:rsidR="00627DA5">
        <w:rPr>
          <w:rStyle w:val="normaltextrun"/>
          <w:rFonts w:eastAsiaTheme="majorEastAsia" w:cs="Arial"/>
          <w:color w:val="000000" w:themeColor="text1"/>
        </w:rPr>
        <w:t xml:space="preserve"> </w:t>
      </w:r>
      <w:r w:rsidR="00BF31F4">
        <w:rPr>
          <w:rStyle w:val="normaltextrun"/>
          <w:rFonts w:eastAsiaTheme="majorEastAsia" w:cs="Arial"/>
          <w:color w:val="000000" w:themeColor="text1"/>
        </w:rPr>
        <w:t>l</w:t>
      </w:r>
      <w:r w:rsidR="00DF3D92" w:rsidRPr="127C0C4D">
        <w:rPr>
          <w:rStyle w:val="normaltextrun"/>
          <w:rFonts w:eastAsiaTheme="majorEastAsia" w:cs="Arial"/>
        </w:rPr>
        <w:t>evels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with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growth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score</w:t>
      </w:r>
      <w:r w:rsidR="00627DA5">
        <w:rPr>
          <w:rStyle w:val="normaltextrun"/>
          <w:rFonts w:eastAsiaTheme="majorEastAsia" w:cs="Arial"/>
        </w:rPr>
        <w:t xml:space="preserve"> </w:t>
      </w:r>
      <w:r w:rsidR="00DF3D92" w:rsidRPr="127C0C4D">
        <w:rPr>
          <w:rStyle w:val="normaltextrun"/>
          <w:rFonts w:eastAsiaTheme="majorEastAsia" w:cs="Arial"/>
        </w:rPr>
        <w:t>results.</w:t>
      </w:r>
    </w:p>
    <w:p w14:paraId="20DFB624" w14:textId="254A9622" w:rsidR="0014572C" w:rsidRPr="00170C6D" w:rsidRDefault="00C0119B" w:rsidP="00170C6D">
      <w:pPr>
        <w:pStyle w:val="Heading4"/>
        <w:rPr>
          <w:rStyle w:val="normaltextrun"/>
        </w:rPr>
      </w:pPr>
      <w:r w:rsidRPr="00170C6D">
        <w:rPr>
          <w:rStyle w:val="normaltextrun"/>
        </w:rPr>
        <w:t>Update</w:t>
      </w:r>
      <w:r w:rsidR="00627DA5" w:rsidRPr="00170C6D">
        <w:rPr>
          <w:rStyle w:val="normaltextrun"/>
        </w:rPr>
        <w:t xml:space="preserve"> </w:t>
      </w:r>
      <w:r w:rsidRPr="00170C6D">
        <w:rPr>
          <w:rStyle w:val="normaltextrun"/>
        </w:rPr>
        <w:t>on</w:t>
      </w:r>
      <w:r w:rsidR="00627DA5" w:rsidRPr="00170C6D">
        <w:rPr>
          <w:rStyle w:val="normaltextrun"/>
        </w:rPr>
        <w:t xml:space="preserve"> </w:t>
      </w:r>
      <w:r w:rsidRPr="00170C6D">
        <w:rPr>
          <w:rStyle w:val="normaltextrun"/>
        </w:rPr>
        <w:t>the</w:t>
      </w:r>
      <w:r w:rsidR="00627DA5" w:rsidRPr="00170C6D">
        <w:rPr>
          <w:rStyle w:val="normaltextrun"/>
        </w:rPr>
        <w:t xml:space="preserve"> </w:t>
      </w:r>
      <w:r w:rsidR="0014572C" w:rsidRPr="00170C6D">
        <w:rPr>
          <w:rStyle w:val="normaltextrun"/>
        </w:rPr>
        <w:t>Development</w:t>
      </w:r>
      <w:r w:rsidR="00627DA5" w:rsidRPr="00170C6D">
        <w:rPr>
          <w:rStyle w:val="normaltextrun"/>
        </w:rPr>
        <w:t xml:space="preserve"> </w:t>
      </w:r>
      <w:r w:rsidR="0014572C" w:rsidRPr="00170C6D">
        <w:rPr>
          <w:rStyle w:val="normaltextrun"/>
        </w:rPr>
        <w:t>of</w:t>
      </w:r>
      <w:r w:rsidR="00627DA5" w:rsidRPr="00170C6D">
        <w:rPr>
          <w:rStyle w:val="normaltextrun"/>
        </w:rPr>
        <w:t xml:space="preserve"> </w:t>
      </w:r>
      <w:r w:rsidR="0014572C" w:rsidRPr="00170C6D">
        <w:rPr>
          <w:rStyle w:val="normaltextrun"/>
        </w:rPr>
        <w:t>New</w:t>
      </w:r>
      <w:r w:rsidR="00627DA5" w:rsidRPr="00170C6D">
        <w:rPr>
          <w:rStyle w:val="normaltextrun"/>
        </w:rPr>
        <w:t xml:space="preserve"> </w:t>
      </w:r>
      <w:r w:rsidR="0014572C" w:rsidRPr="00170C6D">
        <w:rPr>
          <w:rStyle w:val="normaltextrun"/>
        </w:rPr>
        <w:t>CCI</w:t>
      </w:r>
      <w:r w:rsidR="00627DA5" w:rsidRPr="00170C6D">
        <w:rPr>
          <w:rStyle w:val="normaltextrun"/>
        </w:rPr>
        <w:t xml:space="preserve"> </w:t>
      </w:r>
      <w:r w:rsidR="0014572C" w:rsidRPr="00170C6D">
        <w:rPr>
          <w:rStyle w:val="normaltextrun"/>
        </w:rPr>
        <w:t>Measures</w:t>
      </w:r>
    </w:p>
    <w:p w14:paraId="45FB0818" w14:textId="5830F8A1" w:rsidR="00C86217" w:rsidRPr="002D4A4C" w:rsidRDefault="00C86217" w:rsidP="002D4A4C">
      <w:pPr>
        <w:spacing w:before="240" w:after="240"/>
        <w:rPr>
          <w:rStyle w:val="normaltextrun"/>
          <w:rFonts w:cs="Arial"/>
          <w:b/>
          <w:i/>
          <w:iCs/>
        </w:rPr>
      </w:pPr>
      <w:r w:rsidRPr="77585682">
        <w:rPr>
          <w:rStyle w:val="normaltextrun"/>
          <w:rFonts w:cs="Arial"/>
        </w:rPr>
        <w:t>The</w:t>
      </w:r>
      <w:r w:rsidR="00627DA5">
        <w:rPr>
          <w:rStyle w:val="normaltextrun"/>
          <w:rFonts w:cs="Arial"/>
        </w:rPr>
        <w:t xml:space="preserve"> </w:t>
      </w:r>
      <w:r w:rsidRPr="77585682">
        <w:rPr>
          <w:rStyle w:val="normaltextrun"/>
          <w:rFonts w:cs="Arial"/>
        </w:rPr>
        <w:t>CDE</w:t>
      </w:r>
      <w:r w:rsidR="00627DA5">
        <w:rPr>
          <w:rStyle w:val="normaltextrun"/>
          <w:rFonts w:cs="Arial"/>
        </w:rPr>
        <w:t xml:space="preserve"> </w:t>
      </w:r>
      <w:r w:rsidRPr="77585682">
        <w:rPr>
          <w:rStyle w:val="normaltextrun"/>
          <w:rFonts w:cs="Arial"/>
        </w:rPr>
        <w:t>remains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committed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to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building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out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the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CCI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over</w:t>
      </w:r>
      <w:r w:rsidR="00627DA5">
        <w:rPr>
          <w:rStyle w:val="normaltextrun"/>
          <w:rFonts w:cs="Arial"/>
        </w:rPr>
        <w:t xml:space="preserve"> </w:t>
      </w:r>
      <w:proofErr w:type="gramStart"/>
      <w:r w:rsidR="00DF3D92" w:rsidRPr="77585682">
        <w:rPr>
          <w:rStyle w:val="normaltextrun"/>
          <w:rFonts w:cs="Arial"/>
        </w:rPr>
        <w:t>several</w:t>
      </w:r>
      <w:proofErr w:type="gramEnd"/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years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as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data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becomes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available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to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include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additional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career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measures.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In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2021,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the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CDE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will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work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with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the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CCI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Work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Group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and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Task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Force</w:t>
      </w:r>
      <w:r w:rsidR="00627DA5">
        <w:rPr>
          <w:rStyle w:val="normaltextrun"/>
          <w:rFonts w:cs="Arial"/>
          <w:color w:val="000000" w:themeColor="text1"/>
        </w:rPr>
        <w:t xml:space="preserve"> </w:t>
      </w:r>
      <w:r w:rsidR="00DF3D92" w:rsidRPr="77585682">
        <w:rPr>
          <w:rStyle w:val="normaltextrun"/>
          <w:rFonts w:cs="Arial"/>
          <w:color w:val="000000" w:themeColor="text1"/>
        </w:rPr>
        <w:t>to</w:t>
      </w:r>
      <w:r w:rsidR="00627DA5">
        <w:rPr>
          <w:rStyle w:val="normaltextrun"/>
          <w:rFonts w:cs="Arial"/>
          <w:b/>
        </w:rPr>
        <w:t xml:space="preserve"> </w:t>
      </w:r>
      <w:r w:rsidR="00DF3D92" w:rsidRPr="77585682">
        <w:rPr>
          <w:rStyle w:val="normaltextrun"/>
          <w:rFonts w:cs="Arial"/>
        </w:rPr>
        <w:t>develop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two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new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measures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for</w:t>
      </w:r>
      <w:r w:rsidR="00627DA5">
        <w:rPr>
          <w:rStyle w:val="normaltextrun"/>
          <w:rFonts w:cs="Arial"/>
        </w:rPr>
        <w:t xml:space="preserve"> </w:t>
      </w:r>
      <w:proofErr w:type="gramStart"/>
      <w:r w:rsidR="00DF3D92" w:rsidRPr="77585682">
        <w:rPr>
          <w:rStyle w:val="normaltextrun"/>
          <w:rFonts w:cs="Arial"/>
        </w:rPr>
        <w:t>possible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inclusion</w:t>
      </w:r>
      <w:proofErr w:type="gramEnd"/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in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the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CCI: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civic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engageme</w:t>
      </w:r>
      <w:r w:rsidR="00DF3D92" w:rsidRPr="00CD2533">
        <w:rPr>
          <w:rStyle w:val="normaltextrun"/>
          <w:rFonts w:cs="Arial"/>
        </w:rPr>
        <w:t>n</w:t>
      </w:r>
      <w:r w:rsidR="00E41B21" w:rsidRPr="00CD2533">
        <w:rPr>
          <w:rStyle w:val="normaltextrun"/>
          <w:rFonts w:cs="Arial"/>
        </w:rPr>
        <w:t>t</w:t>
      </w:r>
      <w:r w:rsidR="00627DA5">
        <w:rPr>
          <w:rStyle w:val="normaltextrun"/>
          <w:rFonts w:cs="Arial"/>
          <w:b/>
        </w:rPr>
        <w:t xml:space="preserve"> </w:t>
      </w:r>
      <w:r w:rsidR="00DF3D92" w:rsidRPr="77585682">
        <w:rPr>
          <w:rStyle w:val="normaltextrun"/>
          <w:rFonts w:cs="Arial"/>
        </w:rPr>
        <w:t>and</w:t>
      </w:r>
      <w:r w:rsidR="00627DA5">
        <w:rPr>
          <w:rStyle w:val="normaltextrun"/>
          <w:rFonts w:cs="Arial"/>
          <w:b/>
        </w:rPr>
        <w:t xml:space="preserve"> </w:t>
      </w:r>
      <w:r w:rsidR="00DF3D92" w:rsidRPr="77585682">
        <w:rPr>
          <w:rStyle w:val="normaltextrun"/>
          <w:rFonts w:cs="Arial"/>
        </w:rPr>
        <w:t>industry</w:t>
      </w:r>
      <w:r w:rsidR="00627DA5">
        <w:rPr>
          <w:rStyle w:val="normaltextrun"/>
          <w:rFonts w:cs="Arial"/>
        </w:rPr>
        <w:t xml:space="preserve"> </w:t>
      </w:r>
      <w:r w:rsidR="00DF3D92" w:rsidRPr="77585682">
        <w:rPr>
          <w:rStyle w:val="normaltextrun"/>
          <w:rFonts w:cs="Arial"/>
        </w:rPr>
        <w:t>certifications.</w:t>
      </w:r>
    </w:p>
    <w:p w14:paraId="049F31CB" w14:textId="3B5D11CA" w:rsidR="00C86217" w:rsidRPr="002D4A4C" w:rsidRDefault="00C86217" w:rsidP="002D4A4C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77585682">
        <w:rPr>
          <w:rStyle w:val="normaltextrun"/>
          <w:rFonts w:ascii="Arial" w:eastAsiaTheme="majorEastAsia" w:hAnsi="Arial" w:cs="Arial"/>
        </w:rPr>
        <w:t>As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shared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with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SBE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August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2019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Information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Memorandum,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CDE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examining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inclusion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civic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178A9D2A" w:rsidRPr="77585682">
        <w:rPr>
          <w:rStyle w:val="normaltextrun"/>
          <w:rFonts w:ascii="Arial" w:eastAsiaTheme="majorEastAsia" w:hAnsi="Arial" w:cs="Arial"/>
        </w:rPr>
        <w:t>engagement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potential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career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measure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CCI.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California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i/>
          <w:iCs/>
        </w:rPr>
        <w:t>Education</w:t>
      </w:r>
      <w:r w:rsidR="00627DA5">
        <w:rPr>
          <w:rStyle w:val="normaltextrun"/>
          <w:rFonts w:ascii="Arial" w:eastAsiaTheme="majorEastAsia" w:hAnsi="Arial" w:cs="Arial"/>
          <w:i/>
          <w:iCs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i/>
          <w:iCs/>
        </w:rPr>
        <w:t>Code</w:t>
      </w:r>
      <w:r w:rsidR="00627DA5">
        <w:rPr>
          <w:rStyle w:val="normaltextrun"/>
          <w:rFonts w:ascii="Arial" w:eastAsiaTheme="majorEastAsia" w:hAnsi="Arial" w:cs="Arial"/>
          <w:i/>
          <w:iCs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sections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51470–51474</w:t>
      </w:r>
      <w:r w:rsidR="00627DA5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direct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State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Superintendent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Public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Instruction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develop,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SBE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adopt,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set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criteria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for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awarding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SSCE,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seal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be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awarded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students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who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have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demonstrated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excellence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in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civics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education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participation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understanding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United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States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Constitution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and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the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democratic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system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of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government.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January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2020,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SBE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adopted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State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Seal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of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Civic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Engagement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(SSCE),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SBE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directed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determine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how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incorporate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civic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engagement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CCI.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convened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policy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technical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work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group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–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Civic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Engagement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Work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Group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(CEWG)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–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conduct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research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on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how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other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states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were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incorporating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civic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engagement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C0119B">
        <w:rPr>
          <w:rStyle w:val="normaltextrun"/>
          <w:rFonts w:ascii="Arial" w:eastAsiaTheme="majorEastAsia" w:hAnsi="Arial" w:cs="Arial"/>
          <w:color w:val="000000"/>
        </w:rPr>
        <w:t>ir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accountability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system</w:t>
      </w:r>
      <w:r w:rsidR="00C0119B">
        <w:rPr>
          <w:rStyle w:val="normaltextrun"/>
          <w:rFonts w:ascii="Arial" w:eastAsiaTheme="majorEastAsia" w:hAnsi="Arial" w:cs="Arial"/>
          <w:color w:val="000000"/>
        </w:rPr>
        <w:t>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explore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  <w:color w:val="000000"/>
        </w:rPr>
        <w:t>possible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criteria</w:t>
      </w:r>
      <w:proofErr w:type="gramEnd"/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civic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engagement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measure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that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could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be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included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California’s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CCI.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CEWG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has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met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three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times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since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spring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2020.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Due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much-needed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systemic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improvements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re-architecture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of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system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increase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its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ability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ingest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process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data,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no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new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data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  <w:color w:val="000000"/>
        </w:rPr>
        <w:t>be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collected</w:t>
      </w:r>
      <w:proofErr w:type="gramEnd"/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during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2021</w:t>
      </w:r>
      <w:r w:rsidR="00CA70BB">
        <w:rPr>
          <w:rStyle w:val="normaltextrun"/>
          <w:rFonts w:ascii="Arial" w:eastAsiaTheme="majorEastAsia" w:hAnsi="Arial" w:cs="Arial"/>
          <w:color w:val="000000"/>
        </w:rPr>
        <w:t>–</w:t>
      </w:r>
      <w:r w:rsidRPr="77585682">
        <w:rPr>
          <w:rStyle w:val="normaltextrun"/>
          <w:rFonts w:ascii="Arial" w:eastAsiaTheme="majorEastAsia" w:hAnsi="Arial" w:cs="Arial"/>
          <w:color w:val="000000"/>
        </w:rPr>
        <w:t>22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school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year.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However,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continue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develop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lastRenderedPageBreak/>
        <w:t>this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measure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throughout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2021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that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it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can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  <w:color w:val="000000"/>
        </w:rPr>
        <w:t>be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added</w:t>
      </w:r>
      <w:proofErr w:type="gramEnd"/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to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collection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system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in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2022</w:t>
      </w:r>
      <w:r w:rsidR="00CA70BB">
        <w:rPr>
          <w:rStyle w:val="normaltextrun"/>
          <w:rFonts w:ascii="Arial" w:eastAsiaTheme="majorEastAsia" w:hAnsi="Arial" w:cs="Arial"/>
          <w:color w:val="000000"/>
        </w:rPr>
        <w:t>–</w:t>
      </w:r>
      <w:r w:rsidRPr="77585682">
        <w:rPr>
          <w:rStyle w:val="normaltextrun"/>
          <w:rFonts w:ascii="Arial" w:eastAsiaTheme="majorEastAsia" w:hAnsi="Arial" w:cs="Arial"/>
          <w:color w:val="000000"/>
        </w:rPr>
        <w:t>23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school</w:t>
      </w:r>
      <w:r w:rsidR="00627DA5">
        <w:rPr>
          <w:rStyle w:val="normaltextrun"/>
          <w:rFonts w:ascii="Arial" w:eastAsiaTheme="majorEastAsia" w:hAnsi="Arial" w:cs="Arial"/>
          <w:color w:val="000000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/>
        </w:rPr>
        <w:t>year.</w:t>
      </w:r>
    </w:p>
    <w:p w14:paraId="7F89A058" w14:textId="77777777" w:rsidR="002D4A4C" w:rsidRDefault="00C86217" w:rsidP="771205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</w:rPr>
      </w:pP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0E41B21">
        <w:rPr>
          <w:rStyle w:val="normaltextrun"/>
          <w:rFonts w:ascii="Arial" w:eastAsiaTheme="majorEastAsia" w:hAnsi="Arial" w:cs="Arial"/>
          <w:color w:val="000000" w:themeColor="text1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developing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an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industry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certification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measure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possible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inclusion</w:t>
      </w:r>
      <w:proofErr w:type="gramEnd"/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CCI.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Due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systemic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improvements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during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2021</w:t>
      </w:r>
      <w:r w:rsidR="00CA70BB">
        <w:rPr>
          <w:rStyle w:val="normaltextrun"/>
          <w:rFonts w:ascii="Arial" w:eastAsiaTheme="majorEastAsia" w:hAnsi="Arial" w:cs="Arial"/>
          <w:color w:val="000000"/>
        </w:rPr>
        <w:t>–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22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school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year,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industry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certifications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not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proofErr w:type="gramStart"/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be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collected</w:t>
      </w:r>
      <w:proofErr w:type="gramEnd"/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until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2022</w:t>
      </w:r>
      <w:r w:rsidR="00CA70BB">
        <w:rPr>
          <w:rStyle w:val="normaltextrun"/>
          <w:rFonts w:ascii="Arial" w:eastAsiaTheme="majorEastAsia" w:hAnsi="Arial" w:cs="Arial"/>
          <w:color w:val="000000"/>
        </w:rPr>
        <w:t>–</w:t>
      </w:r>
      <w:r w:rsidRPr="77585682">
        <w:rPr>
          <w:rStyle w:val="normaltextrun"/>
          <w:rFonts w:ascii="Arial" w:eastAsiaTheme="majorEastAsia" w:hAnsi="Arial" w:cs="Arial"/>
        </w:rPr>
        <w:t>23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school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Pr="77585682">
        <w:rPr>
          <w:rStyle w:val="normaltextrun"/>
          <w:rFonts w:ascii="Arial" w:eastAsiaTheme="majorEastAsia" w:hAnsi="Arial" w:cs="Arial"/>
        </w:rPr>
        <w:t>year.</w:t>
      </w:r>
      <w:r w:rsidR="00627DA5">
        <w:rPr>
          <w:rStyle w:val="normaltextrun"/>
          <w:rFonts w:ascii="Arial" w:eastAsiaTheme="majorEastAsia" w:hAnsi="Arial" w:cs="Arial"/>
        </w:rPr>
        <w:t xml:space="preserve"> </w:t>
      </w:r>
      <w:r w:rsidR="00E41B21">
        <w:rPr>
          <w:rStyle w:val="normaltextrun"/>
          <w:rFonts w:ascii="Arial" w:eastAsiaTheme="majorEastAsia" w:hAnsi="Arial" w:cs="Arial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39A283E9" w:rsidRPr="77585682">
        <w:rPr>
          <w:rStyle w:val="normaltextrun"/>
          <w:rFonts w:ascii="Arial" w:eastAsiaTheme="majorEastAsia" w:hAnsi="Arial" w:cs="Arial"/>
          <w:color w:val="000000" w:themeColor="text1"/>
        </w:rPr>
        <w:t>work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closely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with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CCI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Work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Group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Alternative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Task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Force,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throughout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2021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refine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measure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propose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placement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criteria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so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that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can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collected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CALPADS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2022</w:t>
      </w:r>
      <w:r w:rsidR="00CA70BB">
        <w:rPr>
          <w:rStyle w:val="normaltextrun"/>
          <w:rFonts w:ascii="Arial" w:eastAsiaTheme="majorEastAsia" w:hAnsi="Arial" w:cs="Arial"/>
          <w:color w:val="000000"/>
        </w:rPr>
        <w:t>–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23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school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585682">
        <w:rPr>
          <w:rStyle w:val="normaltextrun"/>
          <w:rFonts w:ascii="Arial" w:eastAsiaTheme="majorEastAsia" w:hAnsi="Arial" w:cs="Arial"/>
          <w:color w:val="000000" w:themeColor="text1"/>
        </w:rPr>
        <w:t>year.</w:t>
      </w:r>
    </w:p>
    <w:p w14:paraId="3C6E2039" w14:textId="7E82EB4B" w:rsidR="00DF3D92" w:rsidRPr="00BB7A09" w:rsidRDefault="00DF3D92" w:rsidP="002D4A4C">
      <w:pPr>
        <w:pStyle w:val="paragraph"/>
        <w:spacing w:before="24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consistent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with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adoption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process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other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CCI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measures,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conduct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simulations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each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measure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under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consideration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share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its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analyses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with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Technical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Design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Group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(TDG),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along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with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CCI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Work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Group,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45332B3" w:rsidRPr="771205BA">
        <w:rPr>
          <w:rStyle w:val="normaltextrun"/>
          <w:rFonts w:ascii="Arial" w:eastAsiaTheme="majorEastAsia" w:hAnsi="Arial" w:cs="Arial"/>
          <w:color w:val="000000" w:themeColor="text1"/>
        </w:rPr>
        <w:t>Task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Force,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0C86217" w:rsidRPr="771205BA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="00CD2533">
        <w:rPr>
          <w:rStyle w:val="normaltextrun"/>
          <w:rFonts w:ascii="Arial" w:eastAsiaTheme="majorEastAsia" w:hAnsi="Arial" w:cs="Arial"/>
          <w:color w:val="000000" w:themeColor="text1"/>
        </w:rPr>
        <w:t>CPAG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order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to: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(1)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determine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if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measures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valid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reliable,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and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(2)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set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criteria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that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graduates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must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meet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be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placed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in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Prepared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or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Approaching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Prepared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CCI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levels.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Once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these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determinations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proofErr w:type="gramStart"/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are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made</w:t>
      </w:r>
      <w:proofErr w:type="gramEnd"/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,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CDE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will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make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its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recommendations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to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the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SBE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for</w:t>
      </w:r>
      <w:r w:rsidR="00627DA5">
        <w:rPr>
          <w:rStyle w:val="normaltextrun"/>
          <w:rFonts w:ascii="Arial" w:eastAsiaTheme="majorEastAsia" w:hAnsi="Arial" w:cs="Arial"/>
          <w:color w:val="000000" w:themeColor="text1"/>
        </w:rPr>
        <w:t xml:space="preserve"> </w:t>
      </w:r>
      <w:r w:rsidRPr="771205BA">
        <w:rPr>
          <w:rStyle w:val="normaltextrun"/>
          <w:rFonts w:ascii="Arial" w:eastAsiaTheme="majorEastAsia" w:hAnsi="Arial" w:cs="Arial"/>
          <w:color w:val="000000" w:themeColor="text1"/>
        </w:rPr>
        <w:t>consideration.</w:t>
      </w:r>
    </w:p>
    <w:p w14:paraId="74916772" w14:textId="60F803C4" w:rsidR="3768BF35" w:rsidRPr="00170C6D" w:rsidRDefault="3768BF35" w:rsidP="00170C6D">
      <w:pPr>
        <w:pStyle w:val="Heading4"/>
        <w:rPr>
          <w:rStyle w:val="normaltextrun"/>
          <w:rFonts w:eastAsia="Arial"/>
        </w:rPr>
      </w:pPr>
      <w:r w:rsidRPr="00170C6D">
        <w:t>Update</w:t>
      </w:r>
      <w:r w:rsidR="00627DA5" w:rsidRPr="00170C6D">
        <w:t xml:space="preserve"> </w:t>
      </w:r>
      <w:r w:rsidRPr="00170C6D">
        <w:t>on</w:t>
      </w:r>
      <w:r w:rsidR="00627DA5" w:rsidRPr="00170C6D">
        <w:t xml:space="preserve"> </w:t>
      </w:r>
      <w:r w:rsidRPr="00170C6D">
        <w:t>the</w:t>
      </w:r>
      <w:r w:rsidR="00627DA5" w:rsidRPr="00170C6D">
        <w:t xml:space="preserve"> </w:t>
      </w:r>
      <w:r w:rsidRPr="00170C6D">
        <w:rPr>
          <w:rStyle w:val="normaltextrun"/>
          <w:rFonts w:eastAsia="Arial"/>
        </w:rPr>
        <w:t>English</w:t>
      </w:r>
      <w:r w:rsidR="00627DA5" w:rsidRPr="00170C6D">
        <w:rPr>
          <w:rStyle w:val="normaltextrun"/>
          <w:rFonts w:eastAsia="Arial"/>
        </w:rPr>
        <w:t xml:space="preserve"> </w:t>
      </w:r>
      <w:r w:rsidRPr="00170C6D">
        <w:rPr>
          <w:rStyle w:val="normaltextrun"/>
          <w:rFonts w:eastAsia="Arial"/>
        </w:rPr>
        <w:t>Learner</w:t>
      </w:r>
      <w:r w:rsidR="00627DA5" w:rsidRPr="00170C6D">
        <w:rPr>
          <w:rStyle w:val="normaltextrun"/>
          <w:rFonts w:eastAsia="Arial"/>
        </w:rPr>
        <w:t xml:space="preserve"> </w:t>
      </w:r>
      <w:r w:rsidRPr="00170C6D">
        <w:rPr>
          <w:rStyle w:val="normaltextrun"/>
          <w:rFonts w:eastAsia="Arial"/>
        </w:rPr>
        <w:t>Progress</w:t>
      </w:r>
      <w:r w:rsidR="00627DA5" w:rsidRPr="00170C6D">
        <w:rPr>
          <w:rStyle w:val="normaltextrun"/>
          <w:rFonts w:eastAsia="Arial"/>
        </w:rPr>
        <w:t xml:space="preserve"> </w:t>
      </w:r>
      <w:r w:rsidRPr="00170C6D">
        <w:rPr>
          <w:rStyle w:val="normaltextrun"/>
          <w:rFonts w:eastAsia="Arial"/>
        </w:rPr>
        <w:t>Indicator</w:t>
      </w:r>
    </w:p>
    <w:p w14:paraId="7996D61B" w14:textId="2DF1F99E" w:rsidR="3768BF35" w:rsidRDefault="00E41B21" w:rsidP="002D4A4C">
      <w:pPr>
        <w:spacing w:before="240" w:after="240"/>
      </w:pPr>
      <w:r>
        <w:rPr>
          <w:rFonts w:eastAsia="Arial" w:cs="Arial"/>
        </w:rPr>
        <w:t>T</w:t>
      </w:r>
      <w:r w:rsidR="3768BF35" w:rsidRPr="198AC9C0">
        <w:rPr>
          <w:rFonts w:eastAsia="Arial" w:cs="Arial"/>
        </w:rPr>
        <w:t>he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CDE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plans</w:t>
      </w:r>
      <w:r w:rsidR="00627DA5">
        <w:rPr>
          <w:rFonts w:eastAsia="Arial" w:cs="Arial"/>
        </w:rPr>
        <w:t xml:space="preserve"> </w:t>
      </w:r>
      <w:proofErr w:type="gramStart"/>
      <w:r w:rsidR="3768BF35" w:rsidRPr="198AC9C0">
        <w:rPr>
          <w:rFonts w:eastAsia="Arial" w:cs="Arial"/>
        </w:rPr>
        <w:t>on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producing</w:t>
      </w:r>
      <w:proofErr w:type="gramEnd"/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Status,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Change,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and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overall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performance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color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using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three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years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of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ELPAC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Summative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results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(i.e.,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2018,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2019,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2021).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provides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LEAs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and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schools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with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valuable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information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on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percentage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of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students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making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progress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towards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English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language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proficiency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(ELP),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as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well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as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their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ability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to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improve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rate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of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students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moving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towards</w:t>
      </w:r>
      <w:r w:rsidR="00627DA5">
        <w:rPr>
          <w:rFonts w:eastAsia="Arial" w:cs="Arial"/>
        </w:rPr>
        <w:t xml:space="preserve"> </w:t>
      </w:r>
      <w:r w:rsidR="3768BF35" w:rsidRPr="198AC9C0">
        <w:rPr>
          <w:rFonts w:eastAsia="Arial" w:cs="Arial"/>
        </w:rPr>
        <w:t>ELP.</w:t>
      </w:r>
    </w:p>
    <w:p w14:paraId="70FD79B6" w14:textId="6BC82659" w:rsidR="00B370BA" w:rsidRPr="00236494" w:rsidRDefault="3768BF35" w:rsidP="00B370BA"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CDE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remains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committed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to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reporting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on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Status,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Change,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and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overall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performance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color.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In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2021,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CDE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will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work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with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Workgroup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and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TDG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to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validate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Status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cut-scores,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set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Change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cut-scores,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and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determine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five-by-five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chart.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CDE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plans</w:t>
      </w:r>
      <w:r w:rsidR="00627DA5">
        <w:rPr>
          <w:rFonts w:eastAsia="Arial" w:cs="Arial"/>
        </w:rPr>
        <w:t xml:space="preserve"> </w:t>
      </w:r>
      <w:proofErr w:type="gramStart"/>
      <w:r w:rsidRPr="127C0C4D">
        <w:rPr>
          <w:rFonts w:eastAsia="Arial" w:cs="Arial"/>
        </w:rPr>
        <w:t>on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providing</w:t>
      </w:r>
      <w:proofErr w:type="gramEnd"/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proofErr w:type="gramStart"/>
      <w:r w:rsidRPr="127C0C4D">
        <w:rPr>
          <w:rFonts w:eastAsia="Arial" w:cs="Arial"/>
        </w:rPr>
        <w:t>CPAG</w:t>
      </w:r>
      <w:proofErr w:type="gramEnd"/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an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update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o</w:t>
      </w:r>
      <w:r w:rsidR="00A93705">
        <w:rPr>
          <w:rFonts w:eastAsia="Arial" w:cs="Arial"/>
        </w:rPr>
        <w:t>n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ELPI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at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the</w:t>
      </w:r>
      <w:r w:rsidR="00E41B21">
        <w:rPr>
          <w:rFonts w:eastAsia="Arial" w:cs="Arial"/>
        </w:rPr>
        <w:t>ir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August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2021</w:t>
      </w:r>
      <w:r w:rsidR="00627DA5">
        <w:rPr>
          <w:rFonts w:eastAsia="Arial" w:cs="Arial"/>
        </w:rPr>
        <w:t xml:space="preserve"> </w:t>
      </w:r>
      <w:r w:rsidRPr="127C0C4D">
        <w:rPr>
          <w:rFonts w:eastAsia="Arial" w:cs="Arial"/>
        </w:rPr>
        <w:t>meeting.</w:t>
      </w:r>
    </w:p>
    <w:p w14:paraId="7151C69F" w14:textId="77777777" w:rsidR="00C57EDC" w:rsidRPr="00505875" w:rsidRDefault="00C57EDC" w:rsidP="002D4A4C">
      <w:pPr>
        <w:pStyle w:val="Heading2"/>
      </w:pPr>
      <w:r w:rsidRPr="00505875">
        <w:t>Attachments</w:t>
      </w:r>
    </w:p>
    <w:p w14:paraId="48C9DA01" w14:textId="77777777" w:rsidR="00C57EDC" w:rsidRPr="00BB7A09" w:rsidRDefault="00C57EDC" w:rsidP="497DE876">
      <w:pPr>
        <w:spacing w:after="240"/>
        <w:rPr>
          <w:rFonts w:eastAsia="Times" w:cs="Arial"/>
        </w:rPr>
      </w:pPr>
      <w:r w:rsidRPr="00BB7A09">
        <w:rPr>
          <w:rFonts w:eastAsia="Times" w:cs="Arial"/>
          <w:kern w:val="24"/>
        </w:rPr>
        <w:t>None</w:t>
      </w:r>
      <w:bookmarkEnd w:id="0"/>
    </w:p>
    <w:sectPr w:rsidR="00C57EDC" w:rsidRPr="00BB7A09" w:rsidSect="00C57ED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3194" w14:textId="77777777" w:rsidR="00E164DE" w:rsidRDefault="00E164DE" w:rsidP="00655F7C">
      <w:r>
        <w:separator/>
      </w:r>
    </w:p>
  </w:endnote>
  <w:endnote w:type="continuationSeparator" w:id="0">
    <w:p w14:paraId="0A15C026" w14:textId="77777777" w:rsidR="00E164DE" w:rsidRDefault="00E164DE" w:rsidP="00655F7C">
      <w:r>
        <w:continuationSeparator/>
      </w:r>
    </w:p>
  </w:endnote>
  <w:endnote w:type="continuationNotice" w:id="1">
    <w:p w14:paraId="67FC5148" w14:textId="77777777" w:rsidR="00E164DE" w:rsidRDefault="00E16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EEF0" w14:textId="77777777" w:rsidR="00E164DE" w:rsidRDefault="00E164DE" w:rsidP="00655F7C">
      <w:r>
        <w:separator/>
      </w:r>
    </w:p>
  </w:footnote>
  <w:footnote w:type="continuationSeparator" w:id="0">
    <w:p w14:paraId="1F1CC976" w14:textId="77777777" w:rsidR="00E164DE" w:rsidRDefault="00E164DE" w:rsidP="00655F7C">
      <w:r>
        <w:continuationSeparator/>
      </w:r>
    </w:p>
  </w:footnote>
  <w:footnote w:type="continuationNotice" w:id="1">
    <w:p w14:paraId="1CD99634" w14:textId="77777777" w:rsidR="00E164DE" w:rsidRDefault="00E16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807274"/>
      <w:docPartObj>
        <w:docPartGallery w:val="Page Numbers (Top of Page)"/>
        <w:docPartUnique/>
      </w:docPartObj>
    </w:sdtPr>
    <w:sdtEndPr/>
    <w:sdtContent>
      <w:p w14:paraId="6B874D26" w14:textId="2A2B02C2" w:rsidR="00627DA5" w:rsidRPr="00C57EDC" w:rsidRDefault="00627DA5" w:rsidP="00C57EDC">
        <w:pPr>
          <w:pStyle w:val="Header"/>
          <w:jc w:val="right"/>
        </w:pPr>
        <w:r w:rsidRPr="00C57EDC">
          <w:t>memo-</w:t>
        </w:r>
        <w:r>
          <w:t>imb-</w:t>
        </w:r>
        <w:r w:rsidRPr="00C57EDC">
          <w:t>cpag</w:t>
        </w:r>
        <w:r>
          <w:t>-feb</w:t>
        </w:r>
        <w:r w:rsidRPr="00C57EDC">
          <w:t>2</w:t>
        </w:r>
        <w:r>
          <w:t>1</w:t>
        </w:r>
        <w:r w:rsidRPr="00C57EDC">
          <w:t>item0</w:t>
        </w:r>
        <w:r>
          <w:t>2</w:t>
        </w:r>
      </w:p>
      <w:p w14:paraId="2566F02B" w14:textId="4F159708" w:rsidR="00627DA5" w:rsidRPr="00C57EDC" w:rsidRDefault="00627DA5" w:rsidP="00627DA5">
        <w:pPr>
          <w:pStyle w:val="Header"/>
          <w:spacing w:after="480"/>
          <w:jc w:val="right"/>
        </w:pPr>
        <w:r w:rsidRPr="00C57EDC">
          <w:t xml:space="preserve">Page </w:t>
        </w:r>
        <w:r w:rsidRPr="00C57EDC">
          <w:rPr>
            <w:bCs/>
          </w:rPr>
          <w:fldChar w:fldCharType="begin"/>
        </w:r>
        <w:r w:rsidRPr="00C57EDC">
          <w:rPr>
            <w:bCs/>
          </w:rPr>
          <w:instrText xml:space="preserve"> PAGE </w:instrText>
        </w:r>
        <w:r w:rsidRPr="00C57EDC">
          <w:rPr>
            <w:bCs/>
          </w:rPr>
          <w:fldChar w:fldCharType="separate"/>
        </w:r>
        <w:r w:rsidR="00F9576A">
          <w:rPr>
            <w:bCs/>
            <w:noProof/>
          </w:rPr>
          <w:t>3</w:t>
        </w:r>
        <w:r w:rsidRPr="00C57EDC">
          <w:fldChar w:fldCharType="end"/>
        </w:r>
        <w:r w:rsidRPr="00C57EDC">
          <w:t xml:space="preserve"> of </w:t>
        </w:r>
        <w:proofErr w:type="gramStart"/>
        <w:r>
          <w:rPr>
            <w:bCs/>
          </w:rPr>
          <w:t>5</w:t>
        </w:r>
        <w:proofErr w:type="gramEnd"/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5D4"/>
    <w:multiLevelType w:val="hybridMultilevel"/>
    <w:tmpl w:val="44947660"/>
    <w:lvl w:ilvl="0" w:tplc="BBC2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0D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4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4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4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25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0123"/>
    <w:multiLevelType w:val="hybridMultilevel"/>
    <w:tmpl w:val="89EA3B6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43AA13F9"/>
    <w:multiLevelType w:val="hybridMultilevel"/>
    <w:tmpl w:val="82AA59F8"/>
    <w:lvl w:ilvl="0" w:tplc="F8FA1F76">
      <w:start w:val="1"/>
      <w:numFmt w:val="bullet"/>
      <w:pStyle w:val="ListParagraph"/>
      <w:lvlText w:val=""/>
      <w:lvlJc w:val="left"/>
      <w:pPr>
        <w:ind w:left="78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348262425">
    <w:abstractNumId w:val="0"/>
  </w:num>
  <w:num w:numId="2" w16cid:durableId="1590575405">
    <w:abstractNumId w:val="1"/>
  </w:num>
  <w:num w:numId="3" w16cid:durableId="180692484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WxNDA2MDAyNTFT0lEKTi0uzszPAykwNKkFAMgxXAwtAAAA"/>
  </w:docVars>
  <w:rsids>
    <w:rsidRoot w:val="00E16CDF"/>
    <w:rsid w:val="000017FE"/>
    <w:rsid w:val="00002A5D"/>
    <w:rsid w:val="00004A32"/>
    <w:rsid w:val="0000664C"/>
    <w:rsid w:val="00007BDD"/>
    <w:rsid w:val="00020B0D"/>
    <w:rsid w:val="00021D95"/>
    <w:rsid w:val="000425C4"/>
    <w:rsid w:val="00044208"/>
    <w:rsid w:val="00045145"/>
    <w:rsid w:val="00047189"/>
    <w:rsid w:val="00067A5B"/>
    <w:rsid w:val="00074741"/>
    <w:rsid w:val="00077A63"/>
    <w:rsid w:val="00093A29"/>
    <w:rsid w:val="0009524D"/>
    <w:rsid w:val="000956BF"/>
    <w:rsid w:val="00097AE2"/>
    <w:rsid w:val="000C5CD1"/>
    <w:rsid w:val="000E7B54"/>
    <w:rsid w:val="000F7AF5"/>
    <w:rsid w:val="00102524"/>
    <w:rsid w:val="00106053"/>
    <w:rsid w:val="0011678E"/>
    <w:rsid w:val="001338ED"/>
    <w:rsid w:val="0014572C"/>
    <w:rsid w:val="001473B6"/>
    <w:rsid w:val="001478CC"/>
    <w:rsid w:val="00161238"/>
    <w:rsid w:val="001668FF"/>
    <w:rsid w:val="00167180"/>
    <w:rsid w:val="00170764"/>
    <w:rsid w:val="00170C6D"/>
    <w:rsid w:val="00172BAF"/>
    <w:rsid w:val="0017715E"/>
    <w:rsid w:val="00177B48"/>
    <w:rsid w:val="001953E2"/>
    <w:rsid w:val="001A0CA5"/>
    <w:rsid w:val="001A3247"/>
    <w:rsid w:val="001B274E"/>
    <w:rsid w:val="001B5330"/>
    <w:rsid w:val="001C2079"/>
    <w:rsid w:val="001C52BE"/>
    <w:rsid w:val="001F1AA8"/>
    <w:rsid w:val="001F2015"/>
    <w:rsid w:val="002149E2"/>
    <w:rsid w:val="00223F78"/>
    <w:rsid w:val="00236494"/>
    <w:rsid w:val="0024036E"/>
    <w:rsid w:val="002475EE"/>
    <w:rsid w:val="00253778"/>
    <w:rsid w:val="00254AD1"/>
    <w:rsid w:val="00263642"/>
    <w:rsid w:val="002700DD"/>
    <w:rsid w:val="002762A3"/>
    <w:rsid w:val="0028038B"/>
    <w:rsid w:val="00290A30"/>
    <w:rsid w:val="002950F1"/>
    <w:rsid w:val="002979B0"/>
    <w:rsid w:val="002B079D"/>
    <w:rsid w:val="002B093E"/>
    <w:rsid w:val="002B1A47"/>
    <w:rsid w:val="002C213E"/>
    <w:rsid w:val="002D4A4C"/>
    <w:rsid w:val="002E4CB5"/>
    <w:rsid w:val="002E76DA"/>
    <w:rsid w:val="002F6813"/>
    <w:rsid w:val="00306E1D"/>
    <w:rsid w:val="003269A0"/>
    <w:rsid w:val="00327283"/>
    <w:rsid w:val="00333049"/>
    <w:rsid w:val="00337835"/>
    <w:rsid w:val="00345200"/>
    <w:rsid w:val="00351B88"/>
    <w:rsid w:val="00363F03"/>
    <w:rsid w:val="00372CA0"/>
    <w:rsid w:val="00374819"/>
    <w:rsid w:val="00387D5C"/>
    <w:rsid w:val="003920E3"/>
    <w:rsid w:val="00394E69"/>
    <w:rsid w:val="00397611"/>
    <w:rsid w:val="003A2966"/>
    <w:rsid w:val="003A4F3A"/>
    <w:rsid w:val="003B3DF0"/>
    <w:rsid w:val="003C64E2"/>
    <w:rsid w:val="003C6733"/>
    <w:rsid w:val="003C6E24"/>
    <w:rsid w:val="003D7582"/>
    <w:rsid w:val="003F13B3"/>
    <w:rsid w:val="00400A90"/>
    <w:rsid w:val="00406BD1"/>
    <w:rsid w:val="00407FD8"/>
    <w:rsid w:val="00430734"/>
    <w:rsid w:val="004476B9"/>
    <w:rsid w:val="0045193C"/>
    <w:rsid w:val="004551B9"/>
    <w:rsid w:val="004670A5"/>
    <w:rsid w:val="004A17B8"/>
    <w:rsid w:val="004A35EA"/>
    <w:rsid w:val="004B670A"/>
    <w:rsid w:val="004D58E8"/>
    <w:rsid w:val="004D659E"/>
    <w:rsid w:val="004E7AC1"/>
    <w:rsid w:val="004F6153"/>
    <w:rsid w:val="0050314E"/>
    <w:rsid w:val="00505875"/>
    <w:rsid w:val="00551C76"/>
    <w:rsid w:val="005660A6"/>
    <w:rsid w:val="00590718"/>
    <w:rsid w:val="005A289F"/>
    <w:rsid w:val="005B56E4"/>
    <w:rsid w:val="005C5B70"/>
    <w:rsid w:val="005E0427"/>
    <w:rsid w:val="005E1850"/>
    <w:rsid w:val="005E1DC9"/>
    <w:rsid w:val="006068A5"/>
    <w:rsid w:val="0061095F"/>
    <w:rsid w:val="00627DA5"/>
    <w:rsid w:val="0063171B"/>
    <w:rsid w:val="00637A61"/>
    <w:rsid w:val="00655F7C"/>
    <w:rsid w:val="006725E3"/>
    <w:rsid w:val="0067332F"/>
    <w:rsid w:val="00696AFE"/>
    <w:rsid w:val="006A3022"/>
    <w:rsid w:val="006B14C1"/>
    <w:rsid w:val="006F1AF2"/>
    <w:rsid w:val="007055CC"/>
    <w:rsid w:val="00711D7B"/>
    <w:rsid w:val="00725216"/>
    <w:rsid w:val="007428B8"/>
    <w:rsid w:val="00747251"/>
    <w:rsid w:val="00753C78"/>
    <w:rsid w:val="007711A5"/>
    <w:rsid w:val="00773252"/>
    <w:rsid w:val="00785C2C"/>
    <w:rsid w:val="00786463"/>
    <w:rsid w:val="00790384"/>
    <w:rsid w:val="007B79E6"/>
    <w:rsid w:val="007E0650"/>
    <w:rsid w:val="007E0B27"/>
    <w:rsid w:val="007E5BF1"/>
    <w:rsid w:val="007E64ED"/>
    <w:rsid w:val="007F0269"/>
    <w:rsid w:val="007F5CD0"/>
    <w:rsid w:val="007F5F3F"/>
    <w:rsid w:val="00803B1F"/>
    <w:rsid w:val="0081256C"/>
    <w:rsid w:val="00816219"/>
    <w:rsid w:val="00840FE2"/>
    <w:rsid w:val="00857A15"/>
    <w:rsid w:val="00866616"/>
    <w:rsid w:val="0088457D"/>
    <w:rsid w:val="00884F97"/>
    <w:rsid w:val="00886BCD"/>
    <w:rsid w:val="00890CAB"/>
    <w:rsid w:val="008A0FF5"/>
    <w:rsid w:val="008A5770"/>
    <w:rsid w:val="008B0D5E"/>
    <w:rsid w:val="008B36BD"/>
    <w:rsid w:val="008C03C4"/>
    <w:rsid w:val="008C6476"/>
    <w:rsid w:val="008E4D20"/>
    <w:rsid w:val="00901127"/>
    <w:rsid w:val="00901468"/>
    <w:rsid w:val="00901786"/>
    <w:rsid w:val="0090452E"/>
    <w:rsid w:val="0091090D"/>
    <w:rsid w:val="00911B62"/>
    <w:rsid w:val="0092400F"/>
    <w:rsid w:val="00932376"/>
    <w:rsid w:val="00934BB7"/>
    <w:rsid w:val="009361E6"/>
    <w:rsid w:val="00940F64"/>
    <w:rsid w:val="00942389"/>
    <w:rsid w:val="009552E5"/>
    <w:rsid w:val="00966821"/>
    <w:rsid w:val="0097098C"/>
    <w:rsid w:val="0097117A"/>
    <w:rsid w:val="0097230D"/>
    <w:rsid w:val="00985168"/>
    <w:rsid w:val="00985C28"/>
    <w:rsid w:val="0099198F"/>
    <w:rsid w:val="009A1A3E"/>
    <w:rsid w:val="009A52F3"/>
    <w:rsid w:val="009B274B"/>
    <w:rsid w:val="009B3E8C"/>
    <w:rsid w:val="009C70F5"/>
    <w:rsid w:val="009C74FB"/>
    <w:rsid w:val="009D22B5"/>
    <w:rsid w:val="009D2AA9"/>
    <w:rsid w:val="009E7BF4"/>
    <w:rsid w:val="009F02ED"/>
    <w:rsid w:val="009F23D9"/>
    <w:rsid w:val="009F6A33"/>
    <w:rsid w:val="009F72A2"/>
    <w:rsid w:val="00A051A0"/>
    <w:rsid w:val="00A067CA"/>
    <w:rsid w:val="00A072BE"/>
    <w:rsid w:val="00A105CA"/>
    <w:rsid w:val="00A220F1"/>
    <w:rsid w:val="00A30F18"/>
    <w:rsid w:val="00A32447"/>
    <w:rsid w:val="00A35BD9"/>
    <w:rsid w:val="00A41F4F"/>
    <w:rsid w:val="00A56BD5"/>
    <w:rsid w:val="00A7570A"/>
    <w:rsid w:val="00A76ABD"/>
    <w:rsid w:val="00A93705"/>
    <w:rsid w:val="00A94817"/>
    <w:rsid w:val="00A94E9C"/>
    <w:rsid w:val="00AA1E7C"/>
    <w:rsid w:val="00AA437A"/>
    <w:rsid w:val="00AA5069"/>
    <w:rsid w:val="00AB2568"/>
    <w:rsid w:val="00AB6D50"/>
    <w:rsid w:val="00AC3153"/>
    <w:rsid w:val="00AD298A"/>
    <w:rsid w:val="00AE0C8E"/>
    <w:rsid w:val="00AF0211"/>
    <w:rsid w:val="00AF090E"/>
    <w:rsid w:val="00AF1EF5"/>
    <w:rsid w:val="00AF40E9"/>
    <w:rsid w:val="00B05A70"/>
    <w:rsid w:val="00B370BA"/>
    <w:rsid w:val="00B4041A"/>
    <w:rsid w:val="00B415C0"/>
    <w:rsid w:val="00B44FFE"/>
    <w:rsid w:val="00B46CA6"/>
    <w:rsid w:val="00B5502F"/>
    <w:rsid w:val="00B725B2"/>
    <w:rsid w:val="00B90B39"/>
    <w:rsid w:val="00BA1B76"/>
    <w:rsid w:val="00BB1847"/>
    <w:rsid w:val="00BB285A"/>
    <w:rsid w:val="00BB3E98"/>
    <w:rsid w:val="00BB7A09"/>
    <w:rsid w:val="00BC76C9"/>
    <w:rsid w:val="00BD18B3"/>
    <w:rsid w:val="00BE2C78"/>
    <w:rsid w:val="00BF1E82"/>
    <w:rsid w:val="00BF31F4"/>
    <w:rsid w:val="00BF5792"/>
    <w:rsid w:val="00C0119B"/>
    <w:rsid w:val="00C012E6"/>
    <w:rsid w:val="00C0226F"/>
    <w:rsid w:val="00C06024"/>
    <w:rsid w:val="00C07265"/>
    <w:rsid w:val="00C21731"/>
    <w:rsid w:val="00C33808"/>
    <w:rsid w:val="00C404B1"/>
    <w:rsid w:val="00C42FD6"/>
    <w:rsid w:val="00C43067"/>
    <w:rsid w:val="00C45077"/>
    <w:rsid w:val="00C46113"/>
    <w:rsid w:val="00C46717"/>
    <w:rsid w:val="00C54E23"/>
    <w:rsid w:val="00C5536B"/>
    <w:rsid w:val="00C57EDC"/>
    <w:rsid w:val="00C62ECA"/>
    <w:rsid w:val="00C71EA6"/>
    <w:rsid w:val="00C7267C"/>
    <w:rsid w:val="00C76BED"/>
    <w:rsid w:val="00C82975"/>
    <w:rsid w:val="00C86217"/>
    <w:rsid w:val="00C87581"/>
    <w:rsid w:val="00CA5EDC"/>
    <w:rsid w:val="00CA6E47"/>
    <w:rsid w:val="00CA70BB"/>
    <w:rsid w:val="00CB18F5"/>
    <w:rsid w:val="00CB6664"/>
    <w:rsid w:val="00CD2533"/>
    <w:rsid w:val="00CF70E9"/>
    <w:rsid w:val="00D0069B"/>
    <w:rsid w:val="00D01C74"/>
    <w:rsid w:val="00D07CCF"/>
    <w:rsid w:val="00D10AAE"/>
    <w:rsid w:val="00D12BE6"/>
    <w:rsid w:val="00D15074"/>
    <w:rsid w:val="00D2695C"/>
    <w:rsid w:val="00D33A2B"/>
    <w:rsid w:val="00D41632"/>
    <w:rsid w:val="00D42E3C"/>
    <w:rsid w:val="00D42E8F"/>
    <w:rsid w:val="00D4738F"/>
    <w:rsid w:val="00D47DAB"/>
    <w:rsid w:val="00D552B2"/>
    <w:rsid w:val="00D63853"/>
    <w:rsid w:val="00D7113C"/>
    <w:rsid w:val="00DA2485"/>
    <w:rsid w:val="00DA52B3"/>
    <w:rsid w:val="00DC52B0"/>
    <w:rsid w:val="00DC6AE6"/>
    <w:rsid w:val="00DC774C"/>
    <w:rsid w:val="00DD1644"/>
    <w:rsid w:val="00DD4E10"/>
    <w:rsid w:val="00DD5284"/>
    <w:rsid w:val="00DE1807"/>
    <w:rsid w:val="00DE3744"/>
    <w:rsid w:val="00DF3D92"/>
    <w:rsid w:val="00E11739"/>
    <w:rsid w:val="00E14972"/>
    <w:rsid w:val="00E164DE"/>
    <w:rsid w:val="00E16CDF"/>
    <w:rsid w:val="00E365B5"/>
    <w:rsid w:val="00E41B21"/>
    <w:rsid w:val="00E634EC"/>
    <w:rsid w:val="00E70F8D"/>
    <w:rsid w:val="00E73003"/>
    <w:rsid w:val="00E75316"/>
    <w:rsid w:val="00E76C4F"/>
    <w:rsid w:val="00E83DCC"/>
    <w:rsid w:val="00E90B6F"/>
    <w:rsid w:val="00EA58D4"/>
    <w:rsid w:val="00ED5881"/>
    <w:rsid w:val="00ED591E"/>
    <w:rsid w:val="00EE671B"/>
    <w:rsid w:val="00EF3BA4"/>
    <w:rsid w:val="00F06892"/>
    <w:rsid w:val="00F11C5C"/>
    <w:rsid w:val="00F21207"/>
    <w:rsid w:val="00F600D7"/>
    <w:rsid w:val="00F80890"/>
    <w:rsid w:val="00F9576A"/>
    <w:rsid w:val="00FA79B6"/>
    <w:rsid w:val="00FB372F"/>
    <w:rsid w:val="00FD00CA"/>
    <w:rsid w:val="00FD5CC1"/>
    <w:rsid w:val="00FE3007"/>
    <w:rsid w:val="02927217"/>
    <w:rsid w:val="041D6F4C"/>
    <w:rsid w:val="045332B3"/>
    <w:rsid w:val="0472FC18"/>
    <w:rsid w:val="04E3AD4B"/>
    <w:rsid w:val="053566A1"/>
    <w:rsid w:val="0762E79C"/>
    <w:rsid w:val="08C717B7"/>
    <w:rsid w:val="09466D3B"/>
    <w:rsid w:val="0982336C"/>
    <w:rsid w:val="0A067542"/>
    <w:rsid w:val="0B545F1B"/>
    <w:rsid w:val="0BA8355C"/>
    <w:rsid w:val="0DDC613C"/>
    <w:rsid w:val="0E573A9B"/>
    <w:rsid w:val="0EFFA350"/>
    <w:rsid w:val="0F4DD60B"/>
    <w:rsid w:val="0F5165C5"/>
    <w:rsid w:val="0F81C1A0"/>
    <w:rsid w:val="10B82A55"/>
    <w:rsid w:val="1114819D"/>
    <w:rsid w:val="111D9201"/>
    <w:rsid w:val="1124AD71"/>
    <w:rsid w:val="114EFCEC"/>
    <w:rsid w:val="1186751C"/>
    <w:rsid w:val="127C0C4D"/>
    <w:rsid w:val="1328FC89"/>
    <w:rsid w:val="1447FF99"/>
    <w:rsid w:val="14A2163D"/>
    <w:rsid w:val="15A64640"/>
    <w:rsid w:val="15B4DFD9"/>
    <w:rsid w:val="167F5E6B"/>
    <w:rsid w:val="178A9D2A"/>
    <w:rsid w:val="18420D56"/>
    <w:rsid w:val="184376CB"/>
    <w:rsid w:val="1852B964"/>
    <w:rsid w:val="193019B8"/>
    <w:rsid w:val="198AC9C0"/>
    <w:rsid w:val="19A631B9"/>
    <w:rsid w:val="1A96C86C"/>
    <w:rsid w:val="1C38188D"/>
    <w:rsid w:val="1CDB388D"/>
    <w:rsid w:val="1D28BA80"/>
    <w:rsid w:val="1D4F6222"/>
    <w:rsid w:val="1DAD6FF5"/>
    <w:rsid w:val="209F1292"/>
    <w:rsid w:val="20CAC71A"/>
    <w:rsid w:val="223D63A9"/>
    <w:rsid w:val="22720C06"/>
    <w:rsid w:val="22E57117"/>
    <w:rsid w:val="2312D273"/>
    <w:rsid w:val="233AF4D5"/>
    <w:rsid w:val="234F28D0"/>
    <w:rsid w:val="25313C6C"/>
    <w:rsid w:val="2615865E"/>
    <w:rsid w:val="2629D936"/>
    <w:rsid w:val="2636E543"/>
    <w:rsid w:val="26A58795"/>
    <w:rsid w:val="27083E18"/>
    <w:rsid w:val="274337FD"/>
    <w:rsid w:val="27BA6D71"/>
    <w:rsid w:val="29006754"/>
    <w:rsid w:val="29277ECF"/>
    <w:rsid w:val="2B875593"/>
    <w:rsid w:val="2C280DEE"/>
    <w:rsid w:val="2CF45A56"/>
    <w:rsid w:val="2E876BBD"/>
    <w:rsid w:val="2FF80D9A"/>
    <w:rsid w:val="3059E4F8"/>
    <w:rsid w:val="31541E13"/>
    <w:rsid w:val="328D69AE"/>
    <w:rsid w:val="32DA2D99"/>
    <w:rsid w:val="35E887CC"/>
    <w:rsid w:val="360C0FE1"/>
    <w:rsid w:val="36459192"/>
    <w:rsid w:val="36927DA2"/>
    <w:rsid w:val="3735C995"/>
    <w:rsid w:val="3768BF35"/>
    <w:rsid w:val="379F68F2"/>
    <w:rsid w:val="37A7E042"/>
    <w:rsid w:val="37F466F8"/>
    <w:rsid w:val="38363B89"/>
    <w:rsid w:val="398DEA8C"/>
    <w:rsid w:val="39A283E9"/>
    <w:rsid w:val="3AF56BEF"/>
    <w:rsid w:val="3B15F32E"/>
    <w:rsid w:val="3BBCB2F4"/>
    <w:rsid w:val="3C25095B"/>
    <w:rsid w:val="3DC3A625"/>
    <w:rsid w:val="3DC4145B"/>
    <w:rsid w:val="3EDD910D"/>
    <w:rsid w:val="3FC252BF"/>
    <w:rsid w:val="40282511"/>
    <w:rsid w:val="40AFF6F1"/>
    <w:rsid w:val="412D22DB"/>
    <w:rsid w:val="42A3BEB1"/>
    <w:rsid w:val="43C05FDA"/>
    <w:rsid w:val="44554CD3"/>
    <w:rsid w:val="44F4CAEB"/>
    <w:rsid w:val="461E147B"/>
    <w:rsid w:val="465574FE"/>
    <w:rsid w:val="467A9A49"/>
    <w:rsid w:val="4683FF33"/>
    <w:rsid w:val="472E9F97"/>
    <w:rsid w:val="476FA988"/>
    <w:rsid w:val="48FFBE47"/>
    <w:rsid w:val="492B9358"/>
    <w:rsid w:val="497DE876"/>
    <w:rsid w:val="49FDD235"/>
    <w:rsid w:val="4B77867E"/>
    <w:rsid w:val="4C5E9AAB"/>
    <w:rsid w:val="4D507FEB"/>
    <w:rsid w:val="4D6C0FC5"/>
    <w:rsid w:val="4E449DF0"/>
    <w:rsid w:val="4EE64079"/>
    <w:rsid w:val="50B89F53"/>
    <w:rsid w:val="5109029F"/>
    <w:rsid w:val="51E68149"/>
    <w:rsid w:val="526F9C6B"/>
    <w:rsid w:val="54B05C39"/>
    <w:rsid w:val="559343B5"/>
    <w:rsid w:val="570935B7"/>
    <w:rsid w:val="578649DD"/>
    <w:rsid w:val="59536C52"/>
    <w:rsid w:val="598335E4"/>
    <w:rsid w:val="59B60B81"/>
    <w:rsid w:val="59C243D8"/>
    <w:rsid w:val="5A11F0EF"/>
    <w:rsid w:val="5B309432"/>
    <w:rsid w:val="5BDFA535"/>
    <w:rsid w:val="5BFB500F"/>
    <w:rsid w:val="5C809D3C"/>
    <w:rsid w:val="5D27099B"/>
    <w:rsid w:val="5D2DC3AB"/>
    <w:rsid w:val="5F768036"/>
    <w:rsid w:val="5F89A242"/>
    <w:rsid w:val="601EB2CE"/>
    <w:rsid w:val="60A0222A"/>
    <w:rsid w:val="60B5B521"/>
    <w:rsid w:val="60E6D1D3"/>
    <w:rsid w:val="60F5AF26"/>
    <w:rsid w:val="615583BF"/>
    <w:rsid w:val="61CA733E"/>
    <w:rsid w:val="6222CA2E"/>
    <w:rsid w:val="63BE9A8F"/>
    <w:rsid w:val="63ED55E3"/>
    <w:rsid w:val="63F29889"/>
    <w:rsid w:val="64CC0FA9"/>
    <w:rsid w:val="64E9D931"/>
    <w:rsid w:val="64F9EC4D"/>
    <w:rsid w:val="65892644"/>
    <w:rsid w:val="674A472D"/>
    <w:rsid w:val="67BAF521"/>
    <w:rsid w:val="67C690BE"/>
    <w:rsid w:val="67FE378A"/>
    <w:rsid w:val="6B85E475"/>
    <w:rsid w:val="6CED2A70"/>
    <w:rsid w:val="6E593FC8"/>
    <w:rsid w:val="6E8B2D6B"/>
    <w:rsid w:val="6F9E498F"/>
    <w:rsid w:val="6FA59A28"/>
    <w:rsid w:val="7066F435"/>
    <w:rsid w:val="70904720"/>
    <w:rsid w:val="70B6E7E7"/>
    <w:rsid w:val="71C07D9C"/>
    <w:rsid w:val="71FCCB9C"/>
    <w:rsid w:val="721E3D4A"/>
    <w:rsid w:val="722F9B6D"/>
    <w:rsid w:val="72578E3A"/>
    <w:rsid w:val="726D182D"/>
    <w:rsid w:val="72A15560"/>
    <w:rsid w:val="741FA9C7"/>
    <w:rsid w:val="7540A2A2"/>
    <w:rsid w:val="759D9C48"/>
    <w:rsid w:val="75C03D55"/>
    <w:rsid w:val="762900FE"/>
    <w:rsid w:val="767D7A0A"/>
    <w:rsid w:val="76919C75"/>
    <w:rsid w:val="771205BA"/>
    <w:rsid w:val="77585682"/>
    <w:rsid w:val="778AA884"/>
    <w:rsid w:val="7882828E"/>
    <w:rsid w:val="78A82F7C"/>
    <w:rsid w:val="78F46ECB"/>
    <w:rsid w:val="7A807EB4"/>
    <w:rsid w:val="7B69591B"/>
    <w:rsid w:val="7CA90518"/>
    <w:rsid w:val="7D2CEE27"/>
    <w:rsid w:val="7D4EE5C8"/>
    <w:rsid w:val="7DC3BB2D"/>
    <w:rsid w:val="7DC8B9BF"/>
    <w:rsid w:val="7E2B9B93"/>
    <w:rsid w:val="7E600792"/>
    <w:rsid w:val="7F01176D"/>
    <w:rsid w:val="7F2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2EC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494"/>
    <w:pPr>
      <w:keepNext/>
      <w:keepLines/>
      <w:spacing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4A4C"/>
    <w:pPr>
      <w:keepNext/>
      <w:keepLines/>
      <w:spacing w:before="360" w:after="240"/>
      <w:outlineLvl w:val="1"/>
    </w:pPr>
    <w:rPr>
      <w:rFonts w:eastAsiaTheme="majorEastAsia" w:cs="Arial"/>
      <w:b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A4C"/>
    <w:pPr>
      <w:keepNext/>
      <w:keepLines/>
      <w:spacing w:before="240" w:after="240"/>
      <w:outlineLvl w:val="2"/>
    </w:pPr>
    <w:rPr>
      <w:rFonts w:eastAsiaTheme="majorEastAsia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C6D"/>
    <w:pPr>
      <w:keepNext/>
      <w:keepLines/>
      <w:spacing w:before="240" w:after="240"/>
      <w:outlineLvl w:val="3"/>
    </w:pPr>
    <w:rPr>
      <w:rFonts w:eastAsiaTheme="majorEastAsia" w:cs="Arial"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494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A4C"/>
    <w:rPr>
      <w:rFonts w:ascii="Arial" w:eastAsiaTheme="majorEastAsia" w:hAnsi="Arial" w:cs="Arial"/>
      <w:b/>
      <w:i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D4A4C"/>
    <w:rPr>
      <w:rFonts w:ascii="Arial" w:eastAsiaTheme="majorEastAsia" w:hAnsi="Arial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70C6D"/>
    <w:rPr>
      <w:rFonts w:ascii="Arial" w:eastAsiaTheme="majorEastAsia" w:hAnsi="Arial" w:cs="Arial"/>
      <w:i/>
      <w:i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6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DF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723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5F7C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"/>
    <w:basedOn w:val="Normal"/>
    <w:link w:val="ListParagraphChar"/>
    <w:autoRedefine/>
    <w:uiPriority w:val="34"/>
    <w:qFormat/>
    <w:rsid w:val="002D4A4C"/>
    <w:pPr>
      <w:numPr>
        <w:numId w:val="3"/>
      </w:numPr>
      <w:spacing w:before="240" w:after="240"/>
      <w:ind w:left="778"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55F7C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F7C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55F7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7C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06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E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2D4A4C"/>
    <w:rPr>
      <w:rFonts w:ascii="Arial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3A4F3A"/>
    <w:rPr>
      <w:b/>
      <w:bCs/>
    </w:rPr>
  </w:style>
  <w:style w:type="character" w:customStyle="1" w:styleId="linknotation">
    <w:name w:val="linknotation"/>
    <w:basedOn w:val="DefaultParagraphFont"/>
    <w:rsid w:val="003A4F3A"/>
  </w:style>
  <w:style w:type="paragraph" w:styleId="NormalWeb">
    <w:name w:val="Normal (Web)"/>
    <w:basedOn w:val="Normal"/>
    <w:uiPriority w:val="99"/>
    <w:unhideWhenUsed/>
    <w:rsid w:val="00C46113"/>
    <w:pPr>
      <w:spacing w:before="100" w:beforeAutospacing="1" w:after="100" w:afterAutospacing="1"/>
    </w:pPr>
    <w:rPr>
      <w:rFonts w:ascii="Times New Roman" w:hAnsi="Times New Roman"/>
    </w:rPr>
  </w:style>
  <w:style w:type="paragraph" w:styleId="MessageHeader">
    <w:name w:val="Message Header"/>
    <w:basedOn w:val="Normal"/>
    <w:link w:val="MessageHeaderChar"/>
    <w:uiPriority w:val="99"/>
    <w:unhideWhenUsed/>
    <w:rsid w:val="00B415C0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415C0"/>
    <w:rPr>
      <w:rFonts w:ascii="Arial" w:eastAsiaTheme="majorEastAsia" w:hAnsi="Arial" w:cstheme="maj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98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22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0226F"/>
  </w:style>
  <w:style w:type="paragraph" w:customStyle="1" w:styleId="Field1">
    <w:name w:val="Field 1"/>
    <w:basedOn w:val="ListParagraph"/>
    <w:link w:val="Field1Char"/>
    <w:qFormat/>
    <w:rsid w:val="00345200"/>
    <w:pPr>
      <w:numPr>
        <w:numId w:val="0"/>
      </w:numPr>
      <w:pBdr>
        <w:top w:val="single" w:sz="4" w:space="8" w:color="95B3D7"/>
        <w:left w:val="single" w:sz="4" w:space="4" w:color="95B3D7"/>
        <w:bottom w:val="single" w:sz="4" w:space="8" w:color="95B3D7"/>
        <w:right w:val="single" w:sz="4" w:space="4" w:color="95B3D7"/>
      </w:pBdr>
      <w:shd w:val="clear" w:color="auto" w:fill="D9E2F3"/>
      <w:spacing w:before="120" w:after="0"/>
      <w:ind w:left="360"/>
    </w:pPr>
    <w:rPr>
      <w:rFonts w:ascii="Times New Roman" w:eastAsia="Times New Roman" w:hAnsi="Times New Roman"/>
      <w:color w:val="000000"/>
      <w:szCs w:val="21"/>
      <w:lang w:val="en"/>
    </w:rPr>
  </w:style>
  <w:style w:type="character" w:customStyle="1" w:styleId="Field1Char">
    <w:name w:val="Field 1 Char"/>
    <w:basedOn w:val="ListParagraphChar"/>
    <w:link w:val="Field1"/>
    <w:rsid w:val="00345200"/>
    <w:rPr>
      <w:rFonts w:ascii="Times New Roman" w:eastAsia="Times New Roman" w:hAnsi="Times New Roman" w:cs="Times New Roman"/>
      <w:color w:val="000000"/>
      <w:sz w:val="24"/>
      <w:szCs w:val="21"/>
      <w:shd w:val="clear" w:color="auto" w:fill="D9E2F3"/>
      <w:lang w:val="en"/>
    </w:rPr>
  </w:style>
  <w:style w:type="character" w:customStyle="1" w:styleId="gs-fileformat">
    <w:name w:val="gs-fileformat"/>
    <w:basedOn w:val="DefaultParagraphFont"/>
    <w:rsid w:val="00345200"/>
  </w:style>
  <w:style w:type="character" w:customStyle="1" w:styleId="gs-fileformattype">
    <w:name w:val="gs-fileformattype"/>
    <w:basedOn w:val="DefaultParagraphFont"/>
    <w:rsid w:val="00345200"/>
  </w:style>
  <w:style w:type="character" w:styleId="Emphasis">
    <w:name w:val="Emphasis"/>
    <w:basedOn w:val="DefaultParagraphFont"/>
    <w:uiPriority w:val="20"/>
    <w:qFormat/>
    <w:rsid w:val="00345200"/>
    <w:rPr>
      <w:rFonts w:ascii="Times New Roman" w:hAnsi="Times New Roman" w:cs="Times New Roman" w:hint="default"/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520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452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5200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3452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5200"/>
  </w:style>
  <w:style w:type="character" w:customStyle="1" w:styleId="eop">
    <w:name w:val="eop"/>
    <w:basedOn w:val="DefaultParagraphFont"/>
    <w:rsid w:val="00345200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20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45200"/>
    <w:pPr>
      <w:spacing w:after="200"/>
    </w:pPr>
    <w:rPr>
      <w:rFonts w:ascii="Times New Roman" w:hAnsi="Times New Roman"/>
      <w:i/>
      <w:iCs/>
      <w:color w:val="44546A" w:themeColor="text2"/>
      <w:sz w:val="18"/>
      <w:szCs w:val="18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4520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34520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45200"/>
    <w:pPr>
      <w:spacing w:before="100" w:beforeAutospacing="1" w:after="100" w:afterAutospacing="1"/>
    </w:pPr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00"/>
    <w:rPr>
      <w:rFonts w:ascii="Courier New" w:eastAsia="Times New Roman" w:hAnsi="Courier New" w:cs="Courier New"/>
      <w:sz w:val="20"/>
      <w:szCs w:val="20"/>
    </w:rPr>
  </w:style>
  <w:style w:type="table" w:styleId="GridTable4-Accent1">
    <w:name w:val="Grid Table 4 Accent 1"/>
    <w:basedOn w:val="TableNormal"/>
    <w:uiPriority w:val="49"/>
    <w:rsid w:val="00C338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1668FF"/>
  </w:style>
  <w:style w:type="table" w:customStyle="1" w:styleId="TableGrid3">
    <w:name w:val="Table Grid3"/>
    <w:basedOn w:val="TableNormal"/>
    <w:next w:val="TableGrid"/>
    <w:uiPriority w:val="39"/>
    <w:rsid w:val="001668F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1668F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1668F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scxw169389718">
    <w:name w:val="scxw169389718"/>
    <w:basedOn w:val="DefaultParagraphFont"/>
    <w:rsid w:val="00DF3D92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30F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64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be/pn/im/documents/memo-pptb-amard-aug19item0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577B-5910-45B5-8158-B20FC4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9777</Characters>
  <Application>Microsoft Office Word</Application>
  <DocSecurity>0</DocSecurity>
  <Lines>171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2021 Agenda Item 02 - California Practitioners Advisory Group (CA Dept of Education)</dc:title>
  <dc:subject>Information Item Related to California’s State and Federal Accountability System: The 2021 Accountability Work Plan.</dc:subject>
  <dc:creator/>
  <cp:keywords/>
  <dc:description/>
  <cp:lastModifiedBy/>
  <cp:revision>1</cp:revision>
  <dcterms:created xsi:type="dcterms:W3CDTF">2023-07-07T15:49:00Z</dcterms:created>
  <dcterms:modified xsi:type="dcterms:W3CDTF">2023-07-07T15:49:00Z</dcterms:modified>
</cp:coreProperties>
</file>