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CB5A" w14:textId="6D8F57C1" w:rsidR="00F27D0E" w:rsidRPr="00E9603D" w:rsidRDefault="00F27D0E" w:rsidP="001712BC">
      <w:pPr>
        <w:rPr>
          <w:rFonts w:ascii="Arial" w:hAnsi="Arial" w:cs="Arial"/>
        </w:rPr>
      </w:pPr>
      <w:r w:rsidRPr="00E9603D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E9603D">
        <w:rPr>
          <w:rFonts w:ascii="Arial" w:hAnsi="Arial" w:cs="Arial"/>
        </w:rPr>
        <w:t>Department</w:t>
      </w:r>
      <w:r w:rsidR="00330ABE">
        <w:rPr>
          <w:rFonts w:ascii="Arial" w:hAnsi="Arial" w:cs="Arial"/>
        </w:rPr>
        <w:t xml:space="preserve"> </w:t>
      </w:r>
      <w:r w:rsidRPr="00E9603D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E9603D">
        <w:rPr>
          <w:rFonts w:ascii="Arial" w:hAnsi="Arial" w:cs="Arial"/>
        </w:rPr>
        <w:t>Education</w:t>
      </w:r>
    </w:p>
    <w:p w14:paraId="0D98333E" w14:textId="6F7BF5B6" w:rsidR="00F27D0E" w:rsidRPr="00E9603D" w:rsidRDefault="00F27D0E" w:rsidP="001712BC">
      <w:pPr>
        <w:rPr>
          <w:rFonts w:ascii="Arial" w:hAnsi="Arial" w:cs="Arial"/>
        </w:rPr>
      </w:pPr>
      <w:r w:rsidRPr="00E9603D">
        <w:rPr>
          <w:rFonts w:ascii="Arial" w:hAnsi="Arial" w:cs="Arial"/>
        </w:rPr>
        <w:t>Executive</w:t>
      </w:r>
      <w:r w:rsidR="00330ABE">
        <w:rPr>
          <w:rFonts w:ascii="Arial" w:hAnsi="Arial" w:cs="Arial"/>
        </w:rPr>
        <w:t xml:space="preserve"> </w:t>
      </w:r>
      <w:r w:rsidRPr="00E9603D">
        <w:rPr>
          <w:rFonts w:ascii="Arial" w:hAnsi="Arial" w:cs="Arial"/>
        </w:rPr>
        <w:t>Office</w:t>
      </w:r>
    </w:p>
    <w:p w14:paraId="3E864957" w14:textId="4AB5668F" w:rsidR="00F27D0E" w:rsidRPr="00E9603D" w:rsidRDefault="00F27D0E" w:rsidP="001712BC">
      <w:pPr>
        <w:rPr>
          <w:rFonts w:ascii="Arial" w:hAnsi="Arial" w:cs="Arial"/>
        </w:rPr>
      </w:pPr>
      <w:r w:rsidRPr="00E9603D">
        <w:rPr>
          <w:rFonts w:ascii="Arial" w:hAnsi="Arial" w:cs="Arial"/>
        </w:rPr>
        <w:t>SBE-002</w:t>
      </w:r>
      <w:r w:rsidR="00330ABE">
        <w:rPr>
          <w:rFonts w:ascii="Arial" w:hAnsi="Arial" w:cs="Arial"/>
        </w:rPr>
        <w:t xml:space="preserve"> </w:t>
      </w:r>
      <w:r w:rsidRPr="00E9603D">
        <w:rPr>
          <w:rFonts w:ascii="Arial" w:hAnsi="Arial" w:cs="Arial"/>
        </w:rPr>
        <w:t>(REV.</w:t>
      </w:r>
      <w:r w:rsidR="00330ABE">
        <w:rPr>
          <w:rFonts w:ascii="Arial" w:hAnsi="Arial" w:cs="Arial"/>
        </w:rPr>
        <w:t xml:space="preserve"> </w:t>
      </w:r>
      <w:r w:rsidRPr="00E9603D">
        <w:rPr>
          <w:rFonts w:ascii="Arial" w:hAnsi="Arial" w:cs="Arial"/>
        </w:rPr>
        <w:t>11/2017)</w:t>
      </w:r>
    </w:p>
    <w:p w14:paraId="7C4E23B0" w14:textId="604B1830" w:rsidR="00F27D0E" w:rsidRPr="00E9603D" w:rsidRDefault="00F27D0E" w:rsidP="00FF23FD">
      <w:pPr>
        <w:jc w:val="right"/>
        <w:rPr>
          <w:rFonts w:ascii="Arial" w:hAnsi="Arial" w:cs="Arial"/>
        </w:rPr>
        <w:sectPr w:rsidR="00F27D0E" w:rsidRPr="00E9603D" w:rsidSect="00F27D0E">
          <w:headerReference w:type="default" r:id="rId11"/>
          <w:footerReference w:type="default" r:id="rId12"/>
          <w:pgSz w:w="12240" w:h="15840"/>
          <w:pgMar w:top="720" w:right="1440" w:bottom="1440" w:left="1440" w:header="360" w:footer="720" w:gutter="0"/>
          <w:cols w:num="2" w:space="720"/>
          <w:titlePg/>
          <w:docGrid w:linePitch="326"/>
        </w:sectPr>
      </w:pPr>
      <w:r w:rsidRPr="00E9603D">
        <w:rPr>
          <w:rFonts w:ascii="Arial" w:hAnsi="Arial" w:cs="Arial"/>
        </w:rPr>
        <w:br w:type="column"/>
      </w:r>
      <w:r w:rsidRPr="00E9603D">
        <w:rPr>
          <w:rFonts w:ascii="Arial" w:hAnsi="Arial" w:cs="Arial"/>
        </w:rPr>
        <w:t>memo-</w:t>
      </w:r>
      <w:r w:rsidR="00DF646C" w:rsidRPr="00E9603D">
        <w:rPr>
          <w:rFonts w:ascii="Arial" w:hAnsi="Arial" w:cs="Arial"/>
        </w:rPr>
        <w:t>imb</w:t>
      </w:r>
      <w:r w:rsidRPr="00E9603D">
        <w:rPr>
          <w:rFonts w:ascii="Arial" w:hAnsi="Arial" w:cs="Arial"/>
        </w:rPr>
        <w:t>-</w:t>
      </w:r>
      <w:r w:rsidR="00DF646C" w:rsidRPr="00E9603D">
        <w:rPr>
          <w:rFonts w:ascii="Arial" w:hAnsi="Arial" w:cs="Arial"/>
        </w:rPr>
        <w:t>amard</w:t>
      </w:r>
      <w:r w:rsidRPr="00E9603D">
        <w:rPr>
          <w:rFonts w:ascii="Arial" w:hAnsi="Arial" w:cs="Arial"/>
        </w:rPr>
        <w:t>-</w:t>
      </w:r>
      <w:r w:rsidR="00913685" w:rsidRPr="00E9603D">
        <w:rPr>
          <w:rFonts w:ascii="Arial" w:hAnsi="Arial" w:cs="Arial"/>
        </w:rPr>
        <w:t>feb</w:t>
      </w:r>
      <w:r w:rsidRPr="00E9603D">
        <w:rPr>
          <w:rFonts w:ascii="Arial" w:hAnsi="Arial" w:cs="Arial"/>
        </w:rPr>
        <w:t>2</w:t>
      </w:r>
      <w:r w:rsidR="00913685" w:rsidRPr="00E9603D">
        <w:rPr>
          <w:rFonts w:ascii="Arial" w:hAnsi="Arial" w:cs="Arial"/>
        </w:rPr>
        <w:t>1</w:t>
      </w:r>
      <w:r w:rsidRPr="00E9603D">
        <w:rPr>
          <w:rFonts w:ascii="Arial" w:hAnsi="Arial" w:cs="Arial"/>
        </w:rPr>
        <w:t>item</w:t>
      </w:r>
      <w:r w:rsidR="00037E6C" w:rsidRPr="00E9603D">
        <w:rPr>
          <w:rFonts w:ascii="Arial" w:hAnsi="Arial" w:cs="Arial"/>
        </w:rPr>
        <w:t>0</w:t>
      </w:r>
      <w:r w:rsidR="00913685" w:rsidRPr="00E9603D">
        <w:rPr>
          <w:rFonts w:ascii="Arial" w:hAnsi="Arial" w:cs="Arial"/>
        </w:rPr>
        <w:t>2</w:t>
      </w:r>
    </w:p>
    <w:p w14:paraId="3C0E26C7" w14:textId="71DE6824" w:rsidR="005623EB" w:rsidRPr="00001842" w:rsidRDefault="005623EB" w:rsidP="00850B3A">
      <w:pPr>
        <w:pStyle w:val="Heading1"/>
      </w:pPr>
      <w:r w:rsidRPr="00001842">
        <w:t>MEMORANDUM</w:t>
      </w:r>
    </w:p>
    <w:p w14:paraId="05F27F02" w14:textId="7B8A6FA8" w:rsidR="005623EB" w:rsidRPr="00001842" w:rsidRDefault="005623EB" w:rsidP="001712BC">
      <w:pPr>
        <w:pStyle w:val="MessageHeader"/>
        <w:spacing w:before="240"/>
        <w:rPr>
          <w:rFonts w:cs="Arial"/>
          <w:sz w:val="44"/>
          <w:szCs w:val="44"/>
        </w:rPr>
      </w:pPr>
      <w:r w:rsidRPr="00001842">
        <w:rPr>
          <w:rFonts w:cs="Arial"/>
          <w:b/>
        </w:rPr>
        <w:t>DATE:</w:t>
      </w:r>
      <w:r w:rsidRPr="00001842">
        <w:rPr>
          <w:rFonts w:cs="Arial"/>
        </w:rPr>
        <w:tab/>
      </w:r>
      <w:r w:rsidR="00994429">
        <w:rPr>
          <w:rFonts w:cs="Arial"/>
        </w:rPr>
        <w:t>February</w:t>
      </w:r>
      <w:r w:rsidR="00330ABE">
        <w:rPr>
          <w:rFonts w:cs="Arial"/>
        </w:rPr>
        <w:t xml:space="preserve"> </w:t>
      </w:r>
      <w:r w:rsidR="00994429">
        <w:rPr>
          <w:rFonts w:cs="Arial"/>
        </w:rPr>
        <w:t>8</w:t>
      </w:r>
      <w:r w:rsidRPr="00001842">
        <w:rPr>
          <w:rFonts w:cs="Arial"/>
        </w:rPr>
        <w:t>,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202</w:t>
      </w:r>
      <w:r w:rsidR="00913685">
        <w:rPr>
          <w:rFonts w:cs="Arial"/>
        </w:rPr>
        <w:t>1</w:t>
      </w:r>
    </w:p>
    <w:p w14:paraId="42FF139E" w14:textId="5F180DDE" w:rsidR="005623EB" w:rsidRPr="00001842" w:rsidRDefault="005623EB" w:rsidP="001712BC">
      <w:pPr>
        <w:pStyle w:val="MessageHeader"/>
        <w:spacing w:before="240"/>
        <w:rPr>
          <w:rFonts w:cs="Arial"/>
        </w:rPr>
      </w:pPr>
      <w:r w:rsidRPr="00001842">
        <w:rPr>
          <w:rFonts w:cs="Arial"/>
          <w:b/>
        </w:rPr>
        <w:t>TO:</w:t>
      </w:r>
      <w:r w:rsidRPr="00001842">
        <w:rPr>
          <w:rFonts w:cs="Arial"/>
          <w:b/>
        </w:rPr>
        <w:tab/>
      </w:r>
      <w:r w:rsidRPr="00001842">
        <w:rPr>
          <w:rFonts w:cs="Arial"/>
        </w:rPr>
        <w:t>MEMBERS,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State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Board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of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Education</w:t>
      </w:r>
    </w:p>
    <w:p w14:paraId="4EA06E76" w14:textId="191E0F80" w:rsidR="005623EB" w:rsidRPr="00001842" w:rsidRDefault="005623EB" w:rsidP="001712BC">
      <w:pPr>
        <w:pStyle w:val="MessageHeader"/>
        <w:spacing w:before="240"/>
        <w:rPr>
          <w:rFonts w:cs="Arial"/>
        </w:rPr>
      </w:pPr>
      <w:r w:rsidRPr="00001842">
        <w:rPr>
          <w:rFonts w:cs="Arial"/>
          <w:b/>
        </w:rPr>
        <w:t>FROM:</w:t>
      </w:r>
      <w:r w:rsidRPr="00001842">
        <w:rPr>
          <w:rFonts w:cs="Arial"/>
        </w:rPr>
        <w:tab/>
      </w:r>
      <w:r w:rsidRPr="002026C7">
        <w:rPr>
          <w:rFonts w:cs="Arial"/>
          <w:caps/>
        </w:rPr>
        <w:t>Tony</w:t>
      </w:r>
      <w:r w:rsidR="00330ABE">
        <w:rPr>
          <w:rFonts w:cs="Arial"/>
          <w:caps/>
        </w:rPr>
        <w:t xml:space="preserve"> </w:t>
      </w:r>
      <w:r w:rsidRPr="002026C7">
        <w:rPr>
          <w:rFonts w:cs="Arial"/>
          <w:caps/>
        </w:rPr>
        <w:t>Thurmond</w:t>
      </w:r>
      <w:r w:rsidRPr="00001842">
        <w:rPr>
          <w:rFonts w:cs="Arial"/>
        </w:rPr>
        <w:t>,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State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Superintendent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of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Public</w:t>
      </w:r>
      <w:r w:rsidR="00330ABE">
        <w:rPr>
          <w:rFonts w:cs="Arial"/>
        </w:rPr>
        <w:t xml:space="preserve"> </w:t>
      </w:r>
      <w:r w:rsidRPr="00001842">
        <w:rPr>
          <w:rFonts w:cs="Arial"/>
        </w:rPr>
        <w:t>Instruction</w:t>
      </w:r>
    </w:p>
    <w:p w14:paraId="3B346172" w14:textId="08DCB0FB" w:rsidR="00B271AB" w:rsidRPr="00E9603D" w:rsidRDefault="005623EB" w:rsidP="00B271AB">
      <w:pPr>
        <w:rPr>
          <w:rFonts w:ascii="Arial" w:hAnsi="Arial" w:cs="Arial"/>
          <w:b/>
          <w:highlight w:val="yellow"/>
        </w:rPr>
      </w:pPr>
      <w:r w:rsidRPr="00E9603D">
        <w:rPr>
          <w:rFonts w:ascii="Arial" w:hAnsi="Arial" w:cs="Arial"/>
          <w:b/>
        </w:rPr>
        <w:t>SUBJECT:</w:t>
      </w:r>
      <w:r w:rsidRPr="00E9603D">
        <w:rPr>
          <w:rFonts w:ascii="Arial" w:hAnsi="Arial" w:cs="Arial"/>
          <w:b/>
        </w:rPr>
        <w:tab/>
      </w:r>
      <w:r w:rsidR="00B271AB">
        <w:rPr>
          <w:rFonts w:ascii="Arial" w:hAnsi="Arial" w:cs="Arial"/>
          <w:color w:val="212121"/>
        </w:rPr>
        <w:t>Update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on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the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Development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of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a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Student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Growth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Model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for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the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Integrated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Local,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State,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and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Federal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Accountability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and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Continuous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Improvement</w:t>
      </w:r>
      <w:r w:rsidR="00330ABE">
        <w:rPr>
          <w:rFonts w:ascii="Arial" w:hAnsi="Arial" w:cs="Arial"/>
          <w:color w:val="212121"/>
        </w:rPr>
        <w:t xml:space="preserve"> </w:t>
      </w:r>
      <w:r w:rsidR="00B271AB">
        <w:rPr>
          <w:rFonts w:ascii="Arial" w:hAnsi="Arial" w:cs="Arial"/>
          <w:color w:val="212121"/>
        </w:rPr>
        <w:t>System</w:t>
      </w:r>
    </w:p>
    <w:p w14:paraId="3E846171" w14:textId="25625EE0" w:rsidR="005623EB" w:rsidRPr="00C50107" w:rsidRDefault="005623EB" w:rsidP="00F946C3">
      <w:pPr>
        <w:pStyle w:val="Heading2"/>
      </w:pPr>
      <w:bookmarkStart w:id="0" w:name="_Toc139891205"/>
      <w:r w:rsidRPr="00C50107">
        <w:t>Summary</w:t>
      </w:r>
      <w:r w:rsidR="00330ABE" w:rsidRPr="00C50107">
        <w:t xml:space="preserve"> </w:t>
      </w:r>
      <w:r w:rsidRPr="00C50107">
        <w:t>of</w:t>
      </w:r>
      <w:r w:rsidR="00330ABE" w:rsidRPr="00C50107">
        <w:t xml:space="preserve"> </w:t>
      </w:r>
      <w:r w:rsidRPr="00C50107">
        <w:t>Key</w:t>
      </w:r>
      <w:r w:rsidR="00330ABE" w:rsidRPr="00C50107">
        <w:t xml:space="preserve"> </w:t>
      </w:r>
      <w:r w:rsidRPr="00C50107">
        <w:t>Issues</w:t>
      </w:r>
      <w:bookmarkEnd w:id="0"/>
    </w:p>
    <w:p w14:paraId="39666828" w14:textId="65569145" w:rsidR="00B271AB" w:rsidRDefault="00B271AB" w:rsidP="00B271AB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Since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Department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Education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(CDE),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Educational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Testing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(ETS),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Board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Education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(SBE)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engaged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developing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California’s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educational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agencies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(LEAs).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work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shared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refined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feedback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stakeholders,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including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educators,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advocacy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="0041529D">
        <w:rPr>
          <w:rFonts w:ascii="Arial" w:hAnsi="Arial" w:cs="Arial"/>
        </w:rPr>
        <w:t>general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public</w:t>
      </w:r>
      <w:proofErr w:type="gramEnd"/>
      <w:r w:rsidR="0041529D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After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exploring</w:t>
      </w:r>
      <w:r w:rsidR="00330AB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several</w:t>
      </w:r>
      <w:proofErr w:type="gramEnd"/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different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multi-year</w:t>
      </w:r>
      <w:r w:rsidR="00330ABE">
        <w:rPr>
          <w:rFonts w:ascii="Arial" w:hAnsi="Arial" w:cs="Arial"/>
        </w:rPr>
        <w:t xml:space="preserve"> </w:t>
      </w:r>
      <w:r w:rsidR="0041529D">
        <w:rPr>
          <w:rFonts w:ascii="Arial" w:hAnsi="Arial" w:cs="Arial"/>
        </w:rPr>
        <w:t>period</w:t>
      </w:r>
      <w:r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directed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pursue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“residual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gain”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(RG)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method.</w:t>
      </w:r>
    </w:p>
    <w:p w14:paraId="05C526D0" w14:textId="3BBDBE52" w:rsidR="007835A1" w:rsidRDefault="005E404F" w:rsidP="00330ABE">
      <w:pPr>
        <w:spacing w:before="240"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purposes</w:t>
      </w:r>
      <w:r w:rsidR="0068610E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</w:t>
      </w:r>
      <w:r w:rsidR="00330AB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aggregated</w:t>
      </w:r>
      <w:proofErr w:type="gramEnd"/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school,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="00317B11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317B11">
        <w:rPr>
          <w:rFonts w:ascii="Arial" w:hAnsi="Arial" w:cs="Arial"/>
        </w:rPr>
        <w:t>summarize</w:t>
      </w:r>
      <w:r w:rsidR="00330ABE">
        <w:rPr>
          <w:rFonts w:ascii="Arial" w:hAnsi="Arial" w:cs="Arial"/>
        </w:rPr>
        <w:t xml:space="preserve"> </w:t>
      </w:r>
      <w:r w:rsidR="001A58F7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917857">
        <w:rPr>
          <w:rFonts w:ascii="Arial" w:hAnsi="Arial" w:cs="Arial"/>
        </w:rPr>
        <w:t>progress</w:t>
      </w:r>
      <w:r w:rsidR="00330ABE">
        <w:rPr>
          <w:rFonts w:ascii="Arial" w:hAnsi="Arial" w:cs="Arial"/>
        </w:rPr>
        <w:t xml:space="preserve"> </w:t>
      </w:r>
      <w:r w:rsidR="00917857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317B11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="00317B11">
        <w:rPr>
          <w:rFonts w:ascii="Arial" w:hAnsi="Arial" w:cs="Arial"/>
        </w:rPr>
        <w:t>achievement</w:t>
      </w:r>
      <w:r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standard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computing</w:t>
      </w:r>
      <w:r w:rsidR="00330ABE">
        <w:rPr>
          <w:rFonts w:ascii="Arial" w:hAnsi="Arial" w:cs="Arial"/>
        </w:rPr>
        <w:t xml:space="preserve"> </w:t>
      </w:r>
      <w:r w:rsidR="00317B11">
        <w:rPr>
          <w:rFonts w:ascii="Arial" w:hAnsi="Arial" w:cs="Arial"/>
        </w:rPr>
        <w:t>a</w:t>
      </w:r>
      <w:r w:rsidR="00317B11" w:rsidRPr="00B271AB">
        <w:rPr>
          <w:rFonts w:ascii="Arial" w:hAnsi="Arial" w:cs="Arial"/>
        </w:rPr>
        <w:t>ggregates</w:t>
      </w:r>
      <w:r w:rsidR="00330ABE">
        <w:rPr>
          <w:rFonts w:ascii="Arial" w:hAnsi="Arial" w:cs="Arial"/>
        </w:rPr>
        <w:t xml:space="preserve"> </w:t>
      </w:r>
      <w:r w:rsidR="00317B11"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317B11" w:rsidRPr="00B271AB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="00317B11"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="00317B11" w:rsidRPr="00B271AB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="00317B11">
        <w:rPr>
          <w:rFonts w:ascii="Arial" w:hAnsi="Arial" w:cs="Arial"/>
        </w:rPr>
        <w:t>(</w:t>
      </w:r>
      <w:r w:rsidR="00B271AB">
        <w:rPr>
          <w:rFonts w:ascii="Arial" w:hAnsi="Arial" w:cs="Arial"/>
        </w:rPr>
        <w:t>AGMs</w:t>
      </w:r>
      <w:r w:rsidR="00317B11">
        <w:rPr>
          <w:rFonts w:ascii="Arial" w:hAnsi="Arial" w:cs="Arial"/>
        </w:rPr>
        <w:t>)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available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subject.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i</w:t>
      </w:r>
      <w:r w:rsidR="00B271AB" w:rsidRPr="00B271AB">
        <w:rPr>
          <w:rFonts w:ascii="Arial" w:hAnsi="Arial" w:cs="Arial"/>
        </w:rPr>
        <w:t>n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preliminary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investigations,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simple-average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tended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variation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creating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credibility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adopted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annual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accountability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use.</w:t>
      </w:r>
      <w:r w:rsidR="00330ABE">
        <w:rPr>
          <w:rFonts w:ascii="Arial" w:hAnsi="Arial" w:cs="Arial"/>
        </w:rPr>
        <w:t xml:space="preserve"> </w:t>
      </w:r>
      <w:proofErr w:type="gramStart"/>
      <w:r w:rsid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order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to</w:t>
      </w:r>
      <w:proofErr w:type="gramEnd"/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="00B271AB">
        <w:rPr>
          <w:rFonts w:ascii="Arial" w:hAnsi="Arial" w:cs="Arial"/>
        </w:rPr>
        <w:t>stability,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developed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best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linear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(EBLP)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(Lockwood,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Castellano,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&amp;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McCaffrey,</w:t>
      </w:r>
      <w:r w:rsidR="00330ABE">
        <w:rPr>
          <w:rFonts w:ascii="Arial" w:hAnsi="Arial" w:cs="Arial"/>
        </w:rPr>
        <w:t xml:space="preserve"> </w:t>
      </w:r>
      <w:r w:rsidR="00B271AB" w:rsidRPr="00B271AB">
        <w:rPr>
          <w:rFonts w:ascii="Arial" w:hAnsi="Arial" w:cs="Arial"/>
        </w:rPr>
        <w:t>2020).</w:t>
      </w:r>
    </w:p>
    <w:p w14:paraId="170DD667" w14:textId="7101D65F" w:rsidR="00481CBB" w:rsidRPr="00E62059" w:rsidRDefault="00B271AB" w:rsidP="00481CBB">
      <w:pPr>
        <w:pStyle w:val="CommentText"/>
        <w:rPr>
          <w:sz w:val="24"/>
          <w:szCs w:val="24"/>
        </w:rPr>
      </w:pP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request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of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CDE,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ETS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conducted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study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to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explore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potential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for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using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EBLP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method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to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estimate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AGMs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for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California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LEAs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schools.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This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report,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which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appears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Attachment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1,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provides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results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of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that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investigation.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compares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EBLP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weighted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average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approach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to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simple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average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approach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terms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of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accuracy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stability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school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LEA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levels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for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all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students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several</w:t>
      </w:r>
      <w:proofErr w:type="gramEnd"/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student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groups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within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schools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LEAs.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Given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distinct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results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LEA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level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terms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of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improved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accuracy,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further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explorations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were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conducted</w:t>
      </w:r>
      <w:proofErr w:type="gramEnd"/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support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of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hybrid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approach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for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calculating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AGM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for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LEAs—assigning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EBLP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weighted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average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some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cases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simple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average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in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others.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report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also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provides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results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of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the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hybrid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E62059">
        <w:rPr>
          <w:rStyle w:val="normaltextrun"/>
          <w:rFonts w:cs="Arial"/>
          <w:sz w:val="24"/>
          <w:szCs w:val="24"/>
          <w:shd w:val="clear" w:color="auto" w:fill="FFFFFF"/>
        </w:rPr>
        <w:t>approach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="00E62059" w:rsidRPr="00E62059">
        <w:rPr>
          <w:rStyle w:val="normaltextrun"/>
          <w:rFonts w:cs="Arial"/>
          <w:sz w:val="24"/>
          <w:szCs w:val="24"/>
          <w:shd w:val="clear" w:color="auto" w:fill="FFFFFF"/>
        </w:rPr>
        <w:t>and</w:t>
      </w:r>
      <w:r w:rsidR="00330ABE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="00E62059" w:rsidRPr="00E62059">
        <w:rPr>
          <w:sz w:val="24"/>
          <w:szCs w:val="24"/>
        </w:rPr>
        <w:t>concludes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01549E">
        <w:rPr>
          <w:sz w:val="24"/>
          <w:szCs w:val="24"/>
        </w:rPr>
        <w:t>investigative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study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of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student-level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growth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model.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E67E06">
        <w:rPr>
          <w:sz w:val="24"/>
          <w:szCs w:val="24"/>
        </w:rPr>
        <w:t>attached</w:t>
      </w:r>
      <w:r w:rsidR="00330ABE">
        <w:rPr>
          <w:sz w:val="24"/>
          <w:szCs w:val="24"/>
        </w:rPr>
        <w:t xml:space="preserve"> </w:t>
      </w:r>
      <w:r w:rsidR="00E67E06">
        <w:rPr>
          <w:sz w:val="24"/>
          <w:szCs w:val="24"/>
        </w:rPr>
        <w:lastRenderedPageBreak/>
        <w:t>report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provides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SBE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with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4C1CEA">
        <w:rPr>
          <w:sz w:val="24"/>
          <w:szCs w:val="24"/>
        </w:rPr>
        <w:t>necessary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information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to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consider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adoption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of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model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at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the</w:t>
      </w:r>
      <w:r w:rsidR="000C5D41">
        <w:rPr>
          <w:sz w:val="24"/>
          <w:szCs w:val="24"/>
        </w:rPr>
        <w:t>ir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March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2021</w:t>
      </w:r>
      <w:r w:rsidR="00330ABE">
        <w:rPr>
          <w:sz w:val="24"/>
          <w:szCs w:val="24"/>
        </w:rPr>
        <w:t xml:space="preserve"> </w:t>
      </w:r>
      <w:r w:rsidR="00E62059" w:rsidRPr="00E62059">
        <w:rPr>
          <w:sz w:val="24"/>
          <w:szCs w:val="24"/>
        </w:rPr>
        <w:t>meeting.</w:t>
      </w:r>
      <w:r w:rsidR="00330ABE">
        <w:rPr>
          <w:sz w:val="24"/>
          <w:szCs w:val="24"/>
        </w:rPr>
        <w:t xml:space="preserve"> </w:t>
      </w:r>
      <w:bookmarkStart w:id="1" w:name="_Hlk62820114"/>
      <w:r w:rsidR="00831FEE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March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2021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item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will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also</w:t>
      </w:r>
      <w:r w:rsidR="00330ABE">
        <w:rPr>
          <w:sz w:val="24"/>
          <w:szCs w:val="24"/>
        </w:rPr>
        <w:t xml:space="preserve"> </w:t>
      </w:r>
      <w:r w:rsidR="0023040A">
        <w:rPr>
          <w:sz w:val="24"/>
          <w:szCs w:val="24"/>
        </w:rPr>
        <w:t>contain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2021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accountability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work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plan</w:t>
      </w:r>
      <w:r w:rsidR="00831FEE">
        <w:rPr>
          <w:sz w:val="24"/>
          <w:szCs w:val="24"/>
        </w:rPr>
        <w:t>,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including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information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on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how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to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effectively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communicate</w:t>
      </w:r>
      <w:r w:rsidR="00330ABE">
        <w:rPr>
          <w:sz w:val="24"/>
          <w:szCs w:val="24"/>
        </w:rPr>
        <w:t xml:space="preserve"> </w:t>
      </w:r>
      <w:r w:rsidR="00911882">
        <w:rPr>
          <w:sz w:val="24"/>
          <w:szCs w:val="24"/>
        </w:rPr>
        <w:t>the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growth</w:t>
      </w:r>
      <w:r w:rsidR="00330ABE">
        <w:rPr>
          <w:sz w:val="24"/>
          <w:szCs w:val="24"/>
        </w:rPr>
        <w:t xml:space="preserve"> </w:t>
      </w:r>
      <w:r w:rsidR="00831FEE">
        <w:rPr>
          <w:sz w:val="24"/>
          <w:szCs w:val="24"/>
        </w:rPr>
        <w:t>model</w:t>
      </w:r>
      <w:r w:rsidR="00330ABE">
        <w:rPr>
          <w:sz w:val="24"/>
          <w:szCs w:val="24"/>
        </w:rPr>
        <w:t xml:space="preserve"> </w:t>
      </w:r>
      <w:r w:rsidR="00605C6E">
        <w:rPr>
          <w:sz w:val="24"/>
          <w:szCs w:val="24"/>
        </w:rPr>
        <w:t>results</w:t>
      </w:r>
      <w:r w:rsidR="00831FEE">
        <w:rPr>
          <w:sz w:val="24"/>
          <w:szCs w:val="24"/>
        </w:rPr>
        <w:t>.</w:t>
      </w:r>
      <w:r w:rsidR="00330ABE">
        <w:rPr>
          <w:sz w:val="24"/>
          <w:szCs w:val="24"/>
        </w:rPr>
        <w:t xml:space="preserve"> </w:t>
      </w:r>
    </w:p>
    <w:p w14:paraId="0A522B69" w14:textId="64AC772E" w:rsidR="00037E6C" w:rsidRPr="00A86EF8" w:rsidRDefault="00037E6C" w:rsidP="00F946C3">
      <w:pPr>
        <w:pStyle w:val="Heading2"/>
        <w:rPr>
          <w:rStyle w:val="normaltextrun"/>
          <w:bCs w:val="0"/>
        </w:rPr>
      </w:pPr>
      <w:bookmarkStart w:id="2" w:name="_Toc139891206"/>
      <w:bookmarkEnd w:id="1"/>
      <w:r w:rsidRPr="00A86EF8">
        <w:rPr>
          <w:rStyle w:val="normaltextrun"/>
          <w:bCs w:val="0"/>
        </w:rPr>
        <w:t>Summary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of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Previous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State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Board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of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Education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Discussion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and</w:t>
      </w:r>
      <w:r w:rsidR="00330ABE" w:rsidRPr="00A86EF8">
        <w:rPr>
          <w:rStyle w:val="normaltextrun"/>
          <w:bCs w:val="0"/>
        </w:rPr>
        <w:t xml:space="preserve"> </w:t>
      </w:r>
      <w:r w:rsidRPr="00A86EF8">
        <w:rPr>
          <w:rStyle w:val="normaltextrun"/>
          <w:bCs w:val="0"/>
        </w:rPr>
        <w:t>Action</w:t>
      </w:r>
      <w:bookmarkEnd w:id="2"/>
    </w:p>
    <w:p w14:paraId="7F4C67E8" w14:textId="18038193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June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2016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Information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Memorandum,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provided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progress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update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clarified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key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issues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related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design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school-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district-level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accountability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opposed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3" w:tooltip="State Board of Education June 2016 Information Memorandum" w:history="1">
        <w:r w:rsidRPr="00B271AB">
          <w:rPr>
            <w:rFonts w:ascii="Arial" w:hAnsi="Arial" w:cs="Arial"/>
            <w:color w:val="0000FF"/>
            <w:u w:val="single"/>
          </w:rPr>
          <w:t>https://www.cde.ca.gov/be/pn/im/documents/memo-dsib-amard-jun16item01.doc</w:t>
        </w:r>
      </w:hyperlink>
      <w:r w:rsidRPr="00B271AB">
        <w:rPr>
          <w:rFonts w:ascii="Arial" w:hAnsi="Arial" w:cs="Arial"/>
          <w:color w:val="0000FF"/>
          <w:u w:val="single"/>
        </w:rPr>
        <w:t>).</w:t>
      </w:r>
    </w:p>
    <w:p w14:paraId="313B2718" w14:textId="666C6852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February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2016,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received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Information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provided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overview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communicate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Smarter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Balanced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Summative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Assessment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4" w:tooltip="State Board of Education February 2016 Information Memorandum" w:history="1">
        <w:r w:rsidRPr="00B271AB">
          <w:rPr>
            <w:rFonts w:ascii="Arial" w:hAnsi="Arial" w:cs="Arial"/>
            <w:color w:val="0000FF"/>
            <w:u w:val="single"/>
          </w:rPr>
          <w:t>https://www.cde.ca.gov/be/pn/im/documents/memo-dsib-amard-feb16item01.doc</w:t>
        </w:r>
      </w:hyperlink>
      <w:r w:rsidRPr="00B271AB">
        <w:rPr>
          <w:rFonts w:ascii="Arial" w:hAnsi="Arial" w:cs="Arial"/>
        </w:rPr>
        <w:t>).</w:t>
      </w:r>
    </w:p>
    <w:p w14:paraId="45578847" w14:textId="59E0A9EC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January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2017,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discussed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criteria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selecting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district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accountability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5" w:tooltip="State Board of Education January 2017 Meeting Item 02" w:history="1">
        <w:r w:rsidRPr="00B271AB">
          <w:rPr>
            <w:rFonts w:ascii="Arial" w:hAnsi="Arial" w:cs="Arial"/>
            <w:color w:val="0000FF"/>
            <w:u w:val="single"/>
          </w:rPr>
          <w:t>https://www.cde.ca.gov/be/ag/ag/yr17/documents/jan17item02.doc</w:t>
        </w:r>
      </w:hyperlink>
      <w:r w:rsidRPr="00B271AB">
        <w:rPr>
          <w:rFonts w:ascii="Arial" w:hAnsi="Arial" w:cs="Arial"/>
        </w:rPr>
        <w:t>).</w:t>
      </w:r>
    </w:p>
    <w:p w14:paraId="4A13ED59" w14:textId="544828B7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discussion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January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2017,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consulted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ETS,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Technical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Design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(TDG),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CAASPP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Technical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Advisory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(TAG),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Statewide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Assessment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Stakeholder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regarding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potential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models.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proofErr w:type="gramStart"/>
      <w:r w:rsidRPr="00B271AB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selected</w:t>
      </w:r>
      <w:proofErr w:type="gramEnd"/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simulation.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discussion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recommendations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summarized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June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2017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Information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6" w:tooltip="State Board of Education June 2017 Information Memorandum" w:history="1">
        <w:r w:rsidRPr="00B271AB">
          <w:rPr>
            <w:rFonts w:ascii="Arial" w:hAnsi="Arial" w:cs="Arial"/>
            <w:color w:val="0000FF"/>
            <w:u w:val="single"/>
          </w:rPr>
          <w:t>https://www.cde.ca.gov/be/pn/im/documents/memo-asb-adad-jun17item03.doc</w:t>
        </w:r>
      </w:hyperlink>
      <w:r w:rsidRPr="00B271AB">
        <w:rPr>
          <w:rFonts w:ascii="Arial" w:hAnsi="Arial" w:cs="Arial"/>
        </w:rPr>
        <w:t>).</w:t>
      </w:r>
    </w:p>
    <w:p w14:paraId="79855C33" w14:textId="5FC74A0F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February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2018,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received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Information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Study,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provided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analysis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proposed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7" w:tooltip="State Board of Education February 2018 Memo" w:history="1">
        <w:r w:rsidRPr="00B271AB">
          <w:rPr>
            <w:rStyle w:val="Hyperlink"/>
            <w:rFonts w:ascii="Arial" w:hAnsi="Arial" w:cs="Arial"/>
          </w:rPr>
          <w:t>https://www.cde.ca.gov/be/pn/im/documents/memo-pptb-amard-feb18item01.docx</w:t>
        </w:r>
      </w:hyperlink>
      <w:r w:rsidRPr="00B271AB">
        <w:rPr>
          <w:rFonts w:ascii="Arial" w:hAnsi="Arial" w:cs="Arial"/>
        </w:rPr>
        <w:t>).</w:t>
      </w:r>
    </w:p>
    <w:p w14:paraId="0C2F0DD0" w14:textId="306CC8C0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2018,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reviewed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analyses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directed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explore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Gain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inclusion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Dashboard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8" w:tooltip="State Board of Education May 2018 Item" w:history="1">
        <w:r w:rsidRPr="00B271AB">
          <w:rPr>
            <w:rStyle w:val="Hyperlink"/>
            <w:rFonts w:ascii="Arial" w:hAnsi="Arial" w:cs="Arial"/>
          </w:rPr>
          <w:t>https://www.cde.ca.gov/be/ag/ag/yr18/documents/may18item02.docx</w:t>
        </w:r>
      </w:hyperlink>
      <w:r w:rsidRPr="00B271AB">
        <w:rPr>
          <w:rFonts w:ascii="Arial" w:hAnsi="Arial" w:cs="Arial"/>
        </w:rPr>
        <w:t>).</w:t>
      </w:r>
    </w:p>
    <w:p w14:paraId="04318CA7" w14:textId="521306FD" w:rsidR="00B271AB" w:rsidRP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July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meeting,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directed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conduct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analyses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including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future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assessment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changes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reduce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volatility,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consideration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additional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options,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examination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implemented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states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19" w:tooltip="State Board of Education July 2018 Item 01" w:history="1">
        <w:r w:rsidRPr="00B271AB">
          <w:rPr>
            <w:rStyle w:val="Hyperlink"/>
            <w:rFonts w:ascii="Arial" w:hAnsi="Arial" w:cs="Arial"/>
          </w:rPr>
          <w:t>https://www.cde.ca.gov/be/ag/ag/yr18/documents/jul18item01.docx</w:t>
        </w:r>
      </w:hyperlink>
      <w:r w:rsidRPr="00B271AB">
        <w:rPr>
          <w:rFonts w:ascii="Arial" w:hAnsi="Arial" w:cs="Arial"/>
        </w:rPr>
        <w:t>).</w:t>
      </w:r>
    </w:p>
    <w:p w14:paraId="7BED9CF5" w14:textId="29382002" w:rsidR="00B271AB" w:rsidRPr="00B271AB" w:rsidRDefault="00B271AB" w:rsidP="00B271AB">
      <w:pPr>
        <w:spacing w:before="240"/>
        <w:rPr>
          <w:rFonts w:ascii="Arial" w:hAnsi="Arial" w:cs="Arial"/>
        </w:rPr>
      </w:pPr>
      <w:r w:rsidRPr="00B271AB">
        <w:rPr>
          <w:rFonts w:ascii="Arial" w:hAnsi="Arial" w:cs="Arial"/>
          <w:color w:val="000000"/>
        </w:rPr>
        <w:lastRenderedPageBreak/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CDE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engaged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California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Comprehensive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Center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to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conduct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this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research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and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facilitate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stakeholder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process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on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future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direction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of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this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work.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In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February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2019,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SBE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received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Information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Memorandum,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providing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summary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of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first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Student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Model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stakeholder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meeting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(</w:t>
      </w:r>
      <w:hyperlink r:id="rId20" w:tooltip="February 2019 Information Memo 03" w:history="1">
        <w:r w:rsidRPr="00B271AB">
          <w:rPr>
            <w:rStyle w:val="Hyperlink"/>
            <w:rFonts w:ascii="Arial" w:eastAsiaTheme="majorEastAsia" w:hAnsi="Arial" w:cs="Arial"/>
          </w:rPr>
          <w:t>https://www.cde.ca.gov/be/pn/im/documents/memo-pptb-amard-feb19item03.docx</w:t>
        </w:r>
      </w:hyperlink>
      <w:r w:rsidRPr="00B271AB">
        <w:rPr>
          <w:rFonts w:ascii="Arial" w:hAnsi="Arial" w:cs="Arial"/>
          <w:color w:val="000000"/>
        </w:rPr>
        <w:t>).</w:t>
      </w:r>
    </w:p>
    <w:p w14:paraId="65AB6F58" w14:textId="397718DB" w:rsidR="00B271AB" w:rsidRPr="00B271AB" w:rsidRDefault="00B271AB" w:rsidP="00B271AB">
      <w:pPr>
        <w:spacing w:before="240"/>
        <w:rPr>
          <w:rFonts w:ascii="Arial" w:hAnsi="Arial" w:cs="Arial"/>
          <w:color w:val="000000"/>
        </w:rPr>
      </w:pPr>
      <w:r w:rsidRPr="00B271AB">
        <w:rPr>
          <w:rFonts w:ascii="Arial" w:hAnsi="Arial" w:cs="Arial"/>
          <w:color w:val="000000"/>
        </w:rPr>
        <w:t>In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April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2019,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SBE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received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Information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Memorandum,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providing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summary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of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second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model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stakeholder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feedback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group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meeting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(</w:t>
      </w:r>
      <w:hyperlink r:id="rId21" w:tooltip="April 2019 Information Memorandum" w:history="1">
        <w:r w:rsidRPr="00B271AB">
          <w:rPr>
            <w:rStyle w:val="Hyperlink"/>
            <w:rFonts w:ascii="Arial" w:hAnsi="Arial" w:cs="Arial"/>
          </w:rPr>
          <w:t>https://www.cde.ca.gov/be/pn/im/documents/memo-pptb-amard-apr19item02.docx</w:t>
        </w:r>
      </w:hyperlink>
      <w:r w:rsidRPr="00B271AB">
        <w:rPr>
          <w:rFonts w:ascii="Arial" w:hAnsi="Arial" w:cs="Arial"/>
          <w:color w:val="000000"/>
        </w:rPr>
        <w:t>).</w:t>
      </w:r>
    </w:p>
    <w:p w14:paraId="7CDB650C" w14:textId="5F0948C3" w:rsidR="00B271AB" w:rsidRPr="00B271AB" w:rsidRDefault="00B271AB" w:rsidP="00B271AB">
      <w:pPr>
        <w:spacing w:before="240" w:after="240"/>
        <w:rPr>
          <w:rFonts w:ascii="Arial" w:hAnsi="Arial" w:cs="Arial"/>
          <w:color w:val="000000"/>
        </w:rPr>
      </w:pPr>
      <w:r w:rsidRPr="00B271AB">
        <w:rPr>
          <w:rFonts w:ascii="Arial" w:hAnsi="Arial" w:cs="Arial"/>
          <w:color w:val="000000"/>
        </w:rPr>
        <w:t>In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November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2019,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SBE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received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Information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Memorandum,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providing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a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summary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of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model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stakeholder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feedback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group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process</w:t>
      </w:r>
      <w:r w:rsidR="00330ABE">
        <w:rPr>
          <w:rFonts w:ascii="Arial" w:hAnsi="Arial" w:cs="Arial"/>
          <w:color w:val="000000"/>
        </w:rPr>
        <w:t xml:space="preserve"> </w:t>
      </w:r>
      <w:r w:rsidRPr="00B271AB">
        <w:rPr>
          <w:rFonts w:ascii="Arial" w:hAnsi="Arial" w:cs="Arial"/>
          <w:color w:val="000000"/>
        </w:rPr>
        <w:t>(</w:t>
      </w:r>
      <w:hyperlink r:id="rId22" w:tooltip="November 2019 Information Memorandum" w:history="1">
        <w:r w:rsidRPr="00B271AB">
          <w:rPr>
            <w:rStyle w:val="Hyperlink"/>
            <w:rFonts w:ascii="Arial" w:hAnsi="Arial" w:cs="Arial"/>
            <w:shd w:val="clear" w:color="auto" w:fill="FFFFFF"/>
          </w:rPr>
          <w:t>https://www.cde.ca.gov/be/pn/im/documents/nov19memoamard01.docx</w:t>
        </w:r>
      </w:hyperlink>
      <w:r w:rsidRPr="00B271AB">
        <w:rPr>
          <w:rFonts w:ascii="Arial" w:hAnsi="Arial" w:cs="Arial"/>
          <w:color w:val="000000"/>
        </w:rPr>
        <w:t>).</w:t>
      </w:r>
    </w:p>
    <w:p w14:paraId="07C074A6" w14:textId="70990767" w:rsidR="00B271AB" w:rsidRPr="00B271AB" w:rsidRDefault="00B271AB" w:rsidP="00B271AB">
      <w:pPr>
        <w:spacing w:after="100" w:afterAutospacing="1"/>
        <w:rPr>
          <w:rFonts w:ascii="Arial" w:hAnsi="Arial" w:cs="Arial"/>
        </w:rPr>
      </w:pPr>
      <w:r w:rsidRPr="00B271AB">
        <w:rPr>
          <w:rFonts w:ascii="Arial" w:hAnsi="Arial" w:cs="Arial"/>
          <w:color w:val="000000" w:themeColor="text1"/>
        </w:rPr>
        <w:t>At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March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2020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meeting,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SBE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directed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CDE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to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provide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a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presentation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at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May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2020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meeting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regarding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work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conducted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to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date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on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development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of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a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student-level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growth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model.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Due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to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national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health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crisis,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this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presentation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was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postponed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until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July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2020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SBE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meeting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(</w:t>
      </w:r>
      <w:hyperlink r:id="rId23" w:tooltip="March 2020 State Board of Education Item 05">
        <w:r w:rsidRPr="00B271AB">
          <w:rPr>
            <w:rStyle w:val="Hyperlink"/>
            <w:rFonts w:ascii="Arial" w:hAnsi="Arial" w:cs="Arial"/>
          </w:rPr>
          <w:t>https://www.cde.ca.gov/be/ag/ag/yr20/documents/mar20item05.docx</w:t>
        </w:r>
      </w:hyperlink>
      <w:r w:rsidRPr="00B271AB">
        <w:rPr>
          <w:rFonts w:ascii="Arial" w:hAnsi="Arial" w:cs="Arial"/>
        </w:rPr>
        <w:t>).</w:t>
      </w:r>
      <w:r w:rsidR="00330ABE">
        <w:rPr>
          <w:rFonts w:ascii="Arial" w:hAnsi="Arial" w:cs="Arial"/>
        </w:rPr>
        <w:t xml:space="preserve"> </w:t>
      </w:r>
    </w:p>
    <w:p w14:paraId="7D47BE5F" w14:textId="25D22377" w:rsidR="00B271AB" w:rsidRPr="00B271AB" w:rsidRDefault="00B271AB" w:rsidP="00B271AB">
      <w:pPr>
        <w:spacing w:after="100" w:afterAutospacing="1"/>
        <w:rPr>
          <w:rFonts w:ascii="Arial" w:hAnsi="Arial" w:cs="Arial"/>
        </w:rPr>
      </w:pPr>
      <w:r w:rsidRPr="00B271AB">
        <w:rPr>
          <w:rFonts w:ascii="Arial" w:hAnsi="Arial" w:cs="Arial"/>
          <w:color w:val="000000" w:themeColor="text1"/>
        </w:rPr>
        <w:t>In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June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2020,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the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SBE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received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an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Information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  <w:color w:val="000000" w:themeColor="text1"/>
        </w:rPr>
        <w:t>Memorandum,</w:t>
      </w:r>
      <w:r w:rsidR="00330ABE">
        <w:rPr>
          <w:rFonts w:ascii="Arial" w:hAnsi="Arial" w:cs="Arial"/>
          <w:color w:val="000000" w:themeColor="text1"/>
        </w:rPr>
        <w:t xml:space="preserve"> </w:t>
      </w:r>
      <w:r w:rsidRPr="00B271AB">
        <w:rPr>
          <w:rFonts w:ascii="Arial" w:hAnsi="Arial" w:cs="Arial"/>
        </w:rPr>
        <w:t>providing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history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background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work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date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24" w:tooltip="June 2020 State Board of Education Item 01">
        <w:r w:rsidRPr="00B271AB">
          <w:rPr>
            <w:rStyle w:val="Hyperlink"/>
            <w:rFonts w:ascii="Arial" w:hAnsi="Arial" w:cs="Arial"/>
          </w:rPr>
          <w:t>https://www.cde.ca.gov/be/pn/im/documents/memo-imb-amard-june20item01.docx</w:t>
        </w:r>
      </w:hyperlink>
      <w:r w:rsidRPr="00B271AB">
        <w:rPr>
          <w:rFonts w:ascii="Arial" w:hAnsi="Arial" w:cs="Arial"/>
        </w:rPr>
        <w:t>).</w:t>
      </w:r>
      <w:r w:rsidR="00330ABE">
        <w:rPr>
          <w:rFonts w:ascii="Arial" w:hAnsi="Arial" w:cs="Arial"/>
        </w:rPr>
        <w:t xml:space="preserve"> </w:t>
      </w:r>
    </w:p>
    <w:p w14:paraId="445F39F3" w14:textId="4CB3C0C0" w:rsidR="00B271AB" w:rsidRPr="00B271AB" w:rsidRDefault="00B271AB" w:rsidP="00B271AB">
      <w:pPr>
        <w:spacing w:after="100" w:afterAutospacing="1"/>
        <w:rPr>
          <w:rFonts w:ascii="Arial" w:hAnsi="Arial" w:cs="Arial"/>
        </w:rPr>
      </w:pPr>
      <w:r w:rsidRPr="00B271AB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July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2020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meeting,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provided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presentation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regarding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work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dat</w:t>
      </w:r>
      <w:r w:rsidR="00EC27EE">
        <w:rPr>
          <w:rFonts w:ascii="Arial" w:hAnsi="Arial" w:cs="Arial"/>
        </w:rPr>
        <w:t>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development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25" w:tooltip="July 2020 State Board of Education Item 02">
        <w:r w:rsidRPr="00B271AB">
          <w:rPr>
            <w:rStyle w:val="Hyperlink"/>
            <w:rFonts w:ascii="Arial" w:hAnsi="Arial" w:cs="Arial"/>
          </w:rPr>
          <w:t>https://www.cde.ca.gov/be/ag/ag/yr20/documents/jul20item02.docx</w:t>
        </w:r>
      </w:hyperlink>
      <w:r w:rsidRPr="00B271AB">
        <w:rPr>
          <w:rFonts w:ascii="Arial" w:hAnsi="Arial" w:cs="Arial"/>
        </w:rPr>
        <w:t>).</w:t>
      </w:r>
    </w:p>
    <w:p w14:paraId="143EE770" w14:textId="7E04EDEF" w:rsidR="00B271AB" w:rsidRDefault="00B271AB" w:rsidP="00B271AB">
      <w:pPr>
        <w:spacing w:after="240"/>
        <w:rPr>
          <w:rFonts w:ascii="Arial" w:hAnsi="Arial" w:cs="Arial"/>
        </w:rPr>
      </w:pPr>
      <w:r w:rsidRPr="00B271AB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September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2020,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an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update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on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the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progress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on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refining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the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statistical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methodology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used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to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develop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a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Student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Growth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Model.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In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addition,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the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ETS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presented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the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results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of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its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study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on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the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potential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of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>the</w:t>
      </w:r>
      <w:r w:rsidR="00330ABE">
        <w:rPr>
          <w:rStyle w:val="normaltextru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EBLP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method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to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estimate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aggregate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growth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measures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for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LEAs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and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schools</w:t>
      </w:r>
      <w:r w:rsidR="00330ABE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00B271AB">
        <w:rPr>
          <w:rFonts w:ascii="Arial" w:hAnsi="Arial" w:cs="Arial"/>
        </w:rPr>
        <w:t>(</w:t>
      </w:r>
      <w:hyperlink r:id="rId26" w:tooltip="September 2020 State Board of Education Item 01" w:history="1">
        <w:r w:rsidR="008929CC" w:rsidRPr="008929CC">
          <w:rPr>
            <w:rStyle w:val="Hyperlink"/>
            <w:rFonts w:ascii="Arial" w:hAnsi="Arial" w:cs="Arial"/>
          </w:rPr>
          <w:t>https://www.cde.ca.gov/be/ag/ag/yr20/documents/sep20item01.docx</w:t>
        </w:r>
      </w:hyperlink>
      <w:r w:rsidRPr="00B271AB">
        <w:rPr>
          <w:rFonts w:ascii="Arial" w:hAnsi="Arial" w:cs="Arial"/>
        </w:rPr>
        <w:t>).</w:t>
      </w:r>
    </w:p>
    <w:p w14:paraId="67378DEF" w14:textId="7076CED3" w:rsidR="00B271AB" w:rsidRDefault="00B271AB" w:rsidP="00B271A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2020,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item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recommending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adopt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single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methodology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communication</w:t>
      </w:r>
      <w:r w:rsidR="00330ABE">
        <w:rPr>
          <w:rFonts w:ascii="Arial" w:hAnsi="Arial" w:cs="Arial"/>
        </w:rPr>
        <w:t xml:space="preserve"> </w:t>
      </w:r>
      <w:r w:rsidRPr="00B271AB">
        <w:rPr>
          <w:rFonts w:ascii="Arial" w:hAnsi="Arial" w:cs="Arial"/>
        </w:rPr>
        <w:t>(</w:t>
      </w:r>
      <w:hyperlink r:id="rId27" w:tooltip="November 2020 State Board of Education Item 06" w:history="1">
        <w:r w:rsidRPr="00775B34">
          <w:rPr>
            <w:rStyle w:val="Hyperlink"/>
            <w:rFonts w:ascii="Arial" w:hAnsi="Arial" w:cs="Arial"/>
          </w:rPr>
          <w:t>https://www.cde.ca.gov/be/ag/ag/yr20/documents/nov20item06.docx</w:t>
        </w:r>
      </w:hyperlink>
      <w:r w:rsidRPr="00B271AB">
        <w:rPr>
          <w:rFonts w:ascii="Arial" w:hAnsi="Arial" w:cs="Arial"/>
        </w:rPr>
        <w:t>).</w:t>
      </w:r>
    </w:p>
    <w:p w14:paraId="5C366B38" w14:textId="57FF4499" w:rsidR="00037E6C" w:rsidRPr="00C50107" w:rsidRDefault="00037E6C" w:rsidP="00F946C3">
      <w:pPr>
        <w:pStyle w:val="Heading2"/>
      </w:pPr>
      <w:bookmarkStart w:id="3" w:name="_Toc139891207"/>
      <w:r w:rsidRPr="00805C8F">
        <w:rPr>
          <w:rStyle w:val="normaltextrun"/>
        </w:rPr>
        <w:t>Attachment(s)</w:t>
      </w:r>
      <w:bookmarkEnd w:id="3"/>
    </w:p>
    <w:p w14:paraId="110FE507" w14:textId="507B0441" w:rsidR="00B271AB" w:rsidRPr="00B271AB" w:rsidRDefault="007B77BC" w:rsidP="00623557">
      <w:pPr>
        <w:pStyle w:val="ListParagraph"/>
        <w:numPr>
          <w:ilvl w:val="0"/>
          <w:numId w:val="2"/>
        </w:numPr>
        <w:spacing w:before="240"/>
        <w:contextualSpacing w:val="0"/>
        <w:rPr>
          <w:rFonts w:cs="Arial"/>
        </w:rPr>
      </w:pPr>
      <w:r w:rsidRPr="00B271AB">
        <w:rPr>
          <w:rFonts w:cs="Arial"/>
        </w:rPr>
        <w:t>Attachment</w:t>
      </w:r>
      <w:r w:rsidR="00330ABE">
        <w:rPr>
          <w:rFonts w:cs="Arial"/>
        </w:rPr>
        <w:t xml:space="preserve"> </w:t>
      </w:r>
      <w:r w:rsidRPr="00B271AB">
        <w:rPr>
          <w:rFonts w:cs="Arial"/>
        </w:rPr>
        <w:t>1: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An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Investigation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of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the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Use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of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Empirical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Best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Linear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Prediction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for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Aggregate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="00B271AB" w:rsidRPr="00B271AB">
        <w:rPr>
          <w:rFonts w:cs="Arial"/>
        </w:rPr>
        <w:t>Measures</w:t>
      </w:r>
      <w:r w:rsidR="00330ABE">
        <w:rPr>
          <w:rFonts w:cs="Arial"/>
        </w:rPr>
        <w:t xml:space="preserve"> </w:t>
      </w:r>
      <w:r w:rsidR="0041529D">
        <w:rPr>
          <w:rFonts w:cs="Arial"/>
        </w:rPr>
        <w:t>(</w:t>
      </w:r>
      <w:r w:rsidR="00D659A4">
        <w:rPr>
          <w:rFonts w:cs="Arial"/>
        </w:rPr>
        <w:t>64</w:t>
      </w:r>
      <w:r w:rsidR="00330ABE">
        <w:rPr>
          <w:rFonts w:cs="Arial"/>
        </w:rPr>
        <w:t xml:space="preserve"> </w:t>
      </w:r>
      <w:r w:rsidR="0041529D">
        <w:rPr>
          <w:rFonts w:cs="Arial"/>
        </w:rPr>
        <w:t>pages)</w:t>
      </w:r>
    </w:p>
    <w:p w14:paraId="005FEA5E" w14:textId="77777777" w:rsidR="00B271AB" w:rsidRDefault="00B271AB">
      <w:pPr>
        <w:spacing w:before="240" w:after="240"/>
        <w:rPr>
          <w:rFonts w:cs="Arial"/>
        </w:rPr>
      </w:pPr>
    </w:p>
    <w:p w14:paraId="1A381390" w14:textId="3EC0AAA9" w:rsidR="00330ABE" w:rsidRPr="001A69BA" w:rsidRDefault="00330ABE">
      <w:pPr>
        <w:spacing w:before="240" w:after="240"/>
        <w:rPr>
          <w:rFonts w:cs="Arial"/>
        </w:rPr>
        <w:sectPr w:rsidR="00330ABE" w:rsidRPr="001A69BA" w:rsidSect="00B54D85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26"/>
        </w:sectPr>
      </w:pPr>
    </w:p>
    <w:p w14:paraId="1EE32304" w14:textId="4A613D29" w:rsidR="007B77BC" w:rsidRPr="00001842" w:rsidRDefault="007B77BC" w:rsidP="00F946C3">
      <w:pPr>
        <w:pStyle w:val="Heading2"/>
      </w:pPr>
      <w:bookmarkStart w:id="4" w:name="_Toc139891208"/>
      <w:r w:rsidRPr="00001842">
        <w:lastRenderedPageBreak/>
        <w:t>Attachment</w:t>
      </w:r>
      <w:r w:rsidR="00330ABE">
        <w:t xml:space="preserve"> </w:t>
      </w:r>
      <w:proofErr w:type="gramStart"/>
      <w:r w:rsidRPr="00001842">
        <w:t>1</w:t>
      </w:r>
      <w:bookmarkEnd w:id="4"/>
      <w:proofErr w:type="gramEnd"/>
    </w:p>
    <w:p w14:paraId="4C250E89" w14:textId="70F4212D" w:rsidR="00F52DB4" w:rsidRPr="00914A77" w:rsidRDefault="00B271AB" w:rsidP="00A86EF8">
      <w:pPr>
        <w:pStyle w:val="Heading3"/>
        <w:numPr>
          <w:ilvl w:val="0"/>
          <w:numId w:val="0"/>
        </w:numPr>
        <w:rPr>
          <w:sz w:val="32"/>
          <w:szCs w:val="28"/>
        </w:rPr>
      </w:pPr>
      <w:bookmarkStart w:id="5" w:name="_Toc139891209"/>
      <w:r w:rsidRPr="00914A77">
        <w:rPr>
          <w:sz w:val="32"/>
          <w:szCs w:val="28"/>
        </w:rPr>
        <w:t>An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Investigation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of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the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Use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of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Empirical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Best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Linear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Prediction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for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Aggregate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Growth</w:t>
      </w:r>
      <w:r w:rsidR="00330ABE" w:rsidRPr="00914A77">
        <w:rPr>
          <w:sz w:val="32"/>
          <w:szCs w:val="28"/>
        </w:rPr>
        <w:t xml:space="preserve"> </w:t>
      </w:r>
      <w:r w:rsidRPr="00914A77">
        <w:rPr>
          <w:sz w:val="32"/>
          <w:szCs w:val="28"/>
        </w:rPr>
        <w:t>Measures</w:t>
      </w:r>
      <w:bookmarkEnd w:id="5"/>
    </w:p>
    <w:p w14:paraId="784F2AA2" w14:textId="4F12D8EA" w:rsidR="00330ABE" w:rsidRDefault="20CEBF83">
      <w:pPr>
        <w:rPr>
          <w:rFonts w:ascii="Arial" w:hAnsi="Arial" w:cs="Arial"/>
        </w:rPr>
      </w:pPr>
      <w:r w:rsidRPr="219ED835">
        <w:rPr>
          <w:rFonts w:ascii="Arial" w:eastAsia="Arial" w:hAnsi="Arial" w:cs="Arial"/>
          <w:color w:val="000000" w:themeColor="text1"/>
        </w:rPr>
        <w:t>This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attachment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was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prepared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by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00913685" w:rsidRPr="219ED835">
        <w:rPr>
          <w:rFonts w:ascii="Arial" w:eastAsia="Arial" w:hAnsi="Arial" w:cs="Arial"/>
          <w:color w:val="000000" w:themeColor="text1"/>
        </w:rPr>
        <w:t>the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00913685" w:rsidRPr="219ED835">
        <w:rPr>
          <w:rFonts w:ascii="Arial" w:eastAsia="Arial" w:hAnsi="Arial" w:cs="Arial"/>
          <w:color w:val="000000" w:themeColor="text1"/>
        </w:rPr>
        <w:t>Educational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00913685" w:rsidRPr="219ED835">
        <w:rPr>
          <w:rFonts w:ascii="Arial" w:eastAsia="Arial" w:hAnsi="Arial" w:cs="Arial"/>
          <w:color w:val="000000" w:themeColor="text1"/>
        </w:rPr>
        <w:t>Testing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00913685" w:rsidRPr="219ED835">
        <w:rPr>
          <w:rFonts w:ascii="Arial" w:eastAsia="Arial" w:hAnsi="Arial" w:cs="Arial"/>
          <w:color w:val="000000" w:themeColor="text1"/>
        </w:rPr>
        <w:t>Services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00913685" w:rsidRPr="219ED835">
        <w:rPr>
          <w:rFonts w:ascii="Arial" w:eastAsia="Arial" w:hAnsi="Arial" w:cs="Arial"/>
          <w:color w:val="000000" w:themeColor="text1"/>
        </w:rPr>
        <w:t>(ETS)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on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behalf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of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the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California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Department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of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Education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Pr="219ED835">
        <w:rPr>
          <w:rFonts w:ascii="Arial" w:eastAsia="Arial" w:hAnsi="Arial" w:cs="Arial"/>
          <w:color w:val="000000" w:themeColor="text1"/>
        </w:rPr>
        <w:t>(CDE)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for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the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State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Board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of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Education</w:t>
      </w:r>
      <w:r w:rsidR="00330ABE">
        <w:rPr>
          <w:rFonts w:ascii="Arial" w:eastAsia="Arial" w:hAnsi="Arial" w:cs="Arial"/>
          <w:color w:val="000000" w:themeColor="text1"/>
        </w:rPr>
        <w:t xml:space="preserve"> </w:t>
      </w:r>
      <w:r w:rsidR="6F408156" w:rsidRPr="219ED835">
        <w:rPr>
          <w:rFonts w:ascii="Arial" w:eastAsia="Arial" w:hAnsi="Arial" w:cs="Arial"/>
          <w:color w:val="000000" w:themeColor="text1"/>
        </w:rPr>
        <w:t>(SBE)</w:t>
      </w:r>
      <w:r w:rsidRPr="219ED835">
        <w:rPr>
          <w:rFonts w:ascii="Arial" w:eastAsia="Arial" w:hAnsi="Arial" w:cs="Arial"/>
          <w:color w:val="000000" w:themeColor="text1"/>
        </w:rPr>
        <w:t>.</w:t>
      </w:r>
    </w:p>
    <w:p w14:paraId="0A31E229" w14:textId="7BC2B964" w:rsidR="00DF4666" w:rsidRDefault="00DF46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7DBB18" w14:textId="19E68367" w:rsidR="00DF4666" w:rsidRPr="00102BC2" w:rsidRDefault="00DF4666" w:rsidP="00F946C3">
      <w:pPr>
        <w:pStyle w:val="Heading2"/>
      </w:pPr>
      <w:bookmarkStart w:id="6" w:name="_Toc139891210"/>
      <w:r w:rsidRPr="00102BC2">
        <w:lastRenderedPageBreak/>
        <w:t>An</w:t>
      </w:r>
      <w:r w:rsidR="00330ABE" w:rsidRPr="00102BC2">
        <w:t xml:space="preserve"> </w:t>
      </w:r>
      <w:r w:rsidRPr="00102BC2">
        <w:t>Investigation</w:t>
      </w:r>
      <w:r w:rsidR="00330ABE" w:rsidRPr="00102BC2">
        <w:t xml:space="preserve"> </w:t>
      </w:r>
      <w:r w:rsidRPr="00102BC2">
        <w:t>of</w:t>
      </w:r>
      <w:r w:rsidR="00330ABE" w:rsidRPr="00102BC2">
        <w:t xml:space="preserve"> </w:t>
      </w:r>
      <w:r w:rsidRPr="00102BC2">
        <w:t>the</w:t>
      </w:r>
      <w:r w:rsidR="00330ABE" w:rsidRPr="00102BC2">
        <w:t xml:space="preserve"> </w:t>
      </w:r>
      <w:r w:rsidRPr="00102BC2">
        <w:t>Use</w:t>
      </w:r>
      <w:r w:rsidR="00330ABE" w:rsidRPr="00102BC2">
        <w:t xml:space="preserve"> </w:t>
      </w:r>
      <w:r w:rsidRPr="00102BC2">
        <w:t>of</w:t>
      </w:r>
      <w:r w:rsidR="00330ABE" w:rsidRPr="00102BC2">
        <w:t xml:space="preserve"> </w:t>
      </w:r>
      <w:r w:rsidRPr="00102BC2">
        <w:t>Empirical</w:t>
      </w:r>
      <w:r w:rsidR="00330ABE" w:rsidRPr="00102BC2">
        <w:t xml:space="preserve"> </w:t>
      </w:r>
      <w:r w:rsidRPr="00102BC2">
        <w:t>Best</w:t>
      </w:r>
      <w:r w:rsidR="00330ABE" w:rsidRPr="00102BC2">
        <w:t xml:space="preserve"> </w:t>
      </w:r>
      <w:r w:rsidRPr="00102BC2">
        <w:t>Linear</w:t>
      </w:r>
      <w:r w:rsidR="00330ABE" w:rsidRPr="00102BC2">
        <w:t xml:space="preserve"> </w:t>
      </w:r>
      <w:r w:rsidRPr="00102BC2">
        <w:t>Prediction</w:t>
      </w:r>
      <w:r w:rsidR="00330ABE" w:rsidRPr="00102BC2">
        <w:t xml:space="preserve"> </w:t>
      </w:r>
      <w:r w:rsidRPr="00102BC2">
        <w:t>for</w:t>
      </w:r>
      <w:r w:rsidR="00330ABE" w:rsidRPr="00102BC2">
        <w:t xml:space="preserve"> </w:t>
      </w:r>
      <w:r w:rsidRPr="00102BC2">
        <w:t>Aggregate</w:t>
      </w:r>
      <w:r w:rsidR="00330ABE" w:rsidRPr="00102BC2">
        <w:t xml:space="preserve"> </w:t>
      </w:r>
      <w:r w:rsidRPr="00102BC2">
        <w:t>Growth</w:t>
      </w:r>
      <w:r w:rsidR="00330ABE" w:rsidRPr="00102BC2">
        <w:t xml:space="preserve"> </w:t>
      </w:r>
      <w:r w:rsidRPr="00102BC2">
        <w:t>Measures</w:t>
      </w:r>
      <w:bookmarkEnd w:id="6"/>
    </w:p>
    <w:p w14:paraId="057F4145" w14:textId="6238C298" w:rsidR="00DF4666" w:rsidRPr="00DF4666" w:rsidRDefault="00DF4666" w:rsidP="00102BC2">
      <w:pPr>
        <w:spacing w:before="480" w:after="240"/>
        <w:ind w:left="360"/>
        <w:jc w:val="center"/>
        <w:textAlignment w:val="baseline"/>
        <w:rPr>
          <w:rFonts w:ascii="Arial" w:hAnsi="Arial" w:cs="Arial"/>
          <w:b/>
          <w:sz w:val="32"/>
          <w:szCs w:val="52"/>
          <w:lang w:eastAsia="zh-CN"/>
        </w:rPr>
      </w:pPr>
      <w:r w:rsidRPr="00DF4666">
        <w:rPr>
          <w:rFonts w:ascii="Arial" w:hAnsi="Arial" w:cs="Arial"/>
          <w:b/>
          <w:sz w:val="32"/>
          <w:szCs w:val="32"/>
          <w:lang w:eastAsia="zh-CN"/>
        </w:rPr>
        <w:t>Contract</w:t>
      </w:r>
      <w:r w:rsidR="00330ABE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32"/>
          <w:lang w:eastAsia="zh-CN"/>
        </w:rPr>
        <w:t>#CN150012</w:t>
      </w:r>
    </w:p>
    <w:p w14:paraId="7DF7945B" w14:textId="17FA9D01" w:rsidR="00DF4666" w:rsidRPr="00DF4666" w:rsidRDefault="00DF4666" w:rsidP="00E50DC0">
      <w:pPr>
        <w:spacing w:after="120"/>
        <w:jc w:val="center"/>
        <w:textAlignment w:val="baseline"/>
        <w:rPr>
          <w:rFonts w:ascii="Arial" w:hAnsi="Arial" w:cs="Arial"/>
          <w:b/>
          <w:sz w:val="32"/>
          <w:szCs w:val="52"/>
          <w:lang w:eastAsia="zh-CN"/>
        </w:rPr>
      </w:pPr>
      <w:r w:rsidRPr="00DF4666">
        <w:rPr>
          <w:rFonts w:ascii="Arial" w:hAnsi="Arial" w:cs="Arial"/>
          <w:b/>
          <w:sz w:val="32"/>
          <w:szCs w:val="52"/>
          <w:lang w:eastAsia="zh-CN"/>
        </w:rPr>
        <w:t>Prepared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for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the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California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Department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of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Education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by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Educational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Testing</w:t>
      </w:r>
      <w:r w:rsidR="00330ABE">
        <w:rPr>
          <w:rFonts w:ascii="Arial" w:hAnsi="Arial" w:cs="Arial"/>
          <w:b/>
          <w:sz w:val="32"/>
          <w:szCs w:val="5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52"/>
          <w:lang w:eastAsia="zh-CN"/>
        </w:rPr>
        <w:t>Service</w:t>
      </w:r>
    </w:p>
    <w:p w14:paraId="1E037247" w14:textId="24FBBCDF" w:rsidR="00DF4666" w:rsidRPr="00DF4666" w:rsidRDefault="00DF4666" w:rsidP="00E50DC0">
      <w:pPr>
        <w:spacing w:after="600"/>
        <w:ind w:left="360"/>
        <w:jc w:val="center"/>
        <w:textAlignment w:val="baseline"/>
        <w:rPr>
          <w:rFonts w:ascii="Arial" w:hAnsi="Arial" w:cs="Arial"/>
          <w:b/>
          <w:sz w:val="32"/>
          <w:szCs w:val="52"/>
          <w:lang w:eastAsia="zh-CN"/>
        </w:rPr>
      </w:pPr>
      <w:r w:rsidRPr="00DF4666">
        <w:rPr>
          <w:rFonts w:ascii="Arial" w:hAnsi="Arial" w:cs="Arial"/>
          <w:b/>
          <w:sz w:val="32"/>
          <w:szCs w:val="32"/>
          <w:lang w:eastAsia="zh-CN"/>
        </w:rPr>
        <w:t>Presented</w:t>
      </w:r>
      <w:r w:rsidR="00330ABE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32"/>
          <w:lang w:eastAsia="zh-CN"/>
        </w:rPr>
        <w:t>January</w:t>
      </w:r>
      <w:r w:rsidR="00330ABE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32"/>
          <w:lang w:eastAsia="zh-CN"/>
        </w:rPr>
        <w:t>22,</w:t>
      </w:r>
      <w:r w:rsidR="00330ABE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DF4666">
        <w:rPr>
          <w:rFonts w:ascii="Arial" w:hAnsi="Arial" w:cs="Arial"/>
          <w:b/>
          <w:sz w:val="32"/>
          <w:szCs w:val="32"/>
          <w:lang w:eastAsia="zh-CN"/>
        </w:rPr>
        <w:t>2021</w:t>
      </w:r>
    </w:p>
    <w:p w14:paraId="0543D428" w14:textId="77777777" w:rsidR="00DF4666" w:rsidRPr="00DF4666" w:rsidRDefault="00DF4666" w:rsidP="00DF4666">
      <w:pPr>
        <w:jc w:val="center"/>
        <w:textAlignment w:val="baseline"/>
        <w:rPr>
          <w:rFonts w:ascii="Arial" w:hAnsi="Arial" w:cs="Arial"/>
          <w:noProof/>
          <w:lang w:eastAsia="ko-KR"/>
        </w:rPr>
      </w:pPr>
      <w:r>
        <w:rPr>
          <w:noProof/>
        </w:rPr>
        <w:drawing>
          <wp:inline distT="0" distB="0" distL="0" distR="0" wp14:anchorId="03A7F8D3" wp14:editId="1333B0ED">
            <wp:extent cx="960120" cy="630936"/>
            <wp:effectExtent l="0" t="0" r="0" b="0"/>
            <wp:docPr id="911689144" name="Picture 3" descr="Educational Testing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27980" w14:textId="129A9625" w:rsidR="00DF4666" w:rsidRPr="00DF4666" w:rsidRDefault="00DF4666" w:rsidP="00DF4666">
      <w:pPr>
        <w:pageBreakBefore/>
        <w:numPr>
          <w:ilvl w:val="1"/>
          <w:numId w:val="0"/>
        </w:numPr>
        <w:spacing w:before="240" w:after="120"/>
        <w:rPr>
          <w:rFonts w:ascii="Arial" w:eastAsia="SimSun" w:hAnsi="Arial" w:cs="Arial"/>
          <w:b/>
          <w:bCs/>
          <w:color w:val="000000"/>
          <w:sz w:val="32"/>
          <w:szCs w:val="32"/>
        </w:rPr>
      </w:pPr>
      <w:bookmarkStart w:id="7" w:name="_Toc456691067"/>
      <w:bookmarkStart w:id="8" w:name="_Toc456898956"/>
      <w:bookmarkStart w:id="9" w:name="_Toc456903870"/>
      <w:r w:rsidRPr="00DF4666">
        <w:rPr>
          <w:rFonts w:ascii="Arial" w:eastAsia="SimSun" w:hAnsi="Arial" w:cs="Arial"/>
          <w:b/>
          <w:bCs/>
          <w:color w:val="000000"/>
          <w:sz w:val="32"/>
          <w:szCs w:val="32"/>
        </w:rPr>
        <w:lastRenderedPageBreak/>
        <w:t>Table</w:t>
      </w:r>
      <w:r w:rsidR="00330ABE">
        <w:rPr>
          <w:rFonts w:ascii="Arial" w:eastAsia="SimSun" w:hAnsi="Arial" w:cs="Arial"/>
          <w:b/>
          <w:bCs/>
          <w:color w:val="000000"/>
          <w:sz w:val="32"/>
          <w:szCs w:val="32"/>
        </w:rPr>
        <w:t xml:space="preserve"> </w:t>
      </w:r>
      <w:r w:rsidRPr="00DF4666">
        <w:rPr>
          <w:rFonts w:ascii="Arial" w:eastAsia="SimSun" w:hAnsi="Arial" w:cs="Arial"/>
          <w:b/>
          <w:bCs/>
          <w:color w:val="000000"/>
          <w:sz w:val="32"/>
          <w:szCs w:val="32"/>
        </w:rPr>
        <w:t>of</w:t>
      </w:r>
      <w:r w:rsidR="00330ABE">
        <w:rPr>
          <w:rFonts w:ascii="Arial" w:eastAsia="SimSun" w:hAnsi="Arial" w:cs="Arial"/>
          <w:b/>
          <w:bCs/>
          <w:color w:val="000000"/>
          <w:sz w:val="32"/>
          <w:szCs w:val="32"/>
        </w:rPr>
        <w:t xml:space="preserve"> </w:t>
      </w:r>
      <w:r w:rsidRPr="00DF4666">
        <w:rPr>
          <w:rFonts w:ascii="Arial" w:eastAsia="SimSun" w:hAnsi="Arial" w:cs="Arial"/>
          <w:b/>
          <w:bCs/>
          <w:color w:val="000000"/>
          <w:sz w:val="32"/>
          <w:szCs w:val="32"/>
        </w:rPr>
        <w:t>Contents</w:t>
      </w:r>
      <w:bookmarkEnd w:id="7"/>
      <w:bookmarkEnd w:id="8"/>
      <w:bookmarkEnd w:id="9"/>
    </w:p>
    <w:p w14:paraId="3C85C460" w14:textId="74DE598B" w:rsidR="00E7059A" w:rsidRPr="00E7059A" w:rsidRDefault="00DF4666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r w:rsidRPr="00E7059A">
        <w:rPr>
          <w:rFonts w:cs="Arial"/>
          <w:b w:val="0"/>
          <w:color w:val="auto"/>
          <w:u w:val="single"/>
        </w:rPr>
        <w:fldChar w:fldCharType="begin"/>
      </w:r>
      <w:r w:rsidRPr="00E7059A">
        <w:rPr>
          <w:rFonts w:cs="Arial"/>
          <w:b w:val="0"/>
          <w:color w:val="auto"/>
        </w:rPr>
        <w:instrText xml:space="preserve"> TOC \h \z \t "Heading 2,1,Heading 3,2,Appendix 1,1,Heading 2A,1,Heading 3-no,2" </w:instrText>
      </w:r>
      <w:r w:rsidRPr="00E7059A">
        <w:rPr>
          <w:rFonts w:cs="Arial"/>
          <w:b w:val="0"/>
          <w:color w:val="auto"/>
          <w:u w:val="single"/>
        </w:rPr>
        <w:fldChar w:fldCharType="separate"/>
      </w:r>
      <w:hyperlink w:anchor="_Toc139891205" w:history="1">
        <w:r w:rsidR="00E7059A" w:rsidRPr="00E7059A">
          <w:rPr>
            <w:rStyle w:val="Hyperlink"/>
            <w:b w:val="0"/>
            <w:color w:val="auto"/>
          </w:rPr>
          <w:t>Summary of Key Issues</w:t>
        </w:r>
        <w:r w:rsidR="00E7059A" w:rsidRPr="00E7059A">
          <w:rPr>
            <w:b w:val="0"/>
            <w:webHidden/>
            <w:color w:val="auto"/>
          </w:rPr>
          <w:tab/>
        </w:r>
        <w:r w:rsidR="00E7059A" w:rsidRPr="00E7059A">
          <w:rPr>
            <w:b w:val="0"/>
            <w:webHidden/>
            <w:color w:val="auto"/>
          </w:rPr>
          <w:fldChar w:fldCharType="begin"/>
        </w:r>
        <w:r w:rsidR="00E7059A" w:rsidRPr="00E7059A">
          <w:rPr>
            <w:b w:val="0"/>
            <w:webHidden/>
            <w:color w:val="auto"/>
          </w:rPr>
          <w:instrText xml:space="preserve"> PAGEREF _Toc139891205 \h </w:instrText>
        </w:r>
        <w:r w:rsidR="00E7059A" w:rsidRPr="00E7059A">
          <w:rPr>
            <w:b w:val="0"/>
            <w:webHidden/>
            <w:color w:val="auto"/>
          </w:rPr>
        </w:r>
        <w:r w:rsidR="00E7059A" w:rsidRPr="00E7059A">
          <w:rPr>
            <w:b w:val="0"/>
            <w:webHidden/>
            <w:color w:val="auto"/>
          </w:rPr>
          <w:fldChar w:fldCharType="separate"/>
        </w:r>
        <w:r w:rsidR="00E7059A" w:rsidRPr="00E7059A">
          <w:rPr>
            <w:b w:val="0"/>
            <w:webHidden/>
            <w:color w:val="auto"/>
          </w:rPr>
          <w:t>1</w:t>
        </w:r>
        <w:r w:rsidR="00E7059A" w:rsidRPr="00E7059A">
          <w:rPr>
            <w:b w:val="0"/>
            <w:webHidden/>
            <w:color w:val="auto"/>
          </w:rPr>
          <w:fldChar w:fldCharType="end"/>
        </w:r>
      </w:hyperlink>
    </w:p>
    <w:p w14:paraId="72CB7582" w14:textId="56354A51" w:rsidR="00E7059A" w:rsidRPr="00E7059A" w:rsidRDefault="00E7059A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39891206" w:history="1">
        <w:r w:rsidRPr="00E7059A">
          <w:rPr>
            <w:rStyle w:val="Hyperlink"/>
            <w:b w:val="0"/>
            <w:color w:val="auto"/>
          </w:rPr>
          <w:t>Summary of Previous State Board of Education Discussion and Action</w:t>
        </w:r>
        <w:r w:rsidRPr="00E7059A">
          <w:rPr>
            <w:b w:val="0"/>
            <w:webHidden/>
            <w:color w:val="auto"/>
          </w:rPr>
          <w:tab/>
        </w:r>
        <w:r w:rsidRPr="00E7059A">
          <w:rPr>
            <w:b w:val="0"/>
            <w:webHidden/>
            <w:color w:val="auto"/>
          </w:rPr>
          <w:fldChar w:fldCharType="begin"/>
        </w:r>
        <w:r w:rsidRPr="00E7059A">
          <w:rPr>
            <w:b w:val="0"/>
            <w:webHidden/>
            <w:color w:val="auto"/>
          </w:rPr>
          <w:instrText xml:space="preserve"> PAGEREF _Toc139891206 \h </w:instrText>
        </w:r>
        <w:r w:rsidRPr="00E7059A">
          <w:rPr>
            <w:b w:val="0"/>
            <w:webHidden/>
            <w:color w:val="auto"/>
          </w:rPr>
        </w:r>
        <w:r w:rsidRPr="00E7059A">
          <w:rPr>
            <w:b w:val="0"/>
            <w:webHidden/>
            <w:color w:val="auto"/>
          </w:rPr>
          <w:fldChar w:fldCharType="separate"/>
        </w:r>
        <w:r w:rsidRPr="00E7059A">
          <w:rPr>
            <w:b w:val="0"/>
            <w:webHidden/>
            <w:color w:val="auto"/>
          </w:rPr>
          <w:t>2</w:t>
        </w:r>
        <w:r w:rsidRPr="00E7059A">
          <w:rPr>
            <w:b w:val="0"/>
            <w:webHidden/>
            <w:color w:val="auto"/>
          </w:rPr>
          <w:fldChar w:fldCharType="end"/>
        </w:r>
      </w:hyperlink>
    </w:p>
    <w:p w14:paraId="0267E5E1" w14:textId="2BD2D565" w:rsidR="00E7059A" w:rsidRPr="00E7059A" w:rsidRDefault="00E7059A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39891207" w:history="1">
        <w:r w:rsidRPr="00E7059A">
          <w:rPr>
            <w:rStyle w:val="Hyperlink"/>
            <w:b w:val="0"/>
            <w:color w:val="auto"/>
          </w:rPr>
          <w:t>Attachment(s)</w:t>
        </w:r>
        <w:r w:rsidRPr="00E7059A">
          <w:rPr>
            <w:b w:val="0"/>
            <w:webHidden/>
            <w:color w:val="auto"/>
          </w:rPr>
          <w:tab/>
        </w:r>
        <w:r w:rsidRPr="00E7059A">
          <w:rPr>
            <w:b w:val="0"/>
            <w:webHidden/>
            <w:color w:val="auto"/>
          </w:rPr>
          <w:fldChar w:fldCharType="begin"/>
        </w:r>
        <w:r w:rsidRPr="00E7059A">
          <w:rPr>
            <w:b w:val="0"/>
            <w:webHidden/>
            <w:color w:val="auto"/>
          </w:rPr>
          <w:instrText xml:space="preserve"> PAGEREF _Toc139891207 \h </w:instrText>
        </w:r>
        <w:r w:rsidRPr="00E7059A">
          <w:rPr>
            <w:b w:val="0"/>
            <w:webHidden/>
            <w:color w:val="auto"/>
          </w:rPr>
        </w:r>
        <w:r w:rsidRPr="00E7059A">
          <w:rPr>
            <w:b w:val="0"/>
            <w:webHidden/>
            <w:color w:val="auto"/>
          </w:rPr>
          <w:fldChar w:fldCharType="separate"/>
        </w:r>
        <w:r w:rsidRPr="00E7059A">
          <w:rPr>
            <w:b w:val="0"/>
            <w:webHidden/>
            <w:color w:val="auto"/>
          </w:rPr>
          <w:t>3</w:t>
        </w:r>
        <w:r w:rsidRPr="00E7059A">
          <w:rPr>
            <w:b w:val="0"/>
            <w:webHidden/>
            <w:color w:val="auto"/>
          </w:rPr>
          <w:fldChar w:fldCharType="end"/>
        </w:r>
      </w:hyperlink>
    </w:p>
    <w:p w14:paraId="66EAA0B5" w14:textId="3BCB6839" w:rsidR="00E7059A" w:rsidRPr="00E7059A" w:rsidRDefault="00E7059A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39891208" w:history="1">
        <w:r w:rsidRPr="00E7059A">
          <w:rPr>
            <w:rStyle w:val="Hyperlink"/>
            <w:b w:val="0"/>
            <w:color w:val="auto"/>
          </w:rPr>
          <w:t>Attachment 1</w:t>
        </w:r>
        <w:r w:rsidRPr="00E7059A">
          <w:rPr>
            <w:b w:val="0"/>
            <w:webHidden/>
            <w:color w:val="auto"/>
          </w:rPr>
          <w:tab/>
        </w:r>
        <w:r w:rsidRPr="00E7059A">
          <w:rPr>
            <w:b w:val="0"/>
            <w:webHidden/>
            <w:color w:val="auto"/>
          </w:rPr>
          <w:fldChar w:fldCharType="begin"/>
        </w:r>
        <w:r w:rsidRPr="00E7059A">
          <w:rPr>
            <w:b w:val="0"/>
            <w:webHidden/>
            <w:color w:val="auto"/>
          </w:rPr>
          <w:instrText xml:space="preserve"> PAGEREF _Toc139891208 \h </w:instrText>
        </w:r>
        <w:r w:rsidRPr="00E7059A">
          <w:rPr>
            <w:b w:val="0"/>
            <w:webHidden/>
            <w:color w:val="auto"/>
          </w:rPr>
        </w:r>
        <w:r w:rsidRPr="00E7059A">
          <w:rPr>
            <w:b w:val="0"/>
            <w:webHidden/>
            <w:color w:val="auto"/>
          </w:rPr>
          <w:fldChar w:fldCharType="separate"/>
        </w:r>
        <w:r w:rsidRPr="00E7059A">
          <w:rPr>
            <w:b w:val="0"/>
            <w:webHidden/>
            <w:color w:val="auto"/>
          </w:rPr>
          <w:t>1</w:t>
        </w:r>
        <w:r w:rsidRPr="00E7059A">
          <w:rPr>
            <w:b w:val="0"/>
            <w:webHidden/>
            <w:color w:val="auto"/>
          </w:rPr>
          <w:fldChar w:fldCharType="end"/>
        </w:r>
      </w:hyperlink>
    </w:p>
    <w:p w14:paraId="522433E5" w14:textId="1B2D2FA3" w:rsidR="00E7059A" w:rsidRPr="00E7059A" w:rsidRDefault="00E7059A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09" w:history="1">
        <w:r w:rsidRPr="00E7059A">
          <w:rPr>
            <w:rStyle w:val="Hyperlink"/>
            <w:color w:val="auto"/>
          </w:rPr>
          <w:t>An Investigation of the Use of Empirical Best Linear Prediction for Aggregate Growth Measures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_Toc139891209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1</w:t>
        </w:r>
        <w:r w:rsidRPr="00E7059A">
          <w:rPr>
            <w:webHidden/>
            <w:color w:val="auto"/>
          </w:rPr>
          <w:fldChar w:fldCharType="end"/>
        </w:r>
      </w:hyperlink>
    </w:p>
    <w:p w14:paraId="51E7B780" w14:textId="1F01C306" w:rsidR="00E7059A" w:rsidRPr="00E7059A" w:rsidRDefault="00E7059A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39891210" w:history="1">
        <w:r w:rsidRPr="00E7059A">
          <w:rPr>
            <w:rStyle w:val="Hyperlink"/>
            <w:b w:val="0"/>
            <w:color w:val="auto"/>
          </w:rPr>
          <w:t>An Investigation of the Use of Empirical Best Linear Prediction for Aggregate Growth Measures</w:t>
        </w:r>
        <w:r w:rsidRPr="00E7059A">
          <w:rPr>
            <w:b w:val="0"/>
            <w:webHidden/>
            <w:color w:val="auto"/>
          </w:rPr>
          <w:tab/>
        </w:r>
        <w:r w:rsidRPr="00E7059A">
          <w:rPr>
            <w:b w:val="0"/>
            <w:webHidden/>
            <w:color w:val="auto"/>
          </w:rPr>
          <w:fldChar w:fldCharType="begin"/>
        </w:r>
        <w:r w:rsidRPr="00E7059A">
          <w:rPr>
            <w:b w:val="0"/>
            <w:webHidden/>
            <w:color w:val="auto"/>
          </w:rPr>
          <w:instrText xml:space="preserve"> PAGEREF _Toc139891210 \h </w:instrText>
        </w:r>
        <w:r w:rsidRPr="00E7059A">
          <w:rPr>
            <w:b w:val="0"/>
            <w:webHidden/>
            <w:color w:val="auto"/>
          </w:rPr>
        </w:r>
        <w:r w:rsidRPr="00E7059A">
          <w:rPr>
            <w:b w:val="0"/>
            <w:webHidden/>
            <w:color w:val="auto"/>
          </w:rPr>
          <w:fldChar w:fldCharType="separate"/>
        </w:r>
        <w:r w:rsidRPr="00E7059A">
          <w:rPr>
            <w:b w:val="0"/>
            <w:webHidden/>
            <w:color w:val="auto"/>
          </w:rPr>
          <w:t>2</w:t>
        </w:r>
        <w:r w:rsidRPr="00E7059A">
          <w:rPr>
            <w:b w:val="0"/>
            <w:webHidden/>
            <w:color w:val="auto"/>
          </w:rPr>
          <w:fldChar w:fldCharType="end"/>
        </w:r>
      </w:hyperlink>
    </w:p>
    <w:p w14:paraId="41778523" w14:textId="3430AB9B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1" w:history="1">
        <w:r w:rsidRPr="00E7059A">
          <w:rPr>
            <w:rStyle w:val="Hyperlink"/>
            <w:color w:val="auto"/>
          </w:rPr>
          <w:t>1.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Executive Summary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_Toc139891211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4</w:t>
        </w:r>
        <w:r w:rsidRPr="00E7059A">
          <w:rPr>
            <w:webHidden/>
            <w:color w:val="auto"/>
          </w:rPr>
          <w:fldChar w:fldCharType="end"/>
        </w:r>
      </w:hyperlink>
    </w:p>
    <w:p w14:paraId="213B6F2D" w14:textId="6A677CB9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2" w:history="1">
        <w:r w:rsidRPr="00E7059A">
          <w:rPr>
            <w:rStyle w:val="Hyperlink"/>
            <w:color w:val="auto"/>
          </w:rPr>
          <w:t>2.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Motivating Problem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_Toc139891212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4</w:t>
        </w:r>
        <w:r w:rsidRPr="00E7059A">
          <w:rPr>
            <w:webHidden/>
            <w:color w:val="auto"/>
          </w:rPr>
          <w:fldChar w:fldCharType="end"/>
        </w:r>
      </w:hyperlink>
    </w:p>
    <w:p w14:paraId="0024D490" w14:textId="5AAB9157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3" w:history="1">
        <w:r w:rsidRPr="00E7059A">
          <w:rPr>
            <w:rStyle w:val="Hyperlink"/>
            <w:color w:val="auto"/>
          </w:rPr>
          <w:t>3.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EBLP as a Potential Solution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_Toc139891213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6</w:t>
        </w:r>
        <w:r w:rsidRPr="00E7059A">
          <w:rPr>
            <w:webHidden/>
            <w:color w:val="auto"/>
          </w:rPr>
          <w:fldChar w:fldCharType="end"/>
        </w:r>
      </w:hyperlink>
    </w:p>
    <w:p w14:paraId="1FFB492B" w14:textId="4FC77D65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4" w:history="1">
        <w:r w:rsidRPr="00E7059A">
          <w:rPr>
            <w:rStyle w:val="Hyperlink"/>
            <w:color w:val="auto"/>
          </w:rPr>
          <w:t>4.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Empirical Study Setup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_Toc139891214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6</w:t>
        </w:r>
        <w:r w:rsidRPr="00E7059A">
          <w:rPr>
            <w:webHidden/>
            <w:color w:val="auto"/>
          </w:rPr>
          <w:fldChar w:fldCharType="end"/>
        </w:r>
      </w:hyperlink>
    </w:p>
    <w:p w14:paraId="0632BA96" w14:textId="54AD050A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5" w:history="1">
        <w:r w:rsidRPr="00E7059A">
          <w:rPr>
            <w:rStyle w:val="Hyperlink"/>
            <w:color w:val="auto"/>
          </w:rPr>
          <w:t>5.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Results at the School Level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_Toc139891215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9</w:t>
        </w:r>
        <w:r w:rsidRPr="00E7059A">
          <w:rPr>
            <w:webHidden/>
            <w:color w:val="auto"/>
          </w:rPr>
          <w:fldChar w:fldCharType="end"/>
        </w:r>
      </w:hyperlink>
    </w:p>
    <w:p w14:paraId="632CC4B0" w14:textId="177C47B4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6" w:history="1">
        <w:r w:rsidRPr="00E7059A">
          <w:rPr>
            <w:rStyle w:val="Hyperlink"/>
            <w:color w:val="auto"/>
          </w:rPr>
          <w:t>6.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Results at the LEA Level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_Toc139891216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16</w:t>
        </w:r>
        <w:r w:rsidRPr="00E7059A">
          <w:rPr>
            <w:webHidden/>
            <w:color w:val="auto"/>
          </w:rPr>
          <w:fldChar w:fldCharType="end"/>
        </w:r>
      </w:hyperlink>
    </w:p>
    <w:p w14:paraId="4782769E" w14:textId="7273BB95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7" w:history="1">
        <w:r w:rsidRPr="00E7059A">
          <w:rPr>
            <w:rStyle w:val="Hyperlink"/>
            <w:color w:val="auto"/>
          </w:rPr>
          <w:t>7.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Conclusions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_Toc139891217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31</w:t>
        </w:r>
        <w:r w:rsidRPr="00E7059A">
          <w:rPr>
            <w:webHidden/>
            <w:color w:val="auto"/>
          </w:rPr>
          <w:fldChar w:fldCharType="end"/>
        </w:r>
      </w:hyperlink>
    </w:p>
    <w:p w14:paraId="730D6DB4" w14:textId="610BDAB0" w:rsidR="00E7059A" w:rsidRPr="00E7059A" w:rsidRDefault="00E7059A">
      <w:pPr>
        <w:pStyle w:val="TOC2"/>
        <w:tabs>
          <w:tab w:val="left" w:pos="900"/>
        </w:tabs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18" w:history="1">
        <w:r w:rsidRPr="00E7059A">
          <w:rPr>
            <w:rStyle w:val="Hyperlink"/>
            <w:color w:val="auto"/>
          </w:rPr>
          <w:t>8.</w:t>
        </w:r>
        <w:r w:rsidRPr="00E7059A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Pr="00E7059A">
          <w:rPr>
            <w:rStyle w:val="Hyperlink"/>
            <w:color w:val="auto"/>
          </w:rPr>
          <w:t>Reference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_Toc139891218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32</w:t>
        </w:r>
        <w:r w:rsidRPr="00E7059A">
          <w:rPr>
            <w:webHidden/>
            <w:color w:val="auto"/>
          </w:rPr>
          <w:fldChar w:fldCharType="end"/>
        </w:r>
      </w:hyperlink>
    </w:p>
    <w:p w14:paraId="65367837" w14:textId="28036631" w:rsidR="00E7059A" w:rsidRPr="00E7059A" w:rsidRDefault="00E7059A">
      <w:pPr>
        <w:pStyle w:val="TOC1"/>
        <w:rPr>
          <w:rFonts w:asciiTheme="minorHAnsi" w:eastAsiaTheme="minorEastAsia" w:hAnsiTheme="minorHAnsi" w:cstheme="minorBidi"/>
          <w:b w:val="0"/>
          <w:color w:val="auto"/>
          <w:kern w:val="2"/>
          <w:sz w:val="22"/>
          <w:szCs w:val="22"/>
          <w14:ligatures w14:val="standardContextual"/>
        </w:rPr>
      </w:pPr>
      <w:hyperlink w:anchor="_Toc139891219" w:history="1">
        <w:r w:rsidRPr="00E7059A">
          <w:rPr>
            <w:rStyle w:val="Hyperlink"/>
            <w:b w:val="0"/>
            <w:color w:val="auto"/>
          </w:rPr>
          <w:t>Appendix A: Memorandum for the Technical Design Group December 2020</w:t>
        </w:r>
        <w:r w:rsidRPr="00E7059A">
          <w:rPr>
            <w:b w:val="0"/>
            <w:webHidden/>
            <w:color w:val="auto"/>
          </w:rPr>
          <w:tab/>
        </w:r>
        <w:r w:rsidRPr="00E7059A">
          <w:rPr>
            <w:b w:val="0"/>
            <w:webHidden/>
            <w:color w:val="auto"/>
          </w:rPr>
          <w:fldChar w:fldCharType="begin"/>
        </w:r>
        <w:r w:rsidRPr="00E7059A">
          <w:rPr>
            <w:b w:val="0"/>
            <w:webHidden/>
            <w:color w:val="auto"/>
          </w:rPr>
          <w:instrText xml:space="preserve"> PAGEREF _Toc139891219 \h </w:instrText>
        </w:r>
        <w:r w:rsidRPr="00E7059A">
          <w:rPr>
            <w:b w:val="0"/>
            <w:webHidden/>
            <w:color w:val="auto"/>
          </w:rPr>
        </w:r>
        <w:r w:rsidRPr="00E7059A">
          <w:rPr>
            <w:b w:val="0"/>
            <w:webHidden/>
            <w:color w:val="auto"/>
          </w:rPr>
          <w:fldChar w:fldCharType="separate"/>
        </w:r>
        <w:r w:rsidRPr="00E7059A">
          <w:rPr>
            <w:b w:val="0"/>
            <w:webHidden/>
            <w:color w:val="auto"/>
          </w:rPr>
          <w:t>33</w:t>
        </w:r>
        <w:r w:rsidRPr="00E7059A">
          <w:rPr>
            <w:b w:val="0"/>
            <w:webHidden/>
            <w:color w:val="auto"/>
          </w:rPr>
          <w:fldChar w:fldCharType="end"/>
        </w:r>
      </w:hyperlink>
    </w:p>
    <w:p w14:paraId="75AED07C" w14:textId="73B876E7" w:rsidR="00E7059A" w:rsidRPr="00E7059A" w:rsidRDefault="00E7059A">
      <w:pPr>
        <w:pStyle w:val="TOC2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39891220" w:history="1">
        <w:r w:rsidRPr="00E7059A">
          <w:rPr>
            <w:rStyle w:val="Hyperlink"/>
            <w:color w:val="auto"/>
          </w:rPr>
          <w:t>Evaluating Aggregate Growth Reporting Options for Local Educational Agencies</w:t>
        </w:r>
        <w:r w:rsidRPr="00E7059A">
          <w:rPr>
            <w:webHidden/>
            <w:color w:val="auto"/>
          </w:rPr>
          <w:tab/>
        </w:r>
        <w:r w:rsidRPr="00E7059A">
          <w:rPr>
            <w:webHidden/>
            <w:color w:val="auto"/>
          </w:rPr>
          <w:fldChar w:fldCharType="begin"/>
        </w:r>
        <w:r w:rsidRPr="00E7059A">
          <w:rPr>
            <w:webHidden/>
            <w:color w:val="auto"/>
          </w:rPr>
          <w:instrText xml:space="preserve"> PAGEREF _Toc139891220 \h </w:instrText>
        </w:r>
        <w:r w:rsidRPr="00E7059A">
          <w:rPr>
            <w:webHidden/>
            <w:color w:val="auto"/>
          </w:rPr>
        </w:r>
        <w:r w:rsidRPr="00E7059A">
          <w:rPr>
            <w:webHidden/>
            <w:color w:val="auto"/>
          </w:rPr>
          <w:fldChar w:fldCharType="separate"/>
        </w:r>
        <w:r w:rsidRPr="00E7059A">
          <w:rPr>
            <w:webHidden/>
            <w:color w:val="auto"/>
          </w:rPr>
          <w:t>33</w:t>
        </w:r>
        <w:r w:rsidRPr="00E7059A">
          <w:rPr>
            <w:webHidden/>
            <w:color w:val="auto"/>
          </w:rPr>
          <w:fldChar w:fldCharType="end"/>
        </w:r>
      </w:hyperlink>
    </w:p>
    <w:p w14:paraId="0031BC33" w14:textId="4E812493" w:rsidR="00DF4666" w:rsidRPr="00F946C3" w:rsidRDefault="00DF4666" w:rsidP="00F946C3">
      <w:pPr>
        <w:spacing w:before="240" w:after="240"/>
        <w:ind w:right="43"/>
        <w:textAlignment w:val="baseline"/>
        <w:rPr>
          <w:rFonts w:ascii="Arial" w:eastAsia="SimSun" w:hAnsi="Arial" w:cs="Arial"/>
          <w:b/>
          <w:noProof/>
          <w:sz w:val="28"/>
          <w:szCs w:val="18"/>
        </w:rPr>
      </w:pPr>
      <w:r w:rsidRPr="00E7059A">
        <w:rPr>
          <w:rFonts w:ascii="Arial" w:hAnsi="Arial" w:cs="Arial"/>
        </w:rPr>
        <w:fldChar w:fldCharType="end"/>
      </w:r>
      <w:r w:rsidRPr="00F946C3">
        <w:rPr>
          <w:rFonts w:ascii="Arial" w:eastAsia="SimSun" w:hAnsi="Arial" w:cs="Arial"/>
          <w:b/>
          <w:noProof/>
          <w:sz w:val="28"/>
          <w:szCs w:val="18"/>
        </w:rPr>
        <w:t>List</w:t>
      </w:r>
      <w:r w:rsidR="00330ABE" w:rsidRPr="00F946C3">
        <w:rPr>
          <w:rFonts w:ascii="Arial" w:eastAsia="SimSun" w:hAnsi="Arial" w:cs="Arial"/>
          <w:b/>
          <w:noProof/>
          <w:sz w:val="28"/>
          <w:szCs w:val="18"/>
        </w:rPr>
        <w:t xml:space="preserve"> </w:t>
      </w:r>
      <w:r w:rsidRPr="00F946C3">
        <w:rPr>
          <w:rFonts w:ascii="Arial" w:eastAsia="SimSun" w:hAnsi="Arial" w:cs="Arial"/>
          <w:b/>
          <w:noProof/>
          <w:sz w:val="28"/>
          <w:szCs w:val="18"/>
        </w:rPr>
        <w:t>of</w:t>
      </w:r>
      <w:r w:rsidR="00330ABE" w:rsidRPr="00F946C3">
        <w:rPr>
          <w:rFonts w:ascii="Arial" w:eastAsia="SimSun" w:hAnsi="Arial" w:cs="Arial"/>
          <w:b/>
          <w:noProof/>
          <w:sz w:val="28"/>
          <w:szCs w:val="18"/>
        </w:rPr>
        <w:t xml:space="preserve"> </w:t>
      </w:r>
      <w:r w:rsidRPr="00F946C3">
        <w:rPr>
          <w:rFonts w:ascii="Arial" w:eastAsia="SimSun" w:hAnsi="Arial" w:cs="Arial"/>
          <w:b/>
          <w:noProof/>
          <w:sz w:val="28"/>
          <w:szCs w:val="18"/>
        </w:rPr>
        <w:t>Tables</w:t>
      </w:r>
    </w:p>
    <w:p w14:paraId="2BAFC3BD" w14:textId="6EDCD7C9" w:rsidR="004E5456" w:rsidRPr="004E5456" w:rsidRDefault="00DF466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r w:rsidRPr="004E5456">
        <w:rPr>
          <w:rFonts w:cs="Arial"/>
          <w:noProof w:val="0"/>
          <w:color w:val="auto"/>
          <w:kern w:val="28"/>
          <w:szCs w:val="24"/>
          <w:lang w:eastAsia="en-US"/>
        </w:rPr>
        <w:fldChar w:fldCharType="begin"/>
      </w:r>
      <w:r w:rsidRPr="004E5456">
        <w:rPr>
          <w:rFonts w:cs="Arial"/>
          <w:color w:val="auto"/>
          <w:kern w:val="28"/>
          <w:szCs w:val="24"/>
        </w:rPr>
        <w:instrText xml:space="preserve"> TOC \h \z \t "Caption,5" \c "Table" </w:instrText>
      </w:r>
      <w:r w:rsidRPr="004E5456">
        <w:rPr>
          <w:rFonts w:cs="Arial"/>
          <w:noProof w:val="0"/>
          <w:color w:val="auto"/>
          <w:kern w:val="28"/>
          <w:szCs w:val="24"/>
          <w:lang w:eastAsia="en-US"/>
        </w:rPr>
        <w:fldChar w:fldCharType="separate"/>
      </w:r>
      <w:hyperlink w:anchor="_Toc139890512" w:history="1">
        <w:r w:rsidR="004E5456" w:rsidRPr="004E5456">
          <w:rPr>
            <w:rStyle w:val="Hyperlink"/>
            <w:rFonts w:cs="Arial"/>
            <w:color w:val="auto"/>
            <w:szCs w:val="24"/>
          </w:rPr>
          <w:t>Table 1. Student Group Abbreviations</w:t>
        </w:r>
        <w:r w:rsidR="004E5456" w:rsidRPr="004E5456">
          <w:rPr>
            <w:webHidden/>
            <w:color w:val="auto"/>
            <w:szCs w:val="24"/>
          </w:rPr>
          <w:tab/>
        </w:r>
        <w:r w:rsidR="004E5456" w:rsidRPr="004E5456">
          <w:rPr>
            <w:webHidden/>
            <w:color w:val="auto"/>
            <w:szCs w:val="24"/>
          </w:rPr>
          <w:fldChar w:fldCharType="begin"/>
        </w:r>
        <w:r w:rsidR="004E5456" w:rsidRPr="004E5456">
          <w:rPr>
            <w:webHidden/>
            <w:color w:val="auto"/>
            <w:szCs w:val="24"/>
          </w:rPr>
          <w:instrText xml:space="preserve"> PAGEREF _Toc139890512 \h </w:instrText>
        </w:r>
        <w:r w:rsidR="004E5456" w:rsidRPr="004E5456">
          <w:rPr>
            <w:webHidden/>
            <w:color w:val="auto"/>
            <w:szCs w:val="24"/>
          </w:rPr>
        </w:r>
        <w:r w:rsidR="004E5456" w:rsidRPr="004E5456">
          <w:rPr>
            <w:webHidden/>
            <w:color w:val="auto"/>
            <w:szCs w:val="24"/>
          </w:rPr>
          <w:fldChar w:fldCharType="separate"/>
        </w:r>
        <w:r w:rsidR="004E5456" w:rsidRPr="004E5456">
          <w:rPr>
            <w:webHidden/>
            <w:color w:val="auto"/>
            <w:szCs w:val="24"/>
          </w:rPr>
          <w:t>9</w:t>
        </w:r>
        <w:r w:rsidR="004E5456" w:rsidRPr="004E5456">
          <w:rPr>
            <w:webHidden/>
            <w:color w:val="auto"/>
            <w:szCs w:val="24"/>
          </w:rPr>
          <w:fldChar w:fldCharType="end"/>
        </w:r>
      </w:hyperlink>
    </w:p>
    <w:p w14:paraId="10F4E23C" w14:textId="66CE6581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3" w:history="1">
        <w:r w:rsidRPr="004E5456">
          <w:rPr>
            <w:rStyle w:val="Hyperlink"/>
            <w:rFonts w:cs="Arial"/>
            <w:color w:val="auto"/>
            <w:szCs w:val="24"/>
          </w:rPr>
          <w:t>Table 2. Improvement in Accuracy of Growth Estimates Using Two-Year EBLP Weighted Averages Versus Simple Averages at the School Level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_Toc139890513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11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1D97D098" w14:textId="1EC7589F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4" w:history="1">
        <w:r w:rsidRPr="004E5456">
          <w:rPr>
            <w:rStyle w:val="Hyperlink"/>
            <w:rFonts w:cs="Arial"/>
            <w:color w:val="auto"/>
            <w:szCs w:val="24"/>
          </w:rPr>
          <w:t>Table 3. Cross-Year Stability of the 2018–19 Two-Year EBLP Weighted Average and the Simple Average for Schools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_Toc139890514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14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642A24EB" w14:textId="0B0D20C5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5" w:history="1">
        <w:r w:rsidRPr="004E5456">
          <w:rPr>
            <w:rStyle w:val="Hyperlink"/>
            <w:rFonts w:cs="Arial"/>
            <w:color w:val="auto"/>
            <w:szCs w:val="24"/>
          </w:rPr>
          <w:t>Table 4. Improvement in Accuracy of Growth Estimates Using Two-Year EBLP Weighted Averages Versus Simple Averages at the LEA Level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_Toc139890515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17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3FD73312" w14:textId="5F26D461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6" w:history="1">
        <w:r w:rsidRPr="004E5456">
          <w:rPr>
            <w:rStyle w:val="Hyperlink"/>
            <w:rFonts w:cs="Arial"/>
            <w:color w:val="auto"/>
            <w:szCs w:val="24"/>
          </w:rPr>
          <w:t>Table 5. Cross-Year Stability of the 2018–19 Two-Year EBLP Weighted Average and the Simple Average for LEAs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_Toc139890516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21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3DCF225D" w14:textId="6C0BD6CD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7" w:history="1">
        <w:r w:rsidRPr="004E5456">
          <w:rPr>
            <w:rStyle w:val="Hyperlink"/>
            <w:rFonts w:cs="Arial"/>
            <w:color w:val="auto"/>
            <w:szCs w:val="24"/>
          </w:rPr>
          <w:t>Table 6. Improvement in Accuracy of Growth Estimates Using the Hybrid Approach Versus Simple Averages for Student Groups Within LEAs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_Toc139890517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25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4E66280B" w14:textId="35077A7D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8" w:history="1">
        <w:r w:rsidRPr="004E5456">
          <w:rPr>
            <w:rStyle w:val="Hyperlink"/>
            <w:rFonts w:cs="Arial"/>
            <w:color w:val="auto"/>
            <w:szCs w:val="24"/>
          </w:rPr>
          <w:t>Table 7. Cross-Year Stability of the 2018–19 Hybrid Approach and the Simple Average for Student Groups Within LEAs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_Toc139890518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29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401B1B2B" w14:textId="35DAB454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19" w:history="1">
        <w:r w:rsidRPr="004E5456">
          <w:rPr>
            <w:rStyle w:val="Hyperlink"/>
            <w:rFonts w:cs="Arial"/>
            <w:color w:val="auto"/>
            <w:szCs w:val="24"/>
          </w:rPr>
          <w:t>Table 8. Student Group Abbreviations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_Toc139890519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38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6AEE0D0C" w14:textId="555E295E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20" w:history="1">
        <w:r w:rsidRPr="004E5456">
          <w:rPr>
            <w:rStyle w:val="Hyperlink"/>
            <w:rFonts w:cs="Arial"/>
            <w:color w:val="auto"/>
            <w:szCs w:val="24"/>
          </w:rPr>
          <w:t>Table 9. Overall Results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_Toc139890520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47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497769B0" w14:textId="1D19B5B7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21" w:history="1">
        <w:r w:rsidRPr="004E5456">
          <w:rPr>
            <w:rStyle w:val="Hyperlink"/>
            <w:rFonts w:cs="Arial"/>
            <w:color w:val="auto"/>
            <w:szCs w:val="24"/>
          </w:rPr>
          <w:t>Table 10. Probability Misclassification by Student Group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_Toc139890521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49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051E672C" w14:textId="61B6E335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22" w:history="1">
        <w:r w:rsidRPr="004E5456">
          <w:rPr>
            <w:rStyle w:val="Hyperlink"/>
            <w:rFonts w:cs="Arial"/>
            <w:color w:val="auto"/>
            <w:szCs w:val="24"/>
          </w:rPr>
          <w:t>Table 11. Percentage Excess MSE by Student Group</w:t>
        </w:r>
        <w:r w:rsidRPr="004E5456">
          <w:rPr>
            <w:rStyle w:val="Hyperlink"/>
            <w:rFonts w:cs="Arial"/>
            <w:color w:val="auto"/>
            <w:szCs w:val="24"/>
            <w:vertAlign w:val="superscript"/>
          </w:rPr>
          <w:t>1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_Toc139890522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50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7A68BB7A" w14:textId="4276E4F8" w:rsidR="004E5456" w:rsidRPr="004E5456" w:rsidRDefault="004E5456">
      <w:pPr>
        <w:pStyle w:val="TableofFigures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39890523" w:history="1">
        <w:r w:rsidRPr="004E5456">
          <w:rPr>
            <w:rStyle w:val="Hyperlink"/>
            <w:rFonts w:cs="Arial"/>
            <w:color w:val="auto"/>
            <w:szCs w:val="24"/>
          </w:rPr>
          <w:t>Table 12. Correlation between the Simple Average and EBLP estimates among Misclassified Cases by Student Group</w:t>
        </w:r>
        <w:r w:rsidRPr="004E5456">
          <w:rPr>
            <w:webHidden/>
            <w:color w:val="auto"/>
            <w:szCs w:val="24"/>
          </w:rPr>
          <w:tab/>
        </w:r>
        <w:r w:rsidRPr="004E5456">
          <w:rPr>
            <w:webHidden/>
            <w:color w:val="auto"/>
            <w:szCs w:val="24"/>
          </w:rPr>
          <w:fldChar w:fldCharType="begin"/>
        </w:r>
        <w:r w:rsidRPr="004E5456">
          <w:rPr>
            <w:webHidden/>
            <w:color w:val="auto"/>
            <w:szCs w:val="24"/>
          </w:rPr>
          <w:instrText xml:space="preserve"> PAGEREF _Toc139890523 \h </w:instrText>
        </w:r>
        <w:r w:rsidRPr="004E5456">
          <w:rPr>
            <w:webHidden/>
            <w:color w:val="auto"/>
            <w:szCs w:val="24"/>
          </w:rPr>
        </w:r>
        <w:r w:rsidRPr="004E5456">
          <w:rPr>
            <w:webHidden/>
            <w:color w:val="auto"/>
            <w:szCs w:val="24"/>
          </w:rPr>
          <w:fldChar w:fldCharType="separate"/>
        </w:r>
        <w:r w:rsidRPr="004E5456">
          <w:rPr>
            <w:webHidden/>
            <w:color w:val="auto"/>
            <w:szCs w:val="24"/>
          </w:rPr>
          <w:t>51</w:t>
        </w:r>
        <w:r w:rsidRPr="004E5456">
          <w:rPr>
            <w:webHidden/>
            <w:color w:val="auto"/>
            <w:szCs w:val="24"/>
          </w:rPr>
          <w:fldChar w:fldCharType="end"/>
        </w:r>
      </w:hyperlink>
    </w:p>
    <w:p w14:paraId="3B5C5561" w14:textId="1EED35E0" w:rsidR="00DF4666" w:rsidRPr="004E5456" w:rsidRDefault="00DF4666" w:rsidP="00F946C3">
      <w:pPr>
        <w:ind w:left="360" w:hanging="360"/>
        <w:rPr>
          <w:rFonts w:eastAsia="SimSun"/>
          <w:noProof/>
          <w:lang w:eastAsia="zh-CN"/>
        </w:rPr>
      </w:pPr>
      <w:r w:rsidRPr="004E5456">
        <w:rPr>
          <w:rFonts w:ascii="Arial" w:eastAsia="SimSun" w:hAnsi="Arial" w:cs="Arial"/>
          <w:noProof/>
          <w:lang w:eastAsia="zh-CN"/>
        </w:rPr>
        <w:fldChar w:fldCharType="end"/>
      </w:r>
    </w:p>
    <w:p w14:paraId="0B2F1BF7" w14:textId="69B77225" w:rsidR="00E50DC0" w:rsidRPr="00805C8F" w:rsidRDefault="00DF4666" w:rsidP="00A86EF8">
      <w:pPr>
        <w:pStyle w:val="Heading3"/>
        <w:numPr>
          <w:ilvl w:val="0"/>
          <w:numId w:val="64"/>
        </w:numPr>
        <w:ind w:left="360"/>
      </w:pPr>
      <w:bookmarkStart w:id="10" w:name="_Toc139891211"/>
      <w:r w:rsidRPr="00805C8F">
        <w:lastRenderedPageBreak/>
        <w:t>Executive</w:t>
      </w:r>
      <w:r w:rsidR="00330ABE" w:rsidRPr="00805C8F">
        <w:t xml:space="preserve"> </w:t>
      </w:r>
      <w:r w:rsidRPr="00805C8F">
        <w:t>Summary</w:t>
      </w:r>
      <w:bookmarkEnd w:id="10"/>
    </w:p>
    <w:p w14:paraId="00D52236" w14:textId="01ECEEAF" w:rsidR="00DF4666" w:rsidRPr="00DF4666" w:rsidRDefault="00DF4666" w:rsidP="003944DE">
      <w:pPr>
        <w:spacing w:after="120"/>
        <w:rPr>
          <w:rFonts w:ascii="Arial" w:hAnsi="Arial" w:cs="Arial"/>
        </w:rPr>
      </w:pP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(EBLP),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builds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currently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developed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Department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Education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(CDE).</w:t>
      </w:r>
      <w:r w:rsidR="00330ABE">
        <w:rPr>
          <w:rFonts w:ascii="Arial" w:hAnsi="Arial" w:cs="Arial"/>
        </w:rPr>
        <w:t xml:space="preserve"> </w:t>
      </w:r>
    </w:p>
    <w:p w14:paraId="0B8E2D7D" w14:textId="51BE9E1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Briefly,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developed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educational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agency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(LEA),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student-group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(AGMs)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typically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simple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  <w:i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significant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next,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especially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populations.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contrast,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weighted</w:t>
      </w:r>
      <w:r w:rsidRPr="00DF4666">
        <w:rPr>
          <w:rFonts w:ascii="Arial" w:hAnsi="Arial" w:cs="Arial"/>
        </w:rPr>
        <w:t>-average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explanation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follow.)</w:t>
      </w:r>
    </w:p>
    <w:p w14:paraId="6873CCE8" w14:textId="7C7A7D7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weighted-average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simple-average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distinct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E334F">
        <w:rPr>
          <w:rFonts w:ascii="Arial" w:hAnsi="Arial" w:cs="Arial"/>
        </w:rPr>
        <w:t xml:space="preserve"> </w:t>
      </w:r>
      <w:hyperlink w:anchor="_Results_at_the" w:tooltip="6. Results at the local educational agency (LEA) Level" w:history="1">
        <w:r w:rsidR="003E334F" w:rsidRPr="003E334F">
          <w:rPr>
            <w:rStyle w:val="Hyperlink"/>
            <w:rFonts w:ascii="Arial" w:hAnsi="Arial" w:cs="Arial"/>
          </w:rPr>
          <w:t>section 6</w:t>
        </w:r>
      </w:hyperlink>
      <w:r w:rsidR="0027019F">
        <w:rPr>
          <w:rFonts w:ascii="Arial" w:hAnsi="Arial" w:cs="Arial"/>
        </w:rPr>
        <w:t>)</w:t>
      </w:r>
      <w:r w:rsidR="008103FA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LEAs—assigning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ETS’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Technical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Design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(TDG)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recommended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follows:</w:t>
      </w:r>
    </w:p>
    <w:p w14:paraId="3D88C3F9" w14:textId="76230881" w:rsidR="00DF4666" w:rsidRPr="00DF4666" w:rsidRDefault="00DF4666" w:rsidP="00623557">
      <w:pPr>
        <w:numPr>
          <w:ilvl w:val="0"/>
          <w:numId w:val="6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model)</w:t>
      </w:r>
      <w:r w:rsidR="00330ABE">
        <w:rPr>
          <w:rFonts w:ascii="Arial" w:hAnsi="Arial" w:cs="Arial"/>
        </w:rPr>
        <w:t xml:space="preserve"> </w:t>
      </w:r>
      <w:r w:rsidR="0031739A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inclusive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</w:p>
    <w:p w14:paraId="42D307F7" w14:textId="05BB008D" w:rsidR="00DF4666" w:rsidRPr="00DF4666" w:rsidRDefault="00DF4666" w:rsidP="00623557">
      <w:pPr>
        <w:numPr>
          <w:ilvl w:val="0"/>
          <w:numId w:val="6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="0031739A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group.</w:t>
      </w:r>
      <w:r w:rsidR="00330ABE">
        <w:rPr>
          <w:rFonts w:ascii="Arial" w:hAnsi="Arial" w:cs="Arial"/>
        </w:rPr>
        <w:t xml:space="preserve"> </w:t>
      </w:r>
    </w:p>
    <w:p w14:paraId="34E566C6" w14:textId="0C8B73E2" w:rsidR="00DF4666" w:rsidRPr="00AA5813" w:rsidRDefault="00DF4666" w:rsidP="00A86EF8">
      <w:pPr>
        <w:pStyle w:val="Heading3"/>
      </w:pPr>
      <w:bookmarkStart w:id="11" w:name="_Toc139891212"/>
      <w:r w:rsidRPr="00AA5813">
        <w:t>Motivating</w:t>
      </w:r>
      <w:r w:rsidR="00330ABE">
        <w:t xml:space="preserve"> </w:t>
      </w:r>
      <w:r w:rsidRPr="00AA5813">
        <w:t>Problem</w:t>
      </w:r>
      <w:bookmarkEnd w:id="11"/>
    </w:p>
    <w:p w14:paraId="5FA47DD0" w14:textId="07353132" w:rsidR="00DF4666" w:rsidRPr="00DF4666" w:rsidRDefault="00DF4666" w:rsidP="00DF4666">
      <w:pPr>
        <w:spacing w:after="120"/>
        <w:textAlignment w:val="baseline"/>
        <w:rPr>
          <w:rFonts w:ascii="Arial" w:hAnsi="Arial" w:cs="Arial"/>
          <w:color w:val="000000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CDE’s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residual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gains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(RGs).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CDE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defines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an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RG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score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difference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between</w:t>
      </w:r>
    </w:p>
    <w:p w14:paraId="6D999FEC" w14:textId="275BEAC4" w:rsidR="00E50DC0" w:rsidRDefault="00DF4666" w:rsidP="00902D74">
      <w:pPr>
        <w:pStyle w:val="ListParagraph"/>
        <w:numPr>
          <w:ilvl w:val="0"/>
          <w:numId w:val="56"/>
        </w:numPr>
        <w:spacing w:after="120"/>
        <w:contextualSpacing w:val="0"/>
        <w:textAlignment w:val="baseline"/>
        <w:rPr>
          <w:rFonts w:cs="Arial"/>
          <w:szCs w:val="22"/>
          <w:lang w:eastAsia="zh-CN"/>
        </w:rPr>
      </w:pPr>
      <w:r w:rsidRPr="00E50DC0"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student’s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current-year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California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Assessment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Performance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and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Progress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(CAASPP)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score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particular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content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area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(i.e.,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English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language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arts/literacy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[ELA]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mathematics),</w:t>
      </w:r>
      <w:r w:rsidR="00330ABE">
        <w:rPr>
          <w:rFonts w:cs="Arial"/>
          <w:szCs w:val="22"/>
          <w:lang w:eastAsia="zh-CN"/>
        </w:rPr>
        <w:t xml:space="preserve"> </w:t>
      </w:r>
      <w:r w:rsidRPr="00E50DC0">
        <w:rPr>
          <w:rFonts w:cs="Arial"/>
          <w:szCs w:val="22"/>
          <w:lang w:eastAsia="zh-CN"/>
        </w:rPr>
        <w:t>and</w:t>
      </w:r>
    </w:p>
    <w:p w14:paraId="7682A8B7" w14:textId="12D60FC7" w:rsidR="00E50DC0" w:rsidRPr="00E50DC0" w:rsidRDefault="00E50DC0" w:rsidP="00902D74">
      <w:pPr>
        <w:pStyle w:val="ListParagraph"/>
        <w:numPr>
          <w:ilvl w:val="0"/>
          <w:numId w:val="56"/>
        </w:numPr>
        <w:spacing w:after="120"/>
        <w:contextualSpacing w:val="0"/>
        <w:textAlignment w:val="baseline"/>
        <w:rPr>
          <w:rFonts w:cs="Arial"/>
          <w:szCs w:val="22"/>
          <w:lang w:eastAsia="zh-CN"/>
        </w:rPr>
      </w:pPr>
      <w:r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>
        <w:rPr>
          <w:rFonts w:cs="Arial"/>
          <w:szCs w:val="22"/>
          <w:lang w:eastAsia="zh-CN"/>
        </w:rPr>
        <w:t>l</w:t>
      </w:r>
      <w:r w:rsidR="00DF4666" w:rsidRPr="00E50DC0">
        <w:rPr>
          <w:rFonts w:cs="Arial"/>
          <w:szCs w:val="22"/>
          <w:lang w:eastAsia="zh-CN"/>
        </w:rPr>
        <w:t>inear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prediction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test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score,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which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based</w:t>
      </w:r>
      <w:r w:rsidR="00330ABE">
        <w:rPr>
          <w:rFonts w:cs="Arial"/>
          <w:szCs w:val="22"/>
          <w:lang w:eastAsia="zh-CN"/>
        </w:rPr>
        <w:t xml:space="preserve"> </w:t>
      </w:r>
      <w:r w:rsidR="00DF4666" w:rsidRPr="00E50DC0">
        <w:rPr>
          <w:rFonts w:cs="Arial"/>
          <w:szCs w:val="22"/>
          <w:lang w:eastAsia="zh-CN"/>
        </w:rPr>
        <w:t>on</w:t>
      </w:r>
    </w:p>
    <w:p w14:paraId="18500EB8" w14:textId="7E9DD840" w:rsidR="00E50DC0" w:rsidRDefault="00DF4666" w:rsidP="00902D74">
      <w:pPr>
        <w:pStyle w:val="ListParagraph"/>
        <w:numPr>
          <w:ilvl w:val="1"/>
          <w:numId w:val="56"/>
        </w:numPr>
        <w:spacing w:after="120"/>
        <w:ind w:left="1080"/>
        <w:contextualSpacing w:val="0"/>
        <w:textAlignment w:val="baseline"/>
        <w:rPr>
          <w:rFonts w:cs="Arial"/>
          <w:color w:val="000000"/>
        </w:rPr>
      </w:pPr>
      <w:r w:rsidRPr="00E50DC0">
        <w:rPr>
          <w:rFonts w:cs="Arial"/>
          <w:color w:val="000000"/>
          <w:position w:val="2"/>
        </w:rPr>
        <w:t>the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  <w:position w:val="2"/>
        </w:rPr>
        <w:t>student’s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</w:rPr>
        <w:t>CAASPP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scores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in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i/>
          <w:iCs/>
          <w:color w:val="000000"/>
        </w:rPr>
        <w:t>both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content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areas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(ELA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i/>
          <w:iCs/>
          <w:color w:val="000000"/>
        </w:rPr>
        <w:t>and</w:t>
      </w:r>
      <w:r w:rsidR="00330ABE">
        <w:rPr>
          <w:rFonts w:cs="Arial"/>
          <w:i/>
          <w:iCs/>
          <w:color w:val="000000"/>
        </w:rPr>
        <w:t xml:space="preserve"> </w:t>
      </w:r>
      <w:r w:rsidRPr="00E50DC0">
        <w:rPr>
          <w:rFonts w:cs="Arial"/>
          <w:color w:val="000000"/>
        </w:rPr>
        <w:t>mathematics)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in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the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immediate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prior-year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CAASPP,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and</w:t>
      </w:r>
    </w:p>
    <w:p w14:paraId="2A2EB66A" w14:textId="46A0771D" w:rsidR="00DF4666" w:rsidRPr="00E50DC0" w:rsidRDefault="00DF4666" w:rsidP="00902D74">
      <w:pPr>
        <w:pStyle w:val="ListParagraph"/>
        <w:numPr>
          <w:ilvl w:val="1"/>
          <w:numId w:val="56"/>
        </w:numPr>
        <w:spacing w:after="120"/>
        <w:ind w:left="1080"/>
        <w:contextualSpacing w:val="0"/>
        <w:textAlignment w:val="baseline"/>
        <w:rPr>
          <w:rFonts w:cs="Arial"/>
          <w:color w:val="000000"/>
        </w:rPr>
      </w:pPr>
      <w:r w:rsidRPr="00E50DC0">
        <w:rPr>
          <w:rFonts w:cs="Arial"/>
          <w:color w:val="000000"/>
          <w:position w:val="2"/>
        </w:rPr>
        <w:t>the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  <w:position w:val="2"/>
        </w:rPr>
        <w:t>same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  <w:position w:val="2"/>
        </w:rPr>
        <w:t>sets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  <w:position w:val="2"/>
        </w:rPr>
        <w:t>of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  <w:position w:val="2"/>
        </w:rPr>
        <w:t>scores</w:t>
      </w:r>
      <w:r w:rsidR="00330ABE">
        <w:rPr>
          <w:rFonts w:cs="Arial"/>
          <w:color w:val="000000"/>
          <w:position w:val="2"/>
        </w:rPr>
        <w:t xml:space="preserve"> </w:t>
      </w:r>
      <w:r w:rsidRPr="00E50DC0">
        <w:rPr>
          <w:rFonts w:cs="Arial"/>
          <w:color w:val="000000"/>
          <w:position w:val="2"/>
        </w:rPr>
        <w:t>(</w:t>
      </w:r>
      <w:proofErr w:type="gramStart"/>
      <w:r w:rsidRPr="00E50DC0">
        <w:rPr>
          <w:rFonts w:cs="Arial"/>
          <w:color w:val="000000"/>
        </w:rPr>
        <w:t>i.e.</w:t>
      </w:r>
      <w:proofErr w:type="gramEnd"/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current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and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prior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years)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for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all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other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students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in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the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same</w:t>
      </w:r>
      <w:r w:rsidR="00330ABE">
        <w:rPr>
          <w:rFonts w:cs="Arial"/>
          <w:color w:val="000000"/>
        </w:rPr>
        <w:t xml:space="preserve"> </w:t>
      </w:r>
      <w:r w:rsidRPr="00E50DC0">
        <w:rPr>
          <w:rFonts w:cs="Arial"/>
          <w:color w:val="000000"/>
        </w:rPr>
        <w:t>grade.</w:t>
      </w:r>
    </w:p>
    <w:p w14:paraId="5D18DACC" w14:textId="78C17F8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current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students’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zero.</w:t>
      </w:r>
    </w:p>
    <w:p w14:paraId="1D8E993B" w14:textId="28E41B75" w:rsidR="00DF4666" w:rsidRPr="00DF4666" w:rsidRDefault="00DF4666" w:rsidP="0002670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2300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CAASPP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2450,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typical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California’s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2400,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(IRG)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-50,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student’s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actual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(2400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2450).</w:t>
      </w:r>
    </w:p>
    <w:p w14:paraId="02992D1A" w14:textId="0752D16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  <w:color w:val="000000"/>
          <w:position w:val="2"/>
        </w:rPr>
        <w:t>Once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an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IRG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score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proofErr w:type="gramStart"/>
      <w:r w:rsidRPr="00DF4666">
        <w:rPr>
          <w:rFonts w:ascii="Arial" w:hAnsi="Arial" w:cs="Arial"/>
          <w:color w:val="000000"/>
          <w:position w:val="2"/>
        </w:rPr>
        <w:t>is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calculated</w:t>
      </w:r>
      <w:proofErr w:type="gramEnd"/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for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each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student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in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school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or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LEA,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an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aggregate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RG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score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is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calculated.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standard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available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spring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just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straightforward,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downside.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</w:p>
    <w:p w14:paraId="4963E88E" w14:textId="0512212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help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convey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“accuracy”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that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+22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points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1,243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15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Although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vastly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</w:p>
    <w:p w14:paraId="18DD6C94" w14:textId="1E4FDD0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  <w:color w:val="000000"/>
          <w:position w:val="2"/>
        </w:rPr>
        <w:t>Consider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next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</w:rPr>
        <w:t>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happen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just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removed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1200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little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21.9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22.3,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close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original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22.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15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removal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just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significant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dropping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11.1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raising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28.2,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depending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removed.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</w:p>
    <w:p w14:paraId="019B1DD8" w14:textId="098DAE5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problematic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fluctuations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bounce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around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preliminary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credibility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adopted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annual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accountability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(Refer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June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hyperlink r:id="rId33" w:tooltip="Updated Analysis of the Residual Gain Model 2017-18 Plan" w:history="1">
        <w:r w:rsidR="00A90286" w:rsidRPr="00296777">
          <w:rPr>
            <w:rStyle w:val="Hyperlink"/>
            <w:rFonts w:ascii="Arial" w:hAnsi="Arial" w:cs="Arial"/>
          </w:rPr>
          <w:t>https://www.cde.ca.gov/be/pn/im/documents/memo-pptb-amard-jun18item01a1.docx</w:t>
        </w:r>
      </w:hyperlink>
      <w:r w:rsidR="00A90286">
        <w:rPr>
          <w:rFonts w:ascii="Arial" w:hAnsi="Arial" w:cs="Arial"/>
        </w:rPr>
        <w:t>.)</w:t>
      </w:r>
    </w:p>
    <w:p w14:paraId="36D4A429" w14:textId="61E931E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problem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driven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different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sizes</w:t>
      </w:r>
      <w:proofErr w:type="gramEnd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</w:t>
      </w:r>
      <w:proofErr w:type="gramEnd"/>
      <w:r w:rsidRPr="00DF4666">
        <w:rPr>
          <w:rFonts w:ascii="Arial" w:hAnsi="Arial" w:cs="Arial"/>
        </w:rPr>
        <w:t>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certainly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fluctuate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kinds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disparities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erode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credibility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perception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fairness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system.</w:t>
      </w:r>
      <w:r w:rsidR="00330ABE">
        <w:rPr>
          <w:rFonts w:ascii="Arial" w:hAnsi="Arial" w:cs="Arial"/>
        </w:rPr>
        <w:t xml:space="preserve"> </w:t>
      </w:r>
    </w:p>
    <w:p w14:paraId="16AA97AF" w14:textId="7FF4EFB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problems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pronounced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disabilities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foster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youth,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serving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rare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severe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widespread.</w:t>
      </w:r>
      <w:r w:rsidR="00330ABE">
        <w:rPr>
          <w:rFonts w:ascii="Arial" w:hAnsi="Arial" w:cs="Arial"/>
        </w:rPr>
        <w:t xml:space="preserve"> </w:t>
      </w:r>
    </w:p>
    <w:p w14:paraId="2989CAE6" w14:textId="39D36126" w:rsidR="00DF4666" w:rsidRPr="00AA5813" w:rsidRDefault="00DF4666" w:rsidP="00A86EF8">
      <w:pPr>
        <w:pStyle w:val="Heading3"/>
      </w:pPr>
      <w:bookmarkStart w:id="12" w:name="_Toc139891213"/>
      <w:r w:rsidRPr="00AA5813">
        <w:t>EBLP</w:t>
      </w:r>
      <w:r w:rsidR="00330ABE">
        <w:t xml:space="preserve"> </w:t>
      </w:r>
      <w:r w:rsidRPr="00AA5813">
        <w:t>as</w:t>
      </w:r>
      <w:r w:rsidR="00330ABE">
        <w:t xml:space="preserve"> </w:t>
      </w:r>
      <w:r w:rsidRPr="00AA5813">
        <w:t>a</w:t>
      </w:r>
      <w:r w:rsidR="00330ABE">
        <w:t xml:space="preserve"> </w:t>
      </w:r>
      <w:r w:rsidRPr="00AA5813">
        <w:t>Potential</w:t>
      </w:r>
      <w:r w:rsidR="00330ABE">
        <w:t xml:space="preserve"> </w:t>
      </w:r>
      <w:r w:rsidRPr="00AA5813">
        <w:t>Solution</w:t>
      </w:r>
      <w:bookmarkEnd w:id="12"/>
    </w:p>
    <w:p w14:paraId="2639A77B" w14:textId="2BB405B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  <w:color w:val="000000"/>
          <w:position w:val="2"/>
        </w:rPr>
        <w:t>To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improve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accuracy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of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student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growth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model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and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address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year-to-year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volatility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in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RG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scores,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ETS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developed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the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ELPB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statistical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approach,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which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proofErr w:type="gramStart"/>
      <w:r w:rsidRPr="00DF4666">
        <w:rPr>
          <w:rFonts w:ascii="Arial" w:hAnsi="Arial" w:cs="Arial"/>
          <w:color w:val="000000"/>
          <w:position w:val="2"/>
        </w:rPr>
        <w:t>is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applied</w:t>
      </w:r>
      <w:proofErr w:type="gramEnd"/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to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schools,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LEAs,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and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student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groups</w:t>
      </w:r>
      <w:r w:rsidR="00330ABE">
        <w:rPr>
          <w:rFonts w:ascii="Arial" w:hAnsi="Arial" w:cs="Arial"/>
          <w:color w:val="000000"/>
          <w:position w:val="2"/>
        </w:rPr>
        <w:t xml:space="preserve"> </w:t>
      </w:r>
      <w:r w:rsidRPr="00DF4666">
        <w:rPr>
          <w:rFonts w:ascii="Arial" w:hAnsi="Arial" w:cs="Arial"/>
          <w:color w:val="000000"/>
          <w:position w:val="2"/>
        </w:rPr>
        <w:t>(</w:t>
      </w:r>
      <w:r w:rsidRPr="00DF4666">
        <w:rPr>
          <w:rFonts w:ascii="Arial" w:hAnsi="Arial" w:cs="Arial"/>
        </w:rPr>
        <w:t>Lockwood,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Castellano,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&amp;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McCaffrey,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proper,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obtained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</w:p>
    <w:p w14:paraId="0CDAEFEE" w14:textId="778195A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weighted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multiple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most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  <w:i/>
        </w:rPr>
        <w:t>recent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  <w:i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dependent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LEA.</w:t>
      </w:r>
    </w:p>
    <w:p w14:paraId="4633338F" w14:textId="678D435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instance,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puts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little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moderate-sized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depending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current-year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majority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weight.</w:t>
      </w:r>
    </w:p>
    <w:p w14:paraId="354DD455" w14:textId="7FB457B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decreases,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+29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+24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year’s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current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05D7A37D" w14:textId="61946883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next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</w:p>
    <w:p w14:paraId="3CA7A763" w14:textId="1A2B7AFE" w:rsidR="00DF4666" w:rsidRPr="00AA5813" w:rsidRDefault="00DF4666" w:rsidP="00A86EF8">
      <w:pPr>
        <w:pStyle w:val="Heading3"/>
      </w:pPr>
      <w:bookmarkStart w:id="13" w:name="_Toc139891214"/>
      <w:r w:rsidRPr="00AA5813">
        <w:t>Empirical</w:t>
      </w:r>
      <w:r w:rsidR="00330ABE">
        <w:t xml:space="preserve"> </w:t>
      </w:r>
      <w:r w:rsidRPr="00AA5813">
        <w:t>Study</w:t>
      </w:r>
      <w:r w:rsidR="00330ABE">
        <w:t xml:space="preserve"> </w:t>
      </w:r>
      <w:r w:rsidRPr="00AA5813">
        <w:t>Setup</w:t>
      </w:r>
      <w:bookmarkEnd w:id="13"/>
      <w:r w:rsidR="00330ABE">
        <w:t xml:space="preserve"> </w:t>
      </w:r>
    </w:p>
    <w:p w14:paraId="06CD448E" w14:textId="17C411F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understand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longitudinal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test-score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weighted-average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simple-average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several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LEAs.</w:t>
      </w:r>
    </w:p>
    <w:p w14:paraId="0BCBA8EC" w14:textId="0E09A1F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applying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blocks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simultaneously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stakeholder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input,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simplicity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future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communications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blocks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complete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next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section.</w:t>
      </w:r>
    </w:p>
    <w:p w14:paraId="1F1C1517" w14:textId="429B0A13" w:rsidR="00DF4666" w:rsidRPr="00914A77" w:rsidRDefault="00DF4666" w:rsidP="00914A77">
      <w:pPr>
        <w:pStyle w:val="Heading4"/>
      </w:pPr>
      <w:r w:rsidRPr="00914A77">
        <w:t>4.A.</w:t>
      </w:r>
      <w:r w:rsidR="00330ABE" w:rsidRPr="00914A77">
        <w:t xml:space="preserve"> </w:t>
      </w:r>
      <w:r w:rsidRPr="00914A77">
        <w:t>Business</w:t>
      </w:r>
      <w:r w:rsidR="00330ABE" w:rsidRPr="00914A77">
        <w:t xml:space="preserve"> </w:t>
      </w:r>
      <w:r w:rsidRPr="00914A77">
        <w:t>Rules</w:t>
      </w:r>
      <w:r w:rsidR="00330ABE" w:rsidRPr="00914A77">
        <w:t xml:space="preserve"> </w:t>
      </w:r>
      <w:r w:rsidRPr="00914A77">
        <w:t>Adopted</w:t>
      </w:r>
      <w:r w:rsidR="00330ABE" w:rsidRPr="00914A77">
        <w:t xml:space="preserve"> </w:t>
      </w:r>
      <w:r w:rsidRPr="00914A77">
        <w:t>for</w:t>
      </w:r>
      <w:r w:rsidR="00330ABE" w:rsidRPr="00914A77">
        <w:t xml:space="preserve"> </w:t>
      </w:r>
      <w:r w:rsidRPr="00914A77">
        <w:t>AGM</w:t>
      </w:r>
      <w:r w:rsidR="00330ABE" w:rsidRPr="00914A77">
        <w:t xml:space="preserve"> </w:t>
      </w:r>
      <w:r w:rsidRPr="00914A77">
        <w:t>Reporting</w:t>
      </w:r>
      <w:r w:rsidR="00330ABE" w:rsidRPr="00914A77">
        <w:t xml:space="preserve"> </w:t>
      </w:r>
      <w:r w:rsidRPr="00914A77">
        <w:t>and</w:t>
      </w:r>
      <w:r w:rsidR="00330ABE" w:rsidRPr="00914A77">
        <w:t xml:space="preserve"> </w:t>
      </w:r>
      <w:r w:rsidRPr="00914A77">
        <w:t>EBLP</w:t>
      </w:r>
      <w:r w:rsidR="00330ABE" w:rsidRPr="00914A77">
        <w:t xml:space="preserve"> </w:t>
      </w:r>
      <w:r w:rsidRPr="00914A77">
        <w:t>Application</w:t>
      </w:r>
    </w:p>
    <w:p w14:paraId="1361E568" w14:textId="0C87D84B" w:rsidR="00DF4666" w:rsidRPr="00DF4666" w:rsidRDefault="00DF4666" w:rsidP="00DF4666">
      <w:pPr>
        <w:spacing w:after="120"/>
        <w:textAlignment w:val="baseline"/>
        <w:rPr>
          <w:rFonts w:ascii="Arial" w:eastAsia="Arial" w:hAnsi="Arial" w:cs="Arial"/>
        </w:rPr>
      </w:pP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following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four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business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rules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have</w:t>
      </w:r>
      <w:r w:rsidR="00330ABE">
        <w:rPr>
          <w:rFonts w:ascii="Arial" w:eastAsia="Arial" w:hAnsi="Arial" w:cs="Arial"/>
        </w:rPr>
        <w:t xml:space="preserve"> </w:t>
      </w:r>
      <w:proofErr w:type="gramStart"/>
      <w:r w:rsidRPr="00DF4666">
        <w:rPr>
          <w:rFonts w:ascii="Arial" w:eastAsia="Arial" w:hAnsi="Arial" w:cs="Arial"/>
        </w:rPr>
        <w:t>been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adopted</w:t>
      </w:r>
      <w:proofErr w:type="gramEnd"/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regarding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reporting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of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AGMs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and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application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of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EBLP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in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California:</w:t>
      </w:r>
    </w:p>
    <w:p w14:paraId="2DAA764A" w14:textId="7ADCB268" w:rsidR="00DF4666" w:rsidRPr="00E50DC0" w:rsidRDefault="00DF4666" w:rsidP="00902D74">
      <w:pPr>
        <w:pStyle w:val="ListParagraph"/>
        <w:numPr>
          <w:ilvl w:val="0"/>
          <w:numId w:val="57"/>
        </w:numPr>
        <w:spacing w:after="120"/>
        <w:ind w:left="720"/>
        <w:contextualSpacing w:val="0"/>
        <w:textAlignment w:val="baseline"/>
        <w:rPr>
          <w:rFonts w:cs="Arial"/>
        </w:rPr>
      </w:pPr>
      <w:r w:rsidRPr="00E50DC0">
        <w:rPr>
          <w:rFonts w:cs="Arial"/>
        </w:rPr>
        <w:t>AGMs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reported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only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when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they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are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based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on</w:t>
      </w:r>
      <w:r w:rsidR="00330ABE">
        <w:rPr>
          <w:rFonts w:cs="Arial"/>
        </w:rPr>
        <w:t xml:space="preserve"> </w:t>
      </w:r>
      <w:proofErr w:type="gramStart"/>
      <w:r w:rsidRPr="00E50DC0">
        <w:rPr>
          <w:rFonts w:cs="Arial"/>
        </w:rPr>
        <w:t>11</w:t>
      </w:r>
      <w:proofErr w:type="gramEnd"/>
      <w:r w:rsidR="00330ABE">
        <w:rPr>
          <w:rFonts w:cs="Arial"/>
        </w:rPr>
        <w:t xml:space="preserve"> </w:t>
      </w:r>
      <w:r w:rsidRPr="00E50DC0">
        <w:rPr>
          <w:rFonts w:cs="Arial"/>
        </w:rPr>
        <w:t>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more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student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reporting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and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which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there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at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least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one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from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prior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year.</w:t>
      </w:r>
      <w:r w:rsidR="00330ABE">
        <w:rPr>
          <w:rFonts w:cs="Arial"/>
        </w:rPr>
        <w:t xml:space="preserve"> </w:t>
      </w:r>
    </w:p>
    <w:p w14:paraId="7F88AE80" w14:textId="00D25C41" w:rsidR="00DF4666" w:rsidRPr="00E50DC0" w:rsidRDefault="00DF4666" w:rsidP="00902D74">
      <w:pPr>
        <w:pStyle w:val="ListParagraph"/>
        <w:numPr>
          <w:ilvl w:val="0"/>
          <w:numId w:val="57"/>
        </w:numPr>
        <w:spacing w:after="120"/>
        <w:ind w:left="720"/>
        <w:contextualSpacing w:val="0"/>
        <w:textAlignment w:val="baseline"/>
        <w:rPr>
          <w:rFonts w:cs="Arial"/>
        </w:rPr>
      </w:pP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EBLP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method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use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data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from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two-year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blocks.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Thus,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when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computing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AGMs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given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reporting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EBLP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use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from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that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well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from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immediate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prior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year.</w:t>
      </w:r>
      <w:r w:rsidR="00330ABE">
        <w:rPr>
          <w:rFonts w:cs="Arial"/>
        </w:rPr>
        <w:t xml:space="preserve"> </w:t>
      </w:r>
    </w:p>
    <w:p w14:paraId="399B587D" w14:textId="636D8C70" w:rsidR="00DF4666" w:rsidRPr="00E50DC0" w:rsidRDefault="00DF4666" w:rsidP="00902D74">
      <w:pPr>
        <w:pStyle w:val="ListParagraph"/>
        <w:numPr>
          <w:ilvl w:val="0"/>
          <w:numId w:val="57"/>
        </w:numPr>
        <w:spacing w:after="120"/>
        <w:ind w:left="720"/>
        <w:contextualSpacing w:val="0"/>
        <w:textAlignment w:val="baseline"/>
        <w:rPr>
          <w:rFonts w:cs="Arial"/>
          <w:color w:val="000000"/>
        </w:rPr>
      </w:pP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EBLP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method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proofErr w:type="gramStart"/>
      <w:r w:rsidRPr="00E50DC0">
        <w:rPr>
          <w:rFonts w:cs="Arial"/>
        </w:rPr>
        <w:t>be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applied</w:t>
      </w:r>
      <w:proofErr w:type="gramEnd"/>
      <w:r w:rsidR="00330ABE">
        <w:rPr>
          <w:rFonts w:cs="Arial"/>
        </w:rPr>
        <w:t xml:space="preserve"> </w:t>
      </w:r>
      <w:r w:rsidRPr="00E50DC0">
        <w:rPr>
          <w:rFonts w:cs="Arial"/>
        </w:rPr>
        <w:t>separately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to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mathematics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and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ELA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decided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by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California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State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Board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of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Education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(SBE)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November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2020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meeting.</w:t>
      </w:r>
      <w:r w:rsidR="00330ABE">
        <w:rPr>
          <w:rFonts w:cs="Arial"/>
        </w:rPr>
        <w:t xml:space="preserve"> </w:t>
      </w:r>
      <w:r w:rsidRPr="00E50DC0">
        <w:rPr>
          <w:rFonts w:eastAsia="Arial" w:cs="Arial"/>
          <w:color w:val="000000"/>
        </w:rPr>
        <w:t>Thus,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when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computing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mathematics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AGMs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in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a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given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reporting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year,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the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EBLP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will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combine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mathematics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growth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scores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from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that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year,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and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mathematics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growth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scores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from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the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immediate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prior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eastAsia="Arial" w:cs="Arial"/>
          <w:color w:val="000000"/>
        </w:rPr>
        <w:t>year.</w:t>
      </w:r>
      <w:r w:rsidR="00330ABE">
        <w:rPr>
          <w:rFonts w:eastAsia="Arial" w:cs="Arial"/>
          <w:color w:val="000000"/>
        </w:rPr>
        <w:t xml:space="preserve"> </w:t>
      </w:r>
      <w:r w:rsidRPr="00E50DC0">
        <w:rPr>
          <w:rFonts w:cs="Arial"/>
        </w:rPr>
        <w:t>(Note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that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residual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gain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individual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students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still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use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prior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from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both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subjects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prediction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model.)</w:t>
      </w:r>
    </w:p>
    <w:p w14:paraId="179E9425" w14:textId="5D348B9D" w:rsidR="00DF4666" w:rsidRPr="00E50DC0" w:rsidRDefault="00DF4666" w:rsidP="00902D74">
      <w:pPr>
        <w:pStyle w:val="ListParagraph"/>
        <w:numPr>
          <w:ilvl w:val="0"/>
          <w:numId w:val="57"/>
        </w:numPr>
        <w:spacing w:after="120"/>
        <w:ind w:left="720"/>
        <w:contextualSpacing w:val="0"/>
        <w:textAlignment w:val="baseline"/>
        <w:rPr>
          <w:rFonts w:cs="Arial"/>
        </w:rPr>
      </w:pPr>
      <w:r w:rsidRPr="00E50DC0">
        <w:rPr>
          <w:rFonts w:cs="Arial"/>
        </w:rPr>
        <w:t>When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only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single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of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data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available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(i.e.,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no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prior-year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score),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simple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average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proofErr w:type="gramStart"/>
      <w:r w:rsidRPr="00E50DC0">
        <w:rPr>
          <w:rFonts w:cs="Arial"/>
        </w:rPr>
        <w:t>be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applied</w:t>
      </w:r>
      <w:proofErr w:type="gramEnd"/>
      <w:r w:rsidRPr="00E50DC0">
        <w:rPr>
          <w:rFonts w:cs="Arial"/>
        </w:rPr>
        <w:t>.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example,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if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given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LEA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has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15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English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learner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students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ELA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reporting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and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no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such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students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prior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year,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that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LEA’s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AGM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for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ELA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of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its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English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learners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will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be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simple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average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of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15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ELA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growth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scores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in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the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reporting</w:t>
      </w:r>
      <w:r w:rsidR="00330ABE">
        <w:rPr>
          <w:rFonts w:cs="Arial"/>
        </w:rPr>
        <w:t xml:space="preserve"> </w:t>
      </w:r>
      <w:r w:rsidRPr="00E50DC0">
        <w:rPr>
          <w:rFonts w:cs="Arial"/>
        </w:rPr>
        <w:t>year.</w:t>
      </w:r>
    </w:p>
    <w:p w14:paraId="39A61606" w14:textId="0663F46B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established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eastAsia="Arial" w:hAnsi="Arial" w:cs="Arial"/>
        </w:rPr>
        <w:t>empirical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findings,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stakeholder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input,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and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concerns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about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simplicity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of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future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communications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of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method.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adheres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rules.</w:t>
      </w:r>
      <w:r w:rsidR="00330ABE">
        <w:rPr>
          <w:rFonts w:ascii="Arial" w:hAnsi="Arial" w:cs="Arial"/>
        </w:rPr>
        <w:t xml:space="preserve"> </w:t>
      </w:r>
    </w:p>
    <w:p w14:paraId="33A7C211" w14:textId="15E2B30E" w:rsidR="00DF4666" w:rsidRPr="00DF4666" w:rsidRDefault="00DF4666" w:rsidP="00914A77">
      <w:pPr>
        <w:pStyle w:val="Heading4"/>
      </w:pPr>
      <w:r w:rsidRPr="00DF4666">
        <w:t>4.B.</w:t>
      </w:r>
      <w:r w:rsidR="00330ABE">
        <w:t xml:space="preserve"> </w:t>
      </w:r>
      <w:r w:rsidRPr="00DF4666">
        <w:t>Data</w:t>
      </w:r>
    </w:p>
    <w:p w14:paraId="45CCD081" w14:textId="612BC9A8" w:rsidR="00DF4666" w:rsidRPr="00DF4666" w:rsidRDefault="00DF4666" w:rsidP="00250D03">
      <w:pPr>
        <w:spacing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250D03">
        <w:rPr>
          <w:rFonts w:ascii="Arial" w:hAnsi="Arial" w:cs="Arial"/>
        </w:rPr>
        <w:t>:</w:t>
      </w:r>
    </w:p>
    <w:p w14:paraId="5D67C5E5" w14:textId="3108501F" w:rsidR="00DF4666" w:rsidRPr="00AA5813" w:rsidRDefault="00DF4666" w:rsidP="00902D74">
      <w:pPr>
        <w:pStyle w:val="ListParagraph"/>
        <w:numPr>
          <w:ilvl w:val="0"/>
          <w:numId w:val="45"/>
        </w:numPr>
        <w:spacing w:after="120"/>
        <w:textAlignment w:val="baseline"/>
        <w:rPr>
          <w:rFonts w:cs="Arial"/>
          <w:szCs w:val="22"/>
          <w:lang w:eastAsia="zh-CN"/>
        </w:rPr>
      </w:pP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2018–19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school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year,</w:t>
      </w:r>
    </w:p>
    <w:p w14:paraId="711FC4A5" w14:textId="375FF85B" w:rsidR="00DF4666" w:rsidRPr="00AA5813" w:rsidRDefault="00DF4666" w:rsidP="00902D74">
      <w:pPr>
        <w:pStyle w:val="ListParagraph"/>
        <w:numPr>
          <w:ilvl w:val="0"/>
          <w:numId w:val="45"/>
        </w:numPr>
        <w:spacing w:after="120"/>
        <w:textAlignment w:val="baseline"/>
        <w:rPr>
          <w:rFonts w:cs="Arial"/>
          <w:szCs w:val="22"/>
          <w:lang w:eastAsia="zh-CN"/>
        </w:rPr>
      </w:pP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2017–18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school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year,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and</w:t>
      </w:r>
      <w:r w:rsidR="00330ABE">
        <w:rPr>
          <w:rFonts w:cs="Arial"/>
          <w:szCs w:val="22"/>
          <w:lang w:eastAsia="zh-CN"/>
        </w:rPr>
        <w:t xml:space="preserve"> </w:t>
      </w:r>
    </w:p>
    <w:p w14:paraId="6AC7E1B4" w14:textId="2D5C0F26" w:rsidR="00DF4666" w:rsidRPr="00AA5813" w:rsidRDefault="00DF4666" w:rsidP="00902D74">
      <w:pPr>
        <w:pStyle w:val="ListParagraph"/>
        <w:numPr>
          <w:ilvl w:val="0"/>
          <w:numId w:val="45"/>
        </w:numPr>
        <w:spacing w:after="120"/>
        <w:textAlignment w:val="baseline"/>
        <w:rPr>
          <w:rFonts w:cs="Arial"/>
          <w:szCs w:val="22"/>
          <w:lang w:eastAsia="zh-CN"/>
        </w:rPr>
      </w:pPr>
      <w:r w:rsidRPr="00AA5813">
        <w:rPr>
          <w:rFonts w:cs="Arial"/>
          <w:szCs w:val="22"/>
          <w:lang w:eastAsia="zh-CN"/>
        </w:rPr>
        <w:lastRenderedPageBreak/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2016–17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school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year.</w:t>
      </w:r>
    </w:p>
    <w:p w14:paraId="112AA8A9" w14:textId="7D1191A2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2016–17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2017–18.</w:t>
      </w:r>
      <w:r w:rsidR="00330ABE">
        <w:rPr>
          <w:rFonts w:ascii="Arial" w:hAnsi="Arial" w:cs="Arial"/>
        </w:rPr>
        <w:t xml:space="preserve"> </w:t>
      </w:r>
    </w:p>
    <w:p w14:paraId="2C950F06" w14:textId="6DC40453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factors:</w:t>
      </w:r>
      <w:r w:rsidR="00330ABE">
        <w:rPr>
          <w:rFonts w:ascii="Arial" w:hAnsi="Arial" w:cs="Arial"/>
        </w:rPr>
        <w:t xml:space="preserve"> </w:t>
      </w:r>
    </w:p>
    <w:p w14:paraId="6D6E126C" w14:textId="5511D4FE" w:rsidR="00DF4666" w:rsidRPr="00DF4666" w:rsidRDefault="00DF4666" w:rsidP="00902D74">
      <w:pPr>
        <w:numPr>
          <w:ilvl w:val="0"/>
          <w:numId w:val="42"/>
        </w:numPr>
        <w:spacing w:after="120"/>
        <w:ind w:left="576" w:hanging="288"/>
        <w:contextualSpacing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Organizational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</w:p>
    <w:p w14:paraId="32C5B0BF" w14:textId="3428FC81" w:rsidR="00DF4666" w:rsidRPr="00DF4666" w:rsidRDefault="00DF4666" w:rsidP="00902D74">
      <w:pPr>
        <w:numPr>
          <w:ilvl w:val="0"/>
          <w:numId w:val="42"/>
        </w:numPr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Subject: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</w:p>
    <w:p w14:paraId="651A5E6F" w14:textId="3EAA04D6" w:rsidR="00DF4666" w:rsidRPr="00DF4666" w:rsidRDefault="00DF4666" w:rsidP="00902D74">
      <w:pPr>
        <w:numPr>
          <w:ilvl w:val="0"/>
          <w:numId w:val="42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Group: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17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</w:p>
    <w:p w14:paraId="3FA5BA5E" w14:textId="0A641834" w:rsidR="00DF4666" w:rsidRPr="00DF4666" w:rsidRDefault="00DF4666" w:rsidP="00330ABE">
      <w:pPr>
        <w:spacing w:before="240"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academic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described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hyperlink r:id="rId34" w:tooltip="Record Layout for 2019 English Language Arts Academic Indicator" w:history="1">
        <w:r w:rsidR="00A90286" w:rsidRPr="00296777">
          <w:rPr>
            <w:rStyle w:val="Hyperlink"/>
            <w:rFonts w:ascii="Arial" w:hAnsi="Arial" w:cs="Arial"/>
          </w:rPr>
          <w:t>https://www.cde.ca.gov/ta/ac/c</w:t>
        </w:r>
        <w:r w:rsidR="00A90286" w:rsidRPr="00296777">
          <w:rPr>
            <w:rStyle w:val="Hyperlink"/>
            <w:rFonts w:ascii="Arial" w:hAnsi="Arial" w:cs="Arial"/>
          </w:rPr>
          <w:t>m</w:t>
        </w:r>
        <w:r w:rsidR="00A90286" w:rsidRPr="00296777">
          <w:rPr>
            <w:rStyle w:val="Hyperlink"/>
            <w:rFonts w:ascii="Arial" w:hAnsi="Arial" w:cs="Arial"/>
          </w:rPr>
          <w:t>/ela19.asp</w:t>
        </w:r>
      </w:hyperlink>
      <w:r w:rsidR="00A90286">
        <w:rPr>
          <w:rFonts w:ascii="Arial" w:hAnsi="Arial" w:cs="Arial"/>
        </w:rPr>
        <w:t>.</w:t>
      </w:r>
    </w:p>
    <w:p w14:paraId="09C77C8A" w14:textId="4627D04E" w:rsidR="00DF4666" w:rsidRPr="00330ABE" w:rsidRDefault="00DF4666" w:rsidP="00330ABE">
      <w:pPr>
        <w:keepNext/>
        <w:spacing w:after="120"/>
        <w:textAlignment w:val="baseline"/>
        <w:rPr>
          <w:rFonts w:ascii="Arial" w:hAnsi="Arial" w:cs="Arial"/>
          <w:b/>
          <w:bCs/>
          <w:color w:val="000000"/>
        </w:rPr>
      </w:pP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abbreviations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1" w:tooltip="Table 1. Student Group Abbreviations" w:history="1">
        <w:r w:rsidR="00E3384C" w:rsidRPr="00E3384C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  <w:b/>
          </w:rPr>
          <w:t xml:space="preserve"> </w:t>
        </w:r>
        <w:r w:rsidR="00E3384C" w:rsidRPr="000D555A">
          <w:rPr>
            <w:rStyle w:val="Hyperlink"/>
            <w:rFonts w:ascii="Arial" w:hAnsi="Arial" w:cs="Arial"/>
          </w:rPr>
          <w:t>1</w:t>
        </w:r>
      </w:hyperlink>
      <w:r w:rsidR="000D555A">
        <w:rPr>
          <w:rFonts w:ascii="Arial" w:hAnsi="Arial" w:cs="Arial"/>
        </w:rPr>
        <w:t>.</w:t>
      </w:r>
    </w:p>
    <w:p w14:paraId="450167EA" w14:textId="023AC84B" w:rsidR="00DF4666" w:rsidRPr="00026706" w:rsidRDefault="00DF4666" w:rsidP="00330ABE">
      <w:pPr>
        <w:spacing w:before="240" w:after="240"/>
        <w:textAlignment w:val="baseline"/>
        <w:rPr>
          <w:rFonts w:ascii="Arial" w:hAnsi="Arial" w:cs="Arial"/>
          <w:b/>
          <w:bCs/>
        </w:rPr>
      </w:pPr>
      <w:bookmarkStart w:id="14" w:name="Table1"/>
      <w:bookmarkStart w:id="15" w:name="_Toc139890512"/>
      <w:r w:rsidRPr="00026706">
        <w:rPr>
          <w:rFonts w:ascii="Arial" w:hAnsi="Arial" w:cs="Arial"/>
          <w:b/>
          <w:bCs/>
        </w:rPr>
        <w:t>Table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fldChar w:fldCharType="begin"/>
      </w:r>
      <w:r w:rsidRPr="00026706">
        <w:rPr>
          <w:rFonts w:ascii="Arial" w:hAnsi="Arial" w:cs="Arial"/>
          <w:b/>
          <w:bCs/>
        </w:rPr>
        <w:instrText>SEQ Table \* ARABIC</w:instrText>
      </w:r>
      <w:r w:rsidRPr="00026706">
        <w:rPr>
          <w:rFonts w:ascii="Arial" w:hAnsi="Arial" w:cs="Arial"/>
          <w:b/>
          <w:bCs/>
        </w:rPr>
        <w:fldChar w:fldCharType="separate"/>
      </w:r>
      <w:r w:rsidR="00BC1E6E" w:rsidRPr="00026706">
        <w:rPr>
          <w:rFonts w:ascii="Arial" w:hAnsi="Arial" w:cs="Arial"/>
          <w:b/>
          <w:bCs/>
          <w:noProof/>
        </w:rPr>
        <w:t>1</w:t>
      </w:r>
      <w:r w:rsidRPr="00026706">
        <w:rPr>
          <w:rFonts w:ascii="Arial" w:hAnsi="Arial" w:cs="Arial"/>
          <w:b/>
          <w:bCs/>
        </w:rPr>
        <w:fldChar w:fldCharType="end"/>
      </w:r>
      <w:r w:rsidRPr="00026706">
        <w:rPr>
          <w:rFonts w:ascii="Arial" w:hAnsi="Arial" w:cs="Arial"/>
          <w:b/>
          <w:bCs/>
        </w:rPr>
        <w:t>.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Student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Group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Abbreviations</w:t>
      </w:r>
      <w:bookmarkEnd w:id="15"/>
      <w:r w:rsidR="00330ABE" w:rsidRPr="00026706">
        <w:rPr>
          <w:rFonts w:ascii="Arial" w:hAnsi="Arial" w:cs="Arial"/>
          <w:b/>
          <w:bCs/>
        </w:rPr>
        <w:t xml:space="preserve"> </w:t>
      </w:r>
    </w:p>
    <w:tbl>
      <w:tblPr>
        <w:tblStyle w:val="PlainTable22"/>
        <w:tblW w:w="0" w:type="auto"/>
        <w:jc w:val="center"/>
        <w:tblLook w:val="04A0" w:firstRow="1" w:lastRow="0" w:firstColumn="1" w:lastColumn="0" w:noHBand="0" w:noVBand="1"/>
        <w:tblDescription w:val="Table displaying the student group abbreviations."/>
      </w:tblPr>
      <w:tblGrid>
        <w:gridCol w:w="2245"/>
        <w:gridCol w:w="5130"/>
      </w:tblGrid>
      <w:tr w:rsidR="00317D81" w:rsidRPr="008B224C" w14:paraId="27668300" w14:textId="77777777" w:rsidTr="00A90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19E15A5" w14:textId="5F8314C8" w:rsidR="00317D81" w:rsidRPr="008B224C" w:rsidRDefault="00317D81" w:rsidP="00D70ABA">
            <w:pPr>
              <w:textAlignment w:val="baseline"/>
              <w:rPr>
                <w:rFonts w:ascii="Arial" w:hAnsi="Arial" w:cs="Arial"/>
              </w:rPr>
            </w:pPr>
            <w:r w:rsidRPr="008B224C">
              <w:rPr>
                <w:rFonts w:ascii="Arial" w:hAnsi="Arial" w:cs="Arial"/>
              </w:rPr>
              <w:t>Student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Group</w:t>
            </w:r>
          </w:p>
          <w:p w14:paraId="38B13408" w14:textId="77777777" w:rsidR="00317D81" w:rsidRPr="008B224C" w:rsidRDefault="00317D81" w:rsidP="00D70ABA">
            <w:r w:rsidRPr="008B224C">
              <w:rPr>
                <w:rFonts w:ascii="Arial" w:hAnsi="Arial" w:cs="Arial"/>
              </w:rPr>
              <w:t>Abbreviation</w:t>
            </w:r>
          </w:p>
        </w:tc>
        <w:tc>
          <w:tcPr>
            <w:tcW w:w="5130" w:type="dxa"/>
          </w:tcPr>
          <w:p w14:paraId="0125EFA0" w14:textId="4857DF53" w:rsidR="00317D81" w:rsidRPr="008B224C" w:rsidRDefault="00317D81" w:rsidP="00D70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224C">
              <w:rPr>
                <w:rFonts w:ascii="Arial" w:hAnsi="Arial" w:cs="Arial"/>
              </w:rPr>
              <w:t>Student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Group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Name</w:t>
            </w:r>
          </w:p>
        </w:tc>
      </w:tr>
      <w:tr w:rsidR="00317D81" w:rsidRPr="008B224C" w14:paraId="51D7513F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BC617B" w14:textId="43B6A87A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ALL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2FF47FCB" w14:textId="71C62E38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All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Students</w:t>
            </w:r>
          </w:p>
        </w:tc>
      </w:tr>
      <w:tr w:rsidR="00317D81" w:rsidRPr="008B224C" w14:paraId="315F4F4E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C54AC73" w14:textId="11D426B3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AA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67688FBE" w14:textId="6BAF2AFC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Black/African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American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4C54BA77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07230AA" w14:textId="3747C8D4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AI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27C1AE9E" w14:textId="0D5557CB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American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Indian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or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Alaska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Native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62EBFE4A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982439D" w14:textId="43900321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AS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4568DCD0" w14:textId="2E00A85B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Asian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1C8C4D7D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28737D9" w14:textId="52B9F4A2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FI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687646F0" w14:textId="4603CF64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Filipino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397565DF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D858841" w14:textId="513197DE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HI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16C90945" w14:textId="77777777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Hispanic</w:t>
            </w:r>
          </w:p>
        </w:tc>
      </w:tr>
      <w:tr w:rsidR="00317D81" w:rsidRPr="008B224C" w14:paraId="0602BDBE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7D1F2A0" w14:textId="5ABBCB31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PI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7C55E36D" w14:textId="18F60C1D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Pacific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Islander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52D43EA1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235E04A" w14:textId="2F0EAA5D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WH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57EA4E8C" w14:textId="065CF199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White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38823F08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373844D" w14:textId="2E08F8E6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MR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71A74155" w14:textId="7697E32D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Multiple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Races/Two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or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More</w:t>
            </w:r>
          </w:p>
        </w:tc>
      </w:tr>
      <w:tr w:rsidR="00317D81" w:rsidRPr="008B224C" w14:paraId="385820BE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7B8F822" w14:textId="7963561C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EL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0E143594" w14:textId="6569A042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English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Learner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29CA12C2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7ECF8C9" w14:textId="5162805E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ELO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4910EFBD" w14:textId="463FE240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English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Learners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Only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5CD7BD36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83E61EF" w14:textId="397DE651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RFP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1C3FF647" w14:textId="62ABA0FF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Reclassified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fluent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English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proficient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only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2D79E371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B829C07" w14:textId="23677665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EO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3CA8A976" w14:textId="481905D3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English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Only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1F9C5C5C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8173C25" w14:textId="60FAABA4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SED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6E6B25F7" w14:textId="1367CFC4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Socioeconomically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Disadvantaged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7912E3A6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C8FF0FD" w14:textId="0D248B35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SWD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491D0342" w14:textId="494D7F4E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Students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with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Disabilities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2B17B3D5" w14:textId="77777777" w:rsidTr="00A9028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4B44DFD" w14:textId="1B213F86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FOS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7420D852" w14:textId="3562D9F2" w:rsidR="00317D81" w:rsidRPr="008B224C" w:rsidRDefault="00317D81" w:rsidP="00D70ABA">
            <w:pPr>
              <w:spacing w:before="20" w:after="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Foster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Youth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  <w:tr w:rsidR="00317D81" w:rsidRPr="008B224C" w14:paraId="76C21304" w14:textId="77777777" w:rsidTr="00A9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75AB78A" w14:textId="1054BC7B" w:rsidR="00317D81" w:rsidRPr="008B224C" w:rsidRDefault="00317D81" w:rsidP="00D70ABA">
            <w:pPr>
              <w:spacing w:before="20" w:after="20"/>
              <w:textAlignment w:val="baseline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HOM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</w:tcPr>
          <w:p w14:paraId="7E3FF5B5" w14:textId="59E99CA6" w:rsidR="00317D81" w:rsidRPr="008B224C" w:rsidRDefault="00317D81" w:rsidP="00D70ABA">
            <w:pPr>
              <w:spacing w:before="20" w:after="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B224C">
              <w:rPr>
                <w:rFonts w:ascii="Arial" w:hAnsi="Arial" w:cs="Arial"/>
              </w:rPr>
              <w:t>Homeless</w:t>
            </w:r>
            <w:r w:rsidR="00330ABE">
              <w:rPr>
                <w:rFonts w:ascii="Arial" w:hAnsi="Arial" w:cs="Arial"/>
              </w:rPr>
              <w:t xml:space="preserve"> </w:t>
            </w:r>
            <w:r w:rsidRPr="008B224C">
              <w:rPr>
                <w:rFonts w:ascii="Arial" w:hAnsi="Arial" w:cs="Arial"/>
              </w:rPr>
              <w:t>Youth</w:t>
            </w:r>
            <w:r w:rsidR="00330ABE">
              <w:rPr>
                <w:rFonts w:ascii="Arial" w:hAnsi="Arial" w:cs="Arial"/>
              </w:rPr>
              <w:t xml:space="preserve"> </w:t>
            </w:r>
          </w:p>
        </w:tc>
      </w:tr>
    </w:tbl>
    <w:bookmarkEnd w:id="14"/>
    <w:p w14:paraId="102ACDEE" w14:textId="02C52C0E" w:rsidR="00DF4666" w:rsidRPr="00DF4666" w:rsidRDefault="00DF4666" w:rsidP="00DF4666">
      <w:pPr>
        <w:spacing w:before="120"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input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organizational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appropriate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</w:p>
    <w:p w14:paraId="552AED90" w14:textId="5FD345F9" w:rsidR="00DF4666" w:rsidRPr="00AA5813" w:rsidRDefault="00DF4666" w:rsidP="00A86EF8">
      <w:pPr>
        <w:pStyle w:val="Heading3"/>
      </w:pPr>
      <w:bookmarkStart w:id="16" w:name="_Toc139891215"/>
      <w:r w:rsidRPr="00AA5813">
        <w:lastRenderedPageBreak/>
        <w:t>Results</w:t>
      </w:r>
      <w:r w:rsidR="00330ABE">
        <w:t xml:space="preserve"> </w:t>
      </w:r>
      <w:r w:rsidRPr="00AA5813">
        <w:t>at</w:t>
      </w:r>
      <w:r w:rsidR="00330ABE">
        <w:t xml:space="preserve"> </w:t>
      </w:r>
      <w:r w:rsidRPr="00AA5813">
        <w:t>the</w:t>
      </w:r>
      <w:r w:rsidR="00330ABE">
        <w:t xml:space="preserve"> </w:t>
      </w:r>
      <w:r w:rsidRPr="00AA5813">
        <w:t>School</w:t>
      </w:r>
      <w:r w:rsidR="00330ABE">
        <w:t xml:space="preserve"> </w:t>
      </w:r>
      <w:r w:rsidRPr="00AA5813">
        <w:t>Level</w:t>
      </w:r>
      <w:bookmarkEnd w:id="16"/>
    </w:p>
    <w:p w14:paraId="6AE89FCD" w14:textId="1BBFB9EC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section.</w:t>
      </w:r>
      <w:r w:rsidR="00330ABE">
        <w:rPr>
          <w:rFonts w:ascii="Arial" w:hAnsi="Arial" w:cs="Arial"/>
        </w:rPr>
        <w:t xml:space="preserve"> </w:t>
      </w:r>
    </w:p>
    <w:p w14:paraId="79476A4A" w14:textId="46181E40" w:rsidR="00DF4666" w:rsidRPr="00DF4666" w:rsidRDefault="00DF4666" w:rsidP="00914A77">
      <w:pPr>
        <w:pStyle w:val="Heading4"/>
      </w:pPr>
      <w:r w:rsidRPr="00DF4666">
        <w:t>5.A.</w:t>
      </w:r>
      <w:r w:rsidR="00330ABE">
        <w:t xml:space="preserve"> </w:t>
      </w:r>
      <w:r w:rsidRPr="00DF4666">
        <w:t>Accuracy</w:t>
      </w:r>
      <w:r w:rsidR="00330ABE">
        <w:t xml:space="preserve"> </w:t>
      </w:r>
      <w:r w:rsidRPr="00DF4666">
        <w:t>Results</w:t>
      </w:r>
    </w:p>
    <w:p w14:paraId="43C58B99" w14:textId="6D7D8EE5" w:rsidR="00DF4666" w:rsidRPr="00DF4666" w:rsidRDefault="00DF4666" w:rsidP="00D67878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motivation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0D555A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hyperlink w:anchor="Table2" w:tooltip="Table 2. Improvement in Accuracy of Growth Estimates Using Two-Year empirical best linear prediction Weighted Averages Versus Simple Averages at the School Level" w:history="1">
        <w:r w:rsidR="00D67878" w:rsidRPr="00D67878">
          <w:rPr>
            <w:rStyle w:val="Hyperlink"/>
            <w:rFonts w:ascii="Arial" w:hAnsi="Arial" w:cs="Arial"/>
          </w:rPr>
          <w:t>Ta</w:t>
        </w:r>
        <w:r w:rsidR="00D67878" w:rsidRPr="00D67878">
          <w:rPr>
            <w:rStyle w:val="Hyperlink"/>
            <w:rFonts w:ascii="Arial" w:hAnsi="Arial" w:cs="Arial"/>
          </w:rPr>
          <w:t>b</w:t>
        </w:r>
        <w:r w:rsidR="00D67878" w:rsidRPr="00D67878">
          <w:rPr>
            <w:rStyle w:val="Hyperlink"/>
            <w:rFonts w:ascii="Arial" w:hAnsi="Arial" w:cs="Arial"/>
          </w:rPr>
          <w:t>le</w:t>
        </w:r>
        <w:r w:rsidR="00330ABE">
          <w:rPr>
            <w:rStyle w:val="Hyperlink"/>
            <w:rFonts w:ascii="Arial" w:hAnsi="Arial" w:cs="Arial"/>
            <w:b/>
          </w:rPr>
          <w:t xml:space="preserve"> </w:t>
        </w:r>
        <w:r w:rsidR="00D67878" w:rsidRPr="000D555A">
          <w:rPr>
            <w:rStyle w:val="Hyperlink"/>
            <w:rFonts w:ascii="Arial" w:hAnsi="Arial" w:cs="Arial"/>
          </w:rPr>
          <w:t>2</w:t>
        </w:r>
      </w:hyperlink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groups:</w:t>
      </w:r>
      <w:r w:rsidR="00330ABE">
        <w:rPr>
          <w:rFonts w:ascii="Arial" w:hAnsi="Arial" w:cs="Arial"/>
        </w:rPr>
        <w:t xml:space="preserve"> </w:t>
      </w:r>
    </w:p>
    <w:p w14:paraId="0C894A05" w14:textId="01732B28" w:rsidR="00DF4666" w:rsidRPr="00AA5813" w:rsidRDefault="00DF4666" w:rsidP="00902D74">
      <w:pPr>
        <w:pStyle w:val="ListParagraph"/>
        <w:numPr>
          <w:ilvl w:val="0"/>
          <w:numId w:val="46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AA5813">
        <w:rPr>
          <w:rFonts w:cs="Arial"/>
          <w:szCs w:val="22"/>
          <w:lang w:eastAsia="zh-CN"/>
        </w:rPr>
        <w:t>An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ratio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greater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AA5813">
        <w:rPr>
          <w:rFonts w:cs="Arial"/>
          <w:szCs w:val="22"/>
          <w:lang w:eastAsia="zh-CN"/>
        </w:rPr>
        <w:t>1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indicates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estimated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average.</w:t>
      </w:r>
      <w:r w:rsidR="00330ABE">
        <w:rPr>
          <w:rFonts w:cs="Arial"/>
          <w:szCs w:val="22"/>
          <w:lang w:eastAsia="zh-CN"/>
        </w:rPr>
        <w:t xml:space="preserve"> </w:t>
      </w:r>
    </w:p>
    <w:p w14:paraId="09E968B4" w14:textId="5A8FE56F" w:rsidR="00DF4666" w:rsidRPr="00AA5813" w:rsidRDefault="00DF4666" w:rsidP="00902D74">
      <w:pPr>
        <w:pStyle w:val="ListParagraph"/>
        <w:numPr>
          <w:ilvl w:val="0"/>
          <w:numId w:val="46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AA5813">
        <w:rPr>
          <w:rFonts w:cs="Arial"/>
          <w:szCs w:val="22"/>
          <w:lang w:eastAsia="zh-CN"/>
        </w:rPr>
        <w:t>An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ratio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less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1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indicates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AA5813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estimated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less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average.</w:t>
      </w:r>
    </w:p>
    <w:p w14:paraId="5A626E6C" w14:textId="2FE7F2C0" w:rsidR="00DF4666" w:rsidRPr="00AA5813" w:rsidRDefault="00DF4666" w:rsidP="00902D74">
      <w:pPr>
        <w:pStyle w:val="ListParagraph"/>
        <w:numPr>
          <w:ilvl w:val="0"/>
          <w:numId w:val="46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AA5813">
        <w:rPr>
          <w:rFonts w:cs="Arial"/>
          <w:szCs w:val="22"/>
          <w:lang w:eastAsia="zh-CN"/>
        </w:rPr>
        <w:t>An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ratio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equal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1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indicates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and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AA5813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estimated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equally</w:t>
      </w:r>
      <w:r w:rsidR="00330ABE">
        <w:rPr>
          <w:rFonts w:cs="Arial"/>
          <w:szCs w:val="22"/>
          <w:lang w:eastAsia="zh-CN"/>
        </w:rPr>
        <w:t xml:space="preserve"> </w:t>
      </w:r>
      <w:r w:rsidRPr="00AA5813">
        <w:rPr>
          <w:rFonts w:cs="Arial"/>
          <w:szCs w:val="22"/>
          <w:lang w:eastAsia="zh-CN"/>
        </w:rPr>
        <w:t>accurate.</w:t>
      </w:r>
      <w:r w:rsidR="00330ABE">
        <w:rPr>
          <w:rFonts w:cs="Arial"/>
          <w:szCs w:val="22"/>
          <w:lang w:eastAsia="zh-CN"/>
        </w:rPr>
        <w:t xml:space="preserve"> </w:t>
      </w:r>
    </w:p>
    <w:p w14:paraId="0D330572" w14:textId="30BA77E7" w:rsidR="00DF4666" w:rsidRPr="00DF4666" w:rsidRDefault="00DF4666" w:rsidP="00DF4666">
      <w:pPr>
        <w:keepLines/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words,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approximately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  <w:r w:rsidR="00330ABE">
        <w:rPr>
          <w:rFonts w:ascii="Arial" w:hAnsi="Arial" w:cs="Arial"/>
        </w:rPr>
        <w:t xml:space="preserve"> </w:t>
      </w:r>
    </w:p>
    <w:p w14:paraId="7964A294" w14:textId="3CED4C4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17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</w:p>
    <w:p w14:paraId="24BE0280" w14:textId="45CD778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summarized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broken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intervals:</w:t>
      </w:r>
    </w:p>
    <w:p w14:paraId="2872B05C" w14:textId="397B08C2" w:rsidR="00DF4666" w:rsidRPr="00691755" w:rsidRDefault="00DF4666" w:rsidP="00902D74">
      <w:pPr>
        <w:pStyle w:val="ListParagraph"/>
        <w:numPr>
          <w:ilvl w:val="0"/>
          <w:numId w:val="47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Schools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11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29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(the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range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which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accountability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statistics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reported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but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no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color-coded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classification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provided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California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School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color w:val="000000"/>
          <w:szCs w:val="22"/>
          <w:lang w:eastAsia="zh-CN"/>
        </w:rPr>
        <w:t>Dashboard</w:t>
      </w:r>
      <w:r w:rsidRPr="00691755">
        <w:rPr>
          <w:rFonts w:cs="Arial"/>
          <w:szCs w:val="22"/>
          <w:lang w:eastAsia="zh-CN"/>
        </w:rPr>
        <w:t>)</w:t>
      </w:r>
    </w:p>
    <w:p w14:paraId="52E47451" w14:textId="00B90D48" w:rsidR="00DF4666" w:rsidRPr="00691755" w:rsidRDefault="00DF4666" w:rsidP="00902D74">
      <w:pPr>
        <w:pStyle w:val="ListParagraph"/>
        <w:numPr>
          <w:ilvl w:val="0"/>
          <w:numId w:val="47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Schools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30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149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</w:p>
    <w:p w14:paraId="214F186D" w14:textId="08C7656C" w:rsidR="00DF4666" w:rsidRPr="00691755" w:rsidRDefault="00DF4666" w:rsidP="00902D74">
      <w:pPr>
        <w:pStyle w:val="ListParagraph"/>
        <w:numPr>
          <w:ilvl w:val="0"/>
          <w:numId w:val="47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Schools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150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</w:p>
    <w:p w14:paraId="7268CEA2" w14:textId="37C5BF6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designated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11–29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Calibri" w:hAnsi="Calibri" w:cs="Calibri"/>
        </w:rPr>
        <w:t>≥</w:t>
      </w:r>
      <w:r w:rsidRPr="00DF4666">
        <w:rPr>
          <w:rFonts w:ascii="Arial" w:hAnsi="Arial" w:cs="Arial"/>
        </w:rPr>
        <w:t>30).</w:t>
      </w:r>
    </w:p>
    <w:p w14:paraId="39CC102B" w14:textId="5D2343B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Please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accountability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Therefore,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4B880618" w14:textId="77777777" w:rsidR="00AA5813" w:rsidRDefault="00AA5813">
      <w:pPr>
        <w:rPr>
          <w:rFonts w:ascii="Arial" w:hAnsi="Arial" w:cs="Arial"/>
          <w:b/>
          <w:bCs/>
          <w:color w:val="034D8E"/>
        </w:rPr>
      </w:pPr>
      <w:bookmarkStart w:id="17" w:name="_Ref61531544"/>
      <w:r>
        <w:rPr>
          <w:rFonts w:ascii="Arial" w:hAnsi="Arial" w:cs="Arial"/>
          <w:b/>
          <w:bCs/>
          <w:color w:val="034D8E"/>
        </w:rPr>
        <w:br w:type="page"/>
      </w:r>
    </w:p>
    <w:p w14:paraId="64950A13" w14:textId="34B10CBE" w:rsidR="00DF4666" w:rsidRPr="00026706" w:rsidRDefault="00DF4666" w:rsidP="00DF4666">
      <w:pPr>
        <w:spacing w:before="120" w:after="60"/>
        <w:textAlignment w:val="baseline"/>
        <w:rPr>
          <w:rFonts w:ascii="Arial" w:hAnsi="Arial" w:cs="Arial"/>
          <w:b/>
          <w:bCs/>
        </w:rPr>
      </w:pPr>
      <w:bookmarkStart w:id="18" w:name="Table2"/>
      <w:bookmarkStart w:id="19" w:name="_Toc139890513"/>
      <w:r w:rsidRPr="00026706">
        <w:rPr>
          <w:rFonts w:ascii="Arial" w:hAnsi="Arial" w:cs="Arial"/>
          <w:b/>
          <w:bCs/>
        </w:rPr>
        <w:lastRenderedPageBreak/>
        <w:t>Table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fldChar w:fldCharType="begin"/>
      </w:r>
      <w:r w:rsidRPr="00026706">
        <w:rPr>
          <w:rFonts w:ascii="Arial" w:hAnsi="Arial" w:cs="Arial"/>
          <w:b/>
          <w:bCs/>
        </w:rPr>
        <w:instrText>SEQ Table \* ARABIC</w:instrText>
      </w:r>
      <w:r w:rsidRPr="00026706">
        <w:rPr>
          <w:rFonts w:ascii="Arial" w:hAnsi="Arial" w:cs="Arial"/>
          <w:b/>
          <w:bCs/>
        </w:rPr>
        <w:fldChar w:fldCharType="separate"/>
      </w:r>
      <w:r w:rsidR="00BC1E6E" w:rsidRPr="00026706">
        <w:rPr>
          <w:rFonts w:ascii="Arial" w:hAnsi="Arial" w:cs="Arial"/>
          <w:b/>
          <w:bCs/>
          <w:noProof/>
        </w:rPr>
        <w:t>2</w:t>
      </w:r>
      <w:r w:rsidRPr="00026706">
        <w:rPr>
          <w:rFonts w:ascii="Arial" w:hAnsi="Arial" w:cs="Arial"/>
          <w:b/>
          <w:bCs/>
        </w:rPr>
        <w:fldChar w:fldCharType="end"/>
      </w:r>
      <w:bookmarkEnd w:id="17"/>
      <w:r w:rsidRPr="00026706">
        <w:rPr>
          <w:rFonts w:ascii="Arial" w:hAnsi="Arial" w:cs="Arial"/>
          <w:b/>
          <w:bCs/>
        </w:rPr>
        <w:t>.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Improvement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in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Accuracy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of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Growth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Estimates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Using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Two-Year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EBLP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Weighted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Averages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Versus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Simple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Averages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at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the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School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Level</w:t>
      </w:r>
      <w:bookmarkEnd w:id="19"/>
    </w:p>
    <w:tbl>
      <w:tblPr>
        <w:tblStyle w:val="TRtable"/>
        <w:tblW w:w="9396" w:type="dxa"/>
        <w:tblLayout w:type="fixed"/>
        <w:tblLook w:val="04A0" w:firstRow="1" w:lastRow="0" w:firstColumn="1" w:lastColumn="0" w:noHBand="0" w:noVBand="1"/>
        <w:tblDescription w:val="Table 2. Improvement in Accuracy of Growth Estimates Using Two-Year Empirical Best Linear Prediction Weighted Averages Versus Simple Averages at the School Level."/>
      </w:tblPr>
      <w:tblGrid>
        <w:gridCol w:w="1620"/>
        <w:gridCol w:w="1584"/>
        <w:gridCol w:w="1152"/>
        <w:gridCol w:w="1152"/>
        <w:gridCol w:w="1728"/>
        <w:gridCol w:w="2160"/>
      </w:tblGrid>
      <w:tr w:rsidR="00DF4666" w:rsidRPr="00DF4666" w14:paraId="26B96BC4" w14:textId="77777777" w:rsidTr="00967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  <w:vAlign w:val="bottom"/>
          </w:tcPr>
          <w:bookmarkEnd w:id="18"/>
          <w:p w14:paraId="44B06D8B" w14:textId="20CB8D88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84" w:type="dxa"/>
            <w:vAlign w:val="bottom"/>
          </w:tcPr>
          <w:p w14:paraId="3F6743E4" w14:textId="77777777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152" w:type="dxa"/>
            <w:vAlign w:val="bottom"/>
          </w:tcPr>
          <w:p w14:paraId="77A445DC" w14:textId="7B7C2A3A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School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Size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14:paraId="7419066D" w14:textId="414BEF00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Schools</w:t>
            </w:r>
          </w:p>
        </w:tc>
        <w:tc>
          <w:tcPr>
            <w:tcW w:w="1728" w:type="dxa"/>
            <w:vAlign w:val="bottom"/>
          </w:tcPr>
          <w:p w14:paraId="7F186706" w14:textId="7A9F3EEA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Mean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Ratio</w:t>
            </w:r>
          </w:p>
        </w:tc>
        <w:tc>
          <w:tcPr>
            <w:tcW w:w="2160" w:type="dxa"/>
            <w:vAlign w:val="bottom"/>
          </w:tcPr>
          <w:p w14:paraId="663552E1" w14:textId="59EEF5D1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Percentage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Schools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with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Improved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Accuracy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2</w:t>
            </w:r>
          </w:p>
        </w:tc>
      </w:tr>
      <w:tr w:rsidR="00DF4666" w:rsidRPr="00DF4666" w14:paraId="0DA143F1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3267F28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8CF107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AB7514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5B6563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3F16E0D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BB5B0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303FAEE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7EB820D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bottom w:val="nil"/>
            </w:tcBorders>
          </w:tcPr>
          <w:p w14:paraId="78D072A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6FCA700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4438281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2,172</w:t>
            </w:r>
          </w:p>
        </w:tc>
        <w:tc>
          <w:tcPr>
            <w:tcW w:w="1728" w:type="dxa"/>
            <w:tcBorders>
              <w:bottom w:val="nil"/>
            </w:tcBorders>
          </w:tcPr>
          <w:p w14:paraId="3966BDB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2160" w:type="dxa"/>
            <w:tcBorders>
              <w:bottom w:val="nil"/>
            </w:tcBorders>
          </w:tcPr>
          <w:p w14:paraId="3588FAA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364028B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ABE73C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76B46D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988B75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CEF32C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5,019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F7C5E9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1451C8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13D3DFF" w14:textId="77777777" w:rsidTr="0096742B">
        <w:trPr>
          <w:cantSplit/>
          <w:trHeight w:val="46"/>
        </w:trPr>
        <w:tc>
          <w:tcPr>
            <w:tcW w:w="1620" w:type="dxa"/>
            <w:tcBorders>
              <w:top w:val="single" w:sz="4" w:space="0" w:color="auto"/>
            </w:tcBorders>
          </w:tcPr>
          <w:p w14:paraId="4EC25B5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1138334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414675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CC423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70148C1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F4E7DC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1FDA89C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05804AA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bottom w:val="nil"/>
            </w:tcBorders>
          </w:tcPr>
          <w:p w14:paraId="25BC116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3AF378A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2967696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2,176</w:t>
            </w:r>
          </w:p>
        </w:tc>
        <w:tc>
          <w:tcPr>
            <w:tcW w:w="1728" w:type="dxa"/>
            <w:tcBorders>
              <w:bottom w:val="nil"/>
            </w:tcBorders>
          </w:tcPr>
          <w:p w14:paraId="7F43F8C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2160" w:type="dxa"/>
            <w:tcBorders>
              <w:bottom w:val="nil"/>
            </w:tcBorders>
          </w:tcPr>
          <w:p w14:paraId="6DAC9C8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084A304" w14:textId="77777777" w:rsidTr="0096742B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4B3A19C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EFAB39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2C978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61571D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5,016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FBDA7E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9DF8F2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13C35E5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B6E98F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1CEFCEC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6DD140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A55C83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1,421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27EF2CB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1D9251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6F08D30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DEC415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B92CA4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967817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2DF044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0B310C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09749A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F4666" w14:paraId="1295D247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565534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7B380F9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0BB4DC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CA2B19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1,417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884BF5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1.72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7ACFDE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1D155D3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18B0A03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AFF678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334529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950E71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3FBEF3D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B9E453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F4666" w14:paraId="5FF9048A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76D63E2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141AD7A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64CFDCC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1555F0E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1D0868C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6A8420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F4666" w14:paraId="79A9AE4C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6F301CB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23CA789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2981FA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7A7A77F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4758422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1.84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1FED9CE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</w:tr>
      <w:tr w:rsidR="00DF4666" w:rsidRPr="00DF4666" w14:paraId="75086502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547242AA" w14:textId="77777777" w:rsidR="00DF4666" w:rsidRPr="00DF4666" w:rsidRDefault="00DF4666" w:rsidP="00DF4666">
            <w:pPr>
              <w:keepNext/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3E744A3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E505E1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C35D1E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77C32E7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1.61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5DA5C0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5F0C6DD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5E17E4F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bottom w:val="nil"/>
            </w:tcBorders>
          </w:tcPr>
          <w:p w14:paraId="55B8305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1623A4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079A18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1,219</w:t>
            </w:r>
          </w:p>
        </w:tc>
        <w:tc>
          <w:tcPr>
            <w:tcW w:w="1728" w:type="dxa"/>
            <w:tcBorders>
              <w:bottom w:val="nil"/>
            </w:tcBorders>
          </w:tcPr>
          <w:p w14:paraId="0535DA8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bottom w:val="nil"/>
            </w:tcBorders>
          </w:tcPr>
          <w:p w14:paraId="7E0D793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4CCA0E0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10A04F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86E760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0B246F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258CD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3DAAAD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6D92E2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DF4666" w:rsidRPr="00DF4666" w14:paraId="4149E414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4944A43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95DA37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8549D8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12C8F6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1,296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58614D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3DA85C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985B4A3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4ABF982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bottom w:val="nil"/>
            </w:tcBorders>
          </w:tcPr>
          <w:p w14:paraId="333BDAB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1A4194B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60F1FC5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1,220</w:t>
            </w:r>
          </w:p>
        </w:tc>
        <w:tc>
          <w:tcPr>
            <w:tcW w:w="1728" w:type="dxa"/>
            <w:tcBorders>
              <w:bottom w:val="nil"/>
            </w:tcBorders>
          </w:tcPr>
          <w:p w14:paraId="3E6AEF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2160" w:type="dxa"/>
            <w:tcBorders>
              <w:bottom w:val="nil"/>
            </w:tcBorders>
          </w:tcPr>
          <w:p w14:paraId="276FDD3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0B94BBF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96F932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786D130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B7F3DB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B70925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18AAF82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1FF0D9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F4666" w14:paraId="6B74F989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F9BBBD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5481548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094DF2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A422E7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07FD6DC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068B1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38DDED0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195E5C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E9B964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1E1A72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8D60B0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367234E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663890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BE64A37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4A9ADA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C779C3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3B0947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83C72C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20BCBB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993887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D9ADC1E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CBA00C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6BD12E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E8C349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3CA4F8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135AFE7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4E0C2B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EFF2CCE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18FB4B7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7B8B8CB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3A1486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D646D9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20CE0F1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1.61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C25537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4EB1055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7E66C65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bottom w:val="nil"/>
            </w:tcBorders>
          </w:tcPr>
          <w:p w14:paraId="47D4840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3ED8C00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1C4C9A9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3,478</w:t>
            </w:r>
          </w:p>
        </w:tc>
        <w:tc>
          <w:tcPr>
            <w:tcW w:w="1728" w:type="dxa"/>
            <w:tcBorders>
              <w:bottom w:val="nil"/>
            </w:tcBorders>
          </w:tcPr>
          <w:p w14:paraId="41D2C9C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160" w:type="dxa"/>
            <w:tcBorders>
              <w:bottom w:val="nil"/>
            </w:tcBorders>
          </w:tcPr>
          <w:p w14:paraId="4E94937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97D65CA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8DE524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406B5D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07A1F3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80B75D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2,645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AB4872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AB2D40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A5D29CC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4AB6CE4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2142FB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B785D7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3A6AF7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7CA55C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EDFCA3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16C3DE8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0319492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bottom w:val="nil"/>
            </w:tcBorders>
          </w:tcPr>
          <w:p w14:paraId="7C18596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4D2A7E0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2322A4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3,478</w:t>
            </w:r>
          </w:p>
        </w:tc>
        <w:tc>
          <w:tcPr>
            <w:tcW w:w="1728" w:type="dxa"/>
            <w:tcBorders>
              <w:bottom w:val="nil"/>
            </w:tcBorders>
          </w:tcPr>
          <w:p w14:paraId="098C240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2160" w:type="dxa"/>
            <w:tcBorders>
              <w:bottom w:val="nil"/>
            </w:tcBorders>
          </w:tcPr>
          <w:p w14:paraId="604E284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385EAF2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08FA86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23C36F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B15300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6E0E41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2,644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C9A6AB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AFCE91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92035B9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3393217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2E781DD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511C7B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4CC9D70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764B3BC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3F40198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D2D14CB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03B9C05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0814A40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1AE61D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08F55A8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479DFE7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1.90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133757B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23AE52D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55839F9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358F2B2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5076ED8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7D82372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1,395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078A52A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1.55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091537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10B9F42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6876C1F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bottom w:val="nil"/>
            </w:tcBorders>
          </w:tcPr>
          <w:p w14:paraId="2EFD148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3E093E0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039E961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2,778</w:t>
            </w:r>
          </w:p>
        </w:tc>
        <w:tc>
          <w:tcPr>
            <w:tcW w:w="1728" w:type="dxa"/>
            <w:tcBorders>
              <w:bottom w:val="nil"/>
            </w:tcBorders>
          </w:tcPr>
          <w:p w14:paraId="75F01B7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160" w:type="dxa"/>
            <w:tcBorders>
              <w:bottom w:val="nil"/>
            </w:tcBorders>
          </w:tcPr>
          <w:p w14:paraId="175A5F6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A6A2BBD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5E9657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lastRenderedPageBreak/>
              <w:t>WH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5E672C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4CF0F5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68C79E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262CC7E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EFE3CA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87140DF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761CAD4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531534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055228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D19D34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1,398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2CA526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6C7576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C5229C6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4BD269C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bottom w:val="nil"/>
            </w:tcBorders>
          </w:tcPr>
          <w:p w14:paraId="6231BF8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298E7B8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5A250A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2,776</w:t>
            </w:r>
          </w:p>
        </w:tc>
        <w:tc>
          <w:tcPr>
            <w:tcW w:w="1728" w:type="dxa"/>
            <w:tcBorders>
              <w:bottom w:val="nil"/>
            </w:tcBorders>
          </w:tcPr>
          <w:p w14:paraId="5A16C67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160" w:type="dxa"/>
            <w:tcBorders>
              <w:bottom w:val="nil"/>
            </w:tcBorders>
          </w:tcPr>
          <w:p w14:paraId="36C8B19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6B9018E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719800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7852348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4B54B8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A1E331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339B893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0EB1CB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FF9B12A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027D684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015138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39BD9D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D0036B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1,600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3C3FD3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77ABAC3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3D9CA12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90E585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65F273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B714D4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4ADF81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112F11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EB86A7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6EF16DD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52A092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38AD02B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04EFF0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19983E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1,598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096549A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DC62E6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B9A4299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1D4CCFE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6D0FD4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A9077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34F42D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2C310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062065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EA3DBE8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60CBD960" w14:textId="77777777" w:rsidR="00DF4666" w:rsidRPr="00DF4666" w:rsidRDefault="00DF4666" w:rsidP="00DF4666">
            <w:pPr>
              <w:keepNext/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075F22F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67CC8D6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2D59B36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1,194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65449AC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1.63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3F3E4F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5C271EF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3F3816A4" w14:textId="77777777" w:rsidR="00DF4666" w:rsidRPr="00DF4666" w:rsidRDefault="00DF4666" w:rsidP="00DF4666">
            <w:pPr>
              <w:keepNext/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bottom w:val="nil"/>
            </w:tcBorders>
          </w:tcPr>
          <w:p w14:paraId="65C976B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7CDCC60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3CA558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3,937</w:t>
            </w:r>
          </w:p>
        </w:tc>
        <w:tc>
          <w:tcPr>
            <w:tcW w:w="1728" w:type="dxa"/>
            <w:tcBorders>
              <w:bottom w:val="nil"/>
            </w:tcBorders>
          </w:tcPr>
          <w:p w14:paraId="2E3C3B4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2160" w:type="dxa"/>
            <w:tcBorders>
              <w:bottom w:val="nil"/>
            </w:tcBorders>
          </w:tcPr>
          <w:p w14:paraId="57BC16C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A692B70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F99CD04" w14:textId="77777777" w:rsidR="00DF4666" w:rsidRPr="00DF4666" w:rsidRDefault="00DF4666" w:rsidP="00DF4666">
            <w:pPr>
              <w:keepNext/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A5B019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058264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0C0CB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1,357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1F51B46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C830BD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2503FF0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5FB451B6" w14:textId="77777777" w:rsidR="00DF4666" w:rsidRPr="00DF4666" w:rsidRDefault="00DF4666" w:rsidP="00DF4666">
            <w:pPr>
              <w:keepNext/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3AF8DC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0DF034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68CA70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1,189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7CF0D69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E6636C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4DF6877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0BB1DD9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bottom w:val="nil"/>
            </w:tcBorders>
          </w:tcPr>
          <w:p w14:paraId="418F9A9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3D2A626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1E0EEC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3,940</w:t>
            </w:r>
          </w:p>
        </w:tc>
        <w:tc>
          <w:tcPr>
            <w:tcW w:w="1728" w:type="dxa"/>
            <w:tcBorders>
              <w:bottom w:val="nil"/>
            </w:tcBorders>
          </w:tcPr>
          <w:p w14:paraId="3D82A39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2160" w:type="dxa"/>
            <w:tcBorders>
              <w:bottom w:val="nil"/>
            </w:tcBorders>
          </w:tcPr>
          <w:p w14:paraId="57CB7F4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316BA7C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9B77F9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FA7707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5927B8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F9A561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1,355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5EE4AA7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56C341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C846150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9FCEB0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36D07BE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72E0E0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CDD1CD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1,867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09A7B54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1E22A7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F839D1F" w14:textId="77777777" w:rsidTr="0096742B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5D960F7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60DCD53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2ECC8F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0E7979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3,322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FAF0A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93CE0A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B4B7B06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72F6D0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1776DC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DBC48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B401AE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5552DB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FC7B3D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6595E95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49BB844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9CF3FD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ED0C19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9A0B22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1,869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74E031C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7E2796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4755F38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4D8E4A0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bottom w:val="nil"/>
            </w:tcBorders>
          </w:tcPr>
          <w:p w14:paraId="66B9D3F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02058F2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2A50F47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3,321</w:t>
            </w:r>
          </w:p>
        </w:tc>
        <w:tc>
          <w:tcPr>
            <w:tcW w:w="1728" w:type="dxa"/>
            <w:tcBorders>
              <w:bottom w:val="nil"/>
            </w:tcBorders>
          </w:tcPr>
          <w:p w14:paraId="7EBFC01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2160" w:type="dxa"/>
            <w:tcBorders>
              <w:bottom w:val="nil"/>
            </w:tcBorders>
          </w:tcPr>
          <w:p w14:paraId="1D39260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1C95033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15D2BE6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0DF9E8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DD19FD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DED220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6D3ECE6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D81A5F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5446DA7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731668F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3DC61E5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7487534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693FE2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2,024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7688F85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FAC6F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ABA9897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7D2F6F9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bottom w:val="nil"/>
            </w:tcBorders>
          </w:tcPr>
          <w:p w14:paraId="1FD9D2F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027F548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69DA901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3,260</w:t>
            </w:r>
          </w:p>
        </w:tc>
        <w:tc>
          <w:tcPr>
            <w:tcW w:w="1728" w:type="dxa"/>
            <w:tcBorders>
              <w:bottom w:val="nil"/>
            </w:tcBorders>
          </w:tcPr>
          <w:p w14:paraId="00D796E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  <w:tc>
          <w:tcPr>
            <w:tcW w:w="2160" w:type="dxa"/>
            <w:tcBorders>
              <w:bottom w:val="nil"/>
            </w:tcBorders>
          </w:tcPr>
          <w:p w14:paraId="69C5221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D921ABF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37CA6E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01CDCA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E4953D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E23791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1EA24F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E9963B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9195F7C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6918F9F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E3B284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E848BE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DF6DBD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2,024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025C2A7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4D6A23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CFD0A3B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3D710A8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bottom w:val="nil"/>
            </w:tcBorders>
          </w:tcPr>
          <w:p w14:paraId="34AE189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15F2252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05875FB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3,262</w:t>
            </w:r>
          </w:p>
        </w:tc>
        <w:tc>
          <w:tcPr>
            <w:tcW w:w="1728" w:type="dxa"/>
            <w:tcBorders>
              <w:bottom w:val="nil"/>
            </w:tcBorders>
          </w:tcPr>
          <w:p w14:paraId="3570E6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bottom w:val="nil"/>
            </w:tcBorders>
          </w:tcPr>
          <w:p w14:paraId="474494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9B4ACE6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27E4DB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278BFA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D5E00E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A5673F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31ABABD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1EC1A2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9191CFD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2359E61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4ADE02C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21CC1F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6449F3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040A912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46E5E0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9452601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379DA7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bottom w:val="nil"/>
            </w:tcBorders>
          </w:tcPr>
          <w:p w14:paraId="44BF0F2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70B511A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6D73F0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4,182</w:t>
            </w:r>
          </w:p>
        </w:tc>
        <w:tc>
          <w:tcPr>
            <w:tcW w:w="1728" w:type="dxa"/>
            <w:tcBorders>
              <w:bottom w:val="nil"/>
            </w:tcBorders>
          </w:tcPr>
          <w:p w14:paraId="13E85D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2160" w:type="dxa"/>
            <w:tcBorders>
              <w:bottom w:val="nil"/>
            </w:tcBorders>
          </w:tcPr>
          <w:p w14:paraId="545DB0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18F8473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CCFABE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601EDC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30C65C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DA965B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2,535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6B1442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990581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185E831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29D92EC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0BE4840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8A8C99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E49AA2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4B1151E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2805D3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C9C3DA6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4929838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bottom w:val="nil"/>
            </w:tcBorders>
          </w:tcPr>
          <w:p w14:paraId="58A7C92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37DDBC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508A169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4,190</w:t>
            </w:r>
          </w:p>
        </w:tc>
        <w:tc>
          <w:tcPr>
            <w:tcW w:w="1728" w:type="dxa"/>
            <w:tcBorders>
              <w:bottom w:val="nil"/>
            </w:tcBorders>
          </w:tcPr>
          <w:p w14:paraId="5C90A64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160" w:type="dxa"/>
            <w:tcBorders>
              <w:bottom w:val="nil"/>
            </w:tcBorders>
          </w:tcPr>
          <w:p w14:paraId="3448817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838C7CA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0F5EDB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5AD21E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DF9889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8F99FC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2,526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B73ABF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F99540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E9A5A4F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25555BE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56B3D71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C4F078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EDFFFF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426C46C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EE33CA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19AE295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028776C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bottom w:val="nil"/>
            </w:tcBorders>
          </w:tcPr>
          <w:p w14:paraId="21E436F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4B1D5B9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404F0FF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3,455</w:t>
            </w:r>
          </w:p>
        </w:tc>
        <w:tc>
          <w:tcPr>
            <w:tcW w:w="1728" w:type="dxa"/>
            <w:tcBorders>
              <w:bottom w:val="nil"/>
            </w:tcBorders>
          </w:tcPr>
          <w:p w14:paraId="3423357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2160" w:type="dxa"/>
            <w:tcBorders>
              <w:bottom w:val="nil"/>
            </w:tcBorders>
          </w:tcPr>
          <w:p w14:paraId="45C7EB4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7B6BFDD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DF3406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lastRenderedPageBreak/>
              <w:t>SED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7FA73D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E3A5F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073BEF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3,085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371DFE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2A7500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82F3BF3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68EB638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955B4D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806850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2B165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4905FB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58A5D7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AA39A2D" w14:textId="77777777" w:rsidTr="0096742B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371B9DD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bottom w:val="nil"/>
            </w:tcBorders>
          </w:tcPr>
          <w:p w14:paraId="3982FC4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7115DC7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6EB8319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3,460</w:t>
            </w:r>
          </w:p>
        </w:tc>
        <w:tc>
          <w:tcPr>
            <w:tcW w:w="1728" w:type="dxa"/>
            <w:tcBorders>
              <w:bottom w:val="nil"/>
            </w:tcBorders>
          </w:tcPr>
          <w:p w14:paraId="2B53AF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160" w:type="dxa"/>
            <w:tcBorders>
              <w:bottom w:val="nil"/>
            </w:tcBorders>
          </w:tcPr>
          <w:p w14:paraId="447C966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82D78A3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15EB49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9431BF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E957A9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78E0B1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3,078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F4B54D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80238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501914C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379A8F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7D538B2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90D5FD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121548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3,436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56B5829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C5F746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F3C49B4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82FF07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228051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4589F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6E8B81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3,041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8EA491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F035E1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5386911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6E4599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714D5EC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039D43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58FB07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3,440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47218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81E15D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30ED1" w:rsidRPr="00DF4666" w14:paraId="20EC64BA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617A418" w14:textId="77777777" w:rsidR="00730ED1" w:rsidRPr="00DF4666" w:rsidRDefault="00730ED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33FF1AB7" w14:textId="77777777" w:rsidR="00730ED1" w:rsidRPr="00DF4666" w:rsidRDefault="00730ED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CB0AAD5" w14:textId="77777777" w:rsidR="00730ED1" w:rsidRPr="00DF4666" w:rsidRDefault="00730ED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0968ABE" w14:textId="77777777" w:rsidR="00730ED1" w:rsidRPr="00DF4666" w:rsidRDefault="00730ED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3,034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A555AF0" w14:textId="77777777" w:rsidR="00730ED1" w:rsidRPr="00DF4666" w:rsidRDefault="00730ED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78E80B5" w14:textId="77777777" w:rsidR="00730ED1" w:rsidRPr="00DF4666" w:rsidRDefault="00730ED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6892CE4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6C0D71F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5ADA9AE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0F74646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7F3CCC3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5A740D8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3139193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67B988A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078C25D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269431B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1E445BC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3F81A56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6BB33E8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5672A04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A8F2AEC" w14:textId="77777777" w:rsidTr="0096742B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4E97AA5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B6DCA8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DFE91F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A32F8D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1,093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3082165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9A0029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0D67FE9" w14:textId="77777777" w:rsidTr="0096742B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16E8D0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9262C7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88413D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DFAE83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7DAA70A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EB069C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2B89A8E" w14:textId="77777777" w:rsidTr="0096742B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5FF5E33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71A791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DA4457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209C57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1,095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3BE93AE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D856D2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C986552" w14:textId="77777777" w:rsidTr="0096742B">
        <w:trPr>
          <w:cantSplit/>
        </w:trPr>
        <w:tc>
          <w:tcPr>
            <w:tcW w:w="1620" w:type="dxa"/>
          </w:tcPr>
          <w:p w14:paraId="7F0DEDF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</w:tcPr>
          <w:p w14:paraId="546ECEE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</w:tcPr>
          <w:p w14:paraId="3A058C3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</w:tcPr>
          <w:p w14:paraId="01E0778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728" w:type="dxa"/>
          </w:tcPr>
          <w:p w14:paraId="1B55C78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160" w:type="dxa"/>
          </w:tcPr>
          <w:p w14:paraId="44D3CE2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4D73A247" w14:textId="7B4BA90C" w:rsidR="00DF4666" w:rsidRPr="00DF4666" w:rsidRDefault="00DF4666" w:rsidP="00902D74">
      <w:pPr>
        <w:numPr>
          <w:ilvl w:val="0"/>
          <w:numId w:val="40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</w:p>
    <w:p w14:paraId="68254D11" w14:textId="6798CF8A" w:rsidR="00DF4666" w:rsidRPr="00DF4666" w:rsidRDefault="00DF4666" w:rsidP="00902D74">
      <w:pPr>
        <w:numPr>
          <w:ilvl w:val="0"/>
          <w:numId w:val="40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</w:p>
    <w:p w14:paraId="7A0A65C1" w14:textId="63835DDF" w:rsidR="00DF4666" w:rsidRPr="00914A77" w:rsidRDefault="00DF4666" w:rsidP="00914A77">
      <w:pPr>
        <w:pStyle w:val="Heading5"/>
      </w:pPr>
      <w:r w:rsidRPr="00914A77">
        <w:t>5.A.1</w:t>
      </w:r>
      <w:r w:rsidR="00330ABE" w:rsidRPr="00914A77">
        <w:t xml:space="preserve"> </w:t>
      </w:r>
      <w:r w:rsidRPr="00914A77">
        <w:t>Summary</w:t>
      </w:r>
      <w:r w:rsidR="00330ABE" w:rsidRPr="00914A77">
        <w:t xml:space="preserve"> </w:t>
      </w:r>
      <w:r w:rsidRPr="00914A77">
        <w:t>of</w:t>
      </w:r>
      <w:r w:rsidR="00330ABE" w:rsidRPr="00914A77">
        <w:t xml:space="preserve"> </w:t>
      </w:r>
      <w:r w:rsidRPr="00914A77">
        <w:t>Table</w:t>
      </w:r>
      <w:r w:rsidR="00330ABE" w:rsidRPr="00914A77">
        <w:t xml:space="preserve"> </w:t>
      </w:r>
      <w:r w:rsidRPr="00914A77">
        <w:t>2</w:t>
      </w:r>
      <w:r w:rsidR="00330ABE" w:rsidRPr="00914A77">
        <w:t xml:space="preserve"> </w:t>
      </w:r>
      <w:r w:rsidRPr="00914A77">
        <w:t>Results</w:t>
      </w:r>
    </w:p>
    <w:p w14:paraId="7BEEA27B" w14:textId="3F5CB99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2" w:tooltip="Table 2. Improvement in Accuracy of Growth Estimates Using Two-Year empirical best linear prediction Weighted Averages Versus Simple Averages at the School Level" w:history="1">
        <w:r w:rsidR="009D230D" w:rsidRPr="009D230D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9D230D" w:rsidRPr="009D230D">
          <w:rPr>
            <w:rStyle w:val="Hyperlink"/>
            <w:rFonts w:ascii="Arial" w:hAnsi="Arial" w:cs="Arial"/>
          </w:rPr>
          <w:t>2</w:t>
        </w:r>
      </w:hyperlink>
      <w:r w:rsidR="00330ABE">
        <w:rPr>
          <w:rFonts w:ascii="Arial" w:hAnsi="Arial" w:cs="Arial"/>
        </w:rPr>
        <w:t xml:space="preserve"> </w:t>
      </w:r>
      <w:r w:rsidR="00C065D2">
        <w:rPr>
          <w:rFonts w:ascii="Arial" w:hAnsi="Arial" w:cs="Arial"/>
        </w:rPr>
        <w:t>s</w:t>
      </w:r>
      <w:r w:rsidRPr="00DF4666">
        <w:rPr>
          <w:rFonts w:ascii="Arial" w:hAnsi="Arial" w:cs="Arial"/>
        </w:rPr>
        <w:t>trongly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virtually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PI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149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1.56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1.56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mathematics.</w:t>
      </w:r>
      <w:r w:rsidR="00330ABE">
        <w:rPr>
          <w:rFonts w:ascii="Arial" w:hAnsi="Arial" w:cs="Arial"/>
        </w:rPr>
        <w:t xml:space="preserve"> </w:t>
      </w:r>
    </w:p>
    <w:p w14:paraId="0CDC552D" w14:textId="732F5D35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available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improvements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</w:p>
    <w:p w14:paraId="7BBC6900" w14:textId="5BA935A4" w:rsidR="00DF4666" w:rsidRPr="00330ABE" w:rsidRDefault="00DF4666" w:rsidP="00DF4666">
      <w:pPr>
        <w:spacing w:after="120"/>
        <w:textAlignment w:val="baseline"/>
        <w:rPr>
          <w:rFonts w:ascii="Arial" w:hAnsi="Arial" w:cs="Arial"/>
          <w:u w:val="single"/>
        </w:rPr>
      </w:pP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137,055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2" w:tooltip="Table 2. Improvement in Accuracy of Growth Estimates Using Two-Year empirical best linear prediction Weighted Averages Versus Simple Averages at the School Level" w:history="1">
        <w:r w:rsidR="009D230D" w:rsidRPr="009D230D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9D230D" w:rsidRPr="009D230D">
          <w:rPr>
            <w:rStyle w:val="Hyperlink"/>
            <w:rFonts w:ascii="Arial" w:hAnsi="Arial" w:cs="Arial"/>
          </w:rPr>
          <w:t>2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median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1.23.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(Although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69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0.96.)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2016–17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conclusion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0615140C" w14:textId="2DB0EF9D" w:rsidR="00DF4666" w:rsidRPr="00DF4666" w:rsidRDefault="00DF4666" w:rsidP="00914A77">
      <w:pPr>
        <w:pStyle w:val="Heading4"/>
      </w:pPr>
      <w:r w:rsidRPr="00DF4666">
        <w:t>5.B.</w:t>
      </w:r>
      <w:r w:rsidR="00330ABE">
        <w:t xml:space="preserve"> </w:t>
      </w:r>
      <w:r w:rsidRPr="00DF4666">
        <w:t>Stability</w:t>
      </w:r>
      <w:r w:rsidR="00330ABE">
        <w:t xml:space="preserve"> </w:t>
      </w:r>
      <w:r w:rsidRPr="00DF4666">
        <w:t>Results</w:t>
      </w:r>
    </w:p>
    <w:p w14:paraId="71AECB53" w14:textId="7632CD73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second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motivation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assessed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looking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similarity)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stable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across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time.</w:t>
      </w:r>
      <w:r w:rsidR="00330ABE">
        <w:rPr>
          <w:rFonts w:ascii="Arial" w:hAnsi="Arial" w:cs="Arial"/>
        </w:rPr>
        <w:t xml:space="preserve"> </w:t>
      </w:r>
    </w:p>
    <w:p w14:paraId="0943F557" w14:textId="53A04EFC" w:rsidR="00F25EBB" w:rsidRDefault="00124BB1" w:rsidP="00330ABE">
      <w:pPr>
        <w:spacing w:before="240" w:after="240"/>
        <w:textAlignment w:val="baseline"/>
        <w:rPr>
          <w:rFonts w:ascii="Arial" w:hAnsi="Arial" w:cs="Arial"/>
        </w:rPr>
      </w:pPr>
      <w:hyperlink w:anchor="Table3" w:tooltip="Table 3. Cross-Year Stability of the 2018–19 Two-Year empirical best linear prediction Weighted Average and the Simple Average for Schools" w:history="1">
        <w:r w:rsidR="00314087" w:rsidRPr="00124BB1">
          <w:rPr>
            <w:rStyle w:val="Hyperlink"/>
            <w:rFonts w:ascii="Arial" w:hAnsi="Arial" w:cs="Arial"/>
          </w:rPr>
          <w:t>Table 3</w:t>
        </w:r>
      </w:hyperlink>
      <w:r w:rsidR="00314087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compares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models,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2017</w:t>
      </w:r>
      <w:r w:rsidR="00983E0A">
        <w:rPr>
          <w:rFonts w:ascii="Arial" w:hAnsi="Arial" w:cs="Arial"/>
        </w:rPr>
        <w:t>–</w:t>
      </w:r>
      <w:r w:rsidR="00DF4666" w:rsidRPr="00DF4666">
        <w:rPr>
          <w:rFonts w:ascii="Arial" w:hAnsi="Arial" w:cs="Arial"/>
        </w:rPr>
        <w:t>18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2018</w:t>
      </w:r>
      <w:r w:rsidR="00983E0A">
        <w:rPr>
          <w:rFonts w:ascii="Arial" w:hAnsi="Arial" w:cs="Arial"/>
        </w:rPr>
        <w:t>–</w:t>
      </w:r>
      <w:r w:rsidR="00DF4666" w:rsidRPr="00DF4666">
        <w:rPr>
          <w:rFonts w:ascii="Arial" w:hAnsi="Arial" w:cs="Arial"/>
        </w:rPr>
        <w:t>19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data.</w:t>
      </w:r>
    </w:p>
    <w:p w14:paraId="7CCCAB1C" w14:textId="69A8635F" w:rsidR="00DF4666" w:rsidRPr="00026706" w:rsidRDefault="00DF4666" w:rsidP="00330ABE">
      <w:pPr>
        <w:spacing w:before="240" w:after="240"/>
        <w:textAlignment w:val="baseline"/>
        <w:rPr>
          <w:rFonts w:ascii="Arial" w:hAnsi="Arial" w:cs="Arial"/>
          <w:b/>
          <w:bCs/>
        </w:rPr>
      </w:pPr>
      <w:bookmarkStart w:id="20" w:name="_Ref61532225"/>
      <w:bookmarkStart w:id="21" w:name="Table3"/>
      <w:bookmarkStart w:id="22" w:name="_Toc139890514"/>
      <w:r w:rsidRPr="00026706">
        <w:rPr>
          <w:rFonts w:ascii="Arial" w:hAnsi="Arial" w:cs="Arial"/>
          <w:b/>
          <w:bCs/>
        </w:rPr>
        <w:t>Table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fldChar w:fldCharType="begin"/>
      </w:r>
      <w:r w:rsidRPr="00026706">
        <w:rPr>
          <w:rFonts w:ascii="Arial" w:hAnsi="Arial" w:cs="Arial"/>
          <w:b/>
          <w:bCs/>
        </w:rPr>
        <w:instrText>SEQ Table \* ARABIC</w:instrText>
      </w:r>
      <w:r w:rsidRPr="00026706">
        <w:rPr>
          <w:rFonts w:ascii="Arial" w:hAnsi="Arial" w:cs="Arial"/>
          <w:b/>
          <w:bCs/>
        </w:rPr>
        <w:fldChar w:fldCharType="separate"/>
      </w:r>
      <w:r w:rsidR="00BC1E6E" w:rsidRPr="00026706">
        <w:rPr>
          <w:rFonts w:ascii="Arial" w:hAnsi="Arial" w:cs="Arial"/>
          <w:b/>
          <w:bCs/>
          <w:noProof/>
        </w:rPr>
        <w:t>3</w:t>
      </w:r>
      <w:r w:rsidRPr="00026706">
        <w:rPr>
          <w:rFonts w:ascii="Arial" w:hAnsi="Arial" w:cs="Arial"/>
          <w:b/>
          <w:bCs/>
        </w:rPr>
        <w:fldChar w:fldCharType="end"/>
      </w:r>
      <w:bookmarkEnd w:id="20"/>
      <w:r w:rsidRPr="00026706">
        <w:rPr>
          <w:rFonts w:ascii="Arial" w:hAnsi="Arial" w:cs="Arial"/>
          <w:b/>
          <w:bCs/>
        </w:rPr>
        <w:t>.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Cross-Year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Stability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of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the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2018–19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Two-Year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EBLP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Weighted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Average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and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the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Simple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Average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for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Schools</w:t>
      </w:r>
      <w:bookmarkEnd w:id="22"/>
    </w:p>
    <w:tbl>
      <w:tblPr>
        <w:tblStyle w:val="TRtable"/>
        <w:tblW w:w="9828" w:type="dxa"/>
        <w:tblLayout w:type="fixed"/>
        <w:tblLook w:val="04A0" w:firstRow="1" w:lastRow="0" w:firstColumn="1" w:lastColumn="0" w:noHBand="0" w:noVBand="1"/>
        <w:tblDescription w:val="Correlations between 2017–18 and 2018–19 simple averages (column 5) and empirical best linear prediction weighted averages (column 6) for school growth defined by student group, subject, and school size."/>
      </w:tblPr>
      <w:tblGrid>
        <w:gridCol w:w="1620"/>
        <w:gridCol w:w="1584"/>
        <w:gridCol w:w="1152"/>
        <w:gridCol w:w="1152"/>
        <w:gridCol w:w="2160"/>
        <w:gridCol w:w="2160"/>
      </w:tblGrid>
      <w:tr w:rsidR="00DF4666" w:rsidRPr="00DF4666" w14:paraId="0E34C35F" w14:textId="77777777" w:rsidTr="00A0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  <w:vAlign w:val="bottom"/>
          </w:tcPr>
          <w:p w14:paraId="52CD52CC" w14:textId="4E43FBDC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bookmarkStart w:id="23" w:name="_Hlk61532101"/>
            <w:bookmarkEnd w:id="21"/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84" w:type="dxa"/>
            <w:vAlign w:val="bottom"/>
          </w:tcPr>
          <w:p w14:paraId="29EE3F3E" w14:textId="77777777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152" w:type="dxa"/>
            <w:vAlign w:val="bottom"/>
          </w:tcPr>
          <w:p w14:paraId="33FCECEA" w14:textId="74A49911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School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Size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14:paraId="09199A1D" w14:textId="46E6F587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Schools</w:t>
            </w:r>
          </w:p>
        </w:tc>
        <w:tc>
          <w:tcPr>
            <w:tcW w:w="2160" w:type="dxa"/>
            <w:vAlign w:val="bottom"/>
          </w:tcPr>
          <w:p w14:paraId="3639FA7D" w14:textId="57238F23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Average</w:t>
            </w:r>
          </w:p>
        </w:tc>
        <w:tc>
          <w:tcPr>
            <w:tcW w:w="2160" w:type="dxa"/>
            <w:vAlign w:val="bottom"/>
          </w:tcPr>
          <w:p w14:paraId="694B70D6" w14:textId="50129425" w:rsidR="00DF4666" w:rsidRPr="00DF4666" w:rsidRDefault="00DF4666" w:rsidP="00DF4666">
            <w:pPr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2-year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EBLP</w:t>
            </w:r>
          </w:p>
        </w:tc>
      </w:tr>
      <w:tr w:rsidR="00DF4666" w:rsidRPr="00DF4666" w14:paraId="194799CD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1937D02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0D3859C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5DA092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89EFF4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B4314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D2DBD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DF4666" w14:paraId="59249CB0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6AE3FBC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bottom w:val="nil"/>
            </w:tcBorders>
          </w:tcPr>
          <w:p w14:paraId="473EE4D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52DF284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56195A3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2,142</w:t>
            </w:r>
          </w:p>
        </w:tc>
        <w:tc>
          <w:tcPr>
            <w:tcW w:w="2160" w:type="dxa"/>
            <w:tcBorders>
              <w:bottom w:val="nil"/>
            </w:tcBorders>
          </w:tcPr>
          <w:p w14:paraId="25A7378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bottom w:val="nil"/>
            </w:tcBorders>
          </w:tcPr>
          <w:p w14:paraId="1B0991A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</w:tr>
      <w:tr w:rsidR="00DF4666" w:rsidRPr="00DF4666" w14:paraId="7B869F74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C9BE58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3C2355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C85A38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DDF1FB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4,989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3D1DAF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4C959C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F4666" w14:paraId="380337EF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76A015C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66F8D9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098AD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C4AD5F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FFD0C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F85C8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F4666" w14:paraId="2981B117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6E8593D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bottom w:val="nil"/>
            </w:tcBorders>
          </w:tcPr>
          <w:p w14:paraId="15851B3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2E71AF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5A61B7A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2,146</w:t>
            </w:r>
          </w:p>
        </w:tc>
        <w:tc>
          <w:tcPr>
            <w:tcW w:w="2160" w:type="dxa"/>
            <w:tcBorders>
              <w:bottom w:val="nil"/>
            </w:tcBorders>
          </w:tcPr>
          <w:p w14:paraId="71CFBAA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0.41</w:t>
            </w:r>
          </w:p>
        </w:tc>
        <w:tc>
          <w:tcPr>
            <w:tcW w:w="2160" w:type="dxa"/>
            <w:tcBorders>
              <w:bottom w:val="nil"/>
            </w:tcBorders>
          </w:tcPr>
          <w:p w14:paraId="4938F7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F4666" w14:paraId="4BD54E2A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F7376A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3B9BC07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1330F9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EEABBF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4,986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E3A134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50354B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F4666" w14:paraId="01BF1EC2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12473C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7E798C6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80D1F3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A73774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1,245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AB44AD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1A7143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F4666" w14:paraId="4DA30C1B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C0BA25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5609D5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681E69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078235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BF048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C1646B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F4666" w14:paraId="3C100017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31441C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3B2D0EB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A9A79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346EB4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1,244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2BBD84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B6425E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F4666" w14:paraId="684354A6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CE04A0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3848F9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F854B4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7A6B2B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1223BD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95DA30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F4666" w14:paraId="5BCEE630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7A1344B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5040D7B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62A10F7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57DAABE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7B01CA2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EB5496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F4666" w14:paraId="043C0F8A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2B61A87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5C89903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246E486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35DD4B2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0598CA9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51A00DB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DF4666" w14:paraId="6C0672C4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F2CC8A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44194B0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196078D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250922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1,124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A720B0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41D88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F4666" w14:paraId="711EBBF3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4E6DAE8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bottom w:val="nil"/>
            </w:tcBorders>
          </w:tcPr>
          <w:p w14:paraId="60CC7AE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1F92F8C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645EF1D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1,211</w:t>
            </w:r>
          </w:p>
        </w:tc>
        <w:tc>
          <w:tcPr>
            <w:tcW w:w="2160" w:type="dxa"/>
            <w:tcBorders>
              <w:bottom w:val="nil"/>
            </w:tcBorders>
          </w:tcPr>
          <w:p w14:paraId="29708F2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bottom w:val="nil"/>
            </w:tcBorders>
          </w:tcPr>
          <w:p w14:paraId="5E2FF6D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F4666" w14:paraId="6E9E5B6F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31D4B8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5E7ED7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D8E8D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0DD372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19AAEA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62C5AA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F4666" w14:paraId="3C25B8FA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4C2695F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F53896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2CA42F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4784AA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1,124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5D5071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87CF09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F4666" w14:paraId="2F400214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0E36218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bottom w:val="nil"/>
            </w:tcBorders>
          </w:tcPr>
          <w:p w14:paraId="4DB1995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3154F2F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22F94B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1,212</w:t>
            </w:r>
          </w:p>
        </w:tc>
        <w:tc>
          <w:tcPr>
            <w:tcW w:w="2160" w:type="dxa"/>
            <w:tcBorders>
              <w:bottom w:val="nil"/>
            </w:tcBorders>
          </w:tcPr>
          <w:p w14:paraId="50D7939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bottom w:val="nil"/>
            </w:tcBorders>
          </w:tcPr>
          <w:p w14:paraId="7946E15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F4666" w14:paraId="5A9E2BDE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59C7EB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1FB667A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3B379D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754FBF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253705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0.73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60AE27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  <w:tr w:rsidR="00DF4666" w:rsidRPr="00DF4666" w14:paraId="0628003D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0105D88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lastRenderedPageBreak/>
              <w:t>FI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5850E76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2C9EF8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7F7BBB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5E8CD2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F13D03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0.45</w:t>
            </w:r>
          </w:p>
        </w:tc>
      </w:tr>
      <w:tr w:rsidR="00DF4666" w:rsidRPr="00DF4666" w14:paraId="1F3BD0E6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79DDC5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E1B71B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DE741F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BDA868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968F00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9CCC20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F4666" w14:paraId="705FC7D9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4C9B8E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59C8773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7A91B93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37B5D1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EAEA9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DB8AA0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F4666" w14:paraId="304374F6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582D2F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6E3D60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D976A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4DA5F7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88D34D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C3109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F4666" w14:paraId="4BFE855D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26EADD9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1B444DC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266906F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263DF22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17E83C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D922E1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bookmarkEnd w:id="23"/>
      <w:tr w:rsidR="00B400A4" w:rsidRPr="00DF4666" w14:paraId="7257FB8F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AFF98F4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bottom w:val="nil"/>
            </w:tcBorders>
          </w:tcPr>
          <w:p w14:paraId="5A9B89E7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1C0644C7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37894250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3,453</w:t>
            </w:r>
          </w:p>
        </w:tc>
        <w:tc>
          <w:tcPr>
            <w:tcW w:w="2160" w:type="dxa"/>
            <w:tcBorders>
              <w:bottom w:val="nil"/>
            </w:tcBorders>
          </w:tcPr>
          <w:p w14:paraId="27C1BD7F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  <w:tc>
          <w:tcPr>
            <w:tcW w:w="2160" w:type="dxa"/>
            <w:tcBorders>
              <w:bottom w:val="nil"/>
            </w:tcBorders>
          </w:tcPr>
          <w:p w14:paraId="4E8F8116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B400A4" w:rsidRPr="00DF4666" w14:paraId="42FDE152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45AA399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442E7CC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5C32DF6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BC720B2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2,631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13DF679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125676E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B400A4" w:rsidRPr="00DF4666" w14:paraId="7AF4FDC8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20B9D218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13BDAB41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E5F897E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22A9F68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83243B5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5C31F2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B400A4" w:rsidRPr="00DF4666" w14:paraId="478690C8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23B8DEF0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bottom w:val="nil"/>
            </w:tcBorders>
          </w:tcPr>
          <w:p w14:paraId="064D6BA4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63272CDF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0F14CFD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3,453</w:t>
            </w:r>
          </w:p>
        </w:tc>
        <w:tc>
          <w:tcPr>
            <w:tcW w:w="2160" w:type="dxa"/>
            <w:tcBorders>
              <w:bottom w:val="nil"/>
            </w:tcBorders>
          </w:tcPr>
          <w:p w14:paraId="742367EA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0.36</w:t>
            </w:r>
          </w:p>
        </w:tc>
        <w:tc>
          <w:tcPr>
            <w:tcW w:w="2160" w:type="dxa"/>
            <w:tcBorders>
              <w:bottom w:val="nil"/>
            </w:tcBorders>
          </w:tcPr>
          <w:p w14:paraId="0D566C54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B400A4" w:rsidRPr="00DF4666" w14:paraId="212991EA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106D2053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57DD78F" w14:textId="77777777" w:rsidR="00B400A4" w:rsidRPr="00DF4666" w:rsidRDefault="00B400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7C366C3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E4A0A33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2,630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9762BAF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5769471" w14:textId="77777777" w:rsidR="00B400A4" w:rsidRPr="00DF4666" w:rsidRDefault="00B400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F4666" w14:paraId="4BD1EF7D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4EA4AD2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1E92E18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03E281F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239F86C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3A01D7F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73C79CA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</w:tr>
      <w:tr w:rsidR="00DF4666" w:rsidRPr="00DF4666" w14:paraId="14F2DB96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4FDD5E0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7A6E428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72FA65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0B27A95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0B98A0B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795A36B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F4666" w14:paraId="13630C88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43DEC4C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542F3A5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2DD083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6491418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1,216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38BDB8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77234D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F4666" w14:paraId="0C88785C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59E475C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bottom w:val="nil"/>
            </w:tcBorders>
          </w:tcPr>
          <w:p w14:paraId="2C86375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3406EB3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087A5D3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2,754</w:t>
            </w:r>
          </w:p>
        </w:tc>
        <w:tc>
          <w:tcPr>
            <w:tcW w:w="2160" w:type="dxa"/>
            <w:tcBorders>
              <w:bottom w:val="nil"/>
            </w:tcBorders>
          </w:tcPr>
          <w:p w14:paraId="5956143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bottom w:val="nil"/>
            </w:tcBorders>
          </w:tcPr>
          <w:p w14:paraId="56516B2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DF4666" w:rsidRPr="00DF4666" w14:paraId="202F714E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A7E15F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21CCB6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5B48DE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AB5B6F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837C6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ECC56E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F4666" w14:paraId="411FAED9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571A817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EE4D08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B2083E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9717C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1,218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1C8DC6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1BD2AC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F4666" w14:paraId="681461C9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7783936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bottom w:val="nil"/>
            </w:tcBorders>
          </w:tcPr>
          <w:p w14:paraId="0DBA7E5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468E3BD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599B0F6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2,752</w:t>
            </w:r>
          </w:p>
        </w:tc>
        <w:tc>
          <w:tcPr>
            <w:tcW w:w="2160" w:type="dxa"/>
            <w:tcBorders>
              <w:bottom w:val="nil"/>
            </w:tcBorders>
          </w:tcPr>
          <w:p w14:paraId="2CA9FFB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0.41</w:t>
            </w:r>
          </w:p>
        </w:tc>
        <w:tc>
          <w:tcPr>
            <w:tcW w:w="2160" w:type="dxa"/>
            <w:tcBorders>
              <w:bottom w:val="nil"/>
            </w:tcBorders>
          </w:tcPr>
          <w:p w14:paraId="10C4C70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F4666" w14:paraId="7556BC14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0F83AB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7DF1E22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37F259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FD1660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F43C4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5C518D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DF4666" w14:paraId="0772B865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1B7A528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3EBC402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6F727A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2BA51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1,323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0E4988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7CBD5BA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F4666" w14:paraId="495BE80F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718A52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78588C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8DE68C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765A21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108D88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B676A0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F4666" w14:paraId="1211C092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5E26CF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3A7B916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18518E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A19D1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1,324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B8DBF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7FF23E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F4666" w14:paraId="26041DD6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E155E8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4D94C4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F50C9D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95CFD5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F7025E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C6B28A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F4666" w14:paraId="28A687FC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6F95BE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2748945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267000D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1DCD7C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1,091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04FA6F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AC452B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F4666" w14:paraId="5AC01359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7BB8B4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bottom w:val="nil"/>
            </w:tcBorders>
          </w:tcPr>
          <w:p w14:paraId="10DC05D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63D8EAC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13B3921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3,913</w:t>
            </w:r>
          </w:p>
        </w:tc>
        <w:tc>
          <w:tcPr>
            <w:tcW w:w="2160" w:type="dxa"/>
            <w:tcBorders>
              <w:bottom w:val="nil"/>
            </w:tcBorders>
          </w:tcPr>
          <w:p w14:paraId="6AF7A07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bottom w:val="nil"/>
            </w:tcBorders>
          </w:tcPr>
          <w:p w14:paraId="38D4E7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F4666" w14:paraId="762FDB24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5B31EB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3AF179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F29016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326B3F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1,350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ED1E5E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56D1E4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F4666" w14:paraId="57CC7F42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24F6E16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E31E07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A7E24D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457B7C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1,087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43304B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447F69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F4666" w14:paraId="5278C4F2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5B3AF6D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bottom w:val="nil"/>
            </w:tcBorders>
          </w:tcPr>
          <w:p w14:paraId="001C9D9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64D5F9D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FDE034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3,916</w:t>
            </w:r>
          </w:p>
        </w:tc>
        <w:tc>
          <w:tcPr>
            <w:tcW w:w="2160" w:type="dxa"/>
            <w:tcBorders>
              <w:bottom w:val="nil"/>
            </w:tcBorders>
          </w:tcPr>
          <w:p w14:paraId="0331553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0.45</w:t>
            </w:r>
          </w:p>
        </w:tc>
        <w:tc>
          <w:tcPr>
            <w:tcW w:w="2160" w:type="dxa"/>
            <w:tcBorders>
              <w:bottom w:val="nil"/>
            </w:tcBorders>
          </w:tcPr>
          <w:p w14:paraId="169E503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F4666" w14:paraId="3C4C525F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E285CC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6D7BB7C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E46086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FBD8A2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1,348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568A94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B32860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DF4666" w14:paraId="00107E33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5700D73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564CFE2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62BEAEE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847B49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1,620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1E90B2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45DDDB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F4666" w14:paraId="23B75A5B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3C6092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bottom w:val="nil"/>
            </w:tcBorders>
          </w:tcPr>
          <w:p w14:paraId="2F5AC1F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47D0E8B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347C61A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3,302</w:t>
            </w:r>
          </w:p>
        </w:tc>
        <w:tc>
          <w:tcPr>
            <w:tcW w:w="2160" w:type="dxa"/>
            <w:tcBorders>
              <w:bottom w:val="nil"/>
            </w:tcBorders>
          </w:tcPr>
          <w:p w14:paraId="22BB7E8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bottom w:val="nil"/>
            </w:tcBorders>
          </w:tcPr>
          <w:p w14:paraId="0DF24E6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F4666" w14:paraId="7D429902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C1215B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CD82AA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BEA323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294920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8B3565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304E14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F4666" w14:paraId="7E7F11D5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7EF4E17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137AF9F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FD50B5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B20FDC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1,621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BB531E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1477C7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F4666" w14:paraId="53EB3026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6BDC1D7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bottom w:val="nil"/>
            </w:tcBorders>
          </w:tcPr>
          <w:p w14:paraId="7662B56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43D5BDD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9E05BA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3,301</w:t>
            </w:r>
          </w:p>
        </w:tc>
        <w:tc>
          <w:tcPr>
            <w:tcW w:w="2160" w:type="dxa"/>
            <w:tcBorders>
              <w:bottom w:val="nil"/>
            </w:tcBorders>
          </w:tcPr>
          <w:p w14:paraId="2F284C1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2160" w:type="dxa"/>
            <w:tcBorders>
              <w:bottom w:val="nil"/>
            </w:tcBorders>
          </w:tcPr>
          <w:p w14:paraId="37FBDA1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F4666" w14:paraId="4CCD50F7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0A302B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lastRenderedPageBreak/>
              <w:t>ELO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8AAEE7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08AD42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8F98C6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88B743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8F7282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F4666" w14:paraId="1FDBAE7D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7BA7EEE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7485896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1F4508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54C2932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1,854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795056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AFD3B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F4666" w14:paraId="44B99A71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49C1B85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bottom w:val="nil"/>
            </w:tcBorders>
          </w:tcPr>
          <w:p w14:paraId="27CAC88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297B25A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46140C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3,241</w:t>
            </w:r>
          </w:p>
        </w:tc>
        <w:tc>
          <w:tcPr>
            <w:tcW w:w="2160" w:type="dxa"/>
            <w:tcBorders>
              <w:bottom w:val="nil"/>
            </w:tcBorders>
          </w:tcPr>
          <w:p w14:paraId="51FDFCF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bottom w:val="nil"/>
            </w:tcBorders>
          </w:tcPr>
          <w:p w14:paraId="17DE42E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F4666" w14:paraId="60812990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F66CAE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583B2D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870227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0E80D7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158A7C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12A580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A843A4" w:rsidRPr="00DF4666" w14:paraId="660E8365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3BBEC188" w14:textId="77777777" w:rsidR="00A843A4" w:rsidRPr="00DF4666" w:rsidRDefault="00A843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201341C5" w14:textId="77777777" w:rsidR="00A843A4" w:rsidRPr="00DF4666" w:rsidRDefault="00A843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DCEE15C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4A84224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1,853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5FE3000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384506E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A843A4" w:rsidRPr="00DF4666" w14:paraId="37389AD9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55D3A80F" w14:textId="77777777" w:rsidR="00A843A4" w:rsidRPr="00DF4666" w:rsidRDefault="00A843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bottom w:val="nil"/>
            </w:tcBorders>
          </w:tcPr>
          <w:p w14:paraId="33E336A5" w14:textId="77777777" w:rsidR="00A843A4" w:rsidRPr="00DF4666" w:rsidRDefault="00A843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2EB420B3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4F5734D0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3,243</w:t>
            </w:r>
          </w:p>
        </w:tc>
        <w:tc>
          <w:tcPr>
            <w:tcW w:w="2160" w:type="dxa"/>
            <w:tcBorders>
              <w:bottom w:val="nil"/>
            </w:tcBorders>
          </w:tcPr>
          <w:p w14:paraId="5F91FBD5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bottom w:val="nil"/>
            </w:tcBorders>
          </w:tcPr>
          <w:p w14:paraId="7E770646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</w:tr>
      <w:tr w:rsidR="00A843A4" w:rsidRPr="00DF4666" w14:paraId="6EEAB112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11995492" w14:textId="77777777" w:rsidR="00A843A4" w:rsidRPr="00DF4666" w:rsidRDefault="00A843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24E216E" w14:textId="77777777" w:rsidR="00A843A4" w:rsidRPr="00DF4666" w:rsidRDefault="00A843A4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A65623C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E767981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2201E50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5378B5F" w14:textId="77777777" w:rsidR="00A843A4" w:rsidRPr="00DF4666" w:rsidRDefault="00A843A4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F4666" w14:paraId="76E6FA89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28B9CFE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7B6A481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375D169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9377BB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092CAF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0A804BC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F4666" w14:paraId="7A4E4003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626484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bottom w:val="nil"/>
            </w:tcBorders>
          </w:tcPr>
          <w:p w14:paraId="55B015B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5F3E480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35EFF8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4,145</w:t>
            </w:r>
          </w:p>
        </w:tc>
        <w:tc>
          <w:tcPr>
            <w:tcW w:w="2160" w:type="dxa"/>
            <w:tcBorders>
              <w:bottom w:val="nil"/>
            </w:tcBorders>
          </w:tcPr>
          <w:p w14:paraId="1E7CB71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bottom w:val="nil"/>
            </w:tcBorders>
          </w:tcPr>
          <w:p w14:paraId="318945F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F4666" w14:paraId="19E94FC8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6FABC2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C1046B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77660B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369B5E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2,519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97371A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CDCB3C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F4666" w14:paraId="5031AD29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26A65C8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737D18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36EDE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F56B02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B1358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85FD9C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F4666" w14:paraId="7C470DD3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CCCD4E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bottom w:val="nil"/>
            </w:tcBorders>
          </w:tcPr>
          <w:p w14:paraId="790FDDE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70C003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11586AA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4,153</w:t>
            </w:r>
          </w:p>
        </w:tc>
        <w:tc>
          <w:tcPr>
            <w:tcW w:w="2160" w:type="dxa"/>
            <w:tcBorders>
              <w:bottom w:val="nil"/>
            </w:tcBorders>
          </w:tcPr>
          <w:p w14:paraId="07FFFB1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2160" w:type="dxa"/>
            <w:tcBorders>
              <w:bottom w:val="nil"/>
            </w:tcBorders>
          </w:tcPr>
          <w:p w14:paraId="0251195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F4666" w14:paraId="2E0FDD45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CEA605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67E26B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09F4C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A4BD81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2,510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AAEB4A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B54C4D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F4666" w14:paraId="3B7A72FE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31A87B6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2793085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4EB4D1D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09E3213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97D007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B886AE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DF4666" w:rsidRPr="00DF4666" w14:paraId="362F15ED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639A47F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bottom w:val="nil"/>
            </w:tcBorders>
          </w:tcPr>
          <w:p w14:paraId="30C8032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042DFE5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7383C75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3,423</w:t>
            </w:r>
          </w:p>
        </w:tc>
        <w:tc>
          <w:tcPr>
            <w:tcW w:w="2160" w:type="dxa"/>
            <w:tcBorders>
              <w:bottom w:val="nil"/>
            </w:tcBorders>
          </w:tcPr>
          <w:p w14:paraId="21825B9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  <w:tc>
          <w:tcPr>
            <w:tcW w:w="2160" w:type="dxa"/>
            <w:tcBorders>
              <w:bottom w:val="nil"/>
            </w:tcBorders>
          </w:tcPr>
          <w:p w14:paraId="2100C91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</w:tr>
      <w:tr w:rsidR="00DF4666" w:rsidRPr="00DF4666" w14:paraId="1370F67C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769032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2AA079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FF3113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AE741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3,067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4CE1D4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246DBF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F4666" w14:paraId="0BDF6BF2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6FACBA8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07CB1D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ABEAAF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FB1B23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F0F358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5849F4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DF4666" w:rsidRPr="00DF4666" w14:paraId="7496E63F" w14:textId="77777777" w:rsidTr="00A0726E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153CCDC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bottom w:val="nil"/>
            </w:tcBorders>
          </w:tcPr>
          <w:p w14:paraId="58AEFAD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bottom w:val="nil"/>
            </w:tcBorders>
          </w:tcPr>
          <w:p w14:paraId="4BDB23F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30FF843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3,428</w:t>
            </w:r>
          </w:p>
        </w:tc>
        <w:tc>
          <w:tcPr>
            <w:tcW w:w="2160" w:type="dxa"/>
            <w:tcBorders>
              <w:bottom w:val="nil"/>
            </w:tcBorders>
          </w:tcPr>
          <w:p w14:paraId="5580D2E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bottom w:val="nil"/>
            </w:tcBorders>
          </w:tcPr>
          <w:p w14:paraId="4A27D15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F4666" w14:paraId="0AE0081B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5C0BF17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13ABEA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5B068B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BAD940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3,060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D15048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A5B47D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F4666" w14:paraId="71C10EF6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4FA3B71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56B3F1E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054111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421A2C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3,205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596FC32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F9E94D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</w:tr>
      <w:tr w:rsidR="00DF4666" w:rsidRPr="00DF4666" w14:paraId="55C6B5A5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667F42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D0EF8C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269C38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E7DF8F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3,025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1C4F20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B8699C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F4666" w14:paraId="048462A0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3335DE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24A6FE8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5803C9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3A05C3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3,210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9FFA10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ED034B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0.36</w:t>
            </w:r>
          </w:p>
        </w:tc>
      </w:tr>
      <w:tr w:rsidR="00DF4666" w:rsidRPr="00DF4666" w14:paraId="14F95BA1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5C8426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EA9598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1DCEC5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363539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3,019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48BACF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D774E0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0.36</w:t>
            </w:r>
          </w:p>
        </w:tc>
      </w:tr>
      <w:tr w:rsidR="00DF4666" w:rsidRPr="00DF4666" w14:paraId="238D0C62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3D3CF75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66E9CC3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324C9E1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4058D99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2B9FCFB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-0.02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2CF08E3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</w:tr>
      <w:tr w:rsidR="00DF4666" w:rsidRPr="00DF4666" w14:paraId="470589F5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7520BFC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046912C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4E0210A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404648B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635F563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-0.35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5B7C34E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</w:tr>
      <w:tr w:rsidR="00DF4666" w:rsidRPr="00DF4666" w14:paraId="1B5339A2" w14:textId="77777777" w:rsidTr="00A0726E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A8A5D4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928A45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7355E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57CAC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B01959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56D3EDB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F4666" w14:paraId="216488D0" w14:textId="77777777" w:rsidTr="00A0726E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2D6BF8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37DDF4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EEA92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7F7F40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E59F5F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C3E699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F4666" w14:paraId="7CA61137" w14:textId="77777777" w:rsidTr="00A0726E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14:paraId="28E162B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993CC9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61C576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851099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7EAC30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44881B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F4666" w14:paraId="0C324AE5" w14:textId="77777777" w:rsidTr="00A0726E">
        <w:trPr>
          <w:cantSplit/>
        </w:trPr>
        <w:tc>
          <w:tcPr>
            <w:tcW w:w="1620" w:type="dxa"/>
          </w:tcPr>
          <w:p w14:paraId="09EF57D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</w:tcPr>
          <w:p w14:paraId="3E0A1D3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</w:tcPr>
          <w:p w14:paraId="250E8FD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</w:tcPr>
          <w:p w14:paraId="3AB1A11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160" w:type="dxa"/>
          </w:tcPr>
          <w:p w14:paraId="4B7DFC1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2160" w:type="dxa"/>
          </w:tcPr>
          <w:p w14:paraId="3B3C1D0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</w:tbl>
    <w:p w14:paraId="006FF342" w14:textId="1D844A6C" w:rsidR="00DF4666" w:rsidRPr="00026706" w:rsidRDefault="00DF4666" w:rsidP="00083922">
      <w:pPr>
        <w:numPr>
          <w:ilvl w:val="0"/>
          <w:numId w:val="7"/>
        </w:numPr>
        <w:spacing w:before="120" w:after="120"/>
        <w:ind w:left="576" w:hanging="288"/>
        <w:textAlignment w:val="baseline"/>
        <w:rPr>
          <w:rFonts w:ascii="Arial" w:hAnsi="Arial" w:cs="Arial"/>
          <w:u w:val="single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  <w:iCs/>
        </w:rPr>
        <w:t>both</w:t>
      </w:r>
      <w:r w:rsidR="00330ABE">
        <w:rPr>
          <w:rFonts w:ascii="Arial" w:hAnsi="Arial" w:cs="Arial"/>
          <w:i/>
          <w:iCs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2" w:tooltip="Table 2. Improvement in Accuracy of Growth Estimates Using Two-Year EBLP Weighted Averages Versus Simple Averages at the School Level" w:history="1">
        <w:r w:rsidR="000E7122" w:rsidRPr="000E7122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0E7122" w:rsidRPr="000E7122">
          <w:rPr>
            <w:rStyle w:val="Hyperlink"/>
            <w:rFonts w:ascii="Arial" w:hAnsi="Arial" w:cs="Arial"/>
          </w:rPr>
          <w:t>2</w:t>
        </w:r>
      </w:hyperlink>
      <w:r w:rsidRPr="00083922">
        <w:rPr>
          <w:rFonts w:ascii="Arial" w:hAnsi="Arial" w:cs="Arial"/>
        </w:rPr>
        <w:t>.</w:t>
      </w:r>
    </w:p>
    <w:p w14:paraId="61D3EA10" w14:textId="420B1AA3" w:rsidR="00DF4666" w:rsidRPr="00991120" w:rsidRDefault="00DF4666" w:rsidP="00914A77">
      <w:pPr>
        <w:pStyle w:val="Heading5"/>
      </w:pPr>
      <w:r w:rsidRPr="00991120">
        <w:lastRenderedPageBreak/>
        <w:t>5.B.1.</w:t>
      </w:r>
      <w:r w:rsidR="00330ABE">
        <w:t xml:space="preserve"> </w:t>
      </w:r>
      <w:r w:rsidRPr="00991120">
        <w:t>Summary</w:t>
      </w:r>
      <w:r w:rsidR="00330ABE">
        <w:t xml:space="preserve"> </w:t>
      </w:r>
      <w:r w:rsidRPr="00991120">
        <w:t>of</w:t>
      </w:r>
      <w:r w:rsidR="00330ABE">
        <w:t xml:space="preserve"> </w:t>
      </w:r>
      <w:r w:rsidRPr="00991120">
        <w:t>Table</w:t>
      </w:r>
      <w:r w:rsidR="00330ABE">
        <w:t xml:space="preserve"> </w:t>
      </w:r>
      <w:r w:rsidRPr="00991120">
        <w:t>3</w:t>
      </w:r>
      <w:r w:rsidR="00330ABE">
        <w:t xml:space="preserve"> </w:t>
      </w:r>
      <w:r w:rsidRPr="00991120">
        <w:t>Results</w:t>
      </w:r>
    </w:p>
    <w:p w14:paraId="19C765C5" w14:textId="47776DD9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597AD2">
        <w:rPr>
          <w:rFonts w:ascii="Arial" w:hAnsi="Arial" w:cs="Arial"/>
        </w:rPr>
        <w:t xml:space="preserve"> </w:t>
      </w:r>
      <w:hyperlink w:anchor="Table3" w:tooltip="Table 3. Cross-Year Stability of the 2018–19 Two-Year empirical best linear prediction Weighted Average and the Simple Average for Schools " w:history="1">
        <w:r w:rsidR="00597AD2" w:rsidRPr="00597AD2">
          <w:rPr>
            <w:rStyle w:val="Hyperlink"/>
            <w:rFonts w:ascii="Arial" w:hAnsi="Arial" w:cs="Arial"/>
          </w:rPr>
          <w:t>Table 3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holds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improvements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pronounced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</w:p>
    <w:p w14:paraId="11980279" w14:textId="1C6383B2" w:rsidR="00DF4666" w:rsidRPr="00AA5813" w:rsidRDefault="00DF4666" w:rsidP="00A86EF8">
      <w:pPr>
        <w:pStyle w:val="Heading3"/>
      </w:pPr>
      <w:bookmarkStart w:id="24" w:name="_Ref62225713"/>
      <w:bookmarkStart w:id="25" w:name="_Ref62225718"/>
      <w:bookmarkStart w:id="26" w:name="_Ref62225782"/>
      <w:bookmarkStart w:id="27" w:name="_Results_at_the"/>
      <w:bookmarkStart w:id="28" w:name="_Toc139891216"/>
      <w:bookmarkEnd w:id="27"/>
      <w:r w:rsidRPr="00AA5813">
        <w:t>Results</w:t>
      </w:r>
      <w:r w:rsidR="00330ABE">
        <w:t xml:space="preserve"> </w:t>
      </w:r>
      <w:r w:rsidRPr="00AA5813">
        <w:t>at</w:t>
      </w:r>
      <w:r w:rsidR="00330ABE">
        <w:t xml:space="preserve"> </w:t>
      </w:r>
      <w:r w:rsidRPr="00AA5813">
        <w:t>the</w:t>
      </w:r>
      <w:r w:rsidR="00330ABE">
        <w:t xml:space="preserve"> </w:t>
      </w:r>
      <w:r w:rsidRPr="00AA5813">
        <w:t>LEA</w:t>
      </w:r>
      <w:r w:rsidR="00330ABE">
        <w:t xml:space="preserve"> </w:t>
      </w:r>
      <w:r w:rsidRPr="00AA5813">
        <w:t>Level</w:t>
      </w:r>
      <w:bookmarkEnd w:id="24"/>
      <w:bookmarkEnd w:id="25"/>
      <w:bookmarkEnd w:id="26"/>
      <w:bookmarkEnd w:id="28"/>
    </w:p>
    <w:p w14:paraId="0FA38F83" w14:textId="1DE7D4D6" w:rsidR="00DF4666" w:rsidRPr="00DF4666" w:rsidRDefault="00DF4666" w:rsidP="00DF4666">
      <w:pPr>
        <w:keepLines/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(excluding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discussed.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average)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here.</w:t>
      </w:r>
    </w:p>
    <w:p w14:paraId="10C546DF" w14:textId="14B28F15" w:rsidR="00DF4666" w:rsidRPr="00DF4666" w:rsidRDefault="00DF4666" w:rsidP="00914A77">
      <w:pPr>
        <w:pStyle w:val="Heading4"/>
        <w:rPr>
          <w:rFonts w:ascii="Segoe UI" w:hAnsi="Segoe UI"/>
          <w:sz w:val="18"/>
          <w:szCs w:val="18"/>
          <w:lang w:eastAsia="zh-CN"/>
        </w:rPr>
      </w:pPr>
      <w:bookmarkStart w:id="29" w:name="_6.A._Accuracy_Results"/>
      <w:bookmarkStart w:id="30" w:name="_Ref61939846"/>
      <w:bookmarkEnd w:id="29"/>
      <w:r w:rsidRPr="00DF4666">
        <w:rPr>
          <w:lang w:eastAsia="zh-CN"/>
        </w:rPr>
        <w:t>6.A.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Accuracy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Results</w:t>
      </w:r>
      <w:bookmarkEnd w:id="30"/>
    </w:p>
    <w:p w14:paraId="7B3C87EA" w14:textId="2B6202A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proofErr w:type="gramEnd"/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applied:</w:t>
      </w:r>
      <w:r w:rsidR="00330ABE">
        <w:rPr>
          <w:rFonts w:ascii="Arial" w:hAnsi="Arial" w:cs="Arial"/>
        </w:rPr>
        <w:t xml:space="preserve"> </w:t>
      </w:r>
    </w:p>
    <w:p w14:paraId="5C3710F8" w14:textId="16CBF94D" w:rsidR="00DF4666" w:rsidRPr="00691755" w:rsidRDefault="00DF4666" w:rsidP="00902D74">
      <w:pPr>
        <w:pStyle w:val="ListParagraph"/>
        <w:numPr>
          <w:ilvl w:val="0"/>
          <w:numId w:val="48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11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29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</w:p>
    <w:p w14:paraId="4792E8C3" w14:textId="4715FE67" w:rsidR="00DF4666" w:rsidRPr="00691755" w:rsidRDefault="00DF4666" w:rsidP="00902D74">
      <w:pPr>
        <w:pStyle w:val="ListParagraph"/>
        <w:numPr>
          <w:ilvl w:val="0"/>
          <w:numId w:val="48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30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149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</w:p>
    <w:p w14:paraId="69F8658B" w14:textId="34EEF88E" w:rsidR="00DF4666" w:rsidRPr="00691755" w:rsidRDefault="00DF4666" w:rsidP="00902D74">
      <w:pPr>
        <w:pStyle w:val="ListParagraph"/>
        <w:numPr>
          <w:ilvl w:val="0"/>
          <w:numId w:val="48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150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1,499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  <w:r w:rsidR="00330ABE">
        <w:rPr>
          <w:rFonts w:cs="Arial"/>
          <w:szCs w:val="22"/>
          <w:lang w:eastAsia="zh-CN"/>
        </w:rPr>
        <w:t xml:space="preserve"> </w:t>
      </w:r>
    </w:p>
    <w:p w14:paraId="795C6421" w14:textId="3981458E" w:rsidR="00DF4666" w:rsidRPr="00691755" w:rsidRDefault="00DF4666" w:rsidP="00902D74">
      <w:pPr>
        <w:pStyle w:val="ListParagraph"/>
        <w:numPr>
          <w:ilvl w:val="0"/>
          <w:numId w:val="48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1,500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</w:p>
    <w:p w14:paraId="687A2FA3" w14:textId="47A8A6C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designated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therefore,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149.</w:t>
      </w:r>
    </w:p>
    <w:p w14:paraId="32825E8D" w14:textId="75719EC0" w:rsidR="00DF4666" w:rsidRPr="00DF4666" w:rsidRDefault="00124BB1" w:rsidP="00DF4666">
      <w:pPr>
        <w:spacing w:after="120"/>
        <w:textAlignment w:val="baseline"/>
        <w:rPr>
          <w:rFonts w:ascii="Arial" w:hAnsi="Arial" w:cs="Arial"/>
        </w:rPr>
      </w:pPr>
      <w:hyperlink w:anchor="Table4" w:tooltip="Table 4. Improvement in Accuracy of Growth Estimates Using Two-Year empirical best linear prediction Weighted Averages Versus Simple Averages at the local educational agency Level" w:history="1">
        <w:r w:rsidRPr="00124BB1">
          <w:rPr>
            <w:rStyle w:val="Hyperlink"/>
            <w:rFonts w:ascii="Arial" w:hAnsi="Arial" w:cs="Arial"/>
          </w:rPr>
          <w:t>Table 4</w:t>
        </w:r>
      </w:hyperlink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well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additional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interest.</w:t>
      </w:r>
      <w:r w:rsidR="00330ABE">
        <w:rPr>
          <w:rFonts w:ascii="Arial" w:hAnsi="Arial" w:cs="Arial"/>
        </w:rPr>
        <w:t xml:space="preserve"> </w:t>
      </w:r>
    </w:p>
    <w:p w14:paraId="4E7214FF" w14:textId="17123301" w:rsidR="00DF4666" w:rsidRPr="00026706" w:rsidRDefault="00DF4666" w:rsidP="00DF4666">
      <w:pPr>
        <w:spacing w:before="120" w:after="60"/>
        <w:textAlignment w:val="baseline"/>
        <w:rPr>
          <w:rFonts w:ascii="Arial" w:hAnsi="Arial" w:cs="Arial"/>
          <w:b/>
          <w:bCs/>
        </w:rPr>
      </w:pPr>
      <w:bookmarkStart w:id="31" w:name="_Ref61532654"/>
      <w:bookmarkStart w:id="32" w:name="Table4"/>
      <w:bookmarkStart w:id="33" w:name="_Toc139890515"/>
      <w:r w:rsidRPr="00026706">
        <w:rPr>
          <w:rFonts w:ascii="Arial" w:hAnsi="Arial" w:cs="Arial"/>
          <w:b/>
          <w:bCs/>
        </w:rPr>
        <w:t>Table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fldChar w:fldCharType="begin"/>
      </w:r>
      <w:r w:rsidRPr="00026706">
        <w:rPr>
          <w:rFonts w:ascii="Arial" w:hAnsi="Arial" w:cs="Arial"/>
          <w:b/>
          <w:bCs/>
        </w:rPr>
        <w:instrText>SEQ Table \* ARABIC</w:instrText>
      </w:r>
      <w:r w:rsidRPr="00026706">
        <w:rPr>
          <w:rFonts w:ascii="Arial" w:hAnsi="Arial" w:cs="Arial"/>
          <w:b/>
          <w:bCs/>
        </w:rPr>
        <w:fldChar w:fldCharType="separate"/>
      </w:r>
      <w:r w:rsidR="00BC1E6E" w:rsidRPr="00026706">
        <w:rPr>
          <w:rFonts w:ascii="Arial" w:hAnsi="Arial" w:cs="Arial"/>
          <w:b/>
          <w:bCs/>
          <w:noProof/>
        </w:rPr>
        <w:t>4</w:t>
      </w:r>
      <w:r w:rsidRPr="00026706">
        <w:rPr>
          <w:rFonts w:ascii="Arial" w:hAnsi="Arial" w:cs="Arial"/>
          <w:b/>
          <w:bCs/>
        </w:rPr>
        <w:fldChar w:fldCharType="end"/>
      </w:r>
      <w:bookmarkEnd w:id="31"/>
      <w:r w:rsidRPr="00026706">
        <w:rPr>
          <w:rFonts w:ascii="Arial" w:hAnsi="Arial" w:cs="Arial"/>
          <w:b/>
          <w:bCs/>
        </w:rPr>
        <w:t>.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Improvement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in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Accuracy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of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Growth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Estimates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Using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Two-Year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EBLP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Weighted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Averages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Versus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Simple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Averages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at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the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LEA</w:t>
      </w:r>
      <w:r w:rsidR="00330ABE" w:rsidRPr="00026706">
        <w:rPr>
          <w:rFonts w:ascii="Arial" w:hAnsi="Arial" w:cs="Arial"/>
          <w:b/>
          <w:bCs/>
        </w:rPr>
        <w:t xml:space="preserve"> </w:t>
      </w:r>
      <w:r w:rsidRPr="00026706">
        <w:rPr>
          <w:rFonts w:ascii="Arial" w:hAnsi="Arial" w:cs="Arial"/>
          <w:b/>
          <w:bCs/>
        </w:rPr>
        <w:t>Level</w:t>
      </w:r>
      <w:bookmarkEnd w:id="33"/>
    </w:p>
    <w:tbl>
      <w:tblPr>
        <w:tblStyle w:val="TRtable"/>
        <w:tblW w:w="1002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4. Improvement in Accuracy of Growth Estimates Using Two-Year EBLP Weighted Averages Versus Simple Averages at the local educational agency Level."/>
      </w:tblPr>
      <w:tblGrid>
        <w:gridCol w:w="1221"/>
        <w:gridCol w:w="1577"/>
        <w:gridCol w:w="1440"/>
        <w:gridCol w:w="1262"/>
        <w:gridCol w:w="2077"/>
        <w:gridCol w:w="2448"/>
      </w:tblGrid>
      <w:tr w:rsidR="00DF4666" w:rsidRPr="00DF4666" w14:paraId="4131E6E1" w14:textId="77777777" w:rsidTr="006D7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21" w:type="dxa"/>
            <w:vAlign w:val="bottom"/>
          </w:tcPr>
          <w:bookmarkEnd w:id="32"/>
          <w:p w14:paraId="099C694F" w14:textId="706690A1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77" w:type="dxa"/>
            <w:vAlign w:val="bottom"/>
          </w:tcPr>
          <w:p w14:paraId="5080BA0A" w14:textId="77777777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440" w:type="dxa"/>
            <w:vAlign w:val="bottom"/>
          </w:tcPr>
          <w:p w14:paraId="756DF044" w14:textId="0B68A603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Size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2" w:type="dxa"/>
            <w:vAlign w:val="bottom"/>
          </w:tcPr>
          <w:p w14:paraId="15A74A5B" w14:textId="3997F09C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LEAs</w:t>
            </w:r>
          </w:p>
        </w:tc>
        <w:tc>
          <w:tcPr>
            <w:tcW w:w="2077" w:type="dxa"/>
            <w:vAlign w:val="bottom"/>
          </w:tcPr>
          <w:p w14:paraId="4DDC3D08" w14:textId="2CE057F5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Mean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Ratio</w:t>
            </w:r>
          </w:p>
        </w:tc>
        <w:tc>
          <w:tcPr>
            <w:tcW w:w="2448" w:type="dxa"/>
            <w:vAlign w:val="bottom"/>
          </w:tcPr>
          <w:p w14:paraId="151E29AF" w14:textId="19235E1D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Percentage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LEAs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with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Improved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Accuracy</w:t>
            </w:r>
            <w:r w:rsidRPr="00DF4666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2</w:t>
            </w:r>
          </w:p>
        </w:tc>
      </w:tr>
      <w:tr w:rsidR="00DF4666" w:rsidRPr="00DF4666" w14:paraId="315E342C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32732A7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07300FB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9D6963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84DE6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7F9F9F0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29A4C67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4B85B93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0604424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bottom w:val="nil"/>
            </w:tcBorders>
          </w:tcPr>
          <w:p w14:paraId="6C6F131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7C3BC11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1B6AFBC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077" w:type="dxa"/>
            <w:tcBorders>
              <w:bottom w:val="nil"/>
            </w:tcBorders>
          </w:tcPr>
          <w:p w14:paraId="724AB1B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bottom w:val="nil"/>
            </w:tcBorders>
          </w:tcPr>
          <w:p w14:paraId="369106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C725F66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5F9E17B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4F01283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A6FAFA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29B34B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5E625F4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7EED30B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BB0BBC4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7AC2CF8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EA14C0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CEEB9D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D5BDB9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28035CE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24102D9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022C0B9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6620087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bottom w:val="nil"/>
            </w:tcBorders>
          </w:tcPr>
          <w:p w14:paraId="75F2D61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000CF88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0CA7B6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077" w:type="dxa"/>
            <w:tcBorders>
              <w:bottom w:val="nil"/>
            </w:tcBorders>
          </w:tcPr>
          <w:p w14:paraId="190F3E5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448" w:type="dxa"/>
            <w:tcBorders>
              <w:bottom w:val="nil"/>
            </w:tcBorders>
          </w:tcPr>
          <w:p w14:paraId="78D7213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66AE392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00485D6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333734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17D9921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10C5EF1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14723FC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7E05FA9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97FB2E5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</w:tcPr>
          <w:p w14:paraId="0DA92FC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2E9ADA0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05AB3E9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158D375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</w:tcPr>
          <w:p w14:paraId="659000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</w:tcPr>
          <w:p w14:paraId="605F0CE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AAAD6B0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72FECA0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lastRenderedPageBreak/>
              <w:t>AA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3398D89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9B9EA4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3C5E76D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0F0130E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3BBCF25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55%</w:t>
            </w:r>
          </w:p>
        </w:tc>
      </w:tr>
      <w:tr w:rsidR="00DF4666" w:rsidRPr="00DF4666" w14:paraId="2007698C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14:paraId="66FB164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49924A5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C3A5CA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36000D0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3B00105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2.08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14:paraId="0C7FDB2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E04E02C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5768D56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6BD0D84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46068E5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048F520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094AE01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18847E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85%</w:t>
            </w:r>
          </w:p>
        </w:tc>
      </w:tr>
      <w:tr w:rsidR="00DF4666" w:rsidRPr="00DF4666" w14:paraId="79F26F5C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</w:tcPr>
          <w:p w14:paraId="0C18CEA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2EBDA2C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3C19B32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40FA04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</w:tcPr>
          <w:p w14:paraId="52802B7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2.17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</w:tcPr>
          <w:p w14:paraId="1A102F4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0AD450E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64A721F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ACE0EC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4E19447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3A64DD0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4A8128A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2.33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5802060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440FCD0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</w:tcPr>
          <w:p w14:paraId="6B67FBA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0F2E01F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730D77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66AC957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</w:tcPr>
          <w:p w14:paraId="05EF38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1.45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</w:tcPr>
          <w:p w14:paraId="4552603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AB2733C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4C2F763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53D67D0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6879B6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7B62D10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18F911D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262E565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63%</w:t>
            </w:r>
          </w:p>
        </w:tc>
      </w:tr>
      <w:tr w:rsidR="00DF4666" w:rsidRPr="00DF4666" w14:paraId="5E55640A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14:paraId="0AFBB0C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74B9459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2AF8B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23837DE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0682DDF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14:paraId="6589462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F4666" w14:paraId="6A65C1BF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0CEBC8F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4C89BD2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5B2AE3C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1770216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43BD5DE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52C854B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  <w:tr w:rsidR="00DF4666" w:rsidRPr="00DF4666" w14:paraId="4697F4A8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single" w:sz="4" w:space="0" w:color="auto"/>
            </w:tcBorders>
          </w:tcPr>
          <w:p w14:paraId="5CC6A61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</w:tcPr>
          <w:p w14:paraId="4BDF655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543F033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106BE5B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4" w:space="0" w:color="auto"/>
            </w:tcBorders>
          </w:tcPr>
          <w:p w14:paraId="1658A44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1.64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61A308D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97%</w:t>
            </w:r>
          </w:p>
        </w:tc>
      </w:tr>
      <w:tr w:rsidR="00DF4666" w:rsidRPr="00DF4666" w14:paraId="095684F7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single" w:sz="12" w:space="0" w:color="auto"/>
            </w:tcBorders>
          </w:tcPr>
          <w:p w14:paraId="4E9199D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12" w:space="0" w:color="auto"/>
            </w:tcBorders>
          </w:tcPr>
          <w:p w14:paraId="42C87C0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204B73C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</w:tcPr>
          <w:p w14:paraId="09A5ABE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</w:tcPr>
          <w:p w14:paraId="33C18EF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</w:tcPr>
          <w:p w14:paraId="239795B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87%</w:t>
            </w:r>
          </w:p>
        </w:tc>
      </w:tr>
      <w:tr w:rsidR="00DF4666" w:rsidRPr="00DF4666" w14:paraId="1A05344F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5737AD2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0DFA9E9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2A1DB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767420E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601F478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1.73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2B092CB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2629B84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54B48DA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bottom w:val="nil"/>
            </w:tcBorders>
          </w:tcPr>
          <w:p w14:paraId="2DAACFB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0CEF014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48111F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077" w:type="dxa"/>
            <w:tcBorders>
              <w:bottom w:val="nil"/>
            </w:tcBorders>
          </w:tcPr>
          <w:p w14:paraId="53F7B36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bottom w:val="nil"/>
            </w:tcBorders>
          </w:tcPr>
          <w:p w14:paraId="60AAC55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72%</w:t>
            </w:r>
          </w:p>
        </w:tc>
      </w:tr>
      <w:tr w:rsidR="00DF4666" w:rsidRPr="00DF4666" w14:paraId="17A0CB4F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6BF4CDC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298809D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2ED506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453218B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2DEC1A0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55AE37D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DF4666" w:rsidRPr="00DF4666" w14:paraId="5E81329E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0EA462E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537208A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8C31AB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4FE4470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0385B70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3BCA649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3D5E90E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1D7FC1B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bottom w:val="nil"/>
            </w:tcBorders>
          </w:tcPr>
          <w:p w14:paraId="4937A66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76F6BEB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72FF466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077" w:type="dxa"/>
            <w:tcBorders>
              <w:bottom w:val="nil"/>
            </w:tcBorders>
          </w:tcPr>
          <w:p w14:paraId="463CA1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448" w:type="dxa"/>
            <w:tcBorders>
              <w:bottom w:val="nil"/>
            </w:tcBorders>
          </w:tcPr>
          <w:p w14:paraId="1F1355F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78%</w:t>
            </w:r>
          </w:p>
        </w:tc>
      </w:tr>
      <w:tr w:rsidR="00DF4666" w:rsidRPr="00DF4666" w14:paraId="443EE395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005A8F6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2D3B7F8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5E97A7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7AFEB27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1812B14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2028472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34%</w:t>
            </w:r>
          </w:p>
        </w:tc>
      </w:tr>
      <w:tr w:rsidR="00DF4666" w:rsidRPr="00DF4666" w14:paraId="7577C84C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single" w:sz="4" w:space="0" w:color="auto"/>
            </w:tcBorders>
          </w:tcPr>
          <w:p w14:paraId="3BADB65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</w:tcPr>
          <w:p w14:paraId="123971C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40CE223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3F03E37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4" w:space="0" w:color="auto"/>
            </w:tcBorders>
          </w:tcPr>
          <w:p w14:paraId="133AF2C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578070E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F4666" w14:paraId="6CEFA873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single" w:sz="12" w:space="0" w:color="auto"/>
            </w:tcBorders>
          </w:tcPr>
          <w:p w14:paraId="0F4BF3E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12" w:space="0" w:color="auto"/>
            </w:tcBorders>
          </w:tcPr>
          <w:p w14:paraId="6FD9057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73B4701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</w:tcPr>
          <w:p w14:paraId="6C3C062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</w:tcPr>
          <w:p w14:paraId="55C4049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1.98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</w:tcPr>
          <w:p w14:paraId="5BF1F92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F4666" w14:paraId="46AD1E2C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</w:tcPr>
          <w:p w14:paraId="411E43D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411D063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1183480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746F70F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</w:tcPr>
          <w:p w14:paraId="724E6D1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</w:tcPr>
          <w:p w14:paraId="45BB8A1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5D80F6F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7A6B4FF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01E738E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E7EDA1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0381C54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247B121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20728EA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F4666" w14:paraId="7399A88E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14:paraId="2CD502F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02DECDC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388989F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0F7F6CF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2683A66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14:paraId="2393AE7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2531D2B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68E443C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1809DED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4DB605D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5B0AE3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4BD96DC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6F55315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22E74A3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3992BB9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4D332F7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FB127D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0A518E9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75D7EE8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77E6894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6AA5D15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2B3D826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bottom w:val="nil"/>
            </w:tcBorders>
          </w:tcPr>
          <w:p w14:paraId="71C1A16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2C59FEC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bottom w:val="nil"/>
            </w:tcBorders>
          </w:tcPr>
          <w:p w14:paraId="138F023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077" w:type="dxa"/>
            <w:tcBorders>
              <w:bottom w:val="nil"/>
            </w:tcBorders>
          </w:tcPr>
          <w:p w14:paraId="7054B21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2448" w:type="dxa"/>
            <w:tcBorders>
              <w:bottom w:val="nil"/>
            </w:tcBorders>
          </w:tcPr>
          <w:p w14:paraId="7C424DA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D990832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20C1BEE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43C485D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54E991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353CB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10C5917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0669381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  <w:tr w:rsidR="00DF4666" w:rsidRPr="00DF4666" w14:paraId="7503035D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42DC311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45431C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D063A6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2FBEB4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57D8C2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1.74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7C76CF7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21F0A30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0FA50AE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bottom w:val="nil"/>
            </w:tcBorders>
          </w:tcPr>
          <w:p w14:paraId="499F62E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02A334B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bottom w:val="nil"/>
            </w:tcBorders>
          </w:tcPr>
          <w:p w14:paraId="4A29BAF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077" w:type="dxa"/>
            <w:tcBorders>
              <w:bottom w:val="nil"/>
            </w:tcBorders>
          </w:tcPr>
          <w:p w14:paraId="3DF6DD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  <w:tc>
          <w:tcPr>
            <w:tcW w:w="2448" w:type="dxa"/>
            <w:tcBorders>
              <w:bottom w:val="nil"/>
            </w:tcBorders>
          </w:tcPr>
          <w:p w14:paraId="42A1BEB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DF4666" w:rsidRPr="00DF4666" w14:paraId="39DB357D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0BD6AFC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46212A3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015CAB0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5B196C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796B19D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1CCB2F1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48%</w:t>
            </w:r>
          </w:p>
        </w:tc>
      </w:tr>
      <w:tr w:rsidR="00DF4666" w:rsidRPr="00DF4666" w14:paraId="2A600A53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299FE0F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7586346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8962B7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740F37D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06DE46B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184BAE0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5D2F4FA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4178EC7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bottom w:val="nil"/>
            </w:tcBorders>
          </w:tcPr>
          <w:p w14:paraId="5713802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2228D8A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140C28C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077" w:type="dxa"/>
            <w:tcBorders>
              <w:bottom w:val="nil"/>
            </w:tcBorders>
          </w:tcPr>
          <w:p w14:paraId="3185374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448" w:type="dxa"/>
            <w:tcBorders>
              <w:bottom w:val="nil"/>
            </w:tcBorders>
          </w:tcPr>
          <w:p w14:paraId="5EA6889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59%</w:t>
            </w:r>
          </w:p>
        </w:tc>
      </w:tr>
      <w:tr w:rsidR="00DF4666" w:rsidRPr="00DF4666" w14:paraId="717AC2EF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790CF8C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01B0E1F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9D92AA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B4525E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46CCD1E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3A9E99B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</w:tr>
      <w:tr w:rsidR="00DF4666" w:rsidRPr="00DF4666" w14:paraId="7DA5D2F4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0D954E6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33ED776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80A3D7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BE443D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7F0C3C0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367514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8677CD0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5D9AC36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bottom w:val="nil"/>
            </w:tcBorders>
          </w:tcPr>
          <w:p w14:paraId="1546AAC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5312206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7973062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077" w:type="dxa"/>
            <w:tcBorders>
              <w:bottom w:val="nil"/>
            </w:tcBorders>
          </w:tcPr>
          <w:p w14:paraId="4CBF2EF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2448" w:type="dxa"/>
            <w:tcBorders>
              <w:bottom w:val="nil"/>
            </w:tcBorders>
          </w:tcPr>
          <w:p w14:paraId="5D790F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DF4666" w:rsidRPr="00DF4666" w14:paraId="2DDF8E34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052BDC8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EB7096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4EF03AF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7111DB8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551FE22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43339B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DF4666" w:rsidRPr="00DF4666" w14:paraId="23BD1120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</w:tcPr>
          <w:p w14:paraId="745F2B4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lastRenderedPageBreak/>
              <w:t>ELO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020CC44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3ED1833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06A3EF7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</w:tcPr>
          <w:p w14:paraId="5A27475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</w:tcPr>
          <w:p w14:paraId="2FE949B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6169739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2746BBD6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5FA0D7F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889BC5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70AB2B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1075F16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17BB436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43%</w:t>
            </w:r>
          </w:p>
        </w:tc>
      </w:tr>
      <w:tr w:rsidR="00DF4666" w:rsidRPr="00DF4666" w14:paraId="11465D22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14:paraId="2BB42B6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39F1725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7EBB893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7B8B92C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348B35D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1.87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14:paraId="5B9C2BB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F4666" w14:paraId="7BA5B360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536F9DA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C008B6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3BF1BA6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4389BBB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15F4413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5675AE1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39%</w:t>
            </w:r>
          </w:p>
        </w:tc>
      </w:tr>
      <w:tr w:rsidR="00DF4666" w:rsidRPr="00DF4666" w14:paraId="273398A3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</w:tcPr>
          <w:p w14:paraId="7A4A062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04DBA79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79BA25F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754EB50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</w:tcPr>
          <w:p w14:paraId="678431D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1.71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</w:tcPr>
          <w:p w14:paraId="55793D5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D2422E8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0173711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44C765D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099B5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3C96CA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3158FCB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3DE389A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54%</w:t>
            </w:r>
          </w:p>
        </w:tc>
      </w:tr>
      <w:tr w:rsidR="00DF4666" w:rsidRPr="00DF4666" w14:paraId="504A821A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14:paraId="4E5BFF5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3A5E828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56C1F5B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69FC5FA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11EF1C6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2.04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</w:tcPr>
          <w:p w14:paraId="1D2284B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E4DC09E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556DF191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5D9248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265A91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7B8ADD4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19584B0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6B43422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DF4666" w:rsidRPr="00DF4666" w14:paraId="696429BB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57E316F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3DF5941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140232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649285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640D38D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6A4B64B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39EE02F4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42A1D5E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bottom w:val="nil"/>
            </w:tcBorders>
          </w:tcPr>
          <w:p w14:paraId="5598F3F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67D4F34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6F8681E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077" w:type="dxa"/>
            <w:tcBorders>
              <w:bottom w:val="nil"/>
            </w:tcBorders>
          </w:tcPr>
          <w:p w14:paraId="163245D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448" w:type="dxa"/>
            <w:tcBorders>
              <w:bottom w:val="nil"/>
            </w:tcBorders>
          </w:tcPr>
          <w:p w14:paraId="21AE61E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97%</w:t>
            </w:r>
          </w:p>
        </w:tc>
      </w:tr>
      <w:tr w:rsidR="00DF4666" w:rsidRPr="00DF4666" w14:paraId="1BB65B1F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7AF41B0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01BE24A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690E23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2F43907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4E09AAB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63E678D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F4666" w14:paraId="33399B0B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3DD282A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4FEA80E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260080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920631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1A86108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24357E4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A69831F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43FDD28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bottom w:val="nil"/>
            </w:tcBorders>
          </w:tcPr>
          <w:p w14:paraId="7B819313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34F4358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17B6CFD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077" w:type="dxa"/>
            <w:tcBorders>
              <w:bottom w:val="nil"/>
            </w:tcBorders>
          </w:tcPr>
          <w:p w14:paraId="5B513E3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448" w:type="dxa"/>
            <w:tcBorders>
              <w:bottom w:val="nil"/>
            </w:tcBorders>
          </w:tcPr>
          <w:p w14:paraId="56CD3B5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00AC1089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5CD7F6E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6428EAE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10C906C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0B15A5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5884D66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7B22C9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0D97919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6403039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62AE0EC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A78BEF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1542835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33B64FC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741EE8E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23EABB4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1207A11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bottom w:val="nil"/>
            </w:tcBorders>
          </w:tcPr>
          <w:p w14:paraId="49BC474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57081B2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6D07951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077" w:type="dxa"/>
            <w:tcBorders>
              <w:bottom w:val="nil"/>
            </w:tcBorders>
          </w:tcPr>
          <w:p w14:paraId="56F07ED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2448" w:type="dxa"/>
            <w:tcBorders>
              <w:bottom w:val="nil"/>
            </w:tcBorders>
          </w:tcPr>
          <w:p w14:paraId="633E909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DF4666" w:rsidRPr="00DF4666" w14:paraId="5D1CE0E2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694DFBF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6FC8425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0A6F1D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4F99330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43467C1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02143AB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9%</w:t>
            </w:r>
          </w:p>
        </w:tc>
      </w:tr>
      <w:tr w:rsidR="00DF4666" w:rsidRPr="00DF4666" w14:paraId="4CED8F2F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37EC219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78D2308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29D1A4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00661F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1FE9662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5801823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3D0C99A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509AED0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bottom w:val="nil"/>
            </w:tcBorders>
          </w:tcPr>
          <w:p w14:paraId="6284993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13F67AC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2" w:type="dxa"/>
            <w:tcBorders>
              <w:bottom w:val="nil"/>
            </w:tcBorders>
          </w:tcPr>
          <w:p w14:paraId="71D09C5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077" w:type="dxa"/>
            <w:tcBorders>
              <w:bottom w:val="nil"/>
            </w:tcBorders>
          </w:tcPr>
          <w:p w14:paraId="6B0AF8C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1.02</w:t>
            </w:r>
          </w:p>
        </w:tc>
        <w:tc>
          <w:tcPr>
            <w:tcW w:w="2448" w:type="dxa"/>
            <w:tcBorders>
              <w:bottom w:val="nil"/>
            </w:tcBorders>
          </w:tcPr>
          <w:p w14:paraId="1EF7645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71%</w:t>
            </w:r>
          </w:p>
        </w:tc>
      </w:tr>
      <w:tr w:rsidR="00DF4666" w:rsidRPr="00DF4666" w14:paraId="340A46E5" w14:textId="77777777" w:rsidTr="006D7078">
        <w:trPr>
          <w:cantSplit/>
        </w:trPr>
        <w:tc>
          <w:tcPr>
            <w:tcW w:w="1221" w:type="dxa"/>
            <w:tcBorders>
              <w:top w:val="nil"/>
              <w:bottom w:val="nil"/>
            </w:tcBorders>
          </w:tcPr>
          <w:p w14:paraId="4BD2DFA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73DBDBA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487179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5DA01DF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62AA9C71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464083B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</w:tr>
      <w:tr w:rsidR="00DF4666" w:rsidRPr="00DF4666" w14:paraId="165263CA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094E8E3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25B3AC34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8E20BE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12EF5B9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0398511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1.78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056BDEE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1096C88D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71CAEE2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bottom w:val="nil"/>
            </w:tcBorders>
          </w:tcPr>
          <w:p w14:paraId="111E7F9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5A10C93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bottom w:val="nil"/>
            </w:tcBorders>
          </w:tcPr>
          <w:p w14:paraId="5103761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077" w:type="dxa"/>
            <w:tcBorders>
              <w:bottom w:val="nil"/>
            </w:tcBorders>
          </w:tcPr>
          <w:p w14:paraId="0CD6B5B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  <w:tc>
          <w:tcPr>
            <w:tcW w:w="2448" w:type="dxa"/>
            <w:tcBorders>
              <w:bottom w:val="nil"/>
            </w:tcBorders>
          </w:tcPr>
          <w:p w14:paraId="2405E10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725F2610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03987822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0B45589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E64611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6BED66BA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0D8AD06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2169C9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84%</w:t>
            </w:r>
          </w:p>
        </w:tc>
      </w:tr>
      <w:tr w:rsidR="00DF4666" w:rsidRPr="00DF4666" w14:paraId="509F5689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47442AE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D2D9EF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38C13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E5990D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7D160F3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5252E17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6EB0799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0BC79F3D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bottom w:val="nil"/>
            </w:tcBorders>
          </w:tcPr>
          <w:p w14:paraId="043495F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706AF8E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bottom w:val="nil"/>
            </w:tcBorders>
          </w:tcPr>
          <w:p w14:paraId="52DBA8A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077" w:type="dxa"/>
            <w:tcBorders>
              <w:bottom w:val="nil"/>
            </w:tcBorders>
          </w:tcPr>
          <w:p w14:paraId="4FE12C4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2448" w:type="dxa"/>
            <w:tcBorders>
              <w:bottom w:val="nil"/>
            </w:tcBorders>
          </w:tcPr>
          <w:p w14:paraId="0C6CD9C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5C9A1EC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14:paraId="418F58C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334E1FE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572B286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2DB8D8F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</w:tcPr>
          <w:p w14:paraId="27678F3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</w:tcPr>
          <w:p w14:paraId="4AEECA09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DF4666" w:rsidRPr="00DF4666" w14:paraId="75F86E6C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  <w:bottom w:val="single" w:sz="4" w:space="0" w:color="auto"/>
            </w:tcBorders>
          </w:tcPr>
          <w:p w14:paraId="6355AEB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</w:tcPr>
          <w:p w14:paraId="691D072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19A897D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4" w:space="0" w:color="auto"/>
            </w:tcBorders>
          </w:tcPr>
          <w:p w14:paraId="73D52AA7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4" w:space="0" w:color="auto"/>
            </w:tcBorders>
          </w:tcPr>
          <w:p w14:paraId="53D240E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1.96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4411B27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EA5CFDF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  <w:bottom w:val="single" w:sz="12" w:space="0" w:color="auto"/>
            </w:tcBorders>
          </w:tcPr>
          <w:p w14:paraId="56B1145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12" w:space="0" w:color="auto"/>
            </w:tcBorders>
          </w:tcPr>
          <w:p w14:paraId="6266A8E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176B329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</w:tcPr>
          <w:p w14:paraId="06817274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</w:tcPr>
          <w:p w14:paraId="2F106F3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</w:tcPr>
          <w:p w14:paraId="24871E65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5EE13581" w14:textId="77777777" w:rsidTr="006D7078">
        <w:trPr>
          <w:cantSplit/>
        </w:trPr>
        <w:tc>
          <w:tcPr>
            <w:tcW w:w="1221" w:type="dxa"/>
            <w:tcBorders>
              <w:top w:val="single" w:sz="12" w:space="0" w:color="auto"/>
            </w:tcBorders>
          </w:tcPr>
          <w:p w14:paraId="6A248D4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174CD2F5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945C5A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04BBE6B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378FC97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2448" w:type="dxa"/>
            <w:tcBorders>
              <w:top w:val="single" w:sz="12" w:space="0" w:color="auto"/>
            </w:tcBorders>
          </w:tcPr>
          <w:p w14:paraId="2231784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4783AB51" w14:textId="77777777" w:rsidTr="006D7078">
        <w:trPr>
          <w:cantSplit/>
        </w:trPr>
        <w:tc>
          <w:tcPr>
            <w:tcW w:w="1221" w:type="dxa"/>
            <w:tcBorders>
              <w:bottom w:val="nil"/>
            </w:tcBorders>
          </w:tcPr>
          <w:p w14:paraId="00CE88A8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bottom w:val="nil"/>
            </w:tcBorders>
          </w:tcPr>
          <w:p w14:paraId="0E5D5300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2D45E2C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bottom w:val="nil"/>
            </w:tcBorders>
          </w:tcPr>
          <w:p w14:paraId="6D1A692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077" w:type="dxa"/>
            <w:tcBorders>
              <w:bottom w:val="nil"/>
            </w:tcBorders>
          </w:tcPr>
          <w:p w14:paraId="29404EA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1.32</w:t>
            </w:r>
          </w:p>
        </w:tc>
        <w:tc>
          <w:tcPr>
            <w:tcW w:w="2448" w:type="dxa"/>
            <w:tcBorders>
              <w:bottom w:val="nil"/>
            </w:tcBorders>
          </w:tcPr>
          <w:p w14:paraId="231714BF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</w:tr>
      <w:tr w:rsidR="00DF4666" w:rsidRPr="00DF4666" w14:paraId="3281288B" w14:textId="77777777" w:rsidTr="006D7078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21502AA7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1B81158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2245D4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081B0FD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113C451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14:paraId="50323DF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42%</w:t>
            </w:r>
          </w:p>
        </w:tc>
      </w:tr>
      <w:tr w:rsidR="00DF4666" w:rsidRPr="00DF4666" w14:paraId="50B64BAF" w14:textId="77777777" w:rsidTr="006D7078">
        <w:trPr>
          <w:cantSplit/>
        </w:trPr>
        <w:tc>
          <w:tcPr>
            <w:tcW w:w="1221" w:type="dxa"/>
            <w:tcBorders>
              <w:top w:val="single" w:sz="4" w:space="0" w:color="auto"/>
            </w:tcBorders>
          </w:tcPr>
          <w:p w14:paraId="1FFD2C39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4E96445F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C9DD2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C362FE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25D8B22C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05380220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29523ED7" w14:textId="77777777" w:rsidTr="006D7078">
        <w:trPr>
          <w:cantSplit/>
        </w:trPr>
        <w:tc>
          <w:tcPr>
            <w:tcW w:w="1221" w:type="dxa"/>
          </w:tcPr>
          <w:p w14:paraId="7C824C0A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</w:tcPr>
          <w:p w14:paraId="2DAC292C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</w:tcPr>
          <w:p w14:paraId="40B45B78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</w:tcPr>
          <w:p w14:paraId="6225E64E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077" w:type="dxa"/>
          </w:tcPr>
          <w:p w14:paraId="630124C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  <w:tc>
          <w:tcPr>
            <w:tcW w:w="2448" w:type="dxa"/>
          </w:tcPr>
          <w:p w14:paraId="3DEC324B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F4666" w14:paraId="64EF0A84" w14:textId="77777777" w:rsidTr="006D7078">
        <w:trPr>
          <w:cantSplit/>
        </w:trPr>
        <w:tc>
          <w:tcPr>
            <w:tcW w:w="1221" w:type="dxa"/>
          </w:tcPr>
          <w:p w14:paraId="53417E8B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</w:tcPr>
          <w:p w14:paraId="12A07C6E" w14:textId="77777777" w:rsidR="00DF4666" w:rsidRPr="00DF4666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</w:tcPr>
          <w:p w14:paraId="31D24AF3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</w:tcPr>
          <w:p w14:paraId="6B920E96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077" w:type="dxa"/>
          </w:tcPr>
          <w:p w14:paraId="5D46872D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448" w:type="dxa"/>
          </w:tcPr>
          <w:p w14:paraId="75BCBEC2" w14:textId="77777777" w:rsidR="00DF4666" w:rsidRPr="00DF4666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F4666">
              <w:rPr>
                <w:rFonts w:ascii="Arial" w:hAnsi="Arial" w:cs="Arial"/>
                <w:sz w:val="24"/>
                <w:szCs w:val="24"/>
              </w:rPr>
              <w:t>82%</w:t>
            </w:r>
          </w:p>
        </w:tc>
      </w:tr>
    </w:tbl>
    <w:p w14:paraId="4173557A" w14:textId="4D219AEF" w:rsidR="00DF4666" w:rsidRPr="00DF4666" w:rsidRDefault="00DF4666" w:rsidP="00623557">
      <w:pPr>
        <w:numPr>
          <w:ilvl w:val="0"/>
          <w:numId w:val="8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based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</w:p>
    <w:p w14:paraId="00A2F5E7" w14:textId="10FEA2B5" w:rsidR="00DF4666" w:rsidRPr="00DF4666" w:rsidRDefault="00DF4666" w:rsidP="00623557">
      <w:pPr>
        <w:numPr>
          <w:ilvl w:val="0"/>
          <w:numId w:val="9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</w:p>
    <w:p w14:paraId="06C04476" w14:textId="7DCCFBD1" w:rsidR="00DF4666" w:rsidRPr="00DF4666" w:rsidRDefault="00DF4666" w:rsidP="00914A77">
      <w:pPr>
        <w:pStyle w:val="Heading5"/>
      </w:pPr>
      <w:r w:rsidRPr="00DF4666">
        <w:t>6.A.1.</w:t>
      </w:r>
      <w:r w:rsidR="00330ABE">
        <w:t xml:space="preserve"> </w:t>
      </w:r>
      <w:r w:rsidRPr="00DF4666">
        <w:t>Summary</w:t>
      </w:r>
      <w:r w:rsidR="00330ABE">
        <w:t xml:space="preserve"> </w:t>
      </w:r>
      <w:r w:rsidRPr="00DF4666">
        <w:t>of</w:t>
      </w:r>
      <w:r w:rsidR="00330ABE">
        <w:t xml:space="preserve"> </w:t>
      </w:r>
      <w:r w:rsidRPr="00DF4666">
        <w:t>Table</w:t>
      </w:r>
      <w:r w:rsidR="00330ABE">
        <w:t xml:space="preserve"> </w:t>
      </w:r>
      <w:r w:rsidRPr="00DF4666">
        <w:t>4</w:t>
      </w:r>
      <w:r w:rsidR="00330ABE">
        <w:t xml:space="preserve"> </w:t>
      </w:r>
      <w:r w:rsidRPr="00DF4666">
        <w:t>Results</w:t>
      </w:r>
    </w:p>
    <w:p w14:paraId="190F166C" w14:textId="356C94A3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attained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level:</w:t>
      </w:r>
      <w:r w:rsidR="00330ABE">
        <w:rPr>
          <w:rFonts w:ascii="Arial" w:hAnsi="Arial" w:cs="Arial"/>
        </w:rPr>
        <w:t xml:space="preserve"> </w:t>
      </w:r>
    </w:p>
    <w:p w14:paraId="72DBEB03" w14:textId="11AB623E" w:rsidR="00DF4666" w:rsidRPr="00691755" w:rsidRDefault="00DF4666" w:rsidP="00902D74">
      <w:pPr>
        <w:pStyle w:val="ListParagraph"/>
        <w:numPr>
          <w:ilvl w:val="0"/>
          <w:numId w:val="49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averages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every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(for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group),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largest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gains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observed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serving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fewer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students.</w:t>
      </w:r>
      <w:r w:rsidR="00330ABE">
        <w:rPr>
          <w:rFonts w:cs="Arial"/>
          <w:szCs w:val="22"/>
          <w:lang w:eastAsia="zh-CN"/>
        </w:rPr>
        <w:t xml:space="preserve"> </w:t>
      </w:r>
    </w:p>
    <w:p w14:paraId="79D3B601" w14:textId="14355EB6" w:rsidR="00DF4666" w:rsidRPr="00691755" w:rsidRDefault="00DF4666" w:rsidP="00902D74">
      <w:pPr>
        <w:pStyle w:val="ListParagraph"/>
        <w:numPr>
          <w:ilvl w:val="0"/>
          <w:numId w:val="49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addition,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smaller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across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averages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averages.</w:t>
      </w:r>
      <w:r w:rsidR="00330ABE">
        <w:rPr>
          <w:rFonts w:cs="Arial"/>
          <w:szCs w:val="22"/>
          <w:lang w:eastAsia="zh-CN"/>
        </w:rPr>
        <w:t xml:space="preserve"> </w:t>
      </w:r>
    </w:p>
    <w:p w14:paraId="49FA39C7" w14:textId="19B5D412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noticeably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1.0.</w:t>
      </w:r>
      <w:r w:rsidR="00330ABE">
        <w:rPr>
          <w:rFonts w:ascii="Arial" w:hAnsi="Arial" w:cs="Arial"/>
        </w:rPr>
        <w:t xml:space="preserve"> </w:t>
      </w:r>
    </w:p>
    <w:p w14:paraId="1F87530C" w14:textId="56D4A67D" w:rsidR="00DF4666" w:rsidRPr="00691755" w:rsidRDefault="00DF4666" w:rsidP="00902D74">
      <w:pPr>
        <w:pStyle w:val="ListParagraph"/>
        <w:numPr>
          <w:ilvl w:val="0"/>
          <w:numId w:val="50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Seventeen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percent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16,395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AGMs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(represented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16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additional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groups)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have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less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median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size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these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cases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being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1,160.</w:t>
      </w:r>
    </w:p>
    <w:p w14:paraId="2589BF57" w14:textId="599094C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reason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approximately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analyzed.)</w:t>
      </w:r>
    </w:p>
    <w:p w14:paraId="307E2720" w14:textId="21AFC40C" w:rsidR="00DF4666" w:rsidRPr="00DF4666" w:rsidRDefault="00DF4666" w:rsidP="00DF4666">
      <w:pPr>
        <w:spacing w:after="120"/>
        <w:textAlignment w:val="baseline"/>
        <w:rPr>
          <w:rFonts w:ascii="Segoe UI" w:hAnsi="Segoe UI"/>
          <w:sz w:val="18"/>
          <w:szCs w:val="18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requires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EBLPs.</w:t>
      </w:r>
      <w:r w:rsidR="00330ABE">
        <w:rPr>
          <w:rFonts w:ascii="Arial" w:hAnsi="Arial" w:cs="Arial"/>
        </w:rPr>
        <w:t xml:space="preserve"> </w:t>
      </w:r>
    </w:p>
    <w:p w14:paraId="72AFCB24" w14:textId="741338E5" w:rsidR="00DF4666" w:rsidRPr="00DF4666" w:rsidRDefault="00DF4666" w:rsidP="00DF4666">
      <w:pPr>
        <w:spacing w:after="120"/>
        <w:textAlignment w:val="baseline"/>
        <w:rPr>
          <w:rFonts w:ascii="Segoe UI" w:hAnsi="Segoe UI"/>
          <w:sz w:val="18"/>
          <w:szCs w:val="18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LEAs).</w:t>
      </w:r>
      <w:r w:rsidR="00330ABE">
        <w:rPr>
          <w:rFonts w:ascii="Arial" w:hAnsi="Arial" w:cs="Arial"/>
        </w:rPr>
        <w:t xml:space="preserve"> </w:t>
      </w:r>
    </w:p>
    <w:p w14:paraId="5D112015" w14:textId="058B435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tenfold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magnitude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</w:p>
    <w:p w14:paraId="7508B724" w14:textId="07A96FC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827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11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530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176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PI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group).</w:t>
      </w:r>
    </w:p>
    <w:p w14:paraId="6A66E765" w14:textId="1A8BC8F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eastAsia="Arial" w:hAnsi="Arial" w:cs="Arial"/>
          <w:color w:val="000000"/>
        </w:rPr>
        <w:t>Please</w:t>
      </w:r>
      <w:r w:rsidR="00330ABE">
        <w:rPr>
          <w:rFonts w:ascii="Arial" w:eastAsia="Arial" w:hAnsi="Arial" w:cs="Arial"/>
          <w:color w:val="000000"/>
        </w:rPr>
        <w:t xml:space="preserve"> </w:t>
      </w:r>
      <w:r w:rsidRPr="00DF4666">
        <w:rPr>
          <w:rFonts w:ascii="Arial" w:eastAsia="Arial" w:hAnsi="Arial" w:cs="Arial"/>
          <w:color w:val="000000"/>
        </w:rPr>
        <w:t>note</w:t>
      </w:r>
      <w:r w:rsidR="00330ABE">
        <w:rPr>
          <w:rFonts w:ascii="Arial" w:eastAsia="Arial" w:hAnsi="Arial" w:cs="Arial"/>
          <w:color w:val="000000"/>
        </w:rPr>
        <w:t xml:space="preserve"> </w:t>
      </w:r>
      <w:r w:rsidRPr="00DF4666">
        <w:rPr>
          <w:rFonts w:ascii="Arial" w:eastAsia="Arial" w:hAnsi="Arial" w:cs="Arial"/>
          <w:color w:val="000000"/>
        </w:rPr>
        <w:t>that</w:t>
      </w:r>
      <w:r w:rsidR="00330ABE">
        <w:rPr>
          <w:rFonts w:ascii="Arial" w:eastAsia="Arial" w:hAnsi="Arial" w:cs="Arial"/>
          <w:color w:val="000000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for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1,500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of:</w:t>
      </w:r>
    </w:p>
    <w:p w14:paraId="08C80FB2" w14:textId="4E55F7F7" w:rsidR="00DF4666" w:rsidRPr="00DF4666" w:rsidRDefault="00330ABE" w:rsidP="00623557">
      <w:pPr>
        <w:numPr>
          <w:ilvl w:val="0"/>
          <w:numId w:val="3"/>
        </w:numPr>
        <w:spacing w:after="120"/>
        <w:textAlignment w:val="baseline"/>
        <w:rPr>
          <w:rFonts w:ascii="Calibri" w:hAnsi="Calibri"/>
        </w:rPr>
      </w:pPr>
      <w:r>
        <w:rPr>
          <w:rFonts w:ascii="Arial" w:hAnsi="Arial" w:cs="Arial"/>
        </w:rPr>
        <w:lastRenderedPageBreak/>
        <w:t xml:space="preserve"> </w:t>
      </w:r>
      <w:r w:rsidR="00DF4666" w:rsidRPr="00DF4666">
        <w:rPr>
          <w:rFonts w:ascii="Arial" w:hAnsi="Arial" w:cs="Arial"/>
        </w:rPr>
        <w:t>Mathematic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scores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percent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groups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level</w:t>
      </w:r>
    </w:p>
    <w:p w14:paraId="7E0ED8C2" w14:textId="5177E346" w:rsidR="00DF4666" w:rsidRPr="00DF4666" w:rsidRDefault="00DF4666" w:rsidP="00623557">
      <w:pPr>
        <w:numPr>
          <w:ilvl w:val="0"/>
          <w:numId w:val="3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Mathematic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</w:p>
    <w:p w14:paraId="1A9E740E" w14:textId="58D24FA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generally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although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themselves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PI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AI,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</w:p>
    <w:p w14:paraId="4BD6EE04" w14:textId="2EDAB48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significant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level—specifically,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scores—the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discussed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_6.C._Exploration_of" w:tooltip="6.C. Exploration of Reporting Options for LEA Student Groups" w:history="1">
        <w:r w:rsidRPr="002823AD">
          <w:rPr>
            <w:rStyle w:val="Cross-reference"/>
          </w:rPr>
          <w:t>sectio</w:t>
        </w:r>
        <w:r w:rsidRPr="002823AD">
          <w:rPr>
            <w:rStyle w:val="Cross-reference"/>
          </w:rPr>
          <w:t>n</w:t>
        </w:r>
        <w:r w:rsidR="00330ABE" w:rsidRPr="002823AD">
          <w:rPr>
            <w:rStyle w:val="Cross-reference"/>
          </w:rPr>
          <w:t xml:space="preserve"> </w:t>
        </w:r>
        <w:r w:rsidRPr="002823AD">
          <w:rPr>
            <w:rStyle w:val="Cross-reference"/>
          </w:rPr>
          <w:t>6.C</w:t>
        </w:r>
      </w:hyperlink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</w:p>
    <w:p w14:paraId="0F75DA62" w14:textId="6FD8E84E" w:rsidR="00DF4666" w:rsidRPr="00DF4666" w:rsidRDefault="00DF4666" w:rsidP="00914A77">
      <w:pPr>
        <w:pStyle w:val="Heading4"/>
        <w:rPr>
          <w:rFonts w:ascii="Segoe UI" w:hAnsi="Segoe UI"/>
          <w:sz w:val="18"/>
          <w:szCs w:val="18"/>
          <w:lang w:eastAsia="zh-CN"/>
        </w:rPr>
      </w:pPr>
      <w:bookmarkStart w:id="34" w:name="_6.B._Stability_Results"/>
      <w:bookmarkEnd w:id="34"/>
      <w:r w:rsidRPr="00DF4666">
        <w:rPr>
          <w:lang w:eastAsia="zh-CN"/>
        </w:rPr>
        <w:t>6.B.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Stability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Results</w:t>
      </w:r>
    </w:p>
    <w:p w14:paraId="3747ADA8" w14:textId="1C458AB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mentioned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earlier,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increases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evident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(ranging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–1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+1)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stable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across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time.</w:t>
      </w:r>
      <w:r w:rsidR="00330ABE">
        <w:rPr>
          <w:rFonts w:ascii="Arial" w:hAnsi="Arial" w:cs="Arial"/>
        </w:rPr>
        <w:t xml:space="preserve"> </w:t>
      </w:r>
    </w:p>
    <w:p w14:paraId="53DDC785" w14:textId="1DFF32CD" w:rsidR="00DF4666" w:rsidRPr="00DF4666" w:rsidRDefault="005E6D06" w:rsidP="00DF4666">
      <w:pPr>
        <w:spacing w:after="120"/>
        <w:textAlignment w:val="baseline"/>
        <w:rPr>
          <w:rFonts w:ascii="Arial" w:hAnsi="Arial" w:cs="Arial"/>
        </w:rPr>
      </w:pPr>
      <w:hyperlink w:anchor="Table5" w:tooltip="Table 5. Cross-Year Stability of the 2018–19 Two-Year empirical best linear prediction Weighted Average and the Simple Average for local educational agencies" w:history="1">
        <w:r w:rsidRPr="005E6D06">
          <w:rPr>
            <w:rStyle w:val="Hyperlink"/>
            <w:rFonts w:ascii="Arial" w:hAnsi="Arial" w:cs="Arial"/>
          </w:rPr>
          <w:t>Table 5</w:t>
        </w:r>
      </w:hyperlink>
      <w:r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compares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level.</w:t>
      </w:r>
    </w:p>
    <w:p w14:paraId="7E3C09B6" w14:textId="5F177B2A" w:rsidR="00DF4666" w:rsidRPr="00914A77" w:rsidRDefault="00DF4666" w:rsidP="00DF4666">
      <w:pPr>
        <w:spacing w:before="120" w:after="60"/>
        <w:textAlignment w:val="baseline"/>
        <w:rPr>
          <w:rFonts w:ascii="Arial" w:hAnsi="Arial" w:cs="Arial"/>
          <w:b/>
          <w:bCs/>
        </w:rPr>
      </w:pPr>
      <w:bookmarkStart w:id="35" w:name="_Ref61533041"/>
      <w:bookmarkStart w:id="36" w:name="Table5"/>
      <w:bookmarkStart w:id="37" w:name="_Toc139890516"/>
      <w:r w:rsidRPr="00914A77">
        <w:rPr>
          <w:rFonts w:ascii="Arial" w:hAnsi="Arial" w:cs="Arial"/>
          <w:b/>
          <w:bCs/>
        </w:rPr>
        <w:t>Table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fldChar w:fldCharType="begin"/>
      </w:r>
      <w:r w:rsidRPr="00914A77">
        <w:rPr>
          <w:rFonts w:ascii="Arial" w:hAnsi="Arial" w:cs="Arial"/>
          <w:b/>
          <w:bCs/>
        </w:rPr>
        <w:instrText>SEQ Table \* ARABIC</w:instrText>
      </w:r>
      <w:r w:rsidRPr="00914A77">
        <w:rPr>
          <w:rFonts w:ascii="Arial" w:hAnsi="Arial" w:cs="Arial"/>
          <w:b/>
          <w:bCs/>
        </w:rPr>
        <w:fldChar w:fldCharType="separate"/>
      </w:r>
      <w:r w:rsidR="00BC1E6E" w:rsidRPr="00914A77">
        <w:rPr>
          <w:rFonts w:ascii="Arial" w:hAnsi="Arial" w:cs="Arial"/>
          <w:b/>
          <w:bCs/>
          <w:noProof/>
        </w:rPr>
        <w:t>5</w:t>
      </w:r>
      <w:r w:rsidRPr="00914A77">
        <w:rPr>
          <w:rFonts w:ascii="Arial" w:hAnsi="Arial" w:cs="Arial"/>
          <w:b/>
          <w:bCs/>
        </w:rPr>
        <w:fldChar w:fldCharType="end"/>
      </w:r>
      <w:bookmarkEnd w:id="35"/>
      <w:r w:rsidRPr="00914A77">
        <w:rPr>
          <w:rFonts w:ascii="Arial" w:hAnsi="Arial" w:cs="Arial"/>
          <w:b/>
          <w:bCs/>
        </w:rPr>
        <w:t>.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Cross-Year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Stability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of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2018–19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Two-Year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EBLP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Weighted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and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Simple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for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LEAs</w:t>
      </w:r>
      <w:bookmarkEnd w:id="37"/>
    </w:p>
    <w:tbl>
      <w:tblPr>
        <w:tblStyle w:val="TRtable"/>
        <w:tblW w:w="9831" w:type="dxa"/>
        <w:tblLayout w:type="fixed"/>
        <w:tblLook w:val="04A0" w:firstRow="1" w:lastRow="0" w:firstColumn="1" w:lastColumn="0" w:noHBand="0" w:noVBand="1"/>
        <w:tblDescription w:val="Table 5. Cross-Year Stability of the 2018–19 Two-Year Empirical Best Linear Prediction Weighted Average and the Simple Average for local educational agencies."/>
      </w:tblPr>
      <w:tblGrid>
        <w:gridCol w:w="1227"/>
        <w:gridCol w:w="1577"/>
        <w:gridCol w:w="1440"/>
        <w:gridCol w:w="1267"/>
        <w:gridCol w:w="2160"/>
        <w:gridCol w:w="2160"/>
      </w:tblGrid>
      <w:tr w:rsidR="00DF4666" w:rsidRPr="0088242A" w14:paraId="490FFB60" w14:textId="77777777" w:rsidTr="00EA4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27" w:type="dxa"/>
            <w:vAlign w:val="bottom"/>
          </w:tcPr>
          <w:bookmarkEnd w:id="36"/>
          <w:p w14:paraId="604D877F" w14:textId="1B8A08EB" w:rsidR="00DF4666" w:rsidRPr="0088242A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77" w:type="dxa"/>
            <w:vAlign w:val="bottom"/>
          </w:tcPr>
          <w:p w14:paraId="1954010F" w14:textId="77777777" w:rsidR="00DF4666" w:rsidRPr="0088242A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440" w:type="dxa"/>
            <w:vAlign w:val="bottom"/>
          </w:tcPr>
          <w:p w14:paraId="46B961D5" w14:textId="3A39F47A" w:rsidR="00DF4666" w:rsidRPr="0088242A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Size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7" w:type="dxa"/>
            <w:vAlign w:val="bottom"/>
          </w:tcPr>
          <w:p w14:paraId="50EB09DC" w14:textId="6C323834" w:rsidR="00DF4666" w:rsidRPr="0088242A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LEAs</w:t>
            </w:r>
          </w:p>
        </w:tc>
        <w:tc>
          <w:tcPr>
            <w:tcW w:w="2160" w:type="dxa"/>
            <w:vAlign w:val="bottom"/>
          </w:tcPr>
          <w:p w14:paraId="63E622D3" w14:textId="59BBD7D2" w:rsidR="00DF4666" w:rsidRPr="0088242A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Average</w:t>
            </w:r>
          </w:p>
        </w:tc>
        <w:tc>
          <w:tcPr>
            <w:tcW w:w="2160" w:type="dxa"/>
            <w:vAlign w:val="bottom"/>
          </w:tcPr>
          <w:p w14:paraId="0ED2D3B2" w14:textId="6921FF58" w:rsidR="00DF4666" w:rsidRPr="0088242A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2-year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8242A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EBLP</w:t>
            </w:r>
          </w:p>
        </w:tc>
      </w:tr>
      <w:tr w:rsidR="00DF4666" w:rsidRPr="0088242A" w14:paraId="1B29E261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052B760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6F5CCB4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5F04F7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7F258A3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E34D8E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C718C8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88242A" w14:paraId="5F6E3967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30DE5EF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bottom w:val="nil"/>
            </w:tcBorders>
          </w:tcPr>
          <w:p w14:paraId="5DEDADE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02363D8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75E35B7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2160" w:type="dxa"/>
            <w:tcBorders>
              <w:bottom w:val="nil"/>
            </w:tcBorders>
          </w:tcPr>
          <w:p w14:paraId="2E3945B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bottom w:val="nil"/>
            </w:tcBorders>
          </w:tcPr>
          <w:p w14:paraId="6633772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</w:tr>
      <w:tr w:rsidR="00DF4666" w:rsidRPr="0088242A" w14:paraId="5BFCB5DB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229D0D6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7E17A18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B9C769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6C7F0BE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0F9411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541E50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88242A" w14:paraId="3656FACF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08D96AC1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7E11993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19EDD5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69F252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26055D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4CA777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88242A" w14:paraId="041AAEFC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41E0AF7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bottom w:val="nil"/>
            </w:tcBorders>
          </w:tcPr>
          <w:p w14:paraId="63B8410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2EA3400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47DBEC8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160" w:type="dxa"/>
            <w:tcBorders>
              <w:bottom w:val="nil"/>
            </w:tcBorders>
          </w:tcPr>
          <w:p w14:paraId="5B0E331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bottom w:val="nil"/>
            </w:tcBorders>
          </w:tcPr>
          <w:p w14:paraId="4ACBB63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88242A" w14:paraId="6FB5A64A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0EB799D8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3495B1F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6DD8F09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369218C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DCE9C2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A48A38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</w:tr>
      <w:tr w:rsidR="00DF4666" w:rsidRPr="0088242A" w14:paraId="6AFC54E2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nil"/>
            </w:tcBorders>
          </w:tcPr>
          <w:p w14:paraId="26B94C9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2DBBD8F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1A7EE6E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  <w:bottom w:val="nil"/>
            </w:tcBorders>
          </w:tcPr>
          <w:p w14:paraId="116CF2B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1BA8960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D8F3BF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88242A" w14:paraId="02169820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6D51605A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65EA5F71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B5C70E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54643B9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44FCCE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4739B3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0.73</w:t>
            </w:r>
          </w:p>
        </w:tc>
      </w:tr>
      <w:tr w:rsidR="00DF4666" w:rsidRPr="0088242A" w14:paraId="5BAE2851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14:paraId="37D6C2D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44FE7DD1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722D8A1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818C73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9A0524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681C6A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88242A" w14:paraId="7C776E84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434D81B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0F77397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6BE3F26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22D73C6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634ECF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772DC3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  <w:tr w:rsidR="00DF4666" w:rsidRPr="0088242A" w14:paraId="6CDFB3F1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nil"/>
            </w:tcBorders>
          </w:tcPr>
          <w:p w14:paraId="0CD7A8C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48739B3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16163F2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7" w:type="dxa"/>
            <w:tcBorders>
              <w:top w:val="single" w:sz="12" w:space="0" w:color="auto"/>
              <w:bottom w:val="nil"/>
            </w:tcBorders>
          </w:tcPr>
          <w:p w14:paraId="6E82BC5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881819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B55927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88242A" w14:paraId="03F27805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5D071BE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4C6A11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031FF62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7C342D5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8BC01E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FA2CF2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88242A" w14:paraId="6B96DFB2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nil"/>
            </w:tcBorders>
          </w:tcPr>
          <w:p w14:paraId="07F311AA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lastRenderedPageBreak/>
              <w:t>AS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12F962E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0454F27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  <w:bottom w:val="nil"/>
            </w:tcBorders>
          </w:tcPr>
          <w:p w14:paraId="49E6AD4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3193364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-0.03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7796B47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88242A" w14:paraId="66EBCC17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1610AA2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185D333A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A82F85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D7EB56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102951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B1EC80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88242A" w14:paraId="6B391316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14:paraId="7F0186C3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789BE311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0F6309A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6576E71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D8D6FB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603CF6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88242A" w14:paraId="4B4B8A25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079E1D5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57D77CA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00D6C0E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49B43A4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22BE0F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862A47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88242A" w14:paraId="57CAE567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</w:tcPr>
          <w:p w14:paraId="2BFF9A6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</w:tcPr>
          <w:p w14:paraId="07D2A5DB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3731668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4" w:space="0" w:color="auto"/>
            </w:tcBorders>
          </w:tcPr>
          <w:p w14:paraId="7D3703B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42963F9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1911B7F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DF4666" w:rsidRPr="0088242A" w14:paraId="2C631C5B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single" w:sz="12" w:space="0" w:color="auto"/>
            </w:tcBorders>
          </w:tcPr>
          <w:p w14:paraId="1DCF917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12" w:space="0" w:color="auto"/>
            </w:tcBorders>
          </w:tcPr>
          <w:p w14:paraId="3F0D1F8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75807EC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</w:tcPr>
          <w:p w14:paraId="5D8D4DB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10EC791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5AEF60D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E52E3D" w:rsidRPr="0088242A" w14:paraId="10E87C5D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74F494EC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66022AA0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C2A36EE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7A8A3D7F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46626DA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DED3A74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E52E3D" w:rsidRPr="0088242A" w14:paraId="129FA7DC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41F7B7F4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bottom w:val="nil"/>
            </w:tcBorders>
          </w:tcPr>
          <w:p w14:paraId="5758E002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07969ACD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37BD576E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160" w:type="dxa"/>
            <w:tcBorders>
              <w:bottom w:val="nil"/>
            </w:tcBorders>
          </w:tcPr>
          <w:p w14:paraId="75CFF033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0.41</w:t>
            </w:r>
          </w:p>
        </w:tc>
        <w:tc>
          <w:tcPr>
            <w:tcW w:w="2160" w:type="dxa"/>
            <w:tcBorders>
              <w:bottom w:val="nil"/>
            </w:tcBorders>
          </w:tcPr>
          <w:p w14:paraId="453EBB2E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E52E3D" w:rsidRPr="0088242A" w14:paraId="3A7096D1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11F755BA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58A079E4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F70F7F2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BE4C9C4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31D4FA7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6857F47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E52E3D" w:rsidRPr="0088242A" w14:paraId="44062C0C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0C56A978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73B01664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57E434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57DA6BB1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62461B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286DB9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E52E3D" w:rsidRPr="0088242A" w14:paraId="48097E64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3BD49A08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bottom w:val="nil"/>
            </w:tcBorders>
          </w:tcPr>
          <w:p w14:paraId="6625FE4B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5A9977D5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4C97187F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2160" w:type="dxa"/>
            <w:tcBorders>
              <w:bottom w:val="nil"/>
            </w:tcBorders>
          </w:tcPr>
          <w:p w14:paraId="5B938C1D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  <w:tc>
          <w:tcPr>
            <w:tcW w:w="2160" w:type="dxa"/>
            <w:tcBorders>
              <w:bottom w:val="nil"/>
            </w:tcBorders>
          </w:tcPr>
          <w:p w14:paraId="4673156B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E52E3D" w:rsidRPr="0088242A" w14:paraId="62042FCB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2F4297F9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28CCF689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5A1ABFC2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4F3B5516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23BFE24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2917A0D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</w:tr>
      <w:tr w:rsidR="00E52E3D" w:rsidRPr="0088242A" w14:paraId="71CA7B88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</w:tcPr>
          <w:p w14:paraId="55AA6E3D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</w:tcPr>
          <w:p w14:paraId="0653FECB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5F62630C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4" w:space="0" w:color="auto"/>
            </w:tcBorders>
          </w:tcPr>
          <w:p w14:paraId="5C7EB121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35E1CCD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4C83A7D5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</w:tr>
      <w:tr w:rsidR="00E52E3D" w:rsidRPr="0088242A" w14:paraId="54BF13DE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single" w:sz="12" w:space="0" w:color="auto"/>
            </w:tcBorders>
          </w:tcPr>
          <w:p w14:paraId="7FF1F27C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12" w:space="0" w:color="auto"/>
            </w:tcBorders>
          </w:tcPr>
          <w:p w14:paraId="7FF07667" w14:textId="77777777" w:rsidR="00E52E3D" w:rsidRPr="0088242A" w:rsidRDefault="00E52E3D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46FB5B42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</w:tcPr>
          <w:p w14:paraId="33E8C6F9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042609B0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424E6680" w14:textId="77777777" w:rsidR="00E52E3D" w:rsidRPr="0088242A" w:rsidRDefault="00E52E3D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88242A" w14:paraId="7A5A519E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nil"/>
            </w:tcBorders>
          </w:tcPr>
          <w:p w14:paraId="4347CAA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3435D96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10E15C5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  <w:bottom w:val="nil"/>
            </w:tcBorders>
          </w:tcPr>
          <w:p w14:paraId="30A06A5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151C8BA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326962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88242A" w14:paraId="3E283E5A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75FA0E3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1501240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7D03A1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3A50A55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2E414E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301FBD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88242A" w14:paraId="6C49B4A8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14:paraId="28ECE03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22621F1B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29501E1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019EEC3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8D8B2A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C498A4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88242A" w14:paraId="17187AA9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62A4711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5993541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040E2DA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2EF95E9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FADBBC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70A096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88242A" w14:paraId="48F55B36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212653A1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5662FDB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EAD029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3E4A41C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1C9B1E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1BBB40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DF4666" w:rsidRPr="0088242A" w14:paraId="49B9230E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07B9002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bottom w:val="nil"/>
            </w:tcBorders>
          </w:tcPr>
          <w:p w14:paraId="5F47DAB1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629DA22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7" w:type="dxa"/>
            <w:tcBorders>
              <w:bottom w:val="nil"/>
            </w:tcBorders>
          </w:tcPr>
          <w:p w14:paraId="5463651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160" w:type="dxa"/>
            <w:tcBorders>
              <w:bottom w:val="nil"/>
            </w:tcBorders>
          </w:tcPr>
          <w:p w14:paraId="042963B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2160" w:type="dxa"/>
            <w:tcBorders>
              <w:bottom w:val="nil"/>
            </w:tcBorders>
          </w:tcPr>
          <w:p w14:paraId="42E441B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88242A" w14:paraId="2F36D873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5E829E4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54002ED0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610D3E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6E9E25C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41CFDF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748CEE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88242A" w14:paraId="28BABCFC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661A8DC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23BD77D0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AA37B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3B28101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AFE2D6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4219E1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</w:tr>
      <w:tr w:rsidR="00DF4666" w:rsidRPr="0088242A" w14:paraId="220F7E70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1EF0E73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bottom w:val="nil"/>
            </w:tcBorders>
          </w:tcPr>
          <w:p w14:paraId="1AE2F06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0F2CE3C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7" w:type="dxa"/>
            <w:tcBorders>
              <w:bottom w:val="nil"/>
            </w:tcBorders>
          </w:tcPr>
          <w:p w14:paraId="482B0CA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160" w:type="dxa"/>
            <w:tcBorders>
              <w:bottom w:val="nil"/>
            </w:tcBorders>
          </w:tcPr>
          <w:p w14:paraId="369147D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2160" w:type="dxa"/>
            <w:tcBorders>
              <w:bottom w:val="nil"/>
            </w:tcBorders>
          </w:tcPr>
          <w:p w14:paraId="7E7D255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88242A" w14:paraId="22B1AC17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477248C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065E0B8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60EDE83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21F2E84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EC5417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06D0DA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DF4666" w:rsidRPr="0088242A" w14:paraId="4997A073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1523C1E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17D282B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1ECE75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7872E38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A90328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8EF262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88242A" w14:paraId="6C61C745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58F3466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bottom w:val="nil"/>
            </w:tcBorders>
          </w:tcPr>
          <w:p w14:paraId="07E0A31B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4FDDF37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10D0E51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160" w:type="dxa"/>
            <w:tcBorders>
              <w:bottom w:val="nil"/>
            </w:tcBorders>
          </w:tcPr>
          <w:p w14:paraId="38F2195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bottom w:val="nil"/>
            </w:tcBorders>
          </w:tcPr>
          <w:p w14:paraId="3AC32B5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0.71</w:t>
            </w:r>
          </w:p>
        </w:tc>
      </w:tr>
      <w:tr w:rsidR="00DF4666" w:rsidRPr="0088242A" w14:paraId="36F18C37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7E26A423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2B73DF8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7523D6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90A03E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043FE2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B79B3B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</w:tr>
      <w:tr w:rsidR="00DF4666" w:rsidRPr="0088242A" w14:paraId="2D06D4D9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6B9CEE1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7E681AC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AD8973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622DFF1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9A09ED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1F9F3B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88242A" w14:paraId="510AE1D2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7A2052D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bottom w:val="nil"/>
            </w:tcBorders>
          </w:tcPr>
          <w:p w14:paraId="4517AD7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3865BB1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31C64E0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160" w:type="dxa"/>
            <w:tcBorders>
              <w:bottom w:val="nil"/>
            </w:tcBorders>
          </w:tcPr>
          <w:p w14:paraId="1FACF82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2160" w:type="dxa"/>
            <w:tcBorders>
              <w:bottom w:val="nil"/>
            </w:tcBorders>
          </w:tcPr>
          <w:p w14:paraId="49B8C92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88242A" w14:paraId="22679FE8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298615A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17F94B6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51CEC74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04BF90E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42620B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5C2EF6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</w:tr>
      <w:tr w:rsidR="00DF4666" w:rsidRPr="0088242A" w14:paraId="68F55D73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nil"/>
            </w:tcBorders>
          </w:tcPr>
          <w:p w14:paraId="7C6E5E6B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3129389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156CCD4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  <w:bottom w:val="nil"/>
            </w:tcBorders>
          </w:tcPr>
          <w:p w14:paraId="0A0CD1A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8D39C8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5927DA7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88242A" w14:paraId="1A66E821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280EEA88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5F48308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F79C18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D02D4E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0AF636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386834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88242A" w14:paraId="730477BD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14:paraId="78E3E95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5A7BA70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54C31A6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BD87BA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B0C327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DF8208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88242A" w14:paraId="23D920CE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0D727D4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lastRenderedPageBreak/>
              <w:t>ELO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C3DE5A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6DA16E4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6511400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1D27EC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35736A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  <w:tr w:rsidR="00DF4666" w:rsidRPr="0088242A" w14:paraId="31A42D67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nil"/>
            </w:tcBorders>
          </w:tcPr>
          <w:p w14:paraId="5BCC3AC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14:paraId="44F7CA1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</w:tcPr>
          <w:p w14:paraId="7111DB5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  <w:bottom w:val="nil"/>
            </w:tcBorders>
          </w:tcPr>
          <w:p w14:paraId="55181E1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1946A2C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5DFB15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DF4666" w:rsidRPr="0088242A" w14:paraId="1682EF68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026EA27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695C2F4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08DEA5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F64FE8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08452F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F70694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88242A" w14:paraId="358982CA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14:paraId="382727F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51344D7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5E8CFDA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61EB388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7E42C2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77E5B8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DF4666" w:rsidRPr="0088242A" w14:paraId="23526BA5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776B3CD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6809426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4644EB2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5CFDA4B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9A5A64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2E8AD7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88242A" w14:paraId="6D57C4DB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2BF8572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7133840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05DB24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058C1EB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B820CD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0.31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732A7A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88242A" w14:paraId="7DEB0670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5B27EF2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bottom w:val="nil"/>
            </w:tcBorders>
          </w:tcPr>
          <w:p w14:paraId="260DC2A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78F0FED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506E7D1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2160" w:type="dxa"/>
            <w:tcBorders>
              <w:bottom w:val="nil"/>
            </w:tcBorders>
          </w:tcPr>
          <w:p w14:paraId="39C0B6B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2160" w:type="dxa"/>
            <w:tcBorders>
              <w:bottom w:val="nil"/>
            </w:tcBorders>
          </w:tcPr>
          <w:p w14:paraId="312F480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88242A" w14:paraId="062AFF9A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3C62E4F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38F7596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42DDE0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6EAB4D9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CCC89A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DC97F7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DF4666" w:rsidRPr="0088242A" w14:paraId="09E85DAC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3A9C597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1B21E023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DA05C6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0C04E1E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25A83A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57879E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88242A" w14:paraId="521C139B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325E340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bottom w:val="nil"/>
            </w:tcBorders>
          </w:tcPr>
          <w:p w14:paraId="62FFA2C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04146DC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1EC4620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160" w:type="dxa"/>
            <w:tcBorders>
              <w:bottom w:val="nil"/>
            </w:tcBorders>
          </w:tcPr>
          <w:p w14:paraId="6EF2891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2160" w:type="dxa"/>
            <w:tcBorders>
              <w:bottom w:val="nil"/>
            </w:tcBorders>
          </w:tcPr>
          <w:p w14:paraId="6982985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88242A" w14:paraId="096ECD14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1A2909C3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3368394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4069746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28A2EAE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D19AFA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D7555F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88242A" w14:paraId="551DC929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7ABE398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6EB1D1E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6CE471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2289EB7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019F65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F0D1CF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AA63F1" w:rsidRPr="0088242A" w14:paraId="0A21C157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01285E8A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bottom w:val="nil"/>
            </w:tcBorders>
          </w:tcPr>
          <w:p w14:paraId="04BF763B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40275B59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40E84739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160" w:type="dxa"/>
            <w:tcBorders>
              <w:bottom w:val="nil"/>
            </w:tcBorders>
          </w:tcPr>
          <w:p w14:paraId="2A0120C9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bottom w:val="nil"/>
            </w:tcBorders>
          </w:tcPr>
          <w:p w14:paraId="08539903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AA63F1" w:rsidRPr="0088242A" w14:paraId="2CCD5261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4C02D164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2327B84E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5D64D0C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9568E7D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8A5360B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516F54D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AA63F1" w:rsidRPr="0088242A" w14:paraId="0673D79C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5BDE310C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760C8315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90DA1C8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7B0457E2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0AC7E52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4770E7F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AA63F1" w:rsidRPr="0088242A" w14:paraId="0785DC23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25233B5D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bottom w:val="nil"/>
            </w:tcBorders>
          </w:tcPr>
          <w:p w14:paraId="53A92165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1A730BE4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150–1,499</w:t>
            </w:r>
          </w:p>
        </w:tc>
        <w:tc>
          <w:tcPr>
            <w:tcW w:w="1267" w:type="dxa"/>
            <w:tcBorders>
              <w:bottom w:val="nil"/>
            </w:tcBorders>
          </w:tcPr>
          <w:p w14:paraId="4A9BE865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160" w:type="dxa"/>
            <w:tcBorders>
              <w:bottom w:val="nil"/>
            </w:tcBorders>
          </w:tcPr>
          <w:p w14:paraId="5A2F37DE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2160" w:type="dxa"/>
            <w:tcBorders>
              <w:bottom w:val="nil"/>
            </w:tcBorders>
          </w:tcPr>
          <w:p w14:paraId="607F1CEF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AA63F1" w:rsidRPr="0088242A" w14:paraId="3EEDDEF1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355ADFFD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7A4FCC5E" w14:textId="77777777" w:rsidR="00AA63F1" w:rsidRPr="0088242A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62601BB8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≥1,500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1C145F80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4A07C6D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BD25404" w14:textId="77777777" w:rsidR="00AA63F1" w:rsidRPr="0088242A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DF4666" w:rsidRPr="0088242A" w14:paraId="157157D8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4B8735F0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1D2D1759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5E57F0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30473D9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8134C2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-0.06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75C929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</w:tr>
      <w:tr w:rsidR="00DF4666" w:rsidRPr="0088242A" w14:paraId="72AB7F4F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3843C5E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bottom w:val="nil"/>
            </w:tcBorders>
          </w:tcPr>
          <w:p w14:paraId="1B0BC68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2DCBBE7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7" w:type="dxa"/>
            <w:tcBorders>
              <w:bottom w:val="nil"/>
            </w:tcBorders>
          </w:tcPr>
          <w:p w14:paraId="7C56FFD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160" w:type="dxa"/>
            <w:tcBorders>
              <w:bottom w:val="nil"/>
            </w:tcBorders>
          </w:tcPr>
          <w:p w14:paraId="30A2042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bottom w:val="nil"/>
            </w:tcBorders>
          </w:tcPr>
          <w:p w14:paraId="5285D0E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</w:tr>
      <w:tr w:rsidR="00DF4666" w:rsidRPr="0088242A" w14:paraId="270EB078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383FFAA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097FA360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0AB510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750210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80FFF2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8BD73C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88242A" w14:paraId="1B480E58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7994C10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5ABD6CA0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FFD1C8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1C3D32A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2CDEE7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-0.18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141257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</w:tr>
      <w:tr w:rsidR="00DF4666" w:rsidRPr="0088242A" w14:paraId="5B63645A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365B08F5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bottom w:val="nil"/>
            </w:tcBorders>
          </w:tcPr>
          <w:p w14:paraId="5D736150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bottom w:val="nil"/>
            </w:tcBorders>
          </w:tcPr>
          <w:p w14:paraId="2E6930C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7" w:type="dxa"/>
            <w:tcBorders>
              <w:bottom w:val="nil"/>
            </w:tcBorders>
          </w:tcPr>
          <w:p w14:paraId="148004C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160" w:type="dxa"/>
            <w:tcBorders>
              <w:bottom w:val="nil"/>
            </w:tcBorders>
          </w:tcPr>
          <w:p w14:paraId="0E44F827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bottom w:val="nil"/>
            </w:tcBorders>
          </w:tcPr>
          <w:p w14:paraId="06F0B52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</w:tr>
      <w:tr w:rsidR="00DF4666" w:rsidRPr="0088242A" w14:paraId="79BBF3E2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12" w:space="0" w:color="auto"/>
            </w:tcBorders>
          </w:tcPr>
          <w:p w14:paraId="0F0DA4D8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14:paraId="1979A54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6AC627B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12" w:space="0" w:color="auto"/>
            </w:tcBorders>
          </w:tcPr>
          <w:p w14:paraId="4EEFC8D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FF9B78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A0194F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88242A" w14:paraId="0F55B8B5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</w:tcPr>
          <w:p w14:paraId="3A881B7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</w:tcPr>
          <w:p w14:paraId="129363F4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14:paraId="3B6E3D7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4" w:space="0" w:color="auto"/>
            </w:tcBorders>
          </w:tcPr>
          <w:p w14:paraId="0F37DB91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CEEF00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257B8979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88242A" w14:paraId="79E0BE2F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  <w:bottom w:val="single" w:sz="12" w:space="0" w:color="auto"/>
            </w:tcBorders>
          </w:tcPr>
          <w:p w14:paraId="669BB1BF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12" w:space="0" w:color="auto"/>
            </w:tcBorders>
          </w:tcPr>
          <w:p w14:paraId="7DFEDCDA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356B89B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11–1,499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</w:tcPr>
          <w:p w14:paraId="798DED6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54D907F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25138BA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88242A" w14:paraId="7A771488" w14:textId="77777777" w:rsidTr="00EA4707">
        <w:trPr>
          <w:cantSplit/>
        </w:trPr>
        <w:tc>
          <w:tcPr>
            <w:tcW w:w="1227" w:type="dxa"/>
            <w:tcBorders>
              <w:top w:val="single" w:sz="12" w:space="0" w:color="auto"/>
            </w:tcBorders>
          </w:tcPr>
          <w:p w14:paraId="3DED065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4918F56C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D8C0474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5F93B64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0C476F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-0.03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4C15C6C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88242A" w14:paraId="4F893135" w14:textId="77777777" w:rsidTr="00EA4707">
        <w:trPr>
          <w:cantSplit/>
        </w:trPr>
        <w:tc>
          <w:tcPr>
            <w:tcW w:w="1227" w:type="dxa"/>
            <w:tcBorders>
              <w:bottom w:val="nil"/>
            </w:tcBorders>
          </w:tcPr>
          <w:p w14:paraId="455BA29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bottom w:val="nil"/>
            </w:tcBorders>
          </w:tcPr>
          <w:p w14:paraId="677A2897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bottom w:val="nil"/>
            </w:tcBorders>
          </w:tcPr>
          <w:p w14:paraId="5474149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7" w:type="dxa"/>
            <w:tcBorders>
              <w:bottom w:val="nil"/>
            </w:tcBorders>
          </w:tcPr>
          <w:p w14:paraId="0447396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160" w:type="dxa"/>
            <w:tcBorders>
              <w:bottom w:val="nil"/>
            </w:tcBorders>
          </w:tcPr>
          <w:p w14:paraId="3B72F080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2160" w:type="dxa"/>
            <w:tcBorders>
              <w:bottom w:val="nil"/>
            </w:tcBorders>
          </w:tcPr>
          <w:p w14:paraId="4381398A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88242A" w14:paraId="12587034" w14:textId="77777777" w:rsidTr="00EA4707">
        <w:trPr>
          <w:cantSplit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14:paraId="5D31A26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14:paraId="5431508B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02EBC4A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9E3300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BB73B3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F678B5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88242A" w14:paraId="7AAF9A5C" w14:textId="77777777" w:rsidTr="00EA4707">
        <w:trPr>
          <w:cantSplit/>
        </w:trPr>
        <w:tc>
          <w:tcPr>
            <w:tcW w:w="1227" w:type="dxa"/>
            <w:tcBorders>
              <w:top w:val="single" w:sz="4" w:space="0" w:color="auto"/>
            </w:tcBorders>
          </w:tcPr>
          <w:p w14:paraId="65D54332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417FB9DE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0A5848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13E9ABCF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670DC06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2B59205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88242A" w14:paraId="0F0E358A" w14:textId="77777777" w:rsidTr="00EA4707">
        <w:trPr>
          <w:cantSplit/>
        </w:trPr>
        <w:tc>
          <w:tcPr>
            <w:tcW w:w="1227" w:type="dxa"/>
          </w:tcPr>
          <w:p w14:paraId="3DC1C5B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</w:tcPr>
          <w:p w14:paraId="4DCBC97D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</w:tcPr>
          <w:p w14:paraId="1DFD947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7" w:type="dxa"/>
          </w:tcPr>
          <w:p w14:paraId="243604E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160" w:type="dxa"/>
          </w:tcPr>
          <w:p w14:paraId="47660F8B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</w:tcPr>
          <w:p w14:paraId="316F1F3D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88242A" w14:paraId="1FCC292C" w14:textId="77777777" w:rsidTr="00EA4707">
        <w:trPr>
          <w:cantSplit/>
        </w:trPr>
        <w:tc>
          <w:tcPr>
            <w:tcW w:w="1227" w:type="dxa"/>
          </w:tcPr>
          <w:p w14:paraId="2F28A276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</w:tcPr>
          <w:p w14:paraId="44ED4C9A" w14:textId="77777777" w:rsidR="00DF4666" w:rsidRPr="0088242A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</w:tcPr>
          <w:p w14:paraId="5EA09193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7" w:type="dxa"/>
          </w:tcPr>
          <w:p w14:paraId="50FDA83E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160" w:type="dxa"/>
          </w:tcPr>
          <w:p w14:paraId="2E2C2552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  <w:tc>
          <w:tcPr>
            <w:tcW w:w="2160" w:type="dxa"/>
          </w:tcPr>
          <w:p w14:paraId="6EA0899C" w14:textId="77777777" w:rsidR="00DF4666" w:rsidRPr="0088242A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242A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</w:tbl>
    <w:p w14:paraId="76544E6E" w14:textId="3AFD0D20" w:rsidR="00DF4666" w:rsidRPr="00DF4666" w:rsidRDefault="00DF4666" w:rsidP="00623557">
      <w:pPr>
        <w:numPr>
          <w:ilvl w:val="0"/>
          <w:numId w:val="10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  <w:iCs/>
        </w:rPr>
        <w:t>both</w:t>
      </w:r>
      <w:r w:rsidR="00330ABE">
        <w:rPr>
          <w:rFonts w:ascii="Arial" w:hAnsi="Arial" w:cs="Arial"/>
          <w:i/>
          <w:iCs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47308B">
        <w:rPr>
          <w:rFonts w:ascii="Arial" w:hAnsi="Arial" w:cs="Arial"/>
        </w:rPr>
        <w:t xml:space="preserve"> </w:t>
      </w:r>
      <w:hyperlink w:anchor="Table4" w:tooltip="Table 4. Improvement in Accuracy of Growth Estimates Using Two-Year empirical best linear prediction Weighted Averages Versus Simple Averages at the local educational agency Level" w:history="1">
        <w:r w:rsidR="0047308B" w:rsidRPr="0047308B">
          <w:rPr>
            <w:rStyle w:val="Hyperlink"/>
            <w:rFonts w:ascii="Arial" w:hAnsi="Arial" w:cs="Arial"/>
          </w:rPr>
          <w:t>Tab</w:t>
        </w:r>
        <w:r w:rsidR="0047308B" w:rsidRPr="0047308B">
          <w:rPr>
            <w:rStyle w:val="Hyperlink"/>
            <w:rFonts w:ascii="Arial" w:hAnsi="Arial" w:cs="Arial"/>
          </w:rPr>
          <w:t>l</w:t>
        </w:r>
        <w:r w:rsidR="0047308B" w:rsidRPr="0047308B">
          <w:rPr>
            <w:rStyle w:val="Hyperlink"/>
            <w:rFonts w:ascii="Arial" w:hAnsi="Arial" w:cs="Arial"/>
          </w:rPr>
          <w:t>e 4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</w:p>
    <w:p w14:paraId="1B51BCD0" w14:textId="6CB5C8AA" w:rsidR="00DF4666" w:rsidRPr="00DF4666" w:rsidRDefault="00DF4666" w:rsidP="00914A77">
      <w:pPr>
        <w:pStyle w:val="Heading5"/>
      </w:pPr>
      <w:r w:rsidRPr="00DF4666">
        <w:t>6.B.1.</w:t>
      </w:r>
      <w:r w:rsidR="00330ABE">
        <w:t xml:space="preserve"> </w:t>
      </w:r>
      <w:r w:rsidRPr="00DF4666">
        <w:t>Summary</w:t>
      </w:r>
      <w:r w:rsidR="00330ABE">
        <w:t xml:space="preserve"> </w:t>
      </w:r>
      <w:r w:rsidRPr="00DF4666">
        <w:t>of</w:t>
      </w:r>
      <w:r w:rsidR="00330ABE">
        <w:t xml:space="preserve"> </w:t>
      </w:r>
      <w:r w:rsidRPr="00DF4666">
        <w:t>Table</w:t>
      </w:r>
      <w:r w:rsidR="00330ABE">
        <w:t xml:space="preserve"> </w:t>
      </w:r>
      <w:r w:rsidRPr="00DF4666">
        <w:t>5</w:t>
      </w:r>
      <w:r w:rsidR="00330ABE">
        <w:t xml:space="preserve"> </w:t>
      </w:r>
      <w:r w:rsidRPr="00DF4666">
        <w:t>Results</w:t>
      </w:r>
    </w:p>
    <w:p w14:paraId="29C52BF0" w14:textId="5256A26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consecutive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-0.03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0.58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</w:p>
    <w:p w14:paraId="0C336EC2" w14:textId="68AFB8DA" w:rsidR="00DF4666" w:rsidRPr="00DF4666" w:rsidRDefault="00DF4666" w:rsidP="00DF4666">
      <w:pPr>
        <w:spacing w:after="120"/>
        <w:textAlignment w:val="baseline"/>
        <w:rPr>
          <w:rFonts w:ascii="Arial" w:eastAsia="Arial" w:hAnsi="Arial" w:cs="Arial"/>
        </w:rPr>
      </w:pPr>
      <w:r w:rsidRPr="00DF4666">
        <w:rPr>
          <w:rFonts w:ascii="Arial" w:eastAsia="Arial" w:hAnsi="Arial" w:cs="Arial"/>
        </w:rPr>
        <w:t>In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analysis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of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any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AGM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across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17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student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groups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with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11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to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149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students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(with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growth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scores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in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2018–19),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correlation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is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only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0.24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for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simple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averages,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compared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with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0.62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for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EBLP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weighted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averages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(found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by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calculations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done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separately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from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those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shown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in</w:t>
      </w:r>
      <w:r w:rsidR="005D03A9">
        <w:rPr>
          <w:rFonts w:ascii="Arial" w:eastAsia="Arial" w:hAnsi="Arial" w:cs="Arial"/>
        </w:rPr>
        <w:t xml:space="preserve"> </w:t>
      </w:r>
      <w:hyperlink w:anchor="Table5" w:tooltip="Table 5. Cross-Year Stability of the 2018–19 Two-Year empirical best linear prediction Weighted Average and the Simple Average for local educational agencies" w:history="1">
        <w:r w:rsidR="005D03A9" w:rsidRPr="005D03A9">
          <w:rPr>
            <w:rStyle w:val="Hyperlink"/>
            <w:rFonts w:ascii="Arial" w:eastAsia="Arial" w:hAnsi="Arial" w:cs="Arial"/>
          </w:rPr>
          <w:t>Table 5</w:t>
        </w:r>
      </w:hyperlink>
      <w:r w:rsidRPr="00DF4666">
        <w:rPr>
          <w:rFonts w:ascii="Arial" w:eastAsia="Arial" w:hAnsi="Arial" w:cs="Arial"/>
        </w:rPr>
        <w:t>).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EBLP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weighted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averages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are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noticeably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more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stable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for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smaller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LEAs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and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for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smaller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student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groups.at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the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LEA</w:t>
      </w:r>
      <w:r w:rsidR="00330ABE">
        <w:rPr>
          <w:rFonts w:ascii="Arial" w:eastAsia="Arial" w:hAnsi="Arial" w:cs="Arial"/>
        </w:rPr>
        <w:t xml:space="preserve"> </w:t>
      </w:r>
      <w:r w:rsidRPr="00DF4666">
        <w:rPr>
          <w:rFonts w:ascii="Arial" w:eastAsia="Arial" w:hAnsi="Arial" w:cs="Arial"/>
        </w:rPr>
        <w:t>level.</w:t>
      </w:r>
      <w:r w:rsidR="00330ABE">
        <w:rPr>
          <w:rFonts w:ascii="Arial" w:eastAsia="Arial" w:hAnsi="Arial" w:cs="Arial"/>
        </w:rPr>
        <w:t xml:space="preserve"> </w:t>
      </w:r>
    </w:p>
    <w:p w14:paraId="2C2CB06A" w14:textId="527DC2A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contrast,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1,500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17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0.81,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0.83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table.)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negligible.</w:t>
      </w:r>
      <w:r w:rsidR="00330ABE">
        <w:rPr>
          <w:rFonts w:ascii="Arial" w:hAnsi="Arial" w:cs="Arial"/>
        </w:rPr>
        <w:t xml:space="preserve"> </w:t>
      </w:r>
    </w:p>
    <w:p w14:paraId="4978A53A" w14:textId="1B92C31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Consequently,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needed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disparity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LEAs.</w:t>
      </w:r>
    </w:p>
    <w:p w14:paraId="3467904A" w14:textId="1E30B951" w:rsidR="00DF4666" w:rsidRPr="00DF4666" w:rsidRDefault="00DF4666" w:rsidP="00914A77">
      <w:pPr>
        <w:pStyle w:val="Heading4"/>
        <w:rPr>
          <w:lang w:eastAsia="zh-CN"/>
        </w:rPr>
      </w:pPr>
      <w:bookmarkStart w:id="38" w:name="_6.C._Exploration_of"/>
      <w:bookmarkStart w:id="39" w:name="_Ref59190773"/>
      <w:bookmarkEnd w:id="38"/>
      <w:r w:rsidRPr="00DF4666">
        <w:rPr>
          <w:lang w:eastAsia="zh-CN"/>
        </w:rPr>
        <w:t>6.C.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Exploration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of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Reporting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Options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for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LEA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Student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Groups</w:t>
      </w:r>
      <w:bookmarkEnd w:id="39"/>
    </w:p>
    <w:p w14:paraId="04174825" w14:textId="5002A7D7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described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_6.A._Accuracy_Results" w:tooltip="6.A. Accuracy Results" w:history="1">
        <w:r w:rsidRPr="004D4184">
          <w:rPr>
            <w:rStyle w:val="Hyperlink"/>
            <w:rFonts w:ascii="Arial" w:hAnsi="Arial" w:cs="Arial"/>
          </w:rPr>
          <w:t>sections</w:t>
        </w:r>
        <w:r w:rsidR="00330ABE" w:rsidRPr="004D4184">
          <w:rPr>
            <w:rStyle w:val="Hyperlink"/>
            <w:rFonts w:ascii="Arial" w:hAnsi="Arial" w:cs="Arial"/>
          </w:rPr>
          <w:t xml:space="preserve"> </w:t>
        </w:r>
        <w:r w:rsidRPr="004D4184">
          <w:rPr>
            <w:rStyle w:val="Hyperlink"/>
            <w:rFonts w:ascii="Arial" w:hAnsi="Arial" w:cs="Arial"/>
          </w:rPr>
          <w:t>6.A</w:t>
        </w:r>
      </w:hyperlink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hyperlink w:anchor="_6.B._Stability_Results" w:tooltip="6.B. Stability Results" w:history="1">
        <w:r w:rsidRPr="004D4184">
          <w:rPr>
            <w:rStyle w:val="Hyperlink"/>
            <w:rFonts w:ascii="Arial" w:hAnsi="Arial" w:cs="Arial"/>
          </w:rPr>
          <w:t>6.B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mixed.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increased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groups:</w:t>
      </w:r>
    </w:p>
    <w:p w14:paraId="0C375E14" w14:textId="653411B2" w:rsidR="00DF4666" w:rsidRPr="00691755" w:rsidRDefault="00DF4666" w:rsidP="00902D74">
      <w:pPr>
        <w:pStyle w:val="ListParagraph"/>
        <w:numPr>
          <w:ilvl w:val="0"/>
          <w:numId w:val="50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</w:t>
      </w:r>
    </w:p>
    <w:p w14:paraId="4320E64E" w14:textId="7BF99794" w:rsidR="00DF4666" w:rsidRPr="00691755" w:rsidRDefault="00DF4666" w:rsidP="00902D74">
      <w:pPr>
        <w:pStyle w:val="ListParagraph"/>
        <w:numPr>
          <w:ilvl w:val="0"/>
          <w:numId w:val="50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level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small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numbers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</w:p>
    <w:p w14:paraId="60300B49" w14:textId="3D1C0D87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portion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Therefore,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approaches:</w:t>
      </w:r>
    </w:p>
    <w:p w14:paraId="2E2DDE44" w14:textId="6B8A02AA" w:rsidR="00DF4666" w:rsidRPr="00691755" w:rsidRDefault="00DF4666" w:rsidP="00902D74">
      <w:pPr>
        <w:pStyle w:val="ListParagraph"/>
        <w:numPr>
          <w:ilvl w:val="0"/>
          <w:numId w:val="51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applied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level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have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small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number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determined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specific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cutoff,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i/>
          <w:iCs/>
          <w:szCs w:val="22"/>
          <w:lang w:eastAsia="zh-CN"/>
        </w:rPr>
        <w:t>n</w:t>
      </w:r>
      <w:r w:rsidRPr="00691755">
        <w:rPr>
          <w:rFonts w:cs="Arial"/>
          <w:szCs w:val="22"/>
          <w:lang w:eastAsia="zh-CN"/>
        </w:rPr>
        <w:t>-size</w:t>
      </w:r>
      <w:r w:rsidR="00330ABE">
        <w:rPr>
          <w:rFonts w:cs="Arial"/>
          <w:szCs w:val="22"/>
          <w:lang w:eastAsia="zh-CN"/>
        </w:rPr>
        <w:t xml:space="preserve"> </w:t>
      </w:r>
    </w:p>
    <w:p w14:paraId="30B49C03" w14:textId="2F5B657A" w:rsidR="00DF4666" w:rsidRPr="00691755" w:rsidRDefault="00DF4666" w:rsidP="00902D74">
      <w:pPr>
        <w:pStyle w:val="ListParagraph"/>
        <w:numPr>
          <w:ilvl w:val="0"/>
          <w:numId w:val="51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applied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level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have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larger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number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</w:p>
    <w:p w14:paraId="1BD1F99B" w14:textId="7BF1932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  <w:lang w:eastAsia="ja-JP"/>
        </w:rPr>
        <w:t>ETS’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exploration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of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such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a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hybrid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approach</w:t>
      </w:r>
      <w:r w:rsidR="00330ABE">
        <w:rPr>
          <w:rFonts w:ascii="Arial" w:hAnsi="Arial" w:cs="Arial"/>
          <w:lang w:eastAsia="ja-JP"/>
        </w:rPr>
        <w:t xml:space="preserve"> </w:t>
      </w:r>
      <w:proofErr w:type="gramStart"/>
      <w:r w:rsidRPr="00DF4666">
        <w:rPr>
          <w:rFonts w:ascii="Arial" w:hAnsi="Arial" w:cs="Arial"/>
          <w:lang w:eastAsia="ja-JP"/>
        </w:rPr>
        <w:t>tested</w:t>
      </w:r>
      <w:proofErr w:type="gramEnd"/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different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options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for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determining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when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to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report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the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EBLP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and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when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to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report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the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simple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  <w:lang w:eastAsia="ja-JP"/>
        </w:rPr>
        <w:t>average.</w:t>
      </w:r>
      <w:r w:rsidR="00330ABE">
        <w:rPr>
          <w:rFonts w:ascii="Arial" w:hAnsi="Arial" w:cs="Arial"/>
          <w:lang w:eastAsia="ja-JP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TDG.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details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available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December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TDG,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7434FE">
        <w:rPr>
          <w:rFonts w:ascii="Arial" w:hAnsi="Arial" w:cs="Arial"/>
        </w:rPr>
        <w:t xml:space="preserve"> </w:t>
      </w:r>
      <w:hyperlink w:anchor="_Appendix__" w:tooltip="Appendix A: Memorandum for the Technical Design Group" w:history="1">
        <w:r w:rsidR="007434FE" w:rsidRPr="007434FE">
          <w:rPr>
            <w:rStyle w:val="Hyperlink"/>
            <w:rFonts w:ascii="Arial" w:hAnsi="Arial" w:cs="Arial"/>
          </w:rPr>
          <w:t>Append</w:t>
        </w:r>
        <w:r w:rsidR="007434FE" w:rsidRPr="007434FE">
          <w:rPr>
            <w:rStyle w:val="Hyperlink"/>
            <w:rFonts w:ascii="Arial" w:hAnsi="Arial" w:cs="Arial"/>
          </w:rPr>
          <w:t>i</w:t>
        </w:r>
        <w:r w:rsidR="007434FE" w:rsidRPr="007434FE">
          <w:rPr>
            <w:rStyle w:val="Hyperlink"/>
            <w:rFonts w:ascii="Arial" w:hAnsi="Arial" w:cs="Arial"/>
          </w:rPr>
          <w:t>x A</w:t>
        </w:r>
      </w:hyperlink>
      <w:r w:rsidRPr="00DF4666">
        <w:rPr>
          <w:rFonts w:ascii="Arial" w:hAnsi="Arial" w:cs="Arial"/>
        </w:rPr>
        <w:t>.</w:t>
      </w:r>
    </w:p>
    <w:p w14:paraId="616172F8" w14:textId="615D222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TDG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recommended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  <w:iCs/>
        </w:rPr>
        <w:t>n</w:t>
      </w:r>
      <w:r w:rsidRPr="00DF4666">
        <w:rPr>
          <w:rFonts w:ascii="Arial" w:hAnsi="Arial" w:cs="Arial"/>
        </w:rPr>
        <w:t>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determining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yielding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level:</w:t>
      </w:r>
      <w:r w:rsidR="00330ABE">
        <w:rPr>
          <w:rFonts w:ascii="Arial" w:hAnsi="Arial" w:cs="Arial"/>
        </w:rPr>
        <w:t xml:space="preserve"> </w:t>
      </w:r>
    </w:p>
    <w:p w14:paraId="72846EC1" w14:textId="2CB17B38" w:rsidR="00DF4666" w:rsidRPr="00DF4666" w:rsidRDefault="00DF4666" w:rsidP="00623557">
      <w:pPr>
        <w:numPr>
          <w:ilvl w:val="0"/>
          <w:numId w:val="5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</w:p>
    <w:p w14:paraId="5D99DA12" w14:textId="7BD1FE94" w:rsidR="00DF4666" w:rsidRPr="00DF4666" w:rsidRDefault="00DF4666" w:rsidP="00623557">
      <w:pPr>
        <w:numPr>
          <w:ilvl w:val="0"/>
          <w:numId w:val="5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groups:</w:t>
      </w:r>
    </w:p>
    <w:p w14:paraId="4676B636" w14:textId="3BFE1B9A" w:rsidR="00691755" w:rsidRPr="00691755" w:rsidRDefault="00DF4666" w:rsidP="00902D74">
      <w:pPr>
        <w:numPr>
          <w:ilvl w:val="0"/>
          <w:numId w:val="43"/>
        </w:numPr>
        <w:spacing w:after="120"/>
        <w:ind w:left="1080"/>
        <w:textAlignment w:val="baseline"/>
        <w:rPr>
          <w:rFonts w:ascii="Calibri" w:hAnsi="Calibri"/>
          <w:color w:val="000000"/>
        </w:rPr>
      </w:pPr>
      <w:r w:rsidRPr="00691755">
        <w:rPr>
          <w:rFonts w:ascii="Arial" w:hAnsi="Arial" w:cs="Arial"/>
          <w:color w:val="000000"/>
        </w:rPr>
        <w:t>Report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EBLP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for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groups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in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which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there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are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11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to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500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scores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(Note: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this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rule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applies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only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to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LEAs,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not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schools.)</w:t>
      </w:r>
    </w:p>
    <w:p w14:paraId="7CED6B5E" w14:textId="09364384" w:rsidR="00DF4666" w:rsidRPr="00691755" w:rsidRDefault="00DF4666" w:rsidP="00902D74">
      <w:pPr>
        <w:numPr>
          <w:ilvl w:val="0"/>
          <w:numId w:val="43"/>
        </w:numPr>
        <w:spacing w:after="120"/>
        <w:ind w:left="1080"/>
        <w:textAlignment w:val="baseline"/>
        <w:rPr>
          <w:rFonts w:ascii="Calibri" w:hAnsi="Calibri"/>
          <w:color w:val="000000"/>
        </w:rPr>
      </w:pPr>
      <w:r w:rsidRPr="00691755">
        <w:rPr>
          <w:rFonts w:ascii="Arial" w:hAnsi="Arial" w:cs="Arial"/>
          <w:color w:val="000000"/>
        </w:rPr>
        <w:t>Report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simple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average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for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groups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in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which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there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are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more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than</w:t>
      </w:r>
      <w:r w:rsidR="00330ABE">
        <w:rPr>
          <w:rFonts w:ascii="Arial" w:hAnsi="Arial" w:cs="Arial"/>
          <w:color w:val="000000"/>
        </w:rPr>
        <w:t xml:space="preserve"> </w:t>
      </w:r>
      <w:proofErr w:type="gramStart"/>
      <w:r w:rsidRPr="00691755">
        <w:rPr>
          <w:rFonts w:ascii="Arial" w:hAnsi="Arial" w:cs="Arial"/>
          <w:color w:val="000000"/>
        </w:rPr>
        <w:t>500</w:t>
      </w:r>
      <w:proofErr w:type="gramEnd"/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scores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(Note: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this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rule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applies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only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to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LEAs,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not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schools.)</w:t>
      </w:r>
    </w:p>
    <w:p w14:paraId="3B3CE2C5" w14:textId="18117367" w:rsidR="00DF4666" w:rsidRPr="00DF4666" w:rsidRDefault="00966F49" w:rsidP="00DF4666">
      <w:pPr>
        <w:spacing w:after="120"/>
        <w:textAlignment w:val="baseline"/>
        <w:rPr>
          <w:rFonts w:ascii="Arial" w:hAnsi="Arial" w:cs="Arial"/>
        </w:rPr>
      </w:pPr>
      <w:hyperlink w:anchor="Table6" w:tooltip="Table 6. Improvement in Accuracy of Growth Estimates Using the Hybrid Approach Versus Simple Averages for Student Groups Within Local Educational Agencies" w:history="1">
        <w:r w:rsidR="006274D0" w:rsidRPr="006274D0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6274D0" w:rsidRPr="006274D0">
          <w:rPr>
            <w:rStyle w:val="Hyperlink"/>
            <w:rFonts w:ascii="Arial" w:hAnsi="Arial" w:cs="Arial"/>
          </w:rPr>
          <w:t>6</w:t>
        </w:r>
      </w:hyperlink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shows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improvement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accuracy,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clearly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show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updated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specifically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align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  <w:i/>
          <w:iCs/>
        </w:rPr>
        <w:t>n</w:t>
      </w:r>
      <w:r w:rsidR="00DF4666" w:rsidRPr="00DF4666">
        <w:rPr>
          <w:rFonts w:ascii="Arial" w:hAnsi="Arial" w:cs="Arial"/>
        </w:rPr>
        <w:t>-size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cutoff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500:</w:t>
      </w:r>
      <w:r w:rsidR="00330ABE">
        <w:rPr>
          <w:rFonts w:ascii="Arial" w:hAnsi="Arial" w:cs="Arial"/>
        </w:rPr>
        <w:t xml:space="preserve">  </w:t>
      </w:r>
    </w:p>
    <w:p w14:paraId="29D46F84" w14:textId="0FF65A36" w:rsidR="00DF4666" w:rsidRPr="00691755" w:rsidRDefault="00DF4666" w:rsidP="00902D74">
      <w:pPr>
        <w:pStyle w:val="ListParagraph"/>
        <w:numPr>
          <w:ilvl w:val="0"/>
          <w:numId w:val="52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11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29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</w:t>
      </w:r>
    </w:p>
    <w:p w14:paraId="55C6ED86" w14:textId="7E7008D0" w:rsidR="00DF4666" w:rsidRPr="00691755" w:rsidRDefault="00DF4666" w:rsidP="00902D74">
      <w:pPr>
        <w:pStyle w:val="ListParagraph"/>
        <w:numPr>
          <w:ilvl w:val="0"/>
          <w:numId w:val="52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30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149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</w:t>
      </w:r>
    </w:p>
    <w:p w14:paraId="4B930DF6" w14:textId="4563E52C" w:rsidR="00DF4666" w:rsidRPr="00691755" w:rsidRDefault="00DF4666" w:rsidP="00902D74">
      <w:pPr>
        <w:pStyle w:val="ListParagraph"/>
        <w:numPr>
          <w:ilvl w:val="0"/>
          <w:numId w:val="52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150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500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</w:t>
      </w:r>
    </w:p>
    <w:p w14:paraId="638B7FDD" w14:textId="4537B3DE" w:rsidR="00DF4666" w:rsidRPr="00691755" w:rsidRDefault="00DF4666" w:rsidP="00902D74">
      <w:pPr>
        <w:pStyle w:val="ListParagraph"/>
        <w:numPr>
          <w:ilvl w:val="0"/>
          <w:numId w:val="52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501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</w:t>
      </w:r>
    </w:p>
    <w:p w14:paraId="79B537E5" w14:textId="356FCB09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ensure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sufficient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exception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501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students).</w:t>
      </w:r>
      <w:r w:rsidR="00330ABE">
        <w:rPr>
          <w:rFonts w:ascii="Arial" w:hAnsi="Arial" w:cs="Arial"/>
        </w:rPr>
        <w:t xml:space="preserve"> </w:t>
      </w:r>
    </w:p>
    <w:p w14:paraId="50E2A33C" w14:textId="19AEF05D" w:rsidR="00DF7C79" w:rsidRPr="00F91263" w:rsidRDefault="00DF4666" w:rsidP="00914A77">
      <w:pPr>
        <w:spacing w:after="120"/>
        <w:textAlignment w:val="baseline"/>
        <w:rPr>
          <w:rFonts w:ascii="Arial" w:hAnsi="Arial" w:cs="Arial"/>
          <w:u w:val="single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Consequently,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exactly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Accordingly,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regardless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“501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exactly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student-group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exactly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minimum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needed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6" w:tooltip="Table 6. Improvement in Accuracy of Growth Estimates Using the Hybrid Approach Versus Simple Averages for Student Groups Within Local Educational Agencies" w:history="1">
        <w:r w:rsidR="006274D0" w:rsidRPr="006274D0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6274D0" w:rsidRPr="006274D0">
          <w:rPr>
            <w:rStyle w:val="Hyperlink"/>
            <w:rFonts w:ascii="Arial" w:hAnsi="Arial" w:cs="Arial"/>
          </w:rPr>
          <w:t>6</w:t>
        </w:r>
      </w:hyperlink>
      <w:r w:rsidRPr="00F91263">
        <w:rPr>
          <w:rFonts w:ascii="Arial" w:hAnsi="Arial" w:cs="Arial"/>
        </w:rPr>
        <w:t>.</w:t>
      </w:r>
      <w:bookmarkStart w:id="40" w:name="_Ref61597180"/>
    </w:p>
    <w:p w14:paraId="608C4F29" w14:textId="22E4176D" w:rsidR="00DF4666" w:rsidRPr="00914A77" w:rsidRDefault="00DF4666" w:rsidP="00914A77">
      <w:pPr>
        <w:spacing w:before="240" w:after="240"/>
        <w:textAlignment w:val="baseline"/>
        <w:rPr>
          <w:rFonts w:ascii="Arial" w:hAnsi="Arial" w:cs="Arial"/>
          <w:b/>
          <w:bCs/>
        </w:rPr>
      </w:pPr>
      <w:bookmarkStart w:id="41" w:name="Table6"/>
      <w:bookmarkStart w:id="42" w:name="_Toc139890517"/>
      <w:r w:rsidRPr="00914A77">
        <w:rPr>
          <w:rFonts w:ascii="Arial" w:hAnsi="Arial" w:cs="Arial"/>
          <w:b/>
          <w:bCs/>
        </w:rPr>
        <w:t>Table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fldChar w:fldCharType="begin"/>
      </w:r>
      <w:r w:rsidRPr="00914A77">
        <w:rPr>
          <w:rFonts w:ascii="Arial" w:hAnsi="Arial" w:cs="Arial"/>
          <w:b/>
          <w:bCs/>
        </w:rPr>
        <w:instrText>SEQ Table \* ARABIC</w:instrText>
      </w:r>
      <w:r w:rsidRPr="00914A77">
        <w:rPr>
          <w:rFonts w:ascii="Arial" w:hAnsi="Arial" w:cs="Arial"/>
          <w:b/>
          <w:bCs/>
        </w:rPr>
        <w:fldChar w:fldCharType="separate"/>
      </w:r>
      <w:r w:rsidR="00BC1E6E" w:rsidRPr="00914A77">
        <w:rPr>
          <w:rFonts w:ascii="Arial" w:hAnsi="Arial" w:cs="Arial"/>
          <w:b/>
          <w:bCs/>
          <w:noProof/>
        </w:rPr>
        <w:t>6</w:t>
      </w:r>
      <w:r w:rsidRPr="00914A77">
        <w:rPr>
          <w:rFonts w:ascii="Arial" w:hAnsi="Arial" w:cs="Arial"/>
          <w:b/>
          <w:bCs/>
        </w:rPr>
        <w:fldChar w:fldCharType="end"/>
      </w:r>
      <w:bookmarkEnd w:id="40"/>
      <w:r w:rsidRPr="00914A77">
        <w:rPr>
          <w:rFonts w:ascii="Arial" w:hAnsi="Arial" w:cs="Arial"/>
          <w:b/>
          <w:bCs/>
        </w:rPr>
        <w:t>.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Improvement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in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Accuracy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of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Growth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Estimates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Using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Hybrid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Approach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Versus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Simple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for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Student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Groups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Within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LEAs</w:t>
      </w:r>
      <w:bookmarkEnd w:id="42"/>
    </w:p>
    <w:tbl>
      <w:tblPr>
        <w:tblStyle w:val="TRtable"/>
        <w:tblW w:w="1002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6. Improvement in Accuracy of Growth Estimates Using the Hybrid Approach Versus Simple Averages for Student Groups Within Local Educational Agencies."/>
      </w:tblPr>
      <w:tblGrid>
        <w:gridCol w:w="1221"/>
        <w:gridCol w:w="1577"/>
        <w:gridCol w:w="1440"/>
        <w:gridCol w:w="1262"/>
        <w:gridCol w:w="2077"/>
        <w:gridCol w:w="2448"/>
      </w:tblGrid>
      <w:tr w:rsidR="00DF4666" w:rsidRPr="00DF4666" w14:paraId="1A60B1D4" w14:textId="77777777" w:rsidTr="005C7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21" w:type="dxa"/>
            <w:vAlign w:val="bottom"/>
          </w:tcPr>
          <w:bookmarkEnd w:id="41"/>
          <w:p w14:paraId="01C5D0D5" w14:textId="587D634A" w:rsidR="00DF4666" w:rsidRPr="00FA7C0E" w:rsidRDefault="002E7D1C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2A34D0">
              <w:rPr>
                <w:rFonts w:ascii="Arial" w:eastAsia="SimSun" w:hAnsi="Arial" w:cs="Arial"/>
                <w:b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 w:cs="Arial"/>
                <w:b/>
                <w:sz w:val="24"/>
                <w:szCs w:val="24"/>
              </w:rPr>
              <w:t xml:space="preserve"> </w:t>
            </w:r>
            <w:r w:rsidRPr="002A34D0">
              <w:rPr>
                <w:rFonts w:ascii="Arial" w:eastAsia="SimSun" w:hAnsi="Arial" w:cs="Arial"/>
                <w:b/>
                <w:sz w:val="24"/>
                <w:szCs w:val="24"/>
              </w:rPr>
              <w:t>Group</w:t>
            </w:r>
          </w:p>
        </w:tc>
        <w:tc>
          <w:tcPr>
            <w:tcW w:w="1577" w:type="dxa"/>
            <w:vAlign w:val="bottom"/>
          </w:tcPr>
          <w:p w14:paraId="1CE9354D" w14:textId="77777777" w:rsidR="00DF4666" w:rsidRPr="00AC030C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440" w:type="dxa"/>
            <w:vAlign w:val="bottom"/>
          </w:tcPr>
          <w:p w14:paraId="39AE8E1D" w14:textId="774DAE07" w:rsidR="00DF4666" w:rsidRPr="00AC030C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Size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2" w:type="dxa"/>
            <w:vAlign w:val="bottom"/>
          </w:tcPr>
          <w:p w14:paraId="788EAF6C" w14:textId="2BD52E84" w:rsidR="00DF4666" w:rsidRPr="00AC030C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LEAs</w:t>
            </w:r>
          </w:p>
        </w:tc>
        <w:tc>
          <w:tcPr>
            <w:tcW w:w="2077" w:type="dxa"/>
            <w:vAlign w:val="bottom"/>
          </w:tcPr>
          <w:p w14:paraId="14ECA79E" w14:textId="75A11AAC" w:rsidR="00DF4666" w:rsidRPr="00AC030C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Mean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Ratio</w:t>
            </w:r>
          </w:p>
        </w:tc>
        <w:tc>
          <w:tcPr>
            <w:tcW w:w="2448" w:type="dxa"/>
            <w:vAlign w:val="bottom"/>
          </w:tcPr>
          <w:p w14:paraId="55E702BB" w14:textId="4BB922E8" w:rsidR="00DF4666" w:rsidRPr="00AC030C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Percentage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LEAs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with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Improved</w:t>
            </w:r>
            <w:r w:rsidR="00330ABE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  <w:t>Accuracy</w:t>
            </w:r>
            <w:r w:rsidRPr="00AC030C"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  <w:t>2</w:t>
            </w:r>
          </w:p>
        </w:tc>
      </w:tr>
      <w:tr w:rsidR="00DF4666" w:rsidRPr="002A34D0" w14:paraId="0AF8CFF9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0A92C91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3C393E3D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7B157D8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027E90C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4C859E4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3D15DE2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94%</w:t>
            </w:r>
          </w:p>
        </w:tc>
      </w:tr>
      <w:tr w:rsidR="00DF4666" w:rsidRPr="002A34D0" w14:paraId="23807576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064F275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25A55B6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53B0184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259FDC1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00CB541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1364F7B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658F5C2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1226FB8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7C8B7EE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E916AB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7BB775B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482D11F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1.95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04178BC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5DD125B4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DD8BF0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lastRenderedPageBreak/>
              <w:t>AA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F249E0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ACF0E0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645A88D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0041BAC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74A7A0C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009793B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3BA0400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DC5645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8A7845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7D8C1D6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0350A33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2.17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4791D0F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0CFE98F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467CA87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3756F95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1EA8C6A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4BDA40D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0EF69D8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2.33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2606E01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1965E02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734001E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9966EA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1B201E9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3A424E9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1CCCBDA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7593C91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2A34D0" w14:paraId="52F546AB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40A146DF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0628B22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6248480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0A00330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44B2380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041C765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D953B08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26A4DE2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1DEB0AFC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5D111B5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7452E8D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2BBB733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1.37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513F1F0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81%</w:t>
            </w:r>
          </w:p>
        </w:tc>
      </w:tr>
      <w:tr w:rsidR="00DF4666" w:rsidRPr="002A34D0" w14:paraId="77A55EF5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106A1A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56749EB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2F8E56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3184CED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4EFF2F8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2ECFDED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219DAD7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1E38D05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49CA24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0809172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5FCA7CA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761CD6B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1.68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4B658E8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2A34D0" w14:paraId="7A3DA8C5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04ED1F0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17CB4C5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6D3CA3C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4A642B5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7FE0646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5E799B0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30CDF9BB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2A807B1D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1DFFD09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79F20E8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5623B9B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3399752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1.53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212F5B4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DF4666" w:rsidRPr="002A34D0" w14:paraId="755FF48C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8F2383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F63D2E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39DB1F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3C2363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7CA6A6C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2058451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62A3165B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7D35939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B6C2E6D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503DB6F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6AA19B8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54D8ED9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1.73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211FF91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1671B94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259D93B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2938106C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6DAC34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7182053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240EA59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60F4261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91%</w:t>
            </w:r>
          </w:p>
        </w:tc>
      </w:tr>
      <w:tr w:rsidR="00DF4666" w:rsidRPr="002A34D0" w14:paraId="0FBB085F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3B99A59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1072DE9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1D0F71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68A3A00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683EACE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477C89B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233CF2E4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153CD96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5A6D742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340CC77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694C0F6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25F76B4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FDAAD7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8DE8581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43ECDB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286620B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101306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55AA637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4B69EE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6CF9DEA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94%</w:t>
            </w:r>
          </w:p>
        </w:tc>
      </w:tr>
      <w:tr w:rsidR="00DF4666" w:rsidRPr="002A34D0" w14:paraId="2C227E2F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1BB4769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75353DD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16923E8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0376217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65EE398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7F20E5F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250C6B6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424FA1EC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403B43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1D24DDB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A5AC9D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77FE097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67BDAAD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2A34D0" w14:paraId="271552ED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1FE4199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0CB5CDC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35A4400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79394C9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263C4D5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726EFE0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8698F36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781B210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43CF7FC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A650A8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6151705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0C50E77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1.98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6CCC33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63F1" w:rsidRPr="002A34D0" w14:paraId="2B640EF8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360493F4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68ACD2E7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4923CAE6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D2BB15E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10405EDC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1083CD34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63F1" w:rsidRPr="002A34D0" w14:paraId="5BC340E5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389F1A15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4AB8773D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21C3304F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582115AC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08495290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7FF10113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63F1" w:rsidRPr="002A34D0" w14:paraId="4399F6B8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6C9D68EE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6DCF6732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8B6E95E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2C238CE6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6AE10D8C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56D1A453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AA63F1" w:rsidRPr="002A34D0" w14:paraId="3E8C17C2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049AC046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3FCEDF39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7E566478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53595CD5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264B405B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2FF0A8E5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63F1" w:rsidRPr="002A34D0" w14:paraId="50E5F50E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1F783AA8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626EF5F4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55DE70F3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519FF5EA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00A9F178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2A14BCF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63F1" w:rsidRPr="002A34D0" w14:paraId="2DBB9674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20F6E98D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3B6A7EB8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F8C3108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041F817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3DD771AF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0D310C90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63F1" w:rsidRPr="002A34D0" w14:paraId="7E40208D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1087A514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3ED4A7F0" w14:textId="77777777" w:rsidR="00AA63F1" w:rsidRPr="002A34D0" w:rsidRDefault="00AA63F1" w:rsidP="003101B1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7F3B7A73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27D58CEF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468C69BE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13C16B5A" w14:textId="77777777" w:rsidR="00AA63F1" w:rsidRPr="002A34D0" w:rsidRDefault="00AA63F1" w:rsidP="003101B1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5CEEB2E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7828F32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56059C2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304359D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2DB056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476BB21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099AE1A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2DD51E6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3E2109B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47DBE2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6F53C8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7920F19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7FE2390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24B29A7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3E55E3FB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2F9BD00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07877C2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3B18F3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7DD04F0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3B73B65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61275E3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DF4666" w:rsidRPr="002A34D0" w14:paraId="68F00B9A" w14:textId="77777777" w:rsidTr="005C7536">
        <w:trPr>
          <w:cantSplit/>
          <w:trHeight w:val="207"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0017EE0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31132DD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47D2DD9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7F8B9F5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2A6D341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3A7300B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B7DCAD1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5BFA14F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2402676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B44911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607ED03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7C066B9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1.74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D59DCF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E5A21E7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3DA6F6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2DF13E4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AEE0A0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9043E4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72D72F4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443D4A5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DF4666" w:rsidRPr="002A34D0" w14:paraId="261462A1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62D3987F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6A8E2A7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AFFC10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709D841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65E1FA2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29470EE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53%</w:t>
            </w:r>
          </w:p>
        </w:tc>
      </w:tr>
      <w:tr w:rsidR="00DF4666" w:rsidRPr="002A34D0" w14:paraId="03844578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77188DB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0402379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641AA09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6C8FEF2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68D5FE9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7494977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67A6FB6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0469C2C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lastRenderedPageBreak/>
              <w:t>EL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6861BF8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08FE891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7DD534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70CFA4A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68ED664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6FE81BA5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521C8DD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2C7AE46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198EEB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630B2EF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3F15619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324DDB7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84%</w:t>
            </w:r>
          </w:p>
        </w:tc>
      </w:tr>
      <w:tr w:rsidR="00DF4666" w:rsidRPr="002A34D0" w14:paraId="0B48CF28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36797F7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6E1C52F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4FA6EFC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52493B1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5E6D027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1703E3D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50A3275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033FE46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452A506F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35C865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0F99DA0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1C4DD0A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704B550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9C5098E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33E737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4DE0889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9E4624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099AB60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F44FC0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1.40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6485BD8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  <w:tr w:rsidR="00DF4666" w:rsidRPr="002A34D0" w14:paraId="5484BB47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170C962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58E942E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07B7EDD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362AF4E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2901AEB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40994F5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FBC18EE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03117F5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514FF43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0357DAB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5C6F547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3607F78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6AAED20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423F684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E1539C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0F556C0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B1EAE0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307EA3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21B0EA0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1B0E717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DF4666" w:rsidRPr="002A34D0" w14:paraId="26AB08E8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42B4EB5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31B523B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0D28561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5F7C4B3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3E5E24B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3CB27E7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0ADC0F52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0A81660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2134DC4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3F3B50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3773FB6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7781351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1.87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32DE07C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2A34D0" w14:paraId="6F602499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3744639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5ADE83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BB2FEB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6CE39AA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72B124D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10DFA8E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65%</w:t>
            </w:r>
          </w:p>
        </w:tc>
      </w:tr>
      <w:tr w:rsidR="00DF4666" w:rsidRPr="002A34D0" w14:paraId="07B51AF7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5668EAA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11FE15C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B97483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55BA51A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67DB4E2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635324B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5088D6E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49D820F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375762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4C42888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F7BFB5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4265BB6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1.71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53D2475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A41BD48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4269C3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0843A90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26B70F5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57D421C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020600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750FCD3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78%</w:t>
            </w:r>
          </w:p>
        </w:tc>
      </w:tr>
      <w:tr w:rsidR="00DF4666" w:rsidRPr="002A34D0" w14:paraId="4EB9B946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470761D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0140C06F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C23219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5ACB76D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4A9B002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37623C8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369D91C3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46059A4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5FFC8C8D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76A8F99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4B7C76D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00E8E81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2.04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021D3C4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06E3B14A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55EDA66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9150C9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78FE00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592661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1C62D89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171B219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  <w:tr w:rsidR="00DF4666" w:rsidRPr="002A34D0" w14:paraId="5C7940A1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8150FC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0B0BA32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87F092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1C8EEBE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31FD6C8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6239BFA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353E0BC0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32B142B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55596BB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285B09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3DD415F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0C5AF29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1819EA4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48786A4E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285589B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748FDC9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E0F24F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608E42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E2490C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2BD293A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0016DBB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4E9301FC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78BFFD9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7871141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251C04F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3EF7D03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43FB052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2F19B469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21DB5A2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771D6A7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3E8B610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0417248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06E17C6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36F479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292B6164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082AEA1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7163A5A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6D62EE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1D2929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764F4F1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5B99750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06C2C346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0043F6A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4A58FB9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2B7C04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6E58E49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6345A16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014D1F9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5ED21C3F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5047C5F3" w14:textId="77777777" w:rsidR="00DF4666" w:rsidRPr="002A34D0" w:rsidRDefault="00DF4666" w:rsidP="00DF4666">
            <w:pPr>
              <w:keepNext/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6C81E75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4E94322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6548AF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1462D65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2EC536B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02713D04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3D92751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36A2521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C33FD5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189F8C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6519906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20C6B74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88%</w:t>
            </w:r>
          </w:p>
        </w:tc>
      </w:tr>
      <w:tr w:rsidR="00DF4666" w:rsidRPr="002A34D0" w14:paraId="40DEBFBB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4D3E745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70029FD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FBB420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3DE15D5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09C7899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46F5057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659C4746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3C6E303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6A3B97AC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B36937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47C3872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3325D8D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4DFC5D8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5079D166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37673CB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0E91351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3AE697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0510668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613A055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09EC7CB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DF4666" w:rsidRPr="002A34D0" w14:paraId="7DC5B115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C630A1F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E883FD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3C053F2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3055335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4F9F0E2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23EE086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6EC6F4A2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2427660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16819D2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05773BD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4A3E4F1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536CE57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1.78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13ACFF3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5D69EBEE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61A3D20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64BD350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9A8294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5343890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60ED2A1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0574659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EBF1799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38CEB6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02F44A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06A898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122AAA0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9C8B76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743134A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DF4666" w:rsidRPr="002A34D0" w14:paraId="645FEDCE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23F907C0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23AB08F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73830E9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05D3BF8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27675D8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437B184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5678729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4F32DBA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6D20FA5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252FEA2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3A37271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70E3BBC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6BA6B48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3BC1BF13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1FB9290E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lastRenderedPageBreak/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D68CCFD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88CC3A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2B3AAAE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4BBDDA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36321E5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7D668C1F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12CC17D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3ABB681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29479F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5518DDF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36090F2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1496EF4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2A34D0" w14:paraId="49FD04CF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21A81D6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DF3E342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00621FC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4F694BF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159316B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46DA911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0A14BF98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0AAE50CB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5C5E3C2F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2637B90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42C144B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0B75E2C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1.97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448A561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8C77183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5906CF8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75547FC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45B6DA4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12E169C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6CA2EA4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4102857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20FD6A77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365A806A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48FD2378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32469EF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11–500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5A4C500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3CA7EE0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16313D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047A1C3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34EA09A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1181553D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9AFCB85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581F764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4A0A184D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005321E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2089B38" w14:textId="77777777" w:rsidTr="005C7536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2715745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D1CB573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516A079E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6BB3289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077" w:type="dxa"/>
            <w:tcBorders>
              <w:top w:val="single" w:sz="12" w:space="0" w:color="auto"/>
              <w:bottom w:val="nil"/>
            </w:tcBorders>
            <w:vAlign w:val="bottom"/>
          </w:tcPr>
          <w:p w14:paraId="5328194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2448" w:type="dxa"/>
            <w:tcBorders>
              <w:top w:val="single" w:sz="12" w:space="0" w:color="auto"/>
              <w:bottom w:val="nil"/>
            </w:tcBorders>
            <w:vAlign w:val="bottom"/>
          </w:tcPr>
          <w:p w14:paraId="445F2B30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146348B0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6F37717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3D08859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AFA0E3C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600CA7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5765348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609D7A22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87%</w:t>
            </w:r>
          </w:p>
        </w:tc>
      </w:tr>
      <w:tr w:rsidR="00DF4666" w:rsidRPr="002A34D0" w14:paraId="31522B8E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3FE855B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4F2D15C9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0FA9A4BA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7A212BD7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  <w:vAlign w:val="bottom"/>
          </w:tcPr>
          <w:p w14:paraId="659BC0C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  <w:vAlign w:val="bottom"/>
          </w:tcPr>
          <w:p w14:paraId="233E8A7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30490EF4" w14:textId="77777777" w:rsidTr="005C7536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385DAEE4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7D0B4587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3477510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606CD65B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  <w:vAlign w:val="bottom"/>
          </w:tcPr>
          <w:p w14:paraId="4A68463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2448" w:type="dxa"/>
            <w:tcBorders>
              <w:top w:val="single" w:sz="4" w:space="0" w:color="auto"/>
              <w:bottom w:val="nil"/>
            </w:tcBorders>
            <w:vAlign w:val="bottom"/>
          </w:tcPr>
          <w:p w14:paraId="1D5A67B3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2A34D0" w14:paraId="60D1C549" w14:textId="77777777" w:rsidTr="005C7536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DCF60B5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7BDF73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DC0DAF4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1A9CBFC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2077" w:type="dxa"/>
            <w:tcBorders>
              <w:top w:val="nil"/>
              <w:bottom w:val="nil"/>
            </w:tcBorders>
            <w:vAlign w:val="bottom"/>
          </w:tcPr>
          <w:p w14:paraId="0A75CF99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1.41</w:t>
            </w:r>
          </w:p>
        </w:tc>
        <w:tc>
          <w:tcPr>
            <w:tcW w:w="2448" w:type="dxa"/>
            <w:tcBorders>
              <w:top w:val="nil"/>
              <w:bottom w:val="nil"/>
            </w:tcBorders>
            <w:vAlign w:val="bottom"/>
          </w:tcPr>
          <w:p w14:paraId="64A9CAB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2A34D0" w14:paraId="2CA09521" w14:textId="77777777" w:rsidTr="005C7536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A8A6B51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5B43EE8C" w14:textId="77777777" w:rsidR="00DF4666" w:rsidRPr="002A34D0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8234ED1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5D939F96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77" w:type="dxa"/>
            <w:tcBorders>
              <w:top w:val="nil"/>
              <w:bottom w:val="single" w:sz="12" w:space="0" w:color="auto"/>
            </w:tcBorders>
            <w:vAlign w:val="bottom"/>
          </w:tcPr>
          <w:p w14:paraId="035E1A68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2448" w:type="dxa"/>
            <w:tcBorders>
              <w:top w:val="nil"/>
              <w:bottom w:val="single" w:sz="12" w:space="0" w:color="auto"/>
            </w:tcBorders>
            <w:vAlign w:val="bottom"/>
          </w:tcPr>
          <w:p w14:paraId="4C27C43F" w14:textId="77777777" w:rsidR="00DF4666" w:rsidRPr="002A34D0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4D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2785F093" w14:textId="237ADD95" w:rsidR="00DF4666" w:rsidRPr="00DF4666" w:rsidRDefault="00DF4666" w:rsidP="00623557">
      <w:pPr>
        <w:numPr>
          <w:ilvl w:val="0"/>
          <w:numId w:val="11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</w:p>
    <w:p w14:paraId="586B0C38" w14:textId="1125BA30" w:rsidR="00DF4666" w:rsidRPr="00DF4666" w:rsidRDefault="00DF4666" w:rsidP="00623557">
      <w:pPr>
        <w:numPr>
          <w:ilvl w:val="0"/>
          <w:numId w:val="11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</w:p>
    <w:p w14:paraId="76D590C5" w14:textId="7DA11C5E" w:rsidR="00BC1E6E" w:rsidRPr="00083922" w:rsidRDefault="00DF4666" w:rsidP="00914A77">
      <w:pPr>
        <w:pStyle w:val="Heading5"/>
        <w:rPr>
          <w:bCs/>
          <w:szCs w:val="28"/>
        </w:rPr>
      </w:pPr>
      <w:r w:rsidRPr="00DF4666">
        <w:rPr>
          <w:bCs/>
          <w:szCs w:val="28"/>
        </w:rPr>
        <w:t>6.C.1.</w:t>
      </w:r>
      <w:r w:rsidR="00330ABE">
        <w:rPr>
          <w:bCs/>
          <w:szCs w:val="28"/>
        </w:rPr>
        <w:t xml:space="preserve"> </w:t>
      </w:r>
      <w:r w:rsidRPr="00DF4666">
        <w:rPr>
          <w:bCs/>
          <w:szCs w:val="28"/>
        </w:rPr>
        <w:t>Summary</w:t>
      </w:r>
      <w:r w:rsidR="00330ABE">
        <w:rPr>
          <w:bCs/>
          <w:szCs w:val="28"/>
        </w:rPr>
        <w:t xml:space="preserve"> </w:t>
      </w:r>
      <w:r w:rsidRPr="00DF4666">
        <w:rPr>
          <w:bCs/>
          <w:szCs w:val="28"/>
        </w:rPr>
        <w:t>of</w:t>
      </w:r>
      <w:r w:rsidR="00330ABE">
        <w:rPr>
          <w:bCs/>
          <w:szCs w:val="28"/>
        </w:rPr>
        <w:t xml:space="preserve"> </w:t>
      </w:r>
      <w:r w:rsidRPr="00DF4666">
        <w:rPr>
          <w:bCs/>
          <w:szCs w:val="28"/>
        </w:rPr>
        <w:t>Table</w:t>
      </w:r>
      <w:r w:rsidR="00330ABE">
        <w:rPr>
          <w:bCs/>
          <w:szCs w:val="28"/>
        </w:rPr>
        <w:t xml:space="preserve"> </w:t>
      </w:r>
      <w:r w:rsidRPr="00DF4666">
        <w:rPr>
          <w:bCs/>
          <w:szCs w:val="28"/>
        </w:rPr>
        <w:t>6</w:t>
      </w:r>
      <w:r w:rsidR="00330ABE">
        <w:rPr>
          <w:bCs/>
          <w:szCs w:val="28"/>
        </w:rPr>
        <w:t xml:space="preserve"> </w:t>
      </w:r>
      <w:r w:rsidRPr="00DF4666">
        <w:rPr>
          <w:bCs/>
          <w:szCs w:val="28"/>
        </w:rPr>
        <w:t>Results</w:t>
      </w:r>
    </w:p>
    <w:p w14:paraId="047425E2" w14:textId="359704D4" w:rsidR="00DF4666" w:rsidRPr="00DF4666" w:rsidRDefault="001D2042" w:rsidP="00DF4666">
      <w:pPr>
        <w:spacing w:after="120"/>
        <w:textAlignment w:val="baseline"/>
        <w:rPr>
          <w:rFonts w:ascii="Arial" w:eastAsia="Arial" w:hAnsi="Arial" w:cs="Arial"/>
          <w:color w:val="000000"/>
        </w:rPr>
      </w:pPr>
      <w:r w:rsidRPr="00654982">
        <w:rPr>
          <w:rFonts w:ascii="Arial" w:hAnsi="Arial" w:cs="Arial"/>
        </w:rPr>
        <w:t>Table</w:t>
      </w:r>
      <w:r w:rsidR="00330ABE" w:rsidRPr="00654982">
        <w:rPr>
          <w:rFonts w:ascii="Arial" w:hAnsi="Arial" w:cs="Arial"/>
        </w:rPr>
        <w:t xml:space="preserve"> </w:t>
      </w:r>
      <w:r w:rsidRPr="00654982">
        <w:rPr>
          <w:rFonts w:ascii="Arial" w:hAnsi="Arial" w:cs="Arial"/>
        </w:rPr>
        <w:t>6</w:t>
      </w:r>
      <w:r w:rsidR="00330ABE">
        <w:rPr>
          <w:rFonts w:ascii="Arial" w:eastAsia="Arial" w:hAnsi="Arial" w:cs="Arial"/>
          <w:color w:val="000000"/>
        </w:rPr>
        <w:t xml:space="preserve"> </w:t>
      </w:r>
      <w:r w:rsidR="00DF4666" w:rsidRPr="00DF4666">
        <w:rPr>
          <w:rFonts w:ascii="Arial" w:eastAsia="Arial" w:hAnsi="Arial" w:cs="Arial"/>
          <w:color w:val="000000"/>
        </w:rPr>
        <w:t>shows</w:t>
      </w:r>
      <w:r w:rsidR="00330ABE">
        <w:rPr>
          <w:rFonts w:ascii="Arial" w:eastAsia="Arial" w:hAnsi="Arial" w:cs="Arial"/>
          <w:color w:val="000000"/>
        </w:rPr>
        <w:t xml:space="preserve"> </w:t>
      </w:r>
      <w:r w:rsidR="00DF4666" w:rsidRPr="00DF4666">
        <w:rPr>
          <w:rFonts w:ascii="Arial" w:eastAsia="Arial" w:hAnsi="Arial" w:cs="Arial"/>
          <w:color w:val="000000"/>
        </w:rPr>
        <w:t>that:</w:t>
      </w:r>
    </w:p>
    <w:p w14:paraId="7848CF65" w14:textId="02AEB5B2" w:rsidR="00691755" w:rsidRDefault="00DF4666" w:rsidP="00902D74">
      <w:pPr>
        <w:pStyle w:val="ListParagraph"/>
        <w:numPr>
          <w:ilvl w:val="0"/>
          <w:numId w:val="53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size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intervals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below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501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(i.e.,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500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fewer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who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had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2018-19),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mean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ratio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greater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equal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1.0.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Using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hybrid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approach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majority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have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student-level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AGMs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exclusively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assigning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(i.e.,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percentage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improved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greater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50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percent).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these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size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intervals,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hybrid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approach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assigns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weighted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their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AGM.</w:t>
      </w:r>
    </w:p>
    <w:p w14:paraId="3E54F698" w14:textId="25F7297D" w:rsidR="00DF4666" w:rsidRPr="00691755" w:rsidRDefault="00DF4666" w:rsidP="00902D74">
      <w:pPr>
        <w:pStyle w:val="ListParagraph"/>
        <w:numPr>
          <w:ilvl w:val="0"/>
          <w:numId w:val="53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501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more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who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had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growth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scores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2018–19,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mean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ratio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exactly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equal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1.0,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and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percentage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with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equivalent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better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exactly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100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percent.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result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that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fact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that,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size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interval,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hybrid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approach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assigns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AGM,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resulting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same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hybrid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estimator.</w:t>
      </w:r>
    </w:p>
    <w:p w14:paraId="5C84F0AC" w14:textId="3C5EA4E0" w:rsidR="00DF4666" w:rsidRPr="00691755" w:rsidRDefault="00DF4666" w:rsidP="00902D74">
      <w:pPr>
        <w:pStyle w:val="ListParagraph"/>
        <w:numPr>
          <w:ilvl w:val="0"/>
          <w:numId w:val="53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eastAsia="Arial" w:cs="Arial"/>
          <w:szCs w:val="22"/>
          <w:lang w:eastAsia="zh-CN"/>
        </w:rPr>
        <w:lastRenderedPageBreak/>
        <w:t>The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hybrid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approach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reduces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the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prevalence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of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cases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in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which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the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EBLP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weighted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average</w:t>
      </w:r>
      <w:r w:rsidR="00330ABE">
        <w:rPr>
          <w:rFonts w:eastAsia="Arial" w:cs="Arial"/>
          <w:szCs w:val="22"/>
          <w:lang w:eastAsia="zh-CN"/>
        </w:rPr>
        <w:t xml:space="preserve"> </w:t>
      </w:r>
      <w:proofErr w:type="gramStart"/>
      <w:r w:rsidRPr="00691755">
        <w:rPr>
          <w:rFonts w:eastAsia="Arial" w:cs="Arial"/>
          <w:szCs w:val="22"/>
          <w:lang w:eastAsia="zh-CN"/>
        </w:rPr>
        <w:t>is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estimated</w:t>
      </w:r>
      <w:proofErr w:type="gramEnd"/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to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be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less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accurate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than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the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simple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average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(from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17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percent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to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3</w:t>
      </w:r>
      <w:r w:rsidR="00330ABE">
        <w:rPr>
          <w:rFonts w:eastAsia="Arial" w:cs="Arial"/>
          <w:szCs w:val="22"/>
          <w:lang w:eastAsia="zh-CN"/>
        </w:rPr>
        <w:t xml:space="preserve"> </w:t>
      </w:r>
      <w:r w:rsidRPr="00691755">
        <w:rPr>
          <w:rFonts w:eastAsia="Arial" w:cs="Arial"/>
          <w:szCs w:val="22"/>
          <w:lang w:eastAsia="zh-CN"/>
        </w:rPr>
        <w:t>percent).</w:t>
      </w:r>
    </w:p>
    <w:p w14:paraId="7311CCF3" w14:textId="470333EF" w:rsidR="00DF4666" w:rsidRPr="0030080E" w:rsidRDefault="000F4000" w:rsidP="00DF4666">
      <w:pPr>
        <w:spacing w:after="120"/>
        <w:textAlignment w:val="baseline"/>
        <w:rPr>
          <w:rFonts w:ascii="Arial" w:hAnsi="Arial" w:cs="Arial"/>
          <w:u w:val="single"/>
        </w:rPr>
      </w:pPr>
      <w:hyperlink w:anchor="Table7" w:tooltip="Table 7. Cross-Year Stability of the 2018–19 Hybrid Approach and the Simple Average for Student Groups Within Local Educational Agencies" w:history="1">
        <w:r w:rsidR="00770580" w:rsidRPr="000F4000">
          <w:rPr>
            <w:rStyle w:val="Hyperlink"/>
            <w:rFonts w:ascii="Arial" w:hAnsi="Arial" w:cs="Arial"/>
          </w:rPr>
          <w:t>Table 7</w:t>
        </w:r>
      </w:hyperlink>
      <w:r w:rsidR="00770580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updated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Note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approach,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aligned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  <w:i/>
          <w:iCs/>
        </w:rPr>
        <w:t>n</w:t>
      </w:r>
      <w:r w:rsidR="00DF4666" w:rsidRPr="00DF4666">
        <w:rPr>
          <w:rFonts w:ascii="Arial" w:hAnsi="Arial" w:cs="Arial"/>
        </w:rPr>
        <w:t>-size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cutoff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illustrate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clearly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approach.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unlike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results,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including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largest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“&gt;500”),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combined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adjacent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had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100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group.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some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very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few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501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foster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youth,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interval),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making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unstable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impossible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calculate.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Accordingly,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differ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somewhat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6" w:tooltip="Table 6. Improvement in Accuracy of Growth Estimates Using the Hybrid Approach Versus Simple Averages for Student Groups Within local educational agencies " w:history="1">
        <w:r w:rsidR="00D27FC6" w:rsidRPr="00D27FC6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D27FC6" w:rsidRPr="00D27FC6">
          <w:rPr>
            <w:rStyle w:val="Hyperlink"/>
            <w:rFonts w:ascii="Arial" w:hAnsi="Arial" w:cs="Arial"/>
          </w:rPr>
          <w:t>6</w:t>
        </w:r>
      </w:hyperlink>
      <w:r w:rsidR="00DF4666" w:rsidRPr="00DF4666">
        <w:rPr>
          <w:rFonts w:ascii="Arial" w:hAnsi="Arial" w:cs="Arial"/>
        </w:rPr>
        <w:t>.</w:t>
      </w:r>
      <w:r w:rsidR="00330ABE" w:rsidRPr="0030080E">
        <w:rPr>
          <w:rFonts w:ascii="Arial" w:hAnsi="Arial" w:cs="Arial"/>
        </w:rPr>
        <w:t xml:space="preserve"> </w:t>
      </w:r>
    </w:p>
    <w:p w14:paraId="0CF077A6" w14:textId="5E7A943C" w:rsidR="00DF4666" w:rsidRPr="00914A77" w:rsidRDefault="00DF4666" w:rsidP="00914A77">
      <w:pPr>
        <w:spacing w:before="240" w:after="240"/>
        <w:textAlignment w:val="baseline"/>
        <w:rPr>
          <w:rFonts w:ascii="Arial" w:hAnsi="Arial" w:cs="Arial"/>
          <w:b/>
          <w:bCs/>
        </w:rPr>
      </w:pPr>
      <w:bookmarkStart w:id="43" w:name="_Ref61600053"/>
      <w:bookmarkStart w:id="44" w:name="Table7"/>
      <w:bookmarkStart w:id="45" w:name="_Toc139890518"/>
      <w:r w:rsidRPr="00914A77">
        <w:rPr>
          <w:rFonts w:ascii="Arial" w:hAnsi="Arial" w:cs="Arial"/>
          <w:b/>
          <w:bCs/>
        </w:rPr>
        <w:t>Table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fldChar w:fldCharType="begin"/>
      </w:r>
      <w:r w:rsidRPr="00914A77">
        <w:rPr>
          <w:rFonts w:ascii="Arial" w:hAnsi="Arial" w:cs="Arial"/>
          <w:b/>
          <w:bCs/>
        </w:rPr>
        <w:instrText>SEQ Table \* ARABIC</w:instrText>
      </w:r>
      <w:r w:rsidRPr="00914A77">
        <w:rPr>
          <w:rFonts w:ascii="Arial" w:hAnsi="Arial" w:cs="Arial"/>
          <w:b/>
          <w:bCs/>
        </w:rPr>
        <w:fldChar w:fldCharType="separate"/>
      </w:r>
      <w:r w:rsidR="00BC1E6E" w:rsidRPr="00914A77">
        <w:rPr>
          <w:rFonts w:ascii="Arial" w:hAnsi="Arial" w:cs="Arial"/>
          <w:b/>
          <w:bCs/>
          <w:noProof/>
        </w:rPr>
        <w:t>7</w:t>
      </w:r>
      <w:r w:rsidRPr="00914A77">
        <w:rPr>
          <w:rFonts w:ascii="Arial" w:hAnsi="Arial" w:cs="Arial"/>
          <w:b/>
          <w:bCs/>
        </w:rPr>
        <w:fldChar w:fldCharType="end"/>
      </w:r>
      <w:bookmarkEnd w:id="43"/>
      <w:r w:rsidRPr="00914A77">
        <w:rPr>
          <w:rFonts w:ascii="Arial" w:hAnsi="Arial" w:cs="Arial"/>
          <w:b/>
          <w:bCs/>
        </w:rPr>
        <w:t>.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Cross-Year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Stability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of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2018–19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Hybrid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Approach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and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Simple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for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Student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Groups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Within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LEAs</w:t>
      </w:r>
      <w:bookmarkEnd w:id="45"/>
    </w:p>
    <w:tbl>
      <w:tblPr>
        <w:tblStyle w:val="TRtable"/>
        <w:tblW w:w="982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7. Cross-Year Stability of the 2018–19 Hybrid Approach and the Simple Average for Student Groups Within Local Educational Agencies."/>
      </w:tblPr>
      <w:tblGrid>
        <w:gridCol w:w="1221"/>
        <w:gridCol w:w="1577"/>
        <w:gridCol w:w="1440"/>
        <w:gridCol w:w="1262"/>
        <w:gridCol w:w="2160"/>
        <w:gridCol w:w="2160"/>
      </w:tblGrid>
      <w:tr w:rsidR="008D72A6" w:rsidRPr="008D72A6" w14:paraId="75CAC429" w14:textId="77777777" w:rsidTr="009B5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53"/>
          <w:tblHeader/>
        </w:trPr>
        <w:tc>
          <w:tcPr>
            <w:tcW w:w="1221" w:type="dxa"/>
            <w:vAlign w:val="bottom"/>
          </w:tcPr>
          <w:bookmarkEnd w:id="44"/>
          <w:p w14:paraId="0F26E9B6" w14:textId="36AE1341" w:rsidR="008D72A6" w:rsidRPr="008D72A6" w:rsidRDefault="008D72A6" w:rsidP="001813F3">
            <w:pPr>
              <w:pStyle w:val="TableHead"/>
              <w:rPr>
                <w:rFonts w:cs="Arial"/>
                <w:sz w:val="24"/>
                <w:szCs w:val="24"/>
              </w:rPr>
            </w:pPr>
            <w:r w:rsidRPr="008D72A6">
              <w:rPr>
                <w:rFonts w:cs="Arial"/>
                <w:sz w:val="24"/>
                <w:szCs w:val="24"/>
              </w:rPr>
              <w:t>Student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Group</w:t>
            </w:r>
          </w:p>
        </w:tc>
        <w:tc>
          <w:tcPr>
            <w:tcW w:w="1577" w:type="dxa"/>
            <w:vAlign w:val="bottom"/>
          </w:tcPr>
          <w:p w14:paraId="62E0AD5A" w14:textId="77777777" w:rsidR="008D72A6" w:rsidRPr="008D72A6" w:rsidRDefault="008D72A6" w:rsidP="001813F3">
            <w:pPr>
              <w:pStyle w:val="TableHead"/>
              <w:rPr>
                <w:rFonts w:cs="Arial"/>
                <w:sz w:val="24"/>
                <w:szCs w:val="24"/>
              </w:rPr>
            </w:pPr>
            <w:r w:rsidRPr="008D72A6">
              <w:rPr>
                <w:rFonts w:cs="Arial"/>
                <w:sz w:val="24"/>
                <w:szCs w:val="24"/>
              </w:rPr>
              <w:t>Subject</w:t>
            </w:r>
          </w:p>
        </w:tc>
        <w:tc>
          <w:tcPr>
            <w:tcW w:w="1440" w:type="dxa"/>
            <w:vAlign w:val="bottom"/>
          </w:tcPr>
          <w:p w14:paraId="60674569" w14:textId="201EA838" w:rsidR="008D72A6" w:rsidRPr="008D72A6" w:rsidRDefault="008D72A6" w:rsidP="001813F3">
            <w:pPr>
              <w:pStyle w:val="TableHead"/>
              <w:rPr>
                <w:rFonts w:cs="Arial"/>
                <w:sz w:val="24"/>
                <w:szCs w:val="24"/>
              </w:rPr>
            </w:pPr>
            <w:r w:rsidRPr="008D72A6">
              <w:rPr>
                <w:rFonts w:cs="Arial"/>
                <w:sz w:val="24"/>
                <w:szCs w:val="24"/>
              </w:rPr>
              <w:t>2018–19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LEA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Size</w:t>
            </w:r>
            <w:r w:rsidRPr="008D72A6">
              <w:rPr>
                <w:rFonts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2" w:type="dxa"/>
            <w:vAlign w:val="bottom"/>
          </w:tcPr>
          <w:p w14:paraId="74DEC6AD" w14:textId="10C9BC9B" w:rsidR="008D72A6" w:rsidRPr="008D72A6" w:rsidRDefault="008D72A6" w:rsidP="001813F3">
            <w:pPr>
              <w:pStyle w:val="TableHead"/>
              <w:rPr>
                <w:rFonts w:cs="Arial"/>
                <w:sz w:val="24"/>
                <w:szCs w:val="24"/>
              </w:rPr>
            </w:pPr>
            <w:r w:rsidRPr="008D72A6">
              <w:rPr>
                <w:rFonts w:cs="Arial"/>
                <w:sz w:val="24"/>
                <w:szCs w:val="24"/>
              </w:rPr>
              <w:t>Number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of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LEAs</w:t>
            </w:r>
          </w:p>
        </w:tc>
        <w:tc>
          <w:tcPr>
            <w:tcW w:w="2160" w:type="dxa"/>
            <w:vAlign w:val="bottom"/>
          </w:tcPr>
          <w:p w14:paraId="2178CC84" w14:textId="2B214B7B" w:rsidR="008D72A6" w:rsidRPr="008D72A6" w:rsidRDefault="008D72A6" w:rsidP="001813F3">
            <w:pPr>
              <w:pStyle w:val="TableHead"/>
              <w:rPr>
                <w:rFonts w:cs="Arial"/>
                <w:sz w:val="24"/>
                <w:szCs w:val="24"/>
              </w:rPr>
            </w:pPr>
            <w:r w:rsidRPr="008D72A6">
              <w:rPr>
                <w:rFonts w:cs="Arial"/>
                <w:sz w:val="24"/>
                <w:szCs w:val="24"/>
              </w:rPr>
              <w:t>Correlation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Between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the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2017–18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and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2018–19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Simple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Average</w:t>
            </w:r>
          </w:p>
        </w:tc>
        <w:tc>
          <w:tcPr>
            <w:tcW w:w="2160" w:type="dxa"/>
            <w:vAlign w:val="bottom"/>
          </w:tcPr>
          <w:p w14:paraId="324AAC8F" w14:textId="271BBC05" w:rsidR="008D72A6" w:rsidRPr="008D72A6" w:rsidRDefault="008D72A6" w:rsidP="001813F3">
            <w:pPr>
              <w:pStyle w:val="TableHead"/>
              <w:rPr>
                <w:rFonts w:cs="Arial"/>
                <w:sz w:val="24"/>
                <w:szCs w:val="24"/>
              </w:rPr>
            </w:pPr>
            <w:r w:rsidRPr="008D72A6">
              <w:rPr>
                <w:rFonts w:cs="Arial"/>
                <w:sz w:val="24"/>
                <w:szCs w:val="24"/>
              </w:rPr>
              <w:t>Correlation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Between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the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2017–18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and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2018–19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Hybrid</w:t>
            </w:r>
            <w:r w:rsidR="00330ABE">
              <w:rPr>
                <w:rFonts w:cs="Arial"/>
                <w:sz w:val="24"/>
                <w:szCs w:val="24"/>
              </w:rPr>
              <w:t xml:space="preserve"> </w:t>
            </w:r>
            <w:r w:rsidRPr="008D72A6">
              <w:rPr>
                <w:rFonts w:cs="Arial"/>
                <w:sz w:val="24"/>
                <w:szCs w:val="24"/>
              </w:rPr>
              <w:t>Approach</w:t>
            </w:r>
          </w:p>
        </w:tc>
      </w:tr>
      <w:tr w:rsidR="008D72A6" w:rsidRPr="008D72A6" w14:paraId="77DFE1A5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7ED44D6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31AA7A0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74174F8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3D51EB3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0AB997C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0D00EF1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8D72A6" w:rsidRPr="008D72A6" w14:paraId="28F996B6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62E076E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583EF88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02D02C4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073E86B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04C2F0C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459CBC8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0.73</w:t>
            </w:r>
          </w:p>
        </w:tc>
      </w:tr>
      <w:tr w:rsidR="008D72A6" w:rsidRPr="008D72A6" w14:paraId="0FCA559A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0A1786E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439E398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28110CE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31293AE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15C6B91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03B69DA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8D72A6" w:rsidRPr="008D72A6" w14:paraId="125DAD59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042B13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799459C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4B44EAE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2DF38D9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38B70C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477298D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  <w:tr w:rsidR="008D72A6" w:rsidRPr="008D72A6" w14:paraId="681CCB60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2ECFE8E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925C66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3938F58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5930C23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3E97A75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5AFAF1D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8D72A6" w:rsidRPr="008D72A6" w14:paraId="56F1C4EF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33B30EE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774F4C0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38252E9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0578522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3F4AE6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0CD4B35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8D72A6" w:rsidRPr="008D72A6" w14:paraId="4D9A4A87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141CEFF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352EF38E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5426F1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40ACC3C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3EDED3B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-0.03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056D4FC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8D72A6" w:rsidRPr="008D72A6" w14:paraId="3F6B078B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3329F09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6AFF98A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6A8F7F8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1E1B4D0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1868001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68D7F1F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8D72A6" w:rsidRPr="008D72A6" w14:paraId="09A5864B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080D45C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003A9473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625DB93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40988BF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373D6D8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4AA07B4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8D72A6" w:rsidRPr="008D72A6" w14:paraId="436E0339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2E1DB3A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4480ECCC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10928A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76845C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64A0AA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1188AD5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8D72A6" w:rsidRPr="008D72A6" w14:paraId="406FDE5D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6E7E72C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4062AA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7B9F84A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31B13D7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7907BB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CE6E1C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8D72A6" w:rsidRPr="008D72A6" w14:paraId="4C4AEDB5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1EB27E9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40B004E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3BBA0BA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6B5D124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6C93121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612B117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8D72A6" w:rsidRPr="008D72A6" w14:paraId="2774CBA1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718E17E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33839B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4F0ABC8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69EF76E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22B1A9C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14CA142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8D72A6" w:rsidRPr="008D72A6" w14:paraId="21F0C557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6B4ABB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C2B74B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A29CBB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079755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0E974B1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D29A6C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8D72A6" w:rsidRPr="008D72A6" w14:paraId="61E017A6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2CCF5D4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2A3AD30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DBF542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200CC32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24A848C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66FBB87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8D72A6" w:rsidRPr="008D72A6" w14:paraId="2340EDD7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6CF82F8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0843D09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2CA6119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79FD946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10346A9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45E953C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8D72A6" w:rsidRPr="008D72A6" w14:paraId="395E73EF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0CF1091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5F6120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C1EF84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6B2886A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0CC3797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2184D6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8D72A6" w:rsidRPr="008D72A6" w14:paraId="3DB6D2D6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779279E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495B8A3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7D1CD5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26BEBA3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DFB0B1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22E4C71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0.71</w:t>
            </w:r>
          </w:p>
        </w:tc>
      </w:tr>
      <w:tr w:rsidR="008D72A6" w:rsidRPr="008D72A6" w14:paraId="579A9239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4021A28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6564853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5C581C1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3B3BBC7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DBAB81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F360CE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</w:tr>
      <w:tr w:rsidR="008D72A6" w:rsidRPr="008D72A6" w14:paraId="48EF8D35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5FE8827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lastRenderedPageBreak/>
              <w:t>PI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75E2602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088EBBB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66C41A5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0C338B0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30690B9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8D72A6" w:rsidRPr="008D72A6" w14:paraId="6834D542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2908F7CE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5817739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16BAA5A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1171AED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514C55C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883829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8D72A6" w:rsidRPr="008D72A6" w14:paraId="76976577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DE6240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102408C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E73005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CE00BE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A34722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90C43F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8D72A6" w:rsidRPr="008D72A6" w14:paraId="5B3309BD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291C7C2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44D453D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0A221C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06F57BC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129A172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3C77CE5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8D72A6" w:rsidRPr="008D72A6" w14:paraId="37440961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50096B5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146857C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01FC3F5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4516C27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152F7BF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59B2B12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8D72A6" w:rsidRPr="008D72A6" w14:paraId="3CCF0C34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82895A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801B8C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519877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F6F121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3169E4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5C1F48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8D72A6" w:rsidRPr="008D72A6" w14:paraId="57ADEFC0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E13F7F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0F1C86B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469C99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9668F6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6E98201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5D13B25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8D72A6" w:rsidRPr="008D72A6" w14:paraId="336F9AC3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46D3766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397275E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772318D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187D6AE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1E7A84D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5D4822E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8D72A6" w:rsidRPr="008D72A6" w14:paraId="4FE572C3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5B90F01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6256DC7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953EF8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641A1B3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893C84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387732D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8D72A6" w:rsidRPr="008D72A6" w14:paraId="4876EF82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30707FD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66E4AB73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6D9246E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1FB6C38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4177706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1E1FE3E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8D72A6" w:rsidRPr="008D72A6" w14:paraId="60FC628D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15CF18DC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44F9601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2DE8976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4F05B2C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28A813A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53077AB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</w:tr>
      <w:tr w:rsidR="008D72A6" w:rsidRPr="008D72A6" w14:paraId="7865ED5E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D5D966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A60162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33ED87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D03489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1203958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E8D28E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8D72A6" w:rsidRPr="008D72A6" w14:paraId="42B54149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795020B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1204DA9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5F4283E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15CC40B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57DA8A1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5F13CC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8D72A6" w:rsidRPr="008D72A6" w14:paraId="302AB282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3E9660C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2A0B117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05AA39B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6E758E8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2EEAAC5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BE2357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8D72A6" w:rsidRPr="008D72A6" w14:paraId="0CC77B63" w14:textId="77777777" w:rsidTr="009B5FD0">
        <w:trPr>
          <w:cantSplit/>
          <w:trHeight w:val="207"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10F04C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6836770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C80CE1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46E0E1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D1F266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3F11110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</w:tr>
      <w:tr w:rsidR="008D72A6" w:rsidRPr="008D72A6" w14:paraId="313D93CA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5BD534C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1D563F1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10BE05F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64F743D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7CF3A0D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296F633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8D72A6" w:rsidRPr="008D72A6" w14:paraId="230F0EE6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225B745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298A094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2F9328C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3B8F824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0B84C10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7EEE9D2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8D72A6" w:rsidRPr="008D72A6" w14:paraId="5E730EA9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13BB569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4F67C5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F0CA4A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315FB2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D50E87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3F44E7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</w:tr>
      <w:tr w:rsidR="008D72A6" w:rsidRPr="008D72A6" w14:paraId="11677390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7F0644A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E84C403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36607EF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2EF43F7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6B34BC9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61338AF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</w:tr>
      <w:tr w:rsidR="008D72A6" w:rsidRPr="008D72A6" w14:paraId="1E0AD759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48C90D8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64184F4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13A5435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4615021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2EFE5A5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6EDC8C9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8D72A6" w:rsidRPr="008D72A6" w14:paraId="4CAD0520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20F43E4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5063EE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BA7E93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23AB309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973AE2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5ECE8D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8D72A6" w:rsidRPr="008D72A6" w14:paraId="7499974D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24AA7CFC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3B8999A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8D867C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1112C59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183217F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54CDC20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8D72A6" w:rsidRPr="008D72A6" w14:paraId="568BB6FC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434E627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3124C5C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6AC3320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5D62801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26D80A5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49121A6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8D72A6" w:rsidRPr="008D72A6" w14:paraId="0EB26735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8F7CC0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655AB9E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49B985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02FC98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0453E37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14928E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  <w:tr w:rsidR="008D72A6" w:rsidRPr="008D72A6" w14:paraId="4C84761F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D2E0E7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1AED6CCE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173EDA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7702EA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25BB7FF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2529B7F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8D72A6" w:rsidRPr="008D72A6" w14:paraId="41B31188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10B45DD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2813ED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353FB3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7D87F3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3795107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6CA6450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8D72A6" w:rsidRPr="008D72A6" w14:paraId="2F54749C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0DB46F2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E187EA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CBFF74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1B7E4F7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7BC291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880C6B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8D72A6" w:rsidRPr="008D72A6" w14:paraId="15875628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560A508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64BF117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110D1F2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3F71D63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0D34DAA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3FB4C8C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8D72A6" w:rsidRPr="008D72A6" w14:paraId="4EA7CF1E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04010A8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36FDE09E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449EE5B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1EE0636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2152DEF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034023B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8D72A6" w:rsidRPr="008D72A6" w14:paraId="6EE4D819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16C19A5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C4B411E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E0DEE3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4779B24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2B8AA3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1665C0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  <w:tr w:rsidR="008D72A6" w:rsidRPr="008D72A6" w14:paraId="270A50C1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5C431E5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15EF886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150DC5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3621D84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4B734AD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210A667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0.89</w:t>
            </w:r>
          </w:p>
        </w:tc>
      </w:tr>
      <w:tr w:rsidR="008D72A6" w:rsidRPr="008D72A6" w14:paraId="1E24114E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0AAFA38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F20345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184314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2763B54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372D627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63285A7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8D72A6" w:rsidRPr="008D72A6" w14:paraId="48D06D19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68B8910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0BA0ECD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7AB0DD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83F804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728BE9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1258E4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8D72A6" w:rsidRPr="008D72A6" w14:paraId="5E420E09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7EF6252E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lastRenderedPageBreak/>
              <w:t>EO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43FD526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684EA9C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2CD352B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4219FFA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7A710E6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8D72A6" w:rsidRPr="008D72A6" w14:paraId="687EC333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272144E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425D901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1A6D75F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7453FDC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553C25E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7F86913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8D72A6" w:rsidRPr="008D72A6" w14:paraId="2E09E2E1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6213670C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D652A4D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D1497E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2A13464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07C5D8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E1CB2F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8D72A6" w:rsidRPr="008D72A6" w14:paraId="11737581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4C519A0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718F7CB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28AFBDA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90BE61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5887F20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25DBEF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8D72A6" w:rsidRPr="008D72A6" w14:paraId="772E6EED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156F87D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2BB22DC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1035575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69659E5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7A777C3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54E52E4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8D72A6" w:rsidRPr="008D72A6" w14:paraId="390B59ED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B627F5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1CBB452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757E2B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61A2987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35C020B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6B2EBC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8D72A6" w:rsidRPr="008D72A6" w14:paraId="528EF1ED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0385BAE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3C5F252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92113B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74FE6FC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601321B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5902915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8D72A6" w:rsidRPr="008D72A6" w14:paraId="0FDF01B8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50E3EED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534E4422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7C98B59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097C9CD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0C996BD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74CA4C5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8D72A6" w:rsidRPr="008D72A6" w14:paraId="717BEEB9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951A32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4BED92B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4227E7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6A5ADBC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3AAEF40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4D599D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</w:tr>
      <w:tr w:rsidR="008D72A6" w:rsidRPr="008D72A6" w14:paraId="5F89137B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3A8227B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E398E23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710EB09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5B98EBC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14999B7E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63EEE9B8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0.71</w:t>
            </w:r>
          </w:p>
        </w:tc>
      </w:tr>
      <w:tr w:rsidR="008D72A6" w:rsidRPr="008D72A6" w14:paraId="649BD7EA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28BD352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7DAC8FA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00FD0E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59CD586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35C61DC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-0.06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0C70F60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</w:tr>
      <w:tr w:rsidR="008D72A6" w:rsidRPr="008D72A6" w14:paraId="3B580D09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49B716A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0FEC0A8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D5D00C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23F30E4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3E76D68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01045F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</w:tr>
      <w:tr w:rsidR="008D72A6" w:rsidRPr="008D72A6" w14:paraId="41A05AFF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3BF8EE0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7D17C7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AA15C0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3B53DD6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1B62352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19DE67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8D72A6" w:rsidRPr="008D72A6" w14:paraId="2C882030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3FCFBFB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1FFA38C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5D6102B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6DB1C07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573209A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35A8EC9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8D72A6" w:rsidRPr="008D72A6" w14:paraId="3605A89D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7D479D0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3F606D0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7143DB6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5344857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06C0DCB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-0.18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2FDFC14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</w:tr>
      <w:tr w:rsidR="008D72A6" w:rsidRPr="008D72A6" w14:paraId="73B176F5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12226C40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4D9F853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7BC6E1D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17D2611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7CE3E94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E782F0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</w:tr>
      <w:tr w:rsidR="008D72A6" w:rsidRPr="008D72A6" w14:paraId="597758BF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7A2D9D85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4300F5B8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16DF7E2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150–500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16F807C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44FDE3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70D04A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8D72A6" w:rsidRPr="008D72A6" w14:paraId="38259C72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5294836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2683105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0D15C8D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&gt;500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17C6E30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43FF83B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3C6CE1F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8D72A6" w:rsidRPr="008D72A6" w14:paraId="0F40CC77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15EF817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20470AC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6075258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092D461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28E7CED5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5FF6845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8D72A6" w:rsidRPr="008D72A6" w14:paraId="321AE897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43F09B31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007E75D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0E7BF7E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44E1116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0964CD1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B1D6790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8D72A6" w:rsidRPr="008D72A6" w14:paraId="31C9E95B" w14:textId="77777777" w:rsidTr="009B5FD0">
        <w:trPr>
          <w:cantSplit/>
        </w:trPr>
        <w:tc>
          <w:tcPr>
            <w:tcW w:w="1221" w:type="dxa"/>
            <w:tcBorders>
              <w:top w:val="single" w:sz="12" w:space="0" w:color="auto"/>
              <w:bottom w:val="nil"/>
            </w:tcBorders>
            <w:vAlign w:val="bottom"/>
          </w:tcPr>
          <w:p w14:paraId="4D59A446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  <w:vAlign w:val="bottom"/>
          </w:tcPr>
          <w:p w14:paraId="02FFECD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single" w:sz="12" w:space="0" w:color="auto"/>
              <w:bottom w:val="nil"/>
            </w:tcBorders>
            <w:vAlign w:val="bottom"/>
          </w:tcPr>
          <w:p w14:paraId="2F2DE50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  <w:vAlign w:val="bottom"/>
          </w:tcPr>
          <w:p w14:paraId="0EB7E6C2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401C673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-0.03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bottom"/>
          </w:tcPr>
          <w:p w14:paraId="1CB0481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8D72A6" w:rsidRPr="008D72A6" w14:paraId="33F078FF" w14:textId="77777777" w:rsidTr="009B5FD0">
        <w:trPr>
          <w:cantSplit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2A0A037A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D343AB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7BE08DA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106662C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42E7F5A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57C822E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8D72A6" w:rsidRPr="008D72A6" w14:paraId="70495693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14:paraId="2B5EB07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vAlign w:val="bottom"/>
          </w:tcPr>
          <w:p w14:paraId="6AA5B427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71FD28F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  <w:vAlign w:val="bottom"/>
          </w:tcPr>
          <w:p w14:paraId="18195BA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1FDEF4DC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47645CC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8D72A6" w:rsidRPr="008D72A6" w14:paraId="74897162" w14:textId="77777777" w:rsidTr="009B5FD0">
        <w:trPr>
          <w:cantSplit/>
        </w:trPr>
        <w:tc>
          <w:tcPr>
            <w:tcW w:w="1221" w:type="dxa"/>
            <w:tcBorders>
              <w:top w:val="single" w:sz="4" w:space="0" w:color="auto"/>
              <w:bottom w:val="nil"/>
            </w:tcBorders>
            <w:vAlign w:val="bottom"/>
          </w:tcPr>
          <w:p w14:paraId="488B3C63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  <w:vAlign w:val="bottom"/>
          </w:tcPr>
          <w:p w14:paraId="20988CE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1761C206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  <w:vAlign w:val="bottom"/>
          </w:tcPr>
          <w:p w14:paraId="1C5D26B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3CA204D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2EA11403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8D72A6" w:rsidRPr="008D72A6" w14:paraId="49916535" w14:textId="77777777" w:rsidTr="009B5FD0">
        <w:trPr>
          <w:cantSplit/>
          <w:trHeight w:val="56"/>
        </w:trPr>
        <w:tc>
          <w:tcPr>
            <w:tcW w:w="1221" w:type="dxa"/>
            <w:tcBorders>
              <w:top w:val="nil"/>
              <w:bottom w:val="nil"/>
            </w:tcBorders>
            <w:vAlign w:val="bottom"/>
          </w:tcPr>
          <w:p w14:paraId="57CFA294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bottom"/>
          </w:tcPr>
          <w:p w14:paraId="539CE9D9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5C3FAC1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bottom"/>
          </w:tcPr>
          <w:p w14:paraId="0A779E8D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2A0A31EF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14:paraId="642A65D4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8D72A6" w:rsidRPr="008D72A6" w14:paraId="6AB0A07A" w14:textId="77777777" w:rsidTr="009B5FD0">
        <w:trPr>
          <w:cantSplit/>
        </w:trPr>
        <w:tc>
          <w:tcPr>
            <w:tcW w:w="1221" w:type="dxa"/>
            <w:tcBorders>
              <w:top w:val="nil"/>
              <w:bottom w:val="single" w:sz="12" w:space="0" w:color="auto"/>
            </w:tcBorders>
            <w:vAlign w:val="bottom"/>
          </w:tcPr>
          <w:p w14:paraId="69E4915F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  <w:vAlign w:val="bottom"/>
          </w:tcPr>
          <w:p w14:paraId="00A9D1AB" w14:textId="77777777" w:rsidR="008D72A6" w:rsidRPr="008D72A6" w:rsidRDefault="008D72A6" w:rsidP="001813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vAlign w:val="bottom"/>
          </w:tcPr>
          <w:p w14:paraId="0DDD2CAB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  <w:vAlign w:val="bottom"/>
          </w:tcPr>
          <w:p w14:paraId="790761A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2B3A3E97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bottom"/>
          </w:tcPr>
          <w:p w14:paraId="747FECE9" w14:textId="77777777" w:rsidR="008D72A6" w:rsidRPr="008D72A6" w:rsidRDefault="008D72A6" w:rsidP="001813F3">
            <w:pPr>
              <w:spacing w:before="20" w:after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2A6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</w:tbl>
    <w:p w14:paraId="2346A1A1" w14:textId="68E0CF37" w:rsidR="00BC1E6E" w:rsidRPr="00914A77" w:rsidRDefault="00DF4666" w:rsidP="00902D74">
      <w:pPr>
        <w:numPr>
          <w:ilvl w:val="0"/>
          <w:numId w:val="12"/>
        </w:numPr>
        <w:spacing w:before="120" w:after="120"/>
        <w:ind w:left="576" w:hanging="288"/>
        <w:textAlignment w:val="baseline"/>
        <w:rPr>
          <w:rFonts w:ascii="Arial" w:hAnsi="Arial" w:cs="Arial"/>
          <w:u w:val="single"/>
        </w:rPr>
      </w:pPr>
      <w:r w:rsidRPr="00914A77">
        <w:rPr>
          <w:rFonts w:ascii="Arial" w:hAnsi="Arial" w:cs="Arial"/>
        </w:rPr>
        <w:t>The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size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intervals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refer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to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the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number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of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students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within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LEAs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with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growth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scores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grade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levels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four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through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eight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  <w:i/>
          <w:iCs/>
        </w:rPr>
        <w:t>both</w:t>
      </w:r>
      <w:r w:rsidR="00330ABE" w:rsidRPr="00914A77">
        <w:rPr>
          <w:rFonts w:ascii="Arial" w:hAnsi="Arial" w:cs="Arial"/>
          <w:i/>
          <w:iCs/>
        </w:rPr>
        <w:t xml:space="preserve"> </w:t>
      </w:r>
      <w:r w:rsidRPr="00914A77">
        <w:rPr>
          <w:rFonts w:ascii="Arial" w:hAnsi="Arial" w:cs="Arial"/>
        </w:rPr>
        <w:t>2017–18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and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2018–19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for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the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student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group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and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subject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of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interest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(indicated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the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first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two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columns).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The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number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of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LEAs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each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interval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may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be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smaller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than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</w:rPr>
        <w:t>in</w:t>
      </w:r>
      <w:r w:rsidR="00330ABE" w:rsidRPr="00914A77">
        <w:rPr>
          <w:rFonts w:ascii="Arial" w:hAnsi="Arial" w:cs="Arial"/>
        </w:rPr>
        <w:t xml:space="preserve"> </w:t>
      </w:r>
      <w:r w:rsidRPr="00914A77">
        <w:rPr>
          <w:rFonts w:ascii="Arial" w:hAnsi="Arial" w:cs="Arial"/>
          <w:u w:val="single"/>
        </w:rPr>
        <w:fldChar w:fldCharType="begin"/>
      </w:r>
      <w:r w:rsidRPr="00914A77">
        <w:rPr>
          <w:rFonts w:ascii="Arial" w:hAnsi="Arial" w:cs="Arial"/>
          <w:u w:val="single"/>
        </w:rPr>
        <w:instrText xml:space="preserve"> REF _Ref61597180 \h  \* MERGEFORMAT </w:instrText>
      </w:r>
      <w:r w:rsidRPr="00914A77">
        <w:rPr>
          <w:rFonts w:ascii="Arial" w:hAnsi="Arial" w:cs="Arial"/>
          <w:u w:val="single"/>
        </w:rPr>
      </w:r>
      <w:r w:rsidRPr="00914A77">
        <w:rPr>
          <w:rFonts w:ascii="Arial" w:hAnsi="Arial" w:cs="Arial"/>
          <w:u w:val="single"/>
        </w:rPr>
        <w:fldChar w:fldCharType="separate"/>
      </w:r>
      <w:r w:rsidR="00BC1E6E" w:rsidRPr="00914A77">
        <w:rPr>
          <w:rFonts w:ascii="Arial" w:hAnsi="Arial" w:cs="Arial"/>
          <w:u w:val="single"/>
        </w:rPr>
        <w:br w:type="page"/>
      </w:r>
    </w:p>
    <w:p w14:paraId="67E3A054" w14:textId="47F44E0F" w:rsidR="00DF4666" w:rsidRPr="00DF4666" w:rsidRDefault="00DF4666" w:rsidP="00902D74">
      <w:pPr>
        <w:numPr>
          <w:ilvl w:val="0"/>
          <w:numId w:val="12"/>
        </w:numPr>
        <w:spacing w:before="120" w:after="120"/>
        <w:ind w:left="576" w:hanging="288"/>
        <w:textAlignment w:val="baseline"/>
        <w:rPr>
          <w:rFonts w:ascii="Arial" w:hAnsi="Arial" w:cs="Arial"/>
        </w:rPr>
      </w:pPr>
      <w:r w:rsidRPr="00914A77">
        <w:rPr>
          <w:rFonts w:ascii="Arial" w:hAnsi="Arial" w:cs="Arial"/>
          <w:u w:val="single"/>
        </w:rPr>
        <w:lastRenderedPageBreak/>
        <w:fldChar w:fldCharType="end"/>
      </w:r>
      <w:hyperlink w:anchor="table6" w:tooltip="Table 6. Improvement in Accuracy of Growth Estimates Using the Hybrid Approach Versus Simple Averages for Student Groups Within Local Educational Agencies" w:history="1">
        <w:r w:rsidR="006D1101" w:rsidRPr="006D1101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6D1101" w:rsidRPr="006D1101">
          <w:rPr>
            <w:rStyle w:val="Hyperlink"/>
            <w:rFonts w:ascii="Arial" w:hAnsi="Arial" w:cs="Arial"/>
          </w:rPr>
          <w:t>6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</w:p>
    <w:p w14:paraId="228AAD5B" w14:textId="2FD27E97" w:rsidR="00DF4666" w:rsidRPr="00DF4666" w:rsidRDefault="00DF4666" w:rsidP="00914A77">
      <w:pPr>
        <w:pStyle w:val="Heading5"/>
      </w:pPr>
      <w:r w:rsidRPr="00DF4666">
        <w:t>6.C.2.</w:t>
      </w:r>
      <w:r w:rsidR="00330ABE">
        <w:t xml:space="preserve"> </w:t>
      </w:r>
      <w:r w:rsidRPr="00DF4666">
        <w:t>Summary</w:t>
      </w:r>
      <w:r w:rsidR="00330ABE">
        <w:t xml:space="preserve"> </w:t>
      </w:r>
      <w:r w:rsidRPr="00DF4666">
        <w:t>of</w:t>
      </w:r>
      <w:r w:rsidR="00330ABE">
        <w:t xml:space="preserve"> </w:t>
      </w:r>
      <w:r w:rsidRPr="00DF4666">
        <w:t>Table</w:t>
      </w:r>
      <w:r w:rsidR="00330ABE">
        <w:t xml:space="preserve"> </w:t>
      </w:r>
      <w:r w:rsidRPr="00DF4666">
        <w:t>7</w:t>
      </w:r>
      <w:r w:rsidR="00330ABE">
        <w:t xml:space="preserve"> </w:t>
      </w:r>
      <w:r w:rsidRPr="00DF4666">
        <w:t>Results</w:t>
      </w:r>
    </w:p>
    <w:p w14:paraId="3D2932AF" w14:textId="7D4B2FF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needed—for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sizes—and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discrepancies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completely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501,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identical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2478DD">
        <w:rPr>
          <w:rFonts w:ascii="Arial" w:hAnsi="Arial" w:cs="Arial"/>
        </w:rPr>
        <w:t xml:space="preserve"> </w:t>
      </w:r>
      <w:hyperlink w:anchor="Table5" w:tooltip="Table 5. Cross-Year Stability of the 2018–19 Two-Year empirical best linear prediction Weighted Average and the Simple Average for local educational agencies" w:history="1">
        <w:r w:rsidR="002478DD" w:rsidRPr="005E6D06">
          <w:rPr>
            <w:rStyle w:val="Hyperlink"/>
            <w:rFonts w:ascii="Arial" w:hAnsi="Arial" w:cs="Arial"/>
          </w:rPr>
          <w:t>Table 5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="002478DD">
        <w:rPr>
          <w:rFonts w:ascii="Arial" w:hAnsi="Arial" w:cs="Arial"/>
        </w:rPr>
        <w:t xml:space="preserve">in </w:t>
      </w:r>
      <w:hyperlink w:anchor="Table5" w:tooltip="Table 5. Cross-Year Stability of the 2018–19 Two-Year empirical best linear prediction Weighted Average and the Simple Average for local educational agencies" w:history="1">
        <w:r w:rsidR="002478DD" w:rsidRPr="005E6D06">
          <w:rPr>
            <w:rStyle w:val="Hyperlink"/>
            <w:rFonts w:ascii="Arial" w:hAnsi="Arial" w:cs="Arial"/>
          </w:rPr>
          <w:t>Table 5</w:t>
        </w:r>
      </w:hyperlink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hyperlink w:anchor="table6" w:tooltip="Table 6. Improvement in Accuracy of Growth Estimates Using the Hybrid Approach Versus Simple Averages for Student Groups Within Local Educational Agencies" w:history="1">
        <w:r w:rsidR="002478DD" w:rsidRPr="006D1101">
          <w:rPr>
            <w:rStyle w:val="Hyperlink"/>
            <w:rFonts w:ascii="Arial" w:hAnsi="Arial" w:cs="Arial"/>
          </w:rPr>
          <w:t>Table</w:t>
        </w:r>
        <w:r w:rsidR="002478DD">
          <w:rPr>
            <w:rStyle w:val="Hyperlink"/>
            <w:rFonts w:ascii="Arial" w:hAnsi="Arial" w:cs="Arial"/>
          </w:rPr>
          <w:t xml:space="preserve"> </w:t>
        </w:r>
        <w:r w:rsidR="002478DD" w:rsidRPr="006D1101">
          <w:rPr>
            <w:rStyle w:val="Hyperlink"/>
            <w:rFonts w:ascii="Arial" w:hAnsi="Arial" w:cs="Arial"/>
          </w:rPr>
          <w:t>6</w:t>
        </w:r>
      </w:hyperlink>
      <w:r w:rsidRPr="00DF4666">
        <w:rPr>
          <w:rFonts w:ascii="Arial" w:hAnsi="Arial" w:cs="Arial"/>
        </w:rPr>
        <w:t>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Moreover,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intervals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501,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yields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identical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hyperlink w:anchor="table6" w:tooltip="Table 6. Improvement in Accuracy of Growth Estimates Using the Hybrid Approach Versus Simple Averages for Student Groups Within Local Educational Agencies" w:history="1">
        <w:r w:rsidR="002478DD" w:rsidRPr="006D1101">
          <w:rPr>
            <w:rStyle w:val="Hyperlink"/>
            <w:rFonts w:ascii="Arial" w:hAnsi="Arial" w:cs="Arial"/>
          </w:rPr>
          <w:t>Table</w:t>
        </w:r>
        <w:r w:rsidR="002478DD">
          <w:rPr>
            <w:rStyle w:val="Hyperlink"/>
            <w:rFonts w:ascii="Arial" w:hAnsi="Arial" w:cs="Arial"/>
          </w:rPr>
          <w:t xml:space="preserve"> </w:t>
        </w:r>
        <w:r w:rsidR="002478DD" w:rsidRPr="006D1101">
          <w:rPr>
            <w:rStyle w:val="Hyperlink"/>
            <w:rFonts w:ascii="Arial" w:hAnsi="Arial" w:cs="Arial"/>
          </w:rPr>
          <w:t>6</w:t>
        </w:r>
      </w:hyperlink>
      <w:r w:rsidRPr="00DF4666">
        <w:rPr>
          <w:rFonts w:ascii="Arial" w:hAnsi="Arial" w:cs="Arial"/>
        </w:rPr>
        <w:t>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Accordingly,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substantially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approach.</w:t>
      </w:r>
    </w:p>
    <w:p w14:paraId="708A2702" w14:textId="15509A82" w:rsidR="00DF4666" w:rsidRPr="00DF4666" w:rsidRDefault="00DF4666" w:rsidP="00A86EF8">
      <w:pPr>
        <w:pStyle w:val="Heading3"/>
      </w:pPr>
      <w:bookmarkStart w:id="46" w:name="_Toc139891217"/>
      <w:r w:rsidRPr="00DF4666">
        <w:t>Conclusions</w:t>
      </w:r>
      <w:bookmarkEnd w:id="46"/>
      <w:r w:rsidR="00330ABE">
        <w:t xml:space="preserve"> </w:t>
      </w:r>
    </w:p>
    <w:p w14:paraId="7F0763D8" w14:textId="57C5ABD2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series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yielded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unstable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whenever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primary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cross-year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conditions.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response,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developed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turn,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</w:p>
    <w:p w14:paraId="598E59DE" w14:textId="519363B7" w:rsidR="00DF4666" w:rsidRPr="00DF4666" w:rsidRDefault="00DF4666" w:rsidP="00DF4666">
      <w:pPr>
        <w:spacing w:after="120"/>
        <w:textAlignment w:val="baseline"/>
        <w:rPr>
          <w:rFonts w:ascii="Arial" w:hAnsi="Arial" w:cs="Arial"/>
          <w:b/>
          <w:bCs/>
        </w:rPr>
      </w:pP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levels.</w:t>
      </w:r>
      <w:r w:rsidR="00330ABE">
        <w:rPr>
          <w:rFonts w:ascii="Arial" w:hAnsi="Arial" w:cs="Arial"/>
        </w:rPr>
        <w:t xml:space="preserve"> </w:t>
      </w:r>
    </w:p>
    <w:p w14:paraId="451A71FD" w14:textId="7536871A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t>7.A.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School-Level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Data</w:t>
      </w:r>
    </w:p>
    <w:p w14:paraId="2293D6AC" w14:textId="351DC14B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nearly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universally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</w:p>
    <w:p w14:paraId="1C9F3D35" w14:textId="6A2F770F" w:rsidR="00DF4666" w:rsidRPr="00691755" w:rsidRDefault="00DF4666" w:rsidP="00902D74">
      <w:pPr>
        <w:pStyle w:val="ListParagraph"/>
        <w:numPr>
          <w:ilvl w:val="0"/>
          <w:numId w:val="54"/>
        </w:numPr>
        <w:spacing w:after="120"/>
        <w:ind w:left="720"/>
        <w:contextualSpacing w:val="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There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are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only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69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cases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among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137,055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school-level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AGMs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(for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All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well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16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student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groups)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which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ratio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comparing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accuracy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less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than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1.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is,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EBLP</w:t>
      </w:r>
      <w:r w:rsidR="00330ABE">
        <w:rPr>
          <w:rFonts w:cs="Arial"/>
          <w:szCs w:val="22"/>
          <w:lang w:eastAsia="zh-CN"/>
        </w:rPr>
        <w:t xml:space="preserve"> </w:t>
      </w:r>
      <w:proofErr w:type="gramStart"/>
      <w:r w:rsidRPr="00691755">
        <w:rPr>
          <w:rFonts w:cs="Arial"/>
          <w:szCs w:val="22"/>
          <w:lang w:eastAsia="zh-CN"/>
        </w:rPr>
        <w:t>is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estimated</w:t>
      </w:r>
      <w:proofErr w:type="gramEnd"/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to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be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least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accurate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simple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average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99.95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percent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of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school-level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AGMs.</w:t>
      </w:r>
      <w:r w:rsidR="00330ABE">
        <w:rPr>
          <w:rFonts w:cs="Arial"/>
          <w:szCs w:val="22"/>
          <w:lang w:eastAsia="zh-CN"/>
        </w:rPr>
        <w:t xml:space="preserve"> </w:t>
      </w:r>
    </w:p>
    <w:p w14:paraId="23FBE0FD" w14:textId="585755E6" w:rsidR="00DF4666" w:rsidRPr="00691755" w:rsidRDefault="00DF4666" w:rsidP="00902D74">
      <w:pPr>
        <w:pStyle w:val="ListParagraph"/>
        <w:numPr>
          <w:ilvl w:val="0"/>
          <w:numId w:val="54"/>
        </w:numPr>
        <w:spacing w:after="120"/>
        <w:ind w:left="720"/>
        <w:textAlignment w:val="baseline"/>
        <w:rPr>
          <w:rFonts w:cs="Arial"/>
          <w:szCs w:val="22"/>
          <w:lang w:eastAsia="zh-CN"/>
        </w:rPr>
      </w:pPr>
      <w:r w:rsidRPr="00691755">
        <w:rPr>
          <w:rFonts w:cs="Arial"/>
          <w:szCs w:val="22"/>
          <w:lang w:eastAsia="zh-CN"/>
        </w:rPr>
        <w:t>The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results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hold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for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2018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data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as</w:t>
      </w:r>
      <w:r w:rsidR="00330ABE">
        <w:rPr>
          <w:rFonts w:cs="Arial"/>
          <w:szCs w:val="22"/>
          <w:lang w:eastAsia="zh-CN"/>
        </w:rPr>
        <w:t xml:space="preserve"> </w:t>
      </w:r>
      <w:r w:rsidRPr="00691755">
        <w:rPr>
          <w:rFonts w:cs="Arial"/>
          <w:szCs w:val="22"/>
          <w:lang w:eastAsia="zh-CN"/>
        </w:rPr>
        <w:t>well.</w:t>
      </w:r>
      <w:r w:rsidR="00330ABE">
        <w:rPr>
          <w:rFonts w:cs="Arial"/>
          <w:szCs w:val="22"/>
          <w:lang w:eastAsia="zh-CN"/>
        </w:rPr>
        <w:t xml:space="preserve"> </w:t>
      </w:r>
    </w:p>
    <w:p w14:paraId="10F30F5F" w14:textId="31C35CCC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t>7.B.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LEA-Level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Data</w:t>
      </w:r>
      <w:r w:rsidR="00330ABE">
        <w:rPr>
          <w:lang w:eastAsia="zh-CN"/>
        </w:rPr>
        <w:t xml:space="preserve"> </w:t>
      </w:r>
    </w:p>
    <w:p w14:paraId="57A17199" w14:textId="44F6D381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examining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</w:p>
    <w:p w14:paraId="678FDC5D" w14:textId="5D7CA23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</w:p>
    <w:p w14:paraId="1505B733" w14:textId="00AD661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cases.</w:t>
      </w:r>
      <w:r w:rsidR="00330ABE">
        <w:rPr>
          <w:rFonts w:ascii="Arial" w:hAnsi="Arial" w:cs="Arial"/>
        </w:rPr>
        <w:t xml:space="preserve"> </w:t>
      </w:r>
    </w:p>
    <w:p w14:paraId="1751EA15" w14:textId="3A06B74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proofErr w:type="gramStart"/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exploration,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(1)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evidence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developed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single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cutoff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</w:p>
    <w:p w14:paraId="3C8DF734" w14:textId="72FB8BB4" w:rsidR="00DF4666" w:rsidRPr="00DF4666" w:rsidRDefault="00DF4666" w:rsidP="00DF4666">
      <w:pPr>
        <w:spacing w:after="120"/>
        <w:textAlignment w:val="baseline"/>
        <w:rPr>
          <w:rFonts w:ascii="Segoe UI" w:hAnsi="Segoe UI"/>
          <w:sz w:val="18"/>
          <w:szCs w:val="18"/>
        </w:rPr>
      </w:pPr>
      <w:r w:rsidRPr="00DF4666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TDG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recommended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cutoff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Accordingly,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recommended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LEAs:</w:t>
      </w:r>
      <w:r w:rsidR="00330ABE">
        <w:rPr>
          <w:rFonts w:ascii="Arial" w:hAnsi="Arial" w:cs="Arial"/>
        </w:rPr>
        <w:t xml:space="preserve"> </w:t>
      </w:r>
    </w:p>
    <w:p w14:paraId="2D515BFC" w14:textId="76429574" w:rsidR="00DF4666" w:rsidRPr="00DF4666" w:rsidRDefault="00DF4666" w:rsidP="00623557">
      <w:pPr>
        <w:numPr>
          <w:ilvl w:val="0"/>
          <w:numId w:val="4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EBLP.</w:t>
      </w:r>
      <w:r w:rsidR="00330ABE">
        <w:rPr>
          <w:rFonts w:ascii="Arial" w:hAnsi="Arial" w:cs="Arial"/>
        </w:rPr>
        <w:t xml:space="preserve"> </w:t>
      </w:r>
    </w:p>
    <w:p w14:paraId="2542A113" w14:textId="5E819716" w:rsidR="00DF4666" w:rsidRPr="00DF4666" w:rsidRDefault="00DF4666" w:rsidP="00623557">
      <w:pPr>
        <w:numPr>
          <w:ilvl w:val="0"/>
          <w:numId w:val="4"/>
        </w:numPr>
        <w:spacing w:after="120"/>
        <w:ind w:left="576" w:hanging="288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student-group-level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follows:</w:t>
      </w:r>
      <w:r w:rsidR="00330ABE">
        <w:rPr>
          <w:rFonts w:ascii="Arial" w:hAnsi="Arial" w:cs="Arial"/>
        </w:rPr>
        <w:t xml:space="preserve"> </w:t>
      </w:r>
    </w:p>
    <w:p w14:paraId="7F72D777" w14:textId="1D314AA6" w:rsidR="00691755" w:rsidRDefault="00DF4666" w:rsidP="00902D74">
      <w:pPr>
        <w:numPr>
          <w:ilvl w:val="0"/>
          <w:numId w:val="44"/>
        </w:numPr>
        <w:spacing w:after="120"/>
        <w:ind w:left="1080"/>
        <w:textAlignment w:val="baseline"/>
        <w:rPr>
          <w:rFonts w:ascii="Arial" w:hAnsi="Arial" w:cs="Arial"/>
          <w:color w:val="000000"/>
        </w:rPr>
      </w:pPr>
      <w:r w:rsidRPr="00691755">
        <w:rPr>
          <w:rFonts w:ascii="Arial" w:hAnsi="Arial" w:cs="Arial"/>
          <w:color w:val="000000"/>
        </w:rPr>
        <w:t>If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student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group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has</w:t>
      </w:r>
      <w:r w:rsidR="00330ABE">
        <w:rPr>
          <w:rFonts w:ascii="Arial" w:hAnsi="Arial" w:cs="Arial"/>
          <w:color w:val="000000"/>
        </w:rPr>
        <w:t xml:space="preserve"> </w:t>
      </w:r>
      <w:proofErr w:type="gramStart"/>
      <w:r w:rsidRPr="00691755">
        <w:rPr>
          <w:rFonts w:ascii="Arial" w:hAnsi="Arial" w:cs="Arial"/>
          <w:color w:val="000000"/>
        </w:rPr>
        <w:t>500</w:t>
      </w:r>
      <w:proofErr w:type="gramEnd"/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or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fewer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students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with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scores,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report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EBLP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for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that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student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group.</w:t>
      </w:r>
    </w:p>
    <w:p w14:paraId="51C7881D" w14:textId="1FB0AAC1" w:rsidR="00DF4666" w:rsidRPr="00691755" w:rsidRDefault="00DF4666" w:rsidP="00902D74">
      <w:pPr>
        <w:numPr>
          <w:ilvl w:val="0"/>
          <w:numId w:val="44"/>
        </w:numPr>
        <w:spacing w:after="120"/>
        <w:ind w:left="1080"/>
        <w:textAlignment w:val="baseline"/>
        <w:rPr>
          <w:rFonts w:ascii="Arial" w:hAnsi="Arial" w:cs="Arial"/>
          <w:color w:val="000000"/>
        </w:rPr>
      </w:pPr>
      <w:r w:rsidRPr="00691755">
        <w:rPr>
          <w:rFonts w:ascii="Arial" w:hAnsi="Arial" w:cs="Arial"/>
          <w:color w:val="000000"/>
        </w:rPr>
        <w:t>If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student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group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has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more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than</w:t>
      </w:r>
      <w:r w:rsidR="00330ABE">
        <w:rPr>
          <w:rFonts w:ascii="Arial" w:hAnsi="Arial" w:cs="Arial"/>
          <w:color w:val="000000"/>
        </w:rPr>
        <w:t xml:space="preserve"> </w:t>
      </w:r>
      <w:proofErr w:type="gramStart"/>
      <w:r w:rsidRPr="00691755">
        <w:rPr>
          <w:rFonts w:ascii="Arial" w:hAnsi="Arial" w:cs="Arial"/>
          <w:color w:val="000000"/>
        </w:rPr>
        <w:t>500</w:t>
      </w:r>
      <w:proofErr w:type="gramEnd"/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students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with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growth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scores,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report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simple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average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for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that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student</w:t>
      </w:r>
      <w:r w:rsidR="00330ABE">
        <w:rPr>
          <w:rFonts w:ascii="Arial" w:hAnsi="Arial" w:cs="Arial"/>
          <w:color w:val="000000"/>
        </w:rPr>
        <w:t xml:space="preserve"> </w:t>
      </w:r>
      <w:r w:rsidRPr="00691755">
        <w:rPr>
          <w:rFonts w:ascii="Arial" w:hAnsi="Arial" w:cs="Arial"/>
          <w:color w:val="000000"/>
        </w:rPr>
        <w:t>group.</w:t>
      </w:r>
    </w:p>
    <w:p w14:paraId="6EBDA2EA" w14:textId="5AB43E6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97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Moreover,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remain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substantially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uniform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sizes.</w:t>
      </w:r>
      <w:r w:rsidR="00330ABE">
        <w:rPr>
          <w:rFonts w:ascii="Arial" w:hAnsi="Arial" w:cs="Arial"/>
        </w:rPr>
        <w:t xml:space="preserve"> </w:t>
      </w:r>
    </w:p>
    <w:p w14:paraId="7C1FD7CD" w14:textId="3DF9A21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hybrid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greatly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mitigates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raised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growth.</w:t>
      </w:r>
      <w:r w:rsidR="00330ABE">
        <w:rPr>
          <w:rFonts w:ascii="Arial" w:hAnsi="Arial" w:cs="Arial"/>
        </w:rPr>
        <w:t xml:space="preserve">  </w:t>
      </w:r>
    </w:p>
    <w:p w14:paraId="6CA6C9C8" w14:textId="42991F53" w:rsidR="00DF4666" w:rsidRPr="00DF4666" w:rsidRDefault="00DF4666" w:rsidP="00A86EF8">
      <w:pPr>
        <w:pStyle w:val="Heading3"/>
      </w:pPr>
      <w:bookmarkStart w:id="47" w:name="_Toc139891218"/>
      <w:r w:rsidRPr="00DF4666">
        <w:t>Reference</w:t>
      </w:r>
      <w:bookmarkEnd w:id="47"/>
    </w:p>
    <w:p w14:paraId="5597F6AA" w14:textId="143D1479" w:rsidR="00DF4666" w:rsidRPr="00DF4666" w:rsidRDefault="00DF4666" w:rsidP="00DF4666">
      <w:pPr>
        <w:spacing w:after="120"/>
        <w:ind w:left="216" w:hanging="216"/>
        <w:textAlignment w:val="baseline"/>
        <w:rPr>
          <w:rFonts w:ascii="Arial" w:eastAsia="SimSun" w:hAnsi="Arial" w:cs="Arial"/>
          <w:color w:val="000000"/>
          <w:lang w:eastAsia="ko-KR"/>
        </w:rPr>
      </w:pPr>
      <w:r w:rsidRPr="00DF4666">
        <w:rPr>
          <w:rFonts w:ascii="Arial" w:eastAsia="SimSun" w:hAnsi="Arial" w:cs="Arial"/>
          <w:color w:val="000000"/>
          <w:lang w:eastAsia="ko-KR"/>
        </w:rPr>
        <w:t>Lockwood,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J.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R.,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Castellano,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K.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E.,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&amp;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McCaffrey,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D.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(2020).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Improving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accuracy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and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stability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of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aggregate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student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growth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measures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using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best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linear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prediction.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(Unpublished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manuscript).</w:t>
      </w:r>
    </w:p>
    <w:p w14:paraId="41DEBF16" w14:textId="77777777" w:rsidR="00DF4666" w:rsidRPr="00DF4666" w:rsidRDefault="00DF4666" w:rsidP="00DF4666">
      <w:pPr>
        <w:rPr>
          <w:rFonts w:ascii="Arial" w:eastAsia="SimSun" w:hAnsi="Arial" w:cs="Arial"/>
          <w:color w:val="000000"/>
          <w:lang w:eastAsia="ko-KR"/>
        </w:rPr>
      </w:pPr>
      <w:r w:rsidRPr="00DF4666">
        <w:rPr>
          <w:rFonts w:ascii="Arial" w:hAnsi="Arial" w:cs="Arial"/>
          <w:lang w:eastAsia="ko-KR"/>
        </w:rPr>
        <w:br w:type="page"/>
      </w:r>
    </w:p>
    <w:p w14:paraId="195574FA" w14:textId="32C98702" w:rsidR="00DF4666" w:rsidRPr="00DF4666" w:rsidRDefault="00DF4666" w:rsidP="00F946C3">
      <w:pPr>
        <w:pStyle w:val="Heading2"/>
      </w:pPr>
      <w:bookmarkStart w:id="48" w:name="_Appendix__"/>
      <w:bookmarkStart w:id="49" w:name="_Appendix_A:_Memorandum"/>
      <w:bookmarkStart w:id="50" w:name="_Toc139891219"/>
      <w:bookmarkEnd w:id="48"/>
      <w:bookmarkEnd w:id="49"/>
      <w:r w:rsidRPr="00DF4666">
        <w:lastRenderedPageBreak/>
        <w:t>Appendix</w:t>
      </w:r>
      <w:r w:rsidR="00330ABE">
        <w:t xml:space="preserve"> </w:t>
      </w:r>
      <w:r w:rsidRPr="00DF4666">
        <w:t>A:</w:t>
      </w:r>
      <w:r w:rsidR="00330ABE">
        <w:t xml:space="preserve"> </w:t>
      </w:r>
      <w:r w:rsidRPr="00DF4666">
        <w:t>Memorandum</w:t>
      </w:r>
      <w:r w:rsidR="00330ABE">
        <w:t xml:space="preserve"> </w:t>
      </w:r>
      <w:r w:rsidRPr="00DF4666">
        <w:t>for</w:t>
      </w:r>
      <w:r w:rsidR="00330ABE">
        <w:t xml:space="preserve"> </w:t>
      </w:r>
      <w:r w:rsidRPr="00DF4666">
        <w:t>the</w:t>
      </w:r>
      <w:r w:rsidR="00330ABE">
        <w:t xml:space="preserve"> </w:t>
      </w:r>
      <w:r w:rsidRPr="00DF4666">
        <w:t>Technical</w:t>
      </w:r>
      <w:r w:rsidR="00330ABE">
        <w:t xml:space="preserve"> </w:t>
      </w:r>
      <w:r w:rsidRPr="00DF4666">
        <w:t>Design</w:t>
      </w:r>
      <w:r w:rsidR="00330ABE">
        <w:t xml:space="preserve"> </w:t>
      </w:r>
      <w:r w:rsidRPr="00DF4666">
        <w:t>Group</w:t>
      </w:r>
      <w:r w:rsidRPr="00DF4666">
        <w:br/>
        <w:t>December</w:t>
      </w:r>
      <w:r w:rsidR="00330ABE">
        <w:t xml:space="preserve"> </w:t>
      </w:r>
      <w:r w:rsidRPr="00DF4666">
        <w:t>2020</w:t>
      </w:r>
      <w:bookmarkEnd w:id="50"/>
    </w:p>
    <w:p w14:paraId="7E756752" w14:textId="307FD49C" w:rsidR="00DF4666" w:rsidRPr="00DF4666" w:rsidRDefault="00DF4666" w:rsidP="00EF4A47">
      <w:pPr>
        <w:pStyle w:val="Heading3"/>
        <w:numPr>
          <w:ilvl w:val="0"/>
          <w:numId w:val="0"/>
        </w:numPr>
      </w:pPr>
      <w:bookmarkStart w:id="51" w:name="_Toc139891220"/>
      <w:r w:rsidRPr="00DF4666">
        <w:t>Evaluating</w:t>
      </w:r>
      <w:r w:rsidR="00330ABE">
        <w:t xml:space="preserve"> </w:t>
      </w:r>
      <w:r w:rsidRPr="00DF4666">
        <w:t>Aggregate</w:t>
      </w:r>
      <w:r w:rsidR="00330ABE">
        <w:t xml:space="preserve"> </w:t>
      </w:r>
      <w:r w:rsidRPr="00DF4666">
        <w:t>Growth</w:t>
      </w:r>
      <w:r w:rsidR="00330ABE">
        <w:t xml:space="preserve"> </w:t>
      </w:r>
      <w:r w:rsidRPr="00DF4666">
        <w:t>Reporting</w:t>
      </w:r>
      <w:r w:rsidR="00330ABE">
        <w:t xml:space="preserve"> </w:t>
      </w:r>
      <w:r w:rsidRPr="00DF4666">
        <w:t>Options</w:t>
      </w:r>
      <w:r w:rsidR="00330ABE">
        <w:t xml:space="preserve"> </w:t>
      </w:r>
      <w:r w:rsidRPr="00DF4666">
        <w:t>for</w:t>
      </w:r>
      <w:r w:rsidR="00330ABE">
        <w:t xml:space="preserve"> </w:t>
      </w:r>
      <w:r w:rsidRPr="00DF4666">
        <w:t>Local</w:t>
      </w:r>
      <w:r w:rsidR="00330ABE">
        <w:t xml:space="preserve"> </w:t>
      </w:r>
      <w:r w:rsidRPr="00DF4666">
        <w:t>Educational</w:t>
      </w:r>
      <w:r w:rsidR="00330ABE">
        <w:t xml:space="preserve"> </w:t>
      </w:r>
      <w:r w:rsidRPr="00DF4666">
        <w:t>Agencies</w:t>
      </w:r>
      <w:bookmarkEnd w:id="51"/>
      <w:r w:rsidR="00330ABE">
        <w:t xml:space="preserve"> </w:t>
      </w:r>
    </w:p>
    <w:p w14:paraId="7909A015" w14:textId="07B8E36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J.R.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Lockwood,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Katherine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Castellano,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&amp;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Daniel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McCaffrey</w:t>
      </w:r>
      <w:r w:rsidR="00330ABE">
        <w:rPr>
          <w:rFonts w:ascii="Arial" w:hAnsi="Arial" w:cs="Arial"/>
        </w:rPr>
        <w:t xml:space="preserve"> </w:t>
      </w:r>
    </w:p>
    <w:p w14:paraId="014F4A08" w14:textId="16671975" w:rsidR="00DF4666" w:rsidRPr="00DF4666" w:rsidRDefault="00DF4666" w:rsidP="00914A77">
      <w:pPr>
        <w:pStyle w:val="Heading4"/>
        <w:rPr>
          <w:rFonts w:cs="Arial"/>
          <w:lang w:eastAsia="zh-CN"/>
        </w:rPr>
      </w:pPr>
      <w:r w:rsidRPr="00DF4666">
        <w:rPr>
          <w:lang w:eastAsia="zh-CN"/>
        </w:rPr>
        <w:t>Summary</w:t>
      </w:r>
      <w:r w:rsidR="00330ABE">
        <w:rPr>
          <w:lang w:eastAsia="zh-CN"/>
        </w:rPr>
        <w:t xml:space="preserve"> </w:t>
      </w:r>
    </w:p>
    <w:p w14:paraId="59D7C6E2" w14:textId="6AA2BD0C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bookmarkStart w:id="52" w:name="_Toc48022567"/>
      <w:r w:rsidRPr="00DF4666">
        <w:rPr>
          <w:rFonts w:ascii="Arial" w:hAnsi="Arial" w:cs="Arial"/>
        </w:rPr>
        <w:t>Educational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Service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(ETS)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Department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Education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(CDE)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(EBLP)''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(AGMs),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educational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agencies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(LEAs).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Preliminary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Technical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Design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(TDG)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briefing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Castellano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briefing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Education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(SBE)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September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2020.</w:t>
      </w:r>
    </w:p>
    <w:p w14:paraId="45F5ABDC" w14:textId="29861F4B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TDG,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nearly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Alternatively,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small-to-moderate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disabilities).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recommended,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TDG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concurred,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mitigated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warranted</w:t>
      </w:r>
      <w:proofErr w:type="gramEnd"/>
      <w:r w:rsidRPr="00DF4666">
        <w:rPr>
          <w:rFonts w:ascii="Arial" w:hAnsi="Arial" w:cs="Arial"/>
        </w:rPr>
        <w:t>.</w:t>
      </w:r>
    </w:p>
    <w:p w14:paraId="7CCF0177" w14:textId="355336A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results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level:</w:t>
      </w:r>
    </w:p>
    <w:p w14:paraId="2C783DAC" w14:textId="679C5438" w:rsidR="00DF4666" w:rsidRPr="00DF4666" w:rsidRDefault="00DF4666" w:rsidP="00902D74">
      <w:pPr>
        <w:numPr>
          <w:ilvl w:val="0"/>
          <w:numId w:val="29"/>
        </w:numPr>
        <w:spacing w:after="120"/>
        <w:textAlignment w:val="baseline"/>
        <w:rPr>
          <w:rFonts w:ascii="Arial" w:hAnsi="Arial" w:cs="Arial"/>
          <w:b/>
          <w:bCs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(the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“sample-size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rule”)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Establishing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sample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size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threshold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such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that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if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AGM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is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based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on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that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proofErr w:type="gramStart"/>
      <w:r w:rsidRPr="00DF4666">
        <w:rPr>
          <w:rFonts w:ascii="Arial" w:hAnsi="Arial" w:cs="Arial"/>
          <w:szCs w:val="22"/>
          <w:lang w:eastAsia="zh-CN"/>
        </w:rPr>
        <w:t>many</w:t>
      </w:r>
      <w:proofErr w:type="gramEnd"/>
      <w:r w:rsidRPr="00DF4666">
        <w:rPr>
          <w:rFonts w:ascii="Arial" w:hAnsi="Arial" w:cs="Arial"/>
          <w:szCs w:val="22"/>
          <w:lang w:eastAsia="zh-CN"/>
        </w:rPr>
        <w:t>,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or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fewer,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growth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scores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in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reporting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year,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EBLP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would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be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reported,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and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otherwise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simple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average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would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be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reported;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and</w:t>
      </w:r>
    </w:p>
    <w:p w14:paraId="1BE2CAAD" w14:textId="472AA62B" w:rsidR="00DF4666" w:rsidRPr="00DF4666" w:rsidRDefault="00DF4666" w:rsidP="00902D74">
      <w:pPr>
        <w:numPr>
          <w:ilvl w:val="0"/>
          <w:numId w:val="29"/>
        </w:numPr>
        <w:spacing w:after="120"/>
        <w:textAlignment w:val="baseline"/>
        <w:rPr>
          <w:rFonts w:ascii="Arial" w:hAnsi="Arial" w:cs="Arial"/>
          <w:b/>
          <w:bCs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(the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“estimated-accuracy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rule”)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When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estimated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accuracy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of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EBLP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is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greater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than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estimated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accuracy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of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simple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average,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EBLP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would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proofErr w:type="gramStart"/>
      <w:r w:rsidRPr="00DF4666">
        <w:rPr>
          <w:rFonts w:ascii="Arial" w:hAnsi="Arial" w:cs="Arial"/>
          <w:szCs w:val="22"/>
          <w:lang w:eastAsia="zh-CN"/>
        </w:rPr>
        <w:t>be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reported</w:t>
      </w:r>
      <w:proofErr w:type="gramEnd"/>
      <w:r w:rsidRPr="00DF4666">
        <w:rPr>
          <w:rFonts w:ascii="Arial" w:hAnsi="Arial" w:cs="Arial"/>
          <w:szCs w:val="22"/>
          <w:lang w:eastAsia="zh-CN"/>
        </w:rPr>
        <w:t>,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and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otherwise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simple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average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would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be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reported.</w:t>
      </w:r>
    </w:p>
    <w:p w14:paraId="6686047F" w14:textId="76B44EE6" w:rsidR="00DF4666" w:rsidRPr="00DF4666" w:rsidRDefault="00DF4666" w:rsidP="00DF4666">
      <w:pPr>
        <w:spacing w:after="120"/>
        <w:textAlignment w:val="baseline"/>
        <w:rPr>
          <w:rFonts w:ascii="Arial" w:hAnsi="Arial" w:cs="Arial"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key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findings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are: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</w:p>
    <w:p w14:paraId="3E675813" w14:textId="2F06F1CE" w:rsidR="00DF4666" w:rsidRPr="00DF4666" w:rsidRDefault="00DF4666" w:rsidP="00902D74">
      <w:pPr>
        <w:numPr>
          <w:ilvl w:val="0"/>
          <w:numId w:val="30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extremely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infeasible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</w:t>
      </w:r>
      <w:proofErr w:type="gramStart"/>
      <w:r w:rsidRPr="00DF4666">
        <w:rPr>
          <w:rFonts w:ascii="Arial" w:hAnsi="Arial" w:cs="Arial"/>
        </w:rPr>
        <w:t>ideal''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appears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yield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substantially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reasonable.</w:t>
      </w:r>
    </w:p>
    <w:p w14:paraId="1DAAA5E0" w14:textId="50A97743" w:rsidR="00DF4666" w:rsidRPr="00DF4666" w:rsidRDefault="00DF4666" w:rsidP="00902D74">
      <w:pPr>
        <w:numPr>
          <w:ilvl w:val="0"/>
          <w:numId w:val="30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approximately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extremely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another.</w:t>
      </w:r>
      <w:r w:rsidR="00330ABE">
        <w:rPr>
          <w:rFonts w:ascii="Arial" w:hAnsi="Arial" w:cs="Arial"/>
        </w:rPr>
        <w:t xml:space="preserve"> </w:t>
      </w:r>
    </w:p>
    <w:p w14:paraId="36AA351A" w14:textId="37C3FA51" w:rsidR="00DF4666" w:rsidRPr="00DF4666" w:rsidRDefault="00DF4666" w:rsidP="00902D74">
      <w:pPr>
        <w:numPr>
          <w:ilvl w:val="0"/>
          <w:numId w:val="30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700,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versa)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</w:p>
    <w:p w14:paraId="3AC3FF29" w14:textId="3F17FEA4" w:rsidR="00DF4666" w:rsidRPr="00DF4666" w:rsidRDefault="00DF4666" w:rsidP="00902D74">
      <w:pPr>
        <w:numPr>
          <w:ilvl w:val="0"/>
          <w:numId w:val="30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700,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</w:p>
    <w:p w14:paraId="0C20A422" w14:textId="7EF97D38" w:rsidR="00DF4666" w:rsidRPr="00DF4666" w:rsidRDefault="00DF4666" w:rsidP="00902D74">
      <w:pPr>
        <w:numPr>
          <w:ilvl w:val="0"/>
          <w:numId w:val="30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substantially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</w:p>
    <w:p w14:paraId="5B4576D4" w14:textId="192F6CAA" w:rsidR="00DF4666" w:rsidRPr="00DF4666" w:rsidRDefault="00DF4666" w:rsidP="00902D74">
      <w:pPr>
        <w:numPr>
          <w:ilvl w:val="0"/>
          <w:numId w:val="30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simplicity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description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nontechnical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audiences,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suggest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attractive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bookmarkEnd w:id="52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insensitivities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reasonable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non-statistical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simplicity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communication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value.</w:t>
      </w:r>
      <w:r w:rsidR="00330ABE">
        <w:rPr>
          <w:rFonts w:ascii="Arial" w:hAnsi="Arial" w:cs="Arial"/>
        </w:rPr>
        <w:t xml:space="preserve"> </w:t>
      </w:r>
    </w:p>
    <w:p w14:paraId="12EC91FD" w14:textId="2562A4D5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remainder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document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background,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technical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details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results.</w:t>
      </w:r>
    </w:p>
    <w:p w14:paraId="18A94AC3" w14:textId="77777777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t>Background</w:t>
      </w:r>
    </w:p>
    <w:p w14:paraId="31A5E8FE" w14:textId="5051E70C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processes,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student's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English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Language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(ELA))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their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their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their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Pr="00DF4666">
        <w:rPr>
          <w:rFonts w:ascii="Arial" w:hAnsi="Arial" w:cs="Arial"/>
          <w:vertAlign w:val="superscript"/>
        </w:rPr>
        <w:footnoteReference w:id="2"/>
      </w:r>
    </w:p>
    <w:p w14:paraId="44E81D0F" w14:textId="73468B4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entities,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intended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diagnostic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information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achievement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progress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policy-relevant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preliminary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credibility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adopted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annual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accountability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use.</w:t>
      </w:r>
    </w:p>
    <w:p w14:paraId="17AF988D" w14:textId="751B6ABC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source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annual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fluctuations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inaccuracy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due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idiosyncrasies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exacerbate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year-to-year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fluctuations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serving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LEAs.</w:t>
      </w:r>
    </w:p>
    <w:p w14:paraId="467C135E" w14:textId="501AC755" w:rsidR="00DF4666" w:rsidRPr="00DF4666" w:rsidRDefault="00DF4666" w:rsidP="00914A77">
      <w:pPr>
        <w:pStyle w:val="Heading5"/>
      </w:pPr>
      <w:r w:rsidRPr="00DF4666">
        <w:t>EBLP</w:t>
      </w:r>
      <w:r w:rsidR="00330ABE">
        <w:t xml:space="preserve"> </w:t>
      </w:r>
      <w:r w:rsidRPr="00DF4666">
        <w:t>as</w:t>
      </w:r>
      <w:r w:rsidR="00330ABE">
        <w:t xml:space="preserve"> </w:t>
      </w:r>
      <w:r w:rsidRPr="00DF4666">
        <w:t>a</w:t>
      </w:r>
      <w:r w:rsidR="00330ABE">
        <w:t xml:space="preserve"> </w:t>
      </w:r>
      <w:r w:rsidRPr="00DF4666">
        <w:t>Potential</w:t>
      </w:r>
      <w:r w:rsidR="00330ABE">
        <w:t xml:space="preserve"> </w:t>
      </w:r>
      <w:r w:rsidRPr="00DF4666">
        <w:t>Solution</w:t>
      </w:r>
    </w:p>
    <w:p w14:paraId="20FFD531" w14:textId="3359F0B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developed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(EBLP)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potentially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fluctuations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(Lockwood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multiple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creating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(approximate)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recent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year”).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Accordingly,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sometimes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entire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multiple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much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depends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Lockwood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(2020)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technical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details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developed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“schoolgrowth”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package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(Lockwood,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environment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Team,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produce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EBLPs.</w:t>
      </w:r>
    </w:p>
    <w:p w14:paraId="11A27CB0" w14:textId="1CB180CC" w:rsidR="00DF4666" w:rsidRPr="00DF4666" w:rsidRDefault="00DF4666" w:rsidP="00914A77">
      <w:pPr>
        <w:pStyle w:val="Heading5"/>
      </w:pPr>
      <w:r w:rsidRPr="00DF4666">
        <w:t>Business</w:t>
      </w:r>
      <w:r w:rsidR="00330ABE">
        <w:t xml:space="preserve"> </w:t>
      </w:r>
      <w:r w:rsidRPr="00DF4666">
        <w:t>Rules</w:t>
      </w:r>
      <w:r w:rsidR="00330ABE">
        <w:t xml:space="preserve"> </w:t>
      </w:r>
      <w:r w:rsidRPr="00DF4666">
        <w:t>Adopted</w:t>
      </w:r>
      <w:r w:rsidR="00330ABE">
        <w:t xml:space="preserve"> </w:t>
      </w:r>
      <w:r w:rsidRPr="00DF4666">
        <w:t>for</w:t>
      </w:r>
      <w:r w:rsidR="00330ABE">
        <w:t xml:space="preserve"> </w:t>
      </w:r>
      <w:r w:rsidRPr="00DF4666">
        <w:t>AGM</w:t>
      </w:r>
      <w:r w:rsidR="00330ABE">
        <w:t xml:space="preserve"> </w:t>
      </w:r>
      <w:r w:rsidRPr="00DF4666">
        <w:t>Reporting</w:t>
      </w:r>
      <w:r w:rsidR="00330ABE">
        <w:t xml:space="preserve"> </w:t>
      </w:r>
      <w:r w:rsidRPr="00DF4666">
        <w:t>and</w:t>
      </w:r>
      <w:r w:rsidR="00330ABE">
        <w:t xml:space="preserve"> </w:t>
      </w:r>
      <w:r w:rsidRPr="00DF4666">
        <w:t>EBLP</w:t>
      </w:r>
      <w:r w:rsidR="00330ABE">
        <w:t xml:space="preserve"> </w:t>
      </w:r>
      <w:r w:rsidRPr="00DF4666">
        <w:t>Application</w:t>
      </w:r>
    </w:p>
    <w:p w14:paraId="21963525" w14:textId="2CA0C217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tested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applying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blocks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simultaneously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ELA.</w:t>
      </w:r>
    </w:p>
    <w:p w14:paraId="1A8191AE" w14:textId="0504661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proofErr w:type="gramStart"/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stakeholder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input,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simplicity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future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communications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adopted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regarding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California:</w:t>
      </w:r>
      <w:r w:rsidR="00330ABE">
        <w:rPr>
          <w:rFonts w:ascii="Arial" w:hAnsi="Arial" w:cs="Arial"/>
        </w:rPr>
        <w:t xml:space="preserve"> </w:t>
      </w:r>
    </w:p>
    <w:p w14:paraId="77BE6D64" w14:textId="3B011E99" w:rsidR="00DF4666" w:rsidRPr="00DF4666" w:rsidRDefault="00DF4666" w:rsidP="00902D74">
      <w:pPr>
        <w:numPr>
          <w:ilvl w:val="0"/>
          <w:numId w:val="31"/>
        </w:numPr>
        <w:spacing w:after="120"/>
        <w:contextualSpacing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11+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</w:p>
    <w:p w14:paraId="5F778379" w14:textId="62DC3BF6" w:rsidR="00DF4666" w:rsidRPr="00DF4666" w:rsidRDefault="00DF4666" w:rsidP="00902D74">
      <w:pPr>
        <w:numPr>
          <w:ilvl w:val="0"/>
          <w:numId w:val="31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blocks.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immediate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06FB9366" w14:textId="5DCBB81B" w:rsidR="00DF4666" w:rsidRPr="00DF4666" w:rsidRDefault="00DF4666" w:rsidP="00902D74">
      <w:pPr>
        <w:numPr>
          <w:ilvl w:val="0"/>
          <w:numId w:val="31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Education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November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meeting.</w:t>
      </w:r>
    </w:p>
    <w:p w14:paraId="7C526CBE" w14:textId="34B447D4" w:rsidR="00DF4666" w:rsidRPr="00DF4666" w:rsidRDefault="00DF4666" w:rsidP="00902D74">
      <w:pPr>
        <w:numPr>
          <w:ilvl w:val="0"/>
          <w:numId w:val="31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English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language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learner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English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language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learners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0122BA2D" w14:textId="43167B69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Thus,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immediate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Analogously,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immediate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approximately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school's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school's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2C4CFB48" w14:textId="3E5077A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Note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treated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purposes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computation,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prediction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regression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purposes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</w:p>
    <w:p w14:paraId="2050D612" w14:textId="57CED682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adheres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11+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58313882" w14:textId="530189AB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t>Empirical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Results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Motivating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the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Current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Study</w:t>
      </w:r>
    </w:p>
    <w:p w14:paraId="7351ABC0" w14:textId="1E7D4D7C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analyzed,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obtained,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motivated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current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</w:p>
    <w:p w14:paraId="1F36E913" w14:textId="77777777" w:rsidR="00DF4666" w:rsidRPr="00DF4666" w:rsidRDefault="00DF4666" w:rsidP="00914A77">
      <w:pPr>
        <w:pStyle w:val="Heading5"/>
      </w:pPr>
      <w:r w:rsidRPr="00DF4666">
        <w:t>Data</w:t>
      </w:r>
    </w:p>
    <w:p w14:paraId="18984F5A" w14:textId="7F34160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2018-2019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(“2019”),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2017-2018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</w:t>
      </w:r>
      <w:proofErr w:type="gramStart"/>
      <w:r w:rsidRPr="00DF4666">
        <w:rPr>
          <w:rFonts w:ascii="Arial" w:hAnsi="Arial" w:cs="Arial"/>
        </w:rPr>
        <w:t>“2018</w:t>
      </w:r>
      <w:proofErr w:type="gramEnd"/>
      <w:r w:rsidRPr="00DF4666">
        <w:rPr>
          <w:rFonts w:ascii="Arial" w:hAnsi="Arial" w:cs="Arial"/>
        </w:rPr>
        <w:t>”),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2016-2017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(“2017”).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block.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analogously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2628F42F" w14:textId="54AC3A23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factors:</w:t>
      </w:r>
    </w:p>
    <w:p w14:paraId="0C2C634D" w14:textId="3C07D0A1" w:rsidR="00DF4666" w:rsidRPr="00DF4666" w:rsidRDefault="00DF4666" w:rsidP="00902D74">
      <w:pPr>
        <w:numPr>
          <w:ilvl w:val="0"/>
          <w:numId w:val="32"/>
        </w:numPr>
        <w:spacing w:after="120"/>
        <w:textAlignment w:val="baseline"/>
        <w:rPr>
          <w:rFonts w:ascii="Arial" w:hAnsi="Arial" w:cs="Arial"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(</w:t>
      </w:r>
      <w:proofErr w:type="gramStart"/>
      <w:r w:rsidRPr="00DF4666">
        <w:rPr>
          <w:rFonts w:ascii="Arial" w:hAnsi="Arial" w:cs="Arial"/>
          <w:szCs w:val="22"/>
          <w:lang w:eastAsia="zh-CN"/>
        </w:rPr>
        <w:t>organizational</w:t>
      </w:r>
      <w:proofErr w:type="gramEnd"/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level)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School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vs.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LEA</w:t>
      </w:r>
    </w:p>
    <w:p w14:paraId="1DEA4B9B" w14:textId="0E2E2F6D" w:rsidR="00DF4666" w:rsidRPr="00DF4666" w:rsidRDefault="00DF4666" w:rsidP="00902D74">
      <w:pPr>
        <w:numPr>
          <w:ilvl w:val="0"/>
          <w:numId w:val="32"/>
        </w:numPr>
        <w:spacing w:after="120"/>
        <w:textAlignment w:val="baseline"/>
        <w:rPr>
          <w:rFonts w:ascii="Arial" w:hAnsi="Arial" w:cs="Arial"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(subject)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Mathematics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vs.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ELA</w:t>
      </w:r>
    </w:p>
    <w:p w14:paraId="4063297D" w14:textId="602DC304" w:rsidR="00DF4666" w:rsidRPr="00DF4666" w:rsidRDefault="00DF4666" w:rsidP="00902D74">
      <w:pPr>
        <w:numPr>
          <w:ilvl w:val="0"/>
          <w:numId w:val="32"/>
        </w:numPr>
        <w:spacing w:after="120"/>
        <w:textAlignment w:val="baseline"/>
        <w:rPr>
          <w:rFonts w:ascii="Arial" w:hAnsi="Arial" w:cs="Arial"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(group)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Seventeen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“student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groups”</w:t>
      </w:r>
    </w:p>
    <w:p w14:paraId="373B7262" w14:textId="42D9F0C6" w:rsidR="00DF4666" w:rsidRPr="00DF4666" w:rsidRDefault="00DF4666" w:rsidP="00DF4666">
      <w:pPr>
        <w:spacing w:after="120"/>
        <w:contextualSpacing/>
        <w:textAlignment w:val="baseline"/>
        <w:rPr>
          <w:rFonts w:ascii="Arial" w:hAnsi="Arial" w:cs="Arial"/>
          <w:szCs w:val="22"/>
          <w:lang w:eastAsia="zh-CN"/>
        </w:rPr>
      </w:pP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proofErr w:type="gramStart"/>
      <w:r w:rsidRPr="00DF4666">
        <w:rPr>
          <w:rFonts w:ascii="Arial" w:hAnsi="Arial" w:cs="Arial"/>
          <w:szCs w:val="22"/>
          <w:lang w:eastAsia="zh-CN"/>
        </w:rPr>
        <w:t>17</w:t>
      </w:r>
      <w:proofErr w:type="gramEnd"/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student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groups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include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“all”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students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well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the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16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groups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used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in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CDE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reporting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as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DF4666">
        <w:rPr>
          <w:rFonts w:ascii="Arial" w:hAnsi="Arial" w:cs="Arial"/>
          <w:szCs w:val="22"/>
          <w:lang w:eastAsia="zh-CN"/>
        </w:rPr>
        <w:t>shown</w:t>
      </w:r>
      <w:r w:rsidR="00330ABE">
        <w:rPr>
          <w:rFonts w:ascii="Arial" w:hAnsi="Arial" w:cs="Arial"/>
          <w:szCs w:val="22"/>
          <w:lang w:eastAsia="zh-CN"/>
        </w:rPr>
        <w:t xml:space="preserve"> </w:t>
      </w:r>
      <w:r w:rsidRPr="00914A77">
        <w:rPr>
          <w:rFonts w:ascii="Arial" w:hAnsi="Arial" w:cs="Arial"/>
          <w:szCs w:val="22"/>
          <w:lang w:eastAsia="zh-CN"/>
        </w:rPr>
        <w:t>in</w:t>
      </w:r>
      <w:r w:rsidR="00330ABE" w:rsidRPr="00914A77">
        <w:rPr>
          <w:rFonts w:ascii="Arial" w:hAnsi="Arial" w:cs="Arial"/>
          <w:szCs w:val="22"/>
          <w:lang w:eastAsia="zh-CN"/>
        </w:rPr>
        <w:t xml:space="preserve"> </w:t>
      </w:r>
      <w:r w:rsidRPr="00914A77">
        <w:rPr>
          <w:rFonts w:ascii="Arial" w:hAnsi="Arial" w:cs="Arial"/>
          <w:szCs w:val="22"/>
          <w:lang w:eastAsia="zh-CN"/>
        </w:rPr>
        <w:fldChar w:fldCharType="begin"/>
      </w:r>
      <w:r w:rsidRPr="00914A77">
        <w:rPr>
          <w:rFonts w:ascii="Arial" w:hAnsi="Arial" w:cs="Arial"/>
          <w:szCs w:val="22"/>
          <w:lang w:eastAsia="zh-CN"/>
        </w:rPr>
        <w:instrText xml:space="preserve"> REF _Ref57635850 \h </w:instrText>
      </w:r>
      <w:r w:rsidRPr="00914A77">
        <w:rPr>
          <w:rFonts w:ascii="Arial" w:hAnsi="Arial" w:cs="Arial"/>
          <w:szCs w:val="22"/>
          <w:lang w:eastAsia="zh-CN"/>
        </w:rPr>
      </w:r>
      <w:r w:rsidRPr="00914A77">
        <w:rPr>
          <w:rFonts w:ascii="Arial" w:hAnsi="Arial" w:cs="Arial"/>
          <w:szCs w:val="22"/>
          <w:lang w:eastAsia="zh-CN"/>
        </w:rPr>
        <w:fldChar w:fldCharType="separate"/>
      </w:r>
      <w:r w:rsidR="00BC1E6E" w:rsidRPr="00914A77">
        <w:rPr>
          <w:rFonts w:ascii="Arial" w:hAnsi="Arial" w:cs="Arial"/>
          <w:b/>
          <w:szCs w:val="22"/>
          <w:lang w:eastAsia="zh-CN"/>
        </w:rPr>
        <w:t>Table</w:t>
      </w:r>
      <w:r w:rsidR="00330ABE" w:rsidRPr="00914A77">
        <w:rPr>
          <w:rFonts w:ascii="Arial" w:hAnsi="Arial" w:cs="Arial"/>
          <w:b/>
          <w:szCs w:val="22"/>
          <w:lang w:eastAsia="zh-CN"/>
        </w:rPr>
        <w:t xml:space="preserve"> </w:t>
      </w:r>
      <w:r w:rsidR="00BC1E6E" w:rsidRPr="00914A77">
        <w:rPr>
          <w:rFonts w:ascii="Arial" w:hAnsi="Arial" w:cs="Arial"/>
          <w:b/>
          <w:noProof/>
          <w:szCs w:val="22"/>
          <w:lang w:eastAsia="zh-CN"/>
        </w:rPr>
        <w:t>8</w:t>
      </w:r>
      <w:r w:rsidRPr="00914A77">
        <w:rPr>
          <w:rFonts w:ascii="Arial" w:hAnsi="Arial" w:cs="Arial"/>
          <w:szCs w:val="22"/>
          <w:lang w:eastAsia="zh-CN"/>
        </w:rPr>
        <w:fldChar w:fldCharType="end"/>
      </w:r>
      <w:r w:rsidRPr="00DF4666">
        <w:rPr>
          <w:rFonts w:ascii="Arial" w:hAnsi="Arial" w:cs="Arial"/>
          <w:szCs w:val="22"/>
          <w:lang w:eastAsia="zh-CN"/>
        </w:rPr>
        <w:t>.</w:t>
      </w:r>
    </w:p>
    <w:p w14:paraId="7E9FE87F" w14:textId="6525B5BE" w:rsidR="00DF4666" w:rsidRPr="00914A77" w:rsidRDefault="00DF4666" w:rsidP="00914A77">
      <w:pPr>
        <w:pStyle w:val="Heading6"/>
        <w:spacing w:before="240" w:after="240"/>
        <w:rPr>
          <w:rFonts w:ascii="Arial" w:hAnsi="Arial" w:cs="Arial"/>
          <w:color w:val="auto"/>
          <w:lang w:eastAsia="zh-CN"/>
        </w:rPr>
      </w:pPr>
      <w:bookmarkStart w:id="53" w:name="_Ref57635850"/>
      <w:bookmarkStart w:id="54" w:name="Table8"/>
      <w:bookmarkStart w:id="55" w:name="_Toc139890519"/>
      <w:r w:rsidRPr="00914A77">
        <w:rPr>
          <w:rFonts w:ascii="Arial" w:hAnsi="Arial" w:cs="Arial"/>
          <w:color w:val="auto"/>
          <w:lang w:eastAsia="zh-CN"/>
        </w:rPr>
        <w:t>Table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noProof/>
          <w:color w:val="auto"/>
          <w:lang w:eastAsia="zh-CN"/>
        </w:rPr>
        <w:fldChar w:fldCharType="begin"/>
      </w:r>
      <w:r w:rsidRPr="00914A77">
        <w:rPr>
          <w:rFonts w:ascii="Arial" w:hAnsi="Arial" w:cs="Arial"/>
          <w:noProof/>
          <w:color w:val="auto"/>
          <w:lang w:eastAsia="zh-CN"/>
        </w:rPr>
        <w:instrText xml:space="preserve"> SEQ Table \* ARABIC </w:instrText>
      </w:r>
      <w:r w:rsidRPr="00914A77">
        <w:rPr>
          <w:rFonts w:ascii="Arial" w:hAnsi="Arial" w:cs="Arial"/>
          <w:noProof/>
          <w:color w:val="auto"/>
          <w:lang w:eastAsia="zh-CN"/>
        </w:rPr>
        <w:fldChar w:fldCharType="separate"/>
      </w:r>
      <w:r w:rsidR="00BC1E6E" w:rsidRPr="00914A77">
        <w:rPr>
          <w:rFonts w:ascii="Arial" w:hAnsi="Arial" w:cs="Arial"/>
          <w:noProof/>
          <w:color w:val="auto"/>
          <w:lang w:eastAsia="zh-CN"/>
        </w:rPr>
        <w:t>8</w:t>
      </w:r>
      <w:r w:rsidRPr="00914A77">
        <w:rPr>
          <w:rFonts w:ascii="Arial" w:hAnsi="Arial" w:cs="Arial"/>
          <w:noProof/>
          <w:color w:val="auto"/>
          <w:lang w:eastAsia="zh-CN"/>
        </w:rPr>
        <w:fldChar w:fldCharType="end"/>
      </w:r>
      <w:bookmarkEnd w:id="53"/>
      <w:r w:rsidRPr="00914A77">
        <w:rPr>
          <w:rFonts w:ascii="Arial" w:hAnsi="Arial" w:cs="Arial"/>
          <w:color w:val="auto"/>
          <w:lang w:eastAsia="zh-CN"/>
        </w:rPr>
        <w:t>.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Student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Group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Abbreviations</w:t>
      </w:r>
      <w:bookmarkEnd w:id="55"/>
    </w:p>
    <w:tbl>
      <w:tblPr>
        <w:tblStyle w:val="TRtable"/>
        <w:tblW w:w="9360" w:type="dxa"/>
        <w:tblLayout w:type="fixed"/>
        <w:tblLook w:val="04A0" w:firstRow="1" w:lastRow="0" w:firstColumn="1" w:lastColumn="0" w:noHBand="0" w:noVBand="1"/>
        <w:tblDescription w:val="Table 8. Student Group Abbreviations."/>
      </w:tblPr>
      <w:tblGrid>
        <w:gridCol w:w="4680"/>
        <w:gridCol w:w="4680"/>
      </w:tblGrid>
      <w:tr w:rsidR="00DF4666" w:rsidRPr="00DF4666" w14:paraId="561A8734" w14:textId="77777777" w:rsidTr="009B5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bookmarkEnd w:id="54"/>
          <w:p w14:paraId="57A75A9A" w14:textId="6F0BA23B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</w:rPr>
            </w:pPr>
            <w:r w:rsidRPr="00DF4666">
              <w:rPr>
                <w:rFonts w:ascii="Arial" w:eastAsia="SimSun" w:hAnsi="Arial"/>
                <w:b/>
                <w:bCs/>
                <w:noProof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</w:rPr>
              <w:t xml:space="preserve"> </w:t>
            </w:r>
            <w:r w:rsidRPr="00DF4666">
              <w:rPr>
                <w:rFonts w:ascii="Arial" w:eastAsia="SimSun" w:hAnsi="Arial"/>
                <w:b/>
                <w:bCs/>
                <w:noProof/>
              </w:rPr>
              <w:t>Group</w:t>
            </w:r>
            <w:r w:rsidR="00330ABE">
              <w:rPr>
                <w:rFonts w:ascii="Arial" w:eastAsia="SimSun" w:hAnsi="Arial"/>
                <w:b/>
                <w:bCs/>
                <w:noProof/>
              </w:rPr>
              <w:t xml:space="preserve"> </w:t>
            </w:r>
            <w:r w:rsidRPr="00DF4666">
              <w:rPr>
                <w:rFonts w:ascii="Arial" w:eastAsia="SimSun" w:hAnsi="Arial"/>
                <w:b/>
                <w:bCs/>
                <w:noProof/>
              </w:rPr>
              <w:t>Abbreviation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4A4BB98F" w14:textId="32666153" w:rsidR="00DF4666" w:rsidRPr="00DF4666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</w:rPr>
            </w:pPr>
            <w:r w:rsidRPr="00DF4666">
              <w:rPr>
                <w:rFonts w:ascii="Arial" w:eastAsia="SimSun" w:hAnsi="Arial"/>
                <w:b/>
                <w:bCs/>
                <w:noProof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</w:rPr>
              <w:t xml:space="preserve"> </w:t>
            </w:r>
            <w:r w:rsidRPr="00DF4666">
              <w:rPr>
                <w:rFonts w:ascii="Arial" w:eastAsia="SimSun" w:hAnsi="Arial"/>
                <w:b/>
                <w:bCs/>
                <w:noProof/>
              </w:rPr>
              <w:t>Group</w:t>
            </w:r>
            <w:r w:rsidR="00330ABE">
              <w:rPr>
                <w:rFonts w:ascii="Arial" w:eastAsia="SimSun" w:hAnsi="Arial"/>
                <w:b/>
                <w:bCs/>
                <w:noProof/>
              </w:rPr>
              <w:t xml:space="preserve"> </w:t>
            </w:r>
            <w:r w:rsidRPr="00DF4666">
              <w:rPr>
                <w:rFonts w:ascii="Arial" w:eastAsia="SimSun" w:hAnsi="Arial"/>
                <w:b/>
                <w:bCs/>
                <w:noProof/>
              </w:rPr>
              <w:t>Name</w:t>
            </w:r>
          </w:p>
        </w:tc>
      </w:tr>
      <w:tr w:rsidR="00DF4666" w:rsidRPr="00DF4666" w14:paraId="531D07BB" w14:textId="77777777" w:rsidTr="009B5FD0">
        <w:trPr>
          <w:cantSplit/>
        </w:trPr>
        <w:tc>
          <w:tcPr>
            <w:tcW w:w="4680" w:type="dxa"/>
            <w:tcBorders>
              <w:top w:val="single" w:sz="4" w:space="0" w:color="auto"/>
            </w:tcBorders>
          </w:tcPr>
          <w:p w14:paraId="52C1B114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BB32846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DF4666" w:rsidRPr="00DF4666" w14:paraId="294A1756" w14:textId="77777777" w:rsidTr="009B5FD0">
        <w:trPr>
          <w:cantSplit/>
        </w:trPr>
        <w:tc>
          <w:tcPr>
            <w:tcW w:w="4680" w:type="dxa"/>
            <w:tcBorders>
              <w:bottom w:val="nil"/>
            </w:tcBorders>
          </w:tcPr>
          <w:p w14:paraId="1BBE65FB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4680" w:type="dxa"/>
            <w:tcBorders>
              <w:bottom w:val="nil"/>
            </w:tcBorders>
          </w:tcPr>
          <w:p w14:paraId="725B07E0" w14:textId="39CD603E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Black/African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American</w:t>
            </w:r>
          </w:p>
        </w:tc>
      </w:tr>
      <w:tr w:rsidR="00DF4666" w:rsidRPr="00DF4666" w14:paraId="1057E631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1A6DF491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74C2C9B" w14:textId="73B26ACB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American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Indian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or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Alaska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Native</w:t>
            </w:r>
          </w:p>
        </w:tc>
      </w:tr>
      <w:tr w:rsidR="00DF4666" w:rsidRPr="00DF4666" w14:paraId="54E5CACB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17269BE7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F37A5F0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Asian</w:t>
            </w:r>
          </w:p>
        </w:tc>
      </w:tr>
      <w:tr w:rsidR="00DF4666" w:rsidRPr="00DF4666" w14:paraId="3FE52576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0EA1A916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AE07493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Filipino</w:t>
            </w:r>
          </w:p>
        </w:tc>
      </w:tr>
      <w:tr w:rsidR="00DF4666" w:rsidRPr="00DF4666" w14:paraId="344DE6E4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54DAF5A9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F0F2D68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Hispanic</w:t>
            </w:r>
          </w:p>
        </w:tc>
      </w:tr>
      <w:tr w:rsidR="00DF4666" w:rsidRPr="00DF4666" w14:paraId="12305A84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2B9F9943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4C7706A" w14:textId="1221CA2A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Pacific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Islander</w:t>
            </w:r>
          </w:p>
        </w:tc>
      </w:tr>
      <w:tr w:rsidR="00DF4666" w:rsidRPr="00DF4666" w14:paraId="6E2D5114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640D42C8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BC7E1C6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DF4666" w:rsidRPr="00DF4666" w14:paraId="7017FBD3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5B8C58AF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2332B7C" w14:textId="222E2D09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Multiple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Races/Two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or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More</w:t>
            </w:r>
          </w:p>
        </w:tc>
      </w:tr>
      <w:tr w:rsidR="00DF4666" w:rsidRPr="00DF4666" w14:paraId="4CC3380A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6324CE4D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60B5B88" w14:textId="0A62CA10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English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Learner</w:t>
            </w:r>
          </w:p>
        </w:tc>
      </w:tr>
      <w:tr w:rsidR="00DF4666" w:rsidRPr="00DF4666" w14:paraId="6C7BC5B5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7849A3FB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C24D7E8" w14:textId="14959552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English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Learners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</w:tr>
      <w:tr w:rsidR="00DF4666" w:rsidRPr="00DF4666" w14:paraId="4FDF7303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635C9634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1FB46FE" w14:textId="6E0BF2C6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RFEPs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</w:tr>
      <w:tr w:rsidR="00DF4666" w:rsidRPr="00DF4666" w14:paraId="5AD8E8BD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4A4C13EE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3A56322" w14:textId="166D44CB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English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</w:tr>
      <w:tr w:rsidR="00DF4666" w:rsidRPr="00DF4666" w14:paraId="7E313056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4E658F3F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9355601" w14:textId="65158F55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Socioeconomically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Disadvantaged</w:t>
            </w:r>
          </w:p>
        </w:tc>
      </w:tr>
      <w:tr w:rsidR="00DF4666" w:rsidRPr="00DF4666" w14:paraId="1874FCFA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40185A7D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1544202" w14:textId="06162F7B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Students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with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Disabilities</w:t>
            </w:r>
          </w:p>
        </w:tc>
      </w:tr>
      <w:tr w:rsidR="00DF4666" w:rsidRPr="00DF4666" w14:paraId="588B923A" w14:textId="77777777" w:rsidTr="009B5FD0">
        <w:trPr>
          <w:cantSplit/>
        </w:trPr>
        <w:tc>
          <w:tcPr>
            <w:tcW w:w="4680" w:type="dxa"/>
            <w:tcBorders>
              <w:top w:val="nil"/>
              <w:bottom w:val="nil"/>
            </w:tcBorders>
          </w:tcPr>
          <w:p w14:paraId="5B19C9C7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75EBD29" w14:textId="4B980E12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Foster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Youth</w:t>
            </w:r>
          </w:p>
        </w:tc>
      </w:tr>
      <w:tr w:rsidR="00DF4666" w:rsidRPr="00DF4666" w14:paraId="0958783B" w14:textId="77777777" w:rsidTr="009B5FD0">
        <w:trPr>
          <w:cantSplit/>
        </w:trPr>
        <w:tc>
          <w:tcPr>
            <w:tcW w:w="4680" w:type="dxa"/>
            <w:tcBorders>
              <w:top w:val="nil"/>
              <w:bottom w:val="single" w:sz="12" w:space="0" w:color="auto"/>
            </w:tcBorders>
          </w:tcPr>
          <w:p w14:paraId="7D75AE15" w14:textId="77777777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4680" w:type="dxa"/>
            <w:tcBorders>
              <w:top w:val="nil"/>
              <w:bottom w:val="single" w:sz="12" w:space="0" w:color="auto"/>
            </w:tcBorders>
          </w:tcPr>
          <w:p w14:paraId="26A454DD" w14:textId="4B6ACA1F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Homeless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Youth</w:t>
            </w:r>
          </w:p>
        </w:tc>
      </w:tr>
    </w:tbl>
    <w:p w14:paraId="55841FAF" w14:textId="01FFED2A" w:rsidR="00DF4666" w:rsidRPr="00DF4666" w:rsidRDefault="00DF4666" w:rsidP="00914A77">
      <w:pPr>
        <w:spacing w:before="240"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organizational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input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links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their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appropriate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previously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11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available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instance,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disabilities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disabilities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disabilities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who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25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required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eligible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48C05DAE" w14:textId="36C58F88" w:rsidR="00DF4666" w:rsidRPr="00DF4666" w:rsidRDefault="00DF4666" w:rsidP="00914A77">
      <w:pPr>
        <w:pStyle w:val="Heading5"/>
      </w:pPr>
      <w:r w:rsidRPr="00DF4666">
        <w:t>Results</w:t>
      </w:r>
      <w:r w:rsidR="00330ABE">
        <w:t xml:space="preserve"> </w:t>
      </w:r>
      <w:r w:rsidRPr="00DF4666">
        <w:t>at</w:t>
      </w:r>
      <w:r w:rsidR="00330ABE">
        <w:t xml:space="preserve"> </w:t>
      </w:r>
      <w:r w:rsidRPr="00DF4666">
        <w:t>the</w:t>
      </w:r>
      <w:r w:rsidR="00330ABE">
        <w:t xml:space="preserve"> </w:t>
      </w:r>
      <w:r w:rsidRPr="00DF4666">
        <w:t>School</w:t>
      </w:r>
      <w:r w:rsidR="00330ABE">
        <w:t xml:space="preserve"> </w:t>
      </w:r>
      <w:r w:rsidRPr="00DF4666">
        <w:t>Level</w:t>
      </w:r>
    </w:p>
    <w:p w14:paraId="16D6C5A3" w14:textId="6586248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strongly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virtually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(Castellano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hold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after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changing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separately.</w:t>
      </w:r>
    </w:p>
    <w:p w14:paraId="4868C77F" w14:textId="7D251771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briefly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Castellano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(2020)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consequentially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presented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Castellano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(2020)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favorable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Appendix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17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updated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business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(i.e.,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matched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subject’s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average).</w:t>
      </w:r>
    </w:p>
    <w:p w14:paraId="76BA1F56" w14:textId="691211C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total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137,055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11+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contributing,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eligible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relevant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137,055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17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</w:p>
    <w:p w14:paraId="5D511C07" w14:textId="05A5A361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squared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(MSE)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divided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plugging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respective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expression.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137,055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median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1.23.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137,055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69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99.95%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Furthermore,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69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0.96.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handful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extremely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similar.</w:t>
      </w:r>
    </w:p>
    <w:p w14:paraId="0BAD2711" w14:textId="1ABCF90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137,484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eligible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median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1.22.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137,484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88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99.94%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88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preferred,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0.96.</w:t>
      </w:r>
      <w:r w:rsidRPr="00DF4666">
        <w:rPr>
          <w:rFonts w:ascii="Arial" w:hAnsi="Arial" w:cs="Arial"/>
          <w:vertAlign w:val="superscript"/>
        </w:rPr>
        <w:footnoteReference w:id="3"/>
      </w:r>
    </w:p>
    <w:p w14:paraId="0CC06795" w14:textId="7BC124B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conclusion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4C527FA4" w14:textId="3DF9609E" w:rsidR="00DF4666" w:rsidRPr="00DF4666" w:rsidRDefault="00DF4666" w:rsidP="00914A77">
      <w:pPr>
        <w:pStyle w:val="Heading5"/>
      </w:pPr>
      <w:r w:rsidRPr="00DF4666">
        <w:t>Results</w:t>
      </w:r>
      <w:r w:rsidR="00330ABE">
        <w:t xml:space="preserve"> </w:t>
      </w:r>
      <w:r w:rsidRPr="00DF4666">
        <w:t>at</w:t>
      </w:r>
      <w:r w:rsidR="00330ABE">
        <w:t xml:space="preserve"> </w:t>
      </w:r>
      <w:r w:rsidRPr="00DF4666">
        <w:t>the</w:t>
      </w:r>
      <w:r w:rsidR="00330ABE">
        <w:t xml:space="preserve"> </w:t>
      </w:r>
      <w:r w:rsidRPr="00DF4666">
        <w:t>LEA</w:t>
      </w:r>
      <w:r w:rsidR="00330ABE">
        <w:t xml:space="preserve"> </w:t>
      </w:r>
      <w:r w:rsidRPr="00DF4666">
        <w:t>Level</w:t>
      </w:r>
    </w:p>
    <w:p w14:paraId="13F79F7B" w14:textId="200264F5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(Castellano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conclusions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favorable.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small-to-moderate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discussed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detail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source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behavior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requires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approximately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times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analyzed.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consequence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former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uncertainty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already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extremely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precise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it.</w:t>
      </w:r>
    </w:p>
    <w:p w14:paraId="1DADF08D" w14:textId="62D1AA97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important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exception: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revised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</w:t>
      </w:r>
      <w:proofErr w:type="gramStart"/>
      <w:r w:rsidRPr="00DF4666">
        <w:rPr>
          <w:rFonts w:ascii="Arial" w:hAnsi="Arial" w:cs="Arial"/>
        </w:rPr>
        <w:t>all</w:t>
      </w:r>
      <w:proofErr w:type="gramEnd"/>
      <w:r w:rsidRPr="00DF4666">
        <w:rPr>
          <w:rFonts w:ascii="Arial" w:hAnsi="Arial" w:cs="Arial"/>
        </w:rPr>
        <w:t>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favorable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jointly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</w:t>
      </w:r>
      <w:proofErr w:type="gramStart"/>
      <w:r w:rsidRPr="00DF4666">
        <w:rPr>
          <w:rFonts w:ascii="Arial" w:hAnsi="Arial" w:cs="Arial"/>
        </w:rPr>
        <w:t>all</w:t>
      </w:r>
      <w:proofErr w:type="gramEnd"/>
      <w:r w:rsidRPr="00DF4666">
        <w:rPr>
          <w:rFonts w:ascii="Arial" w:hAnsi="Arial" w:cs="Arial"/>
        </w:rPr>
        <w:t>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cause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current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favorable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determining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opportunity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uncertainty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affect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often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occurs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“all”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</w:p>
    <w:p w14:paraId="34F213E9" w14:textId="6B1CB5F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August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memorandum,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sometimes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corresponding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restricting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attention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</w:t>
      </w:r>
      <w:proofErr w:type="gramStart"/>
      <w:r w:rsidRPr="00DF4666">
        <w:rPr>
          <w:rFonts w:ascii="Arial" w:hAnsi="Arial" w:cs="Arial"/>
        </w:rPr>
        <w:t>all</w:t>
      </w:r>
      <w:proofErr w:type="gramEnd"/>
      <w:r w:rsidRPr="00DF4666">
        <w:rPr>
          <w:rFonts w:ascii="Arial" w:hAnsi="Arial" w:cs="Arial"/>
        </w:rPr>
        <w:t>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total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11+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contributing,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eligible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relevant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32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</w:p>
    <w:p w14:paraId="45F29E72" w14:textId="172E98D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1.35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median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1.27.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2,787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(17%)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83%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Castellano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(2020),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median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90</w:t>
      </w:r>
      <w:proofErr w:type="gramEnd"/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corresponding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median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1,160.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0.98,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accurate.</w:t>
      </w:r>
    </w:p>
    <w:p w14:paraId="07B55C3A" w14:textId="66811F4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16,603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eligible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2,719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(16.4%)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contributing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(0.99),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Despite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similarity,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conclusion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risk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</w:p>
    <w:p w14:paraId="539FC442" w14:textId="5A8EDBEA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t>Evaluating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Reporting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Options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for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LEAs</w:t>
      </w:r>
    </w:p>
    <w:p w14:paraId="3338F1BE" w14:textId="62C97A0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proofErr w:type="gramStart"/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document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Summary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rules:</w:t>
      </w:r>
    </w:p>
    <w:p w14:paraId="2A9ED0BB" w14:textId="060C58C0" w:rsidR="00DF4666" w:rsidRPr="00DF4666" w:rsidRDefault="00DF4666" w:rsidP="00902D74">
      <w:pPr>
        <w:numPr>
          <w:ilvl w:val="0"/>
          <w:numId w:val="33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Establishing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</w:p>
    <w:p w14:paraId="29BA4D15" w14:textId="14089F5A" w:rsidR="00DF4666" w:rsidRPr="00DF4666" w:rsidRDefault="00DF4666" w:rsidP="00902D74">
      <w:pPr>
        <w:numPr>
          <w:ilvl w:val="0"/>
          <w:numId w:val="33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reported.</w:t>
      </w:r>
    </w:p>
    <w:p w14:paraId="6B2BEC7A" w14:textId="67CE5B43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efficient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efficient”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average)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made,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remainder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describes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challenges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results.</w:t>
      </w:r>
    </w:p>
    <w:p w14:paraId="0F1BF9F6" w14:textId="77777777" w:rsidR="00DF4666" w:rsidRPr="00DF4666" w:rsidRDefault="00DF4666" w:rsidP="00914A77">
      <w:pPr>
        <w:pStyle w:val="Heading5"/>
      </w:pPr>
      <w:r w:rsidRPr="00DF4666">
        <w:t>Challenges</w:t>
      </w:r>
    </w:p>
    <w:p w14:paraId="3F510CBD" w14:textId="6A362E0F" w:rsidR="00DF4666" w:rsidRPr="00DF4666" w:rsidRDefault="00DF4666" w:rsidP="00DF4666">
      <w:pPr>
        <w:spacing w:after="120"/>
        <w:textAlignment w:val="baseline"/>
        <w:rPr>
          <w:rFonts w:ascii="Arial" w:hAnsi="Arial" w:cs="Arial"/>
          <w:i/>
          <w:iCs/>
        </w:rPr>
      </w:pP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dividing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underlying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quantities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analogy,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infinite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quantity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suppose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random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drawn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theory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yields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V/n,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V/n.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unbiased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standard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remains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determined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generally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hypothetical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n.</w:t>
      </w:r>
    </w:p>
    <w:p w14:paraId="2362753F" w14:textId="1A47D697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situation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–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consecutive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Furthermore,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well,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challenging.</w:t>
      </w:r>
    </w:p>
    <w:p w14:paraId="1338A969" w14:textId="38BC6D9E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clear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pick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minimizes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minimize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difficult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–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definition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appears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However,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MSEs.</w:t>
      </w:r>
    </w:p>
    <w:p w14:paraId="7FC7EB78" w14:textId="5F56AFC1" w:rsidR="00DF4666" w:rsidRPr="00DF4666" w:rsidRDefault="00DF4666" w:rsidP="00914A77">
      <w:pPr>
        <w:pStyle w:val="Heading5"/>
      </w:pPr>
      <w:r w:rsidRPr="00DF4666">
        <w:t>Study</w:t>
      </w:r>
      <w:r w:rsidR="00330ABE">
        <w:t xml:space="preserve"> </w:t>
      </w:r>
      <w:r w:rsidRPr="00DF4666">
        <w:t>Design</w:t>
      </w:r>
    </w:p>
    <w:p w14:paraId="33A161FE" w14:textId="6256DAF0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challenges,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permit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realizations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associated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increase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likelihood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reflect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data.</w:t>
      </w:r>
    </w:p>
    <w:p w14:paraId="51390971" w14:textId="5F32FE8C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Prior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conducting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16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total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32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conditions),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appropriate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LEA-matched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required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implement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Conditional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linked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affect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variance-covariance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matrices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denoted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Lockwood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(2020),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subscript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</w:t>
      </w:r>
      <w:r w:rsidRPr="00DF4666">
        <w:rPr>
          <w:rFonts w:ascii="Arial" w:hAnsi="Arial" w:cs="Arial"/>
          <w:i/>
        </w:rPr>
        <w:t>gs</w:t>
      </w:r>
      <w:r w:rsidRPr="00DF4666">
        <w:rPr>
          <w:rFonts w:ascii="Arial" w:hAnsi="Arial" w:cs="Arial"/>
        </w:rPr>
        <w:t>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emphasizes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allowed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Roughly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speaking,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context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implement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ELA),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variance-covariance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matrix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random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(LEA</w:t>
      </w:r>
      <w:r w:rsidR="00330AB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capture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deviations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LEA's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Pr="00DF4666">
        <w:rPr>
          <w:rFonts w:ascii="Arial" w:hAnsi="Arial" w:cs="Arial"/>
        </w:rPr>
        <w:t>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zero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goes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infinity.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Alternatively,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variance-covariance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matrix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capture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covariances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again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denote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G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Pr="00DF4666">
        <w:rPr>
          <w:rFonts w:ascii="Arial" w:hAnsi="Arial" w:cs="Arial"/>
        </w:rPr>
        <w:t>.</w:t>
      </w:r>
    </w:p>
    <w:p w14:paraId="142C086C" w14:textId="4DC9592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G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treated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took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allocations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features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held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constant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single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proceeded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mean-zero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vector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random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variance-covariance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matrix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G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target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elements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random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vector,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depend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(Lockwood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2020).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mean-zero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variance-covariance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matrix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Pr="00DF4666">
        <w:rPr>
          <w:rFonts w:ascii="Arial" w:hAnsi="Arial" w:cs="Arial"/>
          <w:b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random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analyzed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unknown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parameter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AGM.</w:t>
      </w:r>
    </w:p>
    <w:p w14:paraId="784BDEF0" w14:textId="7A35A8E8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conducted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independent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variety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subsection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details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procedures.</w:t>
      </w:r>
    </w:p>
    <w:p w14:paraId="11B496E0" w14:textId="7A30B495" w:rsidR="00DF4666" w:rsidRPr="00DF4666" w:rsidRDefault="00DF4666" w:rsidP="00914A77">
      <w:pPr>
        <w:pStyle w:val="Heading5"/>
      </w:pPr>
      <w:r w:rsidRPr="00DF4666">
        <w:lastRenderedPageBreak/>
        <w:t>Evaluation</w:t>
      </w:r>
      <w:r w:rsidR="00330ABE">
        <w:t xml:space="preserve"> </w:t>
      </w:r>
      <w:r w:rsidRPr="00DF4666">
        <w:t>Procedures</w:t>
      </w:r>
    </w:p>
    <w:p w14:paraId="580CC240" w14:textId="0F25D9CB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output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s</w:t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</w:p>
    <w:p w14:paraId="7C84F7E6" w14:textId="06CA2583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target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above)</w:t>
      </w:r>
    </w:p>
    <w:p w14:paraId="14272CEA" w14:textId="3C90E9C4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target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</w:p>
    <w:p w14:paraId="3DF2D850" w14:textId="4172767A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target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</w:p>
    <w:p w14:paraId="28613D98" w14:textId="11F84DDF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</w:t>
      </w:r>
    </w:p>
    <w:p w14:paraId="3584C377" w14:textId="1C4F4C37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</w:p>
    <w:p w14:paraId="414B7E81" w14:textId="15487E49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item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(4)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item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(5).</w:t>
      </w:r>
    </w:p>
    <w:p w14:paraId="0840DF47" w14:textId="2B3A4A7D" w:rsidR="00DF4666" w:rsidRPr="00DF4666" w:rsidRDefault="00DF4666" w:rsidP="00902D74">
      <w:pPr>
        <w:numPr>
          <w:ilvl w:val="0"/>
          <w:numId w:val="34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variety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described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below.</w:t>
      </w:r>
    </w:p>
    <w:p w14:paraId="3BC2540D" w14:textId="70FDF90B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Before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describing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important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b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known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purposes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depends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Arial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R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gs</m:t>
            </m:r>
          </m:sub>
        </m:sSub>
      </m:oMath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their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allocations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levels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treated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known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b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computing,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squared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(#3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above)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target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(#1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above).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b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divided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how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often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respect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working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replication.</w:t>
      </w:r>
    </w:p>
    <w:p w14:paraId="291F4579" w14:textId="42348F5D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follows:</w:t>
      </w:r>
    </w:p>
    <w:p w14:paraId="2FB90920" w14:textId="0495B3E5" w:rsidR="00DF4666" w:rsidRPr="00DF4666" w:rsidRDefault="00DF4666" w:rsidP="00902D74">
      <w:pPr>
        <w:numPr>
          <w:ilvl w:val="0"/>
          <w:numId w:val="35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(“simple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</w:p>
    <w:p w14:paraId="689FE61E" w14:textId="05AA4EB8" w:rsidR="00DF4666" w:rsidRPr="00DF4666" w:rsidRDefault="00DF4666" w:rsidP="00902D74">
      <w:pPr>
        <w:numPr>
          <w:ilvl w:val="0"/>
          <w:numId w:val="35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(“EBLP”)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</w:p>
    <w:p w14:paraId="594BF067" w14:textId="160F304F" w:rsidR="00DF4666" w:rsidRPr="00DF4666" w:rsidRDefault="00DF4666" w:rsidP="00902D74">
      <w:pPr>
        <w:numPr>
          <w:ilvl w:val="0"/>
          <w:numId w:val="35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(“sample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(here,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minimizes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b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(aggregating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calculations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fixed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was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</w:t>
      </w:r>
      <w:proofErr w:type="gramStart"/>
      <w:r w:rsidRPr="00DF4666">
        <w:rPr>
          <w:rFonts w:ascii="Arial" w:hAnsi="Arial" w:cs="Arial"/>
        </w:rPr>
        <w:t>100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minimizes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MSE.</w:t>
      </w:r>
    </w:p>
    <w:p w14:paraId="515281A6" w14:textId="57FA4D16" w:rsidR="00DF4666" w:rsidRPr="00DF4666" w:rsidRDefault="00DF4666" w:rsidP="00902D74">
      <w:pPr>
        <w:numPr>
          <w:ilvl w:val="0"/>
          <w:numId w:val="35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(“sample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correction</w:t>
      </w:r>
      <w:r w:rsidR="00330AB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B</m:t>
        </m:r>
      </m:oMath>
      <w:r w:rsidRPr="00DF4666">
        <w:rPr>
          <w:rFonts w:ascii="Arial" w:hAnsi="Arial" w:cs="Arial"/>
        </w:rPr>
        <w:t>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(here,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  <m:r>
          <w:rPr>
            <w:rFonts w:ascii="Cambria Math" w:hAnsi="Cambria Math" w:cs="Arial"/>
          </w:rPr>
          <m:t>+B</m:t>
        </m:r>
      </m:oMath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above,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B</m:t>
        </m:r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adjustment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potential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noisy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potentially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thought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error-prone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possibly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systematically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constant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preliminary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expected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-200,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150,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possible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B</m:t>
        </m:r>
      </m:oMath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total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kind.</w:t>
      </w:r>
    </w:p>
    <w:p w14:paraId="65449C29" w14:textId="6A1A36E7" w:rsidR="00DF4666" w:rsidRPr="00DF4666" w:rsidRDefault="00DF4666" w:rsidP="00902D74">
      <w:pPr>
        <w:numPr>
          <w:ilvl w:val="0"/>
          <w:numId w:val="35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(“estimated-accuracy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rule”)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b/>
          <w:bCs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b/>
          <w:bCs/>
        </w:rPr>
        <w:t>estimated</w:t>
      </w:r>
      <w:r w:rsidR="00330ABE">
        <w:rPr>
          <w:rFonts w:ascii="Arial" w:hAnsi="Arial" w:cs="Arial"/>
          <w:b/>
          <w:bCs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average;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</w:p>
    <w:p w14:paraId="1427CF74" w14:textId="73684117" w:rsidR="00DF4666" w:rsidRPr="00DF4666" w:rsidRDefault="00733348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Thus,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total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applied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dataset.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each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evaluated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against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what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call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“optimal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rule”: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  <w:b/>
          <w:bCs/>
        </w:rPr>
        <w:t>true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  <w:b/>
          <w:bCs/>
        </w:rPr>
        <w:t>true</w:t>
      </w:r>
      <w:r w:rsidR="00330ABE">
        <w:rPr>
          <w:rFonts w:ascii="Arial" w:hAnsi="Arial" w:cs="Arial"/>
          <w:b/>
          <w:bCs/>
        </w:rPr>
        <w:t xml:space="preserve"> </w:t>
      </w:r>
      <w:r w:rsidR="00DF4666"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average;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otherwise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yields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smallest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MSEs,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feasible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real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relies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known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simulation.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include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benchmark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assess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loss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making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="00DF4666"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feasible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="00DF4666" w:rsidRPr="00DF4666">
        <w:rPr>
          <w:rFonts w:ascii="Arial" w:hAnsi="Arial" w:cs="Arial"/>
        </w:rPr>
        <w:t>rules.</w:t>
      </w:r>
    </w:p>
    <w:p w14:paraId="564E4099" w14:textId="07A5830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10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following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criteria.</w:t>
      </w:r>
      <w:r w:rsidR="00330ABE">
        <w:rPr>
          <w:rFonts w:ascii="Arial" w:hAnsi="Arial" w:cs="Arial"/>
        </w:rPr>
        <w:t xml:space="preserve"> </w:t>
      </w:r>
    </w:p>
    <w:p w14:paraId="131114E9" w14:textId="0A6151D6" w:rsidR="00DF4666" w:rsidRPr="00DF4666" w:rsidRDefault="00DF4666" w:rsidP="00902D74">
      <w:pPr>
        <w:numPr>
          <w:ilvl w:val="0"/>
          <w:numId w:val="37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“Probability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misclassification”: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AGM.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corresponds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incorrect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fraction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total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0.10,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hypothetical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realizations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</w:p>
    <w:p w14:paraId="115BF4A1" w14:textId="52ABCD9D" w:rsidR="00DF4666" w:rsidRPr="00DF4666" w:rsidRDefault="00DF4666" w:rsidP="00902D74">
      <w:pPr>
        <w:numPr>
          <w:ilvl w:val="0"/>
          <w:numId w:val="37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“Percentage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MSE”: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measure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incurs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whose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Alternatively,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incurs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corresponding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definition,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greater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equal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100*(average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-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MSE)</w:t>
      </w:r>
      <w:proofErr w:type="gramStart"/>
      <w:r w:rsidRPr="00DF4666">
        <w:rPr>
          <w:rFonts w:ascii="Arial" w:hAnsi="Arial" w:cs="Arial"/>
        </w:rPr>
        <w:t>/(</w:t>
      </w:r>
      <w:proofErr w:type="gramEnd"/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expresses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quantity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5%,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means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hypothetical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realizations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assignments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</w:p>
    <w:p w14:paraId="0FC490FE" w14:textId="72080D65" w:rsidR="00DF4666" w:rsidRPr="00DF4666" w:rsidRDefault="00DF4666" w:rsidP="00902D74">
      <w:pPr>
        <w:numPr>
          <w:ilvl w:val="0"/>
          <w:numId w:val="37"/>
        </w:num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“Average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AGMs”: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identified</w:t>
      </w:r>
      <w:proofErr w:type="gramEnd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subset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suggests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impact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replications.</w:t>
      </w:r>
    </w:p>
    <w:p w14:paraId="02FB2536" w14:textId="4F1C6967" w:rsidR="00DF4666" w:rsidRPr="00DF4666" w:rsidRDefault="00DF4666" w:rsidP="00914A77">
      <w:pPr>
        <w:pStyle w:val="Heading5"/>
      </w:pPr>
      <w:r w:rsidRPr="00DF4666">
        <w:t>Overall</w:t>
      </w:r>
      <w:r w:rsidR="00330ABE">
        <w:t xml:space="preserve"> </w:t>
      </w:r>
      <w:r w:rsidRPr="00DF4666">
        <w:t>Results</w:t>
      </w:r>
    </w:p>
    <w:p w14:paraId="77CF4049" w14:textId="3DD93309" w:rsidR="00DF4666" w:rsidRPr="00DF4666" w:rsidRDefault="00DF4666" w:rsidP="00026706">
      <w:pPr>
        <w:spacing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_Ref57974918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9</w:t>
      </w:r>
      <w:r w:rsidRPr="00DF4666">
        <w:rPr>
          <w:rFonts w:ascii="Arial" w:hAnsi="Arial" w:cs="Arial"/>
        </w:rPr>
        <w:fldChar w:fldCharType="end"/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pooled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16,395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rank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ordered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their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rank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criteria—probability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MSE—using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unrounded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N*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150,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identical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rounded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places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across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criteria,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B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defensible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chosen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secondary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policy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practical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statistical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LEAs’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0.10-0.11%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strongly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0.98.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N</w:t>
      </w:r>
      <w:r w:rsidRPr="00DF4666">
        <w:rPr>
          <w:rFonts w:ascii="Arial" w:hAnsi="Arial" w:cs="Arial"/>
        </w:rPr>
        <w:t>*-100,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N</w:t>
      </w:r>
      <w:r w:rsidRPr="00DF4666">
        <w:rPr>
          <w:rFonts w:ascii="Arial" w:hAnsi="Arial" w:cs="Arial"/>
        </w:rPr>
        <w:t>*-200,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lower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demonstrably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worse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77%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Accordingly,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N</w:t>
      </w:r>
      <w:r w:rsidRPr="00DF4666">
        <w:rPr>
          <w:rFonts w:ascii="Arial" w:hAnsi="Arial" w:cs="Arial"/>
        </w:rPr>
        <w:t>*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plus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</w:p>
    <w:p w14:paraId="64E22F26" w14:textId="1A7EEAE2" w:rsidR="00DF4666" w:rsidRPr="00914A77" w:rsidRDefault="00DF4666" w:rsidP="00914A77">
      <w:pPr>
        <w:pStyle w:val="Heading6"/>
        <w:spacing w:before="240" w:after="240"/>
        <w:rPr>
          <w:rFonts w:ascii="Arial" w:hAnsi="Arial" w:cs="Arial"/>
          <w:color w:val="auto"/>
          <w:lang w:eastAsia="zh-CN"/>
        </w:rPr>
      </w:pPr>
      <w:bookmarkStart w:id="56" w:name="_Ref57974918"/>
      <w:bookmarkStart w:id="57" w:name="_Toc139890520"/>
      <w:r w:rsidRPr="00914A77">
        <w:rPr>
          <w:rFonts w:ascii="Arial" w:hAnsi="Arial" w:cs="Arial"/>
          <w:color w:val="auto"/>
          <w:lang w:eastAsia="zh-CN"/>
        </w:rPr>
        <w:t>Table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fldChar w:fldCharType="begin"/>
      </w:r>
      <w:r w:rsidRPr="00914A77">
        <w:rPr>
          <w:rFonts w:ascii="Arial" w:hAnsi="Arial" w:cs="Arial"/>
          <w:color w:val="auto"/>
          <w:lang w:eastAsia="zh-CN"/>
        </w:rPr>
        <w:instrText>SEQ Table \* ARABIC</w:instrText>
      </w:r>
      <w:r w:rsidRPr="00914A77">
        <w:rPr>
          <w:rFonts w:ascii="Arial" w:hAnsi="Arial" w:cs="Arial"/>
          <w:color w:val="auto"/>
          <w:lang w:eastAsia="zh-CN"/>
        </w:rPr>
        <w:fldChar w:fldCharType="separate"/>
      </w:r>
      <w:r w:rsidR="00BC1E6E" w:rsidRPr="00914A77">
        <w:rPr>
          <w:rFonts w:ascii="Arial" w:hAnsi="Arial" w:cs="Arial"/>
          <w:noProof/>
          <w:color w:val="auto"/>
          <w:lang w:eastAsia="zh-CN"/>
        </w:rPr>
        <w:t>9</w:t>
      </w:r>
      <w:r w:rsidRPr="00914A77">
        <w:rPr>
          <w:rFonts w:ascii="Arial" w:hAnsi="Arial" w:cs="Arial"/>
          <w:color w:val="auto"/>
          <w:lang w:eastAsia="zh-CN"/>
        </w:rPr>
        <w:fldChar w:fldCharType="end"/>
      </w:r>
      <w:bookmarkEnd w:id="56"/>
      <w:r w:rsidRPr="00914A77">
        <w:rPr>
          <w:rFonts w:ascii="Arial" w:hAnsi="Arial" w:cs="Arial"/>
          <w:color w:val="auto"/>
          <w:lang w:eastAsia="zh-CN"/>
        </w:rPr>
        <w:t>.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Overall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Results</w:t>
      </w:r>
      <w:bookmarkEnd w:id="57"/>
    </w:p>
    <w:tbl>
      <w:tblPr>
        <w:tblStyle w:val="TRtable"/>
        <w:tblW w:w="9360" w:type="dxa"/>
        <w:tblLayout w:type="fixed"/>
        <w:tblLook w:val="04A0" w:firstRow="1" w:lastRow="0" w:firstColumn="1" w:lastColumn="0" w:noHBand="0" w:noVBand="1"/>
        <w:tblDescription w:val="Table 9. Overall Results."/>
      </w:tblPr>
      <w:tblGrid>
        <w:gridCol w:w="3060"/>
        <w:gridCol w:w="1800"/>
        <w:gridCol w:w="1800"/>
        <w:gridCol w:w="2700"/>
      </w:tblGrid>
      <w:tr w:rsidR="00DF4666" w:rsidRPr="000D334B" w14:paraId="7E6B6CC2" w14:textId="77777777" w:rsidTr="00E00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5437B4AC" w14:textId="59106C51" w:rsidR="00DF4666" w:rsidRPr="000D334B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0D334B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Decision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Rule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781B0B97" w14:textId="498DA08F" w:rsidR="00DF4666" w:rsidRPr="000D334B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Probability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Misclassified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40988948" w14:textId="683FE671" w:rsidR="00DF4666" w:rsidRPr="000D334B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Percentage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Excess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MSE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36D75883" w14:textId="2B88D35A" w:rsidR="00DF4666" w:rsidRPr="000D334B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Average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EBLP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estimates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among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0D334B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Misclassified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DF4666" w:rsidRPr="000D334B" w14:paraId="78641142" w14:textId="77777777" w:rsidTr="00E007FE">
        <w:trPr>
          <w:cantSplit/>
        </w:trPr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14:paraId="7A384024" w14:textId="1752A644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B01940C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66996AA5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0.10%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269D376D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0D334B" w14:paraId="29C80E47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31F707D0" w14:textId="2013E008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F393B2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7760B66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6A02C15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0D334B" w14:paraId="47FF7C9E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7AD87BCD" w14:textId="7D263C90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E1268A6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34587D8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D790D49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0D334B" w14:paraId="4CD6E1E1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2F5C94BD" w14:textId="38341FB1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DC2DA40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73B7696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F4107DA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0D334B" w14:paraId="69496AF8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6AA44A9B" w14:textId="62172C89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CEFC4B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EB196E0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0.11%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DF5C9BE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0D334B" w14:paraId="25DB3DBF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409989FB" w14:textId="16FA15D3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-100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4F2C83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16B7E9F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0.17%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3E57C37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</w:tr>
      <w:tr w:rsidR="00DF4666" w:rsidRPr="000D334B" w14:paraId="5C7CC40C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66DC9436" w14:textId="0FF60FF5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Estimated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Accuracy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Ratio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72ED4ED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AAB64DD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0.20%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C4920D1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0.96</w:t>
            </w:r>
          </w:p>
        </w:tc>
      </w:tr>
      <w:tr w:rsidR="00DF4666" w:rsidRPr="000D334B" w14:paraId="449B9E18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3979DD32" w14:textId="2829BA76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N*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+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-200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327A307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2A6118A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0.32%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7FBDEB4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</w:tr>
      <w:tr w:rsidR="00DF4666" w:rsidRPr="000D334B" w14:paraId="13F51A99" w14:textId="77777777" w:rsidTr="00E007FE">
        <w:trPr>
          <w:cantSplit/>
        </w:trPr>
        <w:tc>
          <w:tcPr>
            <w:tcW w:w="3060" w:type="dxa"/>
            <w:tcBorders>
              <w:top w:val="nil"/>
              <w:bottom w:val="nil"/>
            </w:tcBorders>
          </w:tcPr>
          <w:p w14:paraId="210CDE7B" w14:textId="17F500EA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EBLP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BFCD68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37D584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0.33%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B06EE6A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0D334B" w14:paraId="1332140F" w14:textId="77777777" w:rsidTr="00E007FE">
        <w:trPr>
          <w:cantSplit/>
        </w:trPr>
        <w:tc>
          <w:tcPr>
            <w:tcW w:w="3060" w:type="dxa"/>
            <w:tcBorders>
              <w:top w:val="nil"/>
              <w:bottom w:val="single" w:sz="12" w:space="0" w:color="auto"/>
            </w:tcBorders>
          </w:tcPr>
          <w:p w14:paraId="3D0A1B00" w14:textId="45B1BAE8" w:rsidR="00DF4666" w:rsidRPr="000D334B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Simple</w:t>
            </w:r>
            <w:r w:rsidR="00330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34B"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7BAAA6A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5F286F0F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73.66%</w:t>
            </w:r>
          </w:p>
        </w:tc>
        <w:tc>
          <w:tcPr>
            <w:tcW w:w="2700" w:type="dxa"/>
            <w:tcBorders>
              <w:top w:val="nil"/>
              <w:bottom w:val="single" w:sz="12" w:space="0" w:color="auto"/>
            </w:tcBorders>
          </w:tcPr>
          <w:p w14:paraId="2D398863" w14:textId="77777777" w:rsidR="00DF4666" w:rsidRPr="000D334B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D334B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</w:tbl>
    <w:p w14:paraId="22ADA516" w14:textId="1006AA55" w:rsidR="00DF4666" w:rsidRPr="00DF4666" w:rsidRDefault="00DF4666" w:rsidP="00914A77">
      <w:pPr>
        <w:spacing w:before="240"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random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systematic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suggests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concern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reasonable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_Ref57974918 \h  \* MERGEFORMAT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BC1E6E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="00BC1E6E" w:rsidRPr="00BC1E6E">
        <w:rPr>
          <w:rFonts w:ascii="Arial" w:hAnsi="Arial" w:cs="Arial"/>
        </w:rPr>
        <w:t>9</w:t>
      </w:r>
      <w:r w:rsidRPr="00DF4666">
        <w:rPr>
          <w:rFonts w:ascii="Arial" w:hAnsi="Arial" w:cs="Arial"/>
        </w:rPr>
        <w:fldChar w:fldCharType="end"/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shifting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upward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cause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pronounced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absolute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cause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Specifically,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many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effect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pushing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downward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apparent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positive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constant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modestly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explains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shifting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downward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further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degrades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–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already-negatively-biased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negatively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biased.</w:t>
      </w:r>
    </w:p>
    <w:p w14:paraId="7AA2F87C" w14:textId="42B6F524" w:rsidR="00DF4666" w:rsidRPr="00DF4666" w:rsidRDefault="00DF4666" w:rsidP="00914A77">
      <w:pPr>
        <w:pStyle w:val="Heading5"/>
      </w:pPr>
      <w:r w:rsidRPr="00DF4666">
        <w:lastRenderedPageBreak/>
        <w:t>Results</w:t>
      </w:r>
      <w:r w:rsidR="00330ABE">
        <w:t xml:space="preserve"> </w:t>
      </w:r>
      <w:r w:rsidRPr="00DF4666">
        <w:t>by</w:t>
      </w:r>
      <w:r w:rsidR="00330ABE">
        <w:t xml:space="preserve"> </w:t>
      </w:r>
      <w:r w:rsidRPr="00DF4666">
        <w:t>Student</w:t>
      </w:r>
      <w:r w:rsidR="00330ABE">
        <w:t xml:space="preserve"> </w:t>
      </w:r>
      <w:r w:rsidRPr="00DF4666">
        <w:t>Group</w:t>
      </w:r>
    </w:p>
    <w:p w14:paraId="5923A66E" w14:textId="0413DEF5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_Ref57974918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9</w:t>
      </w:r>
      <w:r w:rsidRPr="00DF4666">
        <w:rPr>
          <w:rFonts w:ascii="Arial" w:hAnsi="Arial" w:cs="Arial"/>
        </w:rPr>
        <w:fldChar w:fldCharType="end"/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pool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implications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_Ref57975178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10</w:t>
      </w:r>
      <w:r w:rsidRPr="00DF4666">
        <w:rPr>
          <w:rFonts w:ascii="Arial" w:hAnsi="Arial" w:cs="Arial"/>
        </w:rPr>
        <w:fldChar w:fldCharType="end"/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_Ref57975181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12</w:t>
      </w:r>
      <w:r w:rsidRPr="00DF4666">
        <w:rPr>
          <w:rFonts w:ascii="Arial" w:hAnsi="Arial" w:cs="Arial"/>
        </w:rPr>
        <w:fldChar w:fldCharType="end"/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150,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correction),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include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N*+150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ranked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_Ref57974918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9</w:t>
      </w:r>
      <w:r w:rsidRPr="00DF4666">
        <w:rPr>
          <w:rFonts w:ascii="Arial" w:hAnsi="Arial" w:cs="Arial"/>
        </w:rPr>
        <w:fldChar w:fldCharType="end"/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albeit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very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little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distinction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200,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instead.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against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straightforward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approaches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correction,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</w:p>
    <w:p w14:paraId="47B4ADB1" w14:textId="02C438E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_Ref57975178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10</w:t>
      </w:r>
      <w:r w:rsidRPr="00DF4666">
        <w:rPr>
          <w:rFonts w:ascii="Arial" w:hAnsi="Arial" w:cs="Arial"/>
        </w:rPr>
        <w:fldChar w:fldCharType="end"/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500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N*+150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.25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.08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0.28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0.08.</w:t>
      </w:r>
      <w:r w:rsidR="00330ABE">
        <w:rPr>
          <w:rFonts w:ascii="Arial" w:hAnsi="Arial" w:cs="Arial"/>
        </w:rPr>
        <w:t xml:space="preserve"> 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points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N*+150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28%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slightly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23%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proofErr w:type="gramEnd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RFP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slightly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14%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13%.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18%),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60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100%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82%).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substantially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reduces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generally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improvement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</w:p>
    <w:p w14:paraId="79783012" w14:textId="137F969F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_Ref57978641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11</w:t>
      </w:r>
      <w:r w:rsidRPr="00DF4666">
        <w:rPr>
          <w:rFonts w:ascii="Arial" w:hAnsi="Arial" w:cs="Arial"/>
        </w:rPr>
        <w:fldChar w:fldCharType="end"/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demonstrate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story.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N*+150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0.35%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optimal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0.11%.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falls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0.66%,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0.12%</w:t>
      </w:r>
      <w:proofErr w:type="gramStart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 </w:t>
      </w:r>
      <w:proofErr w:type="gramEnd"/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absolute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0.06%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difference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0.36%).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misclassification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probability,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slightly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N*+150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exclusively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0.03%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0.17%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(WH),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English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Learner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(EL),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RFP,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mathematics.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1.27%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=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0.35%)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41.92%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127.03%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excess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(average=75.61%).</w:t>
      </w:r>
      <w:r w:rsidR="00330ABE">
        <w:rPr>
          <w:rFonts w:ascii="Arial" w:hAnsi="Arial" w:cs="Arial"/>
        </w:rPr>
        <w:t xml:space="preserve"> </w:t>
      </w:r>
    </w:p>
    <w:p w14:paraId="2DFCF172" w14:textId="52205045" w:rsidR="00DF4666" w:rsidRPr="00026706" w:rsidRDefault="00DF4666" w:rsidP="0002670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Lastly,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consider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500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replications).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criterion,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fldChar w:fldCharType="begin"/>
      </w:r>
      <w:r w:rsidRPr="00DF4666">
        <w:rPr>
          <w:rFonts w:ascii="Arial" w:hAnsi="Arial" w:cs="Arial"/>
        </w:rPr>
        <w:instrText xml:space="preserve"> REF _Ref57975181 \h </w:instrText>
      </w:r>
      <w:r w:rsidRPr="00DF4666">
        <w:rPr>
          <w:rFonts w:ascii="Arial" w:hAnsi="Arial" w:cs="Arial"/>
        </w:rPr>
      </w:r>
      <w:r w:rsidRPr="00DF4666">
        <w:rPr>
          <w:rFonts w:ascii="Arial" w:hAnsi="Arial" w:cs="Arial"/>
        </w:rPr>
        <w:fldChar w:fldCharType="separate"/>
      </w:r>
      <w:r w:rsidR="00BC1E6E"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="00BC1E6E">
        <w:rPr>
          <w:rFonts w:ascii="Arial" w:hAnsi="Arial" w:cs="Arial"/>
          <w:b/>
          <w:noProof/>
          <w:szCs w:val="22"/>
          <w:lang w:eastAsia="zh-CN"/>
        </w:rPr>
        <w:t>12</w:t>
      </w:r>
      <w:r w:rsidRPr="00DF4666">
        <w:rPr>
          <w:rFonts w:ascii="Arial" w:hAnsi="Arial" w:cs="Arial"/>
        </w:rPr>
        <w:fldChar w:fldCharType="end"/>
      </w:r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little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distinction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N*+150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N*+0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about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0.87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1.00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0.95.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generally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+/-0.01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surprisingly,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contrast,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noticeably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worse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0.75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0.94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0.83),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instead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strongly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related.</w:t>
      </w:r>
      <w:r w:rsidR="00330ABE">
        <w:rPr>
          <w:rFonts w:ascii="Arial" w:hAnsi="Arial" w:cs="Arial"/>
        </w:rPr>
        <w:t xml:space="preserve"> </w:t>
      </w:r>
    </w:p>
    <w:p w14:paraId="5BC770A3" w14:textId="5C69B6C3" w:rsidR="00DF4666" w:rsidRPr="00914A77" w:rsidRDefault="00DF4666" w:rsidP="00026706">
      <w:pPr>
        <w:pStyle w:val="Heading6"/>
        <w:spacing w:before="120" w:after="120"/>
        <w:rPr>
          <w:rFonts w:ascii="Arial" w:hAnsi="Arial" w:cs="Arial"/>
          <w:color w:val="auto"/>
          <w:lang w:eastAsia="zh-CN"/>
        </w:rPr>
      </w:pPr>
      <w:bookmarkStart w:id="58" w:name="_Ref57975178"/>
      <w:bookmarkStart w:id="59" w:name="_Toc139890521"/>
      <w:r w:rsidRPr="00914A77">
        <w:rPr>
          <w:rFonts w:ascii="Arial" w:hAnsi="Arial" w:cs="Arial"/>
          <w:color w:val="auto"/>
          <w:lang w:eastAsia="zh-CN"/>
        </w:rPr>
        <w:t>Table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fldChar w:fldCharType="begin"/>
      </w:r>
      <w:r w:rsidRPr="00914A77">
        <w:rPr>
          <w:rFonts w:ascii="Arial" w:hAnsi="Arial" w:cs="Arial"/>
          <w:color w:val="auto"/>
          <w:lang w:eastAsia="zh-CN"/>
        </w:rPr>
        <w:instrText>SEQ Table \* ARABIC</w:instrText>
      </w:r>
      <w:r w:rsidRPr="00914A77">
        <w:rPr>
          <w:rFonts w:ascii="Arial" w:hAnsi="Arial" w:cs="Arial"/>
          <w:color w:val="auto"/>
          <w:lang w:eastAsia="zh-CN"/>
        </w:rPr>
        <w:fldChar w:fldCharType="separate"/>
      </w:r>
      <w:r w:rsidR="00BC1E6E" w:rsidRPr="00914A77">
        <w:rPr>
          <w:rFonts w:ascii="Arial" w:hAnsi="Arial" w:cs="Arial"/>
          <w:noProof/>
          <w:color w:val="auto"/>
          <w:lang w:eastAsia="zh-CN"/>
        </w:rPr>
        <w:t>10</w:t>
      </w:r>
      <w:r w:rsidRPr="00914A77">
        <w:rPr>
          <w:rFonts w:ascii="Arial" w:hAnsi="Arial" w:cs="Arial"/>
          <w:color w:val="auto"/>
          <w:lang w:eastAsia="zh-CN"/>
        </w:rPr>
        <w:fldChar w:fldCharType="end"/>
      </w:r>
      <w:bookmarkEnd w:id="58"/>
      <w:r w:rsidRPr="00914A77">
        <w:rPr>
          <w:rFonts w:ascii="Arial" w:hAnsi="Arial" w:cs="Arial"/>
          <w:color w:val="auto"/>
          <w:lang w:eastAsia="zh-CN"/>
        </w:rPr>
        <w:t>.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Probability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Misclassification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by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Student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Group</w:t>
      </w:r>
      <w:bookmarkEnd w:id="59"/>
    </w:p>
    <w:tbl>
      <w:tblPr>
        <w:tblStyle w:val="TRtable"/>
        <w:tblW w:w="9350" w:type="dxa"/>
        <w:tblLayout w:type="fixed"/>
        <w:tblLook w:val="04A0" w:firstRow="1" w:lastRow="0" w:firstColumn="1" w:lastColumn="0" w:noHBand="0" w:noVBand="1"/>
        <w:tblDescription w:val="Table 10. Probability Misclassification by Student Group."/>
      </w:tblPr>
      <w:tblGrid>
        <w:gridCol w:w="1179"/>
        <w:gridCol w:w="1901"/>
        <w:gridCol w:w="1595"/>
        <w:gridCol w:w="1595"/>
        <w:gridCol w:w="1595"/>
        <w:gridCol w:w="1485"/>
      </w:tblGrid>
      <w:tr w:rsidR="00DF4666" w:rsidRPr="00DE0984" w14:paraId="07A7BACF" w14:textId="77777777" w:rsidTr="009F5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179" w:type="dxa"/>
            <w:vAlign w:val="bottom"/>
          </w:tcPr>
          <w:p w14:paraId="0D390F56" w14:textId="1C6DD56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901" w:type="dxa"/>
            <w:vAlign w:val="bottom"/>
          </w:tcPr>
          <w:p w14:paraId="610DFBDB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595" w:type="dxa"/>
            <w:vAlign w:val="bottom"/>
          </w:tcPr>
          <w:p w14:paraId="7083E170" w14:textId="1FE4C28B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N*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+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95" w:type="dxa"/>
            <w:vAlign w:val="bottom"/>
          </w:tcPr>
          <w:p w14:paraId="0E6C8093" w14:textId="60428D52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N*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+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bottom"/>
          </w:tcPr>
          <w:p w14:paraId="738D36AE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EBLP</w:t>
            </w:r>
          </w:p>
        </w:tc>
        <w:tc>
          <w:tcPr>
            <w:tcW w:w="1485" w:type="dxa"/>
            <w:vAlign w:val="bottom"/>
          </w:tcPr>
          <w:p w14:paraId="0B77A2A8" w14:textId="18ACD456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Average</w:t>
            </w:r>
          </w:p>
        </w:tc>
      </w:tr>
      <w:tr w:rsidR="00DF4666" w:rsidRPr="00DE0984" w14:paraId="7C7F4BC2" w14:textId="77777777" w:rsidTr="009F5A8A">
        <w:trPr>
          <w:cantSplit/>
        </w:trPr>
        <w:tc>
          <w:tcPr>
            <w:tcW w:w="1179" w:type="dxa"/>
            <w:tcBorders>
              <w:bottom w:val="nil"/>
            </w:tcBorders>
          </w:tcPr>
          <w:p w14:paraId="48B65E6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901" w:type="dxa"/>
            <w:tcBorders>
              <w:bottom w:val="nil"/>
            </w:tcBorders>
          </w:tcPr>
          <w:p w14:paraId="174F9E8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bottom w:val="nil"/>
            </w:tcBorders>
          </w:tcPr>
          <w:p w14:paraId="6480B0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bottom w:val="nil"/>
            </w:tcBorders>
          </w:tcPr>
          <w:p w14:paraId="38113E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bottom w:val="nil"/>
            </w:tcBorders>
          </w:tcPr>
          <w:p w14:paraId="089022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485" w:type="dxa"/>
            <w:tcBorders>
              <w:bottom w:val="nil"/>
            </w:tcBorders>
          </w:tcPr>
          <w:p w14:paraId="1C9ADF9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</w:tr>
      <w:tr w:rsidR="00DF4666" w:rsidRPr="00DE0984" w14:paraId="1DF0FAA6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3A8A576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6846C82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E7874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E08FD4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9EA401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5AA8EF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</w:tr>
      <w:tr w:rsidR="00DF4666" w:rsidRPr="00DE0984" w14:paraId="760B2D4F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0CC631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7C01FF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3C63A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6CC31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28B75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2B2CF0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</w:tr>
      <w:tr w:rsidR="00DF4666" w:rsidRPr="00DE0984" w14:paraId="4888F47A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25D6152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20F650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48AC9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B4E9E8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223A4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7C7C52F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</w:tr>
      <w:tr w:rsidR="00DF4666" w:rsidRPr="00DE0984" w14:paraId="03FEA40B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917BF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2F11707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B145A2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6D24F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D4A2F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0.34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1202799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E0984" w14:paraId="6BEE5003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AE7F0D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0F0F66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CE7F2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96080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61EB9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33AF6CD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</w:tr>
      <w:tr w:rsidR="00DF4666" w:rsidRPr="00DE0984" w14:paraId="62814EC4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308064D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48AA9A8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3F5F20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D529B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5296C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212D50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</w:tr>
      <w:tr w:rsidR="00DF4666" w:rsidRPr="00DE0984" w14:paraId="7A6304B4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15B798F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3F72D99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412951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7EDF9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F8C906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1E8BF5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</w:tr>
      <w:tr w:rsidR="00DF4666" w:rsidRPr="00DE0984" w14:paraId="7C4711DD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3B8782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16E67FA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3BC23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3B64C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3948E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7537E4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31AD462D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D85512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0E88425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C656A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9B6965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CB27A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162557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DE0984" w14:paraId="6150A460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5F69E7D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7CF0057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F0F52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9E9F86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FEBF3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69E716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</w:tr>
      <w:tr w:rsidR="00DF4666" w:rsidRPr="00DE0984" w14:paraId="5C7F042A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6DBEED7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50A99C7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5E55DB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B4954C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74636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0BA88E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</w:tr>
      <w:tr w:rsidR="00DF4666" w:rsidRPr="00DE0984" w14:paraId="10C4B62A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0FCFADB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2D47A23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025F67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B6BE8D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5D0B5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22D2EC6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DF4666" w:rsidRPr="00DE0984" w14:paraId="31821979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658D354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7542FF8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65294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91C6D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2AF39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772DC24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0.81</w:t>
            </w:r>
          </w:p>
        </w:tc>
      </w:tr>
      <w:tr w:rsidR="00DF4666" w:rsidRPr="00DE0984" w14:paraId="30B80EE0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717F31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1CD6E6F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B688C5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4DCDF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86EF3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3371D2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</w:tr>
      <w:tr w:rsidR="00DF4666" w:rsidRPr="00DE0984" w14:paraId="2E84C006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201F6E7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70DE4C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B3C336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F8C67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85A7B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42360C5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0.81</w:t>
            </w:r>
          </w:p>
        </w:tc>
      </w:tr>
      <w:tr w:rsidR="00DF4666" w:rsidRPr="00DE0984" w14:paraId="1A70AFE1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35C76C2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3E8D53C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ED324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5369D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B56E4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7F9BE36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DE0984" w14:paraId="5D56410F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7018182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6762E8E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88DDF3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5B990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AF610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5CDB1F8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DF4666" w:rsidRPr="00DE0984" w14:paraId="5FE3A388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510AB85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234DA31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4757A0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9D710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AA19E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153CFD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DE0984" w14:paraId="35C5463E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3B05849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5DBCECD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3D81A8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47F70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80C0A8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70FD056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0.79</w:t>
            </w:r>
          </w:p>
        </w:tc>
      </w:tr>
      <w:tr w:rsidR="00DF4666" w:rsidRPr="00DE0984" w14:paraId="699263BA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C247BE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4EB1724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87909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67B82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B43A8B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1DABF9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0.71</w:t>
            </w:r>
          </w:p>
        </w:tc>
      </w:tr>
      <w:tr w:rsidR="00DF4666" w:rsidRPr="00DE0984" w14:paraId="7F93F8A6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3008C2E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5B2A7DD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82BBF5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15717B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5365F9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21FCF0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</w:tr>
      <w:tr w:rsidR="00DF4666" w:rsidRPr="00DE0984" w14:paraId="3C7807B0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AB6E50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057D069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872F9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DD09B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6E313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706061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DF4666" w:rsidRPr="00DE0984" w14:paraId="545E0373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63CBCE5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1CB8C76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7C6EA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510A5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AA7B56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5EE6B9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  <w:tr w:rsidR="00DF4666" w:rsidRPr="00DE0984" w14:paraId="3CAB8C7B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35B730E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4FDB53B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C26CE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7D466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A6341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2CDD30F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DE0984" w14:paraId="1239C16B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1C3918F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55804E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64774E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E5D62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FAB7B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40A4ED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E0984" w14:paraId="745AB488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CBDEA2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2CCBE00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45E90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AD12FC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62202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01B413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DF4666" w:rsidRPr="00DE0984" w14:paraId="0EC2C16B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6CCC77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090DB73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E398F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14E330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008ED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1197FC9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0.79</w:t>
            </w:r>
          </w:p>
        </w:tc>
      </w:tr>
      <w:tr w:rsidR="00DF4666" w:rsidRPr="00DE0984" w14:paraId="7782F461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082EA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901" w:type="dxa"/>
            <w:tcBorders>
              <w:top w:val="single" w:sz="4" w:space="0" w:color="auto"/>
              <w:bottom w:val="nil"/>
            </w:tcBorders>
          </w:tcPr>
          <w:p w14:paraId="195A002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CC5265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25DDF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6562A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14:paraId="32AED0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</w:tr>
      <w:tr w:rsidR="00DF4666" w:rsidRPr="00DE0984" w14:paraId="02883BA3" w14:textId="77777777" w:rsidTr="009F5A8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75E61A8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901" w:type="dxa"/>
            <w:tcBorders>
              <w:top w:val="nil"/>
              <w:bottom w:val="single" w:sz="4" w:space="0" w:color="auto"/>
            </w:tcBorders>
          </w:tcPr>
          <w:p w14:paraId="1795BA6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61C4B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679BD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76698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65E44DC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</w:tr>
      <w:tr w:rsidR="00DF4666" w:rsidRPr="00DE0984" w14:paraId="59C669BF" w14:textId="77777777" w:rsidTr="009F5A8A">
        <w:trPr>
          <w:cantSplit/>
        </w:trPr>
        <w:tc>
          <w:tcPr>
            <w:tcW w:w="1179" w:type="dxa"/>
            <w:tcBorders>
              <w:top w:val="single" w:sz="4" w:space="0" w:color="auto"/>
            </w:tcBorders>
          </w:tcPr>
          <w:p w14:paraId="3F64911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101FE88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327FE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065BE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A3ECDA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56641D5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5F79EF86" w14:textId="77777777" w:rsidTr="009F5A8A">
        <w:trPr>
          <w:cantSplit/>
        </w:trPr>
        <w:tc>
          <w:tcPr>
            <w:tcW w:w="1179" w:type="dxa"/>
          </w:tcPr>
          <w:p w14:paraId="2BD3A7B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901" w:type="dxa"/>
          </w:tcPr>
          <w:p w14:paraId="71D6F85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</w:tcPr>
          <w:p w14:paraId="5F0122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</w:tcPr>
          <w:p w14:paraId="49966C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</w:tcPr>
          <w:p w14:paraId="2ACCA9E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485" w:type="dxa"/>
          </w:tcPr>
          <w:p w14:paraId="089F39D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</w:tr>
    </w:tbl>
    <w:p w14:paraId="666D775F" w14:textId="27C915ED" w:rsidR="00DF4666" w:rsidRPr="00914A77" w:rsidRDefault="00DF4666" w:rsidP="00914A77">
      <w:pPr>
        <w:pStyle w:val="Heading6"/>
        <w:spacing w:before="240" w:after="240"/>
        <w:rPr>
          <w:rFonts w:ascii="Arial" w:hAnsi="Arial" w:cs="Arial"/>
          <w:color w:val="auto"/>
          <w:vertAlign w:val="superscript"/>
          <w:lang w:eastAsia="zh-CN"/>
        </w:rPr>
      </w:pPr>
      <w:bookmarkStart w:id="60" w:name="_Ref57978641"/>
      <w:bookmarkStart w:id="61" w:name="_Toc139890522"/>
      <w:r w:rsidRPr="00914A77">
        <w:rPr>
          <w:rFonts w:ascii="Arial" w:hAnsi="Arial" w:cs="Arial"/>
          <w:color w:val="auto"/>
          <w:lang w:eastAsia="zh-CN"/>
        </w:rPr>
        <w:lastRenderedPageBreak/>
        <w:t>Table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fldChar w:fldCharType="begin"/>
      </w:r>
      <w:r w:rsidRPr="00914A77">
        <w:rPr>
          <w:rFonts w:ascii="Arial" w:hAnsi="Arial" w:cs="Arial"/>
          <w:color w:val="auto"/>
          <w:lang w:eastAsia="zh-CN"/>
        </w:rPr>
        <w:instrText>SEQ Table \* ARABIC</w:instrText>
      </w:r>
      <w:r w:rsidRPr="00914A77">
        <w:rPr>
          <w:rFonts w:ascii="Arial" w:hAnsi="Arial" w:cs="Arial"/>
          <w:color w:val="auto"/>
          <w:lang w:eastAsia="zh-CN"/>
        </w:rPr>
        <w:fldChar w:fldCharType="separate"/>
      </w:r>
      <w:r w:rsidR="00BC1E6E" w:rsidRPr="00914A77">
        <w:rPr>
          <w:rFonts w:ascii="Arial" w:hAnsi="Arial" w:cs="Arial"/>
          <w:noProof/>
          <w:color w:val="auto"/>
          <w:lang w:eastAsia="zh-CN"/>
        </w:rPr>
        <w:t>11</w:t>
      </w:r>
      <w:r w:rsidRPr="00914A77">
        <w:rPr>
          <w:rFonts w:ascii="Arial" w:hAnsi="Arial" w:cs="Arial"/>
          <w:color w:val="auto"/>
          <w:lang w:eastAsia="zh-CN"/>
        </w:rPr>
        <w:fldChar w:fldCharType="end"/>
      </w:r>
      <w:bookmarkEnd w:id="60"/>
      <w:r w:rsidRPr="00914A77">
        <w:rPr>
          <w:rFonts w:ascii="Arial" w:hAnsi="Arial" w:cs="Arial"/>
          <w:color w:val="auto"/>
          <w:lang w:eastAsia="zh-CN"/>
        </w:rPr>
        <w:t>.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Percentage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Excess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MSE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by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Student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Group</w:t>
      </w:r>
      <w:r w:rsidRPr="00914A77">
        <w:rPr>
          <w:rFonts w:ascii="Arial" w:hAnsi="Arial" w:cs="Arial"/>
          <w:color w:val="auto"/>
          <w:vertAlign w:val="superscript"/>
          <w:lang w:eastAsia="zh-CN"/>
        </w:rPr>
        <w:t>1</w:t>
      </w:r>
      <w:bookmarkEnd w:id="61"/>
    </w:p>
    <w:tbl>
      <w:tblPr>
        <w:tblStyle w:val="TRtable"/>
        <w:tblW w:w="9350" w:type="dxa"/>
        <w:tblLayout w:type="fixed"/>
        <w:tblLook w:val="04A0" w:firstRow="1" w:lastRow="0" w:firstColumn="1" w:lastColumn="0" w:noHBand="0" w:noVBand="1"/>
        <w:tblDescription w:val="Table 11. Percentage Excess by Student Group."/>
      </w:tblPr>
      <w:tblGrid>
        <w:gridCol w:w="1179"/>
        <w:gridCol w:w="1791"/>
        <w:gridCol w:w="1595"/>
        <w:gridCol w:w="1595"/>
        <w:gridCol w:w="1595"/>
        <w:gridCol w:w="1595"/>
      </w:tblGrid>
      <w:tr w:rsidR="00DF4666" w:rsidRPr="00DE0984" w14:paraId="2F4F0206" w14:textId="77777777" w:rsidTr="00285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179" w:type="dxa"/>
            <w:vAlign w:val="bottom"/>
          </w:tcPr>
          <w:p w14:paraId="10896669" w14:textId="05AB3219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791" w:type="dxa"/>
            <w:vAlign w:val="bottom"/>
          </w:tcPr>
          <w:p w14:paraId="022A7708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595" w:type="dxa"/>
            <w:vAlign w:val="bottom"/>
          </w:tcPr>
          <w:p w14:paraId="322519D1" w14:textId="71F5B08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N*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+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95" w:type="dxa"/>
            <w:vAlign w:val="bottom"/>
          </w:tcPr>
          <w:p w14:paraId="545C2B56" w14:textId="41C737D9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N*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+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bottom"/>
          </w:tcPr>
          <w:p w14:paraId="6EF76CDD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EBLP</w:t>
            </w:r>
          </w:p>
        </w:tc>
        <w:tc>
          <w:tcPr>
            <w:tcW w:w="1595" w:type="dxa"/>
            <w:vAlign w:val="bottom"/>
          </w:tcPr>
          <w:p w14:paraId="25184655" w14:textId="7A279B4E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Average</w:t>
            </w:r>
          </w:p>
        </w:tc>
      </w:tr>
      <w:tr w:rsidR="00DF4666" w:rsidRPr="00DE0984" w14:paraId="63AC0757" w14:textId="77777777" w:rsidTr="00285AEA">
        <w:trPr>
          <w:cantSplit/>
        </w:trPr>
        <w:tc>
          <w:tcPr>
            <w:tcW w:w="1179" w:type="dxa"/>
            <w:tcBorders>
              <w:bottom w:val="nil"/>
            </w:tcBorders>
          </w:tcPr>
          <w:p w14:paraId="050D5D2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791" w:type="dxa"/>
            <w:tcBorders>
              <w:bottom w:val="nil"/>
            </w:tcBorders>
          </w:tcPr>
          <w:p w14:paraId="6CBC354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bottom w:val="nil"/>
            </w:tcBorders>
          </w:tcPr>
          <w:p w14:paraId="0B54CBE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bottom w:val="nil"/>
            </w:tcBorders>
          </w:tcPr>
          <w:p w14:paraId="4F1EE7A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bottom w:val="nil"/>
            </w:tcBorders>
          </w:tcPr>
          <w:p w14:paraId="6FA90A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1595" w:type="dxa"/>
            <w:tcBorders>
              <w:bottom w:val="nil"/>
            </w:tcBorders>
          </w:tcPr>
          <w:p w14:paraId="430CF8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74.71</w:t>
            </w:r>
          </w:p>
        </w:tc>
      </w:tr>
      <w:tr w:rsidR="00DF4666" w:rsidRPr="00DE0984" w14:paraId="39DB6CD8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9A28B4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4BC68B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ADAAE4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25D11E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7843C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71E8B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104.79</w:t>
            </w:r>
          </w:p>
        </w:tc>
      </w:tr>
      <w:tr w:rsidR="00DF4666" w:rsidRPr="00DE0984" w14:paraId="3BAF2002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31EB7A2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1BA02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7F6755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501A8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BBBAA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99B08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113.25</w:t>
            </w:r>
          </w:p>
        </w:tc>
      </w:tr>
      <w:tr w:rsidR="00DF4666" w:rsidRPr="00DE0984" w14:paraId="6C878131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86BC8E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A06965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9C2545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F2A1AB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D4FD6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AE55F5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127.03</w:t>
            </w:r>
          </w:p>
        </w:tc>
      </w:tr>
      <w:tr w:rsidR="00DF4666" w:rsidRPr="00DE0984" w14:paraId="0083CB9F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257426E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7405D16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E4004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8E990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35AE2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0A04B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53.14</w:t>
            </w:r>
          </w:p>
        </w:tc>
      </w:tr>
      <w:tr w:rsidR="00DF4666" w:rsidRPr="00DE0984" w14:paraId="527896C9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B2746D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CD562C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13C16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93290A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3E335C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E93AD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72.07</w:t>
            </w:r>
          </w:p>
        </w:tc>
      </w:tr>
      <w:tr w:rsidR="00DF4666" w:rsidRPr="00DE0984" w14:paraId="22377CCD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773D77A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C25462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D01D8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ADAC0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50487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9C5BED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79.11</w:t>
            </w:r>
          </w:p>
        </w:tc>
      </w:tr>
      <w:tr w:rsidR="00DF4666" w:rsidRPr="00DE0984" w14:paraId="7A8A6EA4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5BB828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458AC4B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7A974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ADD97F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21AA03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2802E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77.22</w:t>
            </w:r>
          </w:p>
        </w:tc>
      </w:tr>
      <w:tr w:rsidR="00DF4666" w:rsidRPr="00DE0984" w14:paraId="52F9CEDE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2BC38FB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86CA5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B0CD00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594C0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6A259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D51B7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73.08</w:t>
            </w:r>
          </w:p>
        </w:tc>
      </w:tr>
      <w:tr w:rsidR="00DF4666" w:rsidRPr="00DE0984" w14:paraId="5028AF08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481EFE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17DDD8F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4D990B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9908DA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997E2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2CF276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68.56</w:t>
            </w:r>
          </w:p>
        </w:tc>
      </w:tr>
      <w:tr w:rsidR="00DF4666" w:rsidRPr="00DE0984" w14:paraId="1149C6C8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3CF9A5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E613D6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37C34B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EFF03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83F001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3F24B9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68.48</w:t>
            </w:r>
          </w:p>
        </w:tc>
      </w:tr>
      <w:tr w:rsidR="00DF4666" w:rsidRPr="00DE0984" w14:paraId="1ADB6E4F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65B969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12ADC21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EFC3AB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D6514B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9D948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FB055E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99.63</w:t>
            </w:r>
          </w:p>
        </w:tc>
      </w:tr>
      <w:tr w:rsidR="00DF4666" w:rsidRPr="00DE0984" w14:paraId="6A5B92B5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F2390C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4277334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1F83CE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B46717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87CD28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7A46F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62.60</w:t>
            </w:r>
          </w:p>
        </w:tc>
      </w:tr>
      <w:tr w:rsidR="00DF4666" w:rsidRPr="00DE0984" w14:paraId="6796907E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618296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7FA4E9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8A57A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F4644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5AFFEE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BD1B8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49.20</w:t>
            </w:r>
          </w:p>
        </w:tc>
      </w:tr>
      <w:tr w:rsidR="00DF4666" w:rsidRPr="00DE0984" w14:paraId="61AD0102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16322DC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1E131CB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E4232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C8FFA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A7B952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2152EB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75.06</w:t>
            </w:r>
          </w:p>
        </w:tc>
      </w:tr>
      <w:tr w:rsidR="00DF4666" w:rsidRPr="00DE0984" w14:paraId="6DB39E0B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50C993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F5EDDF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576712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BDEA00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6AE30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38FC63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57.84</w:t>
            </w:r>
          </w:p>
        </w:tc>
      </w:tr>
      <w:tr w:rsidR="00DF4666" w:rsidRPr="00DE0984" w14:paraId="1941AE5A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1EC2EE3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73A060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805338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A9669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75595F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96601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90.40</w:t>
            </w:r>
          </w:p>
        </w:tc>
      </w:tr>
      <w:tr w:rsidR="00DF4666" w:rsidRPr="00DE0984" w14:paraId="14ACBA99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07CA798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DA416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AF7F93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6206E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54959B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A02B37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112.86</w:t>
            </w:r>
          </w:p>
        </w:tc>
      </w:tr>
      <w:tr w:rsidR="00DF4666" w:rsidRPr="00DE0984" w14:paraId="701D5083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17F408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49DC00D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8192AF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892576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12F75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4B649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68.30</w:t>
            </w:r>
          </w:p>
        </w:tc>
      </w:tr>
      <w:tr w:rsidR="00DF4666" w:rsidRPr="00DE0984" w14:paraId="55A7D94B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2FA694C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4A71C7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9FBF0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1490E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AAE8EA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5A27D2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96.02</w:t>
            </w:r>
          </w:p>
        </w:tc>
      </w:tr>
      <w:tr w:rsidR="00DF4666" w:rsidRPr="00DE0984" w14:paraId="6F5C9D01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2347FED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1C07795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5C690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DAE5AB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4DB38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92303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73.35</w:t>
            </w:r>
          </w:p>
        </w:tc>
      </w:tr>
      <w:tr w:rsidR="00DF4666" w:rsidRPr="00DE0984" w14:paraId="3A674C55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F0033F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55D737D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C871A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5FDC12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2E8BE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5D794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101.94</w:t>
            </w:r>
          </w:p>
        </w:tc>
      </w:tr>
      <w:tr w:rsidR="00DF4666" w:rsidRPr="00DE0984" w14:paraId="6546F2A3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27E82E1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113C568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2D092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6828C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95996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CDDD52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52.52</w:t>
            </w:r>
          </w:p>
        </w:tc>
      </w:tr>
      <w:tr w:rsidR="00DF4666" w:rsidRPr="00DE0984" w14:paraId="3A17B4ED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6DD73D5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559228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78F3D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D2741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619A95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1836D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41.92</w:t>
            </w:r>
          </w:p>
        </w:tc>
      </w:tr>
      <w:tr w:rsidR="00DF4666" w:rsidRPr="00DE0984" w14:paraId="34D3723A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3A84BA1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10E3137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26D93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0CB9FF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EC5DD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7E12E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53.75</w:t>
            </w:r>
          </w:p>
        </w:tc>
      </w:tr>
      <w:tr w:rsidR="00DF4666" w:rsidRPr="00DE0984" w14:paraId="2A95BF9A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2ED1F34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476E232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747C3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71927B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B147D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C2B0CC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47.29</w:t>
            </w:r>
          </w:p>
        </w:tc>
      </w:tr>
      <w:tr w:rsidR="00DF4666" w:rsidRPr="00DE0984" w14:paraId="5481385F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DE44F3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4ABFA36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4ECAF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72843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EA977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648DE3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57.43</w:t>
            </w:r>
          </w:p>
        </w:tc>
      </w:tr>
      <w:tr w:rsidR="00DF4666" w:rsidRPr="00DE0984" w14:paraId="678B8204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7C5C79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2A5F17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32E07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7E570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82B87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8E8D6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49.92</w:t>
            </w:r>
          </w:p>
        </w:tc>
      </w:tr>
      <w:tr w:rsidR="00DF4666" w:rsidRPr="00DE0984" w14:paraId="1C87877A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E07CDC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C6F6FC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A20805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BE72E1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EDF141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F11E4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95.49</w:t>
            </w:r>
          </w:p>
        </w:tc>
      </w:tr>
      <w:tr w:rsidR="00DF4666" w:rsidRPr="00DE0984" w14:paraId="14379E09" w14:textId="77777777" w:rsidTr="00285AE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16651C1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3FF2ED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57CF7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642B72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879DC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5FB494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105.08</w:t>
            </w:r>
          </w:p>
        </w:tc>
      </w:tr>
      <w:tr w:rsidR="00DF4666" w:rsidRPr="00DE0984" w14:paraId="5C425549" w14:textId="77777777" w:rsidTr="00285AEA">
        <w:trPr>
          <w:cantSplit/>
        </w:trPr>
        <w:tc>
          <w:tcPr>
            <w:tcW w:w="1179" w:type="dxa"/>
            <w:tcBorders>
              <w:top w:val="single" w:sz="4" w:space="0" w:color="auto"/>
            </w:tcBorders>
          </w:tcPr>
          <w:p w14:paraId="34B6864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594B194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1169D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4B9D76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2CE68F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39CAA6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55.26</w:t>
            </w:r>
          </w:p>
        </w:tc>
      </w:tr>
      <w:tr w:rsidR="00DF4666" w:rsidRPr="00DE0984" w14:paraId="38AA46BD" w14:textId="77777777" w:rsidTr="00285AEA">
        <w:trPr>
          <w:cantSplit/>
        </w:trPr>
        <w:tc>
          <w:tcPr>
            <w:tcW w:w="1179" w:type="dxa"/>
          </w:tcPr>
          <w:p w14:paraId="77CEB4F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791" w:type="dxa"/>
          </w:tcPr>
          <w:p w14:paraId="5000A98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</w:tcPr>
          <w:p w14:paraId="4474F6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1595" w:type="dxa"/>
          </w:tcPr>
          <w:p w14:paraId="56184E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  <w:tc>
          <w:tcPr>
            <w:tcW w:w="1595" w:type="dxa"/>
          </w:tcPr>
          <w:p w14:paraId="7D78BBD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1595" w:type="dxa"/>
          </w:tcPr>
          <w:p w14:paraId="1BCA3D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62.23</w:t>
            </w:r>
          </w:p>
        </w:tc>
      </w:tr>
    </w:tbl>
    <w:p w14:paraId="03328FB8" w14:textId="54F0B212" w:rsidR="00DF4666" w:rsidRPr="00026706" w:rsidRDefault="00DF4666" w:rsidP="00DF4666">
      <w:pPr>
        <w:numPr>
          <w:ilvl w:val="0"/>
          <w:numId w:val="38"/>
        </w:numPr>
        <w:spacing w:before="120"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expressed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percentages.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example,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“0.04”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cell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“0.04%</w:t>
      </w:r>
      <w:proofErr w:type="gramStart"/>
      <w:r w:rsidRPr="00DF4666">
        <w:rPr>
          <w:rFonts w:ascii="Arial" w:hAnsi="Arial" w:cs="Arial"/>
        </w:rPr>
        <w:t>”.</w:t>
      </w:r>
      <w:proofErr w:type="gramEnd"/>
      <w:r w:rsidR="00330ABE">
        <w:rPr>
          <w:rFonts w:ascii="Arial" w:hAnsi="Arial" w:cs="Arial"/>
        </w:rPr>
        <w:t xml:space="preserve"> </w:t>
      </w:r>
    </w:p>
    <w:p w14:paraId="45C0375F" w14:textId="544708E7" w:rsidR="00DF4666" w:rsidRPr="00914A77" w:rsidRDefault="00DF4666" w:rsidP="00914A77">
      <w:pPr>
        <w:pStyle w:val="Heading6"/>
        <w:spacing w:before="240" w:after="240"/>
        <w:rPr>
          <w:rFonts w:ascii="Arial" w:hAnsi="Arial" w:cs="Arial"/>
          <w:color w:val="auto"/>
          <w:lang w:eastAsia="zh-CN"/>
        </w:rPr>
      </w:pPr>
      <w:bookmarkStart w:id="62" w:name="_Ref57975181"/>
      <w:bookmarkStart w:id="63" w:name="_Toc139890523"/>
      <w:r w:rsidRPr="00914A77">
        <w:rPr>
          <w:rFonts w:ascii="Arial" w:hAnsi="Arial" w:cs="Arial"/>
          <w:color w:val="auto"/>
          <w:lang w:eastAsia="zh-CN"/>
        </w:rPr>
        <w:lastRenderedPageBreak/>
        <w:t>Table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fldChar w:fldCharType="begin"/>
      </w:r>
      <w:r w:rsidRPr="00914A77">
        <w:rPr>
          <w:rFonts w:ascii="Arial" w:hAnsi="Arial" w:cs="Arial"/>
          <w:color w:val="auto"/>
          <w:lang w:eastAsia="zh-CN"/>
        </w:rPr>
        <w:instrText>SEQ Table \* ARABIC</w:instrText>
      </w:r>
      <w:r w:rsidRPr="00914A77">
        <w:rPr>
          <w:rFonts w:ascii="Arial" w:hAnsi="Arial" w:cs="Arial"/>
          <w:color w:val="auto"/>
          <w:lang w:eastAsia="zh-CN"/>
        </w:rPr>
        <w:fldChar w:fldCharType="separate"/>
      </w:r>
      <w:r w:rsidR="00BC1E6E" w:rsidRPr="00914A77">
        <w:rPr>
          <w:rFonts w:ascii="Arial" w:hAnsi="Arial" w:cs="Arial"/>
          <w:noProof/>
          <w:color w:val="auto"/>
          <w:lang w:eastAsia="zh-CN"/>
        </w:rPr>
        <w:t>12</w:t>
      </w:r>
      <w:r w:rsidRPr="00914A77">
        <w:rPr>
          <w:rFonts w:ascii="Arial" w:hAnsi="Arial" w:cs="Arial"/>
          <w:color w:val="auto"/>
          <w:lang w:eastAsia="zh-CN"/>
        </w:rPr>
        <w:fldChar w:fldCharType="end"/>
      </w:r>
      <w:bookmarkEnd w:id="62"/>
      <w:r w:rsidRPr="00914A77">
        <w:rPr>
          <w:rFonts w:ascii="Arial" w:hAnsi="Arial" w:cs="Arial"/>
          <w:color w:val="auto"/>
          <w:lang w:eastAsia="zh-CN"/>
        </w:rPr>
        <w:t>.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Correlation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between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the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Simple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Average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and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EBLP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estimates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among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Misclassified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Cases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by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Student</w:t>
      </w:r>
      <w:r w:rsidR="00330ABE" w:rsidRPr="00914A77">
        <w:rPr>
          <w:rFonts w:ascii="Arial" w:hAnsi="Arial" w:cs="Arial"/>
          <w:color w:val="auto"/>
          <w:lang w:eastAsia="zh-CN"/>
        </w:rPr>
        <w:t xml:space="preserve"> </w:t>
      </w:r>
      <w:r w:rsidRPr="00914A77">
        <w:rPr>
          <w:rFonts w:ascii="Arial" w:hAnsi="Arial" w:cs="Arial"/>
          <w:color w:val="auto"/>
          <w:lang w:eastAsia="zh-CN"/>
        </w:rPr>
        <w:t>Group</w:t>
      </w:r>
      <w:bookmarkEnd w:id="63"/>
    </w:p>
    <w:tbl>
      <w:tblPr>
        <w:tblStyle w:val="TRtable"/>
        <w:tblW w:w="9350" w:type="dxa"/>
        <w:tblLayout w:type="fixed"/>
        <w:tblLook w:val="04A0" w:firstRow="1" w:lastRow="0" w:firstColumn="1" w:lastColumn="0" w:noHBand="0" w:noVBand="1"/>
        <w:tblDescription w:val="Table 12. Correlation between the Simple Average and Empirical Best Linear Prediction estimates among Misclassified Cases by Student Group."/>
      </w:tblPr>
      <w:tblGrid>
        <w:gridCol w:w="1179"/>
        <w:gridCol w:w="1791"/>
        <w:gridCol w:w="1595"/>
        <w:gridCol w:w="1595"/>
        <w:gridCol w:w="1595"/>
        <w:gridCol w:w="1595"/>
      </w:tblGrid>
      <w:tr w:rsidR="00DF4666" w:rsidRPr="00DE0984" w14:paraId="6FB46A04" w14:textId="77777777" w:rsidTr="00085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179" w:type="dxa"/>
            <w:vAlign w:val="bottom"/>
          </w:tcPr>
          <w:p w14:paraId="7A1913D3" w14:textId="1AFECFD1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791" w:type="dxa"/>
            <w:vAlign w:val="bottom"/>
          </w:tcPr>
          <w:p w14:paraId="2F1A6E1B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595" w:type="dxa"/>
            <w:vAlign w:val="bottom"/>
          </w:tcPr>
          <w:p w14:paraId="23FEBD61" w14:textId="32C890E0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N*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+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150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vAlign w:val="bottom"/>
          </w:tcPr>
          <w:p w14:paraId="7EB3F538" w14:textId="2770C28D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N*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+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0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vAlign w:val="bottom"/>
          </w:tcPr>
          <w:p w14:paraId="58D37461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  <w:vertAlign w:val="superscript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EBLP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5" w:type="dxa"/>
            <w:vAlign w:val="bottom"/>
          </w:tcPr>
          <w:p w14:paraId="4324A400" w14:textId="7512C800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 w:cs="Arial"/>
                <w:b/>
                <w:bCs/>
                <w:noProof/>
                <w:color w:val="000000"/>
                <w:sz w:val="24"/>
                <w:szCs w:val="24"/>
              </w:rPr>
              <w:t>Average</w:t>
            </w:r>
          </w:p>
        </w:tc>
      </w:tr>
      <w:tr w:rsidR="00DF4666" w:rsidRPr="00DE0984" w14:paraId="589CEA55" w14:textId="77777777" w:rsidTr="000851AA">
        <w:trPr>
          <w:cantSplit/>
        </w:trPr>
        <w:tc>
          <w:tcPr>
            <w:tcW w:w="1179" w:type="dxa"/>
            <w:tcBorders>
              <w:bottom w:val="nil"/>
            </w:tcBorders>
          </w:tcPr>
          <w:p w14:paraId="7754095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791" w:type="dxa"/>
            <w:tcBorders>
              <w:bottom w:val="nil"/>
            </w:tcBorders>
          </w:tcPr>
          <w:p w14:paraId="6DF86D5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bottom w:val="nil"/>
            </w:tcBorders>
          </w:tcPr>
          <w:p w14:paraId="6E873E6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595" w:type="dxa"/>
            <w:tcBorders>
              <w:bottom w:val="nil"/>
            </w:tcBorders>
          </w:tcPr>
          <w:p w14:paraId="5571DE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595" w:type="dxa"/>
            <w:tcBorders>
              <w:bottom w:val="nil"/>
            </w:tcBorders>
          </w:tcPr>
          <w:p w14:paraId="0C67CE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0.96</w:t>
            </w:r>
          </w:p>
        </w:tc>
        <w:tc>
          <w:tcPr>
            <w:tcW w:w="1595" w:type="dxa"/>
            <w:tcBorders>
              <w:bottom w:val="nil"/>
            </w:tcBorders>
          </w:tcPr>
          <w:p w14:paraId="05779BB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0.83</w:t>
            </w:r>
          </w:p>
        </w:tc>
      </w:tr>
      <w:tr w:rsidR="00DF4666" w:rsidRPr="00DE0984" w14:paraId="7136489C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16D6A39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434E69C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23C47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D8F649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113016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12A5C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DF4666" w:rsidRPr="00DE0984" w14:paraId="54D6F26C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4A8C6E5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87238E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0FDD7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53A6A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D04AD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7737E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DF4666" w:rsidRPr="00DE0984" w14:paraId="5B3D8C3F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551F09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2AA2BA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55A9FC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0AF9E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C5BE56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C7C65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DF4666" w:rsidRPr="00DE0984" w14:paraId="0E01B90A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33A35A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4B28858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C9697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831A5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3AA2D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28F49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</w:tr>
      <w:tr w:rsidR="00DF4666" w:rsidRPr="00DE0984" w14:paraId="09D28873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73247C9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59CB888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041E3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AB18B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83CA7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9EC50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</w:tr>
      <w:tr w:rsidR="00DF4666" w:rsidRPr="00DE0984" w14:paraId="0F8E94F0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CC966C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5782F8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EC3AB5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39171B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DC441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CFFE2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</w:tr>
      <w:tr w:rsidR="00DF4666" w:rsidRPr="00DE0984" w14:paraId="359BA716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6BF47AB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1D150C9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B918AD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987857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F16E9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D13A4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</w:tr>
      <w:tr w:rsidR="00DF4666" w:rsidRPr="00DE0984" w14:paraId="50A0F9AE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2F65BAE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6CBF12F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946932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387EC5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0.96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08300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CB9027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</w:tr>
      <w:tr w:rsidR="00DF4666" w:rsidRPr="00DE0984" w14:paraId="46B30779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A976F9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EA1A6F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A9000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16802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E36DC1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9A695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79EC1B44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5D327E8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752DE00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BF77F1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0D2C75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136C4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D2119E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  <w:tr w:rsidR="00DF4666" w:rsidRPr="00DE0984" w14:paraId="7645357D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71DF0A3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1498E72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8E9B6E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91A00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5A066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57A77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DF4666" w:rsidRPr="00DE0984" w14:paraId="1C177328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5821FDF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2B18A27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B1D1F0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73CE0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5722A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7E089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250C6D7F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AA9924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65CC7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06A6E9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E21BC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F5B6AA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11887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</w:tr>
      <w:tr w:rsidR="00DF4666" w:rsidRPr="00DE0984" w14:paraId="26341CA1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8D15BA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42B61C0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F5F02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B020C0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89384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E5822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</w:tr>
      <w:tr w:rsidR="00DF4666" w:rsidRPr="00DE0984" w14:paraId="509C0430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383B062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4B690DA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83E35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5A034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E017B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9FE01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1A2313A6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0C59764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5F1BA7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30843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F1B97A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095D4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F0190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DF4666" w:rsidRPr="00DE0984" w14:paraId="11B340FE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EB5787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2DB005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6A8C9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43F2B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669EF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917660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DF4666" w:rsidRPr="00DE0984" w14:paraId="5C5D69D7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24D1075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213A83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72919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EBF58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DA317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4BC71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  <w:tr w:rsidR="00DF4666" w:rsidRPr="00DE0984" w14:paraId="0E9E629E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06B256B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2B57CC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077FBC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A7034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D9353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7FF77A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DF4666" w:rsidRPr="00DE0984" w14:paraId="38C343D5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6D3A012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654BAA2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22CCA5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FFE32C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5EDBE5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CAC4A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0.81</w:t>
            </w:r>
          </w:p>
        </w:tc>
      </w:tr>
      <w:tr w:rsidR="00DF4666" w:rsidRPr="00DE0984" w14:paraId="69DE9C18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360E252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57B372A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A4145D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520D0D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6F7FD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0.93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52BE4E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</w:tr>
      <w:tr w:rsidR="00DF4666" w:rsidRPr="00DE0984" w14:paraId="2544273C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1C1727D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F60959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75768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F5465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3C81C3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EEEAB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</w:tr>
      <w:tr w:rsidR="00DF4666" w:rsidRPr="00DE0984" w14:paraId="1BFF8DAE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2A1FCA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5B66033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396DE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DE690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144BD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151D31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</w:tr>
      <w:tr w:rsidR="00DF4666" w:rsidRPr="00DE0984" w14:paraId="4F92A5D0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35EB11D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1617755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CFC57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7B98B1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41A74A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5FB2A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</w:tr>
      <w:tr w:rsidR="00DF4666" w:rsidRPr="00DE0984" w14:paraId="5A22F778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47EFEE3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5A934D2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004F8A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9C45D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D44369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CEE39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0.92</w:t>
            </w:r>
          </w:p>
        </w:tc>
      </w:tr>
      <w:tr w:rsidR="00DF4666" w:rsidRPr="00DE0984" w14:paraId="78784A6F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0A7C8C3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671CCB3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56ADBD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23E3A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0853C5A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10D28D0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0.88</w:t>
            </w:r>
          </w:p>
        </w:tc>
      </w:tr>
      <w:tr w:rsidR="00DF4666" w:rsidRPr="00DE0984" w14:paraId="3A27A722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39CC73D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383FD8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29A308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E806D2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4FE8F65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74055C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</w:tr>
      <w:tr w:rsidR="00DF4666" w:rsidRPr="00DE0984" w14:paraId="14FBA384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1E43962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21E3FEA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42AC43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65AB227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715746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14:paraId="3C25E6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DF4666" w:rsidRPr="00DE0984" w14:paraId="3DE75F37" w14:textId="77777777" w:rsidTr="000851AA">
        <w:trPr>
          <w:cantSplit/>
        </w:trPr>
        <w:tc>
          <w:tcPr>
            <w:tcW w:w="1179" w:type="dxa"/>
            <w:tcBorders>
              <w:top w:val="nil"/>
              <w:bottom w:val="single" w:sz="4" w:space="0" w:color="auto"/>
            </w:tcBorders>
          </w:tcPr>
          <w:p w14:paraId="14BCB2A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61E973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7E9D18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BD198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62CEC2A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14:paraId="310F95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DF4666" w:rsidRPr="00DE0984" w14:paraId="2F2F1641" w14:textId="77777777" w:rsidTr="000851AA">
        <w:trPr>
          <w:cantSplit/>
        </w:trPr>
        <w:tc>
          <w:tcPr>
            <w:tcW w:w="1179" w:type="dxa"/>
            <w:tcBorders>
              <w:top w:val="single" w:sz="4" w:space="0" w:color="auto"/>
            </w:tcBorders>
          </w:tcPr>
          <w:p w14:paraId="703C834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5C85A49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0E0744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47CBF20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611084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067770C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</w:tr>
      <w:tr w:rsidR="00DF4666" w:rsidRPr="00DE0984" w14:paraId="61B8977B" w14:textId="77777777" w:rsidTr="000851AA">
        <w:trPr>
          <w:cantSplit/>
        </w:trPr>
        <w:tc>
          <w:tcPr>
            <w:tcW w:w="1179" w:type="dxa"/>
          </w:tcPr>
          <w:p w14:paraId="3C7594C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791" w:type="dxa"/>
          </w:tcPr>
          <w:p w14:paraId="05D975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595" w:type="dxa"/>
          </w:tcPr>
          <w:p w14:paraId="028FCF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0.96</w:t>
            </w:r>
          </w:p>
        </w:tc>
        <w:tc>
          <w:tcPr>
            <w:tcW w:w="1595" w:type="dxa"/>
          </w:tcPr>
          <w:p w14:paraId="6228F5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</w:tcPr>
          <w:p w14:paraId="584D6C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0.97</w:t>
            </w:r>
          </w:p>
        </w:tc>
        <w:tc>
          <w:tcPr>
            <w:tcW w:w="1595" w:type="dxa"/>
          </w:tcPr>
          <w:p w14:paraId="2D383E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</w:tr>
    </w:tbl>
    <w:p w14:paraId="0198240D" w14:textId="0385ECDE" w:rsidR="00DF4666" w:rsidRPr="00DF4666" w:rsidRDefault="00DF4666" w:rsidP="00902D74">
      <w:pPr>
        <w:numPr>
          <w:ilvl w:val="0"/>
          <w:numId w:val="36"/>
        </w:numPr>
        <w:spacing w:before="120"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lastRenderedPageBreak/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“NA”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applicable”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“not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defined”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whenever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were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0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LEA’s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misclassified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correlate.</w:t>
      </w:r>
      <w:r w:rsidR="00330ABE">
        <w:rPr>
          <w:rFonts w:ascii="Arial" w:hAnsi="Arial" w:cs="Arial"/>
        </w:rPr>
        <w:t xml:space="preserve"> </w:t>
      </w:r>
    </w:p>
    <w:p w14:paraId="44ABBC72" w14:textId="77777777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t>Conclusions</w:t>
      </w:r>
    </w:p>
    <w:p w14:paraId="0B694453" w14:textId="4FC83766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California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suggests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often,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but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always,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empirical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finding: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appears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inferior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choose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principled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manner.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absolute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respect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vastly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inferior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surprising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preponderance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small-to-modest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reporting-year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among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LEA-level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populous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designed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cases,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large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improvements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compared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improvements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assigning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AGMs.</w:t>
      </w:r>
    </w:p>
    <w:p w14:paraId="606EDA19" w14:textId="164B8CC9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cutoff,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appears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finding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perhaps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surprising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direct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quantities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like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operate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true,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rather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whereas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proxy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preferred.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Investigations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suffers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errors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ratio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individual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which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nontrivial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less-populous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variability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EBLP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drives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uncertainty,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because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accurately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relatively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few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(here,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LEAs),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aggregation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units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only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modest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difficult.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estimated-accuracy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make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somewhat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more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incorrect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wrong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decisions,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terms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accuracy,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tends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somewhat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higher.</w:t>
      </w:r>
    </w:p>
    <w:p w14:paraId="17B1E8E5" w14:textId="1B91A25A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suggest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reasonable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choice.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method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selecting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observed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compute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defined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minimizes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average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MSE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AGM,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possibly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shifting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determine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actual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obtained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from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actual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446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447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reporting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</w:t>
      </w:r>
      <w:proofErr w:type="gramStart"/>
      <w:r w:rsidRPr="00DF4666">
        <w:rPr>
          <w:rFonts w:ascii="Arial" w:hAnsi="Arial" w:cs="Arial"/>
        </w:rPr>
        <w:t>.</w:t>
      </w:r>
      <w:r w:rsidR="00330ABE">
        <w:rPr>
          <w:rFonts w:ascii="Arial" w:hAnsi="Arial" w:cs="Arial"/>
        </w:rPr>
        <w:t xml:space="preserve">  </w:t>
      </w:r>
      <w:proofErr w:type="gramEnd"/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consistency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some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assurance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highly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sensitive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vagaries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data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may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exist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particular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simulation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lastRenderedPageBreak/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using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obtained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shifting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extremely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suggests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range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700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(obtained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shifting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approximate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450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N</m:t>
                </m:r>
              </m:e>
            </m:acc>
          </m:e>
          <m:sup>
            <m:r>
              <w:rPr>
                <w:rFonts w:ascii="Cambria Math" w:hAnsi="Cambria Math" w:cs="Arial"/>
              </w:rPr>
              <m:t>*</m:t>
            </m:r>
          </m:sup>
        </m:sSup>
      </m:oMath>
      <w:r w:rsidRPr="00DF4666">
        <w:rPr>
          <w:rFonts w:ascii="Arial" w:hAnsi="Arial" w:cs="Arial"/>
        </w:rPr>
        <w:t>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value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anywhere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between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0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250)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function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similarly.</w:t>
      </w:r>
    </w:p>
    <w:p w14:paraId="1F405DAE" w14:textId="7CB626E4" w:rsidR="00DF4666" w:rsidRPr="00DF4666" w:rsidRDefault="00DF4666" w:rsidP="00DF4666">
      <w:pPr>
        <w:spacing w:after="12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results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shown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Tables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3-5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indicate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also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function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reasonably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most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admittedly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tailored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specific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(e.g.,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separate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32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combinations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subject)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slightly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better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performance.</w:t>
      </w:r>
      <w:r w:rsidR="00330ABE">
        <w:rPr>
          <w:rFonts w:ascii="Arial" w:hAnsi="Arial" w:cs="Arial"/>
        </w:rPr>
        <w:t xml:space="preserve">  </w:t>
      </w:r>
      <w:r w:rsidRPr="00DF4666">
        <w:rPr>
          <w:rFonts w:ascii="Arial" w:hAnsi="Arial" w:cs="Arial"/>
        </w:rPr>
        <w:t>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evaluation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outside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scope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analysis,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benefits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rules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might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provide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over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common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sample-size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threshold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would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proofErr w:type="gramStart"/>
      <w:r w:rsidRPr="00DF4666">
        <w:rPr>
          <w:rFonts w:ascii="Arial" w:hAnsi="Arial" w:cs="Arial"/>
        </w:rPr>
        <w:t>be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weighed</w:t>
      </w:r>
      <w:proofErr w:type="gramEnd"/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against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extra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complexity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explaining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procedures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various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stakeholders.</w:t>
      </w:r>
    </w:p>
    <w:p w14:paraId="03569071" w14:textId="12F5EAE1" w:rsidR="00DF4666" w:rsidRPr="00DF4666" w:rsidRDefault="00DF4666" w:rsidP="00914A77">
      <w:pPr>
        <w:pStyle w:val="Heading4"/>
        <w:rPr>
          <w:lang w:eastAsia="zh-CN"/>
        </w:rPr>
      </w:pPr>
      <w:bookmarkStart w:id="64" w:name="_Toc47430465"/>
      <w:r w:rsidRPr="00DF4666">
        <w:rPr>
          <w:lang w:eastAsia="zh-CN"/>
        </w:rPr>
        <w:t>References</w:t>
      </w:r>
      <w:bookmarkEnd w:id="64"/>
    </w:p>
    <w:p w14:paraId="2AEFE351" w14:textId="6CB7A6F4" w:rsidR="00DF4666" w:rsidRPr="00DF4666" w:rsidRDefault="00DF4666" w:rsidP="00DF4666">
      <w:pPr>
        <w:spacing w:after="120"/>
        <w:ind w:left="216" w:hanging="216"/>
        <w:textAlignment w:val="baseline"/>
        <w:rPr>
          <w:rFonts w:ascii="Arial" w:eastAsia="SimSun" w:hAnsi="Arial" w:cs="Arial"/>
          <w:color w:val="000000"/>
          <w:lang w:eastAsia="ko-KR"/>
        </w:rPr>
      </w:pPr>
      <w:r w:rsidRPr="00DF4666">
        <w:rPr>
          <w:rFonts w:ascii="Arial" w:eastAsia="SimSun" w:hAnsi="Arial" w:cs="Arial"/>
          <w:color w:val="000000"/>
          <w:lang w:eastAsia="ko-KR"/>
        </w:rPr>
        <w:t>Castellano,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K.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E.,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Lockwood,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J.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R.,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&amp;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McCaffrey,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D.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F.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(2020).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Exploring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empirical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best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linear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prediction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for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aggregate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growth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measures.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Memorandum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to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the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CDE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Technical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Design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Group,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August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4.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</w:p>
    <w:p w14:paraId="4FF070F8" w14:textId="130CBC02" w:rsidR="00DF4666" w:rsidRPr="00DF4666" w:rsidRDefault="00DF4666" w:rsidP="00DF4666">
      <w:pPr>
        <w:spacing w:after="120"/>
        <w:ind w:left="216" w:hanging="216"/>
        <w:textAlignment w:val="baseline"/>
        <w:rPr>
          <w:rFonts w:ascii="Arial" w:eastAsia="SimSun" w:hAnsi="Arial" w:cs="Arial"/>
          <w:color w:val="000000"/>
          <w:lang w:eastAsia="ko-KR"/>
        </w:rPr>
      </w:pPr>
      <w:r w:rsidRPr="00DF4666">
        <w:rPr>
          <w:rFonts w:ascii="Arial" w:eastAsia="SimSun" w:hAnsi="Arial" w:cs="Arial"/>
          <w:color w:val="000000"/>
          <w:lang w:eastAsia="ko-KR"/>
        </w:rPr>
        <w:t>Lockwood,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J.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R.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(2020).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="001E7072" w:rsidRPr="00DF4666">
        <w:rPr>
          <w:rFonts w:ascii="Arial" w:eastAsia="SimSun" w:hAnsi="Arial" w:cs="Arial"/>
          <w:i/>
          <w:color w:val="000000"/>
          <w:lang w:eastAsia="ko-KR"/>
        </w:rPr>
        <w:t>S</w:t>
      </w:r>
      <w:r w:rsidRPr="00DF4666">
        <w:rPr>
          <w:rFonts w:ascii="Arial" w:eastAsia="SimSun" w:hAnsi="Arial" w:cs="Arial"/>
          <w:i/>
          <w:color w:val="000000"/>
          <w:lang w:eastAsia="ko-KR"/>
        </w:rPr>
        <w:t>choolgrowth: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Functions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for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improving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accuracy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of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school-level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growth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measures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using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Empirical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Best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Linear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Prediction.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package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version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0.6-3.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</w:p>
    <w:p w14:paraId="562AAC10" w14:textId="4B8FC9B8" w:rsidR="00DF4666" w:rsidRPr="00DF4666" w:rsidRDefault="00DF4666" w:rsidP="00DF4666">
      <w:pPr>
        <w:spacing w:after="120"/>
        <w:ind w:left="216" w:hanging="216"/>
        <w:textAlignment w:val="baseline"/>
        <w:rPr>
          <w:rFonts w:ascii="Arial" w:eastAsia="SimSun" w:hAnsi="Arial" w:cs="Arial"/>
          <w:color w:val="000000"/>
          <w:lang w:eastAsia="ko-KR"/>
        </w:rPr>
      </w:pPr>
      <w:r w:rsidRPr="00DF4666">
        <w:rPr>
          <w:rFonts w:ascii="Arial" w:eastAsia="SimSun" w:hAnsi="Arial" w:cs="Arial"/>
          <w:color w:val="000000"/>
          <w:lang w:eastAsia="ko-KR"/>
        </w:rPr>
        <w:t>Lockwood,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J.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R.,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Castellano,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K.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E.,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&amp;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McCaffrey,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D.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F.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(2020).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Improving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accuracy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and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stability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of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aggregate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student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growth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measures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using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best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linear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prediction.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Unpublished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manuscript.</w:t>
      </w:r>
    </w:p>
    <w:p w14:paraId="33A2D802" w14:textId="0C6349B0" w:rsidR="00DF4666" w:rsidRPr="007060AA" w:rsidRDefault="00DF4666" w:rsidP="007060AA">
      <w:pPr>
        <w:spacing w:after="120"/>
        <w:ind w:left="216" w:hanging="216"/>
        <w:textAlignment w:val="baseline"/>
        <w:rPr>
          <w:rFonts w:ascii="Arial" w:eastAsia="SimSun" w:hAnsi="Arial" w:cs="Arial"/>
          <w:color w:val="000000"/>
          <w:lang w:eastAsia="ko-KR"/>
        </w:rPr>
      </w:pPr>
      <w:r w:rsidRPr="00DF4666">
        <w:rPr>
          <w:rFonts w:ascii="Arial" w:eastAsia="SimSun" w:hAnsi="Arial" w:cs="Arial"/>
          <w:color w:val="000000"/>
          <w:lang w:eastAsia="ko-KR"/>
        </w:rPr>
        <w:t>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Core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Team.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(2020).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R: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A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language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and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environment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for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statistical</w:t>
      </w:r>
      <w:r w:rsidR="00330ABE">
        <w:rPr>
          <w:rFonts w:ascii="Arial" w:eastAsia="SimSun" w:hAnsi="Arial" w:cs="Arial"/>
          <w:i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i/>
          <w:color w:val="000000"/>
          <w:lang w:eastAsia="ko-KR"/>
        </w:rPr>
        <w:t>computing.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Foundation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for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Statistical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Computing,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Vienna,</w:t>
      </w:r>
      <w:r w:rsidR="00330ABE">
        <w:rPr>
          <w:rFonts w:ascii="Arial" w:eastAsia="SimSun" w:hAnsi="Arial" w:cs="Arial"/>
          <w:color w:val="000000"/>
          <w:lang w:eastAsia="ko-KR"/>
        </w:rPr>
        <w:t xml:space="preserve"> </w:t>
      </w:r>
      <w:r w:rsidRPr="00DF4666">
        <w:rPr>
          <w:rFonts w:ascii="Arial" w:eastAsia="SimSun" w:hAnsi="Arial" w:cs="Arial"/>
          <w:color w:val="000000"/>
          <w:lang w:eastAsia="ko-KR"/>
        </w:rPr>
        <w:t>Austria.</w:t>
      </w:r>
    </w:p>
    <w:p w14:paraId="094591FB" w14:textId="77777777" w:rsidR="00DF4666" w:rsidRPr="00DF4666" w:rsidRDefault="00DF4666" w:rsidP="00DF4666">
      <w:pPr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br w:type="page"/>
      </w:r>
    </w:p>
    <w:p w14:paraId="4CFE0813" w14:textId="33FC3422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lastRenderedPageBreak/>
        <w:t>Appendix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A1: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School-Level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Stability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and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Accuracy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Results</w:t>
      </w:r>
      <w:r w:rsidR="00330ABE">
        <w:rPr>
          <w:lang w:eastAsia="zh-CN"/>
        </w:rPr>
        <w:t xml:space="preserve"> </w:t>
      </w:r>
    </w:p>
    <w:p w14:paraId="48889C17" w14:textId="47DFC742" w:rsidR="00DF4666" w:rsidRPr="00DF4666" w:rsidRDefault="00DF4666" w:rsidP="00DF4666">
      <w:pPr>
        <w:spacing w:before="480" w:after="120"/>
        <w:textAlignment w:val="baseline"/>
        <w:rPr>
          <w:rFonts w:ascii="Arial" w:hAnsi="Arial" w:cs="Arial"/>
          <w:b/>
          <w:szCs w:val="22"/>
          <w:lang w:eastAsia="zh-CN"/>
        </w:rPr>
      </w:pPr>
      <w:r w:rsidRPr="00DF4666">
        <w:rPr>
          <w:rFonts w:ascii="Arial" w:hAnsi="Arial" w:cs="Arial"/>
          <w:b/>
          <w:szCs w:val="22"/>
          <w:lang w:eastAsia="zh-CN"/>
        </w:rPr>
        <w:t>Table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A</w:t>
      </w:r>
      <w:r w:rsidRPr="00DF4666">
        <w:rPr>
          <w:rFonts w:ascii="Arial" w:hAnsi="Arial" w:cs="Arial"/>
          <w:b/>
          <w:noProof/>
          <w:szCs w:val="22"/>
          <w:lang w:eastAsia="zh-CN"/>
        </w:rPr>
        <w:fldChar w:fldCharType="begin"/>
      </w:r>
      <w:r w:rsidRPr="00DF4666">
        <w:rPr>
          <w:rFonts w:ascii="Arial" w:hAnsi="Arial" w:cs="Arial"/>
          <w:b/>
          <w:noProof/>
          <w:szCs w:val="22"/>
          <w:lang w:eastAsia="zh-CN"/>
        </w:rPr>
        <w:instrText xml:space="preserve"> SEQ Table_A \* ARABIC </w:instrText>
      </w:r>
      <w:r w:rsidRPr="00DF4666">
        <w:rPr>
          <w:rFonts w:ascii="Arial" w:hAnsi="Arial" w:cs="Arial"/>
          <w:b/>
          <w:noProof/>
          <w:szCs w:val="22"/>
          <w:lang w:eastAsia="zh-CN"/>
        </w:rPr>
        <w:fldChar w:fldCharType="separate"/>
      </w:r>
      <w:r w:rsidR="00BC1E6E">
        <w:rPr>
          <w:rFonts w:ascii="Arial" w:hAnsi="Arial" w:cs="Arial"/>
          <w:b/>
          <w:noProof/>
          <w:szCs w:val="22"/>
          <w:lang w:eastAsia="zh-CN"/>
        </w:rPr>
        <w:t>1</w:t>
      </w:r>
      <w:r w:rsidRPr="00DF4666">
        <w:rPr>
          <w:rFonts w:ascii="Arial" w:hAnsi="Arial" w:cs="Arial"/>
          <w:b/>
          <w:noProof/>
          <w:szCs w:val="22"/>
          <w:lang w:eastAsia="zh-CN"/>
        </w:rPr>
        <w:fldChar w:fldCharType="end"/>
      </w:r>
      <w:r w:rsidRPr="00DF4666">
        <w:rPr>
          <w:rFonts w:ascii="Arial" w:hAnsi="Arial" w:cs="Arial"/>
          <w:b/>
          <w:szCs w:val="22"/>
          <w:lang w:eastAsia="zh-CN"/>
        </w:rPr>
        <w:t>.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Cross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Year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Stability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of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the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2018–19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Two-Year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EBLP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Weighted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Average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and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the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Simple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Average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for</w:t>
      </w:r>
      <w:r w:rsidR="00330ABE">
        <w:rPr>
          <w:rFonts w:ascii="Arial" w:hAnsi="Arial" w:cs="Arial"/>
          <w:b/>
          <w:szCs w:val="22"/>
          <w:lang w:eastAsia="zh-CN"/>
        </w:rPr>
        <w:t xml:space="preserve"> </w:t>
      </w:r>
      <w:r w:rsidRPr="00DF4666">
        <w:rPr>
          <w:rFonts w:ascii="Arial" w:hAnsi="Arial" w:cs="Arial"/>
          <w:b/>
          <w:szCs w:val="22"/>
          <w:lang w:eastAsia="zh-CN"/>
        </w:rPr>
        <w:t>Schools</w:t>
      </w:r>
    </w:p>
    <w:tbl>
      <w:tblPr>
        <w:tblStyle w:val="TRtable"/>
        <w:tblW w:w="9396" w:type="dxa"/>
        <w:tblLayout w:type="fixed"/>
        <w:tblLook w:val="04A0" w:firstRow="1" w:lastRow="0" w:firstColumn="1" w:lastColumn="0" w:noHBand="0" w:noVBand="1"/>
        <w:tblDescription w:val="Table A1. Cross Year Stability of the 2018–19 Two-Year Empirical Best Linear Prediction Weighted Average and the Simple Average for Schools."/>
      </w:tblPr>
      <w:tblGrid>
        <w:gridCol w:w="1620"/>
        <w:gridCol w:w="1584"/>
        <w:gridCol w:w="1152"/>
        <w:gridCol w:w="1152"/>
        <w:gridCol w:w="1728"/>
        <w:gridCol w:w="2160"/>
      </w:tblGrid>
      <w:tr w:rsidR="00DF4666" w:rsidRPr="00DE0984" w14:paraId="08FFA99C" w14:textId="77777777" w:rsidTr="00113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  <w:vAlign w:val="bottom"/>
          </w:tcPr>
          <w:p w14:paraId="3BD8FA5E" w14:textId="72FDCA5C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84" w:type="dxa"/>
            <w:vAlign w:val="bottom"/>
          </w:tcPr>
          <w:p w14:paraId="0E09C417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152" w:type="dxa"/>
            <w:vAlign w:val="bottom"/>
          </w:tcPr>
          <w:p w14:paraId="27B454F6" w14:textId="13A37F8B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School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Size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14:paraId="4C2C3A75" w14:textId="492284FD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Schools</w:t>
            </w:r>
          </w:p>
        </w:tc>
        <w:tc>
          <w:tcPr>
            <w:tcW w:w="1728" w:type="dxa"/>
            <w:vAlign w:val="bottom"/>
          </w:tcPr>
          <w:p w14:paraId="57CB7338" w14:textId="3A9F909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Average</w:t>
            </w:r>
          </w:p>
        </w:tc>
        <w:tc>
          <w:tcPr>
            <w:tcW w:w="2160" w:type="dxa"/>
            <w:vAlign w:val="bottom"/>
          </w:tcPr>
          <w:p w14:paraId="33100795" w14:textId="457883FE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2-‍year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EBLP</w:t>
            </w:r>
          </w:p>
        </w:tc>
      </w:tr>
      <w:tr w:rsidR="00DF4666" w:rsidRPr="00DE0984" w14:paraId="19716884" w14:textId="77777777" w:rsidTr="00113A48">
        <w:trPr>
          <w:cantSplit/>
        </w:trPr>
        <w:tc>
          <w:tcPr>
            <w:tcW w:w="1620" w:type="dxa"/>
          </w:tcPr>
          <w:p w14:paraId="531A8E4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</w:tcPr>
          <w:p w14:paraId="3CD1140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</w:tcPr>
          <w:p w14:paraId="3BF95EE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</w:tcPr>
          <w:p w14:paraId="68B9A2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728" w:type="dxa"/>
          </w:tcPr>
          <w:p w14:paraId="349CBEC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</w:tcPr>
          <w:p w14:paraId="7C4FB8C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DE0984" w14:paraId="59A91FF8" w14:textId="77777777" w:rsidTr="00113A48">
        <w:trPr>
          <w:cantSplit/>
        </w:trPr>
        <w:tc>
          <w:tcPr>
            <w:tcW w:w="1620" w:type="dxa"/>
          </w:tcPr>
          <w:p w14:paraId="2EC353E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</w:tcPr>
          <w:p w14:paraId="1677082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</w:tcPr>
          <w:p w14:paraId="6F81B42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</w:tcPr>
          <w:p w14:paraId="5DEA69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2142</w:t>
            </w:r>
          </w:p>
        </w:tc>
        <w:tc>
          <w:tcPr>
            <w:tcW w:w="1728" w:type="dxa"/>
          </w:tcPr>
          <w:p w14:paraId="04D8B2A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</w:tcPr>
          <w:p w14:paraId="084BA9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</w:tr>
      <w:tr w:rsidR="00DF4666" w:rsidRPr="00DE0984" w14:paraId="23BADC79" w14:textId="77777777" w:rsidTr="00113A4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14:paraId="483C428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AD0782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A9D49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F2BDA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4989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062BE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721B8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67C1BA50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2A8E58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347B12A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7087BF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2C3BC8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4A2363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AA645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E0984" w14:paraId="0D703401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0E1581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6A236C8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C0732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B3613A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2146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49C0A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1419E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40C83C10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487BAD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617B7F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6F8CA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16C60B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4986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55C625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D9824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E0984" w14:paraId="372DF6C5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CB5141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9D1A8B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B42BB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A2554C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1245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053213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6D2ECA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75F5EA37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960B98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EB9972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0E9895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A47A3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964DD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D86C30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7A551CFA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62743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5B4357E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1903C9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57065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1244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405502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AE1FA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2ED7917D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E45A07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02A335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DFFCA2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8FBDD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017586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4AC3E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3557BA00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1EF53B2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40EBBF2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2F10BA7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2FCDEBB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09D914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7F4CC8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2C63D22E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0187731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4457BC3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74DD131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6031BDE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6F50416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74E911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DE0984" w14:paraId="4F8A348E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C82FC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1814701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631D86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7EBE2D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1124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60D50C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8458E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2E76A20E" w14:textId="77777777" w:rsidTr="00113A48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040F067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bottom w:val="nil"/>
            </w:tcBorders>
          </w:tcPr>
          <w:p w14:paraId="4F78367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51CE12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69B8E19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1211</w:t>
            </w:r>
          </w:p>
        </w:tc>
        <w:tc>
          <w:tcPr>
            <w:tcW w:w="1728" w:type="dxa"/>
            <w:tcBorders>
              <w:bottom w:val="nil"/>
            </w:tcBorders>
          </w:tcPr>
          <w:p w14:paraId="74B25E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bottom w:val="nil"/>
            </w:tcBorders>
          </w:tcPr>
          <w:p w14:paraId="79EDAF9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7B2B6EE7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833B75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30D970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B674B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4C629D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113FACE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2D9735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E0984" w14:paraId="64967322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C4A95F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46917B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EBF137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735B2D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1124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0BE4BD3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13C62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27FDDCD1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7ACBC80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76C584D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28707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13F29C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F32A9A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5A28CB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E0984" w14:paraId="58FFE1F0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510D139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7DB4931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37CBFE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3DA47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57E854E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70EAC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  <w:tr w:rsidR="00DF4666" w:rsidRPr="00DE0984" w14:paraId="471D1C2E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6B8BA02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68C14E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70B54E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8C54A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43D3AAB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A48D4E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0.45</w:t>
            </w:r>
          </w:p>
        </w:tc>
      </w:tr>
      <w:tr w:rsidR="00DF4666" w:rsidRPr="00DE0984" w14:paraId="2E9066D6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2CEDE4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5318A1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88BF8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CC9971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7CB68E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27DC8E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1727CC62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4C5E65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721F3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C75AE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9AAFB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F8BFCC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86C8B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0D5FB997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CD877C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779207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CDFF8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743D3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5009E92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74140C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E0984" w14:paraId="3A7E3558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2C5F836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7413DC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CEB744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FD792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0C1229F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FDFDF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16EF1FFC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16D14F7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76E1F0D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4E1C1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3CDD6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3453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AA2B3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ECAD8E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28CF9A8E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EAABDC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73F036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771B81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0B137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2631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9B8A8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C13A5E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E0984" w14:paraId="7C2020D4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F6910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3C99B41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F9EA9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4D4AB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DC82A2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30619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13F8DC8E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7798530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9B5667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F27DA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6F5B4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3453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B1274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0.36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E1197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E0984" w14:paraId="73D4CD88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D31E19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DA84BE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C75966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61860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2630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02BF8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1F58AA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254B3258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45DDC25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PI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67750E5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10B338A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469148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4EA448B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F8611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</w:tr>
      <w:tr w:rsidR="00DF4666" w:rsidRPr="00DE0984" w14:paraId="03C38972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50D7254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68BDB6F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5120CE9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72A32F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795AAE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26D63B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E0984" w14:paraId="53038CF6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7F7C8D1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83C96E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776BC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11D8EB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1216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05F80A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17C3F10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1C24A13B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4A43A2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1FB4EFE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B6566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C1A7C6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2754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F22E93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959913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DF4666" w:rsidRPr="00DE0984" w14:paraId="469B4629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44A1B6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A09A5B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F26536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C59DFD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2EEE3E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4EE576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47F70112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DDF5A8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0CA0B9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CF535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6011A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634F49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3C42C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61E6C23A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69F0F8A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C80658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4C3C8B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5F87B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2752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8B47D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F3290B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E0984" w14:paraId="2DC07C71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CB60DA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1F37813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F63D2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37FE3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7C50E7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6E080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DE0984" w14:paraId="6FD234B3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4C72C66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A33397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A3032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6210CE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1323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2CF97A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79E20B2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3E4CAB4A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E3CA1F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71DC8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CB160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BC437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31A270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FB5D8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4A08C30A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1E5401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17B8973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F8E67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527AA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1324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4DC3AF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72D25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674DC601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D2F29A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55DCF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AEA4C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99233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68CF01E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888E8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E0984" w14:paraId="34DB3D0F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2DB2065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1A9A8E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4C2288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79863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1091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C3D97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1FBD3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E0984" w14:paraId="54922328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59C244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CDA950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8942D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7A04A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3913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B59D34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00B17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E0984" w14:paraId="6238DFFB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55B873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35EAF4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2772B6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0C81A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7A7E10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E710E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E0984" w14:paraId="14E95B0A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AF59D0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7B956D7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E94F4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3759C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1087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1FE38E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0DA61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E0984" w14:paraId="15723420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57565C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7352FA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E72CB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5023E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3916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225E24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0.45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26706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E0984" w14:paraId="4235660A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5946634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7C5A6D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435621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F001B9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1348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22F3B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90BBBE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DE0984" w14:paraId="5C90D655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1598598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10AFB6B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000303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24683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1620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4625FCD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3A61FF6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E0984" w14:paraId="09F12099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3B7B5DA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6C3F92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73922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5E6EB5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16DE9D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5599D3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322DD430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27C4A5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53D1E1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4B7FF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1C229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70AD3E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15698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E0984" w14:paraId="50D2F203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3320D4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52334BF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4F5CB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48F8A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1621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01C1A1B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C652F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644619ED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479B316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7C263B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777C7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93A0F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3301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367A7B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A99405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E0984" w14:paraId="041C2944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05D8E8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03103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357333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35504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FA020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D006B2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515F52B4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4767C49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72EE634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E633CA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01AFD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1854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266DBD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5B150B4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24173E01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50F493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1B9C3B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E954E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0E0CA2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3241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AB8FEA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0F4D5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E0984" w14:paraId="1A90EAA4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AB26AB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9B45A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6EE81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6F780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FFE0A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FEE78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E0984" w14:paraId="0EB232F7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48654E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70739B5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E1A999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7D8318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1853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96261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E3B94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DF4666" w:rsidRPr="00DE0984" w14:paraId="7C939933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6559E28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4553D9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528F28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EECAD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3243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8C0A2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12B136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</w:tr>
      <w:tr w:rsidR="00DF4666" w:rsidRPr="00DE0984" w14:paraId="6A392BE5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5692A5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6E8B47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039E3D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7E70E9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762896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E3389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E0984" w14:paraId="61018DFD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2E55EE8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31AC479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94385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E75008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9A12BE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571F25F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60CB1480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13B101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88F5B6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EB264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CD397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4145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C7810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51CE6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5F6CAAFC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9DE6A8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EO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4A9E32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47C6A1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3FFF3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2519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D1AAC6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355D8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1D7F589F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6E8818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00BEEFA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7FD26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5C44D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6CAAF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8B1F1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030269B6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3977817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8AF54F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95AE5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F22C5D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4153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40DF79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6DF63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3153CA23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E9E1DF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62F17FE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5C592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7828B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2510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1624B24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18D7FE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E0984" w14:paraId="6F2A42A1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767E6CC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B1F830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32F380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29AAAE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429A66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3856A5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DF4666" w:rsidRPr="00DE0984" w14:paraId="005CC22E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434B206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426403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A7A7E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85042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3423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A0E90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BC85B2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</w:tr>
      <w:tr w:rsidR="00DF4666" w:rsidRPr="00DE0984" w14:paraId="1F8D61DB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192136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BFE8B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F28F12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0B982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3067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17CF331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2E829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E0984" w14:paraId="4B171A3F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DEFCB2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43526C2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C0C79E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5AD42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32EE285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58D5C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DF4666" w:rsidRPr="00DE0984" w14:paraId="246EA24B" w14:textId="77777777" w:rsidTr="00113A48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5056B75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9C4068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03C44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327AC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3428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416A5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3EA73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45D05972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354E47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ACEC06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8B797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63C7E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3060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9DFA5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3E366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12D8E0AF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6504432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F90253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7F0EC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0AFA5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3205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2D7F4FF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82BC95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</w:tr>
      <w:tr w:rsidR="00DF4666" w:rsidRPr="00DE0984" w14:paraId="673E4AFF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53062A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C44982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E8DC5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FE21F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3025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0D5BB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28A1B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E0984" w14:paraId="287DCB73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BD00C5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5775B76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A08B4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B125D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3210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AAA98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DAD32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0.36</w:t>
            </w:r>
          </w:p>
        </w:tc>
      </w:tr>
      <w:tr w:rsidR="00DF4666" w:rsidRPr="00DE0984" w14:paraId="5B8A940D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CF2C20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80AA32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B218E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158E02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3019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799BA5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33AA2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0.36</w:t>
            </w:r>
          </w:p>
        </w:tc>
      </w:tr>
      <w:tr w:rsidR="00DF4666" w:rsidRPr="00DE0984" w14:paraId="6191F433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6E5EAB0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40D3685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0956616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51E405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33C1A76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-0.02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27401C7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</w:tr>
      <w:tr w:rsidR="00DF4666" w:rsidRPr="00DE0984" w14:paraId="172B1B5E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37522D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66BACDC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27750B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504FE6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245895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-0.35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7571508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</w:tr>
      <w:tr w:rsidR="00DF4666" w:rsidRPr="00DE0984" w14:paraId="0456D774" w14:textId="77777777" w:rsidTr="00113A48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6BC5B43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1A9ED43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A3FBA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9DF41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64D0B4E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35B88F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39F05E41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2942C0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96A96F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92E23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A18825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94C402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D470D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E0984" w14:paraId="1B3DBD75" w14:textId="77777777" w:rsidTr="00113A48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55CB8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10DE61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D4228D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E25004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0C8813D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B6DB8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4716ADE7" w14:textId="77777777" w:rsidTr="00113A48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A99E17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6C6B28E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60E34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9F113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07772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15DD0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</w:tbl>
    <w:p w14:paraId="2A08E399" w14:textId="26C5FFC1" w:rsidR="00B11E94" w:rsidRDefault="00DF4666" w:rsidP="00902D74">
      <w:pPr>
        <w:numPr>
          <w:ilvl w:val="0"/>
          <w:numId w:val="27"/>
        </w:numPr>
        <w:spacing w:before="120" w:after="120"/>
        <w:textAlignment w:val="baseline"/>
        <w:rPr>
          <w:rFonts w:ascii="Arial" w:hAnsi="Arial" w:cs="Arial"/>
        </w:rPr>
      </w:pP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bins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grades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  <w:i/>
        </w:rPr>
        <w:t>both</w:t>
      </w:r>
      <w:r w:rsidR="00330ABE">
        <w:rPr>
          <w:rFonts w:ascii="Arial" w:hAnsi="Arial" w:cs="Arial"/>
          <w:i/>
        </w:rPr>
        <w:t xml:space="preserve"> </w:t>
      </w:r>
      <w:r w:rsidRPr="00DE0984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bin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  <w:color w:val="0000FF"/>
          <w:u w:val="single"/>
        </w:rPr>
        <w:fldChar w:fldCharType="begin"/>
      </w:r>
      <w:r w:rsidRPr="00DE0984">
        <w:rPr>
          <w:rFonts w:ascii="Arial" w:hAnsi="Arial" w:cs="Arial"/>
          <w:color w:val="0000FF"/>
          <w:u w:val="single"/>
        </w:rPr>
        <w:instrText xml:space="preserve"> REF _Ref57636934 \h </w:instrText>
      </w:r>
      <w:r w:rsidR="00DE0984">
        <w:rPr>
          <w:rFonts w:ascii="Arial" w:hAnsi="Arial" w:cs="Arial"/>
          <w:color w:val="0000FF"/>
          <w:u w:val="single"/>
        </w:rPr>
        <w:instrText xml:space="preserve"> \* MERGEFORMAT </w:instrText>
      </w:r>
      <w:r w:rsidRPr="00DE0984">
        <w:rPr>
          <w:rFonts w:ascii="Arial" w:hAnsi="Arial" w:cs="Arial"/>
          <w:color w:val="0000FF"/>
          <w:u w:val="single"/>
        </w:rPr>
      </w:r>
      <w:r w:rsidRPr="00DE0984">
        <w:rPr>
          <w:rFonts w:ascii="Arial" w:hAnsi="Arial" w:cs="Arial"/>
          <w:color w:val="0000FF"/>
          <w:u w:val="single"/>
        </w:rPr>
        <w:fldChar w:fldCharType="separate"/>
      </w:r>
      <w:r w:rsidR="00BC1E6E" w:rsidRPr="00BC1E6E">
        <w:rPr>
          <w:rFonts w:ascii="Arial" w:hAnsi="Arial" w:cs="Arial"/>
        </w:rPr>
        <w:t>Table</w:t>
      </w:r>
      <w:r w:rsidR="00330ABE">
        <w:rPr>
          <w:rFonts w:ascii="Arial" w:hAnsi="Arial" w:cs="Arial"/>
        </w:rPr>
        <w:t xml:space="preserve"> </w:t>
      </w:r>
      <w:r w:rsidR="00BC1E6E" w:rsidRPr="00BC1E6E">
        <w:rPr>
          <w:rFonts w:ascii="Arial" w:hAnsi="Arial" w:cs="Arial"/>
        </w:rPr>
        <w:t>A2</w:t>
      </w:r>
      <w:r w:rsidRPr="00DE0984">
        <w:rPr>
          <w:rFonts w:ascii="Arial" w:hAnsi="Arial" w:cs="Arial"/>
          <w:color w:val="0000FF"/>
          <w:u w:val="single"/>
        </w:rPr>
        <w:fldChar w:fldCharType="end"/>
      </w:r>
      <w:r w:rsidRPr="00DE0984">
        <w:rPr>
          <w:rFonts w:ascii="Arial" w:hAnsi="Arial" w:cs="Arial"/>
        </w:rPr>
        <w:t>–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years.</w:t>
      </w:r>
    </w:p>
    <w:p w14:paraId="296387B8" w14:textId="6DB1A1EB" w:rsidR="00DF4666" w:rsidRPr="00B11E94" w:rsidRDefault="00B11E94" w:rsidP="00B11E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102133" w14:textId="4F95F370" w:rsidR="00DF4666" w:rsidRPr="00914A77" w:rsidRDefault="00DF4666" w:rsidP="00914A77">
      <w:pPr>
        <w:spacing w:before="240" w:after="240"/>
        <w:textAlignment w:val="baseline"/>
        <w:rPr>
          <w:rFonts w:ascii="Arial" w:hAnsi="Arial" w:cs="Arial"/>
          <w:b/>
          <w:bCs/>
        </w:rPr>
      </w:pPr>
      <w:bookmarkStart w:id="65" w:name="_Ref57636934"/>
      <w:bookmarkStart w:id="66" w:name="_Ref57636930"/>
      <w:r w:rsidRPr="00914A77">
        <w:rPr>
          <w:rFonts w:ascii="Arial" w:hAnsi="Arial" w:cs="Arial"/>
          <w:b/>
          <w:bCs/>
        </w:rPr>
        <w:lastRenderedPageBreak/>
        <w:t>Table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</w:t>
      </w:r>
      <w:r w:rsidRPr="00914A77">
        <w:rPr>
          <w:rFonts w:ascii="Arial" w:hAnsi="Arial" w:cs="Arial"/>
          <w:b/>
          <w:bCs/>
          <w:noProof/>
        </w:rPr>
        <w:fldChar w:fldCharType="begin"/>
      </w:r>
      <w:r w:rsidRPr="00914A77">
        <w:rPr>
          <w:rFonts w:ascii="Arial" w:hAnsi="Arial" w:cs="Arial"/>
          <w:b/>
          <w:bCs/>
          <w:noProof/>
        </w:rPr>
        <w:instrText xml:space="preserve"> SEQ Table_A \* ARABIC </w:instrText>
      </w:r>
      <w:r w:rsidRPr="00914A77">
        <w:rPr>
          <w:rFonts w:ascii="Arial" w:hAnsi="Arial" w:cs="Arial"/>
          <w:b/>
          <w:bCs/>
          <w:noProof/>
        </w:rPr>
        <w:fldChar w:fldCharType="separate"/>
      </w:r>
      <w:r w:rsidR="00BC1E6E" w:rsidRPr="00914A77">
        <w:rPr>
          <w:rFonts w:ascii="Arial" w:hAnsi="Arial" w:cs="Arial"/>
          <w:b/>
          <w:bCs/>
          <w:noProof/>
        </w:rPr>
        <w:t>2</w:t>
      </w:r>
      <w:r w:rsidRPr="00914A77">
        <w:rPr>
          <w:rFonts w:ascii="Arial" w:hAnsi="Arial" w:cs="Arial"/>
          <w:b/>
          <w:bCs/>
          <w:noProof/>
        </w:rPr>
        <w:fldChar w:fldCharType="end"/>
      </w:r>
      <w:bookmarkEnd w:id="65"/>
      <w:r w:rsidRPr="00914A77">
        <w:rPr>
          <w:rFonts w:ascii="Arial" w:hAnsi="Arial" w:cs="Arial"/>
          <w:b/>
          <w:bCs/>
        </w:rPr>
        <w:t>.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Improvement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in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Accuracy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of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Growth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Estimates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Using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Two-Year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EBLP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Weighted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Versus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Simple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School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Level</w:t>
      </w:r>
      <w:bookmarkEnd w:id="66"/>
    </w:p>
    <w:tbl>
      <w:tblPr>
        <w:tblStyle w:val="TRtable"/>
        <w:tblW w:w="9396" w:type="dxa"/>
        <w:tblLayout w:type="fixed"/>
        <w:tblLook w:val="04A0" w:firstRow="1" w:lastRow="0" w:firstColumn="1" w:lastColumn="0" w:noHBand="0" w:noVBand="1"/>
        <w:tblDescription w:val="Table A2. Improvement in Accuracy of Growth Estimates Using Two-Year Empirical Best Linear Prediction Weighted Averages Versus Simple Averages at the School Level. "/>
      </w:tblPr>
      <w:tblGrid>
        <w:gridCol w:w="1620"/>
        <w:gridCol w:w="1584"/>
        <w:gridCol w:w="1152"/>
        <w:gridCol w:w="1152"/>
        <w:gridCol w:w="1728"/>
        <w:gridCol w:w="2160"/>
      </w:tblGrid>
      <w:tr w:rsidR="00DF4666" w:rsidRPr="00DE0984" w14:paraId="0EED9A26" w14:textId="77777777" w:rsidTr="004D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  <w:vAlign w:val="bottom"/>
          </w:tcPr>
          <w:p w14:paraId="2FD67958" w14:textId="17772490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84" w:type="dxa"/>
            <w:vAlign w:val="bottom"/>
          </w:tcPr>
          <w:p w14:paraId="51F9FA50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152" w:type="dxa"/>
            <w:vAlign w:val="bottom"/>
          </w:tcPr>
          <w:p w14:paraId="7E04A4A1" w14:textId="49EB6C76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School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Size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14:paraId="132C9EF7" w14:textId="07A85B9A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Schools</w:t>
            </w:r>
          </w:p>
        </w:tc>
        <w:tc>
          <w:tcPr>
            <w:tcW w:w="1728" w:type="dxa"/>
            <w:vAlign w:val="bottom"/>
          </w:tcPr>
          <w:p w14:paraId="31DB218E" w14:textId="06582D90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Mean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Ratio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for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2-‍year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EBLP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vs.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Average</w:t>
            </w:r>
          </w:p>
        </w:tc>
        <w:tc>
          <w:tcPr>
            <w:tcW w:w="2160" w:type="dxa"/>
            <w:vAlign w:val="bottom"/>
          </w:tcPr>
          <w:p w14:paraId="3EA3046D" w14:textId="713B3DCB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Percentage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Schools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with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Improved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for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2-‍year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EBLP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vs.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Average</w:t>
            </w:r>
          </w:p>
        </w:tc>
      </w:tr>
      <w:tr w:rsidR="00DF4666" w:rsidRPr="00DE0984" w14:paraId="35466321" w14:textId="77777777" w:rsidTr="004D0704">
        <w:trPr>
          <w:cantSplit/>
        </w:trPr>
        <w:tc>
          <w:tcPr>
            <w:tcW w:w="1620" w:type="dxa"/>
          </w:tcPr>
          <w:p w14:paraId="4C3F616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</w:tcPr>
          <w:p w14:paraId="3688455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</w:tcPr>
          <w:p w14:paraId="24DA13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</w:tcPr>
          <w:p w14:paraId="5D307B6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728" w:type="dxa"/>
          </w:tcPr>
          <w:p w14:paraId="27FA1B4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</w:tcPr>
          <w:p w14:paraId="40F5EB0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26C46EB" w14:textId="77777777" w:rsidTr="004D0704">
        <w:trPr>
          <w:cantSplit/>
        </w:trPr>
        <w:tc>
          <w:tcPr>
            <w:tcW w:w="1620" w:type="dxa"/>
          </w:tcPr>
          <w:p w14:paraId="6855BEE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</w:tcPr>
          <w:p w14:paraId="3C8A976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</w:tcPr>
          <w:p w14:paraId="2BDF87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</w:tcPr>
          <w:p w14:paraId="394B5F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2172</w:t>
            </w:r>
          </w:p>
        </w:tc>
        <w:tc>
          <w:tcPr>
            <w:tcW w:w="1728" w:type="dxa"/>
          </w:tcPr>
          <w:p w14:paraId="1B8FEA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2160" w:type="dxa"/>
          </w:tcPr>
          <w:p w14:paraId="7B276C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DDABF35" w14:textId="77777777" w:rsidTr="004D0704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14:paraId="7EE974D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D355E2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369375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67DABA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5019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E2FCA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A8650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426C992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1BE60F8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3EE552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945B2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1D70F5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027459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4A39F6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01E5133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6F0FDBC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E6E3C4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60C310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CC10E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2176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54945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6FF6D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1EB0202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61DC77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6F7A64C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5789E2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F5713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5016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0A8A987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2076C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6651861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FB90A3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58CA3B7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1575F3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FED139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1421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7515EB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64F7ED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9720F64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F650C9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2A1D8E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60ABEA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541EB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D0217C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45845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E0984" w14:paraId="55DBF194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7C533E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13646D0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EB745B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7F947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1417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1466B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1.72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5840C6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8D42397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1CF9CC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4BE21E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D26BFB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29640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39391B5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1.41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EDB298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E0984" w14:paraId="2C658ADF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1D6616A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707F9A0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6A44A91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67182A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2531CA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23E55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E0984" w14:paraId="169C4CAC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4E8D55C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1F203F5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332B69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23721C1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6BAB5A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1.84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27C6F4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</w:tr>
      <w:tr w:rsidR="00DF4666" w:rsidRPr="00DE0984" w14:paraId="5C0B0340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536301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0AE082E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620AC4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14:paraId="522F302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7757D2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1.61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F2C28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6D7F75E" w14:textId="77777777" w:rsidTr="004D0704">
        <w:trPr>
          <w:cantSplit/>
        </w:trPr>
        <w:tc>
          <w:tcPr>
            <w:tcW w:w="1620" w:type="dxa"/>
            <w:tcBorders>
              <w:bottom w:val="nil"/>
            </w:tcBorders>
          </w:tcPr>
          <w:p w14:paraId="2D8882B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bottom w:val="nil"/>
            </w:tcBorders>
          </w:tcPr>
          <w:p w14:paraId="690AB55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bottom w:val="nil"/>
            </w:tcBorders>
          </w:tcPr>
          <w:p w14:paraId="5ADB99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bottom w:val="nil"/>
            </w:tcBorders>
          </w:tcPr>
          <w:p w14:paraId="35A84D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1219</w:t>
            </w:r>
          </w:p>
        </w:tc>
        <w:tc>
          <w:tcPr>
            <w:tcW w:w="1728" w:type="dxa"/>
            <w:tcBorders>
              <w:bottom w:val="nil"/>
            </w:tcBorders>
          </w:tcPr>
          <w:p w14:paraId="14B017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bottom w:val="nil"/>
            </w:tcBorders>
          </w:tcPr>
          <w:p w14:paraId="429205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2F54F36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639CDD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29A217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E01EDA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B07E8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97BFB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4790D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DF4666" w:rsidRPr="00DE0984" w14:paraId="7BC0BAB9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7EC8EA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192973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64CAF8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6F7AEE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1296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06FCD4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C7E138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7C64AFE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2BC8356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AB4B2E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1408B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42E0A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1220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566182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8B8E2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AEC0D67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D37ECC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35838DE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2E770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3E0E27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755CBA7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16A026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E0984" w14:paraId="0547234F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2CCB01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02FD1CC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34678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1830D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BAACA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1.52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2334E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D150B11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52234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C5269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09E03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8F9AB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D2DAC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C470E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B743103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B566B0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D5411C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D3AE86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7F324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75D464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0125C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D133992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0388F9B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38E088B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8EAC1C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117F61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0F477B5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4535C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AF40CA0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7594872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5E12D43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36325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DA681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57D33A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1.61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5D665C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9430628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3F951F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6F3E43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586A25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90DC7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3478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0B7F80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CB28F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01AC55E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B501B3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B30584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8B88D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B2A15B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2645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388FEC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45F1E5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0DB2989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2E128CF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18B726E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55BCB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6D8888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9FC034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416FC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E334680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32D552C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CD44B6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75D2B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C603D8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3478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32401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7673A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FCF6EE7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02489D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34C817A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B403DC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A8DF8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2644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6370A8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4035B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9E89AB0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13DE5BA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546DDC7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15AEDAA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70071F5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5C4960C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612CA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8F4A201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0B82FED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3B76909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4E94A8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381994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486F57C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1.90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7286D05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5E20B47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1BF7E3F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WH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0FF07DC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815097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A19D8F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1395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4CA5BD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1.55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D55211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F5C8BC8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1BD7599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2F93E10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72D6D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4C49B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2778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59C844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08AFEC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8A3D350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C6B44A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A36BCE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0FA914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7A4786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7BAC144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392FA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EE8DE53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FEE6BD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48AC17C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D1842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76BFA8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1398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31A6495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3592B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DC91A1A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66A5D3A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2B625D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0D626A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294EEE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2776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69E84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A5158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6BCF5B6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46FB18B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9EFB99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6CB078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8FA77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BC7F9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1B278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C0A3074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A2B309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45F4EDA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604DC1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200C2C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23C9D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3A80034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68D11E60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DF1A96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AFDD24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4677D3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E0008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625719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2699DA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6DA9B0D5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987308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125C805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1B505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89E86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1598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149A13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75D7AA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5B7DBCA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1F1C5B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33A5AA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0B40D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67CDC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F182EC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DC83C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E8D375D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69779C8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CBD30E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109CE6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0413A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1194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017BEF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1.63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A926D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EDD416B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7A91B0B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235D22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5CB3C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0E234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3937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10C77B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5891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A60A1B1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92360F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D4CAF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201999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26E770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1357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42D8DEF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4EFB0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496FBAE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827DED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2C9D9CC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59445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1442C1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1189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601318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79E72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1AE524B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5F42397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AA49D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83DBB1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3400F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3940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BA110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CFC2F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BF208AB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797D41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6B191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515F6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68D9D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1355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11F160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741C47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ABA2044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0F43928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E58985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7D7FE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439C2B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1867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46EEB9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F5C80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E52AB02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417496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0CE4A0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4FBB3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728133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3322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57750C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07332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282AA46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477204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91D1DC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D0B3B2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2E9DA7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506E7B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98370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7D0FBF6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9CADE0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26B384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FDD3C8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756849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1869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3CE63A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6762793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3440CEF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375EE30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E39965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24A0E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E0AFA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3321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462A3D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D8506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E3AF154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4B10B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4725903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71BA8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B224B3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7DAB4A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2F58D6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A83D2E8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649278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F7EB51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AF548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EEB7C5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4B0D082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DFE295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7538FF3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1E3ED6E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6BC69CA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D758D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1BCED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3260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27F5AA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687EB1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3E427A6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BC6440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02BB5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07DAFE7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7620B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77163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410CF0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D43F615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52D1E3C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591CD07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17555E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D6CF9A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68B320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AE98F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964A3AF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23443BD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BB7F05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A8BCF3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09823E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3262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7A628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C7F44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C15EF9B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24E875A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4F62B9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2F1E7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453844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1AAF213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4B9A5E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87B6A28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70960EE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47C7C9F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69B7B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25DC7E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6F411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2C61A1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6CE4EB21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71A44EE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4773F3F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6635B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CB128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4182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36401B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EA1B68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D9DA687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51D3BC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D8A7B8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74B20C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6D95E9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2535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2B2A03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5D313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07F87B8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40A3FA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4839468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854A1B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1CC7A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5C8C8FC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1.45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774A2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D26DC54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67868E1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EO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3005BFB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79925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939CA6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4190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391799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96119C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1CA717C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56DF781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560E70F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3102A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1E4476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2526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37AE8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5D3EEB0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BDBD9E8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5E70800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1CEB9E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61A29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04A73A3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1E700D5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1.54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BBBBA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510E9FE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3C438AC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630952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0D668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C751D2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3455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03ECECD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345BA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C84B8CC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4ED63C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21AA7F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3AA3E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53999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3085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2DD48D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E35AEE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BFCDC7B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0AB2703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7A8866A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5DD782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2FC163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290420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E5849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73591C3" w14:textId="77777777" w:rsidTr="004D0704">
        <w:trPr>
          <w:cantSplit/>
        </w:trPr>
        <w:tc>
          <w:tcPr>
            <w:tcW w:w="1620" w:type="dxa"/>
            <w:tcBorders>
              <w:top w:val="nil"/>
              <w:bottom w:val="nil"/>
            </w:tcBorders>
          </w:tcPr>
          <w:p w14:paraId="6EA321F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0359EA6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B83235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0EFFFA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3460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72304A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1A1CC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F418099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5D25D74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FC0BF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70778D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35876D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3078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7866F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6B6F133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50A919A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2EEF300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2912F44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57314EC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19A841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3436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66E396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441AD92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33F3AF9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1809D4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E1DBE6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261F20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131EA0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3041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18F54E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5E37D0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4D3151E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3BC6315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3D60542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3899C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41460B7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3440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373348D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57F6F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DF70909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70DDF4D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0E07C1B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AA048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520846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3034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2297F7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3B0E48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704D7C8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14:paraId="792257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358FB39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64E940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</w:tcPr>
          <w:p w14:paraId="634B4C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14:paraId="5AC773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30A362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5566627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5FD6CCC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</w:tcPr>
          <w:p w14:paraId="4E79CB5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317A065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31532E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14:paraId="5F2AA8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0280E1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FCD4FC1" w14:textId="77777777" w:rsidTr="004D0704">
        <w:trPr>
          <w:cantSplit/>
        </w:trPr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7E99AA6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12" w:space="0" w:color="auto"/>
              <w:bottom w:val="nil"/>
            </w:tcBorders>
          </w:tcPr>
          <w:p w14:paraId="682C1AA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7F0720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12" w:space="0" w:color="auto"/>
              <w:bottom w:val="nil"/>
            </w:tcBorders>
          </w:tcPr>
          <w:p w14:paraId="4F6F2D8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1093</w:t>
            </w:r>
          </w:p>
        </w:tc>
        <w:tc>
          <w:tcPr>
            <w:tcW w:w="1728" w:type="dxa"/>
            <w:tcBorders>
              <w:top w:val="single" w:sz="12" w:space="0" w:color="auto"/>
              <w:bottom w:val="nil"/>
            </w:tcBorders>
          </w:tcPr>
          <w:p w14:paraId="77332C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1.47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</w:tcPr>
          <w:p w14:paraId="0133804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964AE9C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27973C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85BAEB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304B5A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14:paraId="55D2686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14:paraId="03FBE36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14FB1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26D6B7E" w14:textId="77777777" w:rsidTr="004D0704">
        <w:trPr>
          <w:cantSplit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468B65D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</w:tcPr>
          <w:p w14:paraId="6CCFF5A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010EDE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14:paraId="327149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14:paraId="3F1B48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14AAAA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D0436BC" w14:textId="77777777" w:rsidTr="004D0704">
        <w:trPr>
          <w:cantSplit/>
        </w:trPr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14:paraId="6AC1AF9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4" w:type="dxa"/>
            <w:tcBorders>
              <w:top w:val="nil"/>
              <w:bottom w:val="single" w:sz="12" w:space="0" w:color="auto"/>
            </w:tcBorders>
          </w:tcPr>
          <w:p w14:paraId="237A26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20268C6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≥30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</w:tcPr>
          <w:p w14:paraId="01E50B5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728" w:type="dxa"/>
            <w:tcBorders>
              <w:top w:val="nil"/>
              <w:bottom w:val="single" w:sz="12" w:space="0" w:color="auto"/>
            </w:tcBorders>
          </w:tcPr>
          <w:p w14:paraId="4AF0936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</w:tcPr>
          <w:p w14:paraId="0A5369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65B4AA34" w14:textId="3F14BFFA" w:rsidR="00DF4666" w:rsidRPr="00DF4666" w:rsidRDefault="00DF4666" w:rsidP="00914A77">
      <w:pPr>
        <w:numPr>
          <w:ilvl w:val="0"/>
          <w:numId w:val="28"/>
        </w:numPr>
        <w:spacing w:before="240"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schools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</w:p>
    <w:p w14:paraId="5EF279E9" w14:textId="77777777" w:rsidR="00DF4666" w:rsidRPr="00DF4666" w:rsidRDefault="00DF4666" w:rsidP="00DF4666">
      <w:pPr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br w:type="page"/>
      </w:r>
    </w:p>
    <w:p w14:paraId="173BC480" w14:textId="165CAA02" w:rsidR="00DF4666" w:rsidRPr="00DF4666" w:rsidRDefault="00DF4666" w:rsidP="00914A77">
      <w:pPr>
        <w:pStyle w:val="Heading4"/>
        <w:rPr>
          <w:lang w:eastAsia="zh-CN"/>
        </w:rPr>
      </w:pPr>
      <w:r w:rsidRPr="00DF4666">
        <w:rPr>
          <w:lang w:eastAsia="zh-CN"/>
        </w:rPr>
        <w:lastRenderedPageBreak/>
        <w:t>Appendix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A2: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LEA-Level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Stability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and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Accuracy</w:t>
      </w:r>
      <w:r w:rsidR="00330ABE">
        <w:rPr>
          <w:lang w:eastAsia="zh-CN"/>
        </w:rPr>
        <w:t xml:space="preserve"> </w:t>
      </w:r>
      <w:r w:rsidRPr="00DF4666">
        <w:rPr>
          <w:lang w:eastAsia="zh-CN"/>
        </w:rPr>
        <w:t>Results</w:t>
      </w:r>
      <w:r w:rsidR="00330ABE">
        <w:rPr>
          <w:lang w:eastAsia="zh-CN"/>
        </w:rPr>
        <w:t xml:space="preserve"> </w:t>
      </w:r>
    </w:p>
    <w:p w14:paraId="6AEE28B5" w14:textId="7E89CE68" w:rsidR="00DF4666" w:rsidRPr="00914A77" w:rsidRDefault="00DF4666" w:rsidP="00914A77">
      <w:pPr>
        <w:spacing w:before="240" w:after="240"/>
        <w:textAlignment w:val="baseline"/>
        <w:rPr>
          <w:rFonts w:ascii="Arial" w:hAnsi="Arial" w:cs="Arial"/>
          <w:b/>
          <w:bCs/>
        </w:rPr>
      </w:pPr>
      <w:r w:rsidRPr="00914A77">
        <w:rPr>
          <w:rFonts w:ascii="Arial" w:hAnsi="Arial" w:cs="Arial"/>
          <w:b/>
          <w:bCs/>
        </w:rPr>
        <w:t>Table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B</w:t>
      </w:r>
      <w:r w:rsidRPr="00914A77">
        <w:rPr>
          <w:rFonts w:ascii="Arial" w:hAnsi="Arial" w:cs="Arial"/>
          <w:b/>
          <w:bCs/>
        </w:rPr>
        <w:fldChar w:fldCharType="begin"/>
      </w:r>
      <w:r w:rsidRPr="00914A77">
        <w:rPr>
          <w:rFonts w:ascii="Arial" w:hAnsi="Arial" w:cs="Arial"/>
          <w:b/>
          <w:bCs/>
        </w:rPr>
        <w:instrText>SEQ Table_B \* ARABIC</w:instrText>
      </w:r>
      <w:r w:rsidRPr="00914A77">
        <w:rPr>
          <w:rFonts w:ascii="Arial" w:hAnsi="Arial" w:cs="Arial"/>
          <w:b/>
          <w:bCs/>
        </w:rPr>
        <w:fldChar w:fldCharType="separate"/>
      </w:r>
      <w:r w:rsidR="00BC1E6E" w:rsidRPr="00914A77">
        <w:rPr>
          <w:rFonts w:ascii="Arial" w:hAnsi="Arial" w:cs="Arial"/>
          <w:b/>
          <w:bCs/>
          <w:noProof/>
        </w:rPr>
        <w:t>1</w:t>
      </w:r>
      <w:r w:rsidRPr="00914A77">
        <w:rPr>
          <w:rFonts w:ascii="Arial" w:hAnsi="Arial" w:cs="Arial"/>
          <w:b/>
          <w:bCs/>
        </w:rPr>
        <w:fldChar w:fldCharType="end"/>
      </w:r>
      <w:r w:rsidRPr="00914A77">
        <w:rPr>
          <w:rFonts w:ascii="Arial" w:hAnsi="Arial" w:cs="Arial"/>
          <w:b/>
          <w:bCs/>
        </w:rPr>
        <w:t>.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Cross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Stability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of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2018–19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Two-Year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EBLP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Weighted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and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Simple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for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LEAs</w:t>
      </w:r>
    </w:p>
    <w:tbl>
      <w:tblPr>
        <w:tblStyle w:val="TRtable"/>
        <w:tblW w:w="9396" w:type="dxa"/>
        <w:tblLayout w:type="fixed"/>
        <w:tblLook w:val="04A0" w:firstRow="1" w:lastRow="0" w:firstColumn="1" w:lastColumn="0" w:noHBand="0" w:noVBand="1"/>
        <w:tblDescription w:val="Table B1. Cross Year Stability of the 2018–19 Two-Year Empirical Best Linear Prediction Weighted Average and the Simple Average for Local Educational Agencies."/>
      </w:tblPr>
      <w:tblGrid>
        <w:gridCol w:w="1429"/>
        <w:gridCol w:w="1588"/>
        <w:gridCol w:w="1328"/>
        <w:gridCol w:w="1328"/>
        <w:gridCol w:w="1732"/>
        <w:gridCol w:w="1991"/>
      </w:tblGrid>
      <w:tr w:rsidR="00DF4666" w:rsidRPr="00DE0984" w14:paraId="5AD56994" w14:textId="77777777" w:rsidTr="002A7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29" w:type="dxa"/>
            <w:vAlign w:val="bottom"/>
          </w:tcPr>
          <w:p w14:paraId="4D9C8929" w14:textId="7D03E864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88" w:type="dxa"/>
            <w:vAlign w:val="bottom"/>
          </w:tcPr>
          <w:p w14:paraId="0946C8D5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328" w:type="dxa"/>
            <w:vAlign w:val="bottom"/>
          </w:tcPr>
          <w:p w14:paraId="7B934C2C" w14:textId="2302B3D9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LEA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Size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28" w:type="dxa"/>
            <w:vAlign w:val="bottom"/>
          </w:tcPr>
          <w:p w14:paraId="5CDE280C" w14:textId="65889091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LEAs</w:t>
            </w:r>
          </w:p>
        </w:tc>
        <w:tc>
          <w:tcPr>
            <w:tcW w:w="1732" w:type="dxa"/>
            <w:vAlign w:val="bottom"/>
          </w:tcPr>
          <w:p w14:paraId="51B33C22" w14:textId="51A40E10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Average</w:t>
            </w:r>
          </w:p>
        </w:tc>
        <w:tc>
          <w:tcPr>
            <w:tcW w:w="1991" w:type="dxa"/>
            <w:vAlign w:val="bottom"/>
          </w:tcPr>
          <w:p w14:paraId="6416D425" w14:textId="20F1591A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Correlation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between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the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2017–18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and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2-‍year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EBLP</w:t>
            </w:r>
          </w:p>
        </w:tc>
      </w:tr>
      <w:tr w:rsidR="00DF4666" w:rsidRPr="00DE0984" w14:paraId="012DBC02" w14:textId="77777777" w:rsidTr="002A7961">
        <w:trPr>
          <w:cantSplit/>
        </w:trPr>
        <w:tc>
          <w:tcPr>
            <w:tcW w:w="1429" w:type="dxa"/>
          </w:tcPr>
          <w:p w14:paraId="4840405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8" w:type="dxa"/>
          </w:tcPr>
          <w:p w14:paraId="63F005F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</w:tcPr>
          <w:p w14:paraId="0A21CAD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</w:tcPr>
          <w:p w14:paraId="4D6E97F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</w:tcPr>
          <w:p w14:paraId="26C8584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  <w:tc>
          <w:tcPr>
            <w:tcW w:w="1991" w:type="dxa"/>
          </w:tcPr>
          <w:p w14:paraId="6EEFD0E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DE0984" w14:paraId="21547C85" w14:textId="77777777" w:rsidTr="002A7961">
        <w:trPr>
          <w:cantSplit/>
        </w:trPr>
        <w:tc>
          <w:tcPr>
            <w:tcW w:w="1429" w:type="dxa"/>
          </w:tcPr>
          <w:p w14:paraId="529251E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8" w:type="dxa"/>
          </w:tcPr>
          <w:p w14:paraId="525CAEB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</w:tcPr>
          <w:p w14:paraId="48A840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</w:tcPr>
          <w:p w14:paraId="79CCF43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732" w:type="dxa"/>
          </w:tcPr>
          <w:p w14:paraId="46C2AA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  <w:tc>
          <w:tcPr>
            <w:tcW w:w="1991" w:type="dxa"/>
          </w:tcPr>
          <w:p w14:paraId="35127D0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</w:tr>
      <w:tr w:rsidR="00DF4666" w:rsidRPr="00DE0984" w14:paraId="155CB066" w14:textId="77777777" w:rsidTr="002A7961">
        <w:trPr>
          <w:cantSplit/>
        </w:trPr>
        <w:tc>
          <w:tcPr>
            <w:tcW w:w="1429" w:type="dxa"/>
            <w:tcBorders>
              <w:bottom w:val="single" w:sz="4" w:space="0" w:color="auto"/>
            </w:tcBorders>
          </w:tcPr>
          <w:p w14:paraId="4139CC8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167A16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FA7776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69DAB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9D0CB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A2415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E0984" w14:paraId="5175D6DD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1FE8068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234F623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377733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7307D09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0DDB0E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27D27F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E0984" w14:paraId="588E094C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30C0C4A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E45623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6D56A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46E91A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50D5F45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3B0C0E5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7C64E735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5C079A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2AC1DDC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6A6710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0F02812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6E20F86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01E6555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</w:tr>
      <w:tr w:rsidR="00DF4666" w:rsidRPr="00DE0984" w14:paraId="49456443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4606DF1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10A8F8B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3D5AD81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61204F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2F8F4D9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27A03C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DE0984" w14:paraId="2818D7EA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062431E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359A993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06F5E02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21A5F3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767A03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41DBCB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0.73</w:t>
            </w:r>
          </w:p>
        </w:tc>
      </w:tr>
      <w:tr w:rsidR="00DF4666" w:rsidRPr="00DE0984" w14:paraId="514818FC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5C1FFD6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5248561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3C1C9B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308A79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4B7453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0.08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48A732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DE0984" w14:paraId="3A59097E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55F34AE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718D1AB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4D47C5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558062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3944F1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24FA88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</w:tr>
      <w:tr w:rsidR="00DF4666" w:rsidRPr="00DE0984" w14:paraId="307079F2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</w:tcPr>
          <w:p w14:paraId="04CE01A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14:paraId="6E2296E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4003BB9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6A4149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</w:tcPr>
          <w:p w14:paraId="65B0A0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0.17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4" w:space="0" w:color="auto"/>
            </w:tcBorders>
          </w:tcPr>
          <w:p w14:paraId="4419E4E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20657933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14:paraId="6602F9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</w:tcBorders>
          </w:tcPr>
          <w:p w14:paraId="1B2D733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39AAC8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67CD1D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12" w:space="0" w:color="auto"/>
            </w:tcBorders>
          </w:tcPr>
          <w:p w14:paraId="42E7994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2" w:space="0" w:color="auto"/>
            </w:tcBorders>
          </w:tcPr>
          <w:p w14:paraId="49F03D1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1272FB0C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6FE7501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17F7CBB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84FB5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44E93C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42CE7B8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-0.03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066602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E0984" w14:paraId="7D71CD09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6015C23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3DC997E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79D5F29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1FC7FA4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55DA0A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28C089C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DE0984" w14:paraId="5823A599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11D3D24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06359E0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51FBE53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4794EF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37AF4C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0.33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5B11E2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DE0984" w14:paraId="72305DA2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6A94C18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67D2892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12E38C5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3E8B6E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0618F5E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069DE3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5D57B4C4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</w:tcPr>
          <w:p w14:paraId="44850AE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14:paraId="3EFF63D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66A5B3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7DD6B1A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</w:tcPr>
          <w:p w14:paraId="306AA01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4" w:space="0" w:color="auto"/>
            </w:tcBorders>
          </w:tcPr>
          <w:p w14:paraId="058BC0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DF4666" w:rsidRPr="00DE0984" w14:paraId="10DA000F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14:paraId="08BEB52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</w:tcBorders>
          </w:tcPr>
          <w:p w14:paraId="173917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04352A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06A4C61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12" w:space="0" w:color="auto"/>
            </w:tcBorders>
          </w:tcPr>
          <w:p w14:paraId="7A50D67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2" w:space="0" w:color="auto"/>
            </w:tcBorders>
          </w:tcPr>
          <w:p w14:paraId="0A4194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DF4666" w:rsidRPr="00DE0984" w14:paraId="028296CD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1640F58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5518DB3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359FBC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4C0119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61356F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0.20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59F40C2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47798732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66DFE22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5F3EE6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6A0DB6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2B0D88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13C912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0.41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4B98FE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26247755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1C44579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04E202B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6D8E264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015F53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411EA96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0569F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</w:tr>
      <w:tr w:rsidR="00DF4666" w:rsidRPr="00DE0984" w14:paraId="017C28F9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6002BB6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63DBB8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7F30CAE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0DE5B7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40C7DA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4E0719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E0984" w14:paraId="72FEDFA4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133C7ED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2DA182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53DC87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4E3A17E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25B4FA8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2AFACF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E0984" w14:paraId="542548C1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36D679B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5D07FA9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1624FA3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239F48B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30B5C5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4853DB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</w:tr>
      <w:tr w:rsidR="00DF4666" w:rsidRPr="00DE0984" w14:paraId="00EB54F9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</w:tcPr>
          <w:p w14:paraId="3564EDC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14:paraId="7C03BB9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363FB1A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448FE1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</w:tcPr>
          <w:p w14:paraId="5EB8F00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4" w:space="0" w:color="auto"/>
            </w:tcBorders>
          </w:tcPr>
          <w:p w14:paraId="77DD53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</w:tr>
      <w:tr w:rsidR="00DF4666" w:rsidRPr="00DE0984" w14:paraId="31751D54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14:paraId="5F277BF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</w:tcBorders>
          </w:tcPr>
          <w:p w14:paraId="08CAC23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6588977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442847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12" w:space="0" w:color="auto"/>
            </w:tcBorders>
          </w:tcPr>
          <w:p w14:paraId="583A20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2" w:space="0" w:color="auto"/>
            </w:tcBorders>
          </w:tcPr>
          <w:p w14:paraId="48EC6F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6174DBB5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74F2FDF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290721B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1A5298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08379EF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58D9A7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0.21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3109D6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2D703F10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5B1D981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1961061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3A34A39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107480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6074202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620323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2D480ED1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46301CF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WH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3ED3BC2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5BE69D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392D91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2431D9F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2784D0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1B236028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406D37F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39083ED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0C5EB4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282F99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452EA6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29B18AB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</w:tr>
      <w:tr w:rsidR="00DF4666" w:rsidRPr="00DE0984" w14:paraId="32E93D4C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372C918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43D8E92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73762F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7F9C46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63F144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0.18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39D4C7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DF4666" w:rsidRPr="00DE0984" w14:paraId="52AA1C97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38E1587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80A93A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8CE8A9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6A87D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8F3E5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7FBB61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0.59</w:t>
            </w:r>
          </w:p>
        </w:tc>
      </w:tr>
      <w:tr w:rsidR="00DF4666" w:rsidRPr="00DE0984" w14:paraId="2BE8269E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6317C15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21621E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4C3119B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12B415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21A083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25DD0A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</w:tr>
      <w:tr w:rsidR="00DF4666" w:rsidRPr="00DE0984" w14:paraId="657180BA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041E40A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17A25A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4A72C2D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2FA9660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10BC160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1AA5CB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</w:tr>
      <w:tr w:rsidR="00DF4666" w:rsidRPr="00DE0984" w14:paraId="768889EE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4E643C8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673FD6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5ACC84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30C8B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346A1C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0.47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07B99B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</w:tr>
      <w:tr w:rsidR="00DF4666" w:rsidRPr="00DE0984" w14:paraId="47137120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6F2053F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46410E5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48D08FC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042798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7E1852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0610A1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  <w:tr w:rsidR="00DF4666" w:rsidRPr="00DE0984" w14:paraId="190A4331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4FE7A19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042F8E0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2F6775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2F2332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744D98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0.06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5FECC3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E0984" w14:paraId="2A662A20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39C06E5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655DAA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46B1BA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2B3A0FA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D768E1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783528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0.71</w:t>
            </w:r>
          </w:p>
        </w:tc>
      </w:tr>
      <w:tr w:rsidR="00DF4666" w:rsidRPr="00DE0984" w14:paraId="53D2EF78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2C6AC6C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17594A4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5783CBF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7635208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6F2D5A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3A07AF0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0.80</w:t>
            </w:r>
          </w:p>
        </w:tc>
      </w:tr>
      <w:tr w:rsidR="00DF4666" w:rsidRPr="00DE0984" w14:paraId="2929EF42" w14:textId="77777777" w:rsidTr="002A7961">
        <w:trPr>
          <w:cantSplit/>
          <w:trHeight w:val="108"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5E39AA7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654D188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59B1EA1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196DB3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208231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0.30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3DA9763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DE0984" w14:paraId="7FFFD2CA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48CC7C6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7CE96C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B7B0BB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3A7D20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D55CB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0.67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0F7E6BF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75D0C368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1446923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7263DAC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7BCD41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0C59049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4E10B4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0.82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71E192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</w:tr>
      <w:tr w:rsidR="00DF4666" w:rsidRPr="00DE0984" w14:paraId="62BF00FF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64E5625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4EFAA3A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00654E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497329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621086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2EFAB35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1A60E89D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5496222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1EA94B7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5FC12C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10E2CD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67FF636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4B947BD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4AF521D3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12C8974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345FE97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5E8B50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2199E8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287299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0.29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4F85615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0.72</w:t>
            </w:r>
          </w:p>
        </w:tc>
      </w:tr>
      <w:tr w:rsidR="00DF4666" w:rsidRPr="00DE0984" w14:paraId="7C522B8F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391F6AD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055306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5D3916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721A7A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7CD176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0AAF260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  <w:tr w:rsidR="00DF4666" w:rsidRPr="00DE0984" w14:paraId="1980F16F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775E116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6ECF3B7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F293F5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0C6FB0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33E0FA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58F065D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</w:tr>
      <w:tr w:rsidR="00DF4666" w:rsidRPr="00DE0984" w14:paraId="3C49F226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02BAE58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57031F7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2DDBDCE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66B62FE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7658B4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4416DD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DE0984" w14:paraId="62374772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7BDB829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2F2E563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1FAF4B9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22F382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72ECB2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7D7A91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DF4666" w:rsidRPr="00DE0984" w14:paraId="326BD404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7DBCDD9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518EE43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71D7037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60AC465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4C126E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7A33DB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0690FFA3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6DB17DB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4D317EC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7EDA28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24B19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661E39C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0.31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309CB3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E0984" w14:paraId="50177538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03ABD35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1D7F3F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4B653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619AD0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0B40DD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526D8F1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1A7ED011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2EF8B59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165B504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482469C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37FA959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23489D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0.69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33DC037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</w:tr>
      <w:tr w:rsidR="00DF4666" w:rsidRPr="00DE0984" w14:paraId="130759CB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0E00E71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53AEC2D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727659C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415ED1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6D9159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0.24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7C2784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DF4666" w:rsidRPr="00DE0984" w14:paraId="41D9A25D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1C0C7C5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609F26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66A58ED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864DE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50BCFC1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7D1FA3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DE0984" w14:paraId="0D0311DA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5536AAD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2D43F66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234FDB0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4991813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6E1607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5E34072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</w:tr>
      <w:tr w:rsidR="00DF4666" w:rsidRPr="00DE0984" w14:paraId="5AC8789A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49D091E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6179AC6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3D887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74E056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5D6E5D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0.15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6E0F44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0.55</w:t>
            </w:r>
          </w:p>
        </w:tc>
      </w:tr>
      <w:tr w:rsidR="00DF4666" w:rsidRPr="00DE0984" w14:paraId="137494BE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57C79B1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F949CF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235675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46EBDA1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11B539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7062A58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</w:tr>
      <w:tr w:rsidR="00DF4666" w:rsidRPr="00DE0984" w14:paraId="6EF92D36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7A7B042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5C5A4E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0F7A40B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601203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2E1291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197314F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0.62</w:t>
            </w:r>
          </w:p>
        </w:tc>
      </w:tr>
      <w:tr w:rsidR="00DF4666" w:rsidRPr="00DE0984" w14:paraId="192C5399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684861C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3BDB341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636AC7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12735AB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6E6C6F6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0.25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50F9C5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0.54</w:t>
            </w:r>
          </w:p>
        </w:tc>
      </w:tr>
      <w:tr w:rsidR="00DF4666" w:rsidRPr="00DE0984" w14:paraId="3DA92111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548FD7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SED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D423ED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6172AB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728750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361F73D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6FAC3CE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DF4666" w:rsidRPr="00DE0984" w14:paraId="5661DAEC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1C6657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1D2576D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414C108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1E222A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1FBB25E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0.74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69AABEA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DF4666" w:rsidRPr="00DE0984" w14:paraId="5046CD7B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0318750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5C4ECA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55B3419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58E7297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372FD4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-0.06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40F69F3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0.37</w:t>
            </w:r>
          </w:p>
        </w:tc>
      </w:tr>
      <w:tr w:rsidR="00DF4666" w:rsidRPr="00DE0984" w14:paraId="2760B266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4745D2F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CBBC53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2A89CD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3A1B2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6D483C1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07356B4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0.46</w:t>
            </w:r>
          </w:p>
        </w:tc>
      </w:tr>
      <w:tr w:rsidR="00DF4666" w:rsidRPr="00DE0984" w14:paraId="38641368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43A8AA5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389C1A7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57B0CE1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34DEB6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5F0FE38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7F99552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  <w:tr w:rsidR="00DF4666" w:rsidRPr="00DE0984" w14:paraId="11D48178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724941A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7F6807A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54FA217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1AE32BC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181223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-0.18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0AF5C6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0.27</w:t>
            </w:r>
          </w:p>
        </w:tc>
      </w:tr>
      <w:tr w:rsidR="00DF4666" w:rsidRPr="00DE0984" w14:paraId="036966B0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2077942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67BD23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773D7D3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0CF8DD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4263C3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0846139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</w:tr>
      <w:tr w:rsidR="00DF4666" w:rsidRPr="00DE0984" w14:paraId="185019FC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7D952C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5EDBFD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38A8ACE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39FD40C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43AA001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6BD2FD6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0.56</w:t>
            </w:r>
          </w:p>
        </w:tc>
      </w:tr>
      <w:tr w:rsidR="00DF4666" w:rsidRPr="00DE0984" w14:paraId="46476FC2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</w:tcPr>
          <w:p w14:paraId="540189A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14:paraId="5A0997F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3D18AF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</w:tcPr>
          <w:p w14:paraId="7701A13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</w:tcPr>
          <w:p w14:paraId="14931D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0.02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4" w:space="0" w:color="auto"/>
            </w:tcBorders>
          </w:tcPr>
          <w:p w14:paraId="6AEAA1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</w:tr>
      <w:tr w:rsidR="00DF4666" w:rsidRPr="00DE0984" w14:paraId="25E67A94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single" w:sz="12" w:space="0" w:color="auto"/>
            </w:tcBorders>
          </w:tcPr>
          <w:p w14:paraId="3D9750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</w:tcBorders>
          </w:tcPr>
          <w:p w14:paraId="70F43A9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64795F8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</w:tcPr>
          <w:p w14:paraId="1F532E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12" w:space="0" w:color="auto"/>
            </w:tcBorders>
          </w:tcPr>
          <w:p w14:paraId="552B46D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2" w:space="0" w:color="auto"/>
            </w:tcBorders>
          </w:tcPr>
          <w:p w14:paraId="78490F8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0.51</w:t>
            </w:r>
          </w:p>
        </w:tc>
      </w:tr>
      <w:tr w:rsidR="00DF4666" w:rsidRPr="00DE0984" w14:paraId="1734530F" w14:textId="77777777" w:rsidTr="002A7961">
        <w:trPr>
          <w:cantSplit/>
        </w:trPr>
        <w:tc>
          <w:tcPr>
            <w:tcW w:w="1429" w:type="dxa"/>
            <w:tcBorders>
              <w:top w:val="single" w:sz="12" w:space="0" w:color="auto"/>
              <w:bottom w:val="nil"/>
            </w:tcBorders>
          </w:tcPr>
          <w:p w14:paraId="15F938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8" w:type="dxa"/>
            <w:tcBorders>
              <w:top w:val="single" w:sz="12" w:space="0" w:color="auto"/>
              <w:bottom w:val="nil"/>
            </w:tcBorders>
          </w:tcPr>
          <w:p w14:paraId="14E79AE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142F07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28" w:type="dxa"/>
            <w:tcBorders>
              <w:top w:val="single" w:sz="12" w:space="0" w:color="auto"/>
              <w:bottom w:val="nil"/>
            </w:tcBorders>
          </w:tcPr>
          <w:p w14:paraId="6B41B8C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12" w:space="0" w:color="auto"/>
              <w:bottom w:val="nil"/>
            </w:tcBorders>
          </w:tcPr>
          <w:p w14:paraId="535AEDE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-0.03</w:t>
            </w:r>
          </w:p>
        </w:tc>
        <w:tc>
          <w:tcPr>
            <w:tcW w:w="1991" w:type="dxa"/>
            <w:tcBorders>
              <w:top w:val="single" w:sz="12" w:space="0" w:color="auto"/>
              <w:bottom w:val="nil"/>
            </w:tcBorders>
          </w:tcPr>
          <w:p w14:paraId="6266A7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</w:tr>
      <w:tr w:rsidR="00DF4666" w:rsidRPr="00DE0984" w14:paraId="5CB80E8E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4D63287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01411A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4CF71F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3F89ACA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1FB0E9A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0.09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61001F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0.53</w:t>
            </w:r>
          </w:p>
        </w:tc>
      </w:tr>
      <w:tr w:rsidR="00DF4666" w:rsidRPr="00DE0984" w14:paraId="08871B39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14:paraId="1C13534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2C6F722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4A7B69C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</w:tcPr>
          <w:p w14:paraId="7B96042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14:paraId="452A5EF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05898A3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0.64</w:t>
            </w:r>
          </w:p>
        </w:tc>
      </w:tr>
      <w:tr w:rsidR="00DF4666" w:rsidRPr="00DE0984" w14:paraId="1CBE02C4" w14:textId="77777777" w:rsidTr="002A7961">
        <w:trPr>
          <w:cantSplit/>
        </w:trPr>
        <w:tc>
          <w:tcPr>
            <w:tcW w:w="1429" w:type="dxa"/>
            <w:tcBorders>
              <w:top w:val="single" w:sz="4" w:space="0" w:color="auto"/>
              <w:bottom w:val="nil"/>
            </w:tcBorders>
          </w:tcPr>
          <w:p w14:paraId="422C0DA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2F13D4F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26DE15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28" w:type="dxa"/>
            <w:tcBorders>
              <w:top w:val="single" w:sz="4" w:space="0" w:color="auto"/>
              <w:bottom w:val="nil"/>
            </w:tcBorders>
          </w:tcPr>
          <w:p w14:paraId="30DD16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14:paraId="2CBE07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</w:tcPr>
          <w:p w14:paraId="112A3E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0.49</w:t>
            </w:r>
          </w:p>
        </w:tc>
      </w:tr>
      <w:tr w:rsidR="00DF4666" w:rsidRPr="00DE0984" w14:paraId="4E2BADBB" w14:textId="77777777" w:rsidTr="002A7961">
        <w:trPr>
          <w:cantSplit/>
        </w:trPr>
        <w:tc>
          <w:tcPr>
            <w:tcW w:w="1429" w:type="dxa"/>
            <w:tcBorders>
              <w:top w:val="nil"/>
              <w:bottom w:val="nil"/>
            </w:tcBorders>
          </w:tcPr>
          <w:p w14:paraId="407CD0C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0F6319C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67E0777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295466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14:paraId="25DFB0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117199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</w:tr>
      <w:tr w:rsidR="00DF4666" w:rsidRPr="00DE0984" w14:paraId="7156D320" w14:textId="77777777" w:rsidTr="002A7961">
        <w:trPr>
          <w:cantSplit/>
        </w:trPr>
        <w:tc>
          <w:tcPr>
            <w:tcW w:w="1429" w:type="dxa"/>
            <w:tcBorders>
              <w:top w:val="nil"/>
              <w:bottom w:val="single" w:sz="12" w:space="0" w:color="auto"/>
            </w:tcBorders>
          </w:tcPr>
          <w:p w14:paraId="7CB4D07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88" w:type="dxa"/>
            <w:tcBorders>
              <w:top w:val="nil"/>
              <w:bottom w:val="single" w:sz="12" w:space="0" w:color="auto"/>
            </w:tcBorders>
          </w:tcPr>
          <w:p w14:paraId="3FADACB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04C883F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28" w:type="dxa"/>
            <w:tcBorders>
              <w:top w:val="nil"/>
              <w:bottom w:val="single" w:sz="12" w:space="0" w:color="auto"/>
            </w:tcBorders>
          </w:tcPr>
          <w:p w14:paraId="1B7A47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32" w:type="dxa"/>
            <w:tcBorders>
              <w:top w:val="nil"/>
              <w:bottom w:val="single" w:sz="12" w:space="0" w:color="auto"/>
            </w:tcBorders>
          </w:tcPr>
          <w:p w14:paraId="3D0D7EB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0.65</w:t>
            </w:r>
          </w:p>
        </w:tc>
        <w:tc>
          <w:tcPr>
            <w:tcW w:w="1991" w:type="dxa"/>
            <w:tcBorders>
              <w:top w:val="nil"/>
              <w:bottom w:val="single" w:sz="12" w:space="0" w:color="auto"/>
            </w:tcBorders>
          </w:tcPr>
          <w:p w14:paraId="49C3A3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</w:tbl>
    <w:p w14:paraId="2AEE692A" w14:textId="76A61057" w:rsidR="00DF4666" w:rsidRPr="00DF4666" w:rsidRDefault="00DF4666" w:rsidP="00914A77">
      <w:pPr>
        <w:numPr>
          <w:ilvl w:val="0"/>
          <w:numId w:val="39"/>
        </w:numPr>
        <w:spacing w:before="240" w:after="240"/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bins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grades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  <w:i/>
        </w:rPr>
        <w:t>both</w:t>
      </w:r>
      <w:r w:rsidR="00330ABE">
        <w:rPr>
          <w:rFonts w:ascii="Arial" w:hAnsi="Arial" w:cs="Arial"/>
          <w:i/>
        </w:rPr>
        <w:t xml:space="preserve"> </w:t>
      </w:r>
      <w:r w:rsidRPr="00DF4666">
        <w:rPr>
          <w:rFonts w:ascii="Arial" w:hAnsi="Arial" w:cs="Arial"/>
        </w:rPr>
        <w:t>2017–18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columns).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each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smaller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hyperlink w:anchor="Table3" w:tooltip="Table 3. Cross-Year Stability of the 2018–19 Two-Year empirical best linear prediction Weighted Average and the Simple Average for Schools" w:history="1">
        <w:r w:rsidR="00B11E94" w:rsidRPr="00F24DEA">
          <w:rPr>
            <w:rStyle w:val="Hyperlink"/>
            <w:rFonts w:ascii="Arial" w:hAnsi="Arial" w:cs="Arial"/>
          </w:rPr>
          <w:t>Table</w:t>
        </w:r>
        <w:r w:rsidR="00330ABE">
          <w:rPr>
            <w:rStyle w:val="Hyperlink"/>
            <w:rFonts w:ascii="Arial" w:hAnsi="Arial" w:cs="Arial"/>
          </w:rPr>
          <w:t xml:space="preserve"> </w:t>
        </w:r>
        <w:r w:rsidR="00B11E94" w:rsidRPr="00F24DEA">
          <w:rPr>
            <w:rStyle w:val="Hyperlink"/>
            <w:rFonts w:ascii="Arial" w:hAnsi="Arial" w:cs="Arial"/>
          </w:rPr>
          <w:t>3</w:t>
        </w:r>
      </w:hyperlink>
      <w:r w:rsidRPr="00DF4666">
        <w:rPr>
          <w:rFonts w:ascii="Arial" w:hAnsi="Arial" w:cs="Arial"/>
        </w:rPr>
        <w:t>,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given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that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not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all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have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estimates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both</w:t>
      </w:r>
      <w:r w:rsidR="00330ABE">
        <w:rPr>
          <w:rFonts w:ascii="Arial" w:hAnsi="Arial" w:cs="Arial"/>
        </w:rPr>
        <w:t xml:space="preserve"> </w:t>
      </w:r>
      <w:r w:rsidRPr="00DF4666">
        <w:rPr>
          <w:rFonts w:ascii="Arial" w:hAnsi="Arial" w:cs="Arial"/>
        </w:rPr>
        <w:t>years.</w:t>
      </w:r>
      <w:r w:rsidR="00330ABE">
        <w:rPr>
          <w:rFonts w:ascii="Arial" w:hAnsi="Arial" w:cs="Arial"/>
        </w:rPr>
        <w:t xml:space="preserve"> </w:t>
      </w:r>
    </w:p>
    <w:p w14:paraId="17453186" w14:textId="77777777" w:rsidR="00DF4666" w:rsidRPr="00DF4666" w:rsidRDefault="00DF4666" w:rsidP="00DF4666">
      <w:pPr>
        <w:textAlignment w:val="baseline"/>
        <w:rPr>
          <w:rFonts w:ascii="Arial" w:hAnsi="Arial" w:cs="Arial"/>
        </w:rPr>
      </w:pPr>
      <w:r w:rsidRPr="00DF4666">
        <w:rPr>
          <w:rFonts w:ascii="Arial" w:hAnsi="Arial" w:cs="Arial"/>
        </w:rPr>
        <w:br w:type="page"/>
      </w:r>
    </w:p>
    <w:p w14:paraId="54899D2C" w14:textId="702892E4" w:rsidR="00DF4666" w:rsidRPr="00914A77" w:rsidRDefault="00DF4666" w:rsidP="00914A77">
      <w:pPr>
        <w:spacing w:before="240" w:after="240"/>
        <w:textAlignment w:val="baseline"/>
        <w:rPr>
          <w:rFonts w:ascii="Arial" w:hAnsi="Arial" w:cs="Arial"/>
          <w:b/>
          <w:bCs/>
        </w:rPr>
      </w:pPr>
      <w:bookmarkStart w:id="67" w:name="_Ref57616875"/>
      <w:r w:rsidRPr="00914A77">
        <w:rPr>
          <w:rFonts w:ascii="Arial" w:hAnsi="Arial" w:cs="Arial"/>
          <w:b/>
          <w:bCs/>
        </w:rPr>
        <w:lastRenderedPageBreak/>
        <w:t>Table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B</w:t>
      </w:r>
      <w:r w:rsidRPr="00914A77">
        <w:rPr>
          <w:rFonts w:ascii="Arial" w:hAnsi="Arial" w:cs="Arial"/>
          <w:b/>
          <w:bCs/>
        </w:rPr>
        <w:fldChar w:fldCharType="begin"/>
      </w:r>
      <w:r w:rsidRPr="00914A77">
        <w:rPr>
          <w:rFonts w:ascii="Arial" w:hAnsi="Arial" w:cs="Arial"/>
          <w:b/>
          <w:bCs/>
        </w:rPr>
        <w:instrText>SEQ Table_B \* ARABIC</w:instrText>
      </w:r>
      <w:r w:rsidRPr="00914A77">
        <w:rPr>
          <w:rFonts w:ascii="Arial" w:hAnsi="Arial" w:cs="Arial"/>
          <w:b/>
          <w:bCs/>
        </w:rPr>
        <w:fldChar w:fldCharType="separate"/>
      </w:r>
      <w:r w:rsidR="00BC1E6E" w:rsidRPr="00914A77">
        <w:rPr>
          <w:rFonts w:ascii="Arial" w:hAnsi="Arial" w:cs="Arial"/>
          <w:b/>
          <w:bCs/>
          <w:noProof/>
        </w:rPr>
        <w:t>2</w:t>
      </w:r>
      <w:r w:rsidRPr="00914A77">
        <w:rPr>
          <w:rFonts w:ascii="Arial" w:hAnsi="Arial" w:cs="Arial"/>
          <w:b/>
          <w:bCs/>
        </w:rPr>
        <w:fldChar w:fldCharType="end"/>
      </w:r>
      <w:r w:rsidRPr="00914A77">
        <w:rPr>
          <w:rFonts w:ascii="Arial" w:hAnsi="Arial" w:cs="Arial"/>
          <w:b/>
          <w:bCs/>
        </w:rPr>
        <w:t>.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Improvement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in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Accuracy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of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Growth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Estimates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Using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Two-Year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EBLP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Weighted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Versus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Simple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Averages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at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the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LEA</w:t>
      </w:r>
      <w:r w:rsidR="00330ABE" w:rsidRPr="00914A77">
        <w:rPr>
          <w:rFonts w:ascii="Arial" w:hAnsi="Arial" w:cs="Arial"/>
          <w:b/>
          <w:bCs/>
        </w:rPr>
        <w:t xml:space="preserve"> </w:t>
      </w:r>
      <w:r w:rsidRPr="00914A77">
        <w:rPr>
          <w:rFonts w:ascii="Arial" w:hAnsi="Arial" w:cs="Arial"/>
          <w:b/>
          <w:bCs/>
        </w:rPr>
        <w:t>Level</w:t>
      </w:r>
      <w:bookmarkEnd w:id="67"/>
    </w:p>
    <w:tbl>
      <w:tblPr>
        <w:tblStyle w:val="TRtable"/>
        <w:tblW w:w="9360" w:type="dxa"/>
        <w:tblLayout w:type="fixed"/>
        <w:tblLook w:val="04A0" w:firstRow="1" w:lastRow="0" w:firstColumn="1" w:lastColumn="0" w:noHBand="0" w:noVBand="1"/>
        <w:tblDescription w:val="Table B2. Improvement in Accuracy of Growth Estimates Using Two-Year Empirical Best Linear Prediction Weighted Averages Versus Simple Averages at the Local Educational Agency Level."/>
      </w:tblPr>
      <w:tblGrid>
        <w:gridCol w:w="1423"/>
        <w:gridCol w:w="1578"/>
        <w:gridCol w:w="1318"/>
        <w:gridCol w:w="1318"/>
        <w:gridCol w:w="1743"/>
        <w:gridCol w:w="1980"/>
      </w:tblGrid>
      <w:tr w:rsidR="00DF4666" w:rsidRPr="00DE0984" w14:paraId="1D1A58BD" w14:textId="77777777" w:rsidTr="0053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23" w:type="dxa"/>
            <w:vAlign w:val="bottom"/>
          </w:tcPr>
          <w:p w14:paraId="3E5F835E" w14:textId="496D789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Student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Group</w:t>
            </w:r>
          </w:p>
        </w:tc>
        <w:tc>
          <w:tcPr>
            <w:tcW w:w="1578" w:type="dxa"/>
            <w:vAlign w:val="bottom"/>
          </w:tcPr>
          <w:p w14:paraId="713F7394" w14:textId="7777777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Subject</w:t>
            </w:r>
          </w:p>
        </w:tc>
        <w:tc>
          <w:tcPr>
            <w:tcW w:w="1318" w:type="dxa"/>
            <w:vAlign w:val="bottom"/>
          </w:tcPr>
          <w:p w14:paraId="2A41EB14" w14:textId="7113EF8B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2018–19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LEA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Size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18" w:type="dxa"/>
            <w:vAlign w:val="bottom"/>
          </w:tcPr>
          <w:p w14:paraId="3DE430E9" w14:textId="4E809EB7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Number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LEAs</w:t>
            </w:r>
          </w:p>
        </w:tc>
        <w:tc>
          <w:tcPr>
            <w:tcW w:w="1743" w:type="dxa"/>
            <w:vAlign w:val="bottom"/>
          </w:tcPr>
          <w:p w14:paraId="763541E5" w14:textId="6D1ED801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 w:cs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Mean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Ratio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for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2-‍year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EBLP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vs.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Average</w:t>
            </w:r>
          </w:p>
        </w:tc>
        <w:tc>
          <w:tcPr>
            <w:tcW w:w="1980" w:type="dxa"/>
            <w:vAlign w:val="bottom"/>
          </w:tcPr>
          <w:p w14:paraId="742DD391" w14:textId="0374E4B2" w:rsidR="00DF4666" w:rsidRPr="00DE0984" w:rsidRDefault="00DF4666" w:rsidP="00DF4666">
            <w:pPr>
              <w:spacing w:before="20" w:after="20"/>
              <w:jc w:val="center"/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</w:pP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Percentage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of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LEAs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with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Improved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Accuracy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for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2-‍year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EBLP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vs.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Simple</w:t>
            </w:r>
            <w:r w:rsidR="00330ABE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DE0984">
              <w:rPr>
                <w:rFonts w:ascii="Arial" w:eastAsia="SimSun" w:hAnsi="Arial"/>
                <w:b/>
                <w:bCs/>
                <w:noProof/>
                <w:sz w:val="24"/>
                <w:szCs w:val="24"/>
              </w:rPr>
              <w:t>Average</w:t>
            </w:r>
          </w:p>
        </w:tc>
      </w:tr>
      <w:tr w:rsidR="00DF4666" w:rsidRPr="00DE0984" w14:paraId="106AFB67" w14:textId="77777777" w:rsidTr="005351F1">
        <w:trPr>
          <w:cantSplit/>
        </w:trPr>
        <w:tc>
          <w:tcPr>
            <w:tcW w:w="1423" w:type="dxa"/>
          </w:tcPr>
          <w:p w14:paraId="16CB164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8" w:type="dxa"/>
          </w:tcPr>
          <w:p w14:paraId="0821ECB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</w:tcPr>
          <w:p w14:paraId="18841E2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</w:tcPr>
          <w:p w14:paraId="1F856B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43" w:type="dxa"/>
          </w:tcPr>
          <w:p w14:paraId="5C7CC3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1980" w:type="dxa"/>
          </w:tcPr>
          <w:p w14:paraId="3955174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1983463" w14:textId="77777777" w:rsidTr="005351F1">
        <w:trPr>
          <w:cantSplit/>
        </w:trPr>
        <w:tc>
          <w:tcPr>
            <w:tcW w:w="1423" w:type="dxa"/>
          </w:tcPr>
          <w:p w14:paraId="733B548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8" w:type="dxa"/>
          </w:tcPr>
          <w:p w14:paraId="46262B5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</w:tcPr>
          <w:p w14:paraId="415964E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</w:tcPr>
          <w:p w14:paraId="1D81940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743" w:type="dxa"/>
          </w:tcPr>
          <w:p w14:paraId="0F19297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1980" w:type="dxa"/>
          </w:tcPr>
          <w:p w14:paraId="535867F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9A1647C" w14:textId="77777777" w:rsidTr="005351F1">
        <w:trPr>
          <w:cantSplit/>
        </w:trPr>
        <w:tc>
          <w:tcPr>
            <w:tcW w:w="1423" w:type="dxa"/>
            <w:tcBorders>
              <w:bottom w:val="single" w:sz="4" w:space="0" w:color="auto"/>
            </w:tcBorders>
          </w:tcPr>
          <w:p w14:paraId="471E776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76D7A88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4A68F6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7C61E1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7C2C2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B75E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9375C95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2F98B18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0FDE6E2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633431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645AB2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0691916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198472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6D3BE34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2BE780D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6B479C1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53BF7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88809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5E7B54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522E5B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935F18A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74349C1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215612D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7E1D001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3999719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4EA74B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0306715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243B058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15800F0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6CCE675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455FA45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012F68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12DA34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1.68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582E46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1BE7479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79D0E2C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5D99D3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71569D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22F71EB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7D613FD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16DB2F9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55%</w:t>
            </w:r>
          </w:p>
        </w:tc>
      </w:tr>
      <w:tr w:rsidR="00DF4666" w:rsidRPr="00DE0984" w14:paraId="1BE225DF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3287290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063D370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574C05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1B0397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73D0731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2.08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1EDCE8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29A6E1E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4DD3A33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4B287E1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6B7948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26D6165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7E2500D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6C9F33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85%</w:t>
            </w:r>
          </w:p>
        </w:tc>
      </w:tr>
      <w:tr w:rsidR="00DF4666" w:rsidRPr="00DE0984" w14:paraId="1DA802E3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</w:tcPr>
          <w:p w14:paraId="697F3C7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</w:tcPr>
          <w:p w14:paraId="513F19E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7CD0FAF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7837FB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4" w:space="0" w:color="auto"/>
            </w:tcBorders>
          </w:tcPr>
          <w:p w14:paraId="16C45B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2.17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608E0E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568B3C8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</w:tcPr>
          <w:p w14:paraId="51838E9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AI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</w:tcPr>
          <w:p w14:paraId="3F010AD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2608F25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40456AC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421DAA6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2.33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14:paraId="071F43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9D49F3F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2CC5EDC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4040ABC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0C0A2C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7D6B9A0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2400F56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1.45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53D267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0B8141C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7CEE17C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551298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458113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03CCCB6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62A414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BC647A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63%</w:t>
            </w:r>
          </w:p>
        </w:tc>
      </w:tr>
      <w:tr w:rsidR="00DF4666" w:rsidRPr="00DE0984" w14:paraId="440544BF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00E8375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67A09F4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180C803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329F1C6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1D11D9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50E388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E0984" w14:paraId="2C8B44DB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192B266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276D478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265D3D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6207EB4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64DA02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0.66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1A9DA33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  <w:tr w:rsidR="00DF4666" w:rsidRPr="00DE0984" w14:paraId="0A8B9BDD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</w:tcPr>
          <w:p w14:paraId="75DD512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</w:tcPr>
          <w:p w14:paraId="467F76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22EA2A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0C76421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4" w:space="0" w:color="auto"/>
            </w:tcBorders>
          </w:tcPr>
          <w:p w14:paraId="2FD162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1.64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ECA863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97%</w:t>
            </w:r>
          </w:p>
        </w:tc>
      </w:tr>
      <w:tr w:rsidR="00DF4666" w:rsidRPr="00DE0984" w14:paraId="3228F0B2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</w:tcPr>
          <w:p w14:paraId="28E7236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</w:tcPr>
          <w:p w14:paraId="464545F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6A9AB72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≥11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4C712E8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2D11F4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14:paraId="24E9A34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87%</w:t>
            </w:r>
          </w:p>
        </w:tc>
      </w:tr>
      <w:tr w:rsidR="00DF4666" w:rsidRPr="00DE0984" w14:paraId="7B3488EE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67A6AEB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008951F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2F1B10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3C55FF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4A25C22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1.73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2595B45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5CA96A0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2976010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2F1353D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38382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720C94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FD63DC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90CA95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72%</w:t>
            </w:r>
          </w:p>
        </w:tc>
      </w:tr>
      <w:tr w:rsidR="00DF4666" w:rsidRPr="00DE0984" w14:paraId="30E6F1CD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58014E4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452568B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472FFE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1736737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1EF961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0156C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DF4666" w:rsidRPr="00DE0984" w14:paraId="25EFC3A7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26D7067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221EBCA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1038DE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0CF54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5CF6C08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0143ED3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91F597E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7A31966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5B634C9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B7D047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620D5A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4B1E0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0A16F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78%</w:t>
            </w:r>
          </w:p>
        </w:tc>
      </w:tr>
      <w:tr w:rsidR="00DF4666" w:rsidRPr="00DE0984" w14:paraId="22175C08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22B922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HI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33658A3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59731F5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308626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258094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0.94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50DF50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34%</w:t>
            </w:r>
          </w:p>
        </w:tc>
      </w:tr>
      <w:tr w:rsidR="00DF4666" w:rsidRPr="00DE0984" w14:paraId="19AB8170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</w:tcPr>
          <w:p w14:paraId="7532672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</w:tcPr>
          <w:p w14:paraId="29AB877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347829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00E10F8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4" w:space="0" w:color="auto"/>
            </w:tcBorders>
          </w:tcPr>
          <w:p w14:paraId="551E71C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C00E7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E0984" w14:paraId="034FDB7F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</w:tcPr>
          <w:p w14:paraId="6391584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</w:tcPr>
          <w:p w14:paraId="59F3F37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7ED09A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23B706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3F93E78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1.98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14:paraId="282736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E0984" w14:paraId="6A43050D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29A458C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20EE824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79084F7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4EDE074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36CA61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0CF9E7E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77D3CD7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2825A60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475F405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2C3550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1461365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706DF1F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1.09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4E81B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E0984" w14:paraId="3478BDE5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3A93BE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WH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50FC350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68B55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5A6BBB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7216B0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6B90FE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2BBB1304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1719BFA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WH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51DA2BC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39CD6CE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18D768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1AD4CCD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70C409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AD43267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42D54F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0C46945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0AB4C5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53FC98A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1C79019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693E6C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02812AE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599E681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2D0C2FE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79723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C4C5DA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8B29B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70830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154840D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1C615A4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5DD1310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3D53D77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547D50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667918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EB282E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83%</w:t>
            </w:r>
          </w:p>
        </w:tc>
      </w:tr>
      <w:tr w:rsidR="00DF4666" w:rsidRPr="00DE0984" w14:paraId="2063953B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125AC00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3E8606E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36C328B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7FD4C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4B7F90A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1.74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77DE25F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73C2854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2760AEE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4322D62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A7E177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256274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E2D0DA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172ABF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DF4666" w:rsidRPr="00DE0984" w14:paraId="1B8F6E7A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69E3F32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MR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68F535A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221830D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15178F6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43E4A1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3515ACB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48%</w:t>
            </w:r>
          </w:p>
        </w:tc>
      </w:tr>
      <w:tr w:rsidR="00DF4666" w:rsidRPr="00DE0984" w14:paraId="2B2D8F2E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688E062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2B8FCD9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46CF84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22138BB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62E49E9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1.88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77A5B56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F817090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0DDAB24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19F6FE9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392307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A5AFD6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FB7678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A0A7D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59%</w:t>
            </w:r>
          </w:p>
        </w:tc>
      </w:tr>
      <w:tr w:rsidR="00DF4666" w:rsidRPr="00DE0984" w14:paraId="4BE4B071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43C8023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6B09601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61B7BB4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60986EB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52DCD0E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0.57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C47070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</w:tr>
      <w:tr w:rsidR="00DF4666" w:rsidRPr="00DE0984" w14:paraId="42135B74" w14:textId="77777777" w:rsidTr="005351F1">
        <w:trPr>
          <w:cantSplit/>
          <w:trHeight w:val="108"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1F51BB4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1D8AD05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168486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48ADFE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560AE8A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7B8BED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851D517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7BA851B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03540538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958F51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74BFFCC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45050D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839B14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DF4666" w:rsidRPr="00DE0984" w14:paraId="7FA157F5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7668C25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2BF3C47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41C3F83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1617508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1778CAA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0.35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1003DF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DF4666" w:rsidRPr="00DE0984" w14:paraId="07B72A4E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6BB84FE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18DD70F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024266F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4874683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34CF146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074F492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5AE97E4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18DE957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2E194A6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1B49210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5F84AC7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7FD8F7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18B3CF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43%</w:t>
            </w:r>
          </w:p>
        </w:tc>
      </w:tr>
      <w:tr w:rsidR="00DF4666" w:rsidRPr="00DE0984" w14:paraId="0024BA89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6605B63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042CDC5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480CAB9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291FF1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498C7B4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1.87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2D61130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DF4666" w:rsidRPr="00DE0984" w14:paraId="45AFB0EA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1C14C0F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ELO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633B50C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75966E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271FFBC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1109AAA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0.86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3AE3869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39%</w:t>
            </w:r>
          </w:p>
        </w:tc>
      </w:tr>
      <w:tr w:rsidR="00DF4666" w:rsidRPr="00DE0984" w14:paraId="006B9F25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0022DB3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5440E7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590BA7B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2F2DA93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05C264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1.71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0DA4A5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60685B04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3BC4FFA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0F9129E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4F0230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21FD435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0C0C78C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581676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54%</w:t>
            </w:r>
          </w:p>
        </w:tc>
      </w:tr>
      <w:tr w:rsidR="00DF4666" w:rsidRPr="00DE0984" w14:paraId="0F3CB55A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1E7893A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12C62AE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57692F6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94C0E1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75C6088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2.04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49424AC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AF0B939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2706027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RFP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2C99F8C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29E9F1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0ED5B04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36D93DD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4726EA2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DF4666" w:rsidRPr="00DE0984" w14:paraId="3B5EB9F2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3FFE934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2463EC6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2870B8F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07754A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39B053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3C6CF7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5B07EE9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3C103C5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55E80E7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27F561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A16F4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DB7F9E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5FC28A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97%</w:t>
            </w:r>
          </w:p>
        </w:tc>
      </w:tr>
      <w:tr w:rsidR="00DF4666" w:rsidRPr="00DE0984" w14:paraId="0FF7D615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6F018E3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29BA424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698C82C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4E817A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5838526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3BD4B2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DF4666" w:rsidRPr="00DE0984" w14:paraId="2784F2EF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31DC93B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761C5E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395A82F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60602E0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64D1AD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5AEBEA3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C57D6BF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3268821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6E532F8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0852337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48D40B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9F84FD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61C077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C0FCCF6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20D627C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EO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52C15862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5E6885E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6AE715F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3E426D0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1.01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155DD7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44320B8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1536DEE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7511D5B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4842096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2870A35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04372D6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53D5985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E9180CC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5E4B132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01299C21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45747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36D247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D1C77C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82CED1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DF4666" w:rsidRPr="00DE0984" w14:paraId="127E66AB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0F06F757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194B874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0192150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5C3E4E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5D49952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AEC9E3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9%</w:t>
            </w:r>
          </w:p>
        </w:tc>
      </w:tr>
      <w:tr w:rsidR="00DF4666" w:rsidRPr="00DE0984" w14:paraId="4E64F493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16357B1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1CBF504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277C5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77ED308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616B951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1.44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774287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7B553D3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120779DB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SED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43DA80D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08E112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150–1499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535A6F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654283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5981D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71%</w:t>
            </w:r>
          </w:p>
        </w:tc>
      </w:tr>
      <w:tr w:rsidR="00DF4666" w:rsidRPr="00DE0984" w14:paraId="0F213E75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225D912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lastRenderedPageBreak/>
              <w:t>SED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7A976F25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1E8FCBB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0D85F27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66B446D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0.87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2D0E0D4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18%</w:t>
            </w:r>
          </w:p>
        </w:tc>
      </w:tr>
      <w:tr w:rsidR="00DF4666" w:rsidRPr="00DE0984" w14:paraId="2E0CE4D0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0965CF2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21C9751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489DF6B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6F0E413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10E7BA9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1.78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24ECDDF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004E7125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3FB2D85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4B22D7E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2C17F4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43C8FC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264759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30134A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78AB3FBE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5C5756E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1DAED50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572F83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54DC442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212FECC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69C63BE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84%</w:t>
            </w:r>
          </w:p>
        </w:tc>
      </w:tr>
      <w:tr w:rsidR="00DF4666" w:rsidRPr="00DE0984" w14:paraId="25DCFA1F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5CB9666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4F9ADD3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0325E96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60785E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04C2AA71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1.66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3B11685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6DD64D6B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29743E4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6B86A4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76499B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96A7E5D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57E910C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38F5C5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57C7E5BD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5164FD94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SWD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2A60EC6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635A43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18D1BBB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411A7B4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1.05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2FF7FD9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DF4666" w:rsidRPr="00DE0984" w14:paraId="4EC8875D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</w:tcPr>
          <w:p w14:paraId="2AC56EBC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</w:tcPr>
          <w:p w14:paraId="7335EB6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7695993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14:paraId="64241DC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4" w:space="0" w:color="auto"/>
            </w:tcBorders>
          </w:tcPr>
          <w:p w14:paraId="5898830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1.96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6DE6EAB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0695CDD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</w:tcPr>
          <w:p w14:paraId="7DFDDCDD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FOS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</w:tcPr>
          <w:p w14:paraId="0F0F019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4DBC1E7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11–1499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14:paraId="44E9D90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5A37CFE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14:paraId="2A300CD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1C939D89" w14:textId="77777777" w:rsidTr="005351F1">
        <w:trPr>
          <w:cantSplit/>
        </w:trPr>
        <w:tc>
          <w:tcPr>
            <w:tcW w:w="1423" w:type="dxa"/>
            <w:tcBorders>
              <w:top w:val="single" w:sz="12" w:space="0" w:color="auto"/>
              <w:bottom w:val="nil"/>
            </w:tcBorders>
          </w:tcPr>
          <w:p w14:paraId="351C4C13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8" w:type="dxa"/>
            <w:tcBorders>
              <w:top w:val="single" w:sz="12" w:space="0" w:color="auto"/>
              <w:bottom w:val="nil"/>
            </w:tcBorders>
          </w:tcPr>
          <w:p w14:paraId="199F3AD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0CA0031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</w:tcPr>
          <w:p w14:paraId="71A39F22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743" w:type="dxa"/>
            <w:tcBorders>
              <w:top w:val="single" w:sz="12" w:space="0" w:color="auto"/>
              <w:bottom w:val="nil"/>
            </w:tcBorders>
          </w:tcPr>
          <w:p w14:paraId="2D1CDF6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1.65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</w:tcPr>
          <w:p w14:paraId="47B241D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67FBB10E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660F437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729D37D9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474826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54BCA6E0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45AD54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1.32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BB63429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</w:tr>
      <w:tr w:rsidR="00DF4666" w:rsidRPr="00DE0984" w14:paraId="30F8F2F6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14:paraId="3DC44DB6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2EE620F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ELA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4D8BD2D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0824488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14:paraId="72FFA61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0.90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4934633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42%</w:t>
            </w:r>
          </w:p>
        </w:tc>
      </w:tr>
      <w:tr w:rsidR="00DF4666" w:rsidRPr="00DE0984" w14:paraId="39B0045A" w14:textId="77777777" w:rsidTr="005351F1">
        <w:trPr>
          <w:cantSplit/>
        </w:trPr>
        <w:tc>
          <w:tcPr>
            <w:tcW w:w="1423" w:type="dxa"/>
            <w:tcBorders>
              <w:top w:val="single" w:sz="4" w:space="0" w:color="auto"/>
              <w:bottom w:val="nil"/>
            </w:tcBorders>
          </w:tcPr>
          <w:p w14:paraId="598D987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8" w:type="dxa"/>
            <w:tcBorders>
              <w:top w:val="single" w:sz="4" w:space="0" w:color="auto"/>
              <w:bottom w:val="nil"/>
            </w:tcBorders>
          </w:tcPr>
          <w:p w14:paraId="281DEF0F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1F68DB48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11–29</w:t>
            </w:r>
          </w:p>
        </w:tc>
        <w:tc>
          <w:tcPr>
            <w:tcW w:w="1318" w:type="dxa"/>
            <w:tcBorders>
              <w:top w:val="single" w:sz="4" w:space="0" w:color="auto"/>
              <w:bottom w:val="nil"/>
            </w:tcBorders>
          </w:tcPr>
          <w:p w14:paraId="14B121EA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</w:tcBorders>
          </w:tcPr>
          <w:p w14:paraId="6A6ECF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1.75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38268B05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3365FD07" w14:textId="77777777" w:rsidTr="005351F1">
        <w:trPr>
          <w:cantSplit/>
        </w:trPr>
        <w:tc>
          <w:tcPr>
            <w:tcW w:w="1423" w:type="dxa"/>
            <w:tcBorders>
              <w:top w:val="nil"/>
              <w:bottom w:val="nil"/>
            </w:tcBorders>
          </w:tcPr>
          <w:p w14:paraId="30A3B9C0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1419D86A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E900FEF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30–149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7C00AD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D6D54E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1.48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65E86C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4666" w:rsidRPr="00DE0984" w14:paraId="4A2F8F05" w14:textId="77777777" w:rsidTr="005351F1">
        <w:trPr>
          <w:cantSplit/>
        </w:trPr>
        <w:tc>
          <w:tcPr>
            <w:tcW w:w="1423" w:type="dxa"/>
            <w:tcBorders>
              <w:top w:val="nil"/>
              <w:bottom w:val="single" w:sz="12" w:space="0" w:color="auto"/>
            </w:tcBorders>
          </w:tcPr>
          <w:p w14:paraId="6AA8C2D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HOM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</w:tcPr>
          <w:p w14:paraId="6748A9DE" w14:textId="77777777" w:rsidR="00DF4666" w:rsidRPr="00DE0984" w:rsidRDefault="00DF4666" w:rsidP="00DF4666">
            <w:pPr>
              <w:spacing w:before="20" w:after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Mathematics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69A9A714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≥150</w:t>
            </w:r>
          </w:p>
        </w:tc>
        <w:tc>
          <w:tcPr>
            <w:tcW w:w="1318" w:type="dxa"/>
            <w:tcBorders>
              <w:top w:val="nil"/>
              <w:bottom w:val="single" w:sz="12" w:space="0" w:color="auto"/>
            </w:tcBorders>
          </w:tcPr>
          <w:p w14:paraId="2C7B86A7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43" w:type="dxa"/>
            <w:tcBorders>
              <w:top w:val="nil"/>
              <w:bottom w:val="single" w:sz="12" w:space="0" w:color="auto"/>
            </w:tcBorders>
          </w:tcPr>
          <w:p w14:paraId="19E98D16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14:paraId="2FD6455B" w14:textId="77777777" w:rsidR="00DF4666" w:rsidRPr="00DE0984" w:rsidRDefault="00DF4666" w:rsidP="00DF4666">
            <w:pPr>
              <w:spacing w:before="20" w:after="2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E0984">
              <w:rPr>
                <w:rFonts w:ascii="Arial" w:hAnsi="Arial" w:cs="Arial"/>
                <w:sz w:val="24"/>
                <w:szCs w:val="24"/>
              </w:rPr>
              <w:t>82%</w:t>
            </w:r>
          </w:p>
        </w:tc>
      </w:tr>
    </w:tbl>
    <w:p w14:paraId="354204A3" w14:textId="7E809270" w:rsidR="00913685" w:rsidRPr="00DE0984" w:rsidRDefault="00DF4666" w:rsidP="0044413D">
      <w:pPr>
        <w:spacing w:before="240"/>
        <w:rPr>
          <w:rFonts w:ascii="Arial" w:hAnsi="Arial" w:cs="Arial"/>
        </w:rPr>
      </w:pP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size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bins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refer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to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number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students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within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LEAs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with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growth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scores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grades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four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through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eight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2018–19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for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student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group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and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subject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of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interest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(indicated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in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the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first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two</w:t>
      </w:r>
      <w:r w:rsidR="00330ABE">
        <w:rPr>
          <w:rFonts w:ascii="Arial" w:hAnsi="Arial" w:cs="Arial"/>
        </w:rPr>
        <w:t xml:space="preserve"> </w:t>
      </w:r>
      <w:r w:rsidRPr="00DE0984">
        <w:rPr>
          <w:rFonts w:ascii="Arial" w:hAnsi="Arial" w:cs="Arial"/>
        </w:rPr>
        <w:t>columns).</w:t>
      </w:r>
    </w:p>
    <w:sectPr w:rsidR="00913685" w:rsidRPr="00DE0984" w:rsidSect="00623557">
      <w:headerReference w:type="default" r:id="rId35"/>
      <w:footerReference w:type="default" r:id="rId36"/>
      <w:headerReference w:type="first" r:id="rId37"/>
      <w:footerReference w:type="first" r:id="rId38"/>
      <w:pgSz w:w="12240" w:h="15840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E394" w14:textId="77777777" w:rsidR="00D41795" w:rsidRDefault="00D41795" w:rsidP="00A80EDF">
      <w:r>
        <w:separator/>
      </w:r>
    </w:p>
    <w:p w14:paraId="68C08AF7" w14:textId="77777777" w:rsidR="00D41795" w:rsidRDefault="00D41795"/>
  </w:endnote>
  <w:endnote w:type="continuationSeparator" w:id="0">
    <w:p w14:paraId="4277A388" w14:textId="77777777" w:rsidR="00D41795" w:rsidRDefault="00D41795" w:rsidP="00A80EDF">
      <w:r>
        <w:continuationSeparator/>
      </w:r>
    </w:p>
    <w:p w14:paraId="02C97E17" w14:textId="77777777" w:rsidR="00D41795" w:rsidRDefault="00D41795"/>
  </w:endnote>
  <w:endnote w:type="continuationNotice" w:id="1">
    <w:p w14:paraId="46CE1E11" w14:textId="77777777" w:rsidR="00D41795" w:rsidRDefault="00D41795"/>
    <w:p w14:paraId="6C6445DC" w14:textId="77777777" w:rsidR="00D41795" w:rsidRDefault="00D41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70ABA" w14:paraId="2F21E5A5" w14:textId="77777777" w:rsidTr="00D70ABA">
      <w:tc>
        <w:tcPr>
          <w:tcW w:w="3120" w:type="dxa"/>
        </w:tcPr>
        <w:p w14:paraId="04007640" w14:textId="1AF9D564" w:rsidR="00D70ABA" w:rsidRDefault="00D70ABA" w:rsidP="219ED835">
          <w:pPr>
            <w:pStyle w:val="Header"/>
            <w:ind w:left="-115"/>
          </w:pPr>
        </w:p>
      </w:tc>
      <w:tc>
        <w:tcPr>
          <w:tcW w:w="3120" w:type="dxa"/>
        </w:tcPr>
        <w:p w14:paraId="0529504C" w14:textId="30062E1F" w:rsidR="00D70ABA" w:rsidRDefault="00D70ABA" w:rsidP="219ED835">
          <w:pPr>
            <w:pStyle w:val="Header"/>
            <w:jc w:val="center"/>
          </w:pPr>
        </w:p>
      </w:tc>
      <w:tc>
        <w:tcPr>
          <w:tcW w:w="3120" w:type="dxa"/>
        </w:tcPr>
        <w:p w14:paraId="576C51A0" w14:textId="6AFCD015" w:rsidR="00D70ABA" w:rsidRDefault="00D70ABA" w:rsidP="219ED835">
          <w:pPr>
            <w:pStyle w:val="Header"/>
            <w:ind w:right="-115"/>
            <w:jc w:val="right"/>
          </w:pPr>
        </w:p>
      </w:tc>
    </w:tr>
  </w:tbl>
  <w:p w14:paraId="0087B3AE" w14:textId="46A975F5" w:rsidR="00D70ABA" w:rsidRDefault="00D70ABA" w:rsidP="219ED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0BEF" w14:textId="4709E5F9" w:rsidR="00D70ABA" w:rsidRPr="00330ABE" w:rsidRDefault="00D70ABA" w:rsidP="00330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70ABA" w14:paraId="3F6F914A" w14:textId="77777777" w:rsidTr="00D70ABA">
      <w:tc>
        <w:tcPr>
          <w:tcW w:w="3120" w:type="dxa"/>
        </w:tcPr>
        <w:p w14:paraId="73975DC6" w14:textId="071AA198" w:rsidR="00D70ABA" w:rsidRDefault="00D70ABA" w:rsidP="219ED835">
          <w:pPr>
            <w:pStyle w:val="Header"/>
            <w:ind w:left="-115"/>
          </w:pPr>
        </w:p>
      </w:tc>
      <w:tc>
        <w:tcPr>
          <w:tcW w:w="3120" w:type="dxa"/>
        </w:tcPr>
        <w:p w14:paraId="0AD55F92" w14:textId="3BD5F4E9" w:rsidR="00D70ABA" w:rsidRDefault="00D70ABA" w:rsidP="219ED835">
          <w:pPr>
            <w:pStyle w:val="Header"/>
            <w:jc w:val="center"/>
          </w:pPr>
        </w:p>
      </w:tc>
      <w:tc>
        <w:tcPr>
          <w:tcW w:w="3120" w:type="dxa"/>
        </w:tcPr>
        <w:p w14:paraId="6076D7F8" w14:textId="6F49FE51" w:rsidR="00D70ABA" w:rsidRDefault="00D70ABA" w:rsidP="219ED835">
          <w:pPr>
            <w:pStyle w:val="Header"/>
            <w:ind w:right="-115"/>
            <w:jc w:val="right"/>
          </w:pPr>
        </w:p>
      </w:tc>
    </w:tr>
  </w:tbl>
  <w:p w14:paraId="349F9069" w14:textId="217019F5" w:rsidR="00D70ABA" w:rsidRDefault="00D70ABA" w:rsidP="219ED8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374C" w14:textId="77777777" w:rsidR="00D70ABA" w:rsidRPr="00330ABE" w:rsidRDefault="00D70ABA" w:rsidP="00330AB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386" w14:textId="4E5B8BA6" w:rsidR="00D70ABA" w:rsidRPr="00330ABE" w:rsidRDefault="00D70ABA" w:rsidP="0033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AF71" w14:textId="77777777" w:rsidR="00D41795" w:rsidRDefault="00D41795" w:rsidP="00A80EDF">
      <w:r>
        <w:separator/>
      </w:r>
    </w:p>
    <w:p w14:paraId="69527F8E" w14:textId="77777777" w:rsidR="00D41795" w:rsidRDefault="00D41795"/>
  </w:footnote>
  <w:footnote w:type="continuationSeparator" w:id="0">
    <w:p w14:paraId="6361CAB7" w14:textId="77777777" w:rsidR="00D41795" w:rsidRDefault="00D41795" w:rsidP="00A80EDF">
      <w:r>
        <w:continuationSeparator/>
      </w:r>
    </w:p>
    <w:p w14:paraId="39AAB176" w14:textId="77777777" w:rsidR="00D41795" w:rsidRDefault="00D41795"/>
  </w:footnote>
  <w:footnote w:type="continuationNotice" w:id="1">
    <w:p w14:paraId="57D3B5EB" w14:textId="77777777" w:rsidR="00D41795" w:rsidRDefault="00D41795"/>
    <w:p w14:paraId="6FF6CDF0" w14:textId="77777777" w:rsidR="00D41795" w:rsidRDefault="00D41795"/>
  </w:footnote>
  <w:footnote w:id="2">
    <w:p w14:paraId="766B5001" w14:textId="77777777" w:rsidR="00D70ABA" w:rsidRPr="00D6138F" w:rsidRDefault="00D70ABA" w:rsidP="00DF4666">
      <w:pPr>
        <w:contextualSpacing/>
        <w:rPr>
          <w:rFonts w:ascii="Arial" w:hAnsi="Arial" w:cs="Arial"/>
        </w:rPr>
      </w:pPr>
      <w:r w:rsidRPr="00D6138F">
        <w:rPr>
          <w:rStyle w:val="FootnoteReference"/>
          <w:rFonts w:cs="Arial"/>
        </w:rPr>
        <w:footnoteRef/>
      </w:r>
      <w:r w:rsidRPr="00D6138F">
        <w:rPr>
          <w:rFonts w:ascii="Arial" w:hAnsi="Arial" w:cs="Arial"/>
        </w:rPr>
        <w:t xml:space="preserve"> The CDE is considering a linear translation of the residual gain scores to have marginal mean of 100 rather than 0. Such a translation would have no impact on the accuracy of AGMs, and it is not considered further in this document.</w:t>
      </w:r>
    </w:p>
  </w:footnote>
  <w:footnote w:id="3">
    <w:p w14:paraId="0DE92689" w14:textId="77777777" w:rsidR="00D70ABA" w:rsidRDefault="00D70ABA" w:rsidP="00DF4666">
      <w:pPr>
        <w:pStyle w:val="FootnoteTextCharCharCharCharChar1"/>
      </w:pPr>
      <w:r>
        <w:rPr>
          <w:rStyle w:val="FootnoteReference"/>
        </w:rPr>
        <w:footnoteRef/>
      </w:r>
      <w:r>
        <w:t xml:space="preserve"> This excludes one of the AGMs with a large discrepancy between EBLP and simple averages, and for which investigation of the underlying growth scores revealed highly anomalous patterns.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1E8C" w14:textId="77777777" w:rsidR="00D70ABA" w:rsidRDefault="00D70ABA" w:rsidP="00AC3046">
    <w:pPr>
      <w:pStyle w:val="Header"/>
      <w:spacing w:after="48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080EE7A" w14:textId="10FEB527" w:rsidR="00D70ABA" w:rsidRDefault="00D70ABA" w:rsidP="00EB4129">
        <w:pPr>
          <w:pStyle w:val="Header"/>
          <w:jc w:val="right"/>
        </w:pPr>
        <w:r>
          <w:t>memo-imb-amard-feb21item02</w:t>
        </w:r>
      </w:p>
      <w:p w14:paraId="79917579" w14:textId="1A4662FF" w:rsidR="00D70ABA" w:rsidRDefault="00D70ABA" w:rsidP="00925645">
        <w:pPr>
          <w:pStyle w:val="Header"/>
          <w:spacing w:after="480"/>
          <w:jc w:val="right"/>
        </w:pPr>
        <w:r w:rsidRPr="00EB5D23">
          <w:t xml:space="preserve">Page </w:t>
        </w:r>
        <w:r w:rsidRPr="00EB5D23">
          <w:rPr>
            <w:bCs/>
          </w:rPr>
          <w:fldChar w:fldCharType="begin"/>
        </w:r>
        <w:r w:rsidRPr="00EB5D23">
          <w:rPr>
            <w:bCs/>
          </w:rPr>
          <w:instrText xml:space="preserve"> PAGE </w:instrText>
        </w:r>
        <w:r w:rsidRPr="00EB5D23">
          <w:rPr>
            <w:bCs/>
          </w:rPr>
          <w:fldChar w:fldCharType="separate"/>
        </w:r>
        <w:r w:rsidR="00ED161D">
          <w:rPr>
            <w:bCs/>
            <w:noProof/>
          </w:rPr>
          <w:t>3</w:t>
        </w:r>
        <w:r w:rsidRPr="00EB5D23">
          <w:rPr>
            <w:bCs/>
          </w:rPr>
          <w:fldChar w:fldCharType="end"/>
        </w:r>
        <w:r w:rsidRPr="00EB5D23">
          <w:t xml:space="preserve"> of </w:t>
        </w:r>
        <w:proofErr w:type="gramStart"/>
        <w:r>
          <w:rPr>
            <w:bCs/>
          </w:rPr>
          <w:t>3</w:t>
        </w:r>
        <w:proofErr w:type="gramEnd"/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70ABA" w14:paraId="5DD58725" w14:textId="77777777" w:rsidTr="00D70ABA">
      <w:tc>
        <w:tcPr>
          <w:tcW w:w="3120" w:type="dxa"/>
        </w:tcPr>
        <w:p w14:paraId="32ABA5CE" w14:textId="257AFA94" w:rsidR="00D70ABA" w:rsidRDefault="00D70ABA" w:rsidP="219ED835">
          <w:pPr>
            <w:pStyle w:val="Header"/>
            <w:ind w:left="-115"/>
          </w:pPr>
        </w:p>
      </w:tc>
      <w:tc>
        <w:tcPr>
          <w:tcW w:w="3120" w:type="dxa"/>
        </w:tcPr>
        <w:p w14:paraId="26555EAB" w14:textId="30AB8581" w:rsidR="00D70ABA" w:rsidRDefault="00D70ABA" w:rsidP="219ED835">
          <w:pPr>
            <w:pStyle w:val="Header"/>
            <w:jc w:val="center"/>
          </w:pPr>
        </w:p>
      </w:tc>
      <w:tc>
        <w:tcPr>
          <w:tcW w:w="3120" w:type="dxa"/>
        </w:tcPr>
        <w:p w14:paraId="39FD9C72" w14:textId="22A4A456" w:rsidR="00D70ABA" w:rsidRDefault="00D70ABA" w:rsidP="219ED835">
          <w:pPr>
            <w:pStyle w:val="Header"/>
            <w:ind w:right="-115"/>
            <w:jc w:val="right"/>
          </w:pPr>
        </w:p>
      </w:tc>
    </w:tr>
  </w:tbl>
  <w:p w14:paraId="3C37F277" w14:textId="35C5635A" w:rsidR="00D70ABA" w:rsidRDefault="00D70ABA" w:rsidP="219ED8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 w:val="24"/>
        <w:szCs w:val="24"/>
      </w:rPr>
      <w:id w:val="801963882"/>
      <w:docPartObj>
        <w:docPartGallery w:val="Page Numbers (Top of Page)"/>
        <w:docPartUnique/>
      </w:docPartObj>
    </w:sdtPr>
    <w:sdtEndPr/>
    <w:sdtContent>
      <w:p w14:paraId="7FF81043" w14:textId="6E2D9C25" w:rsidR="00D70ABA" w:rsidRPr="00422F56" w:rsidRDefault="00D70ABA" w:rsidP="00EE3485">
        <w:pPr>
          <w:pStyle w:val="ListBullet"/>
          <w:numPr>
            <w:ilvl w:val="0"/>
            <w:numId w:val="0"/>
          </w:numPr>
          <w:spacing w:after="0" w:line="240" w:lineRule="auto"/>
          <w:jc w:val="right"/>
          <w:rPr>
            <w:sz w:val="24"/>
            <w:szCs w:val="24"/>
          </w:rPr>
        </w:pPr>
        <w:r w:rsidRPr="00422F56">
          <w:rPr>
            <w:sz w:val="24"/>
            <w:szCs w:val="24"/>
          </w:rPr>
          <w:t>memo-</w:t>
        </w:r>
        <w:r>
          <w:rPr>
            <w:sz w:val="24"/>
            <w:szCs w:val="24"/>
          </w:rPr>
          <w:t>imb</w:t>
        </w:r>
        <w:r w:rsidRPr="00422F56">
          <w:rPr>
            <w:sz w:val="24"/>
            <w:szCs w:val="24"/>
          </w:rPr>
          <w:t>-</w:t>
        </w:r>
        <w:r>
          <w:rPr>
            <w:sz w:val="24"/>
            <w:szCs w:val="24"/>
          </w:rPr>
          <w:t>amard</w:t>
        </w:r>
        <w:r w:rsidRPr="00422F56">
          <w:rPr>
            <w:sz w:val="24"/>
            <w:szCs w:val="24"/>
          </w:rPr>
          <w:t>-</w:t>
        </w:r>
        <w:r>
          <w:rPr>
            <w:sz w:val="24"/>
            <w:szCs w:val="24"/>
          </w:rPr>
          <w:t>feb</w:t>
        </w:r>
        <w:r w:rsidRPr="00422F56">
          <w:rPr>
            <w:sz w:val="24"/>
            <w:szCs w:val="24"/>
          </w:rPr>
          <w:t>2</w:t>
        </w:r>
        <w:r>
          <w:rPr>
            <w:sz w:val="24"/>
            <w:szCs w:val="24"/>
          </w:rPr>
          <w:t>1</w:t>
        </w:r>
        <w:r w:rsidRPr="00422F56">
          <w:rPr>
            <w:sz w:val="24"/>
            <w:szCs w:val="24"/>
          </w:rPr>
          <w:t>item0</w:t>
        </w:r>
        <w:r>
          <w:rPr>
            <w:sz w:val="24"/>
            <w:szCs w:val="24"/>
          </w:rPr>
          <w:t>1</w:t>
        </w:r>
      </w:p>
      <w:p w14:paraId="6A94D2BF" w14:textId="598CE452" w:rsidR="00D70ABA" w:rsidRPr="00422F56" w:rsidRDefault="00D70ABA" w:rsidP="00EE3485">
        <w:pPr>
          <w:pStyle w:val="ListBullet"/>
          <w:numPr>
            <w:ilvl w:val="0"/>
            <w:numId w:val="0"/>
          </w:numPr>
          <w:spacing w:after="0" w:line="240" w:lineRule="auto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 xml:space="preserve">Attachment </w:t>
        </w:r>
        <w:proofErr w:type="gramStart"/>
        <w:r>
          <w:rPr>
            <w:sz w:val="24"/>
            <w:szCs w:val="24"/>
          </w:rPr>
          <w:t>1</w:t>
        </w:r>
        <w:proofErr w:type="gramEnd"/>
      </w:p>
      <w:p w14:paraId="6A65E5B1" w14:textId="20684C8D" w:rsidR="00D70ABA" w:rsidRPr="00180F18" w:rsidRDefault="00D70ABA" w:rsidP="00D06DCF">
        <w:pPr>
          <w:pStyle w:val="Header"/>
          <w:spacing w:after="480"/>
          <w:jc w:val="right"/>
        </w:pPr>
        <w:r w:rsidRPr="00422F56">
          <w:t xml:space="preserve">Page </w:t>
        </w:r>
        <w:r w:rsidRPr="00422F56">
          <w:rPr>
            <w:bCs/>
          </w:rPr>
          <w:fldChar w:fldCharType="begin"/>
        </w:r>
        <w:r w:rsidRPr="00422F56">
          <w:rPr>
            <w:bCs/>
          </w:rPr>
          <w:instrText xml:space="preserve"> PAGE </w:instrText>
        </w:r>
        <w:r w:rsidRPr="00422F56">
          <w:rPr>
            <w:bCs/>
          </w:rPr>
          <w:fldChar w:fldCharType="separate"/>
        </w:r>
        <w:r w:rsidR="00ED161D">
          <w:rPr>
            <w:bCs/>
            <w:noProof/>
          </w:rPr>
          <w:t>18</w:t>
        </w:r>
        <w:r w:rsidRPr="00422F56">
          <w:rPr>
            <w:bCs/>
          </w:rPr>
          <w:fldChar w:fldCharType="end"/>
        </w:r>
        <w:r w:rsidRPr="00422F56">
          <w:t xml:space="preserve"> of </w:t>
        </w:r>
        <w:proofErr w:type="gramStart"/>
        <w:r>
          <w:t>64</w:t>
        </w:r>
        <w:proofErr w:type="gramEnd"/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567393"/>
      <w:docPartObj>
        <w:docPartGallery w:val="Page Numbers (Top of Page)"/>
        <w:docPartUnique/>
      </w:docPartObj>
    </w:sdtPr>
    <w:sdtEndPr/>
    <w:sdtContent>
      <w:p w14:paraId="5EF888C5" w14:textId="2814BF68" w:rsidR="00D70ABA" w:rsidRDefault="00D70ABA" w:rsidP="00916A2B">
        <w:pPr>
          <w:pStyle w:val="Header"/>
          <w:jc w:val="right"/>
        </w:pPr>
        <w:r>
          <w:t>memo-imb-amard-feb21item02</w:t>
        </w:r>
      </w:p>
      <w:p w14:paraId="7FA3DA22" w14:textId="7A3E3625" w:rsidR="00D70ABA" w:rsidRDefault="00D70ABA" w:rsidP="00916A2B">
        <w:pPr>
          <w:pStyle w:val="Header"/>
          <w:jc w:val="right"/>
        </w:pPr>
        <w:r>
          <w:t xml:space="preserve">Attachment </w:t>
        </w:r>
        <w:proofErr w:type="gramStart"/>
        <w:r>
          <w:t>1</w:t>
        </w:r>
        <w:proofErr w:type="gramEnd"/>
      </w:p>
      <w:p w14:paraId="4BF4521F" w14:textId="6F31CF34" w:rsidR="00D70ABA" w:rsidRPr="00916A2B" w:rsidRDefault="00D70ABA" w:rsidP="00330ABE">
        <w:pPr>
          <w:pStyle w:val="Header"/>
          <w:spacing w:after="480"/>
          <w:jc w:val="right"/>
        </w:pPr>
        <w:r w:rsidRPr="00916A2B">
          <w:t xml:space="preserve">Page </w:t>
        </w:r>
        <w:r w:rsidRPr="00916A2B">
          <w:rPr>
            <w:bCs/>
          </w:rPr>
          <w:fldChar w:fldCharType="begin"/>
        </w:r>
        <w:r w:rsidRPr="00916A2B">
          <w:rPr>
            <w:bCs/>
          </w:rPr>
          <w:instrText xml:space="preserve"> PAGE </w:instrText>
        </w:r>
        <w:r w:rsidRPr="00916A2B">
          <w:rPr>
            <w:bCs/>
          </w:rPr>
          <w:fldChar w:fldCharType="separate"/>
        </w:r>
        <w:r w:rsidR="00ED161D">
          <w:rPr>
            <w:bCs/>
            <w:noProof/>
          </w:rPr>
          <w:t>1</w:t>
        </w:r>
        <w:r w:rsidRPr="00916A2B">
          <w:rPr>
            <w:bCs/>
          </w:rPr>
          <w:fldChar w:fldCharType="end"/>
        </w:r>
        <w:r w:rsidRPr="00916A2B">
          <w:t xml:space="preserve"> of </w:t>
        </w:r>
        <w:proofErr w:type="gramStart"/>
        <w:r>
          <w:rPr>
            <w:bCs/>
          </w:rPr>
          <w:t>64</w:t>
        </w:r>
        <w:proofErr w:type="gram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0EA9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D0CAD"/>
    <w:multiLevelType w:val="hybridMultilevel"/>
    <w:tmpl w:val="0EFA01AA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13152D8"/>
    <w:multiLevelType w:val="hybridMultilevel"/>
    <w:tmpl w:val="9C3660E4"/>
    <w:lvl w:ilvl="0" w:tplc="B5C4AF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9E25A4A">
      <w:start w:val="1"/>
      <w:numFmt w:val="lowerLetter"/>
      <w:lvlText w:val="%2."/>
      <w:lvlJc w:val="left"/>
      <w:pPr>
        <w:ind w:left="1440" w:hanging="360"/>
      </w:pPr>
    </w:lvl>
    <w:lvl w:ilvl="2" w:tplc="5FDC00EE">
      <w:start w:val="1"/>
      <w:numFmt w:val="lowerRoman"/>
      <w:lvlText w:val="%3."/>
      <w:lvlJc w:val="right"/>
      <w:pPr>
        <w:ind w:left="2160" w:hanging="180"/>
      </w:pPr>
    </w:lvl>
    <w:lvl w:ilvl="3" w:tplc="04E083A6">
      <w:start w:val="1"/>
      <w:numFmt w:val="decimal"/>
      <w:lvlText w:val="%4."/>
      <w:lvlJc w:val="left"/>
      <w:pPr>
        <w:ind w:left="2880" w:hanging="360"/>
      </w:pPr>
    </w:lvl>
    <w:lvl w:ilvl="4" w:tplc="122226DE">
      <w:start w:val="1"/>
      <w:numFmt w:val="lowerLetter"/>
      <w:lvlText w:val="%5."/>
      <w:lvlJc w:val="left"/>
      <w:pPr>
        <w:ind w:left="3600" w:hanging="360"/>
      </w:pPr>
    </w:lvl>
    <w:lvl w:ilvl="5" w:tplc="60D68832">
      <w:start w:val="1"/>
      <w:numFmt w:val="lowerRoman"/>
      <w:lvlText w:val="%6."/>
      <w:lvlJc w:val="right"/>
      <w:pPr>
        <w:ind w:left="4320" w:hanging="180"/>
      </w:pPr>
    </w:lvl>
    <w:lvl w:ilvl="6" w:tplc="5BB003DA">
      <w:start w:val="1"/>
      <w:numFmt w:val="decimal"/>
      <w:lvlText w:val="%7."/>
      <w:lvlJc w:val="left"/>
      <w:pPr>
        <w:ind w:left="5040" w:hanging="360"/>
      </w:pPr>
    </w:lvl>
    <w:lvl w:ilvl="7" w:tplc="099012E4">
      <w:start w:val="1"/>
      <w:numFmt w:val="lowerLetter"/>
      <w:lvlText w:val="%8."/>
      <w:lvlJc w:val="left"/>
      <w:pPr>
        <w:ind w:left="5760" w:hanging="360"/>
      </w:pPr>
    </w:lvl>
    <w:lvl w:ilvl="8" w:tplc="FB080C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7B55"/>
    <w:multiLevelType w:val="hybridMultilevel"/>
    <w:tmpl w:val="DC88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7E9B"/>
    <w:multiLevelType w:val="hybridMultilevel"/>
    <w:tmpl w:val="A84A91B0"/>
    <w:lvl w:ilvl="0" w:tplc="10280B24">
      <w:start w:val="1"/>
      <w:numFmt w:val="bullet"/>
      <w:pStyle w:val="Subbullet3"/>
      <w:lvlText w:val="–"/>
      <w:lvlJc w:val="left"/>
      <w:pPr>
        <w:tabs>
          <w:tab w:val="num" w:pos="576"/>
        </w:tabs>
        <w:ind w:left="576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5C78"/>
    <w:multiLevelType w:val="hybridMultilevel"/>
    <w:tmpl w:val="C9D461E8"/>
    <w:lvl w:ilvl="0" w:tplc="905A5580">
      <w:start w:val="1"/>
      <w:numFmt w:val="bullet"/>
      <w:pStyle w:val="BulletsSquar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E13CD"/>
    <w:multiLevelType w:val="hybridMultilevel"/>
    <w:tmpl w:val="C914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5D72"/>
    <w:multiLevelType w:val="hybridMultilevel"/>
    <w:tmpl w:val="5240ED14"/>
    <w:lvl w:ilvl="0" w:tplc="CACEC6BE">
      <w:start w:val="1"/>
      <w:numFmt w:val="decimal"/>
      <w:lvlText w:val="%1."/>
      <w:lvlJc w:val="right"/>
      <w:pPr>
        <w:ind w:left="1008" w:hanging="360"/>
      </w:pPr>
      <w:rPr>
        <w:rFonts w:ascii="Arial" w:hAnsi="Arial" w:cs="Arial" w:hint="default"/>
        <w:b w:val="0"/>
        <w:i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1D668DC"/>
    <w:multiLevelType w:val="hybridMultilevel"/>
    <w:tmpl w:val="EB3E6C32"/>
    <w:lvl w:ilvl="0" w:tplc="3D7A03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7CA2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29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6B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CC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8F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C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20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93FBA"/>
    <w:multiLevelType w:val="hybridMultilevel"/>
    <w:tmpl w:val="2A08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D001E"/>
    <w:multiLevelType w:val="hybridMultilevel"/>
    <w:tmpl w:val="8096653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83C799D"/>
    <w:multiLevelType w:val="hybridMultilevel"/>
    <w:tmpl w:val="65280BB0"/>
    <w:lvl w:ilvl="0" w:tplc="B52CFDB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75F19"/>
    <w:multiLevelType w:val="hybridMultilevel"/>
    <w:tmpl w:val="02B422A0"/>
    <w:lvl w:ilvl="0" w:tplc="A8D6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2A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A2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0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2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8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6F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0D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5B83"/>
    <w:multiLevelType w:val="hybridMultilevel"/>
    <w:tmpl w:val="AB2897AA"/>
    <w:lvl w:ilvl="0" w:tplc="429E38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A0DE6"/>
    <w:multiLevelType w:val="hybridMultilevel"/>
    <w:tmpl w:val="B838F48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52E218C"/>
    <w:multiLevelType w:val="hybridMultilevel"/>
    <w:tmpl w:val="5DFABA8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6030330"/>
    <w:multiLevelType w:val="hybridMultilevel"/>
    <w:tmpl w:val="D406A8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27D966EE"/>
    <w:multiLevelType w:val="hybridMultilevel"/>
    <w:tmpl w:val="DC88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73155"/>
    <w:multiLevelType w:val="hybridMultilevel"/>
    <w:tmpl w:val="6E204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20F00"/>
    <w:multiLevelType w:val="hybridMultilevel"/>
    <w:tmpl w:val="6FBE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A19A8"/>
    <w:multiLevelType w:val="hybridMultilevel"/>
    <w:tmpl w:val="ED1619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41B23AB"/>
    <w:multiLevelType w:val="hybridMultilevel"/>
    <w:tmpl w:val="128263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4444FBB"/>
    <w:multiLevelType w:val="hybridMultilevel"/>
    <w:tmpl w:val="B1020B02"/>
    <w:lvl w:ilvl="0" w:tplc="A0626670">
      <w:start w:val="1"/>
      <w:numFmt w:val="lowerLetter"/>
      <w:pStyle w:val="Numbered-a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1094C"/>
    <w:multiLevelType w:val="hybridMultilevel"/>
    <w:tmpl w:val="D1343A9E"/>
    <w:lvl w:ilvl="0" w:tplc="4ECC507E">
      <w:start w:val="1"/>
      <w:numFmt w:val="lowerRoman"/>
      <w:pStyle w:val="NumberedSub1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E10CE3"/>
    <w:multiLevelType w:val="hybridMultilevel"/>
    <w:tmpl w:val="70EA517E"/>
    <w:lvl w:ilvl="0" w:tplc="6E2E6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A84AD6E">
      <w:start w:val="1"/>
      <w:numFmt w:val="decimal"/>
      <w:lvlText w:val="%2."/>
      <w:lvlJc w:val="left"/>
      <w:pPr>
        <w:ind w:left="1440" w:hanging="360"/>
      </w:pPr>
    </w:lvl>
    <w:lvl w:ilvl="2" w:tplc="FA8C6E4A">
      <w:start w:val="1"/>
      <w:numFmt w:val="lowerRoman"/>
      <w:lvlText w:val="%3."/>
      <w:lvlJc w:val="right"/>
      <w:pPr>
        <w:ind w:left="2160" w:hanging="180"/>
      </w:pPr>
    </w:lvl>
    <w:lvl w:ilvl="3" w:tplc="A282F41C">
      <w:start w:val="1"/>
      <w:numFmt w:val="decimal"/>
      <w:lvlText w:val="%4."/>
      <w:lvlJc w:val="left"/>
      <w:pPr>
        <w:ind w:left="2880" w:hanging="360"/>
      </w:pPr>
    </w:lvl>
    <w:lvl w:ilvl="4" w:tplc="59D49888">
      <w:start w:val="1"/>
      <w:numFmt w:val="lowerLetter"/>
      <w:lvlText w:val="%5."/>
      <w:lvlJc w:val="left"/>
      <w:pPr>
        <w:ind w:left="3600" w:hanging="360"/>
      </w:pPr>
    </w:lvl>
    <w:lvl w:ilvl="5" w:tplc="31980FCE">
      <w:start w:val="1"/>
      <w:numFmt w:val="lowerRoman"/>
      <w:lvlText w:val="%6."/>
      <w:lvlJc w:val="right"/>
      <w:pPr>
        <w:ind w:left="4320" w:hanging="180"/>
      </w:pPr>
    </w:lvl>
    <w:lvl w:ilvl="6" w:tplc="B26681C8">
      <w:start w:val="1"/>
      <w:numFmt w:val="decimal"/>
      <w:lvlText w:val="%7."/>
      <w:lvlJc w:val="left"/>
      <w:pPr>
        <w:ind w:left="5040" w:hanging="360"/>
      </w:pPr>
    </w:lvl>
    <w:lvl w:ilvl="7" w:tplc="5560A18C">
      <w:start w:val="1"/>
      <w:numFmt w:val="lowerLetter"/>
      <w:lvlText w:val="%8."/>
      <w:lvlJc w:val="left"/>
      <w:pPr>
        <w:ind w:left="5760" w:hanging="360"/>
      </w:pPr>
    </w:lvl>
    <w:lvl w:ilvl="8" w:tplc="2464827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57F2E"/>
    <w:multiLevelType w:val="hybridMultilevel"/>
    <w:tmpl w:val="A6B6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B5369"/>
    <w:multiLevelType w:val="hybridMultilevel"/>
    <w:tmpl w:val="22D0FE46"/>
    <w:lvl w:ilvl="0" w:tplc="5F9E9E8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F5757"/>
    <w:multiLevelType w:val="hybridMultilevel"/>
    <w:tmpl w:val="E242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A5D65"/>
    <w:multiLevelType w:val="hybridMultilevel"/>
    <w:tmpl w:val="E4B45E7C"/>
    <w:lvl w:ilvl="0" w:tplc="491E676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148FD"/>
    <w:multiLevelType w:val="hybridMultilevel"/>
    <w:tmpl w:val="8D60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D815DE">
      <w:start w:val="1"/>
      <w:numFmt w:val="upperLetter"/>
      <w:pStyle w:val="NumberedA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C478E43A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F7CCE36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1C0B"/>
    <w:multiLevelType w:val="hybridMultilevel"/>
    <w:tmpl w:val="1CCAF032"/>
    <w:lvl w:ilvl="0" w:tplc="786C2C90">
      <w:start w:val="1"/>
      <w:numFmt w:val="decimal"/>
      <w:pStyle w:val="NumberedSteps"/>
      <w:lvlText w:val="Step %1.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22577"/>
    <w:multiLevelType w:val="hybridMultilevel"/>
    <w:tmpl w:val="5DA28B56"/>
    <w:lvl w:ilvl="0" w:tplc="FEFC92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ED7EC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07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2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E7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CC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6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C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2E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4D1C1F"/>
    <w:multiLevelType w:val="hybridMultilevel"/>
    <w:tmpl w:val="EA344BC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3384E54"/>
    <w:multiLevelType w:val="hybridMultilevel"/>
    <w:tmpl w:val="625CD4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540A5C98"/>
    <w:multiLevelType w:val="hybridMultilevel"/>
    <w:tmpl w:val="E77C1FCC"/>
    <w:lvl w:ilvl="0" w:tplc="7DE66914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04262"/>
    <w:multiLevelType w:val="hybridMultilevel"/>
    <w:tmpl w:val="1640F9E0"/>
    <w:lvl w:ilvl="0" w:tplc="5F9E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CB82D75C">
      <w:start w:val="1"/>
      <w:numFmt w:val="bullet"/>
      <w:pStyle w:val="TableBullets2"/>
      <w:lvlText w:val="–"/>
      <w:lvlJc w:val="left"/>
      <w:pPr>
        <w:ind w:left="1440" w:hanging="360"/>
      </w:pPr>
      <w:rPr>
        <w:rFonts w:ascii="Franklin Gothic Medium" w:hAnsi="Franklin Gothic Mediu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B6CA0"/>
    <w:multiLevelType w:val="hybridMultilevel"/>
    <w:tmpl w:val="F43C558C"/>
    <w:lvl w:ilvl="0" w:tplc="8314F93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560A0E2A">
      <w:start w:val="1"/>
      <w:numFmt w:val="lowerLetter"/>
      <w:pStyle w:val="NumberedSub"/>
      <w:lvlText w:val="%2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 w:tplc="BB02ACCC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3" w:tplc="9FDA1680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4" w:tplc="887A192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76E93FC">
      <w:start w:val="1"/>
      <w:numFmt w:val="lowerRoman"/>
      <w:lvlText w:val="(%6)"/>
      <w:lvlJc w:val="left"/>
      <w:pPr>
        <w:ind w:left="2160" w:hanging="360"/>
      </w:pPr>
      <w:rPr>
        <w:rFonts w:hint="default"/>
        <w:sz w:val="22"/>
        <w:szCs w:val="22"/>
      </w:rPr>
    </w:lvl>
    <w:lvl w:ilvl="6" w:tplc="9690AE6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C7E7CC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802029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93C0E9F"/>
    <w:multiLevelType w:val="hybridMultilevel"/>
    <w:tmpl w:val="374A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226B6"/>
    <w:multiLevelType w:val="hybridMultilevel"/>
    <w:tmpl w:val="B21EAE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59904339"/>
    <w:multiLevelType w:val="hybridMultilevel"/>
    <w:tmpl w:val="50FAFA92"/>
    <w:lvl w:ilvl="0" w:tplc="1E121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3E1A"/>
    <w:multiLevelType w:val="hybridMultilevel"/>
    <w:tmpl w:val="8B76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F7EE5"/>
    <w:multiLevelType w:val="hybridMultilevel"/>
    <w:tmpl w:val="111265C0"/>
    <w:lvl w:ilvl="0" w:tplc="B548176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DEE4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C3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0E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A4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85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A1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E3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29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6B5BDB"/>
    <w:multiLevelType w:val="hybridMultilevel"/>
    <w:tmpl w:val="BF00FA94"/>
    <w:lvl w:ilvl="0" w:tplc="79842C10">
      <w:start w:val="1"/>
      <w:numFmt w:val="decimal"/>
      <w:pStyle w:val="Numbered"/>
      <w:lvlText w:val="%1."/>
      <w:lvlJc w:val="right"/>
      <w:pPr>
        <w:ind w:left="648" w:hanging="360"/>
      </w:pPr>
      <w:rPr>
        <w:rFonts w:ascii="Arial" w:hAnsi="Arial" w:cs="Arial" w:hint="default"/>
        <w:b w:val="0"/>
        <w:i w:val="0"/>
        <w:strike w:val="0"/>
        <w:color w:val="000000" w:themeColor="text1"/>
        <w:sz w:val="24"/>
        <w:szCs w:val="24"/>
      </w:rPr>
    </w:lvl>
    <w:lvl w:ilvl="1" w:tplc="0426839E">
      <w:start w:val="1"/>
      <w:numFmt w:val="bullet"/>
      <w:pStyle w:val="NumberedSub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FF72B2"/>
    <w:multiLevelType w:val="hybridMultilevel"/>
    <w:tmpl w:val="CFA0BEC8"/>
    <w:lvl w:ilvl="0" w:tplc="8EEC5B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60013"/>
    <w:multiLevelType w:val="hybridMultilevel"/>
    <w:tmpl w:val="243EAE44"/>
    <w:lvl w:ilvl="0" w:tplc="F9140614">
      <w:start w:val="1"/>
      <w:numFmt w:val="decimal"/>
      <w:pStyle w:val="NumberedOne"/>
      <w:lvlText w:val="%1."/>
      <w:lvlJc w:val="right"/>
      <w:pPr>
        <w:ind w:left="1008" w:hanging="360"/>
      </w:pPr>
      <w:rPr>
        <w:rFonts w:hint="default"/>
        <w:b w:val="0"/>
        <w:i w:val="0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5" w15:restartNumberingAfterBreak="0">
    <w:nsid w:val="664250B6"/>
    <w:multiLevelType w:val="hybridMultilevel"/>
    <w:tmpl w:val="AB2897AA"/>
    <w:lvl w:ilvl="0" w:tplc="429E38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06178"/>
    <w:multiLevelType w:val="hybridMultilevel"/>
    <w:tmpl w:val="449EE040"/>
    <w:lvl w:ilvl="0" w:tplc="9BD01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154E7"/>
    <w:multiLevelType w:val="hybridMultilevel"/>
    <w:tmpl w:val="B3542036"/>
    <w:lvl w:ilvl="0" w:tplc="FB9A0A3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221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64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01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61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C2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2C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C7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0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0E6B2A"/>
    <w:multiLevelType w:val="hybridMultilevel"/>
    <w:tmpl w:val="BA5025C6"/>
    <w:lvl w:ilvl="0" w:tplc="252A3432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6FAEF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66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A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63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43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C6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85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0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965A3F"/>
    <w:multiLevelType w:val="hybridMultilevel"/>
    <w:tmpl w:val="28BC426E"/>
    <w:lvl w:ilvl="0" w:tplc="ECC01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01089"/>
    <w:multiLevelType w:val="hybridMultilevel"/>
    <w:tmpl w:val="D112550E"/>
    <w:lvl w:ilvl="0" w:tplc="71C071C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6106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F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8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25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C1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0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AF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26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CB1CE8"/>
    <w:multiLevelType w:val="hybridMultilevel"/>
    <w:tmpl w:val="2C5404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2" w15:restartNumberingAfterBreak="0">
    <w:nsid w:val="736541A7"/>
    <w:multiLevelType w:val="hybridMultilevel"/>
    <w:tmpl w:val="BEAC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54AD7"/>
    <w:multiLevelType w:val="hybridMultilevel"/>
    <w:tmpl w:val="C9EA8DF4"/>
    <w:lvl w:ilvl="0" w:tplc="1140349E">
      <w:start w:val="1"/>
      <w:numFmt w:val="bullet"/>
      <w:pStyle w:val="Subbullet"/>
      <w:lvlText w:val="‒"/>
      <w:lvlJc w:val="left"/>
      <w:pPr>
        <w:ind w:left="158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75725999"/>
    <w:multiLevelType w:val="hybridMultilevel"/>
    <w:tmpl w:val="1F1E20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5" w15:restartNumberingAfterBreak="0">
    <w:nsid w:val="76451577"/>
    <w:multiLevelType w:val="hybridMultilevel"/>
    <w:tmpl w:val="D8827888"/>
    <w:lvl w:ilvl="0" w:tplc="B9405A54">
      <w:start w:val="1"/>
      <w:numFmt w:val="upperLetter"/>
      <w:pStyle w:val="Alpa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4D2330"/>
    <w:multiLevelType w:val="hybridMultilevel"/>
    <w:tmpl w:val="F13C2A58"/>
    <w:lvl w:ilvl="0" w:tplc="6E10E93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501100">
    <w:abstractNumId w:val="0"/>
  </w:num>
  <w:num w:numId="2" w16cid:durableId="386876074">
    <w:abstractNumId w:val="37"/>
  </w:num>
  <w:num w:numId="3" w16cid:durableId="2048948984">
    <w:abstractNumId w:val="12"/>
  </w:num>
  <w:num w:numId="4" w16cid:durableId="1772819369">
    <w:abstractNumId w:val="24"/>
  </w:num>
  <w:num w:numId="5" w16cid:durableId="1127820624">
    <w:abstractNumId w:val="2"/>
  </w:num>
  <w:num w:numId="6" w16cid:durableId="83963387">
    <w:abstractNumId w:val="10"/>
  </w:num>
  <w:num w:numId="7" w16cid:durableId="658533196">
    <w:abstractNumId w:val="47"/>
  </w:num>
  <w:num w:numId="8" w16cid:durableId="626082184">
    <w:abstractNumId w:val="8"/>
  </w:num>
  <w:num w:numId="9" w16cid:durableId="525292747">
    <w:abstractNumId w:val="48"/>
  </w:num>
  <w:num w:numId="10" w16cid:durableId="1698578310">
    <w:abstractNumId w:val="41"/>
  </w:num>
  <w:num w:numId="11" w16cid:durableId="1943221268">
    <w:abstractNumId w:val="50"/>
  </w:num>
  <w:num w:numId="12" w16cid:durableId="523444519">
    <w:abstractNumId w:val="31"/>
  </w:num>
  <w:num w:numId="13" w16cid:durableId="1890458808">
    <w:abstractNumId w:val="4"/>
  </w:num>
  <w:num w:numId="14" w16cid:durableId="2069916275">
    <w:abstractNumId w:val="55"/>
  </w:num>
  <w:num w:numId="15" w16cid:durableId="2018187142">
    <w:abstractNumId w:val="28"/>
  </w:num>
  <w:num w:numId="16" w16cid:durableId="109132889">
    <w:abstractNumId w:val="5"/>
  </w:num>
  <w:num w:numId="17" w16cid:durableId="1368870198">
    <w:abstractNumId w:val="29"/>
  </w:num>
  <w:num w:numId="18" w16cid:durableId="2049645897">
    <w:abstractNumId w:val="36"/>
  </w:num>
  <w:num w:numId="19" w16cid:durableId="1433628909">
    <w:abstractNumId w:val="23"/>
  </w:num>
  <w:num w:numId="20" w16cid:durableId="545992769">
    <w:abstractNumId w:val="26"/>
  </w:num>
  <w:num w:numId="21" w16cid:durableId="892935082">
    <w:abstractNumId w:val="35"/>
  </w:num>
  <w:num w:numId="22" w16cid:durableId="1196308899">
    <w:abstractNumId w:val="53"/>
  </w:num>
  <w:num w:numId="23" w16cid:durableId="980696187">
    <w:abstractNumId w:val="44"/>
  </w:num>
  <w:num w:numId="24" w16cid:durableId="44717767">
    <w:abstractNumId w:val="30"/>
  </w:num>
  <w:num w:numId="25" w16cid:durableId="963535181">
    <w:abstractNumId w:val="42"/>
  </w:num>
  <w:num w:numId="26" w16cid:durableId="1130592833">
    <w:abstractNumId w:val="34"/>
  </w:num>
  <w:num w:numId="27" w16cid:durableId="1832791476">
    <w:abstractNumId w:val="17"/>
  </w:num>
  <w:num w:numId="28" w16cid:durableId="1519539684">
    <w:abstractNumId w:val="13"/>
  </w:num>
  <w:num w:numId="29" w16cid:durableId="1899853653">
    <w:abstractNumId w:val="49"/>
  </w:num>
  <w:num w:numId="30" w16cid:durableId="1290743671">
    <w:abstractNumId w:val="9"/>
  </w:num>
  <w:num w:numId="31" w16cid:durableId="1951931000">
    <w:abstractNumId w:val="27"/>
  </w:num>
  <w:num w:numId="32" w16cid:durableId="2036347497">
    <w:abstractNumId w:val="52"/>
  </w:num>
  <w:num w:numId="33" w16cid:durableId="111099432">
    <w:abstractNumId w:val="18"/>
  </w:num>
  <w:num w:numId="34" w16cid:durableId="1397630779">
    <w:abstractNumId w:val="25"/>
  </w:num>
  <w:num w:numId="35" w16cid:durableId="552427670">
    <w:abstractNumId w:val="6"/>
  </w:num>
  <w:num w:numId="36" w16cid:durableId="912469689">
    <w:abstractNumId w:val="45"/>
  </w:num>
  <w:num w:numId="37" w16cid:durableId="2104841139">
    <w:abstractNumId w:val="19"/>
  </w:num>
  <w:num w:numId="38" w16cid:durableId="1947813546">
    <w:abstractNumId w:val="40"/>
  </w:num>
  <w:num w:numId="39" w16cid:durableId="2133549033">
    <w:abstractNumId w:val="3"/>
  </w:num>
  <w:num w:numId="40" w16cid:durableId="382601055">
    <w:abstractNumId w:val="56"/>
  </w:num>
  <w:num w:numId="41" w16cid:durableId="764115977">
    <w:abstractNumId w:val="22"/>
  </w:num>
  <w:num w:numId="42" w16cid:durableId="1896816802">
    <w:abstractNumId w:val="7"/>
    <w:lvlOverride w:ilvl="0">
      <w:startOverride w:val="1"/>
    </w:lvlOverride>
  </w:num>
  <w:num w:numId="43" w16cid:durableId="483081956">
    <w:abstractNumId w:val="22"/>
    <w:lvlOverride w:ilvl="0">
      <w:startOverride w:val="1"/>
    </w:lvlOverride>
  </w:num>
  <w:num w:numId="44" w16cid:durableId="225069291">
    <w:abstractNumId w:val="22"/>
    <w:lvlOverride w:ilvl="0">
      <w:startOverride w:val="1"/>
    </w:lvlOverride>
  </w:num>
  <w:num w:numId="45" w16cid:durableId="278420874">
    <w:abstractNumId w:val="14"/>
  </w:num>
  <w:num w:numId="46" w16cid:durableId="1874220733">
    <w:abstractNumId w:val="20"/>
  </w:num>
  <w:num w:numId="47" w16cid:durableId="1085373901">
    <w:abstractNumId w:val="32"/>
  </w:num>
  <w:num w:numId="48" w16cid:durableId="424569384">
    <w:abstractNumId w:val="38"/>
  </w:num>
  <w:num w:numId="49" w16cid:durableId="921135871">
    <w:abstractNumId w:val="21"/>
  </w:num>
  <w:num w:numId="50" w16cid:durableId="514030094">
    <w:abstractNumId w:val="54"/>
  </w:num>
  <w:num w:numId="51" w16cid:durableId="494301042">
    <w:abstractNumId w:val="15"/>
  </w:num>
  <w:num w:numId="52" w16cid:durableId="1389767767">
    <w:abstractNumId w:val="33"/>
  </w:num>
  <w:num w:numId="53" w16cid:durableId="544684171">
    <w:abstractNumId w:val="16"/>
  </w:num>
  <w:num w:numId="54" w16cid:durableId="772361195">
    <w:abstractNumId w:val="51"/>
  </w:num>
  <w:num w:numId="55" w16cid:durableId="1888376401">
    <w:abstractNumId w:val="46"/>
  </w:num>
  <w:num w:numId="56" w16cid:durableId="884944969">
    <w:abstractNumId w:val="39"/>
  </w:num>
  <w:num w:numId="57" w16cid:durableId="709189431">
    <w:abstractNumId w:val="1"/>
  </w:num>
  <w:num w:numId="58" w16cid:durableId="638000220">
    <w:abstractNumId w:val="46"/>
    <w:lvlOverride w:ilvl="0">
      <w:startOverride w:val="1"/>
    </w:lvlOverride>
  </w:num>
  <w:num w:numId="59" w16cid:durableId="2000649143">
    <w:abstractNumId w:val="46"/>
    <w:lvlOverride w:ilvl="0">
      <w:startOverride w:val="1"/>
    </w:lvlOverride>
  </w:num>
  <w:num w:numId="60" w16cid:durableId="1404791729">
    <w:abstractNumId w:val="43"/>
  </w:num>
  <w:num w:numId="61" w16cid:durableId="1652903142">
    <w:abstractNumId w:val="43"/>
    <w:lvlOverride w:ilvl="0">
      <w:startOverride w:val="1"/>
    </w:lvlOverride>
  </w:num>
  <w:num w:numId="62" w16cid:durableId="460733492">
    <w:abstractNumId w:val="43"/>
    <w:lvlOverride w:ilvl="0">
      <w:startOverride w:val="1"/>
    </w:lvlOverride>
  </w:num>
  <w:num w:numId="63" w16cid:durableId="334958934">
    <w:abstractNumId w:val="11"/>
  </w:num>
  <w:num w:numId="64" w16cid:durableId="341472628">
    <w:abstractNumId w:val="11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I0MLcxMTC1MjI3NLYyUdpeDU4uLM/DyQAqNaABRO4I0sAAAA"/>
  </w:docVars>
  <w:rsids>
    <w:rsidRoot w:val="005623EB"/>
    <w:rsid w:val="00001842"/>
    <w:rsid w:val="000029D5"/>
    <w:rsid w:val="0001549E"/>
    <w:rsid w:val="00017F56"/>
    <w:rsid w:val="00026706"/>
    <w:rsid w:val="00027735"/>
    <w:rsid w:val="00027BD3"/>
    <w:rsid w:val="00030245"/>
    <w:rsid w:val="000306A4"/>
    <w:rsid w:val="000311A8"/>
    <w:rsid w:val="00031C0F"/>
    <w:rsid w:val="00034743"/>
    <w:rsid w:val="00037E6C"/>
    <w:rsid w:val="00041046"/>
    <w:rsid w:val="00053AA0"/>
    <w:rsid w:val="00054CA3"/>
    <w:rsid w:val="00062E56"/>
    <w:rsid w:val="000732A3"/>
    <w:rsid w:val="00081482"/>
    <w:rsid w:val="00083922"/>
    <w:rsid w:val="000839E5"/>
    <w:rsid w:val="00084522"/>
    <w:rsid w:val="000851AA"/>
    <w:rsid w:val="00095F29"/>
    <w:rsid w:val="000A00E7"/>
    <w:rsid w:val="000A03F4"/>
    <w:rsid w:val="000A6026"/>
    <w:rsid w:val="000A7B8D"/>
    <w:rsid w:val="000C13A8"/>
    <w:rsid w:val="000C4073"/>
    <w:rsid w:val="000C5D41"/>
    <w:rsid w:val="000D1EBB"/>
    <w:rsid w:val="000D334B"/>
    <w:rsid w:val="000D555A"/>
    <w:rsid w:val="000E04FD"/>
    <w:rsid w:val="000E7122"/>
    <w:rsid w:val="000E7DC6"/>
    <w:rsid w:val="000F1BF6"/>
    <w:rsid w:val="000F4000"/>
    <w:rsid w:val="000F71C5"/>
    <w:rsid w:val="0010025C"/>
    <w:rsid w:val="0010206F"/>
    <w:rsid w:val="00102BC2"/>
    <w:rsid w:val="001132F0"/>
    <w:rsid w:val="00113A48"/>
    <w:rsid w:val="00113F98"/>
    <w:rsid w:val="00114658"/>
    <w:rsid w:val="0011478E"/>
    <w:rsid w:val="001229F1"/>
    <w:rsid w:val="00124BB1"/>
    <w:rsid w:val="00126DD0"/>
    <w:rsid w:val="00133144"/>
    <w:rsid w:val="00134D3D"/>
    <w:rsid w:val="00147C82"/>
    <w:rsid w:val="00151215"/>
    <w:rsid w:val="0015179B"/>
    <w:rsid w:val="00155F90"/>
    <w:rsid w:val="00166819"/>
    <w:rsid w:val="001712BC"/>
    <w:rsid w:val="00180F18"/>
    <w:rsid w:val="001813F3"/>
    <w:rsid w:val="0018784C"/>
    <w:rsid w:val="0019256E"/>
    <w:rsid w:val="0019326F"/>
    <w:rsid w:val="001976DE"/>
    <w:rsid w:val="001A2C64"/>
    <w:rsid w:val="001A30D1"/>
    <w:rsid w:val="001A5793"/>
    <w:rsid w:val="001A58F7"/>
    <w:rsid w:val="001A69BA"/>
    <w:rsid w:val="001B7426"/>
    <w:rsid w:val="001C1E07"/>
    <w:rsid w:val="001C5581"/>
    <w:rsid w:val="001C7A6E"/>
    <w:rsid w:val="001D0313"/>
    <w:rsid w:val="001D2042"/>
    <w:rsid w:val="001D4977"/>
    <w:rsid w:val="001D4B49"/>
    <w:rsid w:val="001D6E86"/>
    <w:rsid w:val="001E7072"/>
    <w:rsid w:val="001E7600"/>
    <w:rsid w:val="001F3A0B"/>
    <w:rsid w:val="001F7000"/>
    <w:rsid w:val="001F7694"/>
    <w:rsid w:val="00202697"/>
    <w:rsid w:val="002026C7"/>
    <w:rsid w:val="00202E90"/>
    <w:rsid w:val="00210588"/>
    <w:rsid w:val="0023040A"/>
    <w:rsid w:val="00233064"/>
    <w:rsid w:val="00233E8C"/>
    <w:rsid w:val="00233FCD"/>
    <w:rsid w:val="002341D1"/>
    <w:rsid w:val="00236436"/>
    <w:rsid w:val="00237967"/>
    <w:rsid w:val="00242CB6"/>
    <w:rsid w:val="00246707"/>
    <w:rsid w:val="002478DD"/>
    <w:rsid w:val="00250D03"/>
    <w:rsid w:val="002553EF"/>
    <w:rsid w:val="002623F7"/>
    <w:rsid w:val="002630EE"/>
    <w:rsid w:val="002630F2"/>
    <w:rsid w:val="0026345B"/>
    <w:rsid w:val="0027019F"/>
    <w:rsid w:val="002729BA"/>
    <w:rsid w:val="00275092"/>
    <w:rsid w:val="00276C9D"/>
    <w:rsid w:val="00277FC4"/>
    <w:rsid w:val="00281AB7"/>
    <w:rsid w:val="002823AD"/>
    <w:rsid w:val="00285AEA"/>
    <w:rsid w:val="0028659C"/>
    <w:rsid w:val="00291E04"/>
    <w:rsid w:val="002A34D0"/>
    <w:rsid w:val="002A6C8C"/>
    <w:rsid w:val="002A7961"/>
    <w:rsid w:val="002A79D6"/>
    <w:rsid w:val="002B477D"/>
    <w:rsid w:val="002B553D"/>
    <w:rsid w:val="002C1CAF"/>
    <w:rsid w:val="002C6156"/>
    <w:rsid w:val="002D45E1"/>
    <w:rsid w:val="002E2738"/>
    <w:rsid w:val="002E44E8"/>
    <w:rsid w:val="002E6420"/>
    <w:rsid w:val="002E7D1C"/>
    <w:rsid w:val="002F5821"/>
    <w:rsid w:val="002F62D3"/>
    <w:rsid w:val="0030080E"/>
    <w:rsid w:val="003101B1"/>
    <w:rsid w:val="00314087"/>
    <w:rsid w:val="003141A4"/>
    <w:rsid w:val="0031710A"/>
    <w:rsid w:val="0031739A"/>
    <w:rsid w:val="00317B11"/>
    <w:rsid w:val="00317D81"/>
    <w:rsid w:val="003214FC"/>
    <w:rsid w:val="00322C25"/>
    <w:rsid w:val="00326D10"/>
    <w:rsid w:val="00326FB3"/>
    <w:rsid w:val="0033063E"/>
    <w:rsid w:val="00330ABE"/>
    <w:rsid w:val="00330B17"/>
    <w:rsid w:val="0033566D"/>
    <w:rsid w:val="003406F9"/>
    <w:rsid w:val="00341139"/>
    <w:rsid w:val="0034193D"/>
    <w:rsid w:val="0034204E"/>
    <w:rsid w:val="0034245E"/>
    <w:rsid w:val="00342613"/>
    <w:rsid w:val="00343E1B"/>
    <w:rsid w:val="003478DE"/>
    <w:rsid w:val="0035253A"/>
    <w:rsid w:val="00352F68"/>
    <w:rsid w:val="0035326F"/>
    <w:rsid w:val="003552BA"/>
    <w:rsid w:val="00357EF8"/>
    <w:rsid w:val="00360B65"/>
    <w:rsid w:val="00364975"/>
    <w:rsid w:val="00367D53"/>
    <w:rsid w:val="00371A13"/>
    <w:rsid w:val="003734F3"/>
    <w:rsid w:val="00374434"/>
    <w:rsid w:val="00384C95"/>
    <w:rsid w:val="003869DF"/>
    <w:rsid w:val="00387961"/>
    <w:rsid w:val="00392550"/>
    <w:rsid w:val="00393075"/>
    <w:rsid w:val="00393FC0"/>
    <w:rsid w:val="003944DE"/>
    <w:rsid w:val="00396DE9"/>
    <w:rsid w:val="00397A82"/>
    <w:rsid w:val="003A2A88"/>
    <w:rsid w:val="003B1E33"/>
    <w:rsid w:val="003B2319"/>
    <w:rsid w:val="003B4017"/>
    <w:rsid w:val="003B5268"/>
    <w:rsid w:val="003B584C"/>
    <w:rsid w:val="003C210F"/>
    <w:rsid w:val="003C734B"/>
    <w:rsid w:val="003D130E"/>
    <w:rsid w:val="003D229F"/>
    <w:rsid w:val="003D3C06"/>
    <w:rsid w:val="003D5300"/>
    <w:rsid w:val="003D6F03"/>
    <w:rsid w:val="003E2037"/>
    <w:rsid w:val="003E334F"/>
    <w:rsid w:val="003E664B"/>
    <w:rsid w:val="003F0FD1"/>
    <w:rsid w:val="003F2189"/>
    <w:rsid w:val="003F5F40"/>
    <w:rsid w:val="0040369D"/>
    <w:rsid w:val="0041529D"/>
    <w:rsid w:val="004169F3"/>
    <w:rsid w:val="00422E65"/>
    <w:rsid w:val="00422F56"/>
    <w:rsid w:val="00425A30"/>
    <w:rsid w:val="00430DC0"/>
    <w:rsid w:val="00432769"/>
    <w:rsid w:val="00433547"/>
    <w:rsid w:val="00434742"/>
    <w:rsid w:val="0044413D"/>
    <w:rsid w:val="00451B66"/>
    <w:rsid w:val="00455DA3"/>
    <w:rsid w:val="00457B3C"/>
    <w:rsid w:val="0046344A"/>
    <w:rsid w:val="00464A14"/>
    <w:rsid w:val="004661EB"/>
    <w:rsid w:val="0047308B"/>
    <w:rsid w:val="00481CBB"/>
    <w:rsid w:val="00483EBC"/>
    <w:rsid w:val="00494E32"/>
    <w:rsid w:val="004B1104"/>
    <w:rsid w:val="004B7632"/>
    <w:rsid w:val="004C03B7"/>
    <w:rsid w:val="004C1C76"/>
    <w:rsid w:val="004C1CEA"/>
    <w:rsid w:val="004D0101"/>
    <w:rsid w:val="004D0704"/>
    <w:rsid w:val="004D3413"/>
    <w:rsid w:val="004D4184"/>
    <w:rsid w:val="004D4F7D"/>
    <w:rsid w:val="004D56C3"/>
    <w:rsid w:val="004E003C"/>
    <w:rsid w:val="004E093D"/>
    <w:rsid w:val="004E5456"/>
    <w:rsid w:val="004E58D7"/>
    <w:rsid w:val="004F0366"/>
    <w:rsid w:val="004F37F2"/>
    <w:rsid w:val="004F58C4"/>
    <w:rsid w:val="004F5D61"/>
    <w:rsid w:val="004F7A9A"/>
    <w:rsid w:val="00504A62"/>
    <w:rsid w:val="00504F02"/>
    <w:rsid w:val="0050594E"/>
    <w:rsid w:val="005063D8"/>
    <w:rsid w:val="00507301"/>
    <w:rsid w:val="00510272"/>
    <w:rsid w:val="005115CA"/>
    <w:rsid w:val="00511E43"/>
    <w:rsid w:val="00514ABF"/>
    <w:rsid w:val="005167B6"/>
    <w:rsid w:val="005171D1"/>
    <w:rsid w:val="00520836"/>
    <w:rsid w:val="00520DDC"/>
    <w:rsid w:val="00522518"/>
    <w:rsid w:val="005225A8"/>
    <w:rsid w:val="00523CEB"/>
    <w:rsid w:val="00523D6A"/>
    <w:rsid w:val="00525199"/>
    <w:rsid w:val="00525E33"/>
    <w:rsid w:val="0053334B"/>
    <w:rsid w:val="005351F1"/>
    <w:rsid w:val="0053526B"/>
    <w:rsid w:val="00537A99"/>
    <w:rsid w:val="0054034A"/>
    <w:rsid w:val="00540BCC"/>
    <w:rsid w:val="00543DA8"/>
    <w:rsid w:val="00546BD3"/>
    <w:rsid w:val="005623EB"/>
    <w:rsid w:val="00565818"/>
    <w:rsid w:val="005679E5"/>
    <w:rsid w:val="0057537F"/>
    <w:rsid w:val="00590EF5"/>
    <w:rsid w:val="00597AD2"/>
    <w:rsid w:val="005A28D1"/>
    <w:rsid w:val="005A3D02"/>
    <w:rsid w:val="005A456B"/>
    <w:rsid w:val="005A55C8"/>
    <w:rsid w:val="005B07F4"/>
    <w:rsid w:val="005B4978"/>
    <w:rsid w:val="005B5462"/>
    <w:rsid w:val="005C30BF"/>
    <w:rsid w:val="005C3178"/>
    <w:rsid w:val="005C5DF8"/>
    <w:rsid w:val="005C7536"/>
    <w:rsid w:val="005D03A9"/>
    <w:rsid w:val="005D0BF2"/>
    <w:rsid w:val="005D0D07"/>
    <w:rsid w:val="005D4BF9"/>
    <w:rsid w:val="005D63D7"/>
    <w:rsid w:val="005E1F20"/>
    <w:rsid w:val="005E404F"/>
    <w:rsid w:val="005E4F7A"/>
    <w:rsid w:val="005E6D06"/>
    <w:rsid w:val="005F4923"/>
    <w:rsid w:val="006044D4"/>
    <w:rsid w:val="00605C6E"/>
    <w:rsid w:val="0061152A"/>
    <w:rsid w:val="006123B3"/>
    <w:rsid w:val="00617969"/>
    <w:rsid w:val="00623557"/>
    <w:rsid w:val="006237CF"/>
    <w:rsid w:val="00627083"/>
    <w:rsid w:val="006274D0"/>
    <w:rsid w:val="0063595F"/>
    <w:rsid w:val="00636C24"/>
    <w:rsid w:val="00645FA9"/>
    <w:rsid w:val="006462D6"/>
    <w:rsid w:val="006515B3"/>
    <w:rsid w:val="00654982"/>
    <w:rsid w:val="00657561"/>
    <w:rsid w:val="0066723B"/>
    <w:rsid w:val="00671450"/>
    <w:rsid w:val="006735E3"/>
    <w:rsid w:val="00674C4A"/>
    <w:rsid w:val="00675582"/>
    <w:rsid w:val="00676FD6"/>
    <w:rsid w:val="00685134"/>
    <w:rsid w:val="0068531B"/>
    <w:rsid w:val="00685448"/>
    <w:rsid w:val="0068610E"/>
    <w:rsid w:val="00686B46"/>
    <w:rsid w:val="00691755"/>
    <w:rsid w:val="00693724"/>
    <w:rsid w:val="006975B2"/>
    <w:rsid w:val="006A2073"/>
    <w:rsid w:val="006A3831"/>
    <w:rsid w:val="006B2D03"/>
    <w:rsid w:val="006B56E6"/>
    <w:rsid w:val="006B6DBE"/>
    <w:rsid w:val="006B7104"/>
    <w:rsid w:val="006C2655"/>
    <w:rsid w:val="006C299C"/>
    <w:rsid w:val="006C4290"/>
    <w:rsid w:val="006D1101"/>
    <w:rsid w:val="006D7078"/>
    <w:rsid w:val="006D754D"/>
    <w:rsid w:val="006E04D1"/>
    <w:rsid w:val="006E09E0"/>
    <w:rsid w:val="006E7774"/>
    <w:rsid w:val="006F0BB4"/>
    <w:rsid w:val="006F1D38"/>
    <w:rsid w:val="006F2F58"/>
    <w:rsid w:val="006F368C"/>
    <w:rsid w:val="006F3FFA"/>
    <w:rsid w:val="006F5DE3"/>
    <w:rsid w:val="00701149"/>
    <w:rsid w:val="00704310"/>
    <w:rsid w:val="007060AA"/>
    <w:rsid w:val="007064FC"/>
    <w:rsid w:val="00714E4E"/>
    <w:rsid w:val="007262C8"/>
    <w:rsid w:val="00730ED1"/>
    <w:rsid w:val="00731AC8"/>
    <w:rsid w:val="00733348"/>
    <w:rsid w:val="00735681"/>
    <w:rsid w:val="00737D03"/>
    <w:rsid w:val="00737F28"/>
    <w:rsid w:val="00742878"/>
    <w:rsid w:val="007434FE"/>
    <w:rsid w:val="00745A46"/>
    <w:rsid w:val="00746662"/>
    <w:rsid w:val="00747ED3"/>
    <w:rsid w:val="00755AB6"/>
    <w:rsid w:val="007577B0"/>
    <w:rsid w:val="00757E14"/>
    <w:rsid w:val="00760366"/>
    <w:rsid w:val="0076535B"/>
    <w:rsid w:val="00770580"/>
    <w:rsid w:val="007709AD"/>
    <w:rsid w:val="007750C8"/>
    <w:rsid w:val="007760AF"/>
    <w:rsid w:val="00776AA7"/>
    <w:rsid w:val="007835A1"/>
    <w:rsid w:val="007907AA"/>
    <w:rsid w:val="0079188A"/>
    <w:rsid w:val="007A034E"/>
    <w:rsid w:val="007A2E12"/>
    <w:rsid w:val="007A3473"/>
    <w:rsid w:val="007A6737"/>
    <w:rsid w:val="007A7326"/>
    <w:rsid w:val="007A762C"/>
    <w:rsid w:val="007B77BC"/>
    <w:rsid w:val="007B7A21"/>
    <w:rsid w:val="007B7D3C"/>
    <w:rsid w:val="007C055B"/>
    <w:rsid w:val="007D2E13"/>
    <w:rsid w:val="007D5022"/>
    <w:rsid w:val="007D7AC4"/>
    <w:rsid w:val="007E1AFE"/>
    <w:rsid w:val="007E263C"/>
    <w:rsid w:val="007E7416"/>
    <w:rsid w:val="007F010C"/>
    <w:rsid w:val="007F3248"/>
    <w:rsid w:val="007F32BC"/>
    <w:rsid w:val="00802214"/>
    <w:rsid w:val="008032D1"/>
    <w:rsid w:val="00805C8F"/>
    <w:rsid w:val="008068CE"/>
    <w:rsid w:val="00807583"/>
    <w:rsid w:val="008103FA"/>
    <w:rsid w:val="0081067F"/>
    <w:rsid w:val="008126C9"/>
    <w:rsid w:val="00816879"/>
    <w:rsid w:val="00825365"/>
    <w:rsid w:val="00831FEE"/>
    <w:rsid w:val="0083655A"/>
    <w:rsid w:val="008375E0"/>
    <w:rsid w:val="00837ED2"/>
    <w:rsid w:val="00850B3A"/>
    <w:rsid w:val="008555FE"/>
    <w:rsid w:val="00856B26"/>
    <w:rsid w:val="00856CA0"/>
    <w:rsid w:val="0085781B"/>
    <w:rsid w:val="0086499C"/>
    <w:rsid w:val="008701E5"/>
    <w:rsid w:val="00873CB3"/>
    <w:rsid w:val="00880438"/>
    <w:rsid w:val="0088242A"/>
    <w:rsid w:val="0088274D"/>
    <w:rsid w:val="00886E91"/>
    <w:rsid w:val="0089086C"/>
    <w:rsid w:val="008929CC"/>
    <w:rsid w:val="0089351C"/>
    <w:rsid w:val="008A1FC2"/>
    <w:rsid w:val="008A28BB"/>
    <w:rsid w:val="008A2F7D"/>
    <w:rsid w:val="008A7860"/>
    <w:rsid w:val="008B5712"/>
    <w:rsid w:val="008C14E5"/>
    <w:rsid w:val="008C4386"/>
    <w:rsid w:val="008C7E57"/>
    <w:rsid w:val="008D2B17"/>
    <w:rsid w:val="008D461B"/>
    <w:rsid w:val="008D470A"/>
    <w:rsid w:val="008D72A6"/>
    <w:rsid w:val="008D7EC6"/>
    <w:rsid w:val="008E3A88"/>
    <w:rsid w:val="008E4980"/>
    <w:rsid w:val="008F0658"/>
    <w:rsid w:val="008F4218"/>
    <w:rsid w:val="008F6724"/>
    <w:rsid w:val="00900BBE"/>
    <w:rsid w:val="00902D74"/>
    <w:rsid w:val="009068EC"/>
    <w:rsid w:val="00911882"/>
    <w:rsid w:val="0091354C"/>
    <w:rsid w:val="00913685"/>
    <w:rsid w:val="0091397B"/>
    <w:rsid w:val="00913CD1"/>
    <w:rsid w:val="009143F8"/>
    <w:rsid w:val="00914A77"/>
    <w:rsid w:val="00916A2B"/>
    <w:rsid w:val="00917629"/>
    <w:rsid w:val="00917857"/>
    <w:rsid w:val="0092296E"/>
    <w:rsid w:val="009242AC"/>
    <w:rsid w:val="00924CF9"/>
    <w:rsid w:val="00925645"/>
    <w:rsid w:val="009267FE"/>
    <w:rsid w:val="009300A3"/>
    <w:rsid w:val="00930A52"/>
    <w:rsid w:val="00934F05"/>
    <w:rsid w:val="00941287"/>
    <w:rsid w:val="00941E82"/>
    <w:rsid w:val="00944255"/>
    <w:rsid w:val="009507C9"/>
    <w:rsid w:val="0095638B"/>
    <w:rsid w:val="00957648"/>
    <w:rsid w:val="00957BC9"/>
    <w:rsid w:val="00964433"/>
    <w:rsid w:val="00965F2D"/>
    <w:rsid w:val="00966F49"/>
    <w:rsid w:val="0096742B"/>
    <w:rsid w:val="00975548"/>
    <w:rsid w:val="009767E0"/>
    <w:rsid w:val="0098132E"/>
    <w:rsid w:val="0098261C"/>
    <w:rsid w:val="00983465"/>
    <w:rsid w:val="00983E0A"/>
    <w:rsid w:val="00984249"/>
    <w:rsid w:val="00991120"/>
    <w:rsid w:val="00991599"/>
    <w:rsid w:val="00992A77"/>
    <w:rsid w:val="00992CA8"/>
    <w:rsid w:val="00994429"/>
    <w:rsid w:val="00994D0F"/>
    <w:rsid w:val="0099749C"/>
    <w:rsid w:val="009A0ED3"/>
    <w:rsid w:val="009A38E6"/>
    <w:rsid w:val="009B5FD0"/>
    <w:rsid w:val="009C17D2"/>
    <w:rsid w:val="009C18DB"/>
    <w:rsid w:val="009C1C18"/>
    <w:rsid w:val="009C47D4"/>
    <w:rsid w:val="009D230D"/>
    <w:rsid w:val="009D2BD9"/>
    <w:rsid w:val="009D641D"/>
    <w:rsid w:val="009D6BDD"/>
    <w:rsid w:val="009D6F41"/>
    <w:rsid w:val="009E151B"/>
    <w:rsid w:val="009E3884"/>
    <w:rsid w:val="009F1AA5"/>
    <w:rsid w:val="009F31EE"/>
    <w:rsid w:val="009F5A8A"/>
    <w:rsid w:val="00A00FD0"/>
    <w:rsid w:val="00A0178A"/>
    <w:rsid w:val="00A05F3F"/>
    <w:rsid w:val="00A0703E"/>
    <w:rsid w:val="00A0726E"/>
    <w:rsid w:val="00A07E55"/>
    <w:rsid w:val="00A1273F"/>
    <w:rsid w:val="00A13BFB"/>
    <w:rsid w:val="00A15B06"/>
    <w:rsid w:val="00A1652D"/>
    <w:rsid w:val="00A201F2"/>
    <w:rsid w:val="00A258D6"/>
    <w:rsid w:val="00A314E9"/>
    <w:rsid w:val="00A348B6"/>
    <w:rsid w:val="00A37045"/>
    <w:rsid w:val="00A40736"/>
    <w:rsid w:val="00A45A6C"/>
    <w:rsid w:val="00A467AF"/>
    <w:rsid w:val="00A47EB6"/>
    <w:rsid w:val="00A50350"/>
    <w:rsid w:val="00A534CA"/>
    <w:rsid w:val="00A67E83"/>
    <w:rsid w:val="00A7036F"/>
    <w:rsid w:val="00A764D3"/>
    <w:rsid w:val="00A80EDF"/>
    <w:rsid w:val="00A81A4B"/>
    <w:rsid w:val="00A843A4"/>
    <w:rsid w:val="00A844AD"/>
    <w:rsid w:val="00A86EF8"/>
    <w:rsid w:val="00A87979"/>
    <w:rsid w:val="00A90286"/>
    <w:rsid w:val="00A90B87"/>
    <w:rsid w:val="00A916B2"/>
    <w:rsid w:val="00A928DB"/>
    <w:rsid w:val="00AA41B7"/>
    <w:rsid w:val="00AA4657"/>
    <w:rsid w:val="00AA49C9"/>
    <w:rsid w:val="00AA5813"/>
    <w:rsid w:val="00AA63F1"/>
    <w:rsid w:val="00AA722D"/>
    <w:rsid w:val="00AB1D5A"/>
    <w:rsid w:val="00AB31AA"/>
    <w:rsid w:val="00AC030C"/>
    <w:rsid w:val="00AC3046"/>
    <w:rsid w:val="00AC4565"/>
    <w:rsid w:val="00AD383F"/>
    <w:rsid w:val="00AD39C5"/>
    <w:rsid w:val="00AD733F"/>
    <w:rsid w:val="00AE42CD"/>
    <w:rsid w:val="00AF5A64"/>
    <w:rsid w:val="00AF635B"/>
    <w:rsid w:val="00AF6F33"/>
    <w:rsid w:val="00B00B22"/>
    <w:rsid w:val="00B02AB4"/>
    <w:rsid w:val="00B04565"/>
    <w:rsid w:val="00B11E94"/>
    <w:rsid w:val="00B13FBE"/>
    <w:rsid w:val="00B20A49"/>
    <w:rsid w:val="00B24385"/>
    <w:rsid w:val="00B24565"/>
    <w:rsid w:val="00B26BAF"/>
    <w:rsid w:val="00B271AB"/>
    <w:rsid w:val="00B400A4"/>
    <w:rsid w:val="00B44E39"/>
    <w:rsid w:val="00B454B0"/>
    <w:rsid w:val="00B54D85"/>
    <w:rsid w:val="00B55540"/>
    <w:rsid w:val="00B6026A"/>
    <w:rsid w:val="00B65518"/>
    <w:rsid w:val="00B74086"/>
    <w:rsid w:val="00B743D9"/>
    <w:rsid w:val="00B7635D"/>
    <w:rsid w:val="00B7762C"/>
    <w:rsid w:val="00B80611"/>
    <w:rsid w:val="00B85D08"/>
    <w:rsid w:val="00BA5F5A"/>
    <w:rsid w:val="00BB1DD5"/>
    <w:rsid w:val="00BB63CF"/>
    <w:rsid w:val="00BB7573"/>
    <w:rsid w:val="00BC1E6E"/>
    <w:rsid w:val="00BC59BA"/>
    <w:rsid w:val="00BD17DF"/>
    <w:rsid w:val="00BD595B"/>
    <w:rsid w:val="00BE2021"/>
    <w:rsid w:val="00BE5EA6"/>
    <w:rsid w:val="00BF3892"/>
    <w:rsid w:val="00BF4DC5"/>
    <w:rsid w:val="00C012FD"/>
    <w:rsid w:val="00C065D2"/>
    <w:rsid w:val="00C07EBB"/>
    <w:rsid w:val="00C1045A"/>
    <w:rsid w:val="00C106D8"/>
    <w:rsid w:val="00C10D31"/>
    <w:rsid w:val="00C162D0"/>
    <w:rsid w:val="00C16678"/>
    <w:rsid w:val="00C17DEA"/>
    <w:rsid w:val="00C25FAE"/>
    <w:rsid w:val="00C36B91"/>
    <w:rsid w:val="00C376E5"/>
    <w:rsid w:val="00C435A5"/>
    <w:rsid w:val="00C50107"/>
    <w:rsid w:val="00C5708F"/>
    <w:rsid w:val="00C6364E"/>
    <w:rsid w:val="00C63978"/>
    <w:rsid w:val="00C657AC"/>
    <w:rsid w:val="00C66730"/>
    <w:rsid w:val="00C66B93"/>
    <w:rsid w:val="00C670C5"/>
    <w:rsid w:val="00C67A16"/>
    <w:rsid w:val="00C705BA"/>
    <w:rsid w:val="00C70917"/>
    <w:rsid w:val="00C72457"/>
    <w:rsid w:val="00C8782C"/>
    <w:rsid w:val="00C87C97"/>
    <w:rsid w:val="00C96A38"/>
    <w:rsid w:val="00C9776D"/>
    <w:rsid w:val="00CA0409"/>
    <w:rsid w:val="00CA07B6"/>
    <w:rsid w:val="00CA3003"/>
    <w:rsid w:val="00CB046D"/>
    <w:rsid w:val="00CB355A"/>
    <w:rsid w:val="00CB5669"/>
    <w:rsid w:val="00CC1D84"/>
    <w:rsid w:val="00CD0DE4"/>
    <w:rsid w:val="00CD0E1A"/>
    <w:rsid w:val="00CE1114"/>
    <w:rsid w:val="00CE2BAD"/>
    <w:rsid w:val="00CE2BD6"/>
    <w:rsid w:val="00CE5EB4"/>
    <w:rsid w:val="00CE6FA8"/>
    <w:rsid w:val="00CF5A34"/>
    <w:rsid w:val="00CF6DA1"/>
    <w:rsid w:val="00D028A2"/>
    <w:rsid w:val="00D047C7"/>
    <w:rsid w:val="00D06DCF"/>
    <w:rsid w:val="00D12EE6"/>
    <w:rsid w:val="00D16CE7"/>
    <w:rsid w:val="00D27BC2"/>
    <w:rsid w:val="00D27FC6"/>
    <w:rsid w:val="00D3344F"/>
    <w:rsid w:val="00D4013A"/>
    <w:rsid w:val="00D41795"/>
    <w:rsid w:val="00D463E6"/>
    <w:rsid w:val="00D4705E"/>
    <w:rsid w:val="00D54BB0"/>
    <w:rsid w:val="00D577BB"/>
    <w:rsid w:val="00D6138F"/>
    <w:rsid w:val="00D618BB"/>
    <w:rsid w:val="00D62ED5"/>
    <w:rsid w:val="00D65529"/>
    <w:rsid w:val="00D659A4"/>
    <w:rsid w:val="00D67878"/>
    <w:rsid w:val="00D70ABA"/>
    <w:rsid w:val="00D71DCF"/>
    <w:rsid w:val="00D73629"/>
    <w:rsid w:val="00D76AE4"/>
    <w:rsid w:val="00D76CEB"/>
    <w:rsid w:val="00D773C6"/>
    <w:rsid w:val="00D82396"/>
    <w:rsid w:val="00D91532"/>
    <w:rsid w:val="00D956A6"/>
    <w:rsid w:val="00DA0756"/>
    <w:rsid w:val="00DA2E10"/>
    <w:rsid w:val="00DB6907"/>
    <w:rsid w:val="00DC107A"/>
    <w:rsid w:val="00DC1D0C"/>
    <w:rsid w:val="00DC1ED4"/>
    <w:rsid w:val="00DC2CF1"/>
    <w:rsid w:val="00DC7718"/>
    <w:rsid w:val="00DD1D13"/>
    <w:rsid w:val="00DD5D52"/>
    <w:rsid w:val="00DD624E"/>
    <w:rsid w:val="00DD7EBB"/>
    <w:rsid w:val="00DE0984"/>
    <w:rsid w:val="00DE42B4"/>
    <w:rsid w:val="00DE78D7"/>
    <w:rsid w:val="00DF096B"/>
    <w:rsid w:val="00DF4666"/>
    <w:rsid w:val="00DF5597"/>
    <w:rsid w:val="00DF60FD"/>
    <w:rsid w:val="00DF646C"/>
    <w:rsid w:val="00DF7C79"/>
    <w:rsid w:val="00E007FE"/>
    <w:rsid w:val="00E04353"/>
    <w:rsid w:val="00E0481D"/>
    <w:rsid w:val="00E06150"/>
    <w:rsid w:val="00E0676D"/>
    <w:rsid w:val="00E11077"/>
    <w:rsid w:val="00E1785B"/>
    <w:rsid w:val="00E30DDC"/>
    <w:rsid w:val="00E3384C"/>
    <w:rsid w:val="00E353CD"/>
    <w:rsid w:val="00E374B9"/>
    <w:rsid w:val="00E40A73"/>
    <w:rsid w:val="00E47BB4"/>
    <w:rsid w:val="00E50DC0"/>
    <w:rsid w:val="00E52E13"/>
    <w:rsid w:val="00E52E3D"/>
    <w:rsid w:val="00E61241"/>
    <w:rsid w:val="00E62059"/>
    <w:rsid w:val="00E67E06"/>
    <w:rsid w:val="00E703C0"/>
    <w:rsid w:val="00E7059A"/>
    <w:rsid w:val="00E752ED"/>
    <w:rsid w:val="00E76FDE"/>
    <w:rsid w:val="00E81D53"/>
    <w:rsid w:val="00E82309"/>
    <w:rsid w:val="00E873C3"/>
    <w:rsid w:val="00E95A0B"/>
    <w:rsid w:val="00E9603D"/>
    <w:rsid w:val="00EA4707"/>
    <w:rsid w:val="00EA7E97"/>
    <w:rsid w:val="00EB4129"/>
    <w:rsid w:val="00EB5CF0"/>
    <w:rsid w:val="00EB5D23"/>
    <w:rsid w:val="00EC27EE"/>
    <w:rsid w:val="00ED06EB"/>
    <w:rsid w:val="00ED161D"/>
    <w:rsid w:val="00ED28F0"/>
    <w:rsid w:val="00ED50A2"/>
    <w:rsid w:val="00ED6715"/>
    <w:rsid w:val="00EE0AC5"/>
    <w:rsid w:val="00EE3485"/>
    <w:rsid w:val="00EE75B0"/>
    <w:rsid w:val="00EE7A55"/>
    <w:rsid w:val="00EF4A47"/>
    <w:rsid w:val="00EF520C"/>
    <w:rsid w:val="00F02F06"/>
    <w:rsid w:val="00F03F72"/>
    <w:rsid w:val="00F14877"/>
    <w:rsid w:val="00F20DC2"/>
    <w:rsid w:val="00F2132B"/>
    <w:rsid w:val="00F22856"/>
    <w:rsid w:val="00F24DEA"/>
    <w:rsid w:val="00F25113"/>
    <w:rsid w:val="00F25EBB"/>
    <w:rsid w:val="00F27D0E"/>
    <w:rsid w:val="00F30B1B"/>
    <w:rsid w:val="00F36839"/>
    <w:rsid w:val="00F4038A"/>
    <w:rsid w:val="00F4394E"/>
    <w:rsid w:val="00F46621"/>
    <w:rsid w:val="00F46D5E"/>
    <w:rsid w:val="00F46F2D"/>
    <w:rsid w:val="00F5238A"/>
    <w:rsid w:val="00F52DB4"/>
    <w:rsid w:val="00F539F9"/>
    <w:rsid w:val="00F55BED"/>
    <w:rsid w:val="00F6016F"/>
    <w:rsid w:val="00F63D1D"/>
    <w:rsid w:val="00F64551"/>
    <w:rsid w:val="00F65661"/>
    <w:rsid w:val="00F6703A"/>
    <w:rsid w:val="00F71D51"/>
    <w:rsid w:val="00F736D9"/>
    <w:rsid w:val="00F76123"/>
    <w:rsid w:val="00F772C5"/>
    <w:rsid w:val="00F86A37"/>
    <w:rsid w:val="00F908FA"/>
    <w:rsid w:val="00F91263"/>
    <w:rsid w:val="00F946C3"/>
    <w:rsid w:val="00F95A06"/>
    <w:rsid w:val="00F97E90"/>
    <w:rsid w:val="00FA01F4"/>
    <w:rsid w:val="00FA1600"/>
    <w:rsid w:val="00FA7C0E"/>
    <w:rsid w:val="00FB0B81"/>
    <w:rsid w:val="00FB3E91"/>
    <w:rsid w:val="00FB7389"/>
    <w:rsid w:val="00FB79E5"/>
    <w:rsid w:val="00FC499F"/>
    <w:rsid w:val="00FC628D"/>
    <w:rsid w:val="00FD3693"/>
    <w:rsid w:val="00FD61D3"/>
    <w:rsid w:val="00FE092F"/>
    <w:rsid w:val="00FE2D41"/>
    <w:rsid w:val="00FE2EB6"/>
    <w:rsid w:val="00FE51AC"/>
    <w:rsid w:val="00FF1065"/>
    <w:rsid w:val="00FF23FD"/>
    <w:rsid w:val="00FF3630"/>
    <w:rsid w:val="00FF5A88"/>
    <w:rsid w:val="00FF6110"/>
    <w:rsid w:val="15946417"/>
    <w:rsid w:val="20CEBF83"/>
    <w:rsid w:val="219ED835"/>
    <w:rsid w:val="3FF5A99B"/>
    <w:rsid w:val="4F63BFF7"/>
    <w:rsid w:val="5424AD96"/>
    <w:rsid w:val="6F408156"/>
    <w:rsid w:val="70BDACB9"/>
    <w:rsid w:val="75D6B079"/>
    <w:rsid w:val="7839D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C9C0B"/>
  <w15:chartTrackingRefBased/>
  <w15:docId w15:val="{777F33C4-D023-064A-993C-DFCFB96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A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0B3A"/>
    <w:pPr>
      <w:keepNext/>
      <w:keepLines/>
      <w:kinsoku w:val="0"/>
      <w:overflowPunct w:val="0"/>
      <w:spacing w:before="240" w:after="360"/>
      <w:ind w:left="360" w:hanging="360"/>
      <w:outlineLvl w:val="0"/>
    </w:pPr>
    <w:rPr>
      <w:rFonts w:ascii="Arial" w:hAnsi="Arial" w:cs="Arial"/>
      <w:b/>
      <w:spacing w:val="-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46C3"/>
    <w:pPr>
      <w:keepNext/>
      <w:keepLines/>
      <w:kinsoku w:val="0"/>
      <w:overflowPunct w:val="0"/>
      <w:spacing w:before="240" w:after="240"/>
      <w:outlineLvl w:val="1"/>
    </w:pPr>
    <w:rPr>
      <w:rFonts w:ascii="Arial" w:eastAsiaTheme="majorEastAsia" w:hAnsi="Arial" w:cs="Arial"/>
      <w:b/>
      <w:bCs/>
      <w:spacing w:val="-1"/>
      <w:sz w:val="36"/>
      <w:szCs w:val="36"/>
      <w:shd w:val="clear" w:color="auto" w:fill="FFFFFF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A86EF8"/>
    <w:pPr>
      <w:keepNext/>
      <w:numPr>
        <w:numId w:val="63"/>
      </w:numPr>
      <w:spacing w:before="240" w:after="120"/>
      <w:ind w:left="360"/>
      <w:outlineLvl w:val="2"/>
    </w:pPr>
    <w:rPr>
      <w:rFonts w:cs="Arial"/>
      <w:b/>
      <w:bCs/>
      <w:color w:val="000000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4A77"/>
    <w:pPr>
      <w:keepNext/>
      <w:keepLines/>
      <w:spacing w:before="240" w:after="240"/>
      <w:outlineLvl w:val="3"/>
    </w:pPr>
    <w:rPr>
      <w:rFonts w:ascii="Arial" w:eastAsiaTheme="majorEastAsia" w:hAnsi="Arial" w:cstheme="majorBidi"/>
      <w:b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4A77"/>
    <w:pPr>
      <w:keepNext/>
      <w:keepLines/>
      <w:spacing w:before="240" w:after="240"/>
      <w:outlineLvl w:val="4"/>
    </w:pPr>
    <w:rPr>
      <w:rFonts w:ascii="Arial" w:hAnsi="Arial" w:cs="Arial"/>
      <w:b/>
      <w:sz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7A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66"/>
    <w:pPr>
      <w:keepNext/>
      <w:keepLines/>
      <w:spacing w:before="40"/>
      <w:outlineLvl w:val="6"/>
    </w:pPr>
    <w:rPr>
      <w:rFonts w:ascii="Cambria" w:hAnsi="Cambria" w:cstheme="minorBidi"/>
      <w:i/>
      <w:iCs/>
      <w:color w:val="404040"/>
      <w:szCs w:val="22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66"/>
    <w:pPr>
      <w:keepNext/>
      <w:keepLines/>
      <w:spacing w:before="40"/>
      <w:outlineLvl w:val="7"/>
    </w:pPr>
    <w:rPr>
      <w:rFonts w:ascii="Cambria" w:hAnsi="Cambria" w:cstheme="minorBidi"/>
      <w:color w:val="4F81BD"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666"/>
    <w:pPr>
      <w:keepNext/>
      <w:keepLines/>
      <w:spacing w:before="40"/>
      <w:outlineLvl w:val="8"/>
    </w:pPr>
    <w:rPr>
      <w:rFonts w:ascii="Cambria" w:hAnsi="Cambria" w:cstheme="minorBidi"/>
      <w:i/>
      <w:iCs/>
      <w:color w:val="40404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3A"/>
    <w:rPr>
      <w:rFonts w:ascii="Arial" w:eastAsia="Times New Roman" w:hAnsi="Arial" w:cs="Arial"/>
      <w:b/>
      <w:spacing w:val="-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46C3"/>
    <w:rPr>
      <w:rFonts w:ascii="Arial" w:eastAsiaTheme="majorEastAsia" w:hAnsi="Arial" w:cs="Arial"/>
      <w:b/>
      <w:bCs/>
      <w:spacing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6EF8"/>
    <w:rPr>
      <w:rFonts w:ascii="Arial" w:eastAsia="Times New Roman" w:hAnsi="Arial" w:cs="Arial"/>
      <w:b/>
      <w:bCs/>
      <w:color w:val="000000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623EB"/>
    <w:rPr>
      <w:strike w:val="0"/>
      <w:dstrike w:val="0"/>
      <w:color w:val="0000FF"/>
      <w:u w:val="single"/>
      <w:effect w:val="none"/>
      <w:shd w:val="clear" w:color="auto" w:fill="auto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5623EB"/>
    <w:pPr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nhideWhenUsed/>
    <w:rsid w:val="005623EB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5623EB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5623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unhideWhenUsed/>
    <w:rsid w:val="005623EB"/>
    <w:pPr>
      <w:spacing w:after="360"/>
      <w:ind w:left="1440" w:hanging="1440"/>
    </w:pPr>
    <w:rPr>
      <w:rFonts w:ascii="Arial" w:eastAsiaTheme="majorEastAsia" w:hAnsi="Arial" w:cstheme="majorBidi"/>
    </w:rPr>
  </w:style>
  <w:style w:type="character" w:customStyle="1" w:styleId="MessageHeaderChar">
    <w:name w:val="Message Header Char"/>
    <w:basedOn w:val="DefaultParagraphFont"/>
    <w:link w:val="MessageHeader"/>
    <w:rsid w:val="005623EB"/>
    <w:rPr>
      <w:rFonts w:ascii="Arial" w:eastAsiaTheme="majorEastAsia" w:hAnsi="Arial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E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80EDF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80ED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8E4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498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E7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8D7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8D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7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8D7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D0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523D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35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37E6C"/>
  </w:style>
  <w:style w:type="character" w:customStyle="1" w:styleId="eop">
    <w:name w:val="eop"/>
    <w:basedOn w:val="DefaultParagraphFont"/>
    <w:rsid w:val="00037E6C"/>
  </w:style>
  <w:style w:type="paragraph" w:customStyle="1" w:styleId="paragraph">
    <w:name w:val="paragraph"/>
    <w:basedOn w:val="Normal"/>
    <w:rsid w:val="00037E6C"/>
    <w:pPr>
      <w:spacing w:before="100" w:beforeAutospacing="1" w:after="100" w:afterAutospacing="1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sid w:val="00001842"/>
    <w:pPr>
      <w:widowControl w:val="0"/>
      <w:autoSpaceDE w:val="0"/>
      <w:autoSpaceDN w:val="0"/>
      <w:adjustRightInd w:val="0"/>
      <w:ind w:left="20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rsid w:val="00001842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001842"/>
    <w:pPr>
      <w:widowControl w:val="0"/>
      <w:autoSpaceDE w:val="0"/>
      <w:autoSpaceDN w:val="0"/>
      <w:adjustRightInd w:val="0"/>
    </w:pPr>
    <w:rPr>
      <w:rFonts w:ascii="Arial" w:eastAsiaTheme="minorEastAsia" w:hAnsi="Arial"/>
    </w:rPr>
  </w:style>
  <w:style w:type="character" w:styleId="PageNumber">
    <w:name w:val="page number"/>
    <w:basedOn w:val="DefaultParagraphFont"/>
    <w:uiPriority w:val="99"/>
    <w:semiHidden/>
    <w:unhideWhenUsed/>
    <w:rsid w:val="00E40A73"/>
  </w:style>
  <w:style w:type="paragraph" w:styleId="ListBullet">
    <w:name w:val="List Bullet"/>
    <w:basedOn w:val="Normal"/>
    <w:uiPriority w:val="99"/>
    <w:unhideWhenUsed/>
    <w:rsid w:val="00E40A73"/>
    <w:pPr>
      <w:numPr>
        <w:numId w:val="1"/>
      </w:numPr>
      <w:spacing w:after="160" w:line="259" w:lineRule="auto"/>
      <w:contextualSpacing/>
    </w:pPr>
    <w:rPr>
      <w:rFonts w:ascii="Arial" w:eastAsiaTheme="minorHAnsi" w:hAnsi="Arial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7A9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1A69BA"/>
    <w:rPr>
      <w:rFonts w:ascii="Arial" w:eastAsia="Times New Roman" w:hAnsi="Arial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14A77"/>
    <w:rPr>
      <w:rFonts w:ascii="Arial" w:eastAsiaTheme="majorEastAsia" w:hAnsi="Arial" w:cstheme="majorBidi"/>
      <w:b/>
      <w:iCs/>
      <w:sz w:val="32"/>
      <w:szCs w:val="32"/>
    </w:rPr>
  </w:style>
  <w:style w:type="paragraph" w:customStyle="1" w:styleId="xmsonormal">
    <w:name w:val="x_msonormal"/>
    <w:basedOn w:val="Normal"/>
    <w:rsid w:val="00B27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271AB"/>
  </w:style>
  <w:style w:type="character" w:styleId="Emphasis">
    <w:name w:val="Emphasis"/>
    <w:basedOn w:val="DefaultParagraphFont"/>
    <w:uiPriority w:val="20"/>
    <w:qFormat/>
    <w:rsid w:val="00B271AB"/>
    <w:rPr>
      <w:i/>
      <w:iCs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DF4666"/>
    <w:pPr>
      <w:keepNext/>
      <w:keepLines/>
      <w:spacing w:before="200" w:after="120"/>
      <w:textAlignment w:val="baseline"/>
      <w:outlineLvl w:val="4"/>
    </w:pPr>
    <w:rPr>
      <w:rFonts w:ascii="Arial" w:hAnsi="Arial" w:cs="Arial"/>
      <w:b/>
      <w:szCs w:val="22"/>
      <w:lang w:eastAsia="zh-CN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DF4666"/>
    <w:pPr>
      <w:keepNext/>
      <w:keepLines/>
      <w:spacing w:before="200" w:after="120"/>
      <w:textAlignment w:val="baseline"/>
      <w:outlineLvl w:val="6"/>
    </w:pPr>
    <w:rPr>
      <w:rFonts w:ascii="Cambria" w:hAnsi="Cambria" w:cs="Arial"/>
      <w:i/>
      <w:iCs/>
      <w:color w:val="404040"/>
      <w:szCs w:val="22"/>
      <w:lang w:eastAsia="zh-CN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DF4666"/>
    <w:pPr>
      <w:keepNext/>
      <w:keepLines/>
      <w:spacing w:before="200" w:after="120"/>
      <w:textAlignment w:val="baseline"/>
      <w:outlineLvl w:val="7"/>
    </w:pPr>
    <w:rPr>
      <w:rFonts w:ascii="Cambria" w:hAnsi="Cambria" w:cs="Arial"/>
      <w:color w:val="4F81BD"/>
      <w:sz w:val="20"/>
      <w:szCs w:val="20"/>
      <w:lang w:eastAsia="zh-CN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DF4666"/>
    <w:pPr>
      <w:keepNext/>
      <w:keepLines/>
      <w:spacing w:before="200" w:after="120"/>
      <w:textAlignment w:val="baseline"/>
      <w:outlineLvl w:val="8"/>
    </w:pPr>
    <w:rPr>
      <w:rFonts w:ascii="Cambria" w:hAnsi="Cambria" w:cs="Arial"/>
      <w:i/>
      <w:iCs/>
      <w:color w:val="404040"/>
      <w:sz w:val="20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DF4666"/>
  </w:style>
  <w:style w:type="character" w:customStyle="1" w:styleId="Heading5Char">
    <w:name w:val="Heading 5 Char"/>
    <w:basedOn w:val="DefaultParagraphFont"/>
    <w:link w:val="Heading5"/>
    <w:uiPriority w:val="9"/>
    <w:rsid w:val="00914A77"/>
    <w:rPr>
      <w:rFonts w:ascii="Arial" w:eastAsia="Times New Roman" w:hAnsi="Arial" w:cs="Arial"/>
      <w:b/>
      <w:sz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DF4666"/>
    <w:rPr>
      <w:rFonts w:ascii="Cambria" w:eastAsia="Times New Roman" w:hAnsi="Cambria"/>
      <w:i/>
      <w:iCs/>
      <w:color w:val="404040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DF4666"/>
    <w:rPr>
      <w:rFonts w:ascii="Cambria" w:eastAsia="Times New Roman" w:hAnsi="Cambria"/>
      <w:color w:val="4F81BD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DF4666"/>
    <w:rPr>
      <w:rFonts w:ascii="Cambria" w:eastAsia="Times New Roman" w:hAnsi="Cambria"/>
      <w:i/>
      <w:iCs/>
      <w:color w:val="404040"/>
      <w:sz w:val="20"/>
      <w:szCs w:val="20"/>
      <w:lang w:eastAsia="zh-CN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rsid w:val="00DF4666"/>
    <w:rPr>
      <w:rFonts w:ascii="Arial" w:eastAsia="Times New Roman" w:hAnsi="Arial" w:cs="Times New Roman"/>
    </w:rPr>
  </w:style>
  <w:style w:type="paragraph" w:customStyle="1" w:styleId="msonormal0">
    <w:name w:val="msonormal"/>
    <w:basedOn w:val="Normal"/>
    <w:rsid w:val="00DF4666"/>
    <w:pPr>
      <w:spacing w:before="100" w:beforeAutospacing="1" w:after="100" w:afterAutospacing="1"/>
      <w:textAlignment w:val="baseline"/>
    </w:pPr>
  </w:style>
  <w:style w:type="paragraph" w:customStyle="1" w:styleId="outlineelement">
    <w:name w:val="outlineelement"/>
    <w:basedOn w:val="Normal"/>
    <w:rsid w:val="00DF4666"/>
    <w:pPr>
      <w:spacing w:before="100" w:beforeAutospacing="1" w:after="100" w:afterAutospacing="1"/>
      <w:textAlignment w:val="baseline"/>
    </w:pPr>
  </w:style>
  <w:style w:type="character" w:customStyle="1" w:styleId="textrun">
    <w:name w:val="textrun"/>
    <w:basedOn w:val="DefaultParagraphFont"/>
    <w:rsid w:val="00DF4666"/>
  </w:style>
  <w:style w:type="character" w:customStyle="1" w:styleId="superscript">
    <w:name w:val="superscript"/>
    <w:basedOn w:val="DefaultParagraphFont"/>
    <w:rsid w:val="00DF4666"/>
  </w:style>
  <w:style w:type="character" w:customStyle="1" w:styleId="fieldrange">
    <w:name w:val="fieldrange"/>
    <w:basedOn w:val="DefaultParagraphFont"/>
    <w:rsid w:val="00DF4666"/>
  </w:style>
  <w:style w:type="character" w:customStyle="1" w:styleId="trackchangetextdeletion">
    <w:name w:val="trackchangetextdeletion"/>
    <w:basedOn w:val="DefaultParagraphFont"/>
    <w:rsid w:val="00DF4666"/>
  </w:style>
  <w:style w:type="character" w:customStyle="1" w:styleId="trackchangetextinsertion">
    <w:name w:val="trackchangetextinsertion"/>
    <w:basedOn w:val="DefaultParagraphFont"/>
    <w:rsid w:val="00DF4666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F4666"/>
    <w:pPr>
      <w:spacing w:before="120" w:after="60"/>
      <w:textAlignment w:val="baseline"/>
    </w:pPr>
    <w:rPr>
      <w:rFonts w:ascii="Arial" w:hAnsi="Arial" w:cs="Arial"/>
      <w:b/>
      <w:bCs/>
      <w:color w:val="034D8E"/>
    </w:rPr>
  </w:style>
  <w:style w:type="paragraph" w:customStyle="1" w:styleId="Title1">
    <w:name w:val="Title1"/>
    <w:basedOn w:val="Normal"/>
    <w:next w:val="Normal"/>
    <w:uiPriority w:val="10"/>
    <w:qFormat/>
    <w:rsid w:val="00DF4666"/>
    <w:pPr>
      <w:spacing w:before="480" w:after="120"/>
      <w:contextualSpacing/>
      <w:textAlignment w:val="baseline"/>
    </w:pPr>
    <w:rPr>
      <w:rFonts w:ascii="Arial" w:hAnsi="Arial" w:cs="Arial"/>
      <w:b/>
      <w:spacing w:val="-10"/>
      <w:kern w:val="28"/>
      <w:sz w:val="32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DF4666"/>
    <w:rPr>
      <w:rFonts w:ascii="Arial" w:eastAsia="Times New Roman" w:hAnsi="Arial"/>
      <w:b/>
      <w:spacing w:val="-10"/>
      <w:kern w:val="28"/>
      <w:sz w:val="32"/>
      <w:szCs w:val="56"/>
      <w:lang w:eastAsia="zh-CN"/>
    </w:rPr>
  </w:style>
  <w:style w:type="paragraph" w:customStyle="1" w:styleId="Subtitle1">
    <w:name w:val="Subtitle1"/>
    <w:basedOn w:val="Normal"/>
    <w:next w:val="Normal"/>
    <w:uiPriority w:val="11"/>
    <w:qFormat/>
    <w:rsid w:val="00DF4666"/>
    <w:pPr>
      <w:numPr>
        <w:ilvl w:val="1"/>
      </w:numPr>
      <w:spacing w:after="160"/>
      <w:ind w:firstLine="288"/>
      <w:textAlignment w:val="baseline"/>
    </w:pPr>
    <w:rPr>
      <w:rFonts w:ascii="Arial" w:hAnsi="Arial" w:cs="Arial"/>
      <w:color w:val="5A5A5A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DF4666"/>
    <w:rPr>
      <w:rFonts w:ascii="Arial" w:eastAsia="Times New Roman" w:hAnsi="Arial"/>
      <w:color w:val="5A5A5A"/>
      <w:spacing w:val="15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DF4666"/>
    <w:rPr>
      <w:b/>
      <w:bCs/>
    </w:rPr>
  </w:style>
  <w:style w:type="paragraph" w:customStyle="1" w:styleId="FootnoteTextCharCharCharCharChar1">
    <w:name w:val="Footnote Text Char Char Char Char Char1"/>
    <w:basedOn w:val="Normal"/>
    <w:next w:val="FootnoteText"/>
    <w:link w:val="FootnoteTextChar"/>
    <w:uiPriority w:val="99"/>
    <w:unhideWhenUsed/>
    <w:rsid w:val="00DF4666"/>
    <w:pPr>
      <w:spacing w:after="120"/>
      <w:textAlignment w:val="baseline"/>
    </w:pPr>
    <w:rPr>
      <w:rFonts w:ascii="Arial" w:hAnsi="Arial" w:cstheme="minorBidi"/>
      <w:lang w:eastAsia="zh-CN"/>
    </w:rPr>
  </w:style>
  <w:style w:type="character" w:customStyle="1" w:styleId="FootnoteTextChar">
    <w:name w:val="Footnote Text Char"/>
    <w:aliases w:val="Footnote Text Char Char Char Char Char Char"/>
    <w:basedOn w:val="DefaultParagraphFont"/>
    <w:link w:val="FootnoteTextCharCharCharCharChar1"/>
    <w:uiPriority w:val="99"/>
    <w:rsid w:val="00DF4666"/>
    <w:rPr>
      <w:rFonts w:ascii="Arial" w:eastAsia="Times New Roman" w:hAnsi="Arial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DF4666"/>
    <w:rPr>
      <w:rFonts w:ascii="Arial" w:hAnsi="Arial"/>
      <w:sz w:val="24"/>
      <w:vertAlign w:val="superscript"/>
    </w:rPr>
  </w:style>
  <w:style w:type="paragraph" w:customStyle="1" w:styleId="Default">
    <w:name w:val="Default"/>
    <w:rsid w:val="00DF466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Style1">
    <w:name w:val="Style1"/>
    <w:basedOn w:val="Normal"/>
    <w:rsid w:val="00DF4666"/>
    <w:pPr>
      <w:spacing w:before="20" w:after="20"/>
      <w:ind w:left="216" w:firstLine="288"/>
      <w:jc w:val="center"/>
      <w:textAlignment w:val="baseline"/>
    </w:pPr>
    <w:rPr>
      <w:rFonts w:eastAsia="SimSun" w:cs="Arial"/>
      <w:sz w:val="18"/>
      <w:szCs w:val="18"/>
      <w:lang w:eastAsia="zh-CN"/>
    </w:rPr>
  </w:style>
  <w:style w:type="paragraph" w:customStyle="1" w:styleId="equation">
    <w:name w:val="equation"/>
    <w:basedOn w:val="Normal"/>
    <w:rsid w:val="00DF4666"/>
    <w:pPr>
      <w:spacing w:after="60"/>
      <w:ind w:left="1080"/>
      <w:textAlignment w:val="baseline"/>
    </w:pPr>
    <w:rPr>
      <w:rFonts w:ascii="Arial" w:eastAsia="SimSun" w:hAnsi="Arial" w:cs="Arial"/>
      <w:color w:val="000000"/>
      <w:lang w:eastAsia="zh-CN"/>
    </w:rPr>
  </w:style>
  <w:style w:type="paragraph" w:customStyle="1" w:styleId="bullets0">
    <w:name w:val="bullets"/>
    <w:basedOn w:val="Normal"/>
    <w:link w:val="bulletsCharChar"/>
    <w:rsid w:val="00DF4666"/>
    <w:pPr>
      <w:spacing w:after="60"/>
      <w:textAlignment w:val="baseline"/>
    </w:pPr>
    <w:rPr>
      <w:rFonts w:ascii="Arial" w:eastAsia="SimSun" w:hAnsi="Arial" w:cs="Arial"/>
      <w:color w:val="000000"/>
      <w:lang w:eastAsia="zh-CN"/>
    </w:rPr>
  </w:style>
  <w:style w:type="character" w:customStyle="1" w:styleId="bulletsCharChar">
    <w:name w:val="bullets Char Char"/>
    <w:link w:val="bullets0"/>
    <w:rsid w:val="00DF4666"/>
    <w:rPr>
      <w:rFonts w:ascii="Arial" w:eastAsia="SimSun" w:hAnsi="Arial" w:cs="Arial"/>
      <w:color w:val="000000"/>
      <w:lang w:eastAsia="zh-CN"/>
    </w:rPr>
  </w:style>
  <w:style w:type="paragraph" w:customStyle="1" w:styleId="Subbullet3">
    <w:name w:val="Subbullet3"/>
    <w:basedOn w:val="Normal"/>
    <w:rsid w:val="00DF4666"/>
    <w:pPr>
      <w:numPr>
        <w:numId w:val="13"/>
      </w:numPr>
      <w:spacing w:after="60"/>
      <w:textAlignment w:val="baseline"/>
    </w:pPr>
    <w:rPr>
      <w:rFonts w:ascii="Arial" w:eastAsia="SimSun" w:hAnsi="Arial" w:cs="Arial"/>
      <w:color w:val="000000"/>
      <w:lang w:eastAsia="zh-CN"/>
    </w:rPr>
  </w:style>
  <w:style w:type="paragraph" w:customStyle="1" w:styleId="Address">
    <w:name w:val="Address"/>
    <w:basedOn w:val="Normal"/>
    <w:qFormat/>
    <w:rsid w:val="00DF4666"/>
    <w:pPr>
      <w:spacing w:after="120"/>
      <w:textAlignment w:val="baseline"/>
    </w:pPr>
    <w:rPr>
      <w:rFonts w:ascii="Arial" w:hAnsi="Arial" w:cs="Arial"/>
      <w:color w:val="0A2972"/>
      <w:spacing w:val="-5"/>
      <w:sz w:val="14"/>
      <w:szCs w:val="22"/>
      <w:lang w:val="fr-FR" w:eastAsia="zh-CN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DF4666"/>
    <w:pPr>
      <w:spacing w:after="120"/>
      <w:ind w:left="360"/>
      <w:textAlignment w:val="baseline"/>
    </w:pPr>
    <w:rPr>
      <w:rFonts w:ascii="Arial" w:hAnsi="Arial" w:cstheme="minorBidi"/>
      <w:szCs w:val="22"/>
      <w:lang w:eastAsia="zh-CN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DF4666"/>
    <w:rPr>
      <w:rFonts w:ascii="Arial" w:eastAsia="Times New Roman" w:hAnsi="Arial"/>
      <w:szCs w:val="22"/>
      <w:lang w:eastAsia="zh-CN"/>
    </w:rPr>
  </w:style>
  <w:style w:type="paragraph" w:customStyle="1" w:styleId="BodyText1">
    <w:name w:val="Body Text1"/>
    <w:basedOn w:val="Normal"/>
    <w:qFormat/>
    <w:rsid w:val="00DF4666"/>
    <w:pPr>
      <w:spacing w:after="240"/>
      <w:textAlignment w:val="baseline"/>
    </w:pPr>
    <w:rPr>
      <w:rFonts w:ascii="Calibri" w:hAnsi="Calibri" w:cs="Arial"/>
      <w:szCs w:val="22"/>
      <w:lang w:eastAsia="zh-CN"/>
    </w:rPr>
  </w:style>
  <w:style w:type="character" w:styleId="BookTitle">
    <w:name w:val="Book Title"/>
    <w:uiPriority w:val="33"/>
    <w:qFormat/>
    <w:rsid w:val="00DF4666"/>
    <w:rPr>
      <w:b/>
      <w:bCs/>
      <w:smallCaps/>
      <w:spacing w:val="5"/>
    </w:rPr>
  </w:style>
  <w:style w:type="paragraph" w:customStyle="1" w:styleId="Bullets">
    <w:name w:val="Bullets"/>
    <w:basedOn w:val="Normal"/>
    <w:rsid w:val="00DF4666"/>
    <w:pPr>
      <w:numPr>
        <w:numId w:val="15"/>
      </w:numPr>
      <w:spacing w:after="120"/>
      <w:ind w:left="576" w:hanging="288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BulletsIndented">
    <w:name w:val="BulletsIndented"/>
    <w:basedOn w:val="Bullets"/>
    <w:rsid w:val="00DF4666"/>
    <w:pPr>
      <w:ind w:left="1152"/>
    </w:pPr>
  </w:style>
  <w:style w:type="paragraph" w:customStyle="1" w:styleId="BulletsSquare">
    <w:name w:val="BulletsSquare"/>
    <w:basedOn w:val="ListParagraph"/>
    <w:rsid w:val="00DF4666"/>
    <w:pPr>
      <w:numPr>
        <w:numId w:val="16"/>
      </w:numPr>
      <w:tabs>
        <w:tab w:val="num" w:pos="360"/>
      </w:tabs>
      <w:spacing w:after="120"/>
      <w:contextualSpacing w:val="0"/>
      <w:textAlignment w:val="baseline"/>
    </w:pPr>
    <w:rPr>
      <w:rFonts w:cs="Arial"/>
      <w:i/>
      <w:noProof/>
      <w:szCs w:val="22"/>
      <w:lang w:eastAsia="zh-CN"/>
    </w:rPr>
  </w:style>
  <w:style w:type="paragraph" w:customStyle="1" w:styleId="Captionwide">
    <w:name w:val="Captionwide"/>
    <w:basedOn w:val="Caption"/>
    <w:rsid w:val="00DF4666"/>
    <w:pPr>
      <w:spacing w:after="120"/>
    </w:pPr>
  </w:style>
  <w:style w:type="paragraph" w:customStyle="1" w:styleId="CDENormal">
    <w:name w:val="CDE Normal"/>
    <w:basedOn w:val="Normal"/>
    <w:link w:val="CDENormalChar"/>
    <w:qFormat/>
    <w:rsid w:val="00DF4666"/>
    <w:pPr>
      <w:spacing w:after="120"/>
      <w:textAlignment w:val="baseline"/>
    </w:pPr>
    <w:rPr>
      <w:rFonts w:ascii="Arial" w:hAnsi="Arial" w:cs="Arial"/>
      <w:szCs w:val="22"/>
      <w:lang w:eastAsia="zh-CN"/>
    </w:rPr>
  </w:style>
  <w:style w:type="character" w:customStyle="1" w:styleId="CDENormalChar">
    <w:name w:val="CDE Normal Char"/>
    <w:basedOn w:val="DefaultParagraphFont"/>
    <w:link w:val="CDENormal"/>
    <w:rsid w:val="00DF4666"/>
    <w:rPr>
      <w:rFonts w:ascii="Arial" w:eastAsia="Times New Roman" w:hAnsi="Arial" w:cs="Arial"/>
      <w:szCs w:val="22"/>
      <w:lang w:eastAsia="zh-CN"/>
    </w:rPr>
  </w:style>
  <w:style w:type="paragraph" w:customStyle="1" w:styleId="DocTitle">
    <w:name w:val="DocTitle"/>
    <w:rsid w:val="00DF4666"/>
    <w:rPr>
      <w:rFonts w:ascii="Arial" w:eastAsia="Times New Roman" w:hAnsi="Arial" w:cs="Arial"/>
      <w:b/>
      <w:bCs/>
      <w:color w:val="2F5496"/>
      <w:sz w:val="32"/>
      <w:szCs w:val="32"/>
      <w:lang w:bidi="en-US"/>
    </w:rPr>
  </w:style>
  <w:style w:type="paragraph" w:customStyle="1" w:styleId="DocumentLabel">
    <w:name w:val="Document Label"/>
    <w:basedOn w:val="Normal"/>
    <w:rsid w:val="00DF4666"/>
    <w:pPr>
      <w:keepNext/>
      <w:keepLines/>
      <w:spacing w:before="400" w:after="120" w:line="240" w:lineRule="atLeast"/>
      <w:textAlignment w:val="baseline"/>
    </w:pPr>
    <w:rPr>
      <w:rFonts w:ascii="Arial Black" w:hAnsi="Arial Black" w:cs="Arial"/>
      <w:spacing w:val="-100"/>
      <w:kern w:val="28"/>
      <w:sz w:val="108"/>
      <w:szCs w:val="20"/>
      <w:lang w:eastAsia="zh-CN"/>
    </w:rPr>
  </w:style>
  <w:style w:type="paragraph" w:customStyle="1" w:styleId="ETSTagline">
    <w:name w:val="ETS Tagline"/>
    <w:basedOn w:val="Normal"/>
    <w:qFormat/>
    <w:rsid w:val="00DF4666"/>
    <w:pPr>
      <w:spacing w:after="120"/>
      <w:jc w:val="right"/>
      <w:textAlignment w:val="baseline"/>
    </w:pPr>
    <w:rPr>
      <w:rFonts w:ascii="Arial" w:hAnsi="Arial" w:cs="Arial"/>
      <w:b/>
      <w:i/>
      <w:color w:val="660019"/>
      <w:spacing w:val="-5"/>
      <w:sz w:val="16"/>
      <w:szCs w:val="16"/>
      <w:lang w:eastAsia="zh-CN"/>
    </w:rPr>
  </w:style>
  <w:style w:type="paragraph" w:customStyle="1" w:styleId="ETSWebsite">
    <w:name w:val="ETS Website"/>
    <w:basedOn w:val="Normal"/>
    <w:qFormat/>
    <w:rsid w:val="00DF4666"/>
    <w:pPr>
      <w:spacing w:after="120"/>
      <w:textAlignment w:val="baseline"/>
    </w:pPr>
    <w:rPr>
      <w:rFonts w:ascii="Arial" w:hAnsi="Arial" w:cs="Arial"/>
      <w:color w:val="0A2972"/>
      <w:spacing w:val="-5"/>
      <w:sz w:val="18"/>
      <w:szCs w:val="18"/>
      <w:lang w:eastAsia="zh-CN"/>
    </w:rPr>
  </w:style>
  <w:style w:type="paragraph" w:customStyle="1" w:styleId="Head2">
    <w:name w:val="Head 2"/>
    <w:basedOn w:val="Normal"/>
    <w:autoRedefine/>
    <w:qFormat/>
    <w:rsid w:val="00DF4666"/>
    <w:pPr>
      <w:spacing w:before="480" w:after="120"/>
      <w:textAlignment w:val="baseline"/>
    </w:pPr>
    <w:rPr>
      <w:rFonts w:ascii="Arial" w:hAnsi="Arial" w:cs="Arial"/>
      <w:b/>
      <w:szCs w:val="22"/>
      <w:lang w:eastAsia="zh-CN"/>
    </w:rPr>
  </w:style>
  <w:style w:type="paragraph" w:customStyle="1" w:styleId="Header2">
    <w:name w:val="Header 2"/>
    <w:basedOn w:val="Normal"/>
    <w:rsid w:val="00DF4666"/>
    <w:pPr>
      <w:spacing w:after="120"/>
      <w:textAlignment w:val="baseline"/>
    </w:pPr>
    <w:rPr>
      <w:rFonts w:ascii="Arial" w:hAnsi="Arial" w:cs="Arial"/>
      <w:b/>
      <w:szCs w:val="20"/>
      <w:lang w:eastAsia="zh-CN"/>
    </w:rPr>
  </w:style>
  <w:style w:type="paragraph" w:customStyle="1" w:styleId="head-logo">
    <w:name w:val="head-logo"/>
    <w:rsid w:val="00DF4666"/>
    <w:rPr>
      <w:rFonts w:ascii="Verdana" w:eastAsia="Times New Roman" w:hAnsi="Verdana" w:cs="Arial"/>
      <w:color w:val="0A2972"/>
      <w:spacing w:val="-5"/>
      <w:sz w:val="14"/>
    </w:rPr>
  </w:style>
  <w:style w:type="paragraph" w:customStyle="1" w:styleId="Image">
    <w:name w:val="Image"/>
    <w:basedOn w:val="ListParagraph"/>
    <w:rsid w:val="00DF4666"/>
    <w:pPr>
      <w:keepNext/>
      <w:tabs>
        <w:tab w:val="left" w:pos="5497"/>
      </w:tabs>
      <w:spacing w:after="60"/>
      <w:ind w:left="0" w:hanging="360"/>
      <w:contextualSpacing w:val="0"/>
      <w:jc w:val="center"/>
      <w:textAlignment w:val="baseline"/>
    </w:pPr>
    <w:rPr>
      <w:rFonts w:cs="Arial"/>
      <w:b/>
      <w:noProof/>
      <w:sz w:val="32"/>
      <w:szCs w:val="22"/>
      <w:lang w:eastAsia="zh-CN"/>
    </w:rPr>
  </w:style>
  <w:style w:type="character" w:styleId="IntenseEmphasis">
    <w:name w:val="Intense Emphasis"/>
    <w:uiPriority w:val="21"/>
    <w:qFormat/>
    <w:rsid w:val="00DF4666"/>
    <w:rPr>
      <w:b/>
      <w:bCs/>
      <w:i/>
      <w:iCs/>
      <w:color w:val="4F81BD"/>
    </w:rPr>
  </w:style>
  <w:style w:type="paragraph" w:customStyle="1" w:styleId="IntenseQuote1">
    <w:name w:val="Intense Quote1"/>
    <w:basedOn w:val="Normal"/>
    <w:next w:val="Normal"/>
    <w:uiPriority w:val="30"/>
    <w:qFormat/>
    <w:rsid w:val="00DF4666"/>
    <w:pPr>
      <w:pBdr>
        <w:bottom w:val="single" w:sz="4" w:space="4" w:color="4F81BD"/>
      </w:pBdr>
      <w:spacing w:before="200" w:after="280"/>
      <w:ind w:left="936" w:right="936"/>
      <w:textAlignment w:val="baseline"/>
    </w:pPr>
    <w:rPr>
      <w:rFonts w:ascii="Arial" w:hAnsi="Arial" w:cs="Arial"/>
      <w:b/>
      <w:bCs/>
      <w:i/>
      <w:iCs/>
      <w:color w:val="4F81BD"/>
      <w:szCs w:val="22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666"/>
    <w:rPr>
      <w:rFonts w:ascii="Arial" w:eastAsia="Times New Roman" w:hAnsi="Arial"/>
      <w:b/>
      <w:bCs/>
      <w:i/>
      <w:iCs/>
      <w:color w:val="4F81BD"/>
      <w:szCs w:val="22"/>
      <w:lang w:eastAsia="zh-CN"/>
    </w:rPr>
  </w:style>
  <w:style w:type="character" w:styleId="IntenseReference">
    <w:name w:val="Intense Reference"/>
    <w:uiPriority w:val="32"/>
    <w:qFormat/>
    <w:rsid w:val="00DF4666"/>
    <w:rPr>
      <w:b/>
      <w:bCs/>
      <w:smallCaps/>
      <w:color w:val="C0504D"/>
      <w:spacing w:val="5"/>
      <w:u w:val="single"/>
    </w:rPr>
  </w:style>
  <w:style w:type="character" w:customStyle="1" w:styleId="MessageHeaderLabel">
    <w:name w:val="Message Header Label"/>
    <w:rsid w:val="00DF4666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DF4666"/>
    <w:pPr>
      <w:keepLines/>
      <w:pBdr>
        <w:bottom w:val="single" w:sz="6" w:space="19" w:color="auto"/>
        <w:between w:val="single" w:sz="6" w:space="19" w:color="auto"/>
      </w:pBdr>
      <w:tabs>
        <w:tab w:val="left" w:pos="2102"/>
        <w:tab w:val="left" w:pos="3773"/>
        <w:tab w:val="left" w:pos="5875"/>
        <w:tab w:val="left" w:pos="7675"/>
      </w:tabs>
      <w:spacing w:before="120" w:after="120" w:line="440" w:lineRule="atLeast"/>
      <w:ind w:left="835" w:firstLine="0"/>
      <w:textAlignment w:val="baseline"/>
    </w:pPr>
    <w:rPr>
      <w:rFonts w:eastAsia="Times New Roman" w:cs="Times New Roman"/>
      <w:spacing w:val="-5"/>
      <w:sz w:val="20"/>
      <w:szCs w:val="20"/>
      <w:lang w:eastAsia="zh-CN"/>
    </w:rPr>
  </w:style>
  <w:style w:type="paragraph" w:styleId="NoSpacing">
    <w:name w:val="No Spacing"/>
    <w:uiPriority w:val="1"/>
    <w:qFormat/>
    <w:rsid w:val="00DF4666"/>
    <w:rPr>
      <w:rFonts w:ascii="Calibri" w:eastAsia="Times New Roman" w:hAnsi="Calibri" w:cs="Times New Roman"/>
      <w:sz w:val="22"/>
      <w:szCs w:val="22"/>
      <w:lang w:bidi="en-US"/>
    </w:rPr>
  </w:style>
  <w:style w:type="paragraph" w:customStyle="1" w:styleId="Numbered">
    <w:name w:val="Numbered"/>
    <w:basedOn w:val="ListParagraph"/>
    <w:link w:val="NumberedChar"/>
    <w:rsid w:val="00DF4666"/>
    <w:pPr>
      <w:numPr>
        <w:numId w:val="25"/>
      </w:numPr>
      <w:spacing w:after="120"/>
      <w:contextualSpacing w:val="0"/>
      <w:textAlignment w:val="baseline"/>
    </w:pPr>
    <w:rPr>
      <w:rFonts w:cs="Arial"/>
      <w:szCs w:val="22"/>
      <w:lang w:eastAsia="zh-CN"/>
    </w:rPr>
  </w:style>
  <w:style w:type="character" w:customStyle="1" w:styleId="NumberedChar">
    <w:name w:val="Numbered Char"/>
    <w:link w:val="Numbered"/>
    <w:rsid w:val="00DF4666"/>
    <w:rPr>
      <w:rFonts w:ascii="Arial" w:eastAsia="Times New Roman" w:hAnsi="Arial" w:cs="Arial"/>
      <w:szCs w:val="22"/>
      <w:lang w:eastAsia="zh-CN"/>
    </w:rPr>
  </w:style>
  <w:style w:type="paragraph" w:customStyle="1" w:styleId="NumberedA">
    <w:name w:val="NumberedA"/>
    <w:basedOn w:val="Numbered"/>
    <w:rsid w:val="00DF4666"/>
    <w:pPr>
      <w:numPr>
        <w:ilvl w:val="1"/>
        <w:numId w:val="17"/>
      </w:numPr>
      <w:tabs>
        <w:tab w:val="num" w:pos="360"/>
      </w:tabs>
      <w:ind w:left="1504"/>
    </w:pPr>
  </w:style>
  <w:style w:type="paragraph" w:customStyle="1" w:styleId="NumberedSub">
    <w:name w:val="NumberedSub"/>
    <w:basedOn w:val="Numbered"/>
    <w:rsid w:val="00DF4666"/>
    <w:pPr>
      <w:numPr>
        <w:ilvl w:val="1"/>
        <w:numId w:val="18"/>
      </w:numPr>
      <w:tabs>
        <w:tab w:val="num" w:pos="360"/>
        <w:tab w:val="num" w:pos="1440"/>
      </w:tabs>
      <w:spacing w:after="60"/>
      <w:ind w:left="1440"/>
    </w:pPr>
  </w:style>
  <w:style w:type="paragraph" w:customStyle="1" w:styleId="NumberedSub1">
    <w:name w:val="NumberedSub1"/>
    <w:basedOn w:val="Numbered"/>
    <w:rsid w:val="00DF4666"/>
    <w:pPr>
      <w:numPr>
        <w:numId w:val="19"/>
      </w:numPr>
      <w:tabs>
        <w:tab w:val="num" w:pos="360"/>
        <w:tab w:val="num" w:pos="720"/>
      </w:tabs>
      <w:spacing w:after="60"/>
      <w:ind w:left="720"/>
    </w:pPr>
  </w:style>
  <w:style w:type="paragraph" w:customStyle="1" w:styleId="Quote1">
    <w:name w:val="Quote1"/>
    <w:basedOn w:val="Normal"/>
    <w:next w:val="Normal"/>
    <w:uiPriority w:val="29"/>
    <w:qFormat/>
    <w:rsid w:val="00DF4666"/>
    <w:pPr>
      <w:spacing w:after="120"/>
      <w:textAlignment w:val="baseline"/>
    </w:pPr>
    <w:rPr>
      <w:rFonts w:ascii="Arial" w:hAnsi="Arial" w:cs="Arial"/>
      <w:i/>
      <w:iCs/>
      <w:color w:val="000000"/>
      <w:szCs w:val="22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DF4666"/>
    <w:rPr>
      <w:rFonts w:ascii="Arial" w:eastAsia="Times New Roman" w:hAnsi="Arial"/>
      <w:i/>
      <w:iCs/>
      <w:color w:val="000000"/>
      <w:szCs w:val="22"/>
      <w:lang w:eastAsia="zh-CN"/>
    </w:rPr>
  </w:style>
  <w:style w:type="paragraph" w:customStyle="1" w:styleId="References">
    <w:name w:val="References"/>
    <w:basedOn w:val="Normal"/>
    <w:rsid w:val="00DF4666"/>
    <w:pPr>
      <w:spacing w:after="120"/>
      <w:ind w:left="216" w:hanging="216"/>
      <w:textAlignment w:val="baseline"/>
    </w:pPr>
    <w:rPr>
      <w:rFonts w:ascii="Arial" w:eastAsia="SimSun" w:hAnsi="Arial" w:cs="Arial"/>
      <w:color w:val="000000"/>
      <w:lang w:eastAsia="zh-CN"/>
    </w:rPr>
  </w:style>
  <w:style w:type="paragraph" w:customStyle="1" w:styleId="Bullets-one">
    <w:name w:val="Bullets-one"/>
    <w:basedOn w:val="Bullets"/>
    <w:rsid w:val="00DF4666"/>
    <w:pPr>
      <w:contextualSpacing/>
    </w:pPr>
  </w:style>
  <w:style w:type="paragraph" w:customStyle="1" w:styleId="StyleBodyTextKernat14pt">
    <w:name w:val="Style Body Text + Kern at 14 pt"/>
    <w:basedOn w:val="BodyText"/>
    <w:rsid w:val="00DF4666"/>
    <w:pPr>
      <w:widowControl/>
      <w:autoSpaceDE/>
      <w:autoSpaceDN/>
      <w:adjustRightInd/>
      <w:spacing w:after="120"/>
      <w:ind w:left="0"/>
      <w:textAlignment w:val="baseline"/>
    </w:pPr>
    <w:rPr>
      <w:rFonts w:ascii="Arial" w:hAnsi="Arial" w:cs="Times New Roman"/>
      <w:sz w:val="16"/>
      <w:szCs w:val="22"/>
      <w:lang w:eastAsia="zh-CN"/>
    </w:rPr>
  </w:style>
  <w:style w:type="paragraph" w:customStyle="1" w:styleId="StyleHeading116pt">
    <w:name w:val="Style Heading 1 + 16 pt"/>
    <w:basedOn w:val="Heading1"/>
    <w:rsid w:val="00DF4666"/>
    <w:pPr>
      <w:keepNext w:val="0"/>
      <w:keepLines w:val="0"/>
      <w:kinsoku/>
      <w:overflowPunct/>
      <w:spacing w:before="0" w:after="600"/>
      <w:jc w:val="center"/>
      <w:textAlignment w:val="baseline"/>
    </w:pPr>
    <w:rPr>
      <w:rFonts w:ascii="Calibri Light" w:hAnsi="Calibri Light"/>
      <w:b w:val="0"/>
      <w:bCs/>
      <w:color w:val="4472C4"/>
      <w:spacing w:val="-10"/>
      <w:kern w:val="28"/>
      <w:sz w:val="38"/>
      <w:szCs w:val="52"/>
      <w:lang w:eastAsia="zh-CN"/>
    </w:rPr>
  </w:style>
  <w:style w:type="paragraph" w:customStyle="1" w:styleId="StyleHeading1Firstline0">
    <w:name w:val="Style Heading 1 + First line:  0&quot;"/>
    <w:basedOn w:val="Heading1"/>
    <w:rsid w:val="00DF4666"/>
    <w:pPr>
      <w:keepNext w:val="0"/>
      <w:keepLines w:val="0"/>
      <w:kinsoku/>
      <w:overflowPunct/>
      <w:spacing w:before="0" w:after="600"/>
      <w:jc w:val="center"/>
      <w:textAlignment w:val="baseline"/>
    </w:pPr>
    <w:rPr>
      <w:color w:val="000000"/>
      <w:spacing w:val="-10"/>
      <w:kern w:val="28"/>
      <w:sz w:val="36"/>
      <w:szCs w:val="20"/>
      <w:lang w:eastAsia="zh-CN"/>
    </w:rPr>
  </w:style>
  <w:style w:type="paragraph" w:customStyle="1" w:styleId="StyleHeading1Firstline01">
    <w:name w:val="Style Heading 1 + First line:  0&quot;1"/>
    <w:basedOn w:val="Heading1"/>
    <w:rsid w:val="00DF4666"/>
    <w:pPr>
      <w:keepNext w:val="0"/>
      <w:keepLines w:val="0"/>
      <w:kinsoku/>
      <w:overflowPunct/>
      <w:spacing w:before="0" w:after="600"/>
      <w:jc w:val="center"/>
      <w:textAlignment w:val="baseline"/>
    </w:pPr>
    <w:rPr>
      <w:b w:val="0"/>
      <w:color w:val="000000"/>
      <w:spacing w:val="-10"/>
      <w:kern w:val="28"/>
      <w:sz w:val="52"/>
      <w:szCs w:val="20"/>
      <w:lang w:eastAsia="zh-CN"/>
    </w:rPr>
  </w:style>
  <w:style w:type="paragraph" w:customStyle="1" w:styleId="StyleHeading2Firstline0">
    <w:name w:val="Style Heading 2 + First line:  0&quot;"/>
    <w:basedOn w:val="Heading2"/>
    <w:rsid w:val="00DF4666"/>
    <w:pPr>
      <w:keepLines w:val="0"/>
      <w:kinsoku/>
      <w:overflowPunct/>
      <w:spacing w:before="120" w:after="120"/>
      <w:ind w:left="1440" w:hanging="1440"/>
    </w:pPr>
    <w:rPr>
      <w:rFonts w:eastAsia="Times New Roman" w:cs="Times New Roman"/>
      <w:color w:val="000000"/>
      <w:spacing w:val="0"/>
      <w:sz w:val="40"/>
      <w:szCs w:val="20"/>
      <w:shd w:val="clear" w:color="auto" w:fill="auto"/>
      <w:lang w:eastAsia="zh-CN"/>
    </w:rPr>
  </w:style>
  <w:style w:type="paragraph" w:customStyle="1" w:styleId="StyleHeading3Firstline0">
    <w:name w:val="Style Heading 3 + First line:  0&quot;"/>
    <w:basedOn w:val="Heading3"/>
    <w:rsid w:val="00DF4666"/>
    <w:pPr>
      <w:spacing w:before="200" w:after="0"/>
    </w:pPr>
    <w:rPr>
      <w:rFonts w:ascii="Calibri Light" w:hAnsi="Calibri Light"/>
      <w:b w:val="0"/>
      <w:color w:val="4F81BD"/>
      <w:sz w:val="32"/>
      <w:szCs w:val="20"/>
      <w:lang w:eastAsia="zh-CN"/>
    </w:rPr>
  </w:style>
  <w:style w:type="paragraph" w:customStyle="1" w:styleId="StyleHeading3Firstline01">
    <w:name w:val="Style Heading 3 + First line:  0&quot;1"/>
    <w:basedOn w:val="Heading3"/>
    <w:rsid w:val="00DF4666"/>
    <w:pPr>
      <w:spacing w:before="120"/>
    </w:pPr>
    <w:rPr>
      <w:bCs w:val="0"/>
      <w:i/>
      <w:sz w:val="32"/>
      <w:szCs w:val="20"/>
      <w:lang w:eastAsia="zh-CN"/>
    </w:rPr>
  </w:style>
  <w:style w:type="character" w:styleId="SubtleEmphasis">
    <w:name w:val="Subtle Emphasis"/>
    <w:uiPriority w:val="19"/>
    <w:qFormat/>
    <w:rsid w:val="00DF4666"/>
    <w:rPr>
      <w:i/>
      <w:iCs/>
      <w:color w:val="808080"/>
    </w:rPr>
  </w:style>
  <w:style w:type="character" w:styleId="SubtleReference">
    <w:name w:val="Subtle Reference"/>
    <w:uiPriority w:val="31"/>
    <w:qFormat/>
    <w:rsid w:val="00DF4666"/>
    <w:rPr>
      <w:smallCaps/>
      <w:color w:val="C0504D"/>
      <w:u w:val="single"/>
    </w:rPr>
  </w:style>
  <w:style w:type="paragraph" w:customStyle="1" w:styleId="TableText">
    <w:name w:val="Table Text"/>
    <w:rsid w:val="00DF4666"/>
    <w:pPr>
      <w:spacing w:before="20" w:after="20"/>
    </w:pPr>
    <w:rPr>
      <w:rFonts w:ascii="Arial" w:eastAsia="Times New Roman" w:hAnsi="Arial" w:cs="Arial"/>
      <w:sz w:val="22"/>
      <w:szCs w:val="20"/>
      <w:lang w:bidi="en-US"/>
    </w:rPr>
  </w:style>
  <w:style w:type="paragraph" w:customStyle="1" w:styleId="TableBullets">
    <w:name w:val="Table Bullets"/>
    <w:basedOn w:val="TableText"/>
    <w:rsid w:val="00DF4666"/>
    <w:pPr>
      <w:numPr>
        <w:numId w:val="20"/>
      </w:numPr>
    </w:pPr>
  </w:style>
  <w:style w:type="paragraph" w:customStyle="1" w:styleId="TableBullets2">
    <w:name w:val="Table Bullets2"/>
    <w:basedOn w:val="TableBullets"/>
    <w:rsid w:val="00DF4666"/>
    <w:pPr>
      <w:numPr>
        <w:ilvl w:val="1"/>
        <w:numId w:val="21"/>
      </w:numPr>
    </w:pPr>
  </w:style>
  <w:style w:type="paragraph" w:customStyle="1" w:styleId="TableText0">
    <w:name w:val="TableText"/>
    <w:basedOn w:val="Normal"/>
    <w:link w:val="TableTextChar"/>
    <w:rsid w:val="00DF4666"/>
    <w:pPr>
      <w:spacing w:before="20" w:after="20"/>
      <w:jc w:val="right"/>
      <w:textAlignment w:val="baseline"/>
    </w:pPr>
    <w:rPr>
      <w:rFonts w:ascii="Arial" w:eastAsia="SimSun" w:hAnsi="Arial" w:cs="Calibri"/>
      <w:bCs/>
    </w:rPr>
  </w:style>
  <w:style w:type="character" w:customStyle="1" w:styleId="TableTextChar">
    <w:name w:val="TableText Char"/>
    <w:basedOn w:val="DefaultParagraphFont"/>
    <w:link w:val="TableText0"/>
    <w:rsid w:val="00DF4666"/>
    <w:rPr>
      <w:rFonts w:ascii="Arial" w:eastAsia="SimSun" w:hAnsi="Arial" w:cs="Calibri"/>
      <w:bCs/>
    </w:rPr>
  </w:style>
  <w:style w:type="paragraph" w:customStyle="1" w:styleId="TableHead">
    <w:name w:val="TableHead"/>
    <w:link w:val="TableHeadChar"/>
    <w:rsid w:val="00DF4666"/>
    <w:pPr>
      <w:spacing w:before="20" w:after="20"/>
      <w:jc w:val="center"/>
    </w:pPr>
    <w:rPr>
      <w:rFonts w:ascii="Arial" w:eastAsia="SimSun" w:hAnsi="Arial" w:cs="Times New Roman"/>
      <w:b/>
      <w:bCs/>
      <w:noProof/>
    </w:rPr>
  </w:style>
  <w:style w:type="character" w:customStyle="1" w:styleId="TableHeadChar">
    <w:name w:val="TableHead Char"/>
    <w:basedOn w:val="DefaultParagraphFont"/>
    <w:link w:val="TableHead"/>
    <w:rsid w:val="00DF4666"/>
    <w:rPr>
      <w:rFonts w:ascii="Arial" w:eastAsia="SimSun" w:hAnsi="Arial" w:cs="Times New Roman"/>
      <w:b/>
      <w:bCs/>
      <w:noProof/>
    </w:rPr>
  </w:style>
  <w:style w:type="paragraph" w:customStyle="1" w:styleId="Times">
    <w:name w:val="Times"/>
    <w:basedOn w:val="CDENormal"/>
    <w:qFormat/>
    <w:rsid w:val="00DF4666"/>
  </w:style>
  <w:style w:type="paragraph" w:styleId="TOC1">
    <w:name w:val="toc 1"/>
    <w:basedOn w:val="Normal"/>
    <w:next w:val="Normal"/>
    <w:link w:val="TOC1Char"/>
    <w:uiPriority w:val="39"/>
    <w:qFormat/>
    <w:rsid w:val="00DF4666"/>
    <w:pPr>
      <w:tabs>
        <w:tab w:val="right" w:leader="dot" w:pos="9900"/>
      </w:tabs>
      <w:spacing w:before="60" w:after="20"/>
      <w:ind w:left="144" w:right="43"/>
    </w:pPr>
    <w:rPr>
      <w:rFonts w:ascii="Arial" w:eastAsia="SimSun" w:hAnsi="Arial"/>
      <w:b/>
      <w:noProof/>
      <w:color w:val="0000FF"/>
      <w:szCs w:val="18"/>
    </w:rPr>
  </w:style>
  <w:style w:type="character" w:customStyle="1" w:styleId="TOC1Char">
    <w:name w:val="TOC 1 Char"/>
    <w:link w:val="TOC1"/>
    <w:uiPriority w:val="39"/>
    <w:rsid w:val="00DF4666"/>
    <w:rPr>
      <w:rFonts w:ascii="Arial" w:eastAsia="SimSun" w:hAnsi="Arial" w:cs="Times New Roman"/>
      <w:b/>
      <w:noProof/>
      <w:color w:val="0000FF"/>
      <w:szCs w:val="18"/>
    </w:rPr>
  </w:style>
  <w:style w:type="paragraph" w:styleId="TOC2">
    <w:name w:val="toc 2"/>
    <w:basedOn w:val="Normal"/>
    <w:next w:val="Normal"/>
    <w:link w:val="TOC2Char"/>
    <w:uiPriority w:val="39"/>
    <w:qFormat/>
    <w:rsid w:val="00DF4666"/>
    <w:pPr>
      <w:tabs>
        <w:tab w:val="right" w:leader="dot" w:pos="9893"/>
      </w:tabs>
      <w:ind w:left="900" w:right="43" w:hanging="540"/>
    </w:pPr>
    <w:rPr>
      <w:rFonts w:ascii="Arial" w:eastAsia="SimSun" w:hAnsi="Arial"/>
      <w:noProof/>
      <w:color w:val="0000FF"/>
      <w:szCs w:val="18"/>
    </w:rPr>
  </w:style>
  <w:style w:type="character" w:customStyle="1" w:styleId="TOC2Char">
    <w:name w:val="TOC 2 Char"/>
    <w:link w:val="TOC2"/>
    <w:uiPriority w:val="39"/>
    <w:rsid w:val="00DF4666"/>
    <w:rPr>
      <w:rFonts w:ascii="Arial" w:eastAsia="SimSun" w:hAnsi="Arial" w:cs="Times New Roman"/>
      <w:noProof/>
      <w:color w:val="0000FF"/>
      <w:szCs w:val="18"/>
    </w:rPr>
  </w:style>
  <w:style w:type="paragraph" w:styleId="TOC3">
    <w:name w:val="toc 3"/>
    <w:basedOn w:val="Normal"/>
    <w:next w:val="Normal"/>
    <w:link w:val="TOC3Char"/>
    <w:uiPriority w:val="39"/>
    <w:qFormat/>
    <w:rsid w:val="00DF4666"/>
    <w:pPr>
      <w:tabs>
        <w:tab w:val="left" w:pos="720"/>
        <w:tab w:val="right" w:pos="10080"/>
      </w:tabs>
      <w:spacing w:before="20" w:after="120"/>
      <w:ind w:left="548" w:hanging="274"/>
      <w:textAlignment w:val="baseline"/>
    </w:pPr>
    <w:rPr>
      <w:rFonts w:ascii="Arial" w:eastAsia="SimSun" w:hAnsi="Arial" w:cs="Calibri"/>
      <w:noProof/>
      <w:color w:val="000000"/>
      <w:sz w:val="20"/>
      <w:szCs w:val="18"/>
    </w:rPr>
  </w:style>
  <w:style w:type="character" w:customStyle="1" w:styleId="TOC3Char">
    <w:name w:val="TOC 3 Char"/>
    <w:link w:val="TOC3"/>
    <w:uiPriority w:val="39"/>
    <w:rsid w:val="00DF4666"/>
    <w:rPr>
      <w:rFonts w:ascii="Arial" w:eastAsia="SimSun" w:hAnsi="Arial" w:cs="Calibri"/>
      <w:noProof/>
      <w:color w:val="000000"/>
      <w:sz w:val="20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F4666"/>
    <w:pPr>
      <w:keepNext w:val="0"/>
      <w:keepLines w:val="0"/>
      <w:kinsoku/>
      <w:overflowPunct/>
      <w:spacing w:before="0" w:after="600"/>
      <w:jc w:val="center"/>
      <w:textAlignment w:val="baseline"/>
      <w:outlineLvl w:val="9"/>
    </w:pPr>
    <w:rPr>
      <w:rFonts w:ascii="Calibri Light" w:hAnsi="Calibri Light"/>
      <w:b w:val="0"/>
      <w:bCs/>
      <w:color w:val="4472C4"/>
      <w:spacing w:val="-10"/>
      <w:kern w:val="28"/>
      <w:sz w:val="36"/>
      <w:szCs w:val="52"/>
      <w:lang w:eastAsia="zh-CN"/>
    </w:rPr>
  </w:style>
  <w:style w:type="paragraph" w:customStyle="1" w:styleId="Subbullet">
    <w:name w:val="Subbullet"/>
    <w:basedOn w:val="Bullets"/>
    <w:link w:val="SubbulletChar"/>
    <w:qFormat/>
    <w:rsid w:val="00DF4666"/>
    <w:pPr>
      <w:numPr>
        <w:numId w:val="22"/>
      </w:numPr>
      <w:ind w:left="1440" w:hanging="216"/>
    </w:pPr>
    <w:rPr>
      <w:spacing w:val="-5"/>
      <w:lang w:val="fr-FR"/>
    </w:rPr>
  </w:style>
  <w:style w:type="character" w:customStyle="1" w:styleId="SubbulletChar">
    <w:name w:val="Subbullet Char"/>
    <w:basedOn w:val="DefaultParagraphFont"/>
    <w:link w:val="Subbullet"/>
    <w:rsid w:val="00DF4666"/>
    <w:rPr>
      <w:rFonts w:ascii="Arial" w:eastAsia="Times New Roman" w:hAnsi="Arial" w:cs="Arial"/>
      <w:spacing w:val="-5"/>
      <w:szCs w:val="22"/>
      <w:lang w:val="fr-FR" w:eastAsia="zh-CN"/>
    </w:rPr>
  </w:style>
  <w:style w:type="paragraph" w:customStyle="1" w:styleId="AlpaList">
    <w:name w:val="AlpaList"/>
    <w:basedOn w:val="ListParagraph"/>
    <w:link w:val="AlpaListChar"/>
    <w:qFormat/>
    <w:rsid w:val="00DF4666"/>
    <w:pPr>
      <w:numPr>
        <w:numId w:val="14"/>
      </w:numPr>
      <w:spacing w:after="120"/>
      <w:contextualSpacing w:val="0"/>
      <w:textAlignment w:val="baseline"/>
    </w:pPr>
    <w:rPr>
      <w:rFonts w:cs="Arial"/>
      <w:szCs w:val="22"/>
      <w:lang w:eastAsia="zh-CN"/>
    </w:rPr>
  </w:style>
  <w:style w:type="character" w:customStyle="1" w:styleId="AlpaListChar">
    <w:name w:val="AlpaList Char"/>
    <w:basedOn w:val="ListParagraphChar"/>
    <w:link w:val="AlpaList"/>
    <w:rsid w:val="00DF4666"/>
    <w:rPr>
      <w:rFonts w:ascii="Arial" w:eastAsia="Times New Roman" w:hAnsi="Arial" w:cs="Arial"/>
      <w:szCs w:val="22"/>
      <w:lang w:eastAsia="zh-CN"/>
    </w:rPr>
  </w:style>
  <w:style w:type="paragraph" w:customStyle="1" w:styleId="ListPararaph">
    <w:name w:val="List Pararaph"/>
    <w:aliases w:val="next"/>
    <w:basedOn w:val="Normal"/>
    <w:link w:val="ListPararaphChar"/>
    <w:qFormat/>
    <w:rsid w:val="00DF4666"/>
    <w:pPr>
      <w:spacing w:after="120"/>
      <w:ind w:left="835"/>
      <w:textAlignment w:val="baseline"/>
    </w:pPr>
    <w:rPr>
      <w:rFonts w:ascii="Arial" w:hAnsi="Arial" w:cs="Arial"/>
      <w:szCs w:val="22"/>
      <w:lang w:eastAsia="zh-CN"/>
    </w:rPr>
  </w:style>
  <w:style w:type="character" w:customStyle="1" w:styleId="ListPararaphChar">
    <w:name w:val="List Pararaph Char"/>
    <w:aliases w:val="next Char"/>
    <w:basedOn w:val="DefaultParagraphFont"/>
    <w:link w:val="ListPararaph"/>
    <w:rsid w:val="00DF4666"/>
    <w:rPr>
      <w:rFonts w:ascii="Arial" w:eastAsia="Times New Roman" w:hAnsi="Arial" w:cs="Arial"/>
      <w:szCs w:val="22"/>
      <w:lang w:eastAsia="zh-CN"/>
    </w:rPr>
  </w:style>
  <w:style w:type="paragraph" w:customStyle="1" w:styleId="NumberedOne0">
    <w:name w:val="NumberedOne"/>
    <w:basedOn w:val="Numbered"/>
    <w:rsid w:val="00DF4666"/>
  </w:style>
  <w:style w:type="paragraph" w:customStyle="1" w:styleId="NumberedOne">
    <w:name w:val="Numbered_One"/>
    <w:basedOn w:val="Numbered"/>
    <w:rsid w:val="00DF4666"/>
    <w:pPr>
      <w:numPr>
        <w:numId w:val="23"/>
      </w:numPr>
      <w:tabs>
        <w:tab w:val="num" w:pos="720"/>
      </w:tabs>
      <w:ind w:left="1080"/>
    </w:pPr>
  </w:style>
  <w:style w:type="paragraph" w:customStyle="1" w:styleId="TableHead10">
    <w:name w:val="TableHead10"/>
    <w:basedOn w:val="TableHead"/>
    <w:rsid w:val="00DF4666"/>
    <w:rPr>
      <w:sz w:val="20"/>
      <w:szCs w:val="20"/>
    </w:rPr>
  </w:style>
  <w:style w:type="paragraph" w:customStyle="1" w:styleId="TableText10">
    <w:name w:val="TableText10"/>
    <w:basedOn w:val="TableText0"/>
    <w:rsid w:val="00DF4666"/>
    <w:rPr>
      <w:sz w:val="20"/>
      <w:szCs w:val="20"/>
    </w:rPr>
  </w:style>
  <w:style w:type="paragraph" w:customStyle="1" w:styleId="TableNumber">
    <w:name w:val="TableNumber"/>
    <w:basedOn w:val="NumberedOne"/>
    <w:rsid w:val="00DF4666"/>
    <w:pPr>
      <w:numPr>
        <w:numId w:val="0"/>
      </w:numPr>
      <w:ind w:left="414" w:hanging="180"/>
    </w:pPr>
    <w:rPr>
      <w:lang w:eastAsia="ko-KR"/>
    </w:rPr>
  </w:style>
  <w:style w:type="paragraph" w:customStyle="1" w:styleId="NumberedSteps">
    <w:name w:val="Numbered Steps"/>
    <w:basedOn w:val="ListParagraph"/>
    <w:rsid w:val="00DF4666"/>
    <w:pPr>
      <w:numPr>
        <w:numId w:val="24"/>
      </w:numPr>
      <w:spacing w:after="120" w:line="276" w:lineRule="auto"/>
      <w:contextualSpacing w:val="0"/>
      <w:textAlignment w:val="baseline"/>
    </w:pPr>
    <w:rPr>
      <w:rFonts w:cs="Arial"/>
      <w:b/>
      <w:color w:val="1F497D"/>
      <w:lang w:eastAsia="ja-JP"/>
    </w:rPr>
  </w:style>
  <w:style w:type="paragraph" w:customStyle="1" w:styleId="NumberedSub0">
    <w:name w:val="Numbered Sub"/>
    <w:basedOn w:val="ListParagraph"/>
    <w:rsid w:val="00DF4666"/>
    <w:pPr>
      <w:numPr>
        <w:ilvl w:val="1"/>
        <w:numId w:val="25"/>
      </w:numPr>
      <w:tabs>
        <w:tab w:val="num" w:pos="1440"/>
      </w:tabs>
      <w:spacing w:after="120"/>
      <w:contextualSpacing w:val="0"/>
      <w:textAlignment w:val="baseline"/>
    </w:pPr>
    <w:rPr>
      <w:rFonts w:cs="Arial"/>
      <w:szCs w:val="22"/>
      <w:lang w:eastAsia="zh-CN"/>
    </w:rPr>
  </w:style>
  <w:style w:type="paragraph" w:styleId="TOC4">
    <w:name w:val="toc 4"/>
    <w:basedOn w:val="Normal"/>
    <w:next w:val="Normal"/>
    <w:autoRedefine/>
    <w:uiPriority w:val="39"/>
    <w:rsid w:val="00DF4666"/>
    <w:pPr>
      <w:tabs>
        <w:tab w:val="right" w:leader="dot" w:pos="9900"/>
      </w:tabs>
      <w:spacing w:after="20"/>
      <w:ind w:left="648"/>
      <w:textAlignment w:val="baseline"/>
    </w:pPr>
    <w:rPr>
      <w:rFonts w:ascii="Arial" w:eastAsia="SimSun" w:hAnsi="Arial" w:cs="Calibri"/>
      <w:bCs/>
      <w:noProof/>
      <w:sz w:val="20"/>
      <w:szCs w:val="22"/>
      <w:lang w:eastAsia="zh-CN"/>
    </w:rPr>
  </w:style>
  <w:style w:type="paragraph" w:styleId="TOC5">
    <w:name w:val="toc 5"/>
    <w:next w:val="Normal"/>
    <w:autoRedefine/>
    <w:uiPriority w:val="39"/>
    <w:rsid w:val="00DF4666"/>
    <w:pPr>
      <w:tabs>
        <w:tab w:val="right" w:leader="dot" w:pos="10080"/>
      </w:tabs>
      <w:ind w:left="274" w:hanging="274"/>
    </w:pPr>
    <w:rPr>
      <w:rFonts w:ascii="Arial" w:eastAsia="SimSun" w:hAnsi="Arial" w:cs="Times New Roman"/>
      <w:noProof/>
      <w:color w:val="0000FF"/>
      <w:szCs w:val="18"/>
      <w:lang w:eastAsia="zh-CN"/>
    </w:rPr>
  </w:style>
  <w:style w:type="paragraph" w:customStyle="1" w:styleId="TOCHeading">
    <w:name w:val="TOCHeading"/>
    <w:basedOn w:val="BodyText"/>
    <w:rsid w:val="00DF4666"/>
    <w:pPr>
      <w:widowControl/>
      <w:pBdr>
        <w:bottom w:val="double" w:sz="4" w:space="1" w:color="auto"/>
      </w:pBdr>
      <w:autoSpaceDE/>
      <w:autoSpaceDN/>
      <w:adjustRightInd/>
      <w:spacing w:after="60"/>
      <w:ind w:left="720"/>
      <w:textAlignment w:val="baseline"/>
    </w:pPr>
    <w:rPr>
      <w:rFonts w:ascii="Arial" w:eastAsia="SimSun" w:hAnsi="Arial"/>
      <w:b/>
      <w:sz w:val="32"/>
      <w:szCs w:val="22"/>
      <w:lang w:eastAsia="zh-CN"/>
    </w:rPr>
  </w:style>
  <w:style w:type="table" w:customStyle="1" w:styleId="TRtable">
    <w:name w:val="TR table"/>
    <w:basedOn w:val="TableNormal"/>
    <w:uiPriority w:val="99"/>
    <w:rsid w:val="00DF4666"/>
    <w:rPr>
      <w:rFonts w:ascii="Arial" w:eastAsia="SimSun" w:hAnsi="Arial" w:cs="Times New Roman"/>
      <w:sz w:val="2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blStylePr w:type="firstRow">
      <w:rPr>
        <w:rFonts w:ascii="Arial" w:hAnsi="Arial"/>
        <w:sz w:val="20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OCHead">
    <w:name w:val="TOC Head"/>
    <w:rsid w:val="00DF4666"/>
    <w:pPr>
      <w:numPr>
        <w:ilvl w:val="1"/>
      </w:numPr>
      <w:spacing w:before="240" w:after="120"/>
    </w:pPr>
    <w:rPr>
      <w:rFonts w:ascii="Arial" w:eastAsia="SimSun" w:hAnsi="Arial" w:cs="Arial"/>
      <w:b/>
      <w:bCs/>
      <w:color w:val="000000"/>
      <w:sz w:val="32"/>
      <w:szCs w:val="32"/>
    </w:rPr>
  </w:style>
  <w:style w:type="paragraph" w:customStyle="1" w:styleId="Bullet2">
    <w:name w:val="Bullet2"/>
    <w:basedOn w:val="Normal"/>
    <w:rsid w:val="00DF4666"/>
    <w:pPr>
      <w:numPr>
        <w:numId w:val="26"/>
      </w:numPr>
      <w:spacing w:after="120"/>
      <w:ind w:left="936"/>
      <w:textAlignment w:val="baseline"/>
    </w:pPr>
    <w:rPr>
      <w:rFonts w:ascii="Arial" w:hAnsi="Arial"/>
      <w:szCs w:val="20"/>
    </w:rPr>
  </w:style>
  <w:style w:type="character" w:customStyle="1" w:styleId="Cross-reference">
    <w:name w:val="Cross-reference"/>
    <w:uiPriority w:val="1"/>
    <w:qFormat/>
    <w:rsid w:val="00DF4666"/>
    <w:rPr>
      <w:rFonts w:ascii="Arial" w:hAnsi="Arial" w:cs="Arial"/>
      <w:color w:val="0000FF"/>
      <w:u w:val="single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DF4666"/>
    <w:pPr>
      <w:spacing w:after="120"/>
      <w:textAlignment w:val="baseline"/>
    </w:pPr>
    <w:rPr>
      <w:rFonts w:ascii="Arial" w:hAnsi="Arial" w:cstheme="minorBidi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DF4666"/>
    <w:rPr>
      <w:rFonts w:ascii="Arial" w:eastAsia="Times New Roman" w:hAnsi="Arial"/>
      <w:sz w:val="20"/>
      <w:szCs w:val="20"/>
      <w:lang w:eastAsia="zh-CN"/>
    </w:rPr>
  </w:style>
  <w:style w:type="table" w:customStyle="1" w:styleId="TableGrid1">
    <w:name w:val="Table Grid1"/>
    <w:basedOn w:val="TableNormal"/>
    <w:next w:val="TableGrid"/>
    <w:rsid w:val="00DF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locked/>
    <w:rsid w:val="00DF4666"/>
    <w:rPr>
      <w:rFonts w:ascii="Arial" w:eastAsia="Times New Roman" w:hAnsi="Arial" w:cs="Arial"/>
      <w:b/>
      <w:bCs/>
      <w:color w:val="034D8E"/>
    </w:rPr>
  </w:style>
  <w:style w:type="paragraph" w:styleId="TableofFigures">
    <w:name w:val="table of figures"/>
    <w:aliases w:val="Exhibits"/>
    <w:basedOn w:val="Normal"/>
    <w:next w:val="Normal"/>
    <w:uiPriority w:val="99"/>
    <w:rsid w:val="00DF4666"/>
    <w:pPr>
      <w:tabs>
        <w:tab w:val="right" w:leader="dot" w:pos="9792"/>
      </w:tabs>
      <w:ind w:left="288" w:right="144" w:hanging="144"/>
    </w:pPr>
    <w:rPr>
      <w:rFonts w:ascii="Arial" w:eastAsia="SimSun" w:hAnsi="Arial"/>
      <w:noProof/>
      <w:color w:val="0000FF"/>
      <w:szCs w:val="18"/>
      <w:lang w:eastAsia="zh-CN"/>
    </w:rPr>
  </w:style>
  <w:style w:type="paragraph" w:customStyle="1" w:styleId="ToCHeading2">
    <w:name w:val="ToC Heading 2"/>
    <w:basedOn w:val="TOC1"/>
    <w:link w:val="ToCHeading2Char"/>
    <w:qFormat/>
    <w:rsid w:val="00DF4666"/>
    <w:pPr>
      <w:tabs>
        <w:tab w:val="left" w:pos="1100"/>
      </w:tabs>
      <w:spacing w:before="120"/>
      <w:contextualSpacing/>
    </w:pPr>
    <w:rPr>
      <w:color w:val="auto"/>
      <w:sz w:val="28"/>
    </w:rPr>
  </w:style>
  <w:style w:type="character" w:customStyle="1" w:styleId="ToCHeading2Char">
    <w:name w:val="ToC Heading 2 Char"/>
    <w:link w:val="ToCHeading2"/>
    <w:rsid w:val="00DF4666"/>
    <w:rPr>
      <w:rFonts w:ascii="Arial" w:eastAsia="SimSun" w:hAnsi="Arial" w:cs="Times New Roman"/>
      <w:b/>
      <w:noProof/>
      <w:sz w:val="28"/>
      <w:szCs w:val="18"/>
    </w:rPr>
  </w:style>
  <w:style w:type="paragraph" w:customStyle="1" w:styleId="Numbered-a">
    <w:name w:val="Numbered-a"/>
    <w:basedOn w:val="ListParagraph"/>
    <w:qFormat/>
    <w:rsid w:val="00DF4666"/>
    <w:pPr>
      <w:numPr>
        <w:numId w:val="41"/>
      </w:numPr>
      <w:spacing w:after="120"/>
      <w:ind w:left="1080"/>
      <w:contextualSpacing w:val="0"/>
      <w:textAlignment w:val="baseline"/>
    </w:pPr>
    <w:rPr>
      <w:rFonts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DF4666"/>
    <w:rPr>
      <w:color w:val="808080"/>
    </w:rPr>
  </w:style>
  <w:style w:type="table" w:styleId="Table3Deffects3">
    <w:name w:val="Table 3D effects 3"/>
    <w:basedOn w:val="TableNormal"/>
    <w:rsid w:val="00DF4666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DF4666"/>
    <w:pPr>
      <w:spacing w:after="24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4666"/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DF4666"/>
    <w:rPr>
      <w:i/>
      <w:iCs/>
    </w:rPr>
  </w:style>
  <w:style w:type="table" w:customStyle="1" w:styleId="PlainTable21">
    <w:name w:val="Plain Table 21"/>
    <w:basedOn w:val="TableNormal"/>
    <w:next w:val="PlainTable2"/>
    <w:uiPriority w:val="42"/>
    <w:rsid w:val="00DF4666"/>
    <w:rPr>
      <w:rFonts w:ascii="Times New Roman" w:eastAsia="SimSun" w:hAnsi="Times New Roman" w:cs="Times New Roman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DF4666"/>
    <w:rPr>
      <w:rFonts w:ascii="Times New Roman" w:eastAsia="SimSun" w:hAnsi="Times New Roman" w:cs="Times New Roman"/>
      <w:sz w:val="20"/>
      <w:szCs w:val="20"/>
      <w:lang w:eastAsia="ko-K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DF4666"/>
    <w:rPr>
      <w:vertAlign w:val="superscript"/>
    </w:rPr>
  </w:style>
  <w:style w:type="character" w:customStyle="1" w:styleId="Heading5Char1">
    <w:name w:val="Heading 5 Char1"/>
    <w:basedOn w:val="DefaultParagraphFont"/>
    <w:uiPriority w:val="9"/>
    <w:semiHidden/>
    <w:rsid w:val="00DF46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F46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DF4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DF4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F4666"/>
    <w:pPr>
      <w:contextualSpacing/>
    </w:pPr>
    <w:rPr>
      <w:rFonts w:ascii="Arial" w:hAnsi="Arial" w:cstheme="minorBidi"/>
      <w:b/>
      <w:spacing w:val="-10"/>
      <w:kern w:val="28"/>
      <w:sz w:val="32"/>
      <w:szCs w:val="56"/>
      <w:lang w:eastAsia="zh-CN"/>
    </w:rPr>
  </w:style>
  <w:style w:type="character" w:customStyle="1" w:styleId="TitleChar1">
    <w:name w:val="Title Char1"/>
    <w:basedOn w:val="DefaultParagraphFont"/>
    <w:uiPriority w:val="10"/>
    <w:rsid w:val="00DF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666"/>
    <w:pPr>
      <w:numPr>
        <w:ilvl w:val="1"/>
      </w:numPr>
      <w:spacing w:after="160"/>
    </w:pPr>
    <w:rPr>
      <w:rFonts w:ascii="Arial" w:hAnsi="Arial" w:cstheme="minorBidi"/>
      <w:color w:val="5A5A5A"/>
      <w:spacing w:val="15"/>
      <w:szCs w:val="22"/>
      <w:lang w:eastAsia="zh-CN"/>
    </w:rPr>
  </w:style>
  <w:style w:type="character" w:customStyle="1" w:styleId="SubtitleChar1">
    <w:name w:val="Subtitle Char1"/>
    <w:basedOn w:val="DefaultParagraphFont"/>
    <w:uiPriority w:val="11"/>
    <w:rsid w:val="00DF466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F466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F466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DF4666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F4666"/>
    <w:rPr>
      <w:rFonts w:ascii="Times New Roman" w:eastAsia="Times New Roman" w:hAnsi="Times New Roman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6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 w:cstheme="minorBidi"/>
      <w:b/>
      <w:bCs/>
      <w:i/>
      <w:iCs/>
      <w:color w:val="4F81BD"/>
      <w:szCs w:val="22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F4666"/>
    <w:rPr>
      <w:rFonts w:ascii="Times New Roman" w:eastAsia="Times New Roman" w:hAnsi="Times New Roman" w:cs="Times New Roman"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F4666"/>
    <w:pPr>
      <w:spacing w:before="200" w:after="160"/>
      <w:ind w:left="864" w:right="864"/>
      <w:jc w:val="center"/>
    </w:pPr>
    <w:rPr>
      <w:rFonts w:ascii="Arial" w:hAnsi="Arial" w:cstheme="minorBidi"/>
      <w:i/>
      <w:iCs/>
      <w:color w:val="000000"/>
      <w:szCs w:val="22"/>
      <w:lang w:eastAsia="zh-CN"/>
    </w:rPr>
  </w:style>
  <w:style w:type="character" w:customStyle="1" w:styleId="QuoteChar1">
    <w:name w:val="Quote Char1"/>
    <w:basedOn w:val="DefaultParagraphFont"/>
    <w:uiPriority w:val="29"/>
    <w:rsid w:val="00DF466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DF4666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F4666"/>
    <w:rPr>
      <w:rFonts w:ascii="Times New Roman" w:eastAsia="Times New Roman" w:hAnsi="Times New Roman" w:cs="Times New Roman"/>
      <w:sz w:val="20"/>
      <w:szCs w:val="20"/>
    </w:rPr>
  </w:style>
  <w:style w:type="table" w:styleId="PlainTable2">
    <w:name w:val="Plain Table 2"/>
    <w:basedOn w:val="TableNormal"/>
    <w:uiPriority w:val="42"/>
    <w:rsid w:val="00DF46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F46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317D81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9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e.ca.gov/be/pn/im/documents/memo-dsib-amard-jun16item01.doc" TargetMode="External"/><Relationship Id="rId18" Type="http://schemas.openxmlformats.org/officeDocument/2006/relationships/hyperlink" Target="https://www.cde.ca.gov/be/ag/ag/yr18/documents/may18item02.docx" TargetMode="External"/><Relationship Id="rId26" Type="http://schemas.openxmlformats.org/officeDocument/2006/relationships/hyperlink" Target="https://www.cde.ca.gov/be/ag/ag/yr20/documents/sep20item01.docx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de.ca.gov/be/pn/im/documents/memo-pptb-amard-apr19item02.docx" TargetMode="External"/><Relationship Id="rId34" Type="http://schemas.openxmlformats.org/officeDocument/2006/relationships/hyperlink" Target="https://www.cde.ca.gov/ta/ac/cm/ela19.asp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de.ca.gov/be/pn/im/documents/memo-pptb-amard-feb18item01.docx" TargetMode="External"/><Relationship Id="rId25" Type="http://schemas.openxmlformats.org/officeDocument/2006/relationships/hyperlink" Target="https://www.cde.ca.gov/be/ag/ag/yr20/documents/jul20item02.docx" TargetMode="External"/><Relationship Id="rId33" Type="http://schemas.openxmlformats.org/officeDocument/2006/relationships/hyperlink" Target="https://www.cde.ca.gov/be/pn/im/documents/memo-pptb-amard-jun18item01a1.docx" TargetMode="External"/><Relationship Id="rId38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be/pn/im/documents/memo-asb-adad-jun17item03.doc" TargetMode="External"/><Relationship Id="rId20" Type="http://schemas.openxmlformats.org/officeDocument/2006/relationships/hyperlink" Target="https://www.cde.ca.gov/be/pn/im/documents/memo-pptb-amard-feb19item03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de.ca.gov/be/pn/im/documents/memo-imb-amard-june20item01.docx" TargetMode="External"/><Relationship Id="rId32" Type="http://schemas.openxmlformats.org/officeDocument/2006/relationships/image" Target="media/image1.png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de.ca.gov/be/ag/ag/yr17/documents/jan17item02.doc" TargetMode="External"/><Relationship Id="rId23" Type="http://schemas.openxmlformats.org/officeDocument/2006/relationships/hyperlink" Target="https://www.cde.ca.gov/be/ag/ag/yr20/documents/mar20item05.docx" TargetMode="External"/><Relationship Id="rId28" Type="http://schemas.openxmlformats.org/officeDocument/2006/relationships/header" Target="header2.xml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cde.ca.gov/be/ag/ag/yr18/documents/jul18item01.docx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be/pn/im/documents/memo-dsib-amard-feb16item01.doc" TargetMode="External"/><Relationship Id="rId22" Type="http://schemas.openxmlformats.org/officeDocument/2006/relationships/hyperlink" Target="https://www.cde.ca.gov/be/pn/im/documents/nov19memoamard01.docx" TargetMode="External"/><Relationship Id="rId27" Type="http://schemas.openxmlformats.org/officeDocument/2006/relationships/hyperlink" Target="https://www.cde.ca.gov/be/ag/ag/yr20/documents/nov20item06.docx" TargetMode="External"/><Relationship Id="rId30" Type="http://schemas.openxmlformats.org/officeDocument/2006/relationships/header" Target="header3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779EFBAFE942949A6CE03C474627" ma:contentTypeVersion="10" ma:contentTypeDescription="Create a new document." ma:contentTypeScope="" ma:versionID="0896d8d8b2c7cfe111916f600549e319">
  <xsd:schema xmlns:xsd="http://www.w3.org/2001/XMLSchema" xmlns:xs="http://www.w3.org/2001/XMLSchema" xmlns:p="http://schemas.microsoft.com/office/2006/metadata/properties" xmlns:ns2="f40f6ff5-9794-4819-aa2e-f84f961a5ef8" xmlns:ns3="c24e1ca7-cbee-438b-989f-fabb9730cd1c" targetNamespace="http://schemas.microsoft.com/office/2006/metadata/properties" ma:root="true" ma:fieldsID="4b0ced4dc254764708f8dfe839b43c89" ns2:_="" ns3:_="">
    <xsd:import namespace="f40f6ff5-9794-4819-aa2e-f84f961a5ef8"/>
    <xsd:import namespace="c24e1ca7-cbee-438b-989f-fabb9730c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f6ff5-9794-4819-aa2e-f84f961a5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1ca7-cbee-438b-989f-fabb9730c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BD07-E368-425E-9146-C5FE667F8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1B205-3B74-4FD4-B6C8-7702209F89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0f6ff5-9794-4819-aa2e-f84f961a5ef8"/>
    <ds:schemaRef ds:uri="http://schemas.microsoft.com/office/infopath/2007/PartnerControls"/>
    <ds:schemaRef ds:uri="http://purl.org/dc/elements/1.1/"/>
    <ds:schemaRef ds:uri="http://schemas.microsoft.com/office/2006/metadata/properties"/>
    <ds:schemaRef ds:uri="c24e1ca7-cbee-438b-989f-fabb9730cd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2DCB43-59CD-4739-9905-25F15D2C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f6ff5-9794-4819-aa2e-f84f961a5ef8"/>
    <ds:schemaRef ds:uri="c24e1ca7-cbee-438b-989f-fabb9730c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59F6E-F739-474D-BED9-97C0BEC43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67</Pages>
  <Words>24177</Words>
  <Characters>115809</Characters>
  <Application>Microsoft Office Word</Application>
  <DocSecurity>0</DocSecurity>
  <Lines>7720</Lines>
  <Paragraphs>7367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2021 Agenda Item 03 - CPAG (CA Dept of Education)</vt:lpstr>
    </vt:vector>
  </TitlesOfParts>
  <Company>CA Department of Education</Company>
  <LinksUpToDate>false</LinksUpToDate>
  <CharactersWithSpaces>132619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2021 Agenda Item 03 - California Practitioners Advisory Group (CA Dept of Education)</dc:title>
  <dc:subject>Update on the Development of a Student Growth Model for the Integrated Local, State, and Federal Accountability and Continuous Improvement System.</dc:subject>
  <dc:creator>Syma Solovitch</dc:creator>
  <cp:keywords/>
  <dc:description/>
  <cp:lastModifiedBy>Christopher Aban</cp:lastModifiedBy>
  <cp:revision>55</cp:revision>
  <cp:lastPrinted>2021-01-28T21:59:00Z</cp:lastPrinted>
  <dcterms:created xsi:type="dcterms:W3CDTF">2023-07-10T18:19:00Z</dcterms:created>
  <dcterms:modified xsi:type="dcterms:W3CDTF">2023-07-10T21:23:00Z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0x010100CECD779EFBAFE942949A6CE03C474627</vt:lpwstr>
  </property>
  <property fmtid="{D5CDD505-2E9C-101B-9397-08002B2CF9AE}" pid="3" name="GrammarlyDocumentId">
    <vt:lpwstr>1eb9f1d07ed8cb9d9eb33bbeb8a418c74b14b5c98fc6f3b90ea131e53293efdc</vt:lpwstr>
  </property>
</Properties>
</file>