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86851" w14:textId="77777777" w:rsidR="00E16CDF" w:rsidRPr="008A0FF5" w:rsidRDefault="00E16CDF" w:rsidP="00E16CDF">
      <w:pPr>
        <w:rPr>
          <w:rFonts w:cs="Arial"/>
        </w:rPr>
      </w:pPr>
      <w:r w:rsidRPr="008A0FF5">
        <w:rPr>
          <w:rFonts w:cs="Arial"/>
        </w:rPr>
        <w:t>California Department of Education</w:t>
      </w:r>
    </w:p>
    <w:p w14:paraId="20C86852" w14:textId="77777777" w:rsidR="00E16CDF" w:rsidRPr="008A0FF5" w:rsidRDefault="00E16CDF" w:rsidP="00E16CDF">
      <w:pPr>
        <w:rPr>
          <w:rFonts w:cs="Arial"/>
        </w:rPr>
      </w:pPr>
      <w:r w:rsidRPr="008A0FF5">
        <w:rPr>
          <w:rFonts w:cs="Arial"/>
        </w:rPr>
        <w:t>Executive Office</w:t>
      </w:r>
    </w:p>
    <w:p w14:paraId="20C86853" w14:textId="77777777" w:rsidR="00E16CDF" w:rsidRPr="008A0FF5" w:rsidRDefault="00E16CDF" w:rsidP="00E16CDF">
      <w:pPr>
        <w:rPr>
          <w:rFonts w:cs="Arial"/>
        </w:rPr>
      </w:pPr>
      <w:r w:rsidRPr="008A0FF5">
        <w:rPr>
          <w:rFonts w:cs="Arial"/>
        </w:rPr>
        <w:t>SBE-002 (REV. 11/2017)</w:t>
      </w:r>
    </w:p>
    <w:p w14:paraId="20C86854" w14:textId="52F58B32" w:rsidR="00E16CDF" w:rsidRPr="008A0FF5" w:rsidRDefault="00E16CDF" w:rsidP="00E16CDF">
      <w:pPr>
        <w:pStyle w:val="Header"/>
        <w:jc w:val="right"/>
        <w:rPr>
          <w:rFonts w:cs="Arial"/>
          <w:b/>
          <w:sz w:val="40"/>
          <w:szCs w:val="52"/>
        </w:rPr>
        <w:sectPr w:rsidR="00E16CDF" w:rsidRPr="008A0FF5" w:rsidSect="005070AD">
          <w:headerReference w:type="default" r:id="rId8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  <w:r w:rsidRPr="008A0FF5">
        <w:rPr>
          <w:rFonts w:cs="Arial"/>
        </w:rPr>
        <w:br w:type="column"/>
      </w:r>
      <w:r w:rsidRPr="008A0FF5">
        <w:rPr>
          <w:rFonts w:cs="Arial"/>
          <w:szCs w:val="18"/>
        </w:rPr>
        <w:t>memo-</w:t>
      </w:r>
      <w:r w:rsidR="006B74A2">
        <w:rPr>
          <w:rFonts w:cs="Arial"/>
          <w:noProof/>
          <w:szCs w:val="18"/>
        </w:rPr>
        <w:t>s</w:t>
      </w:r>
      <w:r w:rsidR="00B8049E">
        <w:rPr>
          <w:rFonts w:cs="Arial"/>
          <w:noProof/>
          <w:szCs w:val="18"/>
        </w:rPr>
        <w:t>be</w:t>
      </w:r>
      <w:r w:rsidRPr="008A0FF5">
        <w:rPr>
          <w:rFonts w:cs="Arial"/>
          <w:szCs w:val="18"/>
        </w:rPr>
        <w:t>-</w:t>
      </w:r>
      <w:r w:rsidRPr="008A0FF5">
        <w:rPr>
          <w:rFonts w:cs="Arial"/>
          <w:noProof/>
          <w:szCs w:val="18"/>
        </w:rPr>
        <w:t>cpag</w:t>
      </w:r>
      <w:r w:rsidRPr="008A0FF5">
        <w:rPr>
          <w:rFonts w:cs="Arial"/>
          <w:szCs w:val="18"/>
        </w:rPr>
        <w:t>-</w:t>
      </w:r>
      <w:r w:rsidR="006B74A2">
        <w:rPr>
          <w:rFonts w:cs="Arial"/>
          <w:szCs w:val="18"/>
        </w:rPr>
        <w:t>ju</w:t>
      </w:r>
      <w:r w:rsidR="00477AB0">
        <w:rPr>
          <w:rFonts w:cs="Arial"/>
          <w:szCs w:val="18"/>
        </w:rPr>
        <w:t>n</w:t>
      </w:r>
      <w:r w:rsidR="006B74A2">
        <w:rPr>
          <w:rFonts w:cs="Arial"/>
          <w:szCs w:val="18"/>
        </w:rPr>
        <w:t>14</w:t>
      </w:r>
      <w:r w:rsidRPr="008A0FF5">
        <w:rPr>
          <w:rFonts w:cs="Arial"/>
          <w:szCs w:val="18"/>
        </w:rPr>
        <w:t>item</w:t>
      </w:r>
      <w:r w:rsidR="003A4F3A" w:rsidRPr="008A0FF5">
        <w:rPr>
          <w:rFonts w:cs="Arial"/>
          <w:szCs w:val="18"/>
        </w:rPr>
        <w:t>0</w:t>
      </w:r>
      <w:r w:rsidR="0067558A">
        <w:rPr>
          <w:rFonts w:cs="Arial"/>
          <w:szCs w:val="18"/>
        </w:rPr>
        <w:t>1</w:t>
      </w:r>
    </w:p>
    <w:p w14:paraId="20C86855" w14:textId="77777777" w:rsidR="00E16CDF" w:rsidRPr="008A0FF5" w:rsidRDefault="00E16CDF" w:rsidP="00E16CDF">
      <w:pPr>
        <w:pStyle w:val="Heading1"/>
        <w:spacing w:line="360" w:lineRule="auto"/>
        <w:rPr>
          <w:rFonts w:cs="Arial"/>
          <w:b w:val="0"/>
          <w:sz w:val="40"/>
          <w:szCs w:val="52"/>
        </w:rPr>
      </w:pPr>
      <w:r w:rsidRPr="008A0FF5">
        <w:rPr>
          <w:rFonts w:cs="Arial"/>
          <w:sz w:val="40"/>
          <w:szCs w:val="52"/>
        </w:rPr>
        <w:t>MEMORANDUM</w:t>
      </w:r>
      <w:r w:rsidR="002475EE" w:rsidRPr="008A0FF5">
        <w:rPr>
          <w:rFonts w:cs="Arial"/>
          <w:sz w:val="40"/>
          <w:szCs w:val="52"/>
        </w:rPr>
        <w:t xml:space="preserve"> </w:t>
      </w:r>
    </w:p>
    <w:p w14:paraId="20C86856" w14:textId="28CFA302" w:rsidR="00E16CDF" w:rsidRPr="008A0FF5" w:rsidRDefault="00E16CDF" w:rsidP="00B415C0">
      <w:pPr>
        <w:pStyle w:val="MessageHeader"/>
      </w:pPr>
      <w:r w:rsidRPr="008A0FF5">
        <w:rPr>
          <w:b/>
        </w:rPr>
        <w:t>DATE:</w:t>
      </w:r>
      <w:r w:rsidRPr="008A0FF5">
        <w:tab/>
      </w:r>
      <w:r w:rsidR="00B8049E">
        <w:t>June 3</w:t>
      </w:r>
      <w:r w:rsidR="006068A5" w:rsidRPr="008A0FF5">
        <w:t>, 20</w:t>
      </w:r>
      <w:r w:rsidR="00BB285A">
        <w:t>2</w:t>
      </w:r>
      <w:r w:rsidR="00B8049E">
        <w:t>4</w:t>
      </w:r>
    </w:p>
    <w:p w14:paraId="20C86857" w14:textId="19E58DE2" w:rsidR="00E16CDF" w:rsidRPr="008A0FF5" w:rsidRDefault="00E16CDF" w:rsidP="00B415C0">
      <w:pPr>
        <w:pStyle w:val="MessageHeader"/>
      </w:pPr>
      <w:r w:rsidRPr="008A0FF5">
        <w:rPr>
          <w:b/>
        </w:rPr>
        <w:t>TO:</w:t>
      </w:r>
      <w:r w:rsidRPr="008A0FF5">
        <w:rPr>
          <w:b/>
        </w:rPr>
        <w:tab/>
      </w:r>
      <w:r w:rsidRPr="008A0FF5">
        <w:t>MEMBERS, California Practitioners Advisory Group</w:t>
      </w:r>
    </w:p>
    <w:p w14:paraId="20C86858" w14:textId="6600FF4B" w:rsidR="00E16CDF" w:rsidRPr="008A0FF5" w:rsidRDefault="00E16CDF" w:rsidP="00B415C0">
      <w:pPr>
        <w:pStyle w:val="MessageHeader"/>
      </w:pPr>
      <w:r w:rsidRPr="008A0FF5">
        <w:rPr>
          <w:b/>
        </w:rPr>
        <w:t>FROM:</w:t>
      </w:r>
      <w:r w:rsidRPr="008A0FF5">
        <w:tab/>
      </w:r>
      <w:r w:rsidR="00333049" w:rsidRPr="008A0FF5">
        <w:rPr>
          <w:noProof/>
        </w:rPr>
        <w:t>STAFF</w:t>
      </w:r>
      <w:r w:rsidRPr="008A0FF5">
        <w:rPr>
          <w:noProof/>
        </w:rPr>
        <w:t xml:space="preserve">, </w:t>
      </w:r>
      <w:r w:rsidR="003D528D">
        <w:rPr>
          <w:noProof/>
        </w:rPr>
        <w:t>State Board of Education</w:t>
      </w:r>
    </w:p>
    <w:p w14:paraId="20C86859" w14:textId="77777777" w:rsidR="00E16CDF" w:rsidRPr="00625550" w:rsidRDefault="00E16CDF" w:rsidP="00B415C0">
      <w:pPr>
        <w:pStyle w:val="MessageHeader"/>
      </w:pPr>
      <w:r w:rsidRPr="008A0FF5">
        <w:rPr>
          <w:b/>
        </w:rPr>
        <w:t>SUBJECT:</w:t>
      </w:r>
      <w:r w:rsidRPr="008A0FF5">
        <w:rPr>
          <w:b/>
        </w:rPr>
        <w:tab/>
      </w:r>
      <w:r w:rsidR="00625550" w:rsidRPr="00625550">
        <w:t>California Practitioners Advisory Group Orientation</w:t>
      </w:r>
    </w:p>
    <w:p w14:paraId="20C8685A" w14:textId="77777777" w:rsidR="00E16CDF" w:rsidRDefault="00D7113C" w:rsidP="00885CFB">
      <w:pPr>
        <w:pStyle w:val="Heading2"/>
      </w:pPr>
      <w:r w:rsidRPr="008A0FF5">
        <w:t xml:space="preserve">Item </w:t>
      </w:r>
      <w:r w:rsidR="00E16CDF" w:rsidRPr="008A0FF5">
        <w:t xml:space="preserve">Summary </w:t>
      </w:r>
    </w:p>
    <w:p w14:paraId="20C8685B" w14:textId="614A52EB" w:rsidR="00625550" w:rsidRPr="00625550" w:rsidRDefault="00AC0719" w:rsidP="00625550">
      <w:r>
        <w:t xml:space="preserve">The </w:t>
      </w:r>
      <w:r w:rsidR="00517047">
        <w:t>June</w:t>
      </w:r>
      <w:r>
        <w:t xml:space="preserve"> 202</w:t>
      </w:r>
      <w:r w:rsidR="00517047">
        <w:t>4</w:t>
      </w:r>
      <w:r>
        <w:t xml:space="preserve"> California Practitioners Advisory Committee (CPAG) </w:t>
      </w:r>
      <w:r w:rsidR="00CB2DC1">
        <w:t>m</w:t>
      </w:r>
      <w:r>
        <w:t xml:space="preserve">eeting serves as an opportunity to welcome new members and orient the </w:t>
      </w:r>
      <w:r w:rsidR="00517047">
        <w:t>group</w:t>
      </w:r>
      <w:r>
        <w:t xml:space="preserve"> to </w:t>
      </w:r>
      <w:r w:rsidR="00CB2DC1">
        <w:t xml:space="preserve">important background information and </w:t>
      </w:r>
      <w:r w:rsidR="002B318A">
        <w:t>the requirements of serving on an advisory body to the State Board of Education (SBE)</w:t>
      </w:r>
      <w:r>
        <w:t xml:space="preserve">. </w:t>
      </w:r>
      <w:r w:rsidR="00CB2DC1">
        <w:t xml:space="preserve">This item will cover the </w:t>
      </w:r>
      <w:r w:rsidR="003D528D">
        <w:t xml:space="preserve">CPAG Bylaws, </w:t>
      </w:r>
      <w:r w:rsidR="007F6377">
        <w:t>as well as</w:t>
      </w:r>
      <w:r w:rsidR="003D528D">
        <w:t xml:space="preserve"> the</w:t>
      </w:r>
      <w:r w:rsidR="007F6377">
        <w:t xml:space="preserve"> current </w:t>
      </w:r>
      <w:r w:rsidR="003D528D">
        <w:t xml:space="preserve">requirements of the Bagley-Keene Open </w:t>
      </w:r>
      <w:r w:rsidR="007F6377">
        <w:t>M</w:t>
      </w:r>
      <w:r w:rsidR="003D528D">
        <w:t>eeting Act</w:t>
      </w:r>
      <w:r w:rsidR="007F6377">
        <w:t xml:space="preserve"> and </w:t>
      </w:r>
      <w:r w:rsidR="000C0F5E">
        <w:t xml:space="preserve">general ethics obligations, including Form 700 </w:t>
      </w:r>
      <w:r w:rsidR="007F6377">
        <w:t>reporting obligations</w:t>
      </w:r>
      <w:r w:rsidR="003D528D">
        <w:t>.</w:t>
      </w:r>
    </w:p>
    <w:p w14:paraId="20C8685C" w14:textId="77777777" w:rsidR="0063171B" w:rsidRDefault="0097230D" w:rsidP="00885CFB">
      <w:pPr>
        <w:pStyle w:val="Heading2"/>
      </w:pPr>
      <w:r w:rsidRPr="003A2966">
        <w:t>B</w:t>
      </w:r>
      <w:r w:rsidR="009F72A2">
        <w:t>a</w:t>
      </w:r>
      <w:r w:rsidRPr="003A2966">
        <w:t>ckground</w:t>
      </w:r>
    </w:p>
    <w:p w14:paraId="20C8685D" w14:textId="77777777" w:rsidR="00625550" w:rsidRDefault="00625550" w:rsidP="0062555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Title I of the Elementary and Secondary Education Act, as amended by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the Every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Student Succeeds Act (ESSA) (Public Law 114–95 Section 1603, 20 </w:t>
      </w:r>
      <w:r>
        <w:rPr>
          <w:rStyle w:val="Emphasis"/>
          <w:rFonts w:ascii="Helvetica" w:eastAsiaTheme="majorEastAsia" w:hAnsi="Helvetica" w:cs="Helvetica"/>
          <w:color w:val="000000"/>
          <w:shd w:val="clear" w:color="auto" w:fill="FFFFFF"/>
        </w:rPr>
        <w:t>United States Code</w:t>
      </w:r>
      <w:r>
        <w:rPr>
          <w:rFonts w:ascii="Helvetica" w:hAnsi="Helvetica" w:cs="Helvetica"/>
          <w:color w:val="000000"/>
          <w:shd w:val="clear" w:color="auto" w:fill="FFFFFF"/>
        </w:rPr>
        <w:t> Section 6573), requires each State educational agency that receives Title I funds to create a State committee of practitioners to advise the State in carrying out its responsibilities under Title I.</w:t>
      </w:r>
    </w:p>
    <w:p w14:paraId="20C8685E" w14:textId="77777777" w:rsidR="00625550" w:rsidRDefault="00625550" w:rsidP="00885CFB">
      <w:pPr>
        <w:spacing w:before="24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The California Practitioners Advisory Group (CPAG) </w:t>
      </w:r>
      <w:r w:rsidR="00DE5BF7">
        <w:rPr>
          <w:rFonts w:ascii="Helvetica" w:hAnsi="Helvetica" w:cs="Helvetica"/>
          <w:color w:val="000000"/>
          <w:shd w:val="clear" w:color="auto" w:fill="FFFFFF"/>
        </w:rPr>
        <w:t xml:space="preserve">serves as this committee of practitioners for California and </w:t>
      </w:r>
      <w:r>
        <w:rPr>
          <w:rFonts w:ascii="Helvetica" w:hAnsi="Helvetica" w:cs="Helvetica"/>
          <w:color w:val="000000"/>
          <w:shd w:val="clear" w:color="auto" w:fill="FFFFFF"/>
        </w:rPr>
        <w:t>provide</w:t>
      </w:r>
      <w:r w:rsidR="00DE5BF7">
        <w:rPr>
          <w:rFonts w:ascii="Helvetica" w:hAnsi="Helvetica" w:cs="Helvetica"/>
          <w:color w:val="000000"/>
          <w:shd w:val="clear" w:color="auto" w:fill="FFFFFF"/>
        </w:rPr>
        <w:t>s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input to the SBE on ongoing efforts to establish a single coherent local, state, and federal accountability system. </w:t>
      </w:r>
    </w:p>
    <w:p w14:paraId="47A240E3" w14:textId="77777777" w:rsidR="003D528D" w:rsidRDefault="003D528D" w:rsidP="00625550"/>
    <w:p w14:paraId="20C86860" w14:textId="1BD7FA19" w:rsidR="00AC0719" w:rsidRPr="00226685" w:rsidRDefault="00AC0719" w:rsidP="00625550">
      <w:r w:rsidRPr="00226685">
        <w:t>CPAG Bylaws</w:t>
      </w:r>
    </w:p>
    <w:p w14:paraId="20C86861" w14:textId="0EAB0352" w:rsidR="004B4383" w:rsidRPr="00226685" w:rsidRDefault="004E2C84" w:rsidP="00226685">
      <w:pPr>
        <w:pStyle w:val="ListParagraph"/>
        <w:rPr>
          <w:b/>
        </w:rPr>
      </w:pPr>
      <w:hyperlink r:id="rId9" w:tooltip="California Practitioners Advisory Group (CPAG) Bylaws" w:history="1">
        <w:r w:rsidR="0034780D" w:rsidRPr="00226685">
          <w:rPr>
            <w:rStyle w:val="Hyperlink"/>
          </w:rPr>
          <w:t>https://www.cde.ca.gov\/be/cc/cp/cpagbylaws.asp</w:t>
        </w:r>
      </w:hyperlink>
    </w:p>
    <w:p w14:paraId="20C86862" w14:textId="5CFB7AA5" w:rsidR="00AC0719" w:rsidRPr="00226685" w:rsidRDefault="007F6377" w:rsidP="00625550">
      <w:r w:rsidRPr="00226685">
        <w:t xml:space="preserve">California Department of Justice 2024 </w:t>
      </w:r>
      <w:r w:rsidR="004B4383" w:rsidRPr="00226685">
        <w:t>Bagley-Keene Open Meeting Act</w:t>
      </w:r>
      <w:r w:rsidR="009316EC" w:rsidRPr="00226685">
        <w:t xml:space="preserve"> Guide</w:t>
      </w:r>
    </w:p>
    <w:p w14:paraId="627DC6CB" w14:textId="3FF87A6E" w:rsidR="007B6FAD" w:rsidRPr="0023772F" w:rsidRDefault="004E2C84" w:rsidP="00226685">
      <w:pPr>
        <w:pStyle w:val="ListParagraph"/>
        <w:rPr>
          <w:rFonts w:eastAsiaTheme="majorEastAsia"/>
          <w:u w:val="single"/>
        </w:rPr>
      </w:pPr>
      <w:hyperlink r:id="rId10" w:tooltip="California Department of Justice 2024 Bagley-Keene Open Meeting Act Guide" w:history="1">
        <w:r w:rsidR="00D61775" w:rsidRPr="00C02ED1">
          <w:rPr>
            <w:rStyle w:val="Hyperlink"/>
          </w:rPr>
          <w:t>https://oag.ca.gov/system/files/media/bk-open-meeting-act-guide-2024.pdf</w:t>
        </w:r>
      </w:hyperlink>
    </w:p>
    <w:p w14:paraId="4ABEFC3A" w14:textId="4650B7E9" w:rsidR="000C0F5E" w:rsidRPr="00226685" w:rsidRDefault="000C0F5E" w:rsidP="00625550">
      <w:r w:rsidRPr="00226685">
        <w:t>State Board of Education Conflict of Interest Code (updated March 22, 2024)</w:t>
      </w:r>
    </w:p>
    <w:p w14:paraId="6051B4C2" w14:textId="7D46A2EE" w:rsidR="000C0F5E" w:rsidRPr="004B4383" w:rsidRDefault="004E2C84" w:rsidP="00226685">
      <w:pPr>
        <w:pStyle w:val="ListParagraph"/>
      </w:pPr>
      <w:hyperlink r:id="rId11" w:anchor="I3D021D40D24111EEABBDDE37A6E27142" w:tooltip="State Board of Education Conflict of Interest Code" w:history="1">
        <w:r w:rsidR="00D61775" w:rsidRPr="00C02ED1">
          <w:rPr>
            <w:rStyle w:val="Hyperlink"/>
          </w:rPr>
          <w:t>https://govt.westlaw.com/calregs/Browse/Home/California/CaliforniaCodeofRegulations?guid=I4AF2B5A04C6911EC93A8000D3A7C4BC3&amp;bhcp=1&amp;bhhash=1&amp;transitionType=Default&amp;contextData=%28sc.Default%29#I3D021D40D24111EEABBDDE37A6E27142</w:t>
        </w:r>
      </w:hyperlink>
    </w:p>
    <w:p w14:paraId="20C86864" w14:textId="77777777" w:rsidR="00A7570A" w:rsidRPr="008A0FF5" w:rsidRDefault="00A7570A" w:rsidP="00885CFB">
      <w:pPr>
        <w:pStyle w:val="Heading2"/>
      </w:pPr>
      <w:r w:rsidRPr="008A0FF5">
        <w:t>Attachment(s)</w:t>
      </w:r>
    </w:p>
    <w:p w14:paraId="20C86865" w14:textId="77777777" w:rsidR="00C7267C" w:rsidRPr="00EE671B" w:rsidRDefault="006068A5" w:rsidP="00EE671B">
      <w:pPr>
        <w:shd w:val="clear" w:color="auto" w:fill="FFFFFF"/>
        <w:spacing w:before="240" w:after="240"/>
        <w:rPr>
          <w:rFonts w:cs="Arial"/>
          <w:color w:val="000000"/>
        </w:rPr>
      </w:pPr>
      <w:r w:rsidRPr="00EE671B">
        <w:rPr>
          <w:rFonts w:cs="Arial"/>
          <w:color w:val="000000"/>
        </w:rPr>
        <w:t xml:space="preserve">None. </w:t>
      </w:r>
    </w:p>
    <w:sectPr w:rsidR="00C7267C" w:rsidRPr="00EE671B" w:rsidSect="005070AD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08718" w14:textId="77777777" w:rsidR="00335F78" w:rsidRDefault="00335F78" w:rsidP="00655F7C">
      <w:r>
        <w:separator/>
      </w:r>
    </w:p>
  </w:endnote>
  <w:endnote w:type="continuationSeparator" w:id="0">
    <w:p w14:paraId="0D41CF35" w14:textId="77777777" w:rsidR="00335F78" w:rsidRDefault="00335F78" w:rsidP="0065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9EEE7" w14:textId="77777777" w:rsidR="00335F78" w:rsidRDefault="00335F78" w:rsidP="00655F7C">
      <w:r>
        <w:separator/>
      </w:r>
    </w:p>
  </w:footnote>
  <w:footnote w:type="continuationSeparator" w:id="0">
    <w:p w14:paraId="65E5EEA9" w14:textId="77777777" w:rsidR="00335F78" w:rsidRDefault="00335F78" w:rsidP="0065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686A" w14:textId="77777777" w:rsidR="00D7113C" w:rsidRDefault="00D7113C" w:rsidP="00BE2C78">
    <w:pPr>
      <w:pStyle w:val="Header"/>
      <w:jc w:val="right"/>
      <w:rPr>
        <w:rFonts w:cs="Arial"/>
        <w:szCs w:val="18"/>
      </w:rPr>
    </w:pPr>
    <w:r w:rsidRPr="0097230D">
      <w:rPr>
        <w:rFonts w:cs="Arial"/>
        <w:szCs w:val="18"/>
      </w:rPr>
      <w:t>memo-</w:t>
    </w:r>
    <w:r w:rsidRPr="0097230D">
      <w:rPr>
        <w:rFonts w:cs="Arial"/>
        <w:noProof/>
        <w:szCs w:val="18"/>
      </w:rPr>
      <w:t>ocd</w:t>
    </w:r>
    <w:r w:rsidRPr="0097230D">
      <w:rPr>
        <w:rFonts w:cs="Arial"/>
        <w:szCs w:val="18"/>
      </w:rPr>
      <w:t>-</w:t>
    </w:r>
    <w:r w:rsidRPr="0097230D">
      <w:rPr>
        <w:rFonts w:cs="Arial"/>
        <w:noProof/>
        <w:szCs w:val="18"/>
      </w:rPr>
      <w:t>cpag</w:t>
    </w:r>
    <w:r w:rsidRPr="0097230D">
      <w:rPr>
        <w:rFonts w:cs="Arial"/>
        <w:szCs w:val="18"/>
      </w:rPr>
      <w:t>-feb18item01</w:t>
    </w:r>
  </w:p>
  <w:p w14:paraId="20C8686B" w14:textId="77777777" w:rsidR="00D7113C" w:rsidRPr="00BE2C78" w:rsidRDefault="00D7113C" w:rsidP="00BE2C78">
    <w:pPr>
      <w:pStyle w:val="Header"/>
      <w:jc w:val="right"/>
    </w:pPr>
    <w:r w:rsidRPr="00BE2C78">
      <w:rPr>
        <w:rFonts w:cs="Arial"/>
        <w:szCs w:val="18"/>
      </w:rPr>
      <w:t xml:space="preserve">Page </w:t>
    </w:r>
    <w:r w:rsidRPr="00BE2C78">
      <w:rPr>
        <w:rFonts w:cs="Arial"/>
        <w:bCs/>
        <w:szCs w:val="18"/>
      </w:rPr>
      <w:fldChar w:fldCharType="begin"/>
    </w:r>
    <w:r w:rsidRPr="00BE2C78">
      <w:rPr>
        <w:rFonts w:cs="Arial"/>
        <w:bCs/>
        <w:szCs w:val="18"/>
      </w:rPr>
      <w:instrText xml:space="preserve"> PAGE  \* Arabic  \* MERGEFORMAT </w:instrText>
    </w:r>
    <w:r w:rsidRPr="00BE2C78">
      <w:rPr>
        <w:rFonts w:cs="Arial"/>
        <w:bCs/>
        <w:szCs w:val="18"/>
      </w:rPr>
      <w:fldChar w:fldCharType="separate"/>
    </w:r>
    <w:r>
      <w:rPr>
        <w:rFonts w:cs="Arial"/>
        <w:bCs/>
        <w:noProof/>
        <w:szCs w:val="18"/>
      </w:rPr>
      <w:t>2</w:t>
    </w:r>
    <w:r w:rsidRPr="00BE2C78">
      <w:rPr>
        <w:rFonts w:cs="Arial"/>
        <w:bCs/>
        <w:szCs w:val="18"/>
      </w:rPr>
      <w:fldChar w:fldCharType="end"/>
    </w:r>
    <w:r w:rsidRPr="00BE2C78">
      <w:rPr>
        <w:rFonts w:cs="Arial"/>
        <w:szCs w:val="18"/>
      </w:rPr>
      <w:t xml:space="preserve"> of </w:t>
    </w:r>
    <w:r w:rsidRPr="00BE2C78">
      <w:rPr>
        <w:rFonts w:cs="Arial"/>
        <w:bCs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47CD" w14:textId="77777777" w:rsidR="008E7C86" w:rsidRDefault="007F6377" w:rsidP="00D7113C">
    <w:pPr>
      <w:jc w:val="right"/>
      <w:rPr>
        <w:rFonts w:cs="Arial"/>
        <w:szCs w:val="18"/>
      </w:rPr>
    </w:pPr>
    <w:r w:rsidRPr="008A0FF5">
      <w:rPr>
        <w:rFonts w:cs="Arial"/>
        <w:szCs w:val="18"/>
      </w:rPr>
      <w:t>memo-</w:t>
    </w:r>
    <w:r>
      <w:rPr>
        <w:rFonts w:cs="Arial"/>
        <w:noProof/>
        <w:szCs w:val="18"/>
      </w:rPr>
      <w:t>sbe</w:t>
    </w:r>
    <w:r w:rsidRPr="008A0FF5">
      <w:rPr>
        <w:rFonts w:cs="Arial"/>
        <w:szCs w:val="18"/>
      </w:rPr>
      <w:t>-</w:t>
    </w:r>
    <w:r w:rsidRPr="008A0FF5">
      <w:rPr>
        <w:rFonts w:cs="Arial"/>
        <w:noProof/>
        <w:szCs w:val="18"/>
      </w:rPr>
      <w:t>cpag</w:t>
    </w:r>
    <w:r w:rsidRPr="008A0FF5">
      <w:rPr>
        <w:rFonts w:cs="Arial"/>
        <w:szCs w:val="18"/>
      </w:rPr>
      <w:t>-</w:t>
    </w:r>
    <w:r>
      <w:rPr>
        <w:rFonts w:cs="Arial"/>
        <w:szCs w:val="18"/>
      </w:rPr>
      <w:t>jun14</w:t>
    </w:r>
    <w:r w:rsidRPr="008A0FF5">
      <w:rPr>
        <w:rFonts w:cs="Arial"/>
        <w:szCs w:val="18"/>
      </w:rPr>
      <w:t>item0</w:t>
    </w:r>
    <w:r>
      <w:rPr>
        <w:rFonts w:cs="Arial"/>
        <w:szCs w:val="18"/>
      </w:rPr>
      <w:t>1</w:t>
    </w:r>
  </w:p>
  <w:p w14:paraId="20C8686D" w14:textId="619598BC" w:rsidR="00D7113C" w:rsidRPr="00BE2C78" w:rsidRDefault="00D7113C" w:rsidP="00D7113C">
    <w:pPr>
      <w:jc w:val="right"/>
    </w:pPr>
    <w:r w:rsidRPr="00BE2C78">
      <w:t xml:space="preserve">Page </w:t>
    </w:r>
    <w:r w:rsidRPr="00BE2C78">
      <w:rPr>
        <w:bCs/>
      </w:rPr>
      <w:fldChar w:fldCharType="begin"/>
    </w:r>
    <w:r w:rsidRPr="00BE2C78">
      <w:rPr>
        <w:bCs/>
      </w:rPr>
      <w:instrText xml:space="preserve"> PAGE  \* Arabic  \* MERGEFORMAT </w:instrText>
    </w:r>
    <w:r w:rsidRPr="00BE2C78">
      <w:rPr>
        <w:bCs/>
      </w:rPr>
      <w:fldChar w:fldCharType="separate"/>
    </w:r>
    <w:r w:rsidR="00885CFB">
      <w:rPr>
        <w:bCs/>
        <w:noProof/>
      </w:rPr>
      <w:t>2</w:t>
    </w:r>
    <w:r w:rsidRPr="00BE2C78">
      <w:rPr>
        <w:bCs/>
      </w:rPr>
      <w:fldChar w:fldCharType="end"/>
    </w:r>
    <w:r w:rsidRPr="00BE2C78">
      <w:t xml:space="preserve"> of </w:t>
    </w:r>
    <w:r w:rsidRPr="00BE2C78">
      <w:rPr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A8A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C21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3614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64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42427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4C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0F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3C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088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C84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621FF"/>
    <w:multiLevelType w:val="hybridMultilevel"/>
    <w:tmpl w:val="68761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C026A8"/>
    <w:multiLevelType w:val="multilevel"/>
    <w:tmpl w:val="56B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8A5A3B"/>
    <w:multiLevelType w:val="hybridMultilevel"/>
    <w:tmpl w:val="D5EA07AC"/>
    <w:lvl w:ilvl="0" w:tplc="9612997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17408"/>
    <w:multiLevelType w:val="hybridMultilevel"/>
    <w:tmpl w:val="140EAEDA"/>
    <w:lvl w:ilvl="0" w:tplc="603A0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1A43FB"/>
    <w:multiLevelType w:val="hybridMultilevel"/>
    <w:tmpl w:val="B456B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75D96"/>
    <w:multiLevelType w:val="hybridMultilevel"/>
    <w:tmpl w:val="ECFC1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4EF8C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849"/>
    <w:multiLevelType w:val="hybridMultilevel"/>
    <w:tmpl w:val="4E36E7F6"/>
    <w:lvl w:ilvl="0" w:tplc="0798D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75DAE"/>
    <w:multiLevelType w:val="hybridMultilevel"/>
    <w:tmpl w:val="5246BA0E"/>
    <w:lvl w:ilvl="0" w:tplc="2784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26DB3"/>
    <w:multiLevelType w:val="hybridMultilevel"/>
    <w:tmpl w:val="805CE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7130"/>
    <w:multiLevelType w:val="hybridMultilevel"/>
    <w:tmpl w:val="8C30B87A"/>
    <w:lvl w:ilvl="0" w:tplc="BB9E3D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274F1"/>
    <w:multiLevelType w:val="hybridMultilevel"/>
    <w:tmpl w:val="1A48BFE0"/>
    <w:lvl w:ilvl="0" w:tplc="6452377A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809A0"/>
    <w:multiLevelType w:val="hybridMultilevel"/>
    <w:tmpl w:val="C1D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73272"/>
    <w:multiLevelType w:val="hybridMultilevel"/>
    <w:tmpl w:val="5638FD48"/>
    <w:lvl w:ilvl="0" w:tplc="C9901F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A2E16"/>
    <w:multiLevelType w:val="hybridMultilevel"/>
    <w:tmpl w:val="90A6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E2CB7"/>
    <w:multiLevelType w:val="hybridMultilevel"/>
    <w:tmpl w:val="1B94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25612">
    <w:abstractNumId w:val="9"/>
  </w:num>
  <w:num w:numId="2" w16cid:durableId="2078360821">
    <w:abstractNumId w:val="7"/>
  </w:num>
  <w:num w:numId="3" w16cid:durableId="1018430597">
    <w:abstractNumId w:val="6"/>
  </w:num>
  <w:num w:numId="4" w16cid:durableId="1702123513">
    <w:abstractNumId w:val="5"/>
  </w:num>
  <w:num w:numId="5" w16cid:durableId="1922324589">
    <w:abstractNumId w:val="4"/>
  </w:num>
  <w:num w:numId="6" w16cid:durableId="1994292770">
    <w:abstractNumId w:val="8"/>
  </w:num>
  <w:num w:numId="7" w16cid:durableId="1719283973">
    <w:abstractNumId w:val="3"/>
  </w:num>
  <w:num w:numId="8" w16cid:durableId="2127041041">
    <w:abstractNumId w:val="2"/>
  </w:num>
  <w:num w:numId="9" w16cid:durableId="1355154321">
    <w:abstractNumId w:val="1"/>
  </w:num>
  <w:num w:numId="10" w16cid:durableId="41103038">
    <w:abstractNumId w:val="0"/>
  </w:num>
  <w:num w:numId="11" w16cid:durableId="1918783884">
    <w:abstractNumId w:val="16"/>
  </w:num>
  <w:num w:numId="12" w16cid:durableId="1290933667">
    <w:abstractNumId w:val="13"/>
  </w:num>
  <w:num w:numId="13" w16cid:durableId="1109398323">
    <w:abstractNumId w:val="17"/>
  </w:num>
  <w:num w:numId="14" w16cid:durableId="925771961">
    <w:abstractNumId w:val="24"/>
  </w:num>
  <w:num w:numId="15" w16cid:durableId="1372074862">
    <w:abstractNumId w:val="15"/>
  </w:num>
  <w:num w:numId="16" w16cid:durableId="2103604479">
    <w:abstractNumId w:val="21"/>
  </w:num>
  <w:num w:numId="17" w16cid:durableId="369113079">
    <w:abstractNumId w:val="19"/>
  </w:num>
  <w:num w:numId="18" w16cid:durableId="1190754683">
    <w:abstractNumId w:val="20"/>
  </w:num>
  <w:num w:numId="19" w16cid:durableId="1042287311">
    <w:abstractNumId w:val="10"/>
  </w:num>
  <w:num w:numId="20" w16cid:durableId="1293748444">
    <w:abstractNumId w:val="11"/>
  </w:num>
  <w:num w:numId="21" w16cid:durableId="1999065918">
    <w:abstractNumId w:val="18"/>
  </w:num>
  <w:num w:numId="22" w16cid:durableId="2052152004">
    <w:abstractNumId w:val="22"/>
  </w:num>
  <w:num w:numId="23" w16cid:durableId="343363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5884921">
    <w:abstractNumId w:val="23"/>
  </w:num>
  <w:num w:numId="25" w16cid:durableId="814180056">
    <w:abstractNumId w:val="14"/>
  </w:num>
  <w:num w:numId="26" w16cid:durableId="1716008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MDWxNDA2MDAyNTFT0lEKTi0uzszPAykwNK8FAAticSctAAAA"/>
  </w:docVars>
  <w:rsids>
    <w:rsidRoot w:val="00E16CDF"/>
    <w:rsid w:val="0009524D"/>
    <w:rsid w:val="000C0F5E"/>
    <w:rsid w:val="000D7731"/>
    <w:rsid w:val="000F7AF5"/>
    <w:rsid w:val="0011678E"/>
    <w:rsid w:val="00161238"/>
    <w:rsid w:val="001953E2"/>
    <w:rsid w:val="001A0CA5"/>
    <w:rsid w:val="001C52BE"/>
    <w:rsid w:val="002149E2"/>
    <w:rsid w:val="00223F78"/>
    <w:rsid w:val="00226685"/>
    <w:rsid w:val="002327AC"/>
    <w:rsid w:val="0023772F"/>
    <w:rsid w:val="002475EE"/>
    <w:rsid w:val="00254AD1"/>
    <w:rsid w:val="002700DD"/>
    <w:rsid w:val="002B318A"/>
    <w:rsid w:val="002C213E"/>
    <w:rsid w:val="002E4CB5"/>
    <w:rsid w:val="002E76DA"/>
    <w:rsid w:val="00306E1D"/>
    <w:rsid w:val="00333049"/>
    <w:rsid w:val="00335F78"/>
    <w:rsid w:val="0034471D"/>
    <w:rsid w:val="0034780D"/>
    <w:rsid w:val="00362595"/>
    <w:rsid w:val="00374819"/>
    <w:rsid w:val="00387ADD"/>
    <w:rsid w:val="00387D5C"/>
    <w:rsid w:val="003920E3"/>
    <w:rsid w:val="00394E69"/>
    <w:rsid w:val="0039571B"/>
    <w:rsid w:val="00397611"/>
    <w:rsid w:val="003A2966"/>
    <w:rsid w:val="003A4F3A"/>
    <w:rsid w:val="003C64E2"/>
    <w:rsid w:val="003D528D"/>
    <w:rsid w:val="003F13B3"/>
    <w:rsid w:val="00407FD8"/>
    <w:rsid w:val="00430734"/>
    <w:rsid w:val="0044642F"/>
    <w:rsid w:val="0045193C"/>
    <w:rsid w:val="00463112"/>
    <w:rsid w:val="00477AB0"/>
    <w:rsid w:val="004B4383"/>
    <w:rsid w:val="004B670A"/>
    <w:rsid w:val="004D58E8"/>
    <w:rsid w:val="004D659E"/>
    <w:rsid w:val="004E2C84"/>
    <w:rsid w:val="004E7AC1"/>
    <w:rsid w:val="005070AD"/>
    <w:rsid w:val="00517047"/>
    <w:rsid w:val="00551C76"/>
    <w:rsid w:val="005B0F5E"/>
    <w:rsid w:val="005B2706"/>
    <w:rsid w:val="005C5B70"/>
    <w:rsid w:val="005E1850"/>
    <w:rsid w:val="005F64A7"/>
    <w:rsid w:val="006068A5"/>
    <w:rsid w:val="0061095F"/>
    <w:rsid w:val="00625550"/>
    <w:rsid w:val="0063171B"/>
    <w:rsid w:val="0064543D"/>
    <w:rsid w:val="00655F7C"/>
    <w:rsid w:val="0067558A"/>
    <w:rsid w:val="006B14C1"/>
    <w:rsid w:val="006B70D1"/>
    <w:rsid w:val="006B74A2"/>
    <w:rsid w:val="006C3916"/>
    <w:rsid w:val="007428B8"/>
    <w:rsid w:val="00753C78"/>
    <w:rsid w:val="007711A5"/>
    <w:rsid w:val="00773252"/>
    <w:rsid w:val="00785C2C"/>
    <w:rsid w:val="00790384"/>
    <w:rsid w:val="007B6FAD"/>
    <w:rsid w:val="007B79E6"/>
    <w:rsid w:val="007E0650"/>
    <w:rsid w:val="007E5BF1"/>
    <w:rsid w:val="007E64ED"/>
    <w:rsid w:val="007F5F3F"/>
    <w:rsid w:val="007F6377"/>
    <w:rsid w:val="0081256C"/>
    <w:rsid w:val="00840FE2"/>
    <w:rsid w:val="00884F97"/>
    <w:rsid w:val="00885CFB"/>
    <w:rsid w:val="008A0FF5"/>
    <w:rsid w:val="008C6476"/>
    <w:rsid w:val="008E4D20"/>
    <w:rsid w:val="008E7C86"/>
    <w:rsid w:val="00902F3B"/>
    <w:rsid w:val="0092400F"/>
    <w:rsid w:val="009316EC"/>
    <w:rsid w:val="00934BB7"/>
    <w:rsid w:val="00942389"/>
    <w:rsid w:val="00966821"/>
    <w:rsid w:val="0097098C"/>
    <w:rsid w:val="0097230D"/>
    <w:rsid w:val="00985C28"/>
    <w:rsid w:val="00991952"/>
    <w:rsid w:val="009A1A3E"/>
    <w:rsid w:val="009B274B"/>
    <w:rsid w:val="009B3E8C"/>
    <w:rsid w:val="009C5547"/>
    <w:rsid w:val="009C70F5"/>
    <w:rsid w:val="009C74FB"/>
    <w:rsid w:val="009D2AA9"/>
    <w:rsid w:val="009E7BF4"/>
    <w:rsid w:val="009F72A2"/>
    <w:rsid w:val="00A16148"/>
    <w:rsid w:val="00A35BD9"/>
    <w:rsid w:val="00A41F4F"/>
    <w:rsid w:val="00A7570A"/>
    <w:rsid w:val="00AA46E0"/>
    <w:rsid w:val="00AC0719"/>
    <w:rsid w:val="00AE0C8E"/>
    <w:rsid w:val="00AF0211"/>
    <w:rsid w:val="00AF1EF5"/>
    <w:rsid w:val="00AF40E9"/>
    <w:rsid w:val="00B05A70"/>
    <w:rsid w:val="00B415C0"/>
    <w:rsid w:val="00B8049E"/>
    <w:rsid w:val="00BB1847"/>
    <w:rsid w:val="00BB285A"/>
    <w:rsid w:val="00BC76C9"/>
    <w:rsid w:val="00BD5F5F"/>
    <w:rsid w:val="00BE2C78"/>
    <w:rsid w:val="00C21731"/>
    <w:rsid w:val="00C356DF"/>
    <w:rsid w:val="00C45077"/>
    <w:rsid w:val="00C46113"/>
    <w:rsid w:val="00C71EA6"/>
    <w:rsid w:val="00C7267C"/>
    <w:rsid w:val="00C82975"/>
    <w:rsid w:val="00C87581"/>
    <w:rsid w:val="00CA5EDC"/>
    <w:rsid w:val="00CA6E47"/>
    <w:rsid w:val="00CB20A3"/>
    <w:rsid w:val="00CB2DC1"/>
    <w:rsid w:val="00CB6664"/>
    <w:rsid w:val="00D059E8"/>
    <w:rsid w:val="00D15074"/>
    <w:rsid w:val="00D41632"/>
    <w:rsid w:val="00D42E3C"/>
    <w:rsid w:val="00D4738F"/>
    <w:rsid w:val="00D47DAB"/>
    <w:rsid w:val="00D61775"/>
    <w:rsid w:val="00D7113C"/>
    <w:rsid w:val="00DA52B3"/>
    <w:rsid w:val="00DC52B0"/>
    <w:rsid w:val="00DC6AE6"/>
    <w:rsid w:val="00DC774C"/>
    <w:rsid w:val="00DE3744"/>
    <w:rsid w:val="00DE5BF7"/>
    <w:rsid w:val="00DF702C"/>
    <w:rsid w:val="00E11739"/>
    <w:rsid w:val="00E16CDF"/>
    <w:rsid w:val="00E365B5"/>
    <w:rsid w:val="00E634EC"/>
    <w:rsid w:val="00E75316"/>
    <w:rsid w:val="00E85405"/>
    <w:rsid w:val="00E90B6F"/>
    <w:rsid w:val="00EA58D4"/>
    <w:rsid w:val="00EE671B"/>
    <w:rsid w:val="00F21207"/>
    <w:rsid w:val="00F739C8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C86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D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C78"/>
    <w:pPr>
      <w:keepNext/>
      <w:keepLines/>
      <w:spacing w:after="36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5CFB"/>
    <w:pPr>
      <w:keepNext/>
      <w:keepLines/>
      <w:spacing w:before="240" w:after="120"/>
      <w:outlineLvl w:val="1"/>
    </w:pPr>
    <w:rPr>
      <w:rFonts w:eastAsiaTheme="majorEastAsia" w:cs="Arial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93C"/>
    <w:pPr>
      <w:keepNext/>
      <w:keepLines/>
      <w:spacing w:before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C78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5CFB"/>
    <w:rPr>
      <w:rFonts w:ascii="Arial" w:eastAsiaTheme="majorEastAsia" w:hAnsi="Arial" w:cs="Arial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193C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6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CDF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7230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55F7C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"/>
    <w:basedOn w:val="Normal"/>
    <w:link w:val="ListParagraphChar"/>
    <w:autoRedefine/>
    <w:uiPriority w:val="34"/>
    <w:qFormat/>
    <w:rsid w:val="00226685"/>
    <w:pPr>
      <w:numPr>
        <w:numId w:val="26"/>
      </w:numPr>
      <w:spacing w:before="100" w:beforeAutospacing="1" w:after="240" w:afterAutospacing="1" w:line="259" w:lineRule="auto"/>
      <w:contextualSpacing/>
    </w:pPr>
    <w:rPr>
      <w:rFonts w:eastAsiaTheme="minorHAns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55F7C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5F7C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55F7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55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F7C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06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E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E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226685"/>
    <w:rPr>
      <w:rFonts w:ascii="Arial" w:hAnsi="Arial" w:cs="Times New Roman"/>
      <w:sz w:val="24"/>
    </w:rPr>
  </w:style>
  <w:style w:type="character" w:styleId="Strong">
    <w:name w:val="Strong"/>
    <w:basedOn w:val="DefaultParagraphFont"/>
    <w:uiPriority w:val="22"/>
    <w:qFormat/>
    <w:rsid w:val="003A4F3A"/>
    <w:rPr>
      <w:b/>
      <w:bCs/>
    </w:rPr>
  </w:style>
  <w:style w:type="character" w:customStyle="1" w:styleId="linknotation">
    <w:name w:val="linknotation"/>
    <w:basedOn w:val="DefaultParagraphFont"/>
    <w:rsid w:val="003A4F3A"/>
  </w:style>
  <w:style w:type="paragraph" w:styleId="NormalWeb">
    <w:name w:val="Normal (Web)"/>
    <w:basedOn w:val="Normal"/>
    <w:uiPriority w:val="99"/>
    <w:unhideWhenUsed/>
    <w:rsid w:val="00C46113"/>
    <w:pPr>
      <w:spacing w:before="100" w:beforeAutospacing="1" w:after="100" w:afterAutospacing="1"/>
    </w:pPr>
    <w:rPr>
      <w:rFonts w:ascii="Times New Roman" w:hAnsi="Times New Roman"/>
    </w:rPr>
  </w:style>
  <w:style w:type="paragraph" w:styleId="MessageHeader">
    <w:name w:val="Message Header"/>
    <w:basedOn w:val="Normal"/>
    <w:link w:val="MessageHeaderChar"/>
    <w:uiPriority w:val="99"/>
    <w:unhideWhenUsed/>
    <w:rsid w:val="00B415C0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415C0"/>
    <w:rPr>
      <w:rFonts w:ascii="Arial" w:eastAsiaTheme="majorEastAsia" w:hAnsi="Arial" w:cstheme="majorBid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98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2555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D52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637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64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85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vt.westlaw.com/calregs/Browse/Home/California/CaliforniaCodeofRegulations?guid=I4AF2B5A04C6911EC93A8000D3A7C4BC3&amp;bhcp=1&amp;bhhash=1&amp;transitionType=Default&amp;contextData=%28sc.Default%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ag.ca.gov/system/files/media/bk-open-meeting-act-guide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be/cc/cp/cpagbylaws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2314-DFA0-4116-B77F-F037EB64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1664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2024 Agenda Item 01 - California Practitioners Advisory Group (CA State Board of Education)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Agenda Item 01 - California Practitioners Advisory Group (CA State Board of Education)</dc:title>
  <dc:subject>California Practitioners Advisory Group Orientation.</dc:subject>
  <dc:creator/>
  <cp:keywords/>
  <dc:description/>
  <cp:lastModifiedBy/>
  <cp:revision>1</cp:revision>
  <dcterms:created xsi:type="dcterms:W3CDTF">2024-05-31T17:07:00Z</dcterms:created>
  <dcterms:modified xsi:type="dcterms:W3CDTF">2024-05-31T17:40:00Z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9c3e2b473ecbf140870b1dcb6970a09492740c66acad3e3d8e79c82bb3f85dcf</vt:lpwstr>
  </property>
</Properties>
</file>