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2E8CF740" w:rsidR="00EF48D3" w:rsidRPr="00780B44" w:rsidRDefault="002D6EC8" w:rsidP="002A09AA">
      <w:pPr>
        <w:spacing w:line="240" w:lineRule="auto"/>
        <w:rPr>
          <w:rFonts w:cs="Arial"/>
        </w:rPr>
      </w:pPr>
      <w:bookmarkStart w:id="0" w:name="_GoBack"/>
      <w:bookmarkEnd w:id="0"/>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8C37D4">
        <w:rPr>
          <w:rFonts w:cs="Arial"/>
        </w:rPr>
        <w:t>apr</w:t>
      </w:r>
      <w:r w:rsidR="004F4157">
        <w:rPr>
          <w:rFonts w:cs="Arial"/>
        </w:rPr>
        <w:t>2</w:t>
      </w:r>
      <w:r w:rsidR="008C37D4">
        <w:rPr>
          <w:rFonts w:cs="Arial"/>
        </w:rPr>
        <w:t>2</w:t>
      </w:r>
      <w:r w:rsidR="008F7BC4" w:rsidRPr="00780B44">
        <w:rPr>
          <w:rFonts w:cs="Arial"/>
        </w:rPr>
        <w:t>item0</w:t>
      </w:r>
      <w:r w:rsidR="004808B3">
        <w:rPr>
          <w:rFonts w:cs="Arial"/>
        </w:rPr>
        <w:t>2</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7E42D756" w:rsidR="00050515" w:rsidRDefault="008C37D4" w:rsidP="008F7BC4">
      <w:pPr>
        <w:pStyle w:val="Heading1"/>
        <w:spacing w:line="240" w:lineRule="auto"/>
      </w:pPr>
      <w:r>
        <w:t>April</w:t>
      </w:r>
      <w:r w:rsidR="00604A25" w:rsidRPr="00780B44">
        <w:t xml:space="preserve"> 202</w:t>
      </w:r>
      <w:r>
        <w:t>2</w:t>
      </w:r>
      <w:r w:rsidR="00050515" w:rsidRPr="00780B44">
        <w:t xml:space="preserve"> Agenda</w:t>
      </w:r>
      <w:r w:rsidR="00510736">
        <w:br/>
      </w:r>
      <w:r w:rsidR="00050515" w:rsidRPr="00780B44">
        <w:t>Item #</w:t>
      </w:r>
      <w:r w:rsidR="008F7BC4" w:rsidRPr="00780B44">
        <w:t>0</w:t>
      </w:r>
      <w:r w:rsidR="004808B3">
        <w:t>2</w:t>
      </w:r>
    </w:p>
    <w:p w14:paraId="086EB83E" w14:textId="77777777" w:rsidR="00FC1FCE" w:rsidRPr="001B3958" w:rsidRDefault="00FC1FCE" w:rsidP="00E94E5E">
      <w:pPr>
        <w:pStyle w:val="Heading2"/>
      </w:pPr>
      <w:r w:rsidRPr="001B3958">
        <w:t>Subject</w:t>
      </w:r>
    </w:p>
    <w:p w14:paraId="1A9EDBB2" w14:textId="0E8FA222" w:rsidR="008F7BC4" w:rsidRPr="0064766D" w:rsidRDefault="00ED652A" w:rsidP="005F0AAC">
      <w:pPr>
        <w:spacing w:before="240" w:after="240" w:line="240" w:lineRule="auto"/>
      </w:pPr>
      <w:r w:rsidRPr="00D13ED8">
        <w:t>Consideration of</w:t>
      </w:r>
      <w:r>
        <w:t xml:space="preserve"> </w:t>
      </w:r>
      <w:r w:rsidR="004808B3">
        <w:t xml:space="preserve">a </w:t>
      </w:r>
      <w:r>
        <w:t xml:space="preserve">Request for Determination of Funding </w:t>
      </w:r>
      <w:r w:rsidR="004808B3">
        <w:t xml:space="preserve">with “Reasonable Basis”/Mitigating Circumstances </w:t>
      </w:r>
      <w:r>
        <w:t>a</w:t>
      </w:r>
      <w:r w:rsidR="00C9454F">
        <w:t>s Required for</w:t>
      </w:r>
      <w:r w:rsidR="008F7BC4">
        <w:t xml:space="preserve"> Nonclassroom-</w:t>
      </w:r>
      <w:r w:rsidR="007617EF">
        <w:t>B</w:t>
      </w:r>
      <w:r w:rsidR="008F7BC4">
        <w:t>ased Charter School</w:t>
      </w:r>
      <w:r w:rsidR="00C9454F">
        <w:t>s</w:t>
      </w:r>
      <w:r w:rsidR="008F7BC4">
        <w:t xml:space="preserve">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4A504BBF"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r w:rsidR="004808B3">
        <w:rPr>
          <w:rFonts w:cs="Arial"/>
        </w:rPr>
        <w:t xml:space="preserve"> </w:t>
      </w:r>
      <w:r w:rsidR="004808B3" w:rsidRPr="00211E16">
        <w:rPr>
          <w:rFonts w:cs="Arial"/>
        </w:rPr>
        <w:t>The ACCS may include the consideration of mitigating circumstances in conjunction with a recommendation to the SBE.</w:t>
      </w:r>
    </w:p>
    <w:p w14:paraId="082662D4" w14:textId="5C7DA846" w:rsidR="009B626D" w:rsidRDefault="004808B3" w:rsidP="004C1016">
      <w:pPr>
        <w:spacing w:before="240" w:after="240" w:line="240" w:lineRule="auto"/>
        <w:contextualSpacing w:val="0"/>
        <w:rPr>
          <w:rFonts w:cs="Arial"/>
        </w:rPr>
      </w:pPr>
      <w:r>
        <w:rPr>
          <w:rFonts w:cs="Arial"/>
        </w:rPr>
        <w:t>Sierra Foothill Charter, an</w:t>
      </w:r>
      <w:r w:rsidR="0023418A">
        <w:rPr>
          <w:rFonts w:cs="Arial"/>
        </w:rPr>
        <w:t xml:space="preserve"> </w:t>
      </w:r>
      <w:r w:rsidR="009B626D">
        <w:rPr>
          <w:rFonts w:cs="Arial"/>
        </w:rPr>
        <w:t xml:space="preserve">existing </w:t>
      </w:r>
      <w:r w:rsidR="0023418A">
        <w:rPr>
          <w:rFonts w:cs="Arial"/>
        </w:rPr>
        <w:t>classroom-based charter school</w:t>
      </w:r>
      <w:r>
        <w:rPr>
          <w:rFonts w:cs="Arial"/>
        </w:rPr>
        <w:t xml:space="preserve"> which has</w:t>
      </w:r>
      <w:r w:rsidR="0023418A">
        <w:rPr>
          <w:rFonts w:cs="Arial"/>
        </w:rPr>
        <w:t xml:space="preserve"> not previously had a funding determination</w:t>
      </w:r>
      <w:r>
        <w:rPr>
          <w:rFonts w:cs="Arial"/>
        </w:rPr>
        <w:t>, has</w:t>
      </w:r>
      <w:r w:rsidR="009B626D">
        <w:rPr>
          <w:rFonts w:cs="Arial"/>
        </w:rPr>
        <w:t xml:space="preserve"> submitted a determination of funding request for NCB instruction </w:t>
      </w:r>
      <w:r w:rsidR="008370CC">
        <w:rPr>
          <w:rFonts w:cs="Arial"/>
        </w:rPr>
        <w:t>beginning in</w:t>
      </w:r>
      <w:r w:rsidR="009B626D">
        <w:rPr>
          <w:rFonts w:cs="Arial"/>
        </w:rPr>
        <w:t xml:space="preserve"> the 2021–22 fiscal year (FY)</w:t>
      </w:r>
      <w:r>
        <w:rPr>
          <w:rFonts w:cs="Arial"/>
        </w:rPr>
        <w:t xml:space="preserve"> and a request to consider mitigating circumstances.</w:t>
      </w:r>
    </w:p>
    <w:bookmarkEnd w:id="1"/>
    <w:p w14:paraId="19EBEFE6" w14:textId="77777777" w:rsidR="008F7BC4" w:rsidRPr="00F40510" w:rsidRDefault="008F7BC4" w:rsidP="00E94E5E">
      <w:pPr>
        <w:pStyle w:val="Heading2"/>
      </w:pPr>
      <w:r w:rsidRPr="00EF48D3">
        <w:t>Proposed</w:t>
      </w:r>
      <w:r>
        <w:t xml:space="preserve"> Recommendation</w:t>
      </w:r>
    </w:p>
    <w:p w14:paraId="54DCFFF2" w14:textId="28DF4E1C" w:rsidR="004808B3" w:rsidRDefault="004808B3" w:rsidP="005F0AAC">
      <w:pPr>
        <w:spacing w:before="240" w:after="240" w:line="240" w:lineRule="auto"/>
        <w:contextualSpacing w:val="0"/>
        <w:rPr>
          <w:rFonts w:cs="Arial"/>
        </w:rPr>
      </w:pPr>
      <w:r w:rsidRPr="004808B3">
        <w:rPr>
          <w:rFonts w:cs="Arial"/>
        </w:rPr>
        <w:t xml:space="preserve">The CDE proposes to recommend that the SBE </w:t>
      </w:r>
      <w:r>
        <w:rPr>
          <w:rFonts w:cs="Arial"/>
        </w:rPr>
        <w:t>deny</w:t>
      </w:r>
      <w:r w:rsidRPr="004808B3">
        <w:rPr>
          <w:rFonts w:cs="Arial"/>
        </w:rPr>
        <w:t xml:space="preserve"> the </w:t>
      </w:r>
      <w:r w:rsidR="00E52EE6">
        <w:rPr>
          <w:rFonts w:cs="Arial"/>
        </w:rPr>
        <w:t xml:space="preserve">Sierra Foothill Charter’s </w:t>
      </w:r>
      <w:r w:rsidRPr="004808B3">
        <w:rPr>
          <w:rFonts w:cs="Arial"/>
        </w:rPr>
        <w:t xml:space="preserve">mitigating circumstances request and approve the determination of funding request at </w:t>
      </w:r>
      <w:r w:rsidR="00E52EE6">
        <w:rPr>
          <w:rFonts w:cs="Arial"/>
        </w:rPr>
        <w:t>70 percent funding</w:t>
      </w:r>
      <w:r w:rsidRPr="004808B3">
        <w:rPr>
          <w:rFonts w:cs="Arial"/>
        </w:rPr>
        <w:t xml:space="preserve"> </w:t>
      </w:r>
      <w:r w:rsidR="00E52EE6">
        <w:rPr>
          <w:rFonts w:cs="Arial"/>
        </w:rPr>
        <w:t xml:space="preserve">for two years, </w:t>
      </w:r>
      <w:r w:rsidRPr="004808B3">
        <w:rPr>
          <w:rFonts w:cs="Arial"/>
        </w:rPr>
        <w:t>as provided in Attachment 1.</w:t>
      </w:r>
    </w:p>
    <w:p w14:paraId="4368B580" w14:textId="5D062C23" w:rsidR="005A3BE4" w:rsidRDefault="004E3ACE" w:rsidP="00E94E5E">
      <w:pPr>
        <w:pStyle w:val="Heading2"/>
      </w:pPr>
      <w:r>
        <w:lastRenderedPageBreak/>
        <w:t>Background</w:t>
      </w:r>
    </w:p>
    <w:p w14:paraId="34FD0768" w14:textId="0635D719" w:rsidR="008370CC" w:rsidRDefault="008370CC" w:rsidP="008370CC">
      <w:pPr>
        <w:pStyle w:val="Heading3"/>
      </w:pPr>
      <w:r>
        <w:t>Senate Bill 820 Section 75</w:t>
      </w:r>
    </w:p>
    <w:p w14:paraId="1102514D" w14:textId="4D28E599" w:rsidR="00D81C0F" w:rsidRPr="00972BEA"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p>
    <w:p w14:paraId="245E2FD6" w14:textId="2DE3FD30" w:rsidR="008B659F" w:rsidRDefault="004E3ACE" w:rsidP="005F0AAC">
      <w:pPr>
        <w:spacing w:before="0" w:after="240" w:line="240" w:lineRule="auto"/>
        <w:contextualSpacing w:val="0"/>
        <w:rPr>
          <w:rFonts w:cs="Arial"/>
        </w:rPr>
      </w:pPr>
      <w:r>
        <w:t>However,</w:t>
      </w:r>
      <w:r w:rsidR="00C23591">
        <w:t xml:space="preserve"> for </w:t>
      </w:r>
      <w:r w:rsidR="003623A8">
        <w:t xml:space="preserve">FYs </w:t>
      </w:r>
      <w:r w:rsidR="00C23591">
        <w:t>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t xml:space="preserve"> </w:t>
      </w:r>
      <w:r w:rsidR="00377DB5">
        <w:rPr>
          <w:rFonts w:cs="Arial"/>
        </w:rPr>
        <w:t>p</w:t>
      </w:r>
      <w:r w:rsidR="008B659F">
        <w:rPr>
          <w:rFonts w:cs="Arial"/>
        </w:rPr>
        <w:t>ursuant to Senate Bill 820 Section 75</w:t>
      </w:r>
      <w:r w:rsidR="0092172A">
        <w:rPr>
          <w:rFonts w:cs="Arial"/>
        </w:rPr>
        <w:t xml:space="preserve"> [Chapter 110, Statutes of 2020]</w:t>
      </w:r>
      <w:r w:rsidR="008B659F">
        <w:rPr>
          <w:rFonts w:cs="Arial"/>
        </w:rPr>
        <w:t>:</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55E80646" w:rsidR="000802E2" w:rsidRPr="004E3ACE" w:rsidRDefault="000802E2" w:rsidP="000802E2">
      <w:pPr>
        <w:spacing w:before="0" w:after="240" w:line="240" w:lineRule="auto"/>
        <w:contextualSpacing w:val="0"/>
      </w:pPr>
      <w:r>
        <w:rPr>
          <w:rFonts w:cs="Arial"/>
        </w:rPr>
        <w:t xml:space="preserve">Because </w:t>
      </w:r>
      <w:r w:rsidR="004808B3">
        <w:rPr>
          <w:rFonts w:cs="Arial"/>
        </w:rPr>
        <w:t>Sierra Foothill Charter</w:t>
      </w:r>
      <w:r w:rsidR="002E216A">
        <w:rPr>
          <w:rFonts w:cs="Arial"/>
        </w:rPr>
        <w:t xml:space="preserve"> do</w:t>
      </w:r>
      <w:r w:rsidR="004808B3">
        <w:rPr>
          <w:rFonts w:cs="Arial"/>
        </w:rPr>
        <w:t>es</w:t>
      </w:r>
      <w:r>
        <w:rPr>
          <w:rFonts w:cs="Arial"/>
        </w:rPr>
        <w:t xml:space="preserve"> not have an active funding determination that expires June 30, 2021, or June 30, 2022, SB 820 </w:t>
      </w:r>
      <w:r w:rsidR="0092172A">
        <w:rPr>
          <w:rFonts w:cs="Arial"/>
        </w:rPr>
        <w:t xml:space="preserve">Section 75 </w:t>
      </w:r>
      <w:r>
        <w:rPr>
          <w:rFonts w:cs="Arial"/>
        </w:rPr>
        <w:t>is not applicable</w:t>
      </w:r>
      <w:r w:rsidR="004D7E48">
        <w:rPr>
          <w:rFonts w:cs="Arial"/>
        </w:rPr>
        <w:t xml:space="preserve"> </w:t>
      </w:r>
      <w:r>
        <w:rPr>
          <w:rFonts w:cs="Arial"/>
        </w:rPr>
        <w:t>and the school</w:t>
      </w:r>
      <w:r w:rsidR="004808B3">
        <w:rPr>
          <w:rFonts w:cs="Arial"/>
        </w:rPr>
        <w:t xml:space="preserve"> is</w:t>
      </w:r>
      <w:r>
        <w:rPr>
          <w:rFonts w:cs="Arial"/>
        </w:rPr>
        <w:t xml:space="preserve"> required to obtain </w:t>
      </w:r>
      <w:r w:rsidR="00C23591">
        <w:rPr>
          <w:rFonts w:cs="Arial"/>
        </w:rPr>
        <w:t xml:space="preserve">an approved funding determination </w:t>
      </w:r>
      <w:r>
        <w:rPr>
          <w:rFonts w:cs="Arial"/>
        </w:rPr>
        <w:t>from the SB</w:t>
      </w:r>
      <w:r w:rsidR="00F326A8">
        <w:rPr>
          <w:rFonts w:cs="Arial"/>
        </w:rPr>
        <w:t>E.</w:t>
      </w:r>
    </w:p>
    <w:p w14:paraId="41793C42" w14:textId="411EDE92" w:rsidR="008370CC" w:rsidRDefault="008370CC" w:rsidP="008370CC">
      <w:pPr>
        <w:pStyle w:val="Heading3"/>
      </w:pPr>
      <w:r>
        <w:t>Submission Deadline for Classroom-Based Charter Schools</w:t>
      </w:r>
    </w:p>
    <w:p w14:paraId="25B3639A" w14:textId="669413D2" w:rsidR="008370CC" w:rsidRPr="008370CC" w:rsidRDefault="008370CC" w:rsidP="008370CC">
      <w:pPr>
        <w:spacing w:before="240" w:after="240" w:line="240" w:lineRule="auto"/>
        <w:contextualSpacing w:val="0"/>
        <w:rPr>
          <w:rFonts w:cs="Arial"/>
        </w:rPr>
      </w:pPr>
      <w:r w:rsidRPr="008370CC">
        <w:rPr>
          <w:rFonts w:cs="Arial"/>
        </w:rPr>
        <w:t>Pursuant to 5</w:t>
      </w:r>
      <w:r>
        <w:rPr>
          <w:rFonts w:cs="Arial"/>
        </w:rPr>
        <w:t xml:space="preserve"> </w:t>
      </w:r>
      <w:r w:rsidRPr="008370CC">
        <w:rPr>
          <w:rFonts w:cs="Arial"/>
          <w:i/>
          <w:iCs/>
        </w:rPr>
        <w:t>CCR</w:t>
      </w:r>
      <w:r>
        <w:rPr>
          <w:rFonts w:cs="Arial"/>
        </w:rPr>
        <w:t xml:space="preserve"> </w:t>
      </w:r>
      <w:r w:rsidRPr="008370CC">
        <w:rPr>
          <w:rFonts w:cs="Arial"/>
        </w:rPr>
        <w:t xml:space="preserve">Section 11963.6(c), determination of funding requests approved by the SBE for existing </w:t>
      </w:r>
      <w:r>
        <w:rPr>
          <w:rFonts w:cs="Arial"/>
        </w:rPr>
        <w:t>NCB</w:t>
      </w:r>
      <w:r w:rsidRPr="008370CC">
        <w:rPr>
          <w:rFonts w:cs="Arial"/>
        </w:rPr>
        <w:t xml:space="preserve"> charter schools shall be prospective (not for the current year) and shall be submitted in the </w:t>
      </w:r>
      <w:r>
        <w:rPr>
          <w:rFonts w:cs="Arial"/>
        </w:rPr>
        <w:t>FY</w:t>
      </w:r>
      <w:r w:rsidRPr="008370CC">
        <w:rPr>
          <w:rFonts w:cs="Arial"/>
        </w:rPr>
        <w:t xml:space="preserve"> prior to the year the funding determination will be effective. This requirement does not apply to classroom-based charter schools; existing classroom-based charter schools are not required to submit a funding determination request prior to the year the funding determination will be effective. However, charter schools may experience significant fiscal impacts to their </w:t>
      </w:r>
      <w:r>
        <w:rPr>
          <w:rFonts w:cs="Arial"/>
        </w:rPr>
        <w:t>Local Control Funding Formula (LCFF)</w:t>
      </w:r>
      <w:r w:rsidRPr="008370CC">
        <w:rPr>
          <w:rFonts w:cs="Arial"/>
        </w:rPr>
        <w:t xml:space="preserve"> funding if funding determination requests are not submitted timely. Existing charter schools seeking funding for their NCB </w:t>
      </w:r>
      <w:r w:rsidR="00815144">
        <w:rPr>
          <w:rFonts w:cs="Arial"/>
        </w:rPr>
        <w:t>average daily attendance (ADA)</w:t>
      </w:r>
      <w:r w:rsidRPr="008370CC">
        <w:rPr>
          <w:rFonts w:cs="Arial"/>
        </w:rPr>
        <w:t xml:space="preserve"> for the 2021–22 school year must have a funding determination approved by the SBE by its January 2022 meeting. If a funding determination is not approved by the SBE by its January 2022 meeting, beginning with the First Principal (P-1) Apportionment for fiscal year 2021–22, the CDE will not disburse LCFF funds to charter schools based on its NCB ADA. In order to receive disbursement of LCFF funds for NCB ADA for the Second Principal (P-2) Apportionment, funding determinations must be approved by the SBE by its May 2022 meeting.</w:t>
      </w:r>
    </w:p>
    <w:p w14:paraId="6E00D127" w14:textId="2846D71E" w:rsidR="008370CC" w:rsidRDefault="008370CC" w:rsidP="008370CC">
      <w:pPr>
        <w:spacing w:before="240" w:after="240" w:line="240" w:lineRule="auto"/>
        <w:contextualSpacing w:val="0"/>
        <w:rPr>
          <w:rFonts w:cs="Arial"/>
        </w:rPr>
      </w:pPr>
      <w:r w:rsidRPr="008370CC">
        <w:rPr>
          <w:rFonts w:cs="Arial"/>
        </w:rPr>
        <w:lastRenderedPageBreak/>
        <w:t>In the above scenario, funding may be adjusted after funding determinations are approved. However, any funding withheld at the P-2 Apportionment will not be adjusted until the following fiscal year P-1 Apportionment certified in February 2023. Additionally, the charter schools’ 2022–23 Advance Apportionment funding will be impacted. Other ADA-driven funding for charter schools, such as lottery funding, may also be impacted.</w:t>
      </w:r>
    </w:p>
    <w:p w14:paraId="55AED14D" w14:textId="6D21C3FD" w:rsidR="008F7BC4" w:rsidRPr="00F40510" w:rsidRDefault="008F7BC4" w:rsidP="00E94E5E">
      <w:pPr>
        <w:pStyle w:val="Heading2"/>
      </w:pPr>
      <w:r>
        <w:t>Brief Analysis of the Issue</w:t>
      </w:r>
    </w:p>
    <w:p w14:paraId="6FAC6291" w14:textId="16C6635A" w:rsidR="005B226A" w:rsidRDefault="004C1016" w:rsidP="005F0AAC">
      <w:pPr>
        <w:spacing w:before="240" w:after="240" w:line="240" w:lineRule="auto"/>
        <w:contextualSpacing w:val="0"/>
      </w:pPr>
      <w:r w:rsidRPr="00B03278">
        <w:t xml:space="preserve">Pursuant to 5 </w:t>
      </w:r>
      <w:r w:rsidRPr="00B03278">
        <w:rPr>
          <w:i/>
        </w:rPr>
        <w:t>CCR</w:t>
      </w:r>
      <w:r w:rsidRPr="00B03278">
        <w:t xml:space="preserve"> Section 11963.4(a), an NCB charter school </w:t>
      </w:r>
      <w:r w:rsidR="000802E2">
        <w:t xml:space="preserve">requesting a determination of funding </w:t>
      </w:r>
      <w:r w:rsidRPr="00B03278">
        <w:t xml:space="preserve">may qualify for either 70 percent, 85 percent, or 100 </w:t>
      </w:r>
      <w:r w:rsidRPr="000A67A1">
        <w:t xml:space="preserve">percent funding, or may be </w:t>
      </w:r>
      <w:r w:rsidR="000802E2">
        <w:t>denied</w:t>
      </w:r>
      <w:r w:rsidRPr="000A67A1">
        <w:t xml:space="preserve">. </w:t>
      </w:r>
      <w:bookmarkStart w:id="2" w:name="_Hlk38636967"/>
    </w:p>
    <w:p w14:paraId="03CA66EC" w14:textId="130078D8" w:rsidR="00C678A7" w:rsidRPr="00D44713" w:rsidRDefault="00C678A7" w:rsidP="005F0AAC">
      <w:pPr>
        <w:spacing w:before="240" w:after="240" w:line="240" w:lineRule="auto"/>
        <w:contextualSpacing w:val="0"/>
        <w:rPr>
          <w:rFonts w:cs="Arial"/>
        </w:rPr>
      </w:pPr>
      <w:r w:rsidRPr="00D44713">
        <w:rPr>
          <w:rFonts w:cs="Arial"/>
        </w:rPr>
        <w:t xml:space="preserve">To qualify for a proposed recommendation of </w:t>
      </w:r>
      <w:r w:rsidR="00A7489B">
        <w:rPr>
          <w:rFonts w:cs="Arial"/>
        </w:rPr>
        <w:t>100</w:t>
      </w:r>
      <w:r w:rsidRPr="00D44713">
        <w:rPr>
          <w:rFonts w:cs="Arial"/>
        </w:rPr>
        <w:t xml:space="preserve"> percent funding, an NCB charter school must meet the following criteria:</w:t>
      </w:r>
    </w:p>
    <w:p w14:paraId="01264A66" w14:textId="7132A124" w:rsidR="00C678A7" w:rsidRPr="00D44713" w:rsidRDefault="00C678A7">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40</w:t>
      </w:r>
      <w:r w:rsidRPr="00D44713">
        <w:rPr>
          <w:rFonts w:cs="Arial"/>
        </w:rPr>
        <w:t xml:space="preserve"> percent of the school’s public revenues on salaries and benefits for all employees who possess a valid teaching certificate.</w:t>
      </w:r>
    </w:p>
    <w:p w14:paraId="442C7614" w14:textId="23BE62A4" w:rsidR="005B226A" w:rsidRDefault="00C678A7" w:rsidP="005F0AAC">
      <w:pPr>
        <w:numPr>
          <w:ilvl w:val="0"/>
          <w:numId w:val="11"/>
        </w:numPr>
        <w:spacing w:before="240" w:after="240" w:line="240" w:lineRule="auto"/>
        <w:contextualSpacing w:val="0"/>
        <w:rPr>
          <w:rFonts w:cs="Arial"/>
        </w:rPr>
      </w:pPr>
      <w:r w:rsidRPr="00D44713">
        <w:rPr>
          <w:rFonts w:cs="Arial"/>
        </w:rPr>
        <w:t xml:space="preserve">Spend at least </w:t>
      </w:r>
      <w:r w:rsidR="00A7489B">
        <w:rPr>
          <w:rFonts w:cs="Arial"/>
        </w:rPr>
        <w:t>80</w:t>
      </w:r>
      <w:r w:rsidRPr="00D44713">
        <w:rPr>
          <w:rFonts w:cs="Arial"/>
        </w:rPr>
        <w:t xml:space="preserve"> percent of all revenues on instruction and related services.</w:t>
      </w:r>
    </w:p>
    <w:p w14:paraId="731536DF" w14:textId="180AA22E" w:rsidR="00A7489B" w:rsidRPr="00A7489B" w:rsidRDefault="00A7489B" w:rsidP="00A7489B">
      <w:pPr>
        <w:numPr>
          <w:ilvl w:val="0"/>
          <w:numId w:val="11"/>
        </w:numPr>
        <w:spacing w:before="100" w:beforeAutospacing="1" w:after="240" w:line="240" w:lineRule="auto"/>
        <w:contextualSpacing w:val="0"/>
        <w:rPr>
          <w:rFonts w:cs="Arial"/>
        </w:rPr>
      </w:pPr>
      <w:r>
        <w:rPr>
          <w:rFonts w:cs="Arial"/>
        </w:rPr>
        <w:t xml:space="preserve">Maintain a </w:t>
      </w:r>
      <w:r w:rsidRPr="00C02C2C">
        <w:rPr>
          <w:rFonts w:cs="Arial"/>
        </w:rPr>
        <w:t xml:space="preserve">ratio of </w:t>
      </w:r>
      <w:r w:rsidR="00815144">
        <w:rPr>
          <w:rFonts w:cs="Arial"/>
        </w:rPr>
        <w:t>ADA</w:t>
      </w:r>
      <w:r w:rsidR="00A02239">
        <w:rPr>
          <w:rFonts w:cs="Arial"/>
        </w:rPr>
        <w:t xml:space="preserve">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school operates.</w:t>
      </w:r>
    </w:p>
    <w:p w14:paraId="0F7220BF" w14:textId="77777777" w:rsidR="000736F6" w:rsidRPr="000736F6" w:rsidRDefault="000736F6" w:rsidP="000736F6">
      <w:pPr>
        <w:spacing w:before="240" w:after="240" w:line="240" w:lineRule="auto"/>
        <w:contextualSpacing w:val="0"/>
        <w:rPr>
          <w:rFonts w:cs="Arial"/>
        </w:rPr>
      </w:pPr>
      <w:bookmarkStart w:id="3" w:name="_Hlk54774764"/>
      <w:bookmarkStart w:id="4" w:name="_Hlk54774739"/>
      <w:r w:rsidRPr="000736F6">
        <w:rPr>
          <w:rFonts w:cs="Arial"/>
        </w:rPr>
        <w:t xml:space="preserve">However, 5 </w:t>
      </w:r>
      <w:r w:rsidRPr="000736F6">
        <w:rPr>
          <w:rFonts w:cs="Arial"/>
          <w:i/>
        </w:rPr>
        <w:t>CCR</w:t>
      </w:r>
      <w:r w:rsidRPr="000736F6">
        <w:rPr>
          <w:rFonts w:cs="Arial"/>
        </w:rPr>
        <w:t xml:space="preserve"> Section 11963.4(e) states that the ACCS may find a “reasonable basis” (also referred to as mitigating circumstances) by which to make a recommendation other than one that results from the criteria identified in regulations. Specifically, 5 </w:t>
      </w:r>
      <w:r w:rsidRPr="000736F6">
        <w:rPr>
          <w:rFonts w:cs="Arial"/>
          <w:i/>
        </w:rPr>
        <w:t>CCR</w:t>
      </w:r>
      <w:r w:rsidRPr="000736F6">
        <w:rPr>
          <w:rFonts w:cs="Arial"/>
        </w:rPr>
        <w:t xml:space="preserve"> Section 11963.4(e) allows the ACCS to consider “documented data regarding individual circumstances of the charter school” and provides examples of the types of mitigating circumstances that the ACCS might consider.</w:t>
      </w:r>
    </w:p>
    <w:p w14:paraId="285EED78" w14:textId="77777777" w:rsidR="000736F6" w:rsidRPr="000736F6" w:rsidRDefault="000736F6" w:rsidP="000736F6">
      <w:pPr>
        <w:spacing w:before="240" w:after="240" w:line="240" w:lineRule="auto"/>
        <w:contextualSpacing w:val="0"/>
        <w:rPr>
          <w:rFonts w:cs="Arial"/>
        </w:rPr>
      </w:pPr>
      <w:bookmarkStart w:id="5" w:name="_Hlk54774773"/>
      <w:bookmarkEnd w:id="3"/>
      <w:r w:rsidRPr="000736F6">
        <w:rPr>
          <w:rFonts w:cs="Arial"/>
        </w:rPr>
        <w:t xml:space="preserve">Pursuant to 5 </w:t>
      </w:r>
      <w:r w:rsidRPr="000736F6">
        <w:rPr>
          <w:rFonts w:cs="Arial"/>
          <w:i/>
        </w:rPr>
        <w:t>CCR</w:t>
      </w:r>
      <w:r w:rsidRPr="000736F6">
        <w:rPr>
          <w:rFonts w:cs="Arial"/>
        </w:rPr>
        <w:t xml:space="preserve"> Section 11963.4(e):</w:t>
      </w:r>
    </w:p>
    <w:p w14:paraId="5CC8E344" w14:textId="77777777" w:rsidR="000736F6" w:rsidRPr="000736F6" w:rsidRDefault="000736F6" w:rsidP="000736F6">
      <w:pPr>
        <w:spacing w:before="240" w:after="240" w:line="240" w:lineRule="auto"/>
        <w:ind w:left="720"/>
        <w:contextualSpacing w:val="0"/>
        <w:rPr>
          <w:rFonts w:cs="Arial"/>
        </w:rPr>
      </w:pPr>
      <w:bookmarkStart w:id="6" w:name="_Hlk54774791"/>
      <w:bookmarkEnd w:id="5"/>
      <w:r w:rsidRPr="000736F6">
        <w:rPr>
          <w:rFonts w:cs="Arial"/>
        </w:rPr>
        <w:t xml:space="preserve">A reasonable basis for the Advisory Commission on Charter Schools to make a recommendation other than one that results from the criteria specified in subdivision (a) may include, but not be limited to, the following: the information provided by the charter school pursuant to paragraphs (2) through (8), inclusive, of subdivision (b) of section 11963.3, documented data regarding individual circumstances of the charter school (e.g., one-time or unique or exceptional expenses for facilities, acquisition of a school bus, acquisition and installation of computer hardware not related to the instructional program, special education charges levied on the charter school by a local educational agency, restricted state, federal, or private grants of funds awarded to the charter school that cannot be expended for teacher salaries, or contracted instructional services other than those for special education), the size of the charter school, and how </w:t>
      </w:r>
      <w:r w:rsidRPr="000736F6">
        <w:rPr>
          <w:rFonts w:cs="Arial"/>
        </w:rPr>
        <w:lastRenderedPageBreak/>
        <w:t>many years the charter school has been in operation. The Advisory Commission on Charter Schools shall give charter schools with less than a total of one hundred (100) units of prior year second period ADA or that are in their first year of operation serious consideration of full funding.</w:t>
      </w:r>
    </w:p>
    <w:bookmarkEnd w:id="4"/>
    <w:bookmarkEnd w:id="6"/>
    <w:p w14:paraId="65FBCFE1" w14:textId="73F71631" w:rsidR="005B226A" w:rsidRDefault="005B226A" w:rsidP="005F0AAC">
      <w:pPr>
        <w:spacing w:before="240" w:after="240" w:line="240" w:lineRule="auto"/>
        <w:contextualSpacing w:val="0"/>
        <w:rPr>
          <w:rFonts w:cs="Arial"/>
        </w:rPr>
      </w:pPr>
      <w:r w:rsidRPr="00D44713">
        <w:rPr>
          <w:rFonts w:cs="Arial"/>
        </w:rPr>
        <w:t>For an existing NCB charter school, 5</w:t>
      </w:r>
      <w:r w:rsidRPr="00D44713">
        <w:rPr>
          <w:rFonts w:cs="Arial"/>
          <w:i/>
        </w:rPr>
        <w:t xml:space="preserve"> CCR</w:t>
      </w:r>
      <w:r w:rsidRPr="00D44713">
        <w:rPr>
          <w:rFonts w:cs="Arial"/>
        </w:rPr>
        <w:t xml:space="preserve"> Section 11963.6(c) specifies that a determination of funding shall be for a minimum time period of two years and a maximum time period of five years. It is the CDE’s current practice to recommend time periods based on the number of years a charter school has been in operation</w:t>
      </w:r>
      <w:r w:rsidR="00407926">
        <w:rPr>
          <w:rFonts w:cs="Arial"/>
        </w:rPr>
        <w:t xml:space="preserve"> and the </w:t>
      </w:r>
      <w:r w:rsidR="0096561A">
        <w:rPr>
          <w:rFonts w:cs="Arial"/>
        </w:rPr>
        <w:t>number</w:t>
      </w:r>
      <w:r w:rsidR="00407926">
        <w:rPr>
          <w:rFonts w:cs="Arial"/>
        </w:rPr>
        <w:t xml:space="preserve"> of </w:t>
      </w:r>
      <w:r w:rsidR="006E43D0">
        <w:rPr>
          <w:rFonts w:cs="Arial"/>
        </w:rPr>
        <w:t>times it has obtained a funding determination</w:t>
      </w:r>
      <w:r w:rsidRPr="00D44713">
        <w:rPr>
          <w:rFonts w:cs="Arial"/>
        </w:rPr>
        <w:t>.</w:t>
      </w:r>
    </w:p>
    <w:p w14:paraId="4EE7B495" w14:textId="3641E658" w:rsidR="00A14826" w:rsidRPr="00BE214F" w:rsidRDefault="00A14826" w:rsidP="00A14826">
      <w:pPr>
        <w:spacing w:before="100" w:beforeAutospacing="1" w:after="100" w:afterAutospacing="1" w:line="240" w:lineRule="auto"/>
        <w:contextualSpacing w:val="0"/>
        <w:rPr>
          <w:rFonts w:cs="Arial"/>
        </w:rPr>
      </w:pPr>
      <w:r w:rsidRPr="00BE214F">
        <w:rPr>
          <w:rFonts w:cs="Arial"/>
        </w:rPr>
        <w:t>The CDE recommends a funding determination period of two FYs for a charter school requesting the consideration of mitigating circumstances, regardless of the number of years the charter school has been in operation</w:t>
      </w:r>
      <w:r w:rsidR="009F4633">
        <w:rPr>
          <w:rFonts w:cs="Arial"/>
        </w:rPr>
        <w:t xml:space="preserve"> and the number of times it has obtained a funding determination</w:t>
      </w:r>
      <w:r w:rsidRPr="00BE214F">
        <w:rPr>
          <w:rFonts w:cs="Arial"/>
        </w:rPr>
        <w:t>.</w:t>
      </w:r>
    </w:p>
    <w:p w14:paraId="7B393358" w14:textId="569069D2" w:rsidR="00BE376D" w:rsidRDefault="005B226A" w:rsidP="005F0AAC">
      <w:pPr>
        <w:spacing w:before="240" w:after="240" w:line="240" w:lineRule="auto"/>
        <w:contextualSpacing w:val="0"/>
        <w:rPr>
          <w:rFonts w:cs="Arial"/>
        </w:rPr>
      </w:pPr>
      <w:r w:rsidRPr="00D44713">
        <w:rPr>
          <w:rFonts w:cs="Arial"/>
        </w:rPr>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p w14:paraId="416F487E" w14:textId="77777777" w:rsidR="00854A57" w:rsidRPr="00854A57" w:rsidRDefault="00854A57" w:rsidP="00854A57">
      <w:pPr>
        <w:spacing w:before="240" w:after="240" w:line="240" w:lineRule="auto"/>
        <w:contextualSpacing w:val="0"/>
        <w:rPr>
          <w:rFonts w:cs="Arial"/>
        </w:rPr>
      </w:pPr>
      <w:r w:rsidRPr="00854A57">
        <w:rPr>
          <w:rFonts w:cs="Arial"/>
        </w:rPr>
        <w:t>Details of the school’s mitigating circumstances are provided below.</w:t>
      </w:r>
    </w:p>
    <w:p w14:paraId="6CD00F63" w14:textId="408C8351" w:rsidR="009F4633" w:rsidRDefault="009F4633" w:rsidP="00B34B5D">
      <w:pPr>
        <w:pStyle w:val="Heading3"/>
      </w:pPr>
      <w:r>
        <w:t>Sierra Foothill Charter</w:t>
      </w:r>
    </w:p>
    <w:p w14:paraId="699694A3" w14:textId="0B67E81B" w:rsidR="00D54362" w:rsidRDefault="00B34B5D" w:rsidP="005F0AAC">
      <w:pPr>
        <w:spacing w:before="240" w:after="240" w:line="240" w:lineRule="auto"/>
        <w:contextualSpacing w:val="0"/>
        <w:rPr>
          <w:rFonts w:cs="Arial"/>
          <w:bCs/>
        </w:rPr>
      </w:pPr>
      <w:r>
        <w:rPr>
          <w:rFonts w:cs="Arial"/>
        </w:rPr>
        <w:t xml:space="preserve">Sierra Foothill Charter </w:t>
      </w:r>
      <w:r w:rsidRPr="00846CA4">
        <w:rPr>
          <w:rFonts w:cs="Arial"/>
          <w:bCs/>
        </w:rPr>
        <w:t>does</w:t>
      </w:r>
      <w:r w:rsidRPr="00AC335E">
        <w:rPr>
          <w:rFonts w:cs="Arial"/>
          <w:bCs/>
        </w:rPr>
        <w:t xml:space="preserve"> not meet the requirements to qualify for a proposed recommendation of 100 percent funding </w:t>
      </w:r>
      <w:r>
        <w:rPr>
          <w:rFonts w:cs="Arial"/>
          <w:bCs/>
        </w:rPr>
        <w:t>based on reported FY 202</w:t>
      </w:r>
      <w:r w:rsidR="000F6F0D">
        <w:rPr>
          <w:rFonts w:cs="Arial"/>
          <w:bCs/>
        </w:rPr>
        <w:t>1</w:t>
      </w:r>
      <w:r>
        <w:rPr>
          <w:rFonts w:cs="Arial"/>
          <w:bCs/>
        </w:rPr>
        <w:t>–2</w:t>
      </w:r>
      <w:r w:rsidR="000F6F0D">
        <w:rPr>
          <w:rFonts w:cs="Arial"/>
          <w:bCs/>
        </w:rPr>
        <w:t>2</w:t>
      </w:r>
      <w:r>
        <w:rPr>
          <w:rFonts w:cs="Arial"/>
          <w:bCs/>
        </w:rPr>
        <w:t xml:space="preserve"> data.</w:t>
      </w:r>
    </w:p>
    <w:p w14:paraId="4C7D60F5" w14:textId="0A345F73" w:rsidR="00B34B5D" w:rsidRDefault="00B34B5D" w:rsidP="00B34B5D">
      <w:pPr>
        <w:spacing w:before="100" w:beforeAutospacing="1" w:after="100" w:afterAutospacing="1" w:line="240" w:lineRule="auto"/>
        <w:contextualSpacing w:val="0"/>
        <w:rPr>
          <w:rFonts w:cs="Arial"/>
          <w:bCs/>
        </w:rPr>
      </w:pPr>
      <w:r w:rsidRPr="00F37D5F">
        <w:rPr>
          <w:rFonts w:cs="Arial"/>
          <w:bCs/>
        </w:rPr>
        <w:t xml:space="preserve">The school is requesting a </w:t>
      </w:r>
      <w:r>
        <w:rPr>
          <w:rFonts w:cs="Arial"/>
          <w:bCs/>
        </w:rPr>
        <w:t xml:space="preserve">100 percent </w:t>
      </w:r>
      <w:r w:rsidRPr="00F37D5F">
        <w:rPr>
          <w:rFonts w:cs="Arial"/>
          <w:bCs/>
        </w:rPr>
        <w:t xml:space="preserve">determination of funding for five years with the consideration of mitigating circumstances. The school reported expenditures of </w:t>
      </w:r>
      <w:r>
        <w:rPr>
          <w:rFonts w:cs="Arial"/>
          <w:bCs/>
        </w:rPr>
        <w:t>37.20</w:t>
      </w:r>
      <w:r w:rsidRPr="00F37D5F">
        <w:rPr>
          <w:rFonts w:cs="Arial"/>
          <w:bCs/>
        </w:rPr>
        <w:t xml:space="preserve"> percent on certificated </w:t>
      </w:r>
      <w:r w:rsidR="000F6F0D">
        <w:rPr>
          <w:rFonts w:cs="Arial"/>
          <w:bCs/>
        </w:rPr>
        <w:t>salaries and benefits</w:t>
      </w:r>
      <w:r w:rsidRPr="00F37D5F">
        <w:rPr>
          <w:rFonts w:cs="Arial"/>
          <w:bCs/>
        </w:rPr>
        <w:t xml:space="preserve">, expenditures of </w:t>
      </w:r>
      <w:r>
        <w:rPr>
          <w:rFonts w:cs="Arial"/>
          <w:bCs/>
        </w:rPr>
        <w:t>74.90</w:t>
      </w:r>
      <w:r w:rsidRPr="00F37D5F">
        <w:rPr>
          <w:rFonts w:cs="Arial"/>
          <w:bCs/>
        </w:rPr>
        <w:t xml:space="preserve"> percent on instruction and related services costs, and a pupil teacher ratio of </w:t>
      </w:r>
      <w:r>
        <w:rPr>
          <w:rFonts w:cs="Arial"/>
          <w:bCs/>
        </w:rPr>
        <w:t>24.2</w:t>
      </w:r>
      <w:r w:rsidRPr="00F37D5F">
        <w:rPr>
          <w:rFonts w:cs="Arial"/>
          <w:bCs/>
        </w:rPr>
        <w:t xml:space="preserve"> to 1. Without the consideration of mitigating circumstances, the school qualifies for only a</w:t>
      </w:r>
      <w:r>
        <w:rPr>
          <w:rFonts w:cs="Arial"/>
          <w:bCs/>
        </w:rPr>
        <w:t xml:space="preserve"> 70 </w:t>
      </w:r>
      <w:r w:rsidRPr="00F37D5F">
        <w:rPr>
          <w:rFonts w:cs="Arial"/>
          <w:bCs/>
        </w:rPr>
        <w:t>percent determination of funding.</w:t>
      </w:r>
    </w:p>
    <w:p w14:paraId="05674AE4" w14:textId="0BDE1373" w:rsidR="000F6F0D" w:rsidRPr="00AC335E" w:rsidRDefault="000F6F0D" w:rsidP="002F36AE">
      <w:pPr>
        <w:spacing w:before="240" w:after="240" w:line="240" w:lineRule="auto"/>
        <w:contextualSpacing w:val="0"/>
        <w:rPr>
          <w:rFonts w:cs="Arial"/>
          <w:bCs/>
        </w:rPr>
      </w:pPr>
      <w:r>
        <w:rPr>
          <w:rFonts w:cs="Arial"/>
          <w:bCs/>
        </w:rPr>
        <w:t xml:space="preserve">The school cites as mitigating circumstances that it received </w:t>
      </w:r>
      <w:r w:rsidR="005356AB">
        <w:rPr>
          <w:rFonts w:cs="Arial"/>
          <w:bCs/>
        </w:rPr>
        <w:t>approximately</w:t>
      </w:r>
      <w:r>
        <w:rPr>
          <w:rFonts w:cs="Arial"/>
          <w:bCs/>
        </w:rPr>
        <w:t xml:space="preserve"> $135,000 in ESSER III </w:t>
      </w:r>
      <w:r w:rsidR="00353B41">
        <w:rPr>
          <w:rFonts w:cs="Arial"/>
          <w:bCs/>
        </w:rPr>
        <w:t>funding</w:t>
      </w:r>
      <w:r>
        <w:rPr>
          <w:rFonts w:cs="Arial"/>
          <w:bCs/>
        </w:rPr>
        <w:t>, which has been allocated to a capital project</w:t>
      </w:r>
      <w:r w:rsidR="004E6D17">
        <w:rPr>
          <w:rFonts w:cs="Arial"/>
          <w:bCs/>
        </w:rPr>
        <w:t xml:space="preserve">; </w:t>
      </w:r>
      <w:r>
        <w:rPr>
          <w:rFonts w:cs="Arial"/>
          <w:bCs/>
        </w:rPr>
        <w:t>without this one-time revenue, it would have reported expenditures of 40.75 percent on certificated salaries and benefits and expenditures of 81.91 percent on instruction and related services costs</w:t>
      </w:r>
      <w:r w:rsidR="002F36AE">
        <w:rPr>
          <w:rFonts w:cs="Arial"/>
          <w:bCs/>
        </w:rPr>
        <w:t>. However, the CDE note</w:t>
      </w:r>
      <w:r w:rsidR="005356AB">
        <w:rPr>
          <w:rFonts w:cs="Arial"/>
          <w:bCs/>
        </w:rPr>
        <w:t>s</w:t>
      </w:r>
      <w:r w:rsidR="002F36AE">
        <w:rPr>
          <w:rFonts w:cs="Arial"/>
          <w:bCs/>
        </w:rPr>
        <w:t xml:space="preserve"> in its review that the school had reported t</w:t>
      </w:r>
      <w:r w:rsidR="002F36AE" w:rsidRPr="00255123">
        <w:rPr>
          <w:rFonts w:cs="Arial"/>
        </w:rPr>
        <w:t>otal reserves of $943,297, or 61.47 percent of total expenditures</w:t>
      </w:r>
      <w:r w:rsidR="005356AB">
        <w:rPr>
          <w:rFonts w:cs="Arial"/>
        </w:rPr>
        <w:t xml:space="preserve">, and a projected P-2 ADA of </w:t>
      </w:r>
      <w:r w:rsidR="0024582B">
        <w:rPr>
          <w:rFonts w:cs="Arial"/>
        </w:rPr>
        <w:t>122.26</w:t>
      </w:r>
      <w:r w:rsidR="005356AB">
        <w:rPr>
          <w:rFonts w:cs="Arial"/>
        </w:rPr>
        <w:t xml:space="preserve"> for FY 2021–22</w:t>
      </w:r>
    </w:p>
    <w:p w14:paraId="171B3660" w14:textId="0DC424B3" w:rsidR="005E13AA" w:rsidRDefault="00D54362" w:rsidP="005E13AA">
      <w:pPr>
        <w:spacing w:before="240" w:after="240" w:line="240" w:lineRule="auto"/>
        <w:contextualSpacing w:val="0"/>
        <w:rPr>
          <w:rFonts w:cs="Arial"/>
        </w:rPr>
      </w:pPr>
      <w:r>
        <w:rPr>
          <w:rFonts w:cs="Arial"/>
        </w:rPr>
        <w:t xml:space="preserve">On February 15, 2022, the CDE requested additional information regarding the school’s </w:t>
      </w:r>
      <w:r w:rsidR="007C1EB2">
        <w:rPr>
          <w:rFonts w:cs="Arial"/>
        </w:rPr>
        <w:t>determination of funding request</w:t>
      </w:r>
      <w:r>
        <w:rPr>
          <w:rFonts w:cs="Arial"/>
        </w:rPr>
        <w:t>. The school</w:t>
      </w:r>
      <w:r w:rsidR="00F219EE">
        <w:rPr>
          <w:rFonts w:cs="Arial"/>
        </w:rPr>
        <w:t xml:space="preserve"> provided a response</w:t>
      </w:r>
      <w:r>
        <w:rPr>
          <w:rFonts w:cs="Arial"/>
        </w:rPr>
        <w:t xml:space="preserve"> on February 22, 2022</w:t>
      </w:r>
      <w:r w:rsidR="00CA5CC7">
        <w:rPr>
          <w:rFonts w:cs="Arial"/>
        </w:rPr>
        <w:t xml:space="preserve">. </w:t>
      </w:r>
      <w:r w:rsidR="005E13AA">
        <w:rPr>
          <w:rFonts w:cs="Arial"/>
        </w:rPr>
        <w:t xml:space="preserve">The school </w:t>
      </w:r>
      <w:r w:rsidR="007C1EB2">
        <w:rPr>
          <w:rFonts w:cs="Arial"/>
        </w:rPr>
        <w:t>state</w:t>
      </w:r>
      <w:r w:rsidR="00552C43">
        <w:rPr>
          <w:rFonts w:cs="Arial"/>
        </w:rPr>
        <w:t>s</w:t>
      </w:r>
      <w:r w:rsidR="005E13AA">
        <w:rPr>
          <w:rFonts w:cs="Arial"/>
        </w:rPr>
        <w:t xml:space="preserve"> in its response that the capital project for which it had intended </w:t>
      </w:r>
      <w:r w:rsidR="005E13AA">
        <w:rPr>
          <w:rFonts w:cs="Arial"/>
        </w:rPr>
        <w:lastRenderedPageBreak/>
        <w:t xml:space="preserve">to use the ESSER III funds was an additional set of student bathrooms, but the owners of the facility had recently denied the project. The school states that its board </w:t>
      </w:r>
      <w:r w:rsidR="007C1EB2">
        <w:rPr>
          <w:rFonts w:cs="Arial"/>
        </w:rPr>
        <w:t>would</w:t>
      </w:r>
      <w:r w:rsidR="005E13AA">
        <w:rPr>
          <w:rFonts w:cs="Arial"/>
        </w:rPr>
        <w:t xml:space="preserve"> review a revised plan for the use of these funds at its March </w:t>
      </w:r>
      <w:r w:rsidR="0024582B">
        <w:rPr>
          <w:rFonts w:cs="Arial"/>
        </w:rPr>
        <w:t xml:space="preserve">29, </w:t>
      </w:r>
      <w:r w:rsidR="005E13AA">
        <w:rPr>
          <w:rFonts w:cs="Arial"/>
        </w:rPr>
        <w:t>2022</w:t>
      </w:r>
      <w:r w:rsidR="0024582B">
        <w:rPr>
          <w:rFonts w:cs="Arial"/>
        </w:rPr>
        <w:t>,</w:t>
      </w:r>
      <w:r w:rsidR="005E13AA">
        <w:rPr>
          <w:rFonts w:cs="Arial"/>
        </w:rPr>
        <w:t xml:space="preserve"> meeting.</w:t>
      </w:r>
    </w:p>
    <w:p w14:paraId="5A4DC00A" w14:textId="597B05C8" w:rsidR="000E70B3" w:rsidRDefault="00CA5CC7" w:rsidP="005F0AAC">
      <w:pPr>
        <w:spacing w:before="240" w:after="240" w:line="240" w:lineRule="auto"/>
        <w:contextualSpacing w:val="0"/>
        <w:rPr>
          <w:rFonts w:cs="Arial"/>
        </w:rPr>
      </w:pPr>
      <w:r>
        <w:rPr>
          <w:rFonts w:cs="Arial"/>
        </w:rPr>
        <w:t>The school</w:t>
      </w:r>
      <w:r w:rsidR="005E13AA">
        <w:rPr>
          <w:rFonts w:cs="Arial"/>
        </w:rPr>
        <w:t xml:space="preserve"> also</w:t>
      </w:r>
      <w:r>
        <w:rPr>
          <w:rFonts w:cs="Arial"/>
        </w:rPr>
        <w:t xml:space="preserve"> state</w:t>
      </w:r>
      <w:r w:rsidR="00552C43">
        <w:rPr>
          <w:rFonts w:cs="Arial"/>
        </w:rPr>
        <w:t>s</w:t>
      </w:r>
      <w:r>
        <w:rPr>
          <w:rFonts w:cs="Arial"/>
        </w:rPr>
        <w:t xml:space="preserve"> </w:t>
      </w:r>
      <w:r w:rsidR="005E13AA">
        <w:rPr>
          <w:rFonts w:cs="Arial"/>
        </w:rPr>
        <w:t xml:space="preserve">in its response </w:t>
      </w:r>
      <w:r w:rsidR="00D54362">
        <w:rPr>
          <w:rFonts w:cs="Arial"/>
        </w:rPr>
        <w:t>that about $139,000 of the reserves represented investments in fixed assets</w:t>
      </w:r>
      <w:r w:rsidR="000E70B3">
        <w:rPr>
          <w:rFonts w:cs="Arial"/>
        </w:rPr>
        <w:t>, but there are no specific plans for the remaining reserves of about $771,000, which is over 50 percent of its total expenditures</w:t>
      </w:r>
      <w:r w:rsidR="002F36AE">
        <w:rPr>
          <w:rFonts w:cs="Arial"/>
        </w:rPr>
        <w:t xml:space="preserve">. The </w:t>
      </w:r>
      <w:r w:rsidR="000E70B3">
        <w:rPr>
          <w:rFonts w:cs="Arial"/>
        </w:rPr>
        <w:t xml:space="preserve">school states that </w:t>
      </w:r>
      <w:r w:rsidR="005356AB">
        <w:rPr>
          <w:rFonts w:cs="Arial"/>
        </w:rPr>
        <w:t>al</w:t>
      </w:r>
      <w:r w:rsidR="000E70B3">
        <w:rPr>
          <w:rFonts w:cs="Arial"/>
        </w:rPr>
        <w:t xml:space="preserve">though there are no specific plans, these reserves </w:t>
      </w:r>
      <w:r w:rsidR="000E70B3" w:rsidRPr="000E70B3">
        <w:rPr>
          <w:rFonts w:cs="Arial"/>
        </w:rPr>
        <w:t>may be used for salary and benefits increases, unexpected facility repairs, anticipated drops in enrollment, and any unforeseen emergencies</w:t>
      </w:r>
      <w:r w:rsidR="000E70B3">
        <w:rPr>
          <w:rFonts w:cs="Arial"/>
        </w:rPr>
        <w:t>. The school also states that a</w:t>
      </w:r>
      <w:r w:rsidR="000E70B3" w:rsidRPr="000E70B3">
        <w:rPr>
          <w:rFonts w:cs="Arial"/>
        </w:rPr>
        <w:t xml:space="preserve">s a small school, </w:t>
      </w:r>
      <w:r w:rsidR="000E70B3">
        <w:rPr>
          <w:rFonts w:cs="Arial"/>
        </w:rPr>
        <w:t>its</w:t>
      </w:r>
      <w:r w:rsidR="000E70B3" w:rsidRPr="000E70B3">
        <w:rPr>
          <w:rFonts w:cs="Arial"/>
        </w:rPr>
        <w:t xml:space="preserve"> strong reserves allowed </w:t>
      </w:r>
      <w:r w:rsidR="002F36AE">
        <w:rPr>
          <w:rFonts w:cs="Arial"/>
        </w:rPr>
        <w:t>for it</w:t>
      </w:r>
      <w:r w:rsidR="000E70B3" w:rsidRPr="000E70B3">
        <w:rPr>
          <w:rFonts w:cs="Arial"/>
        </w:rPr>
        <w:t xml:space="preserve"> to weather state deferrals </w:t>
      </w:r>
      <w:r w:rsidR="002F36AE">
        <w:rPr>
          <w:rFonts w:cs="Arial"/>
        </w:rPr>
        <w:t xml:space="preserve">in FY 2020–21 </w:t>
      </w:r>
      <w:r w:rsidR="000E70B3" w:rsidRPr="000E70B3">
        <w:rPr>
          <w:rFonts w:cs="Arial"/>
        </w:rPr>
        <w:t>without borrowing.</w:t>
      </w:r>
    </w:p>
    <w:p w14:paraId="524FE543" w14:textId="6F185289" w:rsidR="00433B63" w:rsidRPr="00755493" w:rsidRDefault="00433B63" w:rsidP="00433B63">
      <w:pPr>
        <w:spacing w:before="100" w:beforeAutospacing="1" w:after="100" w:afterAutospacing="1" w:line="240" w:lineRule="auto"/>
        <w:contextualSpacing w:val="0"/>
        <w:rPr>
          <w:rFonts w:cs="Arial"/>
          <w:bCs/>
        </w:rPr>
      </w:pPr>
      <w:r>
        <w:rPr>
          <w:rFonts w:cs="Arial"/>
          <w:bCs/>
        </w:rPr>
        <w:t>T</w:t>
      </w:r>
      <w:r w:rsidRPr="00755493">
        <w:rPr>
          <w:rFonts w:cs="Arial"/>
          <w:bCs/>
        </w:rPr>
        <w:t xml:space="preserve">he CDE has determined that the information submitted </w:t>
      </w:r>
      <w:r>
        <w:rPr>
          <w:rFonts w:cs="Arial"/>
          <w:bCs/>
        </w:rPr>
        <w:t>does not support</w:t>
      </w:r>
      <w:r w:rsidRPr="00755493">
        <w:rPr>
          <w:rFonts w:cs="Arial"/>
          <w:bCs/>
        </w:rPr>
        <w:t xml:space="preserve"> the claim for mitigating circumstances</w:t>
      </w:r>
      <w:r w:rsidR="002B298E">
        <w:rPr>
          <w:rFonts w:cs="Arial"/>
          <w:bCs/>
        </w:rPr>
        <w:t>. While the school did obtain one-time revenue that impacted its expenditure percentages, the school had sizable reserves at its disposal that could have been spent on certificated salaries and benefits and instruction and related service, and it did not</w:t>
      </w:r>
      <w:r w:rsidR="00E52EE6">
        <w:rPr>
          <w:rFonts w:cs="Arial"/>
          <w:bCs/>
        </w:rPr>
        <w:t xml:space="preserve"> otherwise</w:t>
      </w:r>
      <w:r w:rsidR="002B298E">
        <w:rPr>
          <w:rFonts w:cs="Arial"/>
          <w:bCs/>
        </w:rPr>
        <w:t xml:space="preserve"> provide specific plans for these reserves.</w:t>
      </w:r>
      <w:r w:rsidR="00E52EE6">
        <w:rPr>
          <w:rFonts w:cs="Arial"/>
          <w:bCs/>
        </w:rPr>
        <w:t xml:space="preserve"> </w:t>
      </w:r>
      <w:r w:rsidRPr="00755493">
        <w:rPr>
          <w:rFonts w:cs="Arial"/>
          <w:bCs/>
        </w:rPr>
        <w:t xml:space="preserve">Therefore, the CDE proposes to recommend that the SBE </w:t>
      </w:r>
      <w:r w:rsidR="00E52EE6">
        <w:rPr>
          <w:rFonts w:cs="Arial"/>
          <w:bCs/>
        </w:rPr>
        <w:t>deny</w:t>
      </w:r>
      <w:r w:rsidRPr="00755493">
        <w:rPr>
          <w:rFonts w:cs="Arial"/>
          <w:bCs/>
        </w:rPr>
        <w:t xml:space="preserve"> the school’s mitigating circumstances </w:t>
      </w:r>
      <w:r w:rsidR="007A0E6D">
        <w:rPr>
          <w:rFonts w:cs="Arial"/>
          <w:bCs/>
        </w:rPr>
        <w:t xml:space="preserve">request </w:t>
      </w:r>
      <w:r w:rsidRPr="00755493">
        <w:rPr>
          <w:rFonts w:cs="Arial"/>
          <w:bCs/>
        </w:rPr>
        <w:t xml:space="preserve">and approve the determination of funding request for </w:t>
      </w:r>
      <w:r w:rsidR="00E52EE6">
        <w:rPr>
          <w:rFonts w:cs="Arial"/>
          <w:bCs/>
        </w:rPr>
        <w:t>70</w:t>
      </w:r>
      <w:r w:rsidRPr="00755493">
        <w:rPr>
          <w:rFonts w:cs="Arial"/>
          <w:bCs/>
        </w:rPr>
        <w:t xml:space="preserve"> percent funding for two years as specified in Attachment 1.</w:t>
      </w:r>
    </w:p>
    <w:p w14:paraId="3E5EB318" w14:textId="0D8BBEFC" w:rsidR="00B34B5D" w:rsidRPr="00D1200E" w:rsidRDefault="00B34B5D" w:rsidP="00B34B5D">
      <w:pPr>
        <w:spacing w:before="240" w:after="240" w:line="240" w:lineRule="auto"/>
        <w:contextualSpacing w:val="0"/>
        <w:rPr>
          <w:rFonts w:cs="Arial"/>
        </w:rPr>
      </w:pPr>
      <w:r>
        <w:rPr>
          <w:rFonts w:cs="Arial"/>
        </w:rPr>
        <w:t xml:space="preserve">The CDE notes that if the school’s mitigating circumstances </w:t>
      </w:r>
      <w:r w:rsidR="007A0E6D">
        <w:rPr>
          <w:rFonts w:cs="Arial"/>
        </w:rPr>
        <w:t>request is</w:t>
      </w:r>
      <w:r>
        <w:rPr>
          <w:rFonts w:cs="Arial"/>
        </w:rPr>
        <w:t xml:space="preserve"> denied and it obtains a 70 percent funding determination, it may submit a reconsideration request to seek a higher level of funding </w:t>
      </w:r>
      <w:r w:rsidR="007A0E6D">
        <w:rPr>
          <w:rFonts w:cs="Arial"/>
        </w:rPr>
        <w:t>during the effective period of its funding determination,</w:t>
      </w:r>
      <w:r>
        <w:rPr>
          <w:rFonts w:cs="Arial"/>
        </w:rPr>
        <w:t xml:space="preserve"> pursuant to 5 </w:t>
      </w:r>
      <w:r>
        <w:rPr>
          <w:rFonts w:cs="Arial"/>
          <w:i/>
        </w:rPr>
        <w:t>CCR</w:t>
      </w:r>
      <w:r>
        <w:rPr>
          <w:rFonts w:cs="Arial"/>
        </w:rPr>
        <w:t xml:space="preserve"> Section 11963.6(g).</w:t>
      </w:r>
    </w:p>
    <w:bookmarkEnd w:id="2"/>
    <w:p w14:paraId="7F4E3621" w14:textId="54D37258" w:rsidR="008F7BC4" w:rsidRPr="001B3958" w:rsidRDefault="00BC41D2" w:rsidP="00E94E5E">
      <w:pPr>
        <w:pStyle w:val="Heading2"/>
      </w:pPr>
      <w:r>
        <w:t>Attachment</w:t>
      </w:r>
      <w:r w:rsidR="007B271A">
        <w:t>s</w:t>
      </w:r>
    </w:p>
    <w:p w14:paraId="767F9CED" w14:textId="76B4FD7D"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 xml:space="preserve">Recommendation for </w:t>
      </w:r>
      <w:r w:rsidR="009F4633">
        <w:t xml:space="preserve">a </w:t>
      </w:r>
      <w:r w:rsidR="000E3F5A" w:rsidRPr="000E3F5A">
        <w:t>Nonclassroom-Based Determination of Funding</w:t>
      </w:r>
      <w:r w:rsidR="00510736" w:rsidRPr="00876BAD">
        <w:t xml:space="preserve"> </w:t>
      </w:r>
      <w:r w:rsidRPr="00876BAD">
        <w:t>(</w:t>
      </w:r>
      <w:r w:rsidR="0052741C" w:rsidRPr="00876BAD">
        <w:t>1</w:t>
      </w:r>
      <w:r w:rsidRPr="00876BAD">
        <w:t xml:space="preserve"> Page)</w:t>
      </w:r>
    </w:p>
    <w:p w14:paraId="792B49FD" w14:textId="0AE40F71" w:rsidR="005444B7" w:rsidRPr="00876BAD" w:rsidRDefault="008515E6" w:rsidP="00E80AA7">
      <w:pPr>
        <w:pStyle w:val="ListParagraph"/>
        <w:numPr>
          <w:ilvl w:val="0"/>
          <w:numId w:val="12"/>
        </w:numPr>
        <w:spacing w:before="0" w:after="240" w:line="240" w:lineRule="auto"/>
        <w:contextualSpacing w:val="0"/>
      </w:pPr>
      <w:r w:rsidRPr="009F4633">
        <w:rPr>
          <w:b/>
        </w:rPr>
        <w:t>Attachment 2:</w:t>
      </w:r>
      <w:r w:rsidRPr="00876BAD">
        <w:t xml:space="preserve"> Determination of Funding Request for </w:t>
      </w:r>
      <w:r w:rsidR="009F4633">
        <w:t>Sierra Foothill Charter</w:t>
      </w:r>
      <w:r w:rsidR="00E13D2C" w:rsidRPr="00876BAD">
        <w:t>, Charter #</w:t>
      </w:r>
      <w:r w:rsidR="009F4633">
        <w:t>1396</w:t>
      </w:r>
      <w:r w:rsidR="00E13D2C" w:rsidRPr="00876BAD">
        <w:t xml:space="preserve"> </w:t>
      </w:r>
      <w:r w:rsidRPr="00876BAD">
        <w:t>(9 Pages)</w:t>
      </w:r>
    </w:p>
    <w:sectPr w:rsidR="005444B7" w:rsidRPr="00876BAD" w:rsidSect="00FF0480">
      <w:headerReference w:type="default" r:id="rId7"/>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209F9604" w:rsidR="00ED6047" w:rsidRPr="002D6EC8" w:rsidRDefault="00ED6047" w:rsidP="00BA695B">
    <w:pPr>
      <w:spacing w:after="0"/>
      <w:contextualSpacing w:val="0"/>
      <w:jc w:val="right"/>
    </w:pPr>
    <w:r w:rsidRPr="00780B44">
      <w:rPr>
        <w:rFonts w:cs="Arial"/>
      </w:rPr>
      <w:t>accs-</w:t>
    </w:r>
    <w:r w:rsidR="00DF4E1C">
      <w:rPr>
        <w:rFonts w:cs="Arial"/>
      </w:rPr>
      <w:t>apr22</w:t>
    </w:r>
    <w:r w:rsidRPr="00780B44">
      <w:rPr>
        <w:rFonts w:cs="Arial"/>
      </w:rPr>
      <w:t>item0</w:t>
    </w:r>
    <w:r w:rsidR="00E52EE6">
      <w:rPr>
        <w:rFonts w:cs="Arial"/>
      </w:rPr>
      <w:t>2</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2C0B"/>
    <w:rsid w:val="000040D5"/>
    <w:rsid w:val="000078D8"/>
    <w:rsid w:val="000158DF"/>
    <w:rsid w:val="00015BB5"/>
    <w:rsid w:val="00024458"/>
    <w:rsid w:val="00024BC9"/>
    <w:rsid w:val="00025553"/>
    <w:rsid w:val="000321AE"/>
    <w:rsid w:val="000324AD"/>
    <w:rsid w:val="000471CA"/>
    <w:rsid w:val="00047C0E"/>
    <w:rsid w:val="00050515"/>
    <w:rsid w:val="00062D56"/>
    <w:rsid w:val="000736F6"/>
    <w:rsid w:val="000739CA"/>
    <w:rsid w:val="00073CF7"/>
    <w:rsid w:val="0007597D"/>
    <w:rsid w:val="00076054"/>
    <w:rsid w:val="000802E2"/>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E3F5A"/>
    <w:rsid w:val="000E70B3"/>
    <w:rsid w:val="000F0942"/>
    <w:rsid w:val="000F2AE4"/>
    <w:rsid w:val="000F3CED"/>
    <w:rsid w:val="000F6F0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44B53"/>
    <w:rsid w:val="001466ED"/>
    <w:rsid w:val="001517CB"/>
    <w:rsid w:val="00154301"/>
    <w:rsid w:val="0016380B"/>
    <w:rsid w:val="00174C93"/>
    <w:rsid w:val="00177405"/>
    <w:rsid w:val="0018148D"/>
    <w:rsid w:val="0018298E"/>
    <w:rsid w:val="0018494B"/>
    <w:rsid w:val="00186990"/>
    <w:rsid w:val="00186DCB"/>
    <w:rsid w:val="00187317"/>
    <w:rsid w:val="001947B1"/>
    <w:rsid w:val="001A0AEA"/>
    <w:rsid w:val="001A0CA5"/>
    <w:rsid w:val="001A1352"/>
    <w:rsid w:val="001A492E"/>
    <w:rsid w:val="001B127C"/>
    <w:rsid w:val="001B1A02"/>
    <w:rsid w:val="001B3958"/>
    <w:rsid w:val="001C3D3B"/>
    <w:rsid w:val="001C723E"/>
    <w:rsid w:val="001D4978"/>
    <w:rsid w:val="001D7FAC"/>
    <w:rsid w:val="001E0FE8"/>
    <w:rsid w:val="001E1929"/>
    <w:rsid w:val="001E2A2F"/>
    <w:rsid w:val="001E3B8E"/>
    <w:rsid w:val="001E5813"/>
    <w:rsid w:val="001F1ACD"/>
    <w:rsid w:val="001F1FD5"/>
    <w:rsid w:val="001F4C31"/>
    <w:rsid w:val="001F7D78"/>
    <w:rsid w:val="00200D9F"/>
    <w:rsid w:val="00202C44"/>
    <w:rsid w:val="00202E3D"/>
    <w:rsid w:val="00203C3F"/>
    <w:rsid w:val="002060E7"/>
    <w:rsid w:val="00211E16"/>
    <w:rsid w:val="002174CC"/>
    <w:rsid w:val="00223112"/>
    <w:rsid w:val="002271A7"/>
    <w:rsid w:val="00230910"/>
    <w:rsid w:val="0023418A"/>
    <w:rsid w:val="00240622"/>
    <w:rsid w:val="00240B26"/>
    <w:rsid w:val="0024582B"/>
    <w:rsid w:val="00251CDA"/>
    <w:rsid w:val="00252C96"/>
    <w:rsid w:val="00255123"/>
    <w:rsid w:val="00261B72"/>
    <w:rsid w:val="002631D5"/>
    <w:rsid w:val="00263A48"/>
    <w:rsid w:val="00270D4D"/>
    <w:rsid w:val="00272B4F"/>
    <w:rsid w:val="00285BE7"/>
    <w:rsid w:val="00291AB7"/>
    <w:rsid w:val="0029513D"/>
    <w:rsid w:val="002A09AA"/>
    <w:rsid w:val="002A263F"/>
    <w:rsid w:val="002A35EB"/>
    <w:rsid w:val="002B2176"/>
    <w:rsid w:val="002B298E"/>
    <w:rsid w:val="002B30C9"/>
    <w:rsid w:val="002B4B14"/>
    <w:rsid w:val="002C71F2"/>
    <w:rsid w:val="002C7705"/>
    <w:rsid w:val="002D1A82"/>
    <w:rsid w:val="002D49FB"/>
    <w:rsid w:val="002D6EC8"/>
    <w:rsid w:val="002E216A"/>
    <w:rsid w:val="002E4CB5"/>
    <w:rsid w:val="002E52C1"/>
    <w:rsid w:val="002E6FCA"/>
    <w:rsid w:val="002F279B"/>
    <w:rsid w:val="002F36AE"/>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3B41"/>
    <w:rsid w:val="003546A4"/>
    <w:rsid w:val="003623A8"/>
    <w:rsid w:val="00363520"/>
    <w:rsid w:val="00364CB8"/>
    <w:rsid w:val="003705FC"/>
    <w:rsid w:val="00371992"/>
    <w:rsid w:val="00374D3F"/>
    <w:rsid w:val="003772A9"/>
    <w:rsid w:val="00377DB5"/>
    <w:rsid w:val="00380371"/>
    <w:rsid w:val="00384ACF"/>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3525"/>
    <w:rsid w:val="0041467B"/>
    <w:rsid w:val="00417CF6"/>
    <w:rsid w:val="004203BC"/>
    <w:rsid w:val="004248D0"/>
    <w:rsid w:val="0042654E"/>
    <w:rsid w:val="00430094"/>
    <w:rsid w:val="00432357"/>
    <w:rsid w:val="00433B63"/>
    <w:rsid w:val="00443642"/>
    <w:rsid w:val="0044368B"/>
    <w:rsid w:val="00443B1F"/>
    <w:rsid w:val="0044659F"/>
    <w:rsid w:val="0044670C"/>
    <w:rsid w:val="00450C7F"/>
    <w:rsid w:val="00450E5F"/>
    <w:rsid w:val="00462A53"/>
    <w:rsid w:val="00463CAE"/>
    <w:rsid w:val="0046519F"/>
    <w:rsid w:val="0047534A"/>
    <w:rsid w:val="004778BB"/>
    <w:rsid w:val="004808B3"/>
    <w:rsid w:val="004903FA"/>
    <w:rsid w:val="00492F24"/>
    <w:rsid w:val="004947BC"/>
    <w:rsid w:val="004B3907"/>
    <w:rsid w:val="004B605A"/>
    <w:rsid w:val="004C1016"/>
    <w:rsid w:val="004D1B6B"/>
    <w:rsid w:val="004D77E0"/>
    <w:rsid w:val="004D7E48"/>
    <w:rsid w:val="004E029B"/>
    <w:rsid w:val="004E2ADC"/>
    <w:rsid w:val="004E3ACE"/>
    <w:rsid w:val="004E6D17"/>
    <w:rsid w:val="004F03D0"/>
    <w:rsid w:val="004F1692"/>
    <w:rsid w:val="004F1B26"/>
    <w:rsid w:val="004F2971"/>
    <w:rsid w:val="004F4157"/>
    <w:rsid w:val="004F63BC"/>
    <w:rsid w:val="00510736"/>
    <w:rsid w:val="00512D1B"/>
    <w:rsid w:val="005156AF"/>
    <w:rsid w:val="00517C00"/>
    <w:rsid w:val="00525A90"/>
    <w:rsid w:val="0052741C"/>
    <w:rsid w:val="00527B0E"/>
    <w:rsid w:val="005321D5"/>
    <w:rsid w:val="00532DAA"/>
    <w:rsid w:val="005350B0"/>
    <w:rsid w:val="005356AB"/>
    <w:rsid w:val="00536715"/>
    <w:rsid w:val="00536910"/>
    <w:rsid w:val="0054059F"/>
    <w:rsid w:val="00541BEE"/>
    <w:rsid w:val="00543170"/>
    <w:rsid w:val="005444B7"/>
    <w:rsid w:val="00546DFA"/>
    <w:rsid w:val="00550A90"/>
    <w:rsid w:val="00551D51"/>
    <w:rsid w:val="0055266E"/>
    <w:rsid w:val="00552C43"/>
    <w:rsid w:val="00553EA1"/>
    <w:rsid w:val="0055453B"/>
    <w:rsid w:val="005606EE"/>
    <w:rsid w:val="005623C2"/>
    <w:rsid w:val="00570BF9"/>
    <w:rsid w:val="005713E5"/>
    <w:rsid w:val="00573D57"/>
    <w:rsid w:val="00577182"/>
    <w:rsid w:val="00584A4C"/>
    <w:rsid w:val="005878F1"/>
    <w:rsid w:val="005919CD"/>
    <w:rsid w:val="005A2FEC"/>
    <w:rsid w:val="005A3BE4"/>
    <w:rsid w:val="005B226A"/>
    <w:rsid w:val="005B3376"/>
    <w:rsid w:val="005C5755"/>
    <w:rsid w:val="005C66DD"/>
    <w:rsid w:val="005D026E"/>
    <w:rsid w:val="005D15C4"/>
    <w:rsid w:val="005D2491"/>
    <w:rsid w:val="005D316B"/>
    <w:rsid w:val="005D4001"/>
    <w:rsid w:val="005D401E"/>
    <w:rsid w:val="005D630D"/>
    <w:rsid w:val="005E13AA"/>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08E0"/>
    <w:rsid w:val="00653939"/>
    <w:rsid w:val="00653F15"/>
    <w:rsid w:val="00655299"/>
    <w:rsid w:val="00656222"/>
    <w:rsid w:val="006576AD"/>
    <w:rsid w:val="006738BA"/>
    <w:rsid w:val="00674E6D"/>
    <w:rsid w:val="00676B70"/>
    <w:rsid w:val="006860C8"/>
    <w:rsid w:val="00687809"/>
    <w:rsid w:val="00690FD1"/>
    <w:rsid w:val="00692300"/>
    <w:rsid w:val="00693519"/>
    <w:rsid w:val="00693951"/>
    <w:rsid w:val="006A1DB0"/>
    <w:rsid w:val="006A2812"/>
    <w:rsid w:val="006A5802"/>
    <w:rsid w:val="006A63C6"/>
    <w:rsid w:val="006B1750"/>
    <w:rsid w:val="006B18B4"/>
    <w:rsid w:val="006B2111"/>
    <w:rsid w:val="006B2149"/>
    <w:rsid w:val="006B68B0"/>
    <w:rsid w:val="006C4282"/>
    <w:rsid w:val="006D0223"/>
    <w:rsid w:val="006D1849"/>
    <w:rsid w:val="006D41C6"/>
    <w:rsid w:val="006D6FC6"/>
    <w:rsid w:val="006E06C6"/>
    <w:rsid w:val="006E43D0"/>
    <w:rsid w:val="006E547B"/>
    <w:rsid w:val="006F1AB1"/>
    <w:rsid w:val="006F740B"/>
    <w:rsid w:val="006F797A"/>
    <w:rsid w:val="00700676"/>
    <w:rsid w:val="00702AB1"/>
    <w:rsid w:val="00710C96"/>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1394"/>
    <w:rsid w:val="00772605"/>
    <w:rsid w:val="007747DA"/>
    <w:rsid w:val="00774DAC"/>
    <w:rsid w:val="00775131"/>
    <w:rsid w:val="00780B44"/>
    <w:rsid w:val="00780BB6"/>
    <w:rsid w:val="007913E7"/>
    <w:rsid w:val="007934A1"/>
    <w:rsid w:val="007937C5"/>
    <w:rsid w:val="007A0536"/>
    <w:rsid w:val="007A0E6D"/>
    <w:rsid w:val="007A2A8F"/>
    <w:rsid w:val="007A5826"/>
    <w:rsid w:val="007A7F71"/>
    <w:rsid w:val="007B271A"/>
    <w:rsid w:val="007B7957"/>
    <w:rsid w:val="007C090C"/>
    <w:rsid w:val="007C1EB2"/>
    <w:rsid w:val="007C5697"/>
    <w:rsid w:val="007D56F4"/>
    <w:rsid w:val="007D5DE7"/>
    <w:rsid w:val="007D6A8F"/>
    <w:rsid w:val="007E7B84"/>
    <w:rsid w:val="007F2757"/>
    <w:rsid w:val="00801C86"/>
    <w:rsid w:val="008026B6"/>
    <w:rsid w:val="0080433D"/>
    <w:rsid w:val="00806E78"/>
    <w:rsid w:val="00806F09"/>
    <w:rsid w:val="008143CC"/>
    <w:rsid w:val="008150A1"/>
    <w:rsid w:val="00815144"/>
    <w:rsid w:val="008157EE"/>
    <w:rsid w:val="008223B1"/>
    <w:rsid w:val="00822709"/>
    <w:rsid w:val="00823DCC"/>
    <w:rsid w:val="00831752"/>
    <w:rsid w:val="0083556E"/>
    <w:rsid w:val="008370CC"/>
    <w:rsid w:val="008455A1"/>
    <w:rsid w:val="00846CA4"/>
    <w:rsid w:val="008515E6"/>
    <w:rsid w:val="008536D2"/>
    <w:rsid w:val="00854A57"/>
    <w:rsid w:val="00854DB4"/>
    <w:rsid w:val="0086465D"/>
    <w:rsid w:val="008655E1"/>
    <w:rsid w:val="00865F72"/>
    <w:rsid w:val="0087026E"/>
    <w:rsid w:val="00875C6D"/>
    <w:rsid w:val="00876B82"/>
    <w:rsid w:val="00876BAD"/>
    <w:rsid w:val="00882FC1"/>
    <w:rsid w:val="00884716"/>
    <w:rsid w:val="00887343"/>
    <w:rsid w:val="008909EE"/>
    <w:rsid w:val="00891054"/>
    <w:rsid w:val="00893F0E"/>
    <w:rsid w:val="00895488"/>
    <w:rsid w:val="008A5EF9"/>
    <w:rsid w:val="008B4D5C"/>
    <w:rsid w:val="008B659F"/>
    <w:rsid w:val="008C0805"/>
    <w:rsid w:val="008C3025"/>
    <w:rsid w:val="008C37D4"/>
    <w:rsid w:val="008D6FBC"/>
    <w:rsid w:val="008E233F"/>
    <w:rsid w:val="008E2F92"/>
    <w:rsid w:val="008E51BB"/>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4608C"/>
    <w:rsid w:val="00951A2B"/>
    <w:rsid w:val="0096561A"/>
    <w:rsid w:val="00972D85"/>
    <w:rsid w:val="00973C53"/>
    <w:rsid w:val="009748A2"/>
    <w:rsid w:val="00980457"/>
    <w:rsid w:val="00980D04"/>
    <w:rsid w:val="009876A4"/>
    <w:rsid w:val="00990AF8"/>
    <w:rsid w:val="0099535D"/>
    <w:rsid w:val="009A046B"/>
    <w:rsid w:val="009A0F9C"/>
    <w:rsid w:val="009A105B"/>
    <w:rsid w:val="009B04E1"/>
    <w:rsid w:val="009B0E75"/>
    <w:rsid w:val="009B626D"/>
    <w:rsid w:val="009B6BA1"/>
    <w:rsid w:val="009D0F9C"/>
    <w:rsid w:val="009D5028"/>
    <w:rsid w:val="009D69DA"/>
    <w:rsid w:val="009E1BA2"/>
    <w:rsid w:val="009F3F9D"/>
    <w:rsid w:val="009F4633"/>
    <w:rsid w:val="009F7F09"/>
    <w:rsid w:val="00A00545"/>
    <w:rsid w:val="00A00C7D"/>
    <w:rsid w:val="00A02239"/>
    <w:rsid w:val="00A03777"/>
    <w:rsid w:val="00A050CD"/>
    <w:rsid w:val="00A056E5"/>
    <w:rsid w:val="00A07F42"/>
    <w:rsid w:val="00A14826"/>
    <w:rsid w:val="00A148BF"/>
    <w:rsid w:val="00A14F7A"/>
    <w:rsid w:val="00A16315"/>
    <w:rsid w:val="00A174A2"/>
    <w:rsid w:val="00A221DC"/>
    <w:rsid w:val="00A2499E"/>
    <w:rsid w:val="00A25D56"/>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489B"/>
    <w:rsid w:val="00A7590A"/>
    <w:rsid w:val="00A80ABE"/>
    <w:rsid w:val="00A81CC6"/>
    <w:rsid w:val="00A87AE1"/>
    <w:rsid w:val="00AA171D"/>
    <w:rsid w:val="00AB143E"/>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148"/>
    <w:rsid w:val="00B30CE8"/>
    <w:rsid w:val="00B32155"/>
    <w:rsid w:val="00B34B5D"/>
    <w:rsid w:val="00B40590"/>
    <w:rsid w:val="00B40C0D"/>
    <w:rsid w:val="00B52A34"/>
    <w:rsid w:val="00B5724B"/>
    <w:rsid w:val="00B61629"/>
    <w:rsid w:val="00B63A96"/>
    <w:rsid w:val="00B65DF5"/>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8FF"/>
    <w:rsid w:val="00BC2EA2"/>
    <w:rsid w:val="00BC41D2"/>
    <w:rsid w:val="00BC4CB0"/>
    <w:rsid w:val="00BD0A6E"/>
    <w:rsid w:val="00BD2F63"/>
    <w:rsid w:val="00BD69BF"/>
    <w:rsid w:val="00BE28F6"/>
    <w:rsid w:val="00BE33AD"/>
    <w:rsid w:val="00BE376D"/>
    <w:rsid w:val="00BE5EC9"/>
    <w:rsid w:val="00BF2DEF"/>
    <w:rsid w:val="00BF2F73"/>
    <w:rsid w:val="00BF3594"/>
    <w:rsid w:val="00BF4981"/>
    <w:rsid w:val="00BF6947"/>
    <w:rsid w:val="00C03809"/>
    <w:rsid w:val="00C04E43"/>
    <w:rsid w:val="00C076D2"/>
    <w:rsid w:val="00C07B90"/>
    <w:rsid w:val="00C123C5"/>
    <w:rsid w:val="00C124EE"/>
    <w:rsid w:val="00C136FE"/>
    <w:rsid w:val="00C22E87"/>
    <w:rsid w:val="00C23591"/>
    <w:rsid w:val="00C27D57"/>
    <w:rsid w:val="00C32324"/>
    <w:rsid w:val="00C33D77"/>
    <w:rsid w:val="00C34E8A"/>
    <w:rsid w:val="00C44F24"/>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5CC7"/>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1200E"/>
    <w:rsid w:val="00D24358"/>
    <w:rsid w:val="00D266A5"/>
    <w:rsid w:val="00D30FA5"/>
    <w:rsid w:val="00D321A0"/>
    <w:rsid w:val="00D41AFB"/>
    <w:rsid w:val="00D44713"/>
    <w:rsid w:val="00D46F9E"/>
    <w:rsid w:val="00D47DAB"/>
    <w:rsid w:val="00D5115F"/>
    <w:rsid w:val="00D54362"/>
    <w:rsid w:val="00D549A5"/>
    <w:rsid w:val="00D743CB"/>
    <w:rsid w:val="00D7709D"/>
    <w:rsid w:val="00D80890"/>
    <w:rsid w:val="00D81C0F"/>
    <w:rsid w:val="00D821EF"/>
    <w:rsid w:val="00D83B47"/>
    <w:rsid w:val="00D840D9"/>
    <w:rsid w:val="00D8667C"/>
    <w:rsid w:val="00D86AB9"/>
    <w:rsid w:val="00D87D83"/>
    <w:rsid w:val="00DA0371"/>
    <w:rsid w:val="00DA20FF"/>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48BE"/>
    <w:rsid w:val="00DF4E1C"/>
    <w:rsid w:val="00DF6F8B"/>
    <w:rsid w:val="00E05555"/>
    <w:rsid w:val="00E06196"/>
    <w:rsid w:val="00E068A8"/>
    <w:rsid w:val="00E10A20"/>
    <w:rsid w:val="00E13D2C"/>
    <w:rsid w:val="00E26EF7"/>
    <w:rsid w:val="00E32434"/>
    <w:rsid w:val="00E327CC"/>
    <w:rsid w:val="00E40DAF"/>
    <w:rsid w:val="00E47ED1"/>
    <w:rsid w:val="00E52EE6"/>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8D3"/>
    <w:rsid w:val="00EF738A"/>
    <w:rsid w:val="00F1381E"/>
    <w:rsid w:val="00F219EE"/>
    <w:rsid w:val="00F22078"/>
    <w:rsid w:val="00F326A8"/>
    <w:rsid w:val="00F33F56"/>
    <w:rsid w:val="00F36C89"/>
    <w:rsid w:val="00F37D5F"/>
    <w:rsid w:val="00F401B8"/>
    <w:rsid w:val="00F40510"/>
    <w:rsid w:val="00F408AD"/>
    <w:rsid w:val="00F4184C"/>
    <w:rsid w:val="00F46D87"/>
    <w:rsid w:val="00F51380"/>
    <w:rsid w:val="00F53B4A"/>
    <w:rsid w:val="00F6376E"/>
    <w:rsid w:val="00F70DEB"/>
    <w:rsid w:val="00F71A65"/>
    <w:rsid w:val="00F75C30"/>
    <w:rsid w:val="00F76BB3"/>
    <w:rsid w:val="00F77C0B"/>
    <w:rsid w:val="00F90654"/>
    <w:rsid w:val="00F974F0"/>
    <w:rsid w:val="00FA1AB6"/>
    <w:rsid w:val="00FA2014"/>
    <w:rsid w:val="00FA35C6"/>
    <w:rsid w:val="00FA4439"/>
    <w:rsid w:val="00FB0E66"/>
    <w:rsid w:val="00FB12FA"/>
    <w:rsid w:val="00FB216E"/>
    <w:rsid w:val="00FB3113"/>
    <w:rsid w:val="00FB778F"/>
    <w:rsid w:val="00FC1FCE"/>
    <w:rsid w:val="00FC5CEE"/>
    <w:rsid w:val="00FD24A0"/>
    <w:rsid w:val="00FD5AE4"/>
    <w:rsid w:val="00FE1B0F"/>
    <w:rsid w:val="00FE3007"/>
    <w:rsid w:val="00FE4927"/>
    <w:rsid w:val="00FE4BD6"/>
    <w:rsid w:val="00FE75F5"/>
    <w:rsid w:val="00FF0480"/>
    <w:rsid w:val="00FF1AD2"/>
    <w:rsid w:val="00FF277C"/>
    <w:rsid w:val="00FF2E75"/>
    <w:rsid w:val="00FF4478"/>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087768544">
      <w:bodyDiv w:val="1"/>
      <w:marLeft w:val="0"/>
      <w:marRight w:val="0"/>
      <w:marTop w:val="0"/>
      <w:marBottom w:val="0"/>
      <w:divBdr>
        <w:top w:val="none" w:sz="0" w:space="0" w:color="auto"/>
        <w:left w:val="none" w:sz="0" w:space="0" w:color="auto"/>
        <w:bottom w:val="none" w:sz="0" w:space="0" w:color="auto"/>
        <w:right w:val="none" w:sz="0" w:space="0" w:color="auto"/>
      </w:divBdr>
      <w:divsChild>
        <w:div w:id="238833865">
          <w:blockQuote w:val="1"/>
          <w:marLeft w:val="0"/>
          <w:marRight w:val="360"/>
          <w:marTop w:val="0"/>
          <w:marBottom w:val="360"/>
          <w:divBdr>
            <w:top w:val="none" w:sz="0" w:space="0" w:color="auto"/>
            <w:left w:val="single" w:sz="24" w:space="18" w:color="D9D9D9"/>
            <w:bottom w:val="none" w:sz="0" w:space="0" w:color="auto"/>
            <w:right w:val="none" w:sz="0" w:space="0" w:color="auto"/>
          </w:divBdr>
          <w:divsChild>
            <w:div w:id="8760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April 2022 ACCS Agenda Item 02 - Advisory Commission on Charter Schools (CA State Board of Education)</vt:lpstr>
    </vt:vector>
  </TitlesOfParts>
  <Company>CA Department of Education</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2022 ACCS Agenda Item 02 - Advisory Commission on Charter Schools (CA State Board of Education)</dc:title>
  <dc:subject>Consideration of Request for Determination of Funding with “Reasonable Basis”/Mitigating Circumstances as Required forNCB Charter Schools Pursuant to CA EC and Assoc. CCRs, Title 5.</dc:subject>
  <dc:creator>Jonathan Yu</dc:creator>
  <cp:keywords/>
  <dc:description/>
  <cp:lastModifiedBy>Shauna Rodriguez</cp:lastModifiedBy>
  <cp:revision>17</cp:revision>
  <cp:lastPrinted>2020-03-16T21:00:00Z</cp:lastPrinted>
  <dcterms:created xsi:type="dcterms:W3CDTF">2022-03-07T16:34:00Z</dcterms:created>
  <dcterms:modified xsi:type="dcterms:W3CDTF">2022-03-30T20:18:00Z</dcterms:modified>
</cp:coreProperties>
</file>