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6C1E" w14:textId="38C9A6B3" w:rsidR="00EF48D3" w:rsidRPr="008D4BCC" w:rsidRDefault="00987219" w:rsidP="002F6D3D">
      <w:pPr>
        <w:spacing w:before="0" w:after="0"/>
        <w:rPr>
          <w:rFonts w:cs="Arial"/>
        </w:rPr>
      </w:pPr>
      <w:r>
        <w:rPr>
          <w:rFonts w:cs="Arial"/>
        </w:rPr>
        <w:t>C</w:t>
      </w:r>
      <w:r w:rsidR="002D6EC8" w:rsidRPr="008D4BCC">
        <w:rPr>
          <w:rFonts w:cs="Arial"/>
        </w:rPr>
        <w:t>alifornia Department of Education</w:t>
      </w:r>
      <w:r w:rsidR="00147394" w:rsidRPr="008D4BCC">
        <w:rPr>
          <w:rFonts w:cs="Arial"/>
        </w:rPr>
        <w:br/>
      </w:r>
      <w:r w:rsidR="002D6EC8" w:rsidRPr="008D4BCC">
        <w:rPr>
          <w:rFonts w:cs="Arial"/>
        </w:rPr>
        <w:t>Charter Schools Division</w:t>
      </w:r>
      <w:r w:rsidR="00147394" w:rsidRPr="008D4BCC">
        <w:rPr>
          <w:rFonts w:cs="Arial"/>
        </w:rPr>
        <w:br/>
      </w:r>
      <w:r w:rsidR="00F77C0B" w:rsidRPr="008D4BCC">
        <w:rPr>
          <w:rFonts w:cs="Arial"/>
        </w:rPr>
        <w:t xml:space="preserve">Revised </w:t>
      </w:r>
      <w:r w:rsidR="00770060" w:rsidRPr="008D4BCC">
        <w:rPr>
          <w:rFonts w:cs="Arial"/>
        </w:rPr>
        <w:t>05</w:t>
      </w:r>
      <w:r w:rsidR="00443B1F" w:rsidRPr="008D4BCC">
        <w:rPr>
          <w:rFonts w:cs="Arial"/>
        </w:rPr>
        <w:t>/20</w:t>
      </w:r>
      <w:r w:rsidR="00770060" w:rsidRPr="008D4BCC">
        <w:rPr>
          <w:rFonts w:cs="Arial"/>
        </w:rPr>
        <w:t>20</w:t>
      </w:r>
      <w:r w:rsidR="00147394" w:rsidRPr="008D4BCC">
        <w:rPr>
          <w:rFonts w:cs="Arial"/>
        </w:rPr>
        <w:br/>
      </w:r>
      <w:r w:rsidR="0055266E" w:rsidRPr="008D4BCC">
        <w:rPr>
          <w:rFonts w:cs="Arial"/>
        </w:rPr>
        <w:t>a</w:t>
      </w:r>
      <w:r w:rsidR="002D6EC8" w:rsidRPr="008D4BCC">
        <w:rPr>
          <w:rFonts w:cs="Arial"/>
        </w:rPr>
        <w:t>ccs-</w:t>
      </w:r>
      <w:r w:rsidR="00D65052">
        <w:rPr>
          <w:rFonts w:cs="Arial"/>
        </w:rPr>
        <w:t>apr</w:t>
      </w:r>
      <w:r w:rsidR="00E5519D" w:rsidRPr="008D4BCC">
        <w:rPr>
          <w:rFonts w:cs="Arial"/>
        </w:rPr>
        <w:t>2</w:t>
      </w:r>
      <w:r w:rsidR="00D65052">
        <w:rPr>
          <w:rFonts w:cs="Arial"/>
        </w:rPr>
        <w:t>3</w:t>
      </w:r>
      <w:r w:rsidR="002D6EC8" w:rsidRPr="008D4BCC">
        <w:rPr>
          <w:rFonts w:cs="Arial"/>
        </w:rPr>
        <w:t>item</w:t>
      </w:r>
      <w:r w:rsidR="00321BD7">
        <w:rPr>
          <w:rFonts w:cs="Arial"/>
        </w:rPr>
        <w:t>04</w:t>
      </w:r>
    </w:p>
    <w:p w14:paraId="45C6745E" w14:textId="77777777" w:rsidR="00050515" w:rsidRPr="008D4BCC" w:rsidRDefault="00050515" w:rsidP="00C313F8">
      <w:pPr>
        <w:pStyle w:val="NoSpacing"/>
        <w:spacing w:before="480"/>
        <w:jc w:val="center"/>
        <w:rPr>
          <w:b/>
          <w:sz w:val="32"/>
          <w:szCs w:val="32"/>
        </w:rPr>
      </w:pPr>
      <w:r w:rsidRPr="008D4BCC">
        <w:rPr>
          <w:b/>
          <w:sz w:val="32"/>
          <w:szCs w:val="32"/>
        </w:rPr>
        <w:t>ADVISORY COMMISSION ON CHARTER SCHOOLS</w:t>
      </w:r>
    </w:p>
    <w:p w14:paraId="696B2033" w14:textId="77777777" w:rsidR="00050515" w:rsidRPr="008D4BCC" w:rsidRDefault="00050515" w:rsidP="00BA695B">
      <w:pPr>
        <w:spacing w:before="0"/>
        <w:jc w:val="center"/>
      </w:pPr>
      <w:r w:rsidRPr="008D4BCC">
        <w:t>AN ADVISORY BODY TO THE STATE BOARD OF EDUCATION</w:t>
      </w:r>
    </w:p>
    <w:p w14:paraId="4DBF2D80" w14:textId="79F3D7F9" w:rsidR="00050515" w:rsidRPr="008D4BCC" w:rsidRDefault="00B744C2" w:rsidP="00147394">
      <w:pPr>
        <w:pStyle w:val="Heading1"/>
      </w:pPr>
      <w:r>
        <w:t>April</w:t>
      </w:r>
      <w:r w:rsidR="00E5519D" w:rsidRPr="008D4BCC">
        <w:t xml:space="preserve"> 202</w:t>
      </w:r>
      <w:r>
        <w:t>3</w:t>
      </w:r>
      <w:r w:rsidR="00050515" w:rsidRPr="008D4BCC">
        <w:t xml:space="preserve"> Agenda</w:t>
      </w:r>
      <w:r w:rsidR="00147394" w:rsidRPr="008D4BCC">
        <w:br/>
      </w:r>
      <w:r w:rsidR="00050515" w:rsidRPr="008D4BCC">
        <w:t>Item #</w:t>
      </w:r>
      <w:r w:rsidR="00321BD7">
        <w:t>04</w:t>
      </w:r>
    </w:p>
    <w:p w14:paraId="3A4173B2" w14:textId="77777777" w:rsidR="00FC1FCE" w:rsidRPr="008D4BCC" w:rsidRDefault="00FC1FCE" w:rsidP="00602386">
      <w:pPr>
        <w:pStyle w:val="Heading2"/>
      </w:pPr>
      <w:r w:rsidRPr="008D4BCC">
        <w:t>Subject</w:t>
      </w:r>
    </w:p>
    <w:p w14:paraId="7C005897" w14:textId="72FC63B6" w:rsidR="00E5519D" w:rsidRPr="008D4BCC" w:rsidRDefault="009A2A1E" w:rsidP="00E5519D">
      <w:pPr>
        <w:rPr>
          <w:rFonts w:ascii="Calibri" w:hAnsi="Calibri"/>
          <w:sz w:val="22"/>
          <w:szCs w:val="22"/>
        </w:rPr>
      </w:pPr>
      <w:r>
        <w:rPr>
          <w:rFonts w:cs="Arial"/>
        </w:rPr>
        <w:t>T.I.M.E. Community</w:t>
      </w:r>
      <w:r w:rsidR="00E5519D" w:rsidRPr="008D4BCC">
        <w:t xml:space="preserve">: Consider Evidence Regarding a Notice of Violation Issued by the California State Board of Education, pursuant to California </w:t>
      </w:r>
      <w:r w:rsidR="00E5519D" w:rsidRPr="008D4BCC">
        <w:rPr>
          <w:i/>
        </w:rPr>
        <w:t xml:space="preserve">Education Code </w:t>
      </w:r>
      <w:r w:rsidR="00E5519D" w:rsidRPr="008D4BCC">
        <w:t>Section 47607(g)</w:t>
      </w:r>
      <w:r w:rsidR="00463432" w:rsidRPr="008D4BCC">
        <w:t xml:space="preserve">, and </w:t>
      </w:r>
      <w:r w:rsidR="00B8146E" w:rsidRPr="008D4BCC">
        <w:t>Propos</w:t>
      </w:r>
      <w:r w:rsidR="00463432" w:rsidRPr="008D4BCC">
        <w:t>e</w:t>
      </w:r>
      <w:r w:rsidR="00B8146E" w:rsidRPr="008D4BCC">
        <w:t xml:space="preserve"> that the California State Board of Education Issue a Notice of Intent to Revoke with Notice of Facts, pursuant to California </w:t>
      </w:r>
      <w:r w:rsidR="00B8146E" w:rsidRPr="008D4BCC">
        <w:rPr>
          <w:i/>
        </w:rPr>
        <w:t>Education Code</w:t>
      </w:r>
      <w:r w:rsidR="00B8146E" w:rsidRPr="008D4BCC">
        <w:t xml:space="preserve"> Section 47607(h)</w:t>
      </w:r>
      <w:r w:rsidR="003B0BC3">
        <w:t>.</w:t>
      </w:r>
    </w:p>
    <w:p w14:paraId="34538C65" w14:textId="77777777" w:rsidR="00FC1FCE" w:rsidRPr="008D4BCC" w:rsidRDefault="00FC1FCE" w:rsidP="00602386">
      <w:pPr>
        <w:pStyle w:val="Heading2"/>
      </w:pPr>
      <w:r w:rsidRPr="008D4BCC">
        <w:t>Type of Action</w:t>
      </w:r>
    </w:p>
    <w:p w14:paraId="043DDC22" w14:textId="77777777" w:rsidR="0091117B" w:rsidRPr="008D4BCC" w:rsidRDefault="008909EE" w:rsidP="00025553">
      <w:r w:rsidRPr="008D4BCC">
        <w:t>Action, Information</w:t>
      </w:r>
    </w:p>
    <w:p w14:paraId="5432A4DF" w14:textId="77777777" w:rsidR="00FC1FCE" w:rsidRPr="008D4BCC" w:rsidRDefault="00443B1F" w:rsidP="00602386">
      <w:pPr>
        <w:pStyle w:val="Heading2"/>
      </w:pPr>
      <w:r w:rsidRPr="008D4BCC">
        <w:t>Summary of the Issue</w:t>
      </w:r>
    </w:p>
    <w:p w14:paraId="35EBD268" w14:textId="07E721F8" w:rsidR="00063DAB" w:rsidRPr="008D4BCC" w:rsidRDefault="00063DAB" w:rsidP="00063DAB">
      <w:pPr>
        <w:rPr>
          <w:rFonts w:cs="Arial"/>
        </w:rPr>
      </w:pPr>
      <w:r w:rsidRPr="008D4BCC">
        <w:rPr>
          <w:rFonts w:cs="Arial"/>
        </w:rPr>
        <w:t xml:space="preserve">California </w:t>
      </w:r>
      <w:r w:rsidRPr="008D4BCC">
        <w:rPr>
          <w:rFonts w:cs="Arial"/>
          <w:i/>
        </w:rPr>
        <w:t xml:space="preserve">Education Code </w:t>
      </w:r>
      <w:r w:rsidRPr="008D4BCC">
        <w:rPr>
          <w:rFonts w:cs="Arial"/>
        </w:rPr>
        <w:t>(</w:t>
      </w:r>
      <w:r w:rsidRPr="008D4BCC">
        <w:rPr>
          <w:rFonts w:cs="Arial"/>
          <w:i/>
        </w:rPr>
        <w:t>EC</w:t>
      </w:r>
      <w:r w:rsidRPr="008D4BCC">
        <w:rPr>
          <w:rFonts w:cs="Arial"/>
        </w:rPr>
        <w:t xml:space="preserve">) Section 47607(f) states that a charter may be revoked </w:t>
      </w:r>
      <w:r w:rsidR="00DB541A" w:rsidRPr="008D4BCC">
        <w:rPr>
          <w:rFonts w:cs="Arial"/>
        </w:rPr>
        <w:t>b</w:t>
      </w:r>
      <w:r w:rsidRPr="008D4BCC">
        <w:rPr>
          <w:rFonts w:cs="Arial"/>
        </w:rPr>
        <w:t>y the authority that granted the charter if the authority finds, through a showing of substantial evidence, that the charter school did any of the following:</w:t>
      </w:r>
    </w:p>
    <w:p w14:paraId="32F3BFFE" w14:textId="77777777" w:rsidR="00063DAB" w:rsidRPr="008D4BCC" w:rsidRDefault="00063DAB" w:rsidP="00063DAB">
      <w:pPr>
        <w:pStyle w:val="ListParagraph"/>
        <w:numPr>
          <w:ilvl w:val="0"/>
          <w:numId w:val="14"/>
        </w:numPr>
        <w:spacing w:before="0"/>
        <w:rPr>
          <w:rFonts w:cs="Arial"/>
        </w:rPr>
      </w:pPr>
      <w:r w:rsidRPr="008D4BCC">
        <w:rPr>
          <w:rFonts w:cs="Arial"/>
        </w:rPr>
        <w:t>Committed a material violation of any of the conditions, standards, or procedures set forth in the charter.</w:t>
      </w:r>
    </w:p>
    <w:p w14:paraId="4C192F71" w14:textId="77777777" w:rsidR="00063DAB" w:rsidRPr="008D4BCC" w:rsidRDefault="00063DAB" w:rsidP="00063DAB">
      <w:pPr>
        <w:pStyle w:val="ListParagraph"/>
        <w:numPr>
          <w:ilvl w:val="0"/>
          <w:numId w:val="14"/>
        </w:numPr>
        <w:spacing w:before="0"/>
        <w:rPr>
          <w:rFonts w:cs="Arial"/>
        </w:rPr>
      </w:pPr>
      <w:r w:rsidRPr="008D4BCC">
        <w:rPr>
          <w:rFonts w:cs="Arial"/>
        </w:rPr>
        <w:t>Failed to meet or pursue any of the pupil outcomes identified in the charter.</w:t>
      </w:r>
    </w:p>
    <w:p w14:paraId="7D3DD66B" w14:textId="77777777" w:rsidR="00063DAB" w:rsidRPr="008D4BCC" w:rsidRDefault="00063DAB" w:rsidP="00063DAB">
      <w:pPr>
        <w:numPr>
          <w:ilvl w:val="0"/>
          <w:numId w:val="14"/>
        </w:numPr>
        <w:spacing w:before="0"/>
        <w:rPr>
          <w:rFonts w:cs="Arial"/>
        </w:rPr>
      </w:pPr>
      <w:r w:rsidRPr="008D4BCC">
        <w:rPr>
          <w:rFonts w:cs="Arial"/>
        </w:rPr>
        <w:t>Failed to meet generally accepted accounting principles, or engaged in fiscal mismanagement.</w:t>
      </w:r>
    </w:p>
    <w:p w14:paraId="4857B4F1" w14:textId="48550BE5" w:rsidR="00063DAB" w:rsidRPr="008D4BCC" w:rsidRDefault="00063DAB" w:rsidP="00063DAB">
      <w:pPr>
        <w:numPr>
          <w:ilvl w:val="0"/>
          <w:numId w:val="14"/>
        </w:numPr>
        <w:spacing w:before="0"/>
        <w:rPr>
          <w:rFonts w:cs="Arial"/>
        </w:rPr>
      </w:pPr>
      <w:r w:rsidRPr="008D4BCC">
        <w:rPr>
          <w:rFonts w:cs="Arial"/>
        </w:rPr>
        <w:t>Violated any law.</w:t>
      </w:r>
    </w:p>
    <w:p w14:paraId="67C554F2" w14:textId="5A7E1779" w:rsidR="000E5E40" w:rsidRPr="008D4BCC" w:rsidRDefault="007822D7" w:rsidP="00793E1F">
      <w:pPr>
        <w:spacing w:before="0"/>
        <w:rPr>
          <w:rFonts w:cs="Arial"/>
        </w:rPr>
      </w:pPr>
      <w:r>
        <w:rPr>
          <w:rFonts w:cs="Arial"/>
        </w:rPr>
        <w:t xml:space="preserve">The California Department of Education (CDE) and Los Angeles County Office of Education (LACOE) </w:t>
      </w:r>
      <w:r w:rsidR="00FD2009">
        <w:rPr>
          <w:rFonts w:cs="Arial"/>
        </w:rPr>
        <w:t xml:space="preserve">find that </w:t>
      </w:r>
      <w:r>
        <w:rPr>
          <w:rFonts w:cs="Arial"/>
        </w:rPr>
        <w:t xml:space="preserve">there is substantial evidence that demonstrates that T.I.M.E. (Teamwork, Individualization, Mastery, and Extension) Community (T.I.M.E.), a California State Board of Education (SBE)-authorized charter </w:t>
      </w:r>
      <w:r w:rsidRPr="00572215">
        <w:rPr>
          <w:rFonts w:cs="Arial"/>
        </w:rPr>
        <w:t xml:space="preserve">school, </w:t>
      </w:r>
      <w:r>
        <w:rPr>
          <w:rFonts w:cs="Arial"/>
        </w:rPr>
        <w:t xml:space="preserve">has </w:t>
      </w:r>
      <w:r w:rsidR="00FD2009">
        <w:rPr>
          <w:rFonts w:cs="Arial"/>
        </w:rPr>
        <w:t xml:space="preserve">failed to meet generally accepted accounting principles and has engaged in fiscal mismanagement, pursuant to </w:t>
      </w:r>
      <w:r w:rsidR="00FD2009">
        <w:rPr>
          <w:rFonts w:cs="Arial"/>
          <w:i/>
        </w:rPr>
        <w:t xml:space="preserve">EC </w:t>
      </w:r>
      <w:r w:rsidR="00FD2009">
        <w:rPr>
          <w:rFonts w:cs="Arial"/>
        </w:rPr>
        <w:t xml:space="preserve">Section 47607(f)(3). Specifically, the CDE and LACOE find that T.I.M.E. has utilized </w:t>
      </w:r>
      <w:r w:rsidR="00FD2009" w:rsidRPr="009A707B">
        <w:rPr>
          <w:rFonts w:cs="Arial"/>
        </w:rPr>
        <w:t xml:space="preserve">unrealistic enrollment and average daily attendance (ADA) projections, resulting in </w:t>
      </w:r>
      <w:r w:rsidR="00FD2009">
        <w:rPr>
          <w:rFonts w:cs="Arial"/>
        </w:rPr>
        <w:t>projected revenues insufficient to meet its immediate and future operational expenses and financial commitments.</w:t>
      </w:r>
    </w:p>
    <w:p w14:paraId="1858A820" w14:textId="7DDC70DE" w:rsidR="00E5519D" w:rsidRPr="008D4BCC" w:rsidRDefault="00063DAB" w:rsidP="00E5519D">
      <w:pPr>
        <w:rPr>
          <w:rFonts w:cs="Arial"/>
        </w:rPr>
      </w:pPr>
      <w:r w:rsidRPr="008D4BCC">
        <w:rPr>
          <w:rFonts w:cs="Arial"/>
        </w:rPr>
        <w:lastRenderedPageBreak/>
        <w:t xml:space="preserve">Pursuant to </w:t>
      </w:r>
      <w:r w:rsidRPr="008D4BCC">
        <w:rPr>
          <w:rFonts w:cs="Arial"/>
          <w:i/>
        </w:rPr>
        <w:t>EC</w:t>
      </w:r>
      <w:r w:rsidRPr="008D4BCC">
        <w:rPr>
          <w:rFonts w:cs="Arial"/>
        </w:rPr>
        <w:t xml:space="preserve"> Section 47607(g), the authority that granted the charter petition shall notify the charter school of any violation and provide the school a reasonable opportunity to remedy the violation. </w:t>
      </w:r>
      <w:r w:rsidR="00E5519D" w:rsidRPr="008D4BCC">
        <w:rPr>
          <w:rFonts w:cs="Arial"/>
        </w:rPr>
        <w:t xml:space="preserve">On </w:t>
      </w:r>
      <w:r w:rsidR="00F33BF2">
        <w:rPr>
          <w:rFonts w:cs="Arial"/>
        </w:rPr>
        <w:t>March</w:t>
      </w:r>
      <w:r w:rsidR="00E5519D" w:rsidRPr="008D4BCC">
        <w:rPr>
          <w:rFonts w:cs="Arial"/>
        </w:rPr>
        <w:t xml:space="preserve"> </w:t>
      </w:r>
      <w:r w:rsidR="00F33BF2">
        <w:rPr>
          <w:rFonts w:cs="Arial"/>
        </w:rPr>
        <w:t>9</w:t>
      </w:r>
      <w:r w:rsidR="00E5519D" w:rsidRPr="008D4BCC">
        <w:rPr>
          <w:rFonts w:cs="Arial"/>
        </w:rPr>
        <w:t>, 202</w:t>
      </w:r>
      <w:r w:rsidR="00F33BF2">
        <w:rPr>
          <w:rFonts w:cs="Arial"/>
        </w:rPr>
        <w:t>3</w:t>
      </w:r>
      <w:r w:rsidR="00E5519D" w:rsidRPr="008D4BCC">
        <w:rPr>
          <w:rFonts w:cs="Arial"/>
        </w:rPr>
        <w:t xml:space="preserve">, the SBE </w:t>
      </w:r>
      <w:r w:rsidR="006064B9" w:rsidRPr="008D4BCC">
        <w:rPr>
          <w:rFonts w:cs="Arial"/>
        </w:rPr>
        <w:t>issued a Notice of Violation</w:t>
      </w:r>
      <w:r w:rsidR="000D6CF6" w:rsidRPr="008D4BCC">
        <w:rPr>
          <w:rFonts w:cs="Arial"/>
        </w:rPr>
        <w:t xml:space="preserve"> </w:t>
      </w:r>
      <w:r w:rsidR="006064B9" w:rsidRPr="008D4BCC">
        <w:rPr>
          <w:rFonts w:cs="Arial"/>
        </w:rPr>
        <w:t xml:space="preserve">to </w:t>
      </w:r>
      <w:r w:rsidR="00AF5589">
        <w:rPr>
          <w:rFonts w:cs="Arial"/>
        </w:rPr>
        <w:t>T.I.M.E.</w:t>
      </w:r>
      <w:r w:rsidR="006064B9" w:rsidRPr="008D4BCC">
        <w:rPr>
          <w:rFonts w:cs="Arial"/>
        </w:rPr>
        <w:t xml:space="preserve"> </w:t>
      </w:r>
      <w:r w:rsidR="00FD2009" w:rsidRPr="008D4BCC">
        <w:rPr>
          <w:rFonts w:cs="Arial"/>
        </w:rPr>
        <w:t>(</w:t>
      </w:r>
      <w:r w:rsidR="00FD2009" w:rsidRPr="00B15DE7">
        <w:rPr>
          <w:rFonts w:cs="Arial"/>
        </w:rPr>
        <w:t xml:space="preserve">Attachment </w:t>
      </w:r>
      <w:r w:rsidR="00843D88">
        <w:rPr>
          <w:rFonts w:cs="Arial"/>
        </w:rPr>
        <w:t>1</w:t>
      </w:r>
      <w:r w:rsidR="00FD2009" w:rsidRPr="00F96B5B">
        <w:rPr>
          <w:rFonts w:cs="Arial"/>
        </w:rPr>
        <w:t>)</w:t>
      </w:r>
      <w:r w:rsidR="00FD2009" w:rsidRPr="008D4BCC">
        <w:rPr>
          <w:rFonts w:cs="Arial"/>
        </w:rPr>
        <w:t xml:space="preserve"> </w:t>
      </w:r>
      <w:r w:rsidR="00E5519D" w:rsidRPr="008D4BCC">
        <w:rPr>
          <w:rFonts w:cs="Arial"/>
        </w:rPr>
        <w:t xml:space="preserve">and provided the school a reasonable opportunity to remedy the violation, pursuant to </w:t>
      </w:r>
      <w:r w:rsidR="00E5519D" w:rsidRPr="008D4BCC">
        <w:rPr>
          <w:rFonts w:cs="Arial"/>
          <w:i/>
        </w:rPr>
        <w:t xml:space="preserve">EC </w:t>
      </w:r>
      <w:r w:rsidR="00E5519D" w:rsidRPr="008D4BCC">
        <w:rPr>
          <w:rFonts w:cs="Arial"/>
        </w:rPr>
        <w:t>Section 47607(g).</w:t>
      </w:r>
      <w:r w:rsidR="006064B9" w:rsidRPr="008D4BCC">
        <w:rPr>
          <w:rFonts w:cs="Arial"/>
        </w:rPr>
        <w:t xml:space="preserve"> </w:t>
      </w:r>
      <w:r w:rsidR="00B15DE7">
        <w:rPr>
          <w:rFonts w:cs="Arial"/>
        </w:rPr>
        <w:t xml:space="preserve">The CDE and LACOE requested that </w:t>
      </w:r>
      <w:r w:rsidR="00B637C7">
        <w:rPr>
          <w:rFonts w:cs="Arial"/>
        </w:rPr>
        <w:t xml:space="preserve">T.I.M.E. </w:t>
      </w:r>
      <w:r w:rsidR="006064B9" w:rsidRPr="008D4BCC">
        <w:rPr>
          <w:rFonts w:cs="Arial"/>
        </w:rPr>
        <w:t xml:space="preserve">provide a written response and supporting evidence that addressed all violations outlined in the notice by </w:t>
      </w:r>
      <w:r w:rsidR="00B637C7">
        <w:rPr>
          <w:rFonts w:cs="Arial"/>
        </w:rPr>
        <w:t xml:space="preserve">March </w:t>
      </w:r>
      <w:r w:rsidR="00DB55BE">
        <w:rPr>
          <w:rFonts w:cs="Arial"/>
        </w:rPr>
        <w:t>23</w:t>
      </w:r>
      <w:r w:rsidR="00B637C7">
        <w:rPr>
          <w:rFonts w:cs="Arial"/>
        </w:rPr>
        <w:t>,</w:t>
      </w:r>
      <w:r w:rsidR="006064B9" w:rsidRPr="008D4BCC">
        <w:rPr>
          <w:rFonts w:cs="Arial"/>
        </w:rPr>
        <w:t xml:space="preserve"> 202</w:t>
      </w:r>
      <w:r w:rsidR="00B637C7">
        <w:rPr>
          <w:rFonts w:cs="Arial"/>
        </w:rPr>
        <w:t>3</w:t>
      </w:r>
      <w:r w:rsidR="006064B9" w:rsidRPr="008D4BCC">
        <w:rPr>
          <w:rFonts w:cs="Arial"/>
        </w:rPr>
        <w:t>.</w:t>
      </w:r>
    </w:p>
    <w:p w14:paraId="1C368FCC" w14:textId="01B63772" w:rsidR="006064B9" w:rsidRPr="008D4BCC" w:rsidRDefault="003E2353" w:rsidP="00E5519D">
      <w:pPr>
        <w:rPr>
          <w:rFonts w:cs="Arial"/>
        </w:rPr>
      </w:pPr>
      <w:r w:rsidRPr="003E2353">
        <w:rPr>
          <w:rFonts w:cs="Arial"/>
        </w:rPr>
        <w:t xml:space="preserve">T.I.M.E. </w:t>
      </w:r>
      <w:r w:rsidR="00E823EA">
        <w:rPr>
          <w:rFonts w:cs="Arial"/>
        </w:rPr>
        <w:t xml:space="preserve">provided its response </w:t>
      </w:r>
      <w:r w:rsidRPr="003E2353">
        <w:rPr>
          <w:rFonts w:cs="Arial"/>
        </w:rPr>
        <w:t>to the Notice of Violation ("T.I.M.E.'s Response")</w:t>
      </w:r>
      <w:r w:rsidR="00A3385D">
        <w:rPr>
          <w:rFonts w:cs="Arial"/>
        </w:rPr>
        <w:t xml:space="preserve"> and</w:t>
      </w:r>
      <w:r w:rsidR="00861E07">
        <w:rPr>
          <w:rFonts w:cs="Arial"/>
        </w:rPr>
        <w:t xml:space="preserve"> a Fiscal Stability Plan</w:t>
      </w:r>
      <w:r w:rsidR="00E823EA">
        <w:rPr>
          <w:rFonts w:cs="Arial"/>
        </w:rPr>
        <w:t xml:space="preserve"> to the CDE on March 24, 2023. Both documents</w:t>
      </w:r>
      <w:r>
        <w:rPr>
          <w:rFonts w:cs="Arial"/>
        </w:rPr>
        <w:t xml:space="preserve"> </w:t>
      </w:r>
      <w:r w:rsidR="00C3215D">
        <w:rPr>
          <w:rFonts w:cs="Arial"/>
        </w:rPr>
        <w:t>are</w:t>
      </w:r>
      <w:r w:rsidR="005604DC">
        <w:rPr>
          <w:rFonts w:cs="Arial"/>
        </w:rPr>
        <w:t xml:space="preserve"> provided</w:t>
      </w:r>
      <w:r w:rsidRPr="003E2353">
        <w:rPr>
          <w:rFonts w:cs="Arial"/>
        </w:rPr>
        <w:t xml:space="preserve"> as Attachment </w:t>
      </w:r>
      <w:r w:rsidR="00E00B7F">
        <w:rPr>
          <w:rFonts w:cs="Arial"/>
        </w:rPr>
        <w:t>2</w:t>
      </w:r>
      <w:r w:rsidRPr="003E2353">
        <w:rPr>
          <w:rFonts w:cs="Arial"/>
        </w:rPr>
        <w:t>.</w:t>
      </w:r>
    </w:p>
    <w:p w14:paraId="7437331D" w14:textId="2761AC13" w:rsidR="003E4DF7" w:rsidRPr="008D4BCC" w:rsidRDefault="002D6EC8" w:rsidP="00602386">
      <w:pPr>
        <w:pStyle w:val="Heading2"/>
      </w:pPr>
      <w:r w:rsidRPr="008D4BCC">
        <w:t xml:space="preserve">Proposed </w:t>
      </w:r>
      <w:r w:rsidR="003E4DF7" w:rsidRPr="008D4BCC">
        <w:t>Recommendation</w:t>
      </w:r>
    </w:p>
    <w:p w14:paraId="24F33C94" w14:textId="6A2A29C1" w:rsidR="009A707B" w:rsidRDefault="00F12420" w:rsidP="009A707B">
      <w:pPr>
        <w:rPr>
          <w:rFonts w:cs="Arial"/>
        </w:rPr>
      </w:pPr>
      <w:r>
        <w:rPr>
          <w:rFonts w:cs="Arial"/>
        </w:rPr>
        <w:t xml:space="preserve">T.I.M.E. </w:t>
      </w:r>
      <w:r w:rsidR="00E107AA" w:rsidRPr="00345DB2">
        <w:rPr>
          <w:rFonts w:cs="Arial"/>
        </w:rPr>
        <w:t xml:space="preserve">has failed to </w:t>
      </w:r>
      <w:r w:rsidR="00345DB2">
        <w:rPr>
          <w:rFonts w:cs="Arial"/>
        </w:rPr>
        <w:t xml:space="preserve">adequately </w:t>
      </w:r>
      <w:r w:rsidR="00E107AA" w:rsidRPr="00345DB2">
        <w:rPr>
          <w:rFonts w:cs="Arial"/>
        </w:rPr>
        <w:t xml:space="preserve">refute, remedy, or propose to remedy the violations </w:t>
      </w:r>
      <w:r w:rsidR="00E823EA">
        <w:rPr>
          <w:rFonts w:cs="Arial"/>
        </w:rPr>
        <w:t>outlined</w:t>
      </w:r>
      <w:r w:rsidR="00E107AA" w:rsidRPr="00345DB2">
        <w:rPr>
          <w:rFonts w:cs="Arial"/>
        </w:rPr>
        <w:t xml:space="preserve"> in the Notice of Violation</w:t>
      </w:r>
      <w:r w:rsidR="00FD2009">
        <w:rPr>
          <w:rFonts w:cs="Arial"/>
        </w:rPr>
        <w:t xml:space="preserve"> that was issued to the school by the SBE </w:t>
      </w:r>
      <w:r w:rsidR="004F44C6">
        <w:rPr>
          <w:rFonts w:cs="Arial"/>
        </w:rPr>
        <w:t>on</w:t>
      </w:r>
      <w:r w:rsidR="00FD2009">
        <w:rPr>
          <w:rFonts w:cs="Arial"/>
        </w:rPr>
        <w:t xml:space="preserve"> </w:t>
      </w:r>
      <w:r w:rsidR="00FC5333">
        <w:rPr>
          <w:rFonts w:cs="Arial"/>
        </w:rPr>
        <w:br/>
      </w:r>
      <w:r w:rsidR="00FD2009">
        <w:rPr>
          <w:rFonts w:cs="Arial"/>
        </w:rPr>
        <w:t>March 9, 2023</w:t>
      </w:r>
      <w:r w:rsidR="004F44C6">
        <w:rPr>
          <w:rFonts w:cs="Arial"/>
        </w:rPr>
        <w:t>. Therefore</w:t>
      </w:r>
      <w:r w:rsidR="009B12CD">
        <w:rPr>
          <w:rFonts w:cs="Arial"/>
        </w:rPr>
        <w:t xml:space="preserve">, </w:t>
      </w:r>
      <w:r w:rsidR="00E107AA" w:rsidRPr="008D4BCC">
        <w:rPr>
          <w:rFonts w:cs="Arial"/>
        </w:rPr>
        <w:t>t</w:t>
      </w:r>
      <w:r w:rsidR="00E5519D" w:rsidRPr="008D4BCC">
        <w:rPr>
          <w:rFonts w:cs="Arial"/>
        </w:rPr>
        <w:t xml:space="preserve">he CDE </w:t>
      </w:r>
      <w:r w:rsidR="000D6CF6" w:rsidRPr="008D4BCC">
        <w:rPr>
          <w:rFonts w:cs="Arial"/>
        </w:rPr>
        <w:t>proposes to recommend that the SBE</w:t>
      </w:r>
      <w:r w:rsidR="00E107AA" w:rsidRPr="008D4BCC">
        <w:rPr>
          <w:rFonts w:cs="Arial"/>
        </w:rPr>
        <w:t xml:space="preserve"> </w:t>
      </w:r>
      <w:r w:rsidR="000D6CF6" w:rsidRPr="008D4BCC">
        <w:rPr>
          <w:rFonts w:cs="Arial"/>
        </w:rPr>
        <w:t xml:space="preserve">issue </w:t>
      </w:r>
      <w:r w:rsidR="00E5519D" w:rsidRPr="008D4BCC">
        <w:rPr>
          <w:rFonts w:cs="Arial"/>
        </w:rPr>
        <w:t xml:space="preserve">a Notice of Intent to Revoke with Notice of Facts to </w:t>
      </w:r>
      <w:r>
        <w:rPr>
          <w:rFonts w:cs="Arial"/>
        </w:rPr>
        <w:t>T.I.M.E.</w:t>
      </w:r>
      <w:r w:rsidR="00845874">
        <w:rPr>
          <w:rFonts w:cs="Arial"/>
        </w:rPr>
        <w:t>,</w:t>
      </w:r>
      <w:r w:rsidR="00E5519D" w:rsidRPr="008D4BCC">
        <w:rPr>
          <w:rFonts w:cs="Arial"/>
        </w:rPr>
        <w:t xml:space="preserve"> pursuant to </w:t>
      </w:r>
      <w:r w:rsidR="00E5519D" w:rsidRPr="008D4BCC">
        <w:rPr>
          <w:rFonts w:cs="Arial"/>
          <w:i/>
        </w:rPr>
        <w:t xml:space="preserve">EC </w:t>
      </w:r>
      <w:r w:rsidR="00E5519D" w:rsidRPr="008D4BCC">
        <w:rPr>
          <w:rFonts w:cs="Arial"/>
        </w:rPr>
        <w:t>Section 47607(</w:t>
      </w:r>
      <w:r w:rsidR="006064B9" w:rsidRPr="008D4BCC">
        <w:rPr>
          <w:rFonts w:cs="Arial"/>
        </w:rPr>
        <w:t>h</w:t>
      </w:r>
      <w:r w:rsidR="00E5519D" w:rsidRPr="008D4BCC">
        <w:rPr>
          <w:rFonts w:cs="Arial"/>
        </w:rPr>
        <w:t>)</w:t>
      </w:r>
      <w:r w:rsidR="00E107AA" w:rsidRPr="008D4BCC">
        <w:rPr>
          <w:rFonts w:cs="Arial"/>
        </w:rPr>
        <w:t xml:space="preserve">, at its </w:t>
      </w:r>
      <w:r>
        <w:rPr>
          <w:rFonts w:cs="Arial"/>
        </w:rPr>
        <w:t>May</w:t>
      </w:r>
      <w:r w:rsidR="00E107AA" w:rsidRPr="008D4BCC">
        <w:rPr>
          <w:rFonts w:cs="Arial"/>
        </w:rPr>
        <w:t xml:space="preserve"> </w:t>
      </w:r>
      <w:r w:rsidR="00E823EA">
        <w:rPr>
          <w:rFonts w:cs="Arial"/>
        </w:rPr>
        <w:t>18</w:t>
      </w:r>
      <w:r w:rsidR="00E107AA" w:rsidRPr="008D4BCC">
        <w:rPr>
          <w:rFonts w:cs="Arial"/>
        </w:rPr>
        <w:t>–</w:t>
      </w:r>
      <w:r w:rsidR="00E823EA">
        <w:rPr>
          <w:rFonts w:cs="Arial"/>
        </w:rPr>
        <w:t>19</w:t>
      </w:r>
      <w:r w:rsidR="00E107AA" w:rsidRPr="008D4BCC">
        <w:rPr>
          <w:rFonts w:cs="Arial"/>
        </w:rPr>
        <w:t>, 202</w:t>
      </w:r>
      <w:r>
        <w:rPr>
          <w:rFonts w:cs="Arial"/>
        </w:rPr>
        <w:t>3</w:t>
      </w:r>
      <w:r w:rsidR="00E57406" w:rsidRPr="008D4BCC">
        <w:rPr>
          <w:rFonts w:cs="Arial"/>
        </w:rPr>
        <w:t>,</w:t>
      </w:r>
      <w:r w:rsidR="00E107AA" w:rsidRPr="008D4BCC">
        <w:rPr>
          <w:rFonts w:cs="Arial"/>
        </w:rPr>
        <w:t xml:space="preserve"> meeting</w:t>
      </w:r>
      <w:r w:rsidR="00E5519D" w:rsidRPr="008D4BCC">
        <w:rPr>
          <w:rFonts w:cs="Arial"/>
        </w:rPr>
        <w:t>.</w:t>
      </w:r>
    </w:p>
    <w:p w14:paraId="6C20BBFA" w14:textId="69BD4FEB" w:rsidR="00E5519D" w:rsidRPr="008D4BCC" w:rsidRDefault="00070F39" w:rsidP="00602386">
      <w:pPr>
        <w:pStyle w:val="Heading2"/>
      </w:pPr>
      <w:r>
        <w:t>School Information</w:t>
      </w:r>
    </w:p>
    <w:p w14:paraId="7BE8AC61" w14:textId="0193C52A" w:rsidR="00EA6E7B" w:rsidRDefault="00EA6E7B" w:rsidP="00EA6E7B">
      <w:r>
        <w:t xml:space="preserve">On July 9, 2020, the SBE approved the charter petition to establish T.I.M.E., a new school, which anticipated serving 110 pupils in grade nine beginning in 2020–21 and growing to serve 600 pupils in grade nine through grade twelve in 2024–25. T.I.M.E. was approved by the SBE for a </w:t>
      </w:r>
      <w:r w:rsidR="004F44C6">
        <w:t>five-year term</w:t>
      </w:r>
      <w:r>
        <w:t xml:space="preserve">, effective July 1, 2020, </w:t>
      </w:r>
      <w:r w:rsidRPr="009B12CD">
        <w:t xml:space="preserve">with a delay in opening and starting instruction </w:t>
      </w:r>
      <w:r w:rsidR="006F5037" w:rsidRPr="009B12CD">
        <w:t xml:space="preserve">in </w:t>
      </w:r>
      <w:r w:rsidRPr="009B12CD">
        <w:t xml:space="preserve">the 2021–22 school year. At this same meeting, </w:t>
      </w:r>
      <w:r w:rsidR="006F5037" w:rsidRPr="009B12CD">
        <w:t xml:space="preserve">by mutual agreement, </w:t>
      </w:r>
      <w:r w:rsidRPr="009B12CD">
        <w:t xml:space="preserve">the SBE </w:t>
      </w:r>
      <w:r w:rsidR="006F5037" w:rsidRPr="009B12CD">
        <w:t xml:space="preserve">designated its supervisorial and </w:t>
      </w:r>
      <w:r w:rsidRPr="009B12CD">
        <w:t xml:space="preserve">oversight </w:t>
      </w:r>
      <w:r w:rsidR="006F5037" w:rsidRPr="009B12CD">
        <w:t xml:space="preserve">responsibilities </w:t>
      </w:r>
      <w:r w:rsidRPr="009B12CD">
        <w:t xml:space="preserve">of T.I.M.E. to LACOE, pursuant to former </w:t>
      </w:r>
      <w:r w:rsidRPr="009B12CD">
        <w:rPr>
          <w:i/>
          <w:iCs/>
        </w:rPr>
        <w:t>EC</w:t>
      </w:r>
      <w:r w:rsidRPr="009B12CD">
        <w:t xml:space="preserve"> Section 47605(k)(1). In a memorandum of</w:t>
      </w:r>
      <w:r>
        <w:t xml:space="preserve"> understanding (MOU) signed on October 19, 2020, LACOE agreed to supervisorial and oversight responsibilities for T.I.M.E. on behalf of the SBE. In an MOU signed on December 17, 2020, T.I.M.E. agreed to be monitored and overseen by LACOE.</w:t>
      </w:r>
    </w:p>
    <w:p w14:paraId="0D227946" w14:textId="1DB4EE26" w:rsidR="00E5519D" w:rsidRDefault="00625AB8" w:rsidP="00602386">
      <w:pPr>
        <w:pStyle w:val="Heading2"/>
        <w:rPr>
          <w:lang w:eastAsia="ja-JP"/>
        </w:rPr>
      </w:pPr>
      <w:r>
        <w:rPr>
          <w:lang w:eastAsia="ja-JP"/>
        </w:rPr>
        <w:t>Evidence</w:t>
      </w:r>
      <w:r w:rsidR="00E5519D" w:rsidRPr="008D4BCC">
        <w:rPr>
          <w:lang w:eastAsia="ja-JP"/>
        </w:rPr>
        <w:t xml:space="preserve"> of </w:t>
      </w:r>
      <w:r w:rsidR="00757490">
        <w:rPr>
          <w:lang w:eastAsia="ja-JP"/>
        </w:rPr>
        <w:t>Fiscal Mismanagement Identified in the Notice of Violation</w:t>
      </w:r>
    </w:p>
    <w:p w14:paraId="46A09903" w14:textId="51C3C638" w:rsidR="00264A3E" w:rsidRDefault="00264A3E" w:rsidP="00F8654D">
      <w:pPr>
        <w:rPr>
          <w:rFonts w:eastAsia="Arial"/>
          <w:lang w:eastAsia="ja-JP"/>
        </w:rPr>
      </w:pPr>
      <w:r>
        <w:rPr>
          <w:rFonts w:eastAsia="Arial"/>
          <w:lang w:eastAsia="ja-JP"/>
        </w:rPr>
        <w:t>As stated i</w:t>
      </w:r>
      <w:r w:rsidR="00B25FAC">
        <w:rPr>
          <w:rFonts w:eastAsia="Arial"/>
          <w:lang w:eastAsia="ja-JP"/>
        </w:rPr>
        <w:t>n the Notice of Violation issued to T.I.M.E.</w:t>
      </w:r>
      <w:r>
        <w:rPr>
          <w:rFonts w:eastAsia="Arial"/>
          <w:lang w:eastAsia="ja-JP"/>
        </w:rPr>
        <w:t xml:space="preserve"> </w:t>
      </w:r>
      <w:r w:rsidR="00B25FAC">
        <w:rPr>
          <w:rFonts w:eastAsia="Arial"/>
          <w:lang w:eastAsia="ja-JP"/>
        </w:rPr>
        <w:t xml:space="preserve">on March 9, 2023, the SBE and LACOE </w:t>
      </w:r>
      <w:r>
        <w:rPr>
          <w:rFonts w:eastAsia="Arial"/>
          <w:lang w:eastAsia="ja-JP"/>
        </w:rPr>
        <w:t>find</w:t>
      </w:r>
      <w:r w:rsidR="00B25FAC">
        <w:rPr>
          <w:rFonts w:eastAsia="Arial"/>
          <w:lang w:eastAsia="ja-JP"/>
        </w:rPr>
        <w:t xml:space="preserve"> that the </w:t>
      </w:r>
      <w:r w:rsidR="003C06A8">
        <w:rPr>
          <w:rFonts w:eastAsia="Arial"/>
          <w:lang w:eastAsia="ja-JP"/>
        </w:rPr>
        <w:t>T.I.M.E. Board</w:t>
      </w:r>
      <w:r w:rsidR="00B25FAC">
        <w:rPr>
          <w:rFonts w:eastAsia="Arial"/>
          <w:lang w:eastAsia="ja-JP"/>
        </w:rPr>
        <w:t xml:space="preserve"> </w:t>
      </w:r>
      <w:r>
        <w:rPr>
          <w:rFonts w:eastAsia="Arial"/>
          <w:lang w:eastAsia="ja-JP"/>
        </w:rPr>
        <w:t xml:space="preserve">has </w:t>
      </w:r>
      <w:r w:rsidR="00B25FAC">
        <w:rPr>
          <w:rFonts w:eastAsia="Arial"/>
          <w:lang w:eastAsia="ja-JP"/>
        </w:rPr>
        <w:t>engaged in fiscal mismanagement (</w:t>
      </w:r>
      <w:r w:rsidR="00B25FAC">
        <w:rPr>
          <w:rFonts w:eastAsia="Arial"/>
          <w:i/>
          <w:lang w:eastAsia="ja-JP"/>
        </w:rPr>
        <w:t xml:space="preserve">EC </w:t>
      </w:r>
      <w:r w:rsidR="00B25FAC">
        <w:rPr>
          <w:rFonts w:eastAsia="Arial"/>
          <w:lang w:eastAsia="ja-JP"/>
        </w:rPr>
        <w:t>Section 47607[f][3]).</w:t>
      </w:r>
    </w:p>
    <w:p w14:paraId="57C7B5CB" w14:textId="6C4088CF" w:rsidR="00F8654D" w:rsidRDefault="008F1E9A" w:rsidP="00F8654D">
      <w:pPr>
        <w:rPr>
          <w:rFonts w:eastAsia="Arial"/>
          <w:lang w:eastAsia="ja-JP"/>
        </w:rPr>
      </w:pPr>
      <w:r>
        <w:rPr>
          <w:rFonts w:eastAsia="Arial"/>
          <w:lang w:eastAsia="ja-JP"/>
        </w:rPr>
        <w:t>F</w:t>
      </w:r>
      <w:r w:rsidR="00264A3E">
        <w:rPr>
          <w:rFonts w:eastAsia="Arial"/>
          <w:lang w:eastAsia="ja-JP"/>
        </w:rPr>
        <w:t>iscal mismanagement refers to an agency’s failure to appropriately manage its finances, thereby creating a substantial risk to the agency’s ability to function or accomplish its mission. Possible indicators of fiscal mismanagement are identified by the Fiscal Crisis and Management Assistance Team and may include one or more of the following:</w:t>
      </w:r>
    </w:p>
    <w:p w14:paraId="74848144" w14:textId="77777777" w:rsidR="00B13BEE" w:rsidRPr="00264A3E" w:rsidRDefault="00963C85" w:rsidP="00264A3E">
      <w:pPr>
        <w:numPr>
          <w:ilvl w:val="0"/>
          <w:numId w:val="30"/>
        </w:numPr>
        <w:contextualSpacing/>
        <w:rPr>
          <w:rFonts w:eastAsia="Arial"/>
          <w:lang w:eastAsia="ja-JP"/>
        </w:rPr>
      </w:pPr>
      <w:r w:rsidRPr="00264A3E">
        <w:rPr>
          <w:rFonts w:eastAsia="Arial"/>
          <w:lang w:eastAsia="ja-JP"/>
        </w:rPr>
        <w:t>Unreliable or insufficient budget development, monitoring, or updates</w:t>
      </w:r>
    </w:p>
    <w:p w14:paraId="1A600F8E" w14:textId="77777777" w:rsidR="00B13BEE" w:rsidRPr="00264A3E" w:rsidRDefault="00963C85" w:rsidP="00264A3E">
      <w:pPr>
        <w:numPr>
          <w:ilvl w:val="0"/>
          <w:numId w:val="30"/>
        </w:numPr>
        <w:contextualSpacing/>
        <w:rPr>
          <w:rFonts w:eastAsia="Arial"/>
          <w:lang w:eastAsia="ja-JP"/>
        </w:rPr>
      </w:pPr>
      <w:r w:rsidRPr="00264A3E">
        <w:rPr>
          <w:rFonts w:eastAsia="Arial"/>
          <w:lang w:eastAsia="ja-JP"/>
        </w:rPr>
        <w:lastRenderedPageBreak/>
        <w:t>Inadequate cash management</w:t>
      </w:r>
    </w:p>
    <w:p w14:paraId="72418C2E" w14:textId="77777777" w:rsidR="00B13BEE" w:rsidRPr="00264A3E" w:rsidRDefault="00963C85" w:rsidP="00264A3E">
      <w:pPr>
        <w:numPr>
          <w:ilvl w:val="0"/>
          <w:numId w:val="30"/>
        </w:numPr>
        <w:contextualSpacing/>
        <w:rPr>
          <w:rFonts w:eastAsia="Arial"/>
          <w:lang w:eastAsia="ja-JP"/>
        </w:rPr>
      </w:pPr>
      <w:r w:rsidRPr="00264A3E">
        <w:rPr>
          <w:rFonts w:eastAsia="Arial"/>
          <w:lang w:eastAsia="ja-JP"/>
        </w:rPr>
        <w:t>Mismanaged employee compensation</w:t>
      </w:r>
    </w:p>
    <w:p w14:paraId="57ABB97F" w14:textId="77777777" w:rsidR="00B13BEE" w:rsidRPr="00264A3E" w:rsidRDefault="00963C85" w:rsidP="00264A3E">
      <w:pPr>
        <w:numPr>
          <w:ilvl w:val="0"/>
          <w:numId w:val="30"/>
        </w:numPr>
        <w:contextualSpacing/>
        <w:rPr>
          <w:rFonts w:eastAsia="Arial"/>
          <w:lang w:eastAsia="ja-JP"/>
        </w:rPr>
      </w:pPr>
      <w:r w:rsidRPr="00264A3E">
        <w:rPr>
          <w:rFonts w:eastAsia="Arial"/>
          <w:lang w:eastAsia="ja-JP"/>
        </w:rPr>
        <w:t>Continuing deficit spending</w:t>
      </w:r>
    </w:p>
    <w:p w14:paraId="71F80F7B" w14:textId="77777777" w:rsidR="00B13BEE" w:rsidRPr="00264A3E" w:rsidRDefault="00963C85" w:rsidP="00264A3E">
      <w:pPr>
        <w:numPr>
          <w:ilvl w:val="0"/>
          <w:numId w:val="30"/>
        </w:numPr>
        <w:contextualSpacing/>
        <w:rPr>
          <w:rFonts w:eastAsia="Arial"/>
          <w:lang w:eastAsia="ja-JP"/>
        </w:rPr>
      </w:pPr>
      <w:r w:rsidRPr="00264A3E">
        <w:rPr>
          <w:rFonts w:eastAsia="Arial"/>
          <w:lang w:eastAsia="ja-JP"/>
        </w:rPr>
        <w:t>Inattention to enrollment and attendance reporting</w:t>
      </w:r>
    </w:p>
    <w:p w14:paraId="5476D36D" w14:textId="77777777" w:rsidR="00B13BEE" w:rsidRPr="00264A3E" w:rsidRDefault="00963C85" w:rsidP="00264A3E">
      <w:pPr>
        <w:numPr>
          <w:ilvl w:val="0"/>
          <w:numId w:val="30"/>
        </w:numPr>
        <w:contextualSpacing/>
        <w:rPr>
          <w:rFonts w:eastAsia="Arial"/>
          <w:lang w:eastAsia="ja-JP"/>
        </w:rPr>
      </w:pPr>
      <w:r w:rsidRPr="00264A3E">
        <w:rPr>
          <w:rFonts w:eastAsia="Arial"/>
          <w:lang w:eastAsia="ja-JP"/>
        </w:rPr>
        <w:t>Inadequate fund balance and reserve for economic uncertainty</w:t>
      </w:r>
    </w:p>
    <w:p w14:paraId="6D99CC3E" w14:textId="77777777" w:rsidR="00B13BEE" w:rsidRPr="00264A3E" w:rsidRDefault="00963C85" w:rsidP="00264A3E">
      <w:pPr>
        <w:numPr>
          <w:ilvl w:val="0"/>
          <w:numId w:val="30"/>
        </w:numPr>
        <w:contextualSpacing/>
        <w:rPr>
          <w:rFonts w:eastAsia="Arial"/>
          <w:lang w:eastAsia="ja-JP"/>
        </w:rPr>
      </w:pPr>
      <w:r w:rsidRPr="00264A3E">
        <w:rPr>
          <w:rFonts w:eastAsia="Arial"/>
          <w:lang w:eastAsia="ja-JP"/>
        </w:rPr>
        <w:t>Ineffective internal controls and fraud prevention</w:t>
      </w:r>
    </w:p>
    <w:p w14:paraId="403D69F3" w14:textId="77777777" w:rsidR="00B13BEE" w:rsidRPr="00264A3E" w:rsidRDefault="00963C85" w:rsidP="00264A3E">
      <w:pPr>
        <w:numPr>
          <w:ilvl w:val="0"/>
          <w:numId w:val="30"/>
        </w:numPr>
        <w:contextualSpacing/>
        <w:rPr>
          <w:rFonts w:eastAsia="Arial"/>
          <w:lang w:eastAsia="ja-JP"/>
        </w:rPr>
      </w:pPr>
      <w:r w:rsidRPr="00264A3E">
        <w:rPr>
          <w:rFonts w:eastAsia="Arial"/>
          <w:lang w:eastAsia="ja-JP"/>
        </w:rPr>
        <w:t>Lack of multiyear planning</w:t>
      </w:r>
    </w:p>
    <w:p w14:paraId="0F1659D6" w14:textId="77777777" w:rsidR="00B13BEE" w:rsidRPr="00264A3E" w:rsidRDefault="00963C85" w:rsidP="00264A3E">
      <w:pPr>
        <w:numPr>
          <w:ilvl w:val="0"/>
          <w:numId w:val="30"/>
        </w:numPr>
        <w:rPr>
          <w:rFonts w:eastAsia="Arial"/>
          <w:lang w:eastAsia="ja-JP"/>
        </w:rPr>
      </w:pPr>
      <w:r w:rsidRPr="00264A3E">
        <w:rPr>
          <w:rFonts w:eastAsia="Arial"/>
          <w:lang w:eastAsia="ja-JP"/>
        </w:rPr>
        <w:t>Inattention to debt and risk management</w:t>
      </w:r>
    </w:p>
    <w:p w14:paraId="23961B7E" w14:textId="0B8452FB" w:rsidR="00F8654D" w:rsidRPr="00F8654D" w:rsidRDefault="00F8654D" w:rsidP="00F8654D">
      <w:pPr>
        <w:rPr>
          <w:rFonts w:eastAsia="Arial"/>
          <w:lang w:eastAsia="ja-JP"/>
        </w:rPr>
      </w:pPr>
      <w:r w:rsidRPr="00F8654D">
        <w:rPr>
          <w:rFonts w:eastAsia="Arial"/>
          <w:lang w:eastAsia="ja-JP"/>
        </w:rPr>
        <w:t>T.I.M.E.</w:t>
      </w:r>
      <w:r w:rsidR="00BB2D96">
        <w:rPr>
          <w:rFonts w:eastAsia="Arial"/>
          <w:lang w:eastAsia="ja-JP"/>
        </w:rPr>
        <w:t xml:space="preserve"> has</w:t>
      </w:r>
      <w:r w:rsidRPr="00F8654D">
        <w:rPr>
          <w:rFonts w:eastAsia="Arial"/>
          <w:lang w:eastAsia="ja-JP"/>
        </w:rPr>
        <w:t xml:space="preserve"> a structural deficit</w:t>
      </w:r>
      <w:r w:rsidR="00264A3E">
        <w:rPr>
          <w:rFonts w:eastAsia="Arial"/>
          <w:lang w:eastAsia="ja-JP"/>
        </w:rPr>
        <w:t xml:space="preserve">; </w:t>
      </w:r>
      <w:r w:rsidR="0078479B">
        <w:rPr>
          <w:rFonts w:eastAsia="Arial"/>
          <w:lang w:eastAsia="ja-JP"/>
        </w:rPr>
        <w:t xml:space="preserve">since its inception, T.I.M.E. has consistently failed to appropriately balance </w:t>
      </w:r>
      <w:r w:rsidR="00264A3E">
        <w:rPr>
          <w:rFonts w:eastAsia="Arial"/>
          <w:lang w:eastAsia="ja-JP"/>
        </w:rPr>
        <w:t>its receipts and expenditures</w:t>
      </w:r>
      <w:r w:rsidR="0078479B">
        <w:rPr>
          <w:rFonts w:eastAsia="Arial"/>
          <w:lang w:eastAsia="ja-JP"/>
        </w:rPr>
        <w:t>, resulting in the school’s fiscal insolvency</w:t>
      </w:r>
      <w:r w:rsidRPr="00F8654D">
        <w:rPr>
          <w:rFonts w:eastAsia="Arial"/>
          <w:lang w:eastAsia="ja-JP"/>
        </w:rPr>
        <w:t>. T.I.M.E.’s projected revenues are insufficient to meet its operational expenses and financial commitments</w:t>
      </w:r>
      <w:r w:rsidR="00BB2D96">
        <w:rPr>
          <w:rFonts w:eastAsia="Arial"/>
          <w:lang w:eastAsia="ja-JP"/>
        </w:rPr>
        <w:t xml:space="preserve"> as </w:t>
      </w:r>
      <w:r w:rsidRPr="00F8654D">
        <w:rPr>
          <w:rFonts w:eastAsia="Arial"/>
          <w:lang w:eastAsia="ja-JP"/>
        </w:rPr>
        <w:t xml:space="preserve">T.I.M.E. continues to base its budget and multiyear projections on unrealistic enrollment and financial projections, and has not exercised the prudent fiscal management necessary to achieve fiscal stability and viability. </w:t>
      </w:r>
    </w:p>
    <w:p w14:paraId="50A97615" w14:textId="59A0A73C" w:rsidR="00F8654D" w:rsidRPr="00D47128" w:rsidRDefault="00F8654D" w:rsidP="00F8654D">
      <w:pPr>
        <w:rPr>
          <w:rFonts w:eastAsia="Arial"/>
          <w:lang w:eastAsia="ja-JP"/>
        </w:rPr>
      </w:pPr>
      <w:r w:rsidRPr="00D47128">
        <w:rPr>
          <w:rFonts w:eastAsia="Arial"/>
          <w:lang w:eastAsia="ja-JP"/>
        </w:rPr>
        <w:t xml:space="preserve">Due to deficit spending and cash deficiencies, T.I.M.E. has missed debt repayment deadlines, including all six promissory notes issued during 2021–22 for a total of $280,376. According to T.I.M.E.’s 2021–22 audit report, it incurred an operating deficit of $378,107 and had a negative ending net asset of $268,436. In a letter dated </w:t>
      </w:r>
      <w:r w:rsidR="00E823EA" w:rsidRPr="00D47128">
        <w:rPr>
          <w:rFonts w:eastAsia="Arial"/>
          <w:lang w:eastAsia="ja-JP"/>
        </w:rPr>
        <w:br/>
      </w:r>
      <w:r w:rsidRPr="00D47128">
        <w:rPr>
          <w:rFonts w:eastAsia="Arial"/>
          <w:lang w:eastAsia="ja-JP"/>
        </w:rPr>
        <w:t>January 27, 2023, T.I.M.E.’s independent auditor notified T.I.M.E.’s Board that its 2021–22 ending negative net position of $268,436 and its projected deficit in 2022–23 are key factors that raise substantial doubt about T.I.M.E.’s ability to continue</w:t>
      </w:r>
      <w:r w:rsidR="00BB2D96" w:rsidRPr="00D47128">
        <w:rPr>
          <w:rFonts w:eastAsia="Arial"/>
          <w:lang w:eastAsia="ja-JP"/>
        </w:rPr>
        <w:t xml:space="preserve"> operations</w:t>
      </w:r>
      <w:r w:rsidRPr="00D47128">
        <w:rPr>
          <w:rFonts w:eastAsia="Arial"/>
          <w:lang w:eastAsia="ja-JP"/>
        </w:rPr>
        <w:t xml:space="preserve">. Its auditor also disclosed the promissory notes (personal loans) totaling $281,348 that have lapsed (defaulted) and remain unpaid, along with an outstanding $100,000 loan obtained from the Charter School Revolving Loan Fund </w:t>
      </w:r>
      <w:r w:rsidR="00E00B7F" w:rsidRPr="00D47128">
        <w:rPr>
          <w:rFonts w:eastAsia="Arial"/>
          <w:lang w:eastAsia="ja-JP"/>
        </w:rPr>
        <w:t xml:space="preserve">(CSRLF) </w:t>
      </w:r>
      <w:r w:rsidRPr="00D47128">
        <w:rPr>
          <w:rFonts w:eastAsia="Arial"/>
          <w:lang w:eastAsia="ja-JP"/>
        </w:rPr>
        <w:t>Program</w:t>
      </w:r>
      <w:r w:rsidR="00E00B7F" w:rsidRPr="00D47128">
        <w:rPr>
          <w:rFonts w:eastAsia="Arial"/>
          <w:lang w:eastAsia="ja-JP"/>
        </w:rPr>
        <w:t xml:space="preserve"> </w:t>
      </w:r>
      <w:r w:rsidRPr="00D47128">
        <w:rPr>
          <w:rFonts w:eastAsia="Arial"/>
          <w:lang w:eastAsia="ja-JP"/>
        </w:rPr>
        <w:t>administered by the California School Finance Authority</w:t>
      </w:r>
      <w:r w:rsidR="00E00B7F" w:rsidRPr="00D47128">
        <w:rPr>
          <w:rFonts w:eastAsia="Arial"/>
          <w:lang w:eastAsia="ja-JP"/>
        </w:rPr>
        <w:t xml:space="preserve"> (CSFA)</w:t>
      </w:r>
      <w:r w:rsidRPr="00D47128">
        <w:rPr>
          <w:rFonts w:eastAsia="Arial"/>
          <w:lang w:eastAsia="ja-JP"/>
        </w:rPr>
        <w:t>.</w:t>
      </w:r>
    </w:p>
    <w:p w14:paraId="1E410D1E" w14:textId="54E23064" w:rsidR="00F8654D" w:rsidRDefault="00F8654D" w:rsidP="00F8654D">
      <w:pPr>
        <w:rPr>
          <w:rFonts w:eastAsia="Arial"/>
          <w:lang w:eastAsia="ja-JP"/>
        </w:rPr>
      </w:pPr>
      <w:r w:rsidRPr="00F8654D">
        <w:rPr>
          <w:rFonts w:eastAsia="Arial"/>
          <w:lang w:eastAsia="ja-JP"/>
        </w:rPr>
        <w:t>T.I.M.E. is at increased risk of cash shortfalls and further insolvency</w:t>
      </w:r>
      <w:r w:rsidR="00BB2D96">
        <w:rPr>
          <w:rFonts w:eastAsia="Arial"/>
          <w:lang w:eastAsia="ja-JP"/>
        </w:rPr>
        <w:t>, which will impact T.I.M.E.’s ability to meet current year financial obligations, including payroll and related expenses, and its other ongoing financial obligations</w:t>
      </w:r>
      <w:r w:rsidRPr="00F8654D">
        <w:rPr>
          <w:rFonts w:eastAsia="Arial"/>
          <w:lang w:eastAsia="ja-JP"/>
        </w:rPr>
        <w:t>.</w:t>
      </w:r>
    </w:p>
    <w:p w14:paraId="1E04D55B" w14:textId="23863AE6" w:rsidR="00BB2D96" w:rsidRDefault="0078479B" w:rsidP="00F8654D">
      <w:pPr>
        <w:rPr>
          <w:rFonts w:eastAsia="Arial"/>
          <w:lang w:eastAsia="ja-JP"/>
        </w:rPr>
      </w:pPr>
      <w:r>
        <w:rPr>
          <w:rFonts w:eastAsia="Arial"/>
          <w:lang w:eastAsia="ja-JP"/>
        </w:rPr>
        <w:t>The s</w:t>
      </w:r>
      <w:r w:rsidR="00BB2D96">
        <w:rPr>
          <w:rFonts w:eastAsia="Arial"/>
          <w:lang w:eastAsia="ja-JP"/>
        </w:rPr>
        <w:t xml:space="preserve">pecific instances </w:t>
      </w:r>
      <w:r>
        <w:rPr>
          <w:rFonts w:eastAsia="Arial"/>
          <w:lang w:eastAsia="ja-JP"/>
        </w:rPr>
        <w:t xml:space="preserve">of </w:t>
      </w:r>
      <w:r w:rsidR="00BB2D96">
        <w:rPr>
          <w:rFonts w:eastAsia="Arial"/>
          <w:lang w:eastAsia="ja-JP"/>
        </w:rPr>
        <w:t>fiscal mismanagement</w:t>
      </w:r>
      <w:r>
        <w:rPr>
          <w:rFonts w:eastAsia="Arial"/>
          <w:lang w:eastAsia="ja-JP"/>
        </w:rPr>
        <w:t xml:space="preserve"> that </w:t>
      </w:r>
      <w:r w:rsidR="00BB2D96">
        <w:rPr>
          <w:rFonts w:eastAsia="Arial"/>
          <w:lang w:eastAsia="ja-JP"/>
        </w:rPr>
        <w:t xml:space="preserve">were identified in the </w:t>
      </w:r>
      <w:r>
        <w:rPr>
          <w:rFonts w:eastAsia="Arial"/>
          <w:lang w:eastAsia="ja-JP"/>
        </w:rPr>
        <w:t xml:space="preserve">SBE’s </w:t>
      </w:r>
      <w:r>
        <w:rPr>
          <w:rFonts w:eastAsia="Arial"/>
          <w:lang w:eastAsia="ja-JP"/>
        </w:rPr>
        <w:br/>
        <w:t xml:space="preserve">March 9, 2023, </w:t>
      </w:r>
      <w:r w:rsidR="00BB2D96">
        <w:rPr>
          <w:rFonts w:eastAsia="Arial"/>
          <w:lang w:eastAsia="ja-JP"/>
        </w:rPr>
        <w:t>Notice of Violation</w:t>
      </w:r>
      <w:r>
        <w:rPr>
          <w:rFonts w:eastAsia="Arial"/>
          <w:lang w:eastAsia="ja-JP"/>
        </w:rPr>
        <w:t xml:space="preserve"> to T.I.M.E.</w:t>
      </w:r>
      <w:r w:rsidR="00BB2D96">
        <w:rPr>
          <w:rFonts w:eastAsia="Arial"/>
          <w:lang w:eastAsia="ja-JP"/>
        </w:rPr>
        <w:t>, are outlined below</w:t>
      </w:r>
      <w:r>
        <w:rPr>
          <w:rFonts w:eastAsia="Arial"/>
          <w:lang w:eastAsia="ja-JP"/>
        </w:rPr>
        <w:t xml:space="preserve">. Also provided is </w:t>
      </w:r>
      <w:r w:rsidR="003E3187">
        <w:rPr>
          <w:rFonts w:eastAsia="Arial"/>
          <w:lang w:eastAsia="ja-JP"/>
        </w:rPr>
        <w:t xml:space="preserve">a summary </w:t>
      </w:r>
      <w:r w:rsidR="00574470">
        <w:rPr>
          <w:rFonts w:eastAsia="Arial"/>
          <w:lang w:eastAsia="ja-JP"/>
        </w:rPr>
        <w:t xml:space="preserve">of </w:t>
      </w:r>
      <w:r>
        <w:rPr>
          <w:rFonts w:eastAsia="Arial"/>
          <w:lang w:eastAsia="ja-JP"/>
        </w:rPr>
        <w:t xml:space="preserve">T.I.M.E.’s response to each instance of violation as well as the CDE and LACOE’s analysis of T.I.M.E.’s </w:t>
      </w:r>
      <w:r w:rsidR="00D6404A">
        <w:rPr>
          <w:rFonts w:eastAsia="Arial"/>
          <w:lang w:eastAsia="ja-JP"/>
        </w:rPr>
        <w:t>R</w:t>
      </w:r>
      <w:r>
        <w:rPr>
          <w:rFonts w:eastAsia="Arial"/>
          <w:lang w:eastAsia="ja-JP"/>
        </w:rPr>
        <w:t>esponse.</w:t>
      </w:r>
    </w:p>
    <w:p w14:paraId="30B22257" w14:textId="3CDC4384" w:rsidR="00F76A50" w:rsidRDefault="00F76A50" w:rsidP="000D0061">
      <w:pPr>
        <w:pStyle w:val="Heading3"/>
        <w:rPr>
          <w:i/>
          <w:iCs/>
        </w:rPr>
      </w:pPr>
      <w:r w:rsidRPr="00F76A50">
        <w:t>Unrealistic Enrollment and Average Daily Attendance Projections</w:t>
      </w:r>
    </w:p>
    <w:p w14:paraId="57E60153" w14:textId="563F5EBD" w:rsidR="0078479B" w:rsidRPr="00B654CA" w:rsidRDefault="0078479B" w:rsidP="00B55C7E">
      <w:r>
        <w:t>As stated in the Notice of Violation, T.I.M.E.</w:t>
      </w:r>
      <w:r w:rsidRPr="00B654CA">
        <w:t>’s 2022</w:t>
      </w:r>
      <w:r>
        <w:t>–</w:t>
      </w:r>
      <w:r w:rsidRPr="00B654CA">
        <w:t xml:space="preserve">23 First Interim Report projects enrollment of 64 students and </w:t>
      </w:r>
      <w:r>
        <w:t>average daily attendance (</w:t>
      </w:r>
      <w:r w:rsidRPr="00B654CA">
        <w:t>ADA</w:t>
      </w:r>
      <w:r>
        <w:t>)</w:t>
      </w:r>
      <w:r w:rsidRPr="00B654CA">
        <w:t xml:space="preserve"> of 60.80, representing a decrease of </w:t>
      </w:r>
      <w:r w:rsidRPr="00793FDD">
        <w:t xml:space="preserve">43.70 ADA, or 41.82 percent from its </w:t>
      </w:r>
      <w:r>
        <w:t xml:space="preserve">2022–23 </w:t>
      </w:r>
      <w:r w:rsidRPr="00793FDD">
        <w:t>adopted budget of 104.50 ADA</w:t>
      </w:r>
      <w:r w:rsidRPr="00B654CA">
        <w:t xml:space="preserve">. Additionally, </w:t>
      </w:r>
      <w:r>
        <w:t>T.I.M.E.</w:t>
      </w:r>
      <w:r w:rsidRPr="00B654CA">
        <w:t>’s 2022</w:t>
      </w:r>
      <w:r>
        <w:t>–</w:t>
      </w:r>
      <w:r w:rsidRPr="00B654CA">
        <w:t>23</w:t>
      </w:r>
      <w:r>
        <w:t xml:space="preserve"> First Principal Apportionment (</w:t>
      </w:r>
      <w:r w:rsidRPr="00B654CA">
        <w:t>P-1</w:t>
      </w:r>
      <w:r>
        <w:t>)</w:t>
      </w:r>
      <w:r w:rsidRPr="00B654CA">
        <w:t xml:space="preserve"> Attendance Report reflects ADA of 55.55, a decrease of 5.25 ADA</w:t>
      </w:r>
      <w:r>
        <w:t xml:space="preserve"> </w:t>
      </w:r>
      <w:r w:rsidRPr="00B654CA">
        <w:t>or 8.63 percent from its 2022</w:t>
      </w:r>
      <w:r>
        <w:t>–</w:t>
      </w:r>
      <w:r w:rsidRPr="00B654CA">
        <w:t>23</w:t>
      </w:r>
      <w:r>
        <w:t xml:space="preserve"> </w:t>
      </w:r>
      <w:r w:rsidRPr="00B654CA">
        <w:t xml:space="preserve">First Interim </w:t>
      </w:r>
      <w:r>
        <w:t xml:space="preserve">Report </w:t>
      </w:r>
      <w:r w:rsidRPr="00B654CA">
        <w:t xml:space="preserve">projection. The estimated impact to </w:t>
      </w:r>
      <w:r>
        <w:t>T.I.M.E.</w:t>
      </w:r>
      <w:r w:rsidRPr="00B654CA">
        <w:t xml:space="preserve">’s latest budget is a reduction in the Local Control Funding Formula (LCFF) revenues of approximately $80,000 should the </w:t>
      </w:r>
      <w:r w:rsidRPr="00793FDD">
        <w:t>projected ADA</w:t>
      </w:r>
      <w:r>
        <w:t xml:space="preserve"> fail to</w:t>
      </w:r>
      <w:r w:rsidRPr="00B654CA">
        <w:t xml:space="preserve"> materialize.</w:t>
      </w:r>
    </w:p>
    <w:p w14:paraId="0E6F986D" w14:textId="249F01D8" w:rsidR="005F62E6" w:rsidRDefault="005F62E6" w:rsidP="005F62E6">
      <w:pPr>
        <w:rPr>
          <w:szCs w:val="22"/>
        </w:rPr>
      </w:pPr>
      <w:r w:rsidRPr="00B654CA">
        <w:rPr>
          <w:szCs w:val="22"/>
        </w:rPr>
        <w:lastRenderedPageBreak/>
        <w:t xml:space="preserve">The table below summarizes </w:t>
      </w:r>
      <w:bookmarkStart w:id="0" w:name="_Hlk131748867"/>
      <w:r>
        <w:rPr>
          <w:szCs w:val="22"/>
        </w:rPr>
        <w:t>T.I.M.E.</w:t>
      </w:r>
      <w:r w:rsidRPr="00B654CA">
        <w:rPr>
          <w:szCs w:val="22"/>
        </w:rPr>
        <w:t>’s enrollment and ADA projections compared to actual data</w:t>
      </w:r>
      <w:bookmarkEnd w:id="0"/>
      <w:r w:rsidRPr="00B654CA">
        <w:rPr>
          <w:szCs w:val="22"/>
        </w:rPr>
        <w:t>.</w:t>
      </w:r>
    </w:p>
    <w:p w14:paraId="03169071" w14:textId="3BBF9749" w:rsidR="00B55C7E" w:rsidRDefault="00B55C7E" w:rsidP="00B55C7E">
      <w:pPr>
        <w:pStyle w:val="TableHeading"/>
      </w:pPr>
      <w:r w:rsidRPr="00B55C7E">
        <w:t>T.I.M.E.’</w:t>
      </w:r>
      <w:r>
        <w:t>s</w:t>
      </w:r>
      <w:r w:rsidRPr="00B55C7E">
        <w:t xml:space="preserve"> Enrollment and </w:t>
      </w:r>
      <w:r>
        <w:t>ADA</w:t>
      </w:r>
      <w:r w:rsidRPr="00B55C7E">
        <w:t xml:space="preserve"> Projections Compared </w:t>
      </w:r>
      <w:r>
        <w:t>t</w:t>
      </w:r>
      <w:r w:rsidRPr="00B55C7E">
        <w:t>o Actual Data</w:t>
      </w:r>
    </w:p>
    <w:tbl>
      <w:tblPr>
        <w:tblStyle w:val="TableGrid"/>
        <w:tblW w:w="9360" w:type="dxa"/>
        <w:tblInd w:w="-5" w:type="dxa"/>
        <w:tblLook w:val="04A0" w:firstRow="1" w:lastRow="0" w:firstColumn="1" w:lastColumn="0" w:noHBand="0" w:noVBand="1"/>
        <w:tblDescription w:val="Enrollment and Average Daily Attendance Projections"/>
      </w:tblPr>
      <w:tblGrid>
        <w:gridCol w:w="1492"/>
        <w:gridCol w:w="1282"/>
        <w:gridCol w:w="1936"/>
        <w:gridCol w:w="1282"/>
        <w:gridCol w:w="1432"/>
        <w:gridCol w:w="1936"/>
      </w:tblGrid>
      <w:tr w:rsidR="005F62E6" w:rsidRPr="00BD420C" w14:paraId="3EFCF2AD" w14:textId="77777777" w:rsidTr="00E15A18">
        <w:trPr>
          <w:cantSplit/>
          <w:trHeight w:val="359"/>
          <w:tblHeader/>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373755" w14:textId="77777777" w:rsidR="005F62E6" w:rsidRPr="00BD420C" w:rsidRDefault="005F62E6" w:rsidP="000E4CAE">
            <w:pPr>
              <w:pStyle w:val="ListParagraph"/>
              <w:spacing w:before="0" w:after="0"/>
              <w:ind w:left="0"/>
              <w:jc w:val="center"/>
              <w:rPr>
                <w:rFonts w:cs="Arial"/>
                <w:b/>
                <w:szCs w:val="22"/>
              </w:rPr>
            </w:pPr>
            <w:r w:rsidRPr="00BD420C">
              <w:rPr>
                <w:rFonts w:cs="Arial"/>
                <w:b/>
                <w:szCs w:val="22"/>
              </w:rPr>
              <w:t>Criteria</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529862" w14:textId="77777777" w:rsidR="005F62E6" w:rsidRPr="00BD420C" w:rsidRDefault="005F62E6" w:rsidP="000E4CAE">
            <w:pPr>
              <w:pStyle w:val="ListParagraph"/>
              <w:spacing w:before="0" w:after="0"/>
              <w:ind w:left="0"/>
              <w:jc w:val="center"/>
              <w:rPr>
                <w:rFonts w:cs="Arial"/>
                <w:b/>
                <w:szCs w:val="22"/>
              </w:rPr>
            </w:pPr>
            <w:r>
              <w:rPr>
                <w:rFonts w:cs="Arial"/>
                <w:b/>
                <w:szCs w:val="22"/>
              </w:rPr>
              <w:t>2021–22 Adopted Budget</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ACE601" w14:textId="77777777" w:rsidR="005F62E6" w:rsidRPr="00BD420C" w:rsidRDefault="005F62E6" w:rsidP="000E4CAE">
            <w:pPr>
              <w:pStyle w:val="ListParagraph"/>
              <w:spacing w:before="0" w:after="0"/>
              <w:ind w:left="0"/>
              <w:jc w:val="center"/>
              <w:rPr>
                <w:rFonts w:cs="Arial"/>
                <w:b/>
                <w:szCs w:val="22"/>
              </w:rPr>
            </w:pPr>
            <w:r>
              <w:rPr>
                <w:rFonts w:cs="Arial"/>
                <w:b/>
                <w:szCs w:val="22"/>
              </w:rPr>
              <w:t>2021–22 Certified Second Principal Apportionment</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009E9C" w14:textId="77777777" w:rsidR="005F62E6" w:rsidRPr="00BD420C" w:rsidRDefault="005F62E6" w:rsidP="000E4CAE">
            <w:pPr>
              <w:pStyle w:val="ListParagraph"/>
              <w:spacing w:before="0" w:after="0"/>
              <w:ind w:left="0"/>
              <w:jc w:val="center"/>
              <w:rPr>
                <w:rFonts w:cs="Arial"/>
                <w:b/>
                <w:szCs w:val="22"/>
              </w:rPr>
            </w:pPr>
            <w:r>
              <w:rPr>
                <w:rFonts w:cs="Arial"/>
                <w:b/>
                <w:szCs w:val="22"/>
              </w:rPr>
              <w:t>2022–23 Adopted Budget</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D1B664" w14:textId="77777777" w:rsidR="005F62E6" w:rsidRPr="00BD420C" w:rsidRDefault="005F62E6" w:rsidP="000E4CAE">
            <w:pPr>
              <w:pStyle w:val="ListParagraph"/>
              <w:spacing w:before="0" w:after="0"/>
              <w:ind w:left="0"/>
              <w:jc w:val="center"/>
              <w:rPr>
                <w:rFonts w:cs="Arial"/>
                <w:b/>
                <w:szCs w:val="22"/>
              </w:rPr>
            </w:pPr>
            <w:r>
              <w:rPr>
                <w:rFonts w:cs="Arial"/>
                <w:b/>
                <w:szCs w:val="22"/>
              </w:rPr>
              <w:t>2022–23 First Interim Report Projection</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4EED94" w14:textId="77777777" w:rsidR="005F62E6" w:rsidRPr="00BD420C" w:rsidRDefault="005F62E6" w:rsidP="000E4CAE">
            <w:pPr>
              <w:pStyle w:val="ListParagraph"/>
              <w:spacing w:before="0" w:after="0"/>
              <w:ind w:left="0"/>
              <w:jc w:val="center"/>
              <w:rPr>
                <w:rFonts w:cs="Arial"/>
                <w:b/>
                <w:szCs w:val="22"/>
              </w:rPr>
            </w:pPr>
            <w:r>
              <w:rPr>
                <w:rFonts w:cs="Arial"/>
                <w:b/>
                <w:szCs w:val="22"/>
              </w:rPr>
              <w:t>2022–23 First Principal Apportionment Attendance Report</w:t>
            </w:r>
          </w:p>
        </w:tc>
      </w:tr>
      <w:tr w:rsidR="005F62E6" w:rsidRPr="00BD420C" w14:paraId="465D76FC" w14:textId="77777777" w:rsidTr="00E15A18">
        <w:trPr>
          <w:cantSplit/>
          <w:trHeight w:val="440"/>
        </w:trPr>
        <w:tc>
          <w:tcPr>
            <w:tcW w:w="1560" w:type="dxa"/>
            <w:tcBorders>
              <w:top w:val="single" w:sz="4" w:space="0" w:color="auto"/>
              <w:left w:val="single" w:sz="4" w:space="0" w:color="auto"/>
              <w:bottom w:val="single" w:sz="4" w:space="0" w:color="auto"/>
              <w:right w:val="single" w:sz="4" w:space="0" w:color="auto"/>
            </w:tcBorders>
            <w:vAlign w:val="center"/>
            <w:hideMark/>
          </w:tcPr>
          <w:p w14:paraId="08F69B43" w14:textId="77777777" w:rsidR="005F62E6" w:rsidRPr="00BD420C" w:rsidRDefault="005F62E6" w:rsidP="00C313F8">
            <w:pPr>
              <w:pStyle w:val="ListParagraph"/>
              <w:spacing w:before="0" w:after="0"/>
              <w:ind w:left="0"/>
              <w:rPr>
                <w:rFonts w:cs="Arial"/>
                <w:b/>
                <w:szCs w:val="22"/>
              </w:rPr>
            </w:pPr>
            <w:r w:rsidRPr="00BD420C">
              <w:rPr>
                <w:rFonts w:cs="Arial"/>
                <w:b/>
                <w:szCs w:val="22"/>
              </w:rPr>
              <w:t>Enrollment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7AF0698" w14:textId="77777777" w:rsidR="005F62E6" w:rsidRPr="00BD420C" w:rsidRDefault="005F62E6" w:rsidP="000E4CAE">
            <w:pPr>
              <w:pStyle w:val="ListParagraph"/>
              <w:spacing w:before="0" w:after="0"/>
              <w:ind w:left="0"/>
              <w:jc w:val="center"/>
              <w:rPr>
                <w:rFonts w:cs="Arial"/>
                <w:szCs w:val="22"/>
              </w:rPr>
            </w:pPr>
            <w:r w:rsidRPr="00BD420C">
              <w:rPr>
                <w:rFonts w:cs="Arial"/>
                <w:szCs w:val="22"/>
              </w:rPr>
              <w:t>165 students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09CEA56" w14:textId="77777777" w:rsidR="005F62E6" w:rsidRPr="00BD420C" w:rsidRDefault="005F62E6" w:rsidP="000E4CAE">
            <w:pPr>
              <w:pStyle w:val="ListParagraph"/>
              <w:spacing w:before="0" w:after="0"/>
              <w:ind w:left="0"/>
              <w:jc w:val="center"/>
              <w:rPr>
                <w:rFonts w:cs="Arial"/>
                <w:szCs w:val="22"/>
              </w:rPr>
            </w:pPr>
            <w:r>
              <w:rPr>
                <w:rFonts w:cs="Arial"/>
                <w:szCs w:val="22"/>
              </w:rPr>
              <w:t>40</w:t>
            </w:r>
            <w:r w:rsidRPr="00BD420C">
              <w:rPr>
                <w:rFonts w:cs="Arial"/>
                <w:szCs w:val="22"/>
              </w:rPr>
              <w:t xml:space="preserve"> </w:t>
            </w:r>
            <w:r>
              <w:rPr>
                <w:rFonts w:cs="Arial"/>
                <w:szCs w:val="22"/>
              </w:rPr>
              <w:br/>
            </w:r>
            <w:r w:rsidRPr="00BD420C">
              <w:rPr>
                <w:rFonts w:cs="Arial"/>
                <w:szCs w:val="22"/>
              </w:rPr>
              <w:t>students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ED6951E" w14:textId="77777777" w:rsidR="005F62E6" w:rsidRPr="00BD420C" w:rsidRDefault="005F62E6" w:rsidP="000E4CAE">
            <w:pPr>
              <w:pStyle w:val="ListParagraph"/>
              <w:spacing w:before="0" w:after="0"/>
              <w:ind w:left="0"/>
              <w:jc w:val="center"/>
              <w:rPr>
                <w:rFonts w:cs="Arial"/>
                <w:szCs w:val="22"/>
              </w:rPr>
            </w:pPr>
            <w:r>
              <w:rPr>
                <w:rFonts w:cs="Arial"/>
                <w:szCs w:val="22"/>
              </w:rPr>
              <w:t>110</w:t>
            </w:r>
            <w:r>
              <w:rPr>
                <w:rFonts w:cs="Arial"/>
                <w:szCs w:val="22"/>
              </w:rPr>
              <w:br/>
            </w:r>
            <w:r w:rsidRPr="00BD420C">
              <w:rPr>
                <w:rFonts w:cs="Arial"/>
                <w:szCs w:val="22"/>
              </w:rPr>
              <w:t>students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923A2B9" w14:textId="77777777" w:rsidR="005F62E6" w:rsidRPr="00BD420C" w:rsidRDefault="005F62E6" w:rsidP="000E4CAE">
            <w:pPr>
              <w:pStyle w:val="ListParagraph"/>
              <w:spacing w:before="0" w:after="0"/>
              <w:ind w:left="0"/>
              <w:jc w:val="center"/>
              <w:rPr>
                <w:rFonts w:cs="Arial"/>
                <w:szCs w:val="22"/>
              </w:rPr>
            </w:pPr>
            <w:r>
              <w:rPr>
                <w:rFonts w:cs="Arial"/>
                <w:szCs w:val="22"/>
              </w:rPr>
              <w:t>64</w:t>
            </w:r>
            <w:r w:rsidRPr="00BD420C">
              <w:rPr>
                <w:rFonts w:cs="Arial"/>
                <w:szCs w:val="22"/>
              </w:rPr>
              <w:t xml:space="preserve"> students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72672BE" w14:textId="77777777" w:rsidR="005F62E6" w:rsidRDefault="005F62E6" w:rsidP="000E4CAE">
            <w:pPr>
              <w:pStyle w:val="ListParagraph"/>
              <w:spacing w:before="0" w:after="0"/>
              <w:ind w:left="0"/>
              <w:jc w:val="center"/>
              <w:rPr>
                <w:rFonts w:cs="Arial"/>
                <w:szCs w:val="22"/>
              </w:rPr>
            </w:pPr>
            <w:r>
              <w:rPr>
                <w:rFonts w:cs="Arial"/>
                <w:szCs w:val="22"/>
              </w:rPr>
              <w:t>65</w:t>
            </w:r>
            <w:r w:rsidRPr="00BD420C">
              <w:rPr>
                <w:rFonts w:cs="Arial"/>
                <w:szCs w:val="22"/>
              </w:rPr>
              <w:t xml:space="preserve"> </w:t>
            </w:r>
          </w:p>
          <w:p w14:paraId="090CAD35" w14:textId="77777777" w:rsidR="005F62E6" w:rsidRPr="00BD420C" w:rsidRDefault="005F62E6" w:rsidP="000E4CAE">
            <w:pPr>
              <w:pStyle w:val="ListParagraph"/>
              <w:spacing w:before="0" w:after="0"/>
              <w:ind w:left="0"/>
              <w:jc w:val="center"/>
              <w:rPr>
                <w:rFonts w:cs="Arial"/>
                <w:szCs w:val="22"/>
              </w:rPr>
            </w:pPr>
            <w:r w:rsidRPr="00BD420C">
              <w:rPr>
                <w:rFonts w:cs="Arial"/>
                <w:szCs w:val="22"/>
              </w:rPr>
              <w:t>students</w:t>
            </w:r>
          </w:p>
        </w:tc>
      </w:tr>
      <w:tr w:rsidR="005F62E6" w:rsidRPr="00BD420C" w14:paraId="54AEB16D" w14:textId="77777777" w:rsidTr="00C313F8">
        <w:trPr>
          <w:cantSplit/>
          <w:trHeight w:val="70"/>
        </w:trPr>
        <w:tc>
          <w:tcPr>
            <w:tcW w:w="1560" w:type="dxa"/>
            <w:tcBorders>
              <w:top w:val="single" w:sz="4" w:space="0" w:color="auto"/>
              <w:left w:val="single" w:sz="4" w:space="0" w:color="auto"/>
              <w:bottom w:val="single" w:sz="4" w:space="0" w:color="auto"/>
              <w:right w:val="single" w:sz="4" w:space="0" w:color="auto"/>
            </w:tcBorders>
            <w:vAlign w:val="center"/>
            <w:hideMark/>
          </w:tcPr>
          <w:p w14:paraId="0AAA8C40" w14:textId="77777777" w:rsidR="005F62E6" w:rsidRPr="00BD420C" w:rsidRDefault="005F62E6" w:rsidP="00C313F8">
            <w:pPr>
              <w:pStyle w:val="ListParagraph"/>
              <w:spacing w:before="0" w:after="0"/>
              <w:ind w:left="0"/>
              <w:rPr>
                <w:rFonts w:cs="Arial"/>
                <w:b/>
                <w:szCs w:val="22"/>
              </w:rPr>
            </w:pPr>
            <w:r w:rsidRPr="00BD420C">
              <w:rPr>
                <w:rFonts w:cs="Arial"/>
                <w:b/>
                <w:szCs w:val="22"/>
              </w:rPr>
              <w:t>ADA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BD3198A" w14:textId="3531BAE1" w:rsidR="005F62E6" w:rsidRPr="00BD420C" w:rsidRDefault="0060392C" w:rsidP="000E4CAE">
            <w:pPr>
              <w:pStyle w:val="ListParagraph"/>
              <w:spacing w:before="0" w:after="0"/>
              <w:ind w:left="0"/>
              <w:jc w:val="center"/>
              <w:rPr>
                <w:rFonts w:cs="Arial"/>
                <w:szCs w:val="22"/>
              </w:rPr>
            </w:pPr>
            <w:r>
              <w:rPr>
                <w:rFonts w:cs="Arial"/>
                <w:szCs w:val="22"/>
              </w:rPr>
              <w:t>156.75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879600" w14:textId="77777777" w:rsidR="005F62E6" w:rsidRPr="00BD420C" w:rsidRDefault="005F62E6" w:rsidP="000E4CAE">
            <w:pPr>
              <w:pStyle w:val="ListParagraph"/>
              <w:spacing w:before="0" w:after="0"/>
              <w:ind w:left="0"/>
              <w:jc w:val="center"/>
              <w:rPr>
                <w:rFonts w:cs="Arial"/>
                <w:szCs w:val="22"/>
              </w:rPr>
            </w:pPr>
            <w:r>
              <w:rPr>
                <w:rFonts w:cs="Arial"/>
                <w:szCs w:val="22"/>
              </w:rPr>
              <w:t>34.37</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8927A27" w14:textId="77777777" w:rsidR="005F62E6" w:rsidRPr="00BD420C" w:rsidRDefault="005F62E6" w:rsidP="000E4CAE">
            <w:pPr>
              <w:pStyle w:val="ListParagraph"/>
              <w:spacing w:before="0" w:after="0"/>
              <w:ind w:left="0"/>
              <w:jc w:val="center"/>
              <w:rPr>
                <w:rFonts w:cs="Arial"/>
                <w:szCs w:val="22"/>
              </w:rPr>
            </w:pPr>
            <w:r>
              <w:rPr>
                <w:rFonts w:cs="Arial"/>
                <w:szCs w:val="22"/>
              </w:rPr>
              <w:t>104.50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65299F" w14:textId="77777777" w:rsidR="005F62E6" w:rsidRPr="00BD420C" w:rsidRDefault="005F62E6" w:rsidP="000E4CAE">
            <w:pPr>
              <w:pStyle w:val="ListParagraph"/>
              <w:spacing w:before="0" w:after="0"/>
              <w:ind w:left="0"/>
              <w:jc w:val="center"/>
              <w:rPr>
                <w:rFonts w:cs="Arial"/>
                <w:szCs w:val="22"/>
              </w:rPr>
            </w:pPr>
            <w:r>
              <w:rPr>
                <w:rFonts w:cs="Arial"/>
                <w:szCs w:val="22"/>
              </w:rPr>
              <w:t>60.80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1FA918E" w14:textId="77777777" w:rsidR="005F62E6" w:rsidRPr="00BD420C" w:rsidRDefault="005F62E6" w:rsidP="000E4CAE">
            <w:pPr>
              <w:pStyle w:val="ListParagraph"/>
              <w:spacing w:before="0" w:after="0"/>
              <w:ind w:left="0"/>
              <w:jc w:val="center"/>
              <w:rPr>
                <w:rFonts w:cs="Arial"/>
                <w:szCs w:val="22"/>
              </w:rPr>
            </w:pPr>
            <w:r>
              <w:rPr>
                <w:rFonts w:cs="Arial"/>
                <w:szCs w:val="22"/>
              </w:rPr>
              <w:t>55.55</w:t>
            </w:r>
          </w:p>
        </w:tc>
      </w:tr>
    </w:tbl>
    <w:p w14:paraId="51ADB986" w14:textId="78F05B34" w:rsidR="00EE7C95" w:rsidRDefault="00EE7C95" w:rsidP="000D0061">
      <w:pPr>
        <w:pStyle w:val="Heading4"/>
      </w:pPr>
      <w:r w:rsidRPr="00EE7C95">
        <w:t>T.I.M.E.’s Response to Unrealistic Enrollment and Average Daily Attendance Projections</w:t>
      </w:r>
    </w:p>
    <w:p w14:paraId="53B52754" w14:textId="62FD1C8E" w:rsidR="00D6404A" w:rsidRDefault="00D6404A" w:rsidP="00D6404A">
      <w:r w:rsidRPr="00A14E39">
        <w:t>In response to this section of the Notice of Violation, T.I.M.E. provided the following table:</w:t>
      </w:r>
    </w:p>
    <w:p w14:paraId="233D6747" w14:textId="5AD3148F" w:rsidR="00B55C7E" w:rsidRDefault="00B55C7E" w:rsidP="00B55C7E">
      <w:pPr>
        <w:pStyle w:val="TableHeading"/>
      </w:pPr>
      <w:r>
        <w:t>T.I.M.E.’s Forecasted Enrollment, ADA, and Attendance Rate</w:t>
      </w:r>
      <w:r w:rsidR="00292919">
        <w:t xml:space="preserve"> (provided by T.I.M.E.)</w:t>
      </w:r>
    </w:p>
    <w:tbl>
      <w:tblPr>
        <w:tblStyle w:val="TableGrid"/>
        <w:tblW w:w="9360" w:type="dxa"/>
        <w:tblInd w:w="0" w:type="dxa"/>
        <w:tblLook w:val="04A0" w:firstRow="1" w:lastRow="0" w:firstColumn="1" w:lastColumn="0" w:noHBand="0" w:noVBand="1"/>
        <w:tblDescription w:val="Table provided by T.I.M.E. Community in their response to the Notice of Violation"/>
      </w:tblPr>
      <w:tblGrid>
        <w:gridCol w:w="2340"/>
        <w:gridCol w:w="2340"/>
        <w:gridCol w:w="2340"/>
        <w:gridCol w:w="2340"/>
      </w:tblGrid>
      <w:tr w:rsidR="00D6404A" w:rsidRPr="003424AE" w14:paraId="56BA0A98" w14:textId="77777777" w:rsidTr="00D6404A">
        <w:trPr>
          <w:cantSplit/>
          <w:tblHeader/>
        </w:trPr>
        <w:tc>
          <w:tcPr>
            <w:tcW w:w="2340" w:type="dxa"/>
            <w:shd w:val="clear" w:color="auto" w:fill="D0CECE" w:themeFill="background2" w:themeFillShade="E6"/>
            <w:vAlign w:val="center"/>
          </w:tcPr>
          <w:p w14:paraId="67B2A2C5" w14:textId="77777777" w:rsidR="00D6404A" w:rsidRPr="003424AE" w:rsidRDefault="00D6404A" w:rsidP="00297D82">
            <w:pPr>
              <w:spacing w:before="0" w:after="0"/>
              <w:jc w:val="center"/>
              <w:rPr>
                <w:rFonts w:eastAsia="Arial"/>
                <w:b/>
              </w:rPr>
            </w:pPr>
            <w:r>
              <w:rPr>
                <w:rFonts w:eastAsia="Arial"/>
                <w:b/>
              </w:rPr>
              <w:t>Criteria</w:t>
            </w:r>
          </w:p>
        </w:tc>
        <w:tc>
          <w:tcPr>
            <w:tcW w:w="2340" w:type="dxa"/>
            <w:shd w:val="clear" w:color="auto" w:fill="D0CECE" w:themeFill="background2" w:themeFillShade="E6"/>
            <w:vAlign w:val="center"/>
          </w:tcPr>
          <w:p w14:paraId="4B1B56ED" w14:textId="77777777" w:rsidR="00D6404A" w:rsidRPr="003424AE" w:rsidRDefault="00D6404A" w:rsidP="00297D82">
            <w:pPr>
              <w:spacing w:before="0" w:after="0"/>
              <w:jc w:val="center"/>
              <w:rPr>
                <w:rFonts w:eastAsia="Arial"/>
                <w:b/>
              </w:rPr>
            </w:pPr>
            <w:r>
              <w:rPr>
                <w:rFonts w:eastAsia="Arial"/>
                <w:b/>
              </w:rPr>
              <w:t>2022–23 Annual Forecast First Principal Apportionment</w:t>
            </w:r>
          </w:p>
        </w:tc>
        <w:tc>
          <w:tcPr>
            <w:tcW w:w="2340" w:type="dxa"/>
            <w:shd w:val="clear" w:color="auto" w:fill="D0CECE" w:themeFill="background2" w:themeFillShade="E6"/>
            <w:vAlign w:val="center"/>
          </w:tcPr>
          <w:p w14:paraId="0B8E7CD1" w14:textId="77777777" w:rsidR="00EA2B49" w:rsidRDefault="00D6404A" w:rsidP="00297D82">
            <w:pPr>
              <w:spacing w:before="0" w:after="0"/>
              <w:jc w:val="center"/>
              <w:rPr>
                <w:rFonts w:eastAsia="Arial"/>
                <w:b/>
              </w:rPr>
            </w:pPr>
            <w:r>
              <w:rPr>
                <w:rFonts w:eastAsia="Arial"/>
                <w:b/>
              </w:rPr>
              <w:t>2023–24</w:t>
            </w:r>
          </w:p>
          <w:p w14:paraId="72E2A97F" w14:textId="2D9A17C4" w:rsidR="00D6404A" w:rsidRPr="003424AE" w:rsidRDefault="00D6404A" w:rsidP="00297D82">
            <w:pPr>
              <w:spacing w:before="0" w:after="0"/>
              <w:jc w:val="center"/>
              <w:rPr>
                <w:rFonts w:eastAsia="Arial"/>
                <w:b/>
              </w:rPr>
            </w:pPr>
            <w:r>
              <w:rPr>
                <w:rFonts w:eastAsia="Arial"/>
                <w:b/>
              </w:rPr>
              <w:t>Forecast</w:t>
            </w:r>
          </w:p>
        </w:tc>
        <w:tc>
          <w:tcPr>
            <w:tcW w:w="2340" w:type="dxa"/>
            <w:shd w:val="clear" w:color="auto" w:fill="D0CECE" w:themeFill="background2" w:themeFillShade="E6"/>
            <w:vAlign w:val="center"/>
          </w:tcPr>
          <w:p w14:paraId="7E469907" w14:textId="77777777" w:rsidR="00EA2B49" w:rsidRDefault="00D6404A" w:rsidP="00297D82">
            <w:pPr>
              <w:spacing w:before="0" w:after="0"/>
              <w:jc w:val="center"/>
              <w:rPr>
                <w:rFonts w:eastAsia="Arial"/>
                <w:b/>
              </w:rPr>
            </w:pPr>
            <w:r>
              <w:rPr>
                <w:rFonts w:eastAsia="Arial"/>
                <w:b/>
              </w:rPr>
              <w:t>2024–25</w:t>
            </w:r>
          </w:p>
          <w:p w14:paraId="7C8D6073" w14:textId="4E03AE68" w:rsidR="00D6404A" w:rsidRPr="003424AE" w:rsidRDefault="00D6404A" w:rsidP="00297D82">
            <w:pPr>
              <w:spacing w:before="0" w:after="0"/>
              <w:jc w:val="center"/>
              <w:rPr>
                <w:rFonts w:eastAsia="Arial"/>
                <w:b/>
              </w:rPr>
            </w:pPr>
            <w:r>
              <w:rPr>
                <w:rFonts w:eastAsia="Arial"/>
                <w:b/>
              </w:rPr>
              <w:t>Forecast</w:t>
            </w:r>
          </w:p>
        </w:tc>
      </w:tr>
      <w:tr w:rsidR="00D6404A" w:rsidRPr="003424AE" w14:paraId="7DC26572" w14:textId="77777777" w:rsidTr="00A14E39">
        <w:trPr>
          <w:cantSplit/>
          <w:trHeight w:val="70"/>
        </w:trPr>
        <w:tc>
          <w:tcPr>
            <w:tcW w:w="2340" w:type="dxa"/>
            <w:shd w:val="clear" w:color="auto" w:fill="auto"/>
            <w:vAlign w:val="center"/>
          </w:tcPr>
          <w:p w14:paraId="3A355BEF" w14:textId="77777777" w:rsidR="00D6404A" w:rsidRPr="003424AE" w:rsidRDefault="00D6404A" w:rsidP="00297D82">
            <w:pPr>
              <w:spacing w:before="0" w:after="0"/>
              <w:rPr>
                <w:rFonts w:eastAsia="Arial"/>
                <w:b/>
              </w:rPr>
            </w:pPr>
            <w:r>
              <w:rPr>
                <w:rFonts w:eastAsia="Arial"/>
                <w:b/>
              </w:rPr>
              <w:t>Enrollment</w:t>
            </w:r>
          </w:p>
        </w:tc>
        <w:tc>
          <w:tcPr>
            <w:tcW w:w="2340" w:type="dxa"/>
            <w:shd w:val="clear" w:color="auto" w:fill="auto"/>
            <w:vAlign w:val="center"/>
          </w:tcPr>
          <w:p w14:paraId="2C14BD30" w14:textId="77777777" w:rsidR="00D6404A" w:rsidRPr="003424AE" w:rsidRDefault="00D6404A" w:rsidP="00297D82">
            <w:pPr>
              <w:spacing w:before="0" w:after="0"/>
              <w:jc w:val="center"/>
              <w:rPr>
                <w:rFonts w:eastAsia="Arial"/>
              </w:rPr>
            </w:pPr>
            <w:r>
              <w:rPr>
                <w:rFonts w:eastAsia="Arial"/>
              </w:rPr>
              <w:t>62</w:t>
            </w:r>
          </w:p>
        </w:tc>
        <w:tc>
          <w:tcPr>
            <w:tcW w:w="2340" w:type="dxa"/>
            <w:shd w:val="clear" w:color="auto" w:fill="auto"/>
            <w:vAlign w:val="center"/>
          </w:tcPr>
          <w:p w14:paraId="32AA9A5A" w14:textId="77777777" w:rsidR="00D6404A" w:rsidRPr="003424AE" w:rsidRDefault="00D6404A" w:rsidP="00297D82">
            <w:pPr>
              <w:spacing w:before="0" w:after="0"/>
              <w:jc w:val="center"/>
              <w:rPr>
                <w:rFonts w:eastAsia="Arial"/>
              </w:rPr>
            </w:pPr>
            <w:r>
              <w:rPr>
                <w:rFonts w:eastAsia="Arial"/>
              </w:rPr>
              <w:t>92</w:t>
            </w:r>
          </w:p>
        </w:tc>
        <w:tc>
          <w:tcPr>
            <w:tcW w:w="2340" w:type="dxa"/>
            <w:shd w:val="clear" w:color="auto" w:fill="auto"/>
            <w:vAlign w:val="center"/>
          </w:tcPr>
          <w:p w14:paraId="55F04636" w14:textId="77777777" w:rsidR="00D6404A" w:rsidRPr="003424AE" w:rsidRDefault="00D6404A" w:rsidP="00297D82">
            <w:pPr>
              <w:spacing w:before="0" w:after="0"/>
              <w:jc w:val="center"/>
              <w:rPr>
                <w:rFonts w:eastAsia="Arial"/>
              </w:rPr>
            </w:pPr>
            <w:r>
              <w:rPr>
                <w:rFonts w:eastAsia="Arial"/>
              </w:rPr>
              <w:t>160</w:t>
            </w:r>
          </w:p>
        </w:tc>
      </w:tr>
      <w:tr w:rsidR="00D6404A" w:rsidRPr="003424AE" w14:paraId="457BC93E" w14:textId="77777777" w:rsidTr="00A14E39">
        <w:trPr>
          <w:cantSplit/>
        </w:trPr>
        <w:tc>
          <w:tcPr>
            <w:tcW w:w="2340" w:type="dxa"/>
            <w:shd w:val="clear" w:color="auto" w:fill="auto"/>
            <w:vAlign w:val="center"/>
          </w:tcPr>
          <w:p w14:paraId="25BAD2D5" w14:textId="77777777" w:rsidR="00D6404A" w:rsidRPr="003424AE" w:rsidRDefault="00D6404A" w:rsidP="00297D82">
            <w:pPr>
              <w:spacing w:before="0" w:after="0"/>
              <w:rPr>
                <w:rFonts w:eastAsia="Arial"/>
                <w:b/>
              </w:rPr>
            </w:pPr>
            <w:r>
              <w:rPr>
                <w:rFonts w:eastAsia="Arial"/>
                <w:b/>
              </w:rPr>
              <w:t>ADA</w:t>
            </w:r>
          </w:p>
        </w:tc>
        <w:tc>
          <w:tcPr>
            <w:tcW w:w="2340" w:type="dxa"/>
            <w:shd w:val="clear" w:color="auto" w:fill="auto"/>
            <w:vAlign w:val="center"/>
          </w:tcPr>
          <w:p w14:paraId="0B36F825" w14:textId="77777777" w:rsidR="00D6404A" w:rsidRPr="003424AE" w:rsidRDefault="00D6404A" w:rsidP="00297D82">
            <w:pPr>
              <w:spacing w:before="0" w:after="0"/>
              <w:jc w:val="center"/>
              <w:rPr>
                <w:rFonts w:eastAsia="Arial"/>
              </w:rPr>
            </w:pPr>
            <w:r>
              <w:rPr>
                <w:rFonts w:eastAsia="Arial"/>
              </w:rPr>
              <w:t>55.55</w:t>
            </w:r>
          </w:p>
        </w:tc>
        <w:tc>
          <w:tcPr>
            <w:tcW w:w="2340" w:type="dxa"/>
            <w:shd w:val="clear" w:color="auto" w:fill="auto"/>
            <w:vAlign w:val="center"/>
          </w:tcPr>
          <w:p w14:paraId="56DA50D9" w14:textId="77777777" w:rsidR="00D6404A" w:rsidRPr="003424AE" w:rsidRDefault="00D6404A" w:rsidP="00297D82">
            <w:pPr>
              <w:spacing w:before="0" w:after="0"/>
              <w:jc w:val="center"/>
              <w:rPr>
                <w:rFonts w:eastAsia="Arial"/>
              </w:rPr>
            </w:pPr>
            <w:r>
              <w:rPr>
                <w:rFonts w:eastAsia="Arial"/>
              </w:rPr>
              <w:t>82.43</w:t>
            </w:r>
          </w:p>
        </w:tc>
        <w:tc>
          <w:tcPr>
            <w:tcW w:w="2340" w:type="dxa"/>
            <w:shd w:val="clear" w:color="auto" w:fill="auto"/>
            <w:vAlign w:val="center"/>
          </w:tcPr>
          <w:p w14:paraId="105C7186" w14:textId="77777777" w:rsidR="00D6404A" w:rsidRPr="003424AE" w:rsidRDefault="00D6404A" w:rsidP="00297D82">
            <w:pPr>
              <w:spacing w:before="0" w:after="0"/>
              <w:jc w:val="center"/>
              <w:rPr>
                <w:rFonts w:eastAsia="Arial"/>
              </w:rPr>
            </w:pPr>
            <w:r>
              <w:rPr>
                <w:rFonts w:eastAsia="Arial"/>
              </w:rPr>
              <w:t>143.35</w:t>
            </w:r>
          </w:p>
        </w:tc>
      </w:tr>
      <w:tr w:rsidR="00D6404A" w:rsidRPr="003424AE" w14:paraId="33361CEA" w14:textId="77777777" w:rsidTr="00A14E39">
        <w:trPr>
          <w:cantSplit/>
        </w:trPr>
        <w:tc>
          <w:tcPr>
            <w:tcW w:w="2340" w:type="dxa"/>
            <w:shd w:val="clear" w:color="auto" w:fill="auto"/>
            <w:vAlign w:val="center"/>
          </w:tcPr>
          <w:p w14:paraId="38E425C4" w14:textId="77777777" w:rsidR="00D6404A" w:rsidRPr="003424AE" w:rsidRDefault="00D6404A" w:rsidP="00297D82">
            <w:pPr>
              <w:spacing w:before="0" w:after="0"/>
              <w:rPr>
                <w:rFonts w:eastAsia="Arial"/>
                <w:b/>
              </w:rPr>
            </w:pPr>
            <w:r>
              <w:rPr>
                <w:rFonts w:eastAsia="Arial"/>
                <w:b/>
              </w:rPr>
              <w:t>Attendance Rate</w:t>
            </w:r>
          </w:p>
        </w:tc>
        <w:tc>
          <w:tcPr>
            <w:tcW w:w="2340" w:type="dxa"/>
            <w:shd w:val="clear" w:color="auto" w:fill="auto"/>
            <w:vAlign w:val="center"/>
          </w:tcPr>
          <w:p w14:paraId="2389ACAB" w14:textId="77777777" w:rsidR="00D6404A" w:rsidRPr="003424AE" w:rsidRDefault="00D6404A" w:rsidP="00297D82">
            <w:pPr>
              <w:spacing w:before="0" w:after="0"/>
              <w:jc w:val="center"/>
              <w:rPr>
                <w:rFonts w:eastAsia="Arial"/>
              </w:rPr>
            </w:pPr>
            <w:r>
              <w:rPr>
                <w:rFonts w:eastAsia="Arial"/>
              </w:rPr>
              <w:t>90%</w:t>
            </w:r>
          </w:p>
        </w:tc>
        <w:tc>
          <w:tcPr>
            <w:tcW w:w="2340" w:type="dxa"/>
            <w:shd w:val="clear" w:color="auto" w:fill="auto"/>
            <w:vAlign w:val="center"/>
          </w:tcPr>
          <w:p w14:paraId="73B1D524" w14:textId="77777777" w:rsidR="00D6404A" w:rsidRPr="003424AE" w:rsidRDefault="00D6404A" w:rsidP="00297D82">
            <w:pPr>
              <w:spacing w:before="0" w:after="0"/>
              <w:jc w:val="center"/>
              <w:rPr>
                <w:rFonts w:eastAsia="Arial"/>
              </w:rPr>
            </w:pPr>
            <w:r>
              <w:rPr>
                <w:rFonts w:eastAsia="Arial"/>
              </w:rPr>
              <w:t>90%</w:t>
            </w:r>
          </w:p>
        </w:tc>
        <w:tc>
          <w:tcPr>
            <w:tcW w:w="2340" w:type="dxa"/>
            <w:shd w:val="clear" w:color="auto" w:fill="auto"/>
            <w:vAlign w:val="center"/>
          </w:tcPr>
          <w:p w14:paraId="084AA8B0" w14:textId="77777777" w:rsidR="00D6404A" w:rsidRPr="003424AE" w:rsidRDefault="00D6404A" w:rsidP="00297D82">
            <w:pPr>
              <w:spacing w:before="0" w:after="0"/>
              <w:jc w:val="center"/>
              <w:rPr>
                <w:rFonts w:eastAsia="Arial"/>
              </w:rPr>
            </w:pPr>
            <w:r>
              <w:rPr>
                <w:rFonts w:eastAsia="Arial"/>
              </w:rPr>
              <w:t>90%</w:t>
            </w:r>
          </w:p>
        </w:tc>
      </w:tr>
    </w:tbl>
    <w:p w14:paraId="7382D80E" w14:textId="16B1D90B" w:rsidR="002D5987" w:rsidRDefault="001E3CE0" w:rsidP="002D5987">
      <w:pPr>
        <w:rPr>
          <w:rFonts w:eastAsia="Arial"/>
        </w:rPr>
      </w:pPr>
      <w:r>
        <w:rPr>
          <w:rFonts w:eastAsia="Arial"/>
        </w:rPr>
        <w:t>I</w:t>
      </w:r>
      <w:r w:rsidR="00347BAD">
        <w:rPr>
          <w:rFonts w:eastAsia="Arial"/>
        </w:rPr>
        <w:t xml:space="preserve">n </w:t>
      </w:r>
      <w:r w:rsidR="00E00B7F">
        <w:rPr>
          <w:rFonts w:eastAsia="Arial"/>
        </w:rPr>
        <w:t>T.I.M.E.’s Response</w:t>
      </w:r>
      <w:r w:rsidR="00347BAD">
        <w:rPr>
          <w:rFonts w:eastAsia="Arial"/>
        </w:rPr>
        <w:t xml:space="preserve">, </w:t>
      </w:r>
      <w:r w:rsidR="007819CA" w:rsidRPr="002D5987">
        <w:rPr>
          <w:rFonts w:eastAsia="Arial"/>
        </w:rPr>
        <w:t>T.I.M.E.</w:t>
      </w:r>
      <w:r w:rsidR="007819CA">
        <w:rPr>
          <w:rFonts w:eastAsia="Arial"/>
        </w:rPr>
        <w:t xml:space="preserve"> asserts that its </w:t>
      </w:r>
      <w:r w:rsidR="007819CA" w:rsidRPr="002D5987">
        <w:rPr>
          <w:rFonts w:eastAsia="Arial"/>
        </w:rPr>
        <w:t xml:space="preserve">enrollment projections are not unrealistic. </w:t>
      </w:r>
      <w:r w:rsidR="007819CA">
        <w:rPr>
          <w:rFonts w:eastAsia="Arial"/>
        </w:rPr>
        <w:t xml:space="preserve">According to </w:t>
      </w:r>
      <w:r w:rsidR="00E00B7F">
        <w:rPr>
          <w:rFonts w:eastAsia="Arial"/>
        </w:rPr>
        <w:t>its response</w:t>
      </w:r>
      <w:r w:rsidR="007819CA">
        <w:rPr>
          <w:rFonts w:eastAsia="Arial"/>
        </w:rPr>
        <w:t xml:space="preserve">, </w:t>
      </w:r>
      <w:r w:rsidR="00E00B7F">
        <w:rPr>
          <w:rFonts w:eastAsia="Arial"/>
        </w:rPr>
        <w:t xml:space="preserve">T.I.M.E.’s </w:t>
      </w:r>
      <w:r w:rsidR="007819CA" w:rsidRPr="002D5987">
        <w:rPr>
          <w:rFonts w:eastAsia="Arial"/>
        </w:rPr>
        <w:t>initial enrollment was based on intent to enroll forms and applications. Once the school year began, T.I.M.E. updated its budget to reflect actual numbers.</w:t>
      </w:r>
      <w:r w:rsidR="00D94D39">
        <w:rPr>
          <w:rFonts w:eastAsia="Arial"/>
        </w:rPr>
        <w:t xml:space="preserve"> </w:t>
      </w:r>
      <w:r w:rsidR="007819CA">
        <w:rPr>
          <w:rFonts w:eastAsia="Arial"/>
        </w:rPr>
        <w:t>T.I.M.E. states that</w:t>
      </w:r>
      <w:r w:rsidR="008C7F4A">
        <w:rPr>
          <w:rFonts w:eastAsia="Arial"/>
        </w:rPr>
        <w:t xml:space="preserve"> </w:t>
      </w:r>
      <w:r w:rsidR="000B39C0">
        <w:t>LACOE is using outdated projections from December</w:t>
      </w:r>
      <w:r w:rsidR="00E32A1E">
        <w:t xml:space="preserve"> 2022. </w:t>
      </w:r>
      <w:r w:rsidR="00814D11">
        <w:rPr>
          <w:rFonts w:eastAsia="Arial"/>
        </w:rPr>
        <w:t>T.I.M.E. projects</w:t>
      </w:r>
      <w:r w:rsidR="00340077">
        <w:rPr>
          <w:rFonts w:eastAsia="Arial"/>
        </w:rPr>
        <w:t xml:space="preserve"> 92 students in the 2023</w:t>
      </w:r>
      <w:r w:rsidR="00D94D39">
        <w:rPr>
          <w:rFonts w:eastAsia="Arial"/>
        </w:rPr>
        <w:t>–</w:t>
      </w:r>
      <w:r w:rsidR="00340077">
        <w:rPr>
          <w:rFonts w:eastAsia="Arial"/>
        </w:rPr>
        <w:t>24 school year with a 90</w:t>
      </w:r>
      <w:r w:rsidR="00D94D39">
        <w:rPr>
          <w:rFonts w:eastAsia="Arial"/>
        </w:rPr>
        <w:t xml:space="preserve"> percent</w:t>
      </w:r>
      <w:r w:rsidR="00340077">
        <w:rPr>
          <w:rFonts w:eastAsia="Arial"/>
        </w:rPr>
        <w:t xml:space="preserve"> attendance rate</w:t>
      </w:r>
      <w:r w:rsidR="009D2145">
        <w:rPr>
          <w:rFonts w:eastAsia="Arial"/>
        </w:rPr>
        <w:t>,</w:t>
      </w:r>
      <w:r w:rsidR="00D5785B">
        <w:rPr>
          <w:rFonts w:eastAsia="Arial"/>
        </w:rPr>
        <w:t xml:space="preserve"> which mirrors </w:t>
      </w:r>
      <w:r w:rsidR="00732F95">
        <w:rPr>
          <w:rFonts w:eastAsia="Arial"/>
        </w:rPr>
        <w:t xml:space="preserve">the figures from </w:t>
      </w:r>
      <w:r w:rsidR="00D5785B">
        <w:rPr>
          <w:rFonts w:eastAsia="Arial"/>
        </w:rPr>
        <w:t xml:space="preserve">T.I.M.E.’s </w:t>
      </w:r>
      <w:r w:rsidR="009D2145">
        <w:rPr>
          <w:rFonts w:eastAsia="Arial"/>
        </w:rPr>
        <w:t>P-1 Attendance Report</w:t>
      </w:r>
      <w:r w:rsidR="00732F95">
        <w:rPr>
          <w:rFonts w:eastAsia="Arial"/>
        </w:rPr>
        <w:t xml:space="preserve"> for 2022</w:t>
      </w:r>
      <w:r w:rsidR="00D94D39">
        <w:rPr>
          <w:rFonts w:eastAsia="Arial"/>
        </w:rPr>
        <w:t>–</w:t>
      </w:r>
      <w:r w:rsidR="00732F95">
        <w:rPr>
          <w:rFonts w:eastAsia="Arial"/>
        </w:rPr>
        <w:t>23</w:t>
      </w:r>
      <w:r w:rsidR="00D5785B">
        <w:rPr>
          <w:rFonts w:eastAsia="Arial"/>
        </w:rPr>
        <w:t>.</w:t>
      </w:r>
      <w:r w:rsidR="00B816F0">
        <w:rPr>
          <w:rFonts w:eastAsia="Arial"/>
        </w:rPr>
        <w:t xml:space="preserve"> </w:t>
      </w:r>
      <w:r w:rsidR="00FB2316">
        <w:rPr>
          <w:rFonts w:eastAsia="Arial"/>
        </w:rPr>
        <w:t xml:space="preserve">T.I.M.E. </w:t>
      </w:r>
      <w:r w:rsidR="002D5987">
        <w:rPr>
          <w:rFonts w:eastAsia="Arial"/>
        </w:rPr>
        <w:t>projects</w:t>
      </w:r>
      <w:r w:rsidR="00FB2316">
        <w:rPr>
          <w:rFonts w:eastAsia="Arial"/>
        </w:rPr>
        <w:t xml:space="preserve"> 82.43</w:t>
      </w:r>
      <w:r w:rsidR="00B13A6A">
        <w:rPr>
          <w:rFonts w:eastAsia="Arial"/>
        </w:rPr>
        <w:t xml:space="preserve"> ADA for 2023</w:t>
      </w:r>
      <w:r w:rsidR="00D94D39">
        <w:rPr>
          <w:rFonts w:eastAsia="Arial"/>
        </w:rPr>
        <w:t>–</w:t>
      </w:r>
      <w:r w:rsidR="00B13A6A">
        <w:rPr>
          <w:rFonts w:eastAsia="Arial"/>
        </w:rPr>
        <w:t>24. In 2024</w:t>
      </w:r>
      <w:r w:rsidR="00D94D39">
        <w:rPr>
          <w:rFonts w:eastAsia="Arial"/>
        </w:rPr>
        <w:t>–</w:t>
      </w:r>
      <w:r w:rsidR="00B13A6A">
        <w:rPr>
          <w:rFonts w:eastAsia="Arial"/>
        </w:rPr>
        <w:t xml:space="preserve">25, T.I.M.E. </w:t>
      </w:r>
      <w:r w:rsidR="00494AC0">
        <w:rPr>
          <w:rFonts w:eastAsia="Arial"/>
        </w:rPr>
        <w:t>proj</w:t>
      </w:r>
      <w:r w:rsidR="0041065E">
        <w:rPr>
          <w:rFonts w:eastAsia="Arial"/>
        </w:rPr>
        <w:t>ect</w:t>
      </w:r>
      <w:r w:rsidR="00494AC0">
        <w:rPr>
          <w:rFonts w:eastAsia="Arial"/>
        </w:rPr>
        <w:t xml:space="preserve">s an enrollment of 160 students </w:t>
      </w:r>
      <w:r w:rsidR="0041065E">
        <w:rPr>
          <w:rFonts w:eastAsia="Arial"/>
        </w:rPr>
        <w:t>at 90</w:t>
      </w:r>
      <w:r w:rsidR="009D2145">
        <w:rPr>
          <w:rFonts w:eastAsia="Arial"/>
        </w:rPr>
        <w:t xml:space="preserve"> percent</w:t>
      </w:r>
      <w:r w:rsidR="0041065E">
        <w:rPr>
          <w:rFonts w:eastAsia="Arial"/>
        </w:rPr>
        <w:t xml:space="preserve"> attendance, which results in 144 ADA. </w:t>
      </w:r>
    </w:p>
    <w:p w14:paraId="0D342267" w14:textId="4DA5CEDB" w:rsidR="00232385" w:rsidRDefault="002D5987" w:rsidP="007819CA">
      <w:pPr>
        <w:rPr>
          <w:rFonts w:eastAsia="Arial"/>
        </w:rPr>
      </w:pPr>
      <w:r>
        <w:rPr>
          <w:rFonts w:eastAsia="Arial"/>
        </w:rPr>
        <w:t>T.I.M.E. states that b</w:t>
      </w:r>
      <w:r w:rsidR="001B0BF4" w:rsidRPr="002D5987">
        <w:rPr>
          <w:rFonts w:eastAsia="Arial"/>
        </w:rPr>
        <w:t xml:space="preserve">ecause LACOE did </w:t>
      </w:r>
      <w:r w:rsidR="009D2145">
        <w:rPr>
          <w:rFonts w:eastAsia="Arial"/>
        </w:rPr>
        <w:t xml:space="preserve">not </w:t>
      </w:r>
      <w:r w:rsidR="001B0BF4" w:rsidRPr="002D5987">
        <w:rPr>
          <w:rFonts w:eastAsia="Arial"/>
        </w:rPr>
        <w:t xml:space="preserve">provide T.I.M.E. with a </w:t>
      </w:r>
      <w:r w:rsidR="005138CF" w:rsidRPr="002D5987">
        <w:rPr>
          <w:rFonts w:eastAsia="Arial"/>
        </w:rPr>
        <w:t xml:space="preserve">Letter </w:t>
      </w:r>
      <w:r w:rsidR="005138CF">
        <w:rPr>
          <w:rFonts w:eastAsia="Arial"/>
        </w:rPr>
        <w:t>o</w:t>
      </w:r>
      <w:r w:rsidR="005138CF" w:rsidRPr="002D5987">
        <w:rPr>
          <w:rFonts w:eastAsia="Arial"/>
        </w:rPr>
        <w:t>f Good Standing</w:t>
      </w:r>
      <w:r w:rsidR="001B0BF4" w:rsidRPr="002D5987">
        <w:rPr>
          <w:rFonts w:eastAsia="Arial"/>
        </w:rPr>
        <w:t xml:space="preserve">, T.I.M.E. was unable to receive </w:t>
      </w:r>
      <w:r w:rsidR="00E15A18">
        <w:rPr>
          <w:rFonts w:eastAsia="Arial"/>
        </w:rPr>
        <w:t>Charter School Facility Grant (</w:t>
      </w:r>
      <w:r w:rsidR="001B0BF4" w:rsidRPr="002D5987">
        <w:rPr>
          <w:rFonts w:eastAsia="Arial"/>
        </w:rPr>
        <w:t>S</w:t>
      </w:r>
      <w:r w:rsidR="00E15A18">
        <w:rPr>
          <w:rFonts w:eastAsia="Arial"/>
        </w:rPr>
        <w:t xml:space="preserve">enate Bill </w:t>
      </w:r>
      <w:r w:rsidR="001B0BF4" w:rsidRPr="002D5987">
        <w:rPr>
          <w:rFonts w:eastAsia="Arial"/>
        </w:rPr>
        <w:t>740</w:t>
      </w:r>
      <w:r w:rsidR="00E15A18">
        <w:rPr>
          <w:rFonts w:eastAsia="Arial"/>
        </w:rPr>
        <w:t>)</w:t>
      </w:r>
      <w:r w:rsidR="001B0BF4" w:rsidRPr="002D5987">
        <w:rPr>
          <w:rFonts w:eastAsia="Arial"/>
        </w:rPr>
        <w:t xml:space="preserve"> </w:t>
      </w:r>
      <w:r w:rsidR="00E15A18">
        <w:rPr>
          <w:rFonts w:eastAsia="Arial"/>
        </w:rPr>
        <w:t xml:space="preserve">Program </w:t>
      </w:r>
      <w:r w:rsidR="001B0BF4" w:rsidRPr="002D5987">
        <w:rPr>
          <w:rFonts w:eastAsia="Arial"/>
        </w:rPr>
        <w:t>funds and revolving loan funds, both of which are critical funding sources for new charter schools.</w:t>
      </w:r>
      <w:r w:rsidR="00221F26" w:rsidRPr="002D5987">
        <w:rPr>
          <w:rFonts w:eastAsia="Arial"/>
        </w:rPr>
        <w:t xml:space="preserve"> Lacking the </w:t>
      </w:r>
      <w:r w:rsidR="005138CF">
        <w:rPr>
          <w:rFonts w:eastAsia="Arial"/>
        </w:rPr>
        <w:t>L</w:t>
      </w:r>
      <w:r w:rsidR="00221F26" w:rsidRPr="002D5987">
        <w:rPr>
          <w:rFonts w:eastAsia="Arial"/>
        </w:rPr>
        <w:t xml:space="preserve">etter of </w:t>
      </w:r>
      <w:r w:rsidR="005138CF" w:rsidRPr="002D5987">
        <w:rPr>
          <w:rFonts w:eastAsia="Arial"/>
        </w:rPr>
        <w:t>Good Standing</w:t>
      </w:r>
      <w:r w:rsidR="00221F26" w:rsidRPr="002D5987">
        <w:rPr>
          <w:rFonts w:eastAsia="Arial"/>
        </w:rPr>
        <w:t>, T.I.M.E. was also unable to engage in the sale of receivables.</w:t>
      </w:r>
      <w:r>
        <w:rPr>
          <w:rFonts w:eastAsia="Arial"/>
        </w:rPr>
        <w:t xml:space="preserve"> </w:t>
      </w:r>
      <w:r w:rsidR="00221F26" w:rsidRPr="002D5987">
        <w:rPr>
          <w:rFonts w:eastAsia="Arial"/>
        </w:rPr>
        <w:t xml:space="preserve">If T.I.M.E. were provided with </w:t>
      </w:r>
      <w:r w:rsidR="009D2145">
        <w:rPr>
          <w:rFonts w:eastAsia="Arial"/>
        </w:rPr>
        <w:t>a</w:t>
      </w:r>
      <w:r w:rsidR="00221F26" w:rsidRPr="002D5987">
        <w:rPr>
          <w:rFonts w:eastAsia="Arial"/>
        </w:rPr>
        <w:t xml:space="preserve"> </w:t>
      </w:r>
      <w:r w:rsidR="005138CF">
        <w:rPr>
          <w:rFonts w:eastAsia="Arial"/>
        </w:rPr>
        <w:t>Letter of Good Standing</w:t>
      </w:r>
      <w:r w:rsidR="00221F26" w:rsidRPr="002D5987">
        <w:rPr>
          <w:rFonts w:eastAsia="Arial"/>
        </w:rPr>
        <w:t xml:space="preserve"> from LACOE, T.I.M.E. </w:t>
      </w:r>
      <w:r>
        <w:rPr>
          <w:rFonts w:eastAsia="Arial"/>
        </w:rPr>
        <w:t xml:space="preserve">asserts that its deficit </w:t>
      </w:r>
      <w:r w:rsidR="00221F26" w:rsidRPr="002D5987">
        <w:rPr>
          <w:rFonts w:eastAsia="Arial"/>
        </w:rPr>
        <w:t xml:space="preserve">would not have increased and </w:t>
      </w:r>
      <w:r>
        <w:rPr>
          <w:rFonts w:eastAsia="Arial"/>
        </w:rPr>
        <w:t xml:space="preserve">that T.I.M.E. </w:t>
      </w:r>
      <w:r w:rsidR="00221F26" w:rsidRPr="002D5987">
        <w:rPr>
          <w:rFonts w:eastAsia="Arial"/>
        </w:rPr>
        <w:t>would have paid down its debt.</w:t>
      </w:r>
      <w:r w:rsidR="00644CE3" w:rsidRPr="002D5987">
        <w:rPr>
          <w:rFonts w:eastAsia="Arial"/>
        </w:rPr>
        <w:t xml:space="preserve"> </w:t>
      </w:r>
      <w:r w:rsidR="00F717BC">
        <w:rPr>
          <w:rFonts w:eastAsia="Arial"/>
        </w:rPr>
        <w:t xml:space="preserve">T.I.M.E. </w:t>
      </w:r>
      <w:r w:rsidR="00232385" w:rsidRPr="007819CA">
        <w:rPr>
          <w:rFonts w:eastAsia="Arial"/>
        </w:rPr>
        <w:t xml:space="preserve">has submitted a more recent plan </w:t>
      </w:r>
      <w:r w:rsidR="00232385" w:rsidRPr="007819CA">
        <w:rPr>
          <w:rFonts w:eastAsia="Arial"/>
        </w:rPr>
        <w:lastRenderedPageBreak/>
        <w:t>tha</w:t>
      </w:r>
      <w:r w:rsidR="009D2145">
        <w:rPr>
          <w:rFonts w:eastAsia="Arial"/>
        </w:rPr>
        <w:t>t</w:t>
      </w:r>
      <w:r w:rsidR="00232385" w:rsidRPr="007819CA">
        <w:rPr>
          <w:rFonts w:eastAsia="Arial"/>
        </w:rPr>
        <w:t xml:space="preserve"> demonstrates that T.I.M.E. will almost completely </w:t>
      </w:r>
      <w:r w:rsidR="009D2145">
        <w:rPr>
          <w:rFonts w:eastAsia="Arial"/>
        </w:rPr>
        <w:t>be</w:t>
      </w:r>
      <w:r w:rsidR="00232385" w:rsidRPr="007819CA">
        <w:rPr>
          <w:rFonts w:eastAsia="Arial"/>
        </w:rPr>
        <w:t xml:space="preserve"> ou</w:t>
      </w:r>
      <w:r w:rsidR="00F717BC">
        <w:rPr>
          <w:rFonts w:eastAsia="Arial"/>
        </w:rPr>
        <w:t>t</w:t>
      </w:r>
      <w:r w:rsidR="00232385" w:rsidRPr="007819CA">
        <w:rPr>
          <w:rFonts w:eastAsia="Arial"/>
        </w:rPr>
        <w:t xml:space="preserve"> of debt by the end of the 2023</w:t>
      </w:r>
      <w:r w:rsidR="00D94D39">
        <w:rPr>
          <w:rFonts w:eastAsia="Arial"/>
        </w:rPr>
        <w:t>–</w:t>
      </w:r>
      <w:r w:rsidR="00232385" w:rsidRPr="007819CA">
        <w:rPr>
          <w:rFonts w:eastAsia="Arial"/>
        </w:rPr>
        <w:t>24 school year, based on a minimum enrollment increase of 30 students.</w:t>
      </w:r>
    </w:p>
    <w:p w14:paraId="39C2EFCB" w14:textId="4F31A078" w:rsidR="00EE7C95" w:rsidRPr="009B12CD" w:rsidRDefault="00E57406" w:rsidP="000D0061">
      <w:pPr>
        <w:pStyle w:val="Heading4"/>
      </w:pPr>
      <w:bookmarkStart w:id="1" w:name="_Hlk93398431"/>
      <w:r w:rsidRPr="008D4BCC">
        <w:t>CDE</w:t>
      </w:r>
      <w:r w:rsidR="001F1C52">
        <w:t xml:space="preserve"> and LACOE</w:t>
      </w:r>
      <w:r w:rsidRPr="008D4BCC">
        <w:t xml:space="preserve">’s Analysis of </w:t>
      </w:r>
      <w:r w:rsidR="00EE7C95" w:rsidRPr="00EE7C95">
        <w:t xml:space="preserve">T.I.M.E.’s Response to Unrealistic Enrollment and </w:t>
      </w:r>
      <w:r w:rsidR="00EE7C95" w:rsidRPr="009B12CD">
        <w:t>Average Daily Attendance Projections</w:t>
      </w:r>
    </w:p>
    <w:p w14:paraId="6267E825" w14:textId="77777777" w:rsidR="00BB7A1F" w:rsidRPr="009B12CD" w:rsidRDefault="000F4CDF" w:rsidP="009D2145">
      <w:r w:rsidRPr="009B12CD">
        <w:t xml:space="preserve">The enrollment and </w:t>
      </w:r>
      <w:r w:rsidR="009D2145" w:rsidRPr="009B12CD">
        <w:t>ADA</w:t>
      </w:r>
      <w:r w:rsidRPr="009B12CD">
        <w:t xml:space="preserve"> projections included in </w:t>
      </w:r>
      <w:r w:rsidR="00CC4DE5" w:rsidRPr="009B12CD">
        <w:t>T.I.M.E.’s Response</w:t>
      </w:r>
      <w:r w:rsidRPr="009B12CD">
        <w:t xml:space="preserve"> </w:t>
      </w:r>
      <w:r w:rsidR="0069772D" w:rsidRPr="009B12CD">
        <w:t xml:space="preserve">continue </w:t>
      </w:r>
      <w:r w:rsidR="009D2145" w:rsidRPr="009B12CD">
        <w:t xml:space="preserve">to follow </w:t>
      </w:r>
      <w:r w:rsidR="0069772D" w:rsidRPr="009B12CD">
        <w:t xml:space="preserve">T.I.M.E.’s pattern of unrealistic forecasts for student </w:t>
      </w:r>
      <w:r w:rsidR="00C95D76" w:rsidRPr="009B12CD">
        <w:t>enrollment</w:t>
      </w:r>
      <w:r w:rsidR="0069772D" w:rsidRPr="009B12CD">
        <w:t xml:space="preserve"> and attendance</w:t>
      </w:r>
      <w:r w:rsidR="00F50806" w:rsidRPr="009B12CD">
        <w:t xml:space="preserve"> rates, which perpetuate the school’s structural deficit.</w:t>
      </w:r>
      <w:r w:rsidR="00C95D76" w:rsidRPr="009B12CD">
        <w:t xml:space="preserve"> </w:t>
      </w:r>
    </w:p>
    <w:p w14:paraId="1FCCA73B" w14:textId="0EB9A6B2" w:rsidR="00BB7A1F" w:rsidRDefault="00BB7A1F" w:rsidP="009D2145">
      <w:r w:rsidRPr="009B12CD">
        <w:t>The school has</w:t>
      </w:r>
      <w:r w:rsidR="00B66E58" w:rsidRPr="009B12CD">
        <w:t xml:space="preserve"> continuously</w:t>
      </w:r>
      <w:r w:rsidRPr="009B12CD">
        <w:t xml:space="preserve"> failed to meet its enrollment projections with historical trends indicating about 20 students per grade level even as the school has added grade levels. </w:t>
      </w:r>
      <w:r w:rsidR="00B66E58" w:rsidRPr="009B12CD">
        <w:t>For example, i</w:t>
      </w:r>
      <w:r w:rsidRPr="009B12CD">
        <w:t>n 2021–22</w:t>
      </w:r>
      <w:r w:rsidR="00B66E58" w:rsidRPr="009B12CD">
        <w:t>,</w:t>
      </w:r>
      <w:r w:rsidRPr="009B12CD">
        <w:t xml:space="preserve"> T.I.M.E. initially budgeted for 165 students in grades nine and ten, and subsequently enrolled just 40 students during the 2021–22 school year, equating to only 24 percent of its initial enrollment projection. Additionally, for the 2022–23 school year T.I.M.E. budgeted for 110 students in grades nine through eleven; however, the school enrolled 62 students.</w:t>
      </w:r>
    </w:p>
    <w:p w14:paraId="033CA647" w14:textId="000C5E97" w:rsidR="00C02779" w:rsidRDefault="00C02779" w:rsidP="009D2145">
      <w:r w:rsidRPr="00A14E39">
        <w:t>The following table illustrates the school’s</w:t>
      </w:r>
      <w:r w:rsidR="00CD03E0" w:rsidRPr="00A14E39">
        <w:t xml:space="preserve"> budgeted and forecasted enrollment for school years 2021–22 through 2024–25 as well as the school’s actual enrollment for school years 2021–22 and 2022–23.</w:t>
      </w:r>
    </w:p>
    <w:p w14:paraId="75957DC6" w14:textId="39475A36" w:rsidR="00B55C7E" w:rsidRPr="00A14E39" w:rsidRDefault="00B55C7E" w:rsidP="00B55C7E">
      <w:pPr>
        <w:pStyle w:val="TableHeading"/>
      </w:pPr>
      <w:r>
        <w:t>T.I.M.E.’s Budgeted and Forecasted Enrollment</w:t>
      </w:r>
    </w:p>
    <w:p w14:paraId="08B0D3FF" w14:textId="30F4676B" w:rsidR="00C02779" w:rsidRDefault="00C02779" w:rsidP="009D2145">
      <w:r w:rsidRPr="00A14E39">
        <w:t>TBD: To Be Determined</w:t>
      </w:r>
    </w:p>
    <w:tbl>
      <w:tblPr>
        <w:tblStyle w:val="TableGrid"/>
        <w:tblW w:w="9360" w:type="dxa"/>
        <w:tblInd w:w="-5" w:type="dxa"/>
        <w:tblLook w:val="04A0" w:firstRow="1" w:lastRow="0" w:firstColumn="1" w:lastColumn="0" w:noHBand="0" w:noVBand="1"/>
        <w:tblDescription w:val="T.I.M.E.'s Budgeted and Forecasted Enrollment"/>
      </w:tblPr>
      <w:tblGrid>
        <w:gridCol w:w="2880"/>
        <w:gridCol w:w="1620"/>
        <w:gridCol w:w="1620"/>
        <w:gridCol w:w="1620"/>
        <w:gridCol w:w="1620"/>
      </w:tblGrid>
      <w:tr w:rsidR="00D6404A" w:rsidRPr="00BD420C" w14:paraId="57669AAE" w14:textId="77777777" w:rsidTr="00C02779">
        <w:trPr>
          <w:cantSplit/>
          <w:trHeight w:val="359"/>
          <w:tblHeader/>
        </w:trPr>
        <w:tc>
          <w:tcPr>
            <w:tcW w:w="2880" w:type="dxa"/>
            <w:shd w:val="clear" w:color="auto" w:fill="D9D9D9" w:themeFill="background1" w:themeFillShade="D9"/>
            <w:vAlign w:val="center"/>
          </w:tcPr>
          <w:p w14:paraId="1F4DC833" w14:textId="43E88002" w:rsidR="00D6404A" w:rsidRPr="00BD420C" w:rsidRDefault="00140651" w:rsidP="00297D82">
            <w:pPr>
              <w:pStyle w:val="ListParagraph"/>
              <w:spacing w:before="0" w:after="0"/>
              <w:ind w:left="0"/>
              <w:jc w:val="center"/>
              <w:rPr>
                <w:rFonts w:cs="Arial"/>
                <w:b/>
                <w:szCs w:val="22"/>
              </w:rPr>
            </w:pPr>
            <w:r>
              <w:rPr>
                <w:rFonts w:cs="Arial"/>
                <w:b/>
                <w:szCs w:val="22"/>
              </w:rPr>
              <w:t>Enrollment</w:t>
            </w:r>
          </w:p>
        </w:tc>
        <w:tc>
          <w:tcPr>
            <w:tcW w:w="1620" w:type="dxa"/>
            <w:shd w:val="clear" w:color="auto" w:fill="D9D9D9" w:themeFill="background1" w:themeFillShade="D9"/>
            <w:vAlign w:val="center"/>
            <w:hideMark/>
          </w:tcPr>
          <w:p w14:paraId="0605FF68" w14:textId="3CC5AF25" w:rsidR="00D6404A" w:rsidRPr="00BD420C" w:rsidRDefault="00D6404A" w:rsidP="00297D82">
            <w:pPr>
              <w:pStyle w:val="ListParagraph"/>
              <w:spacing w:before="0" w:after="0"/>
              <w:ind w:left="0"/>
              <w:jc w:val="center"/>
              <w:rPr>
                <w:rFonts w:cs="Arial"/>
                <w:b/>
                <w:szCs w:val="22"/>
              </w:rPr>
            </w:pPr>
            <w:r>
              <w:rPr>
                <w:rFonts w:cs="Arial"/>
                <w:b/>
                <w:szCs w:val="22"/>
              </w:rPr>
              <w:t>2021–22</w:t>
            </w:r>
            <w:r w:rsidR="00140651">
              <w:rPr>
                <w:rFonts w:cs="Arial"/>
                <w:b/>
                <w:szCs w:val="22"/>
              </w:rPr>
              <w:t xml:space="preserve"> School Year</w:t>
            </w:r>
            <w:r>
              <w:rPr>
                <w:rFonts w:cs="Arial"/>
                <w:b/>
                <w:szCs w:val="22"/>
              </w:rPr>
              <w:t xml:space="preserve"> </w:t>
            </w:r>
          </w:p>
        </w:tc>
        <w:tc>
          <w:tcPr>
            <w:tcW w:w="1620" w:type="dxa"/>
            <w:shd w:val="clear" w:color="auto" w:fill="D9D9D9" w:themeFill="background1" w:themeFillShade="D9"/>
            <w:vAlign w:val="center"/>
            <w:hideMark/>
          </w:tcPr>
          <w:p w14:paraId="1216FB89" w14:textId="792CDB87" w:rsidR="00D6404A" w:rsidRPr="00BD420C" w:rsidRDefault="00D6404A" w:rsidP="00297D82">
            <w:pPr>
              <w:pStyle w:val="ListParagraph"/>
              <w:spacing w:before="0" w:after="0"/>
              <w:ind w:left="0"/>
              <w:jc w:val="center"/>
              <w:rPr>
                <w:rFonts w:cs="Arial"/>
                <w:b/>
                <w:szCs w:val="22"/>
              </w:rPr>
            </w:pPr>
            <w:r>
              <w:rPr>
                <w:rFonts w:cs="Arial"/>
                <w:b/>
                <w:szCs w:val="22"/>
              </w:rPr>
              <w:t>2022–23</w:t>
            </w:r>
            <w:r w:rsidR="00140651">
              <w:rPr>
                <w:rFonts w:cs="Arial"/>
                <w:b/>
                <w:szCs w:val="22"/>
              </w:rPr>
              <w:t xml:space="preserve"> School Year</w:t>
            </w:r>
          </w:p>
        </w:tc>
        <w:tc>
          <w:tcPr>
            <w:tcW w:w="1620" w:type="dxa"/>
            <w:shd w:val="clear" w:color="auto" w:fill="D9D9D9" w:themeFill="background1" w:themeFillShade="D9"/>
            <w:vAlign w:val="center"/>
            <w:hideMark/>
          </w:tcPr>
          <w:p w14:paraId="16BC8200" w14:textId="0C27E0C2" w:rsidR="00D6404A" w:rsidRPr="00BD420C" w:rsidRDefault="00D6404A" w:rsidP="00297D82">
            <w:pPr>
              <w:pStyle w:val="ListParagraph"/>
              <w:spacing w:before="0" w:after="0"/>
              <w:ind w:left="0"/>
              <w:jc w:val="center"/>
              <w:rPr>
                <w:rFonts w:cs="Arial"/>
                <w:b/>
                <w:szCs w:val="22"/>
              </w:rPr>
            </w:pPr>
            <w:r>
              <w:rPr>
                <w:rFonts w:cs="Arial"/>
                <w:b/>
                <w:szCs w:val="22"/>
              </w:rPr>
              <w:t>2023–24</w:t>
            </w:r>
            <w:r w:rsidR="00140651">
              <w:rPr>
                <w:rFonts w:cs="Arial"/>
                <w:b/>
                <w:szCs w:val="22"/>
              </w:rPr>
              <w:t xml:space="preserve"> School Year</w:t>
            </w:r>
          </w:p>
        </w:tc>
        <w:tc>
          <w:tcPr>
            <w:tcW w:w="1620" w:type="dxa"/>
            <w:shd w:val="clear" w:color="auto" w:fill="D9D9D9" w:themeFill="background1" w:themeFillShade="D9"/>
            <w:vAlign w:val="center"/>
            <w:hideMark/>
          </w:tcPr>
          <w:p w14:paraId="58D3FB90" w14:textId="47FD36CE" w:rsidR="00D6404A" w:rsidRPr="00BD420C" w:rsidRDefault="00D6404A" w:rsidP="00297D82">
            <w:pPr>
              <w:pStyle w:val="ListParagraph"/>
              <w:spacing w:before="0" w:after="0"/>
              <w:ind w:left="0"/>
              <w:jc w:val="center"/>
              <w:rPr>
                <w:rFonts w:cs="Arial"/>
                <w:b/>
                <w:szCs w:val="22"/>
              </w:rPr>
            </w:pPr>
            <w:r>
              <w:rPr>
                <w:rFonts w:cs="Arial"/>
                <w:b/>
                <w:szCs w:val="22"/>
              </w:rPr>
              <w:t>2024–25</w:t>
            </w:r>
            <w:r w:rsidR="00140651">
              <w:rPr>
                <w:rFonts w:cs="Arial"/>
                <w:b/>
                <w:szCs w:val="22"/>
              </w:rPr>
              <w:t xml:space="preserve"> School Year</w:t>
            </w:r>
          </w:p>
        </w:tc>
      </w:tr>
      <w:tr w:rsidR="00D6404A" w:rsidRPr="00BD420C" w14:paraId="31C1E2B3" w14:textId="77777777" w:rsidTr="00A14E39">
        <w:trPr>
          <w:cantSplit/>
          <w:trHeight w:val="70"/>
        </w:trPr>
        <w:tc>
          <w:tcPr>
            <w:tcW w:w="2880" w:type="dxa"/>
            <w:shd w:val="clear" w:color="auto" w:fill="auto"/>
            <w:vAlign w:val="center"/>
            <w:hideMark/>
          </w:tcPr>
          <w:p w14:paraId="1648D71C" w14:textId="57BD4E96" w:rsidR="00D6404A" w:rsidRPr="00BD420C" w:rsidRDefault="00140651" w:rsidP="00297D82">
            <w:pPr>
              <w:pStyle w:val="ListParagraph"/>
              <w:spacing w:before="0" w:after="0"/>
              <w:ind w:left="0"/>
              <w:rPr>
                <w:rFonts w:cs="Arial"/>
                <w:b/>
                <w:szCs w:val="22"/>
              </w:rPr>
            </w:pPr>
            <w:r>
              <w:rPr>
                <w:rFonts w:cs="Arial"/>
                <w:b/>
                <w:szCs w:val="22"/>
              </w:rPr>
              <w:t>Budgeted/Forecasted</w:t>
            </w:r>
          </w:p>
        </w:tc>
        <w:tc>
          <w:tcPr>
            <w:tcW w:w="1620" w:type="dxa"/>
            <w:shd w:val="clear" w:color="auto" w:fill="auto"/>
            <w:vAlign w:val="center"/>
          </w:tcPr>
          <w:p w14:paraId="0371151B" w14:textId="75B9E8FE" w:rsidR="00D6404A" w:rsidRPr="00BD420C" w:rsidRDefault="00140651" w:rsidP="00297D82">
            <w:pPr>
              <w:pStyle w:val="ListParagraph"/>
              <w:spacing w:before="0" w:after="0"/>
              <w:ind w:left="0"/>
              <w:jc w:val="center"/>
              <w:rPr>
                <w:rFonts w:cs="Arial"/>
                <w:szCs w:val="22"/>
              </w:rPr>
            </w:pPr>
            <w:r>
              <w:rPr>
                <w:rFonts w:cs="Arial"/>
                <w:szCs w:val="22"/>
              </w:rPr>
              <w:t>165</w:t>
            </w:r>
          </w:p>
        </w:tc>
        <w:tc>
          <w:tcPr>
            <w:tcW w:w="1620" w:type="dxa"/>
            <w:shd w:val="clear" w:color="auto" w:fill="auto"/>
            <w:vAlign w:val="center"/>
          </w:tcPr>
          <w:p w14:paraId="49F9895C" w14:textId="30ED5917" w:rsidR="00D6404A" w:rsidRPr="00BD420C" w:rsidRDefault="00140651" w:rsidP="00297D82">
            <w:pPr>
              <w:pStyle w:val="ListParagraph"/>
              <w:spacing w:before="0" w:after="0"/>
              <w:ind w:left="0"/>
              <w:jc w:val="center"/>
              <w:rPr>
                <w:rFonts w:cs="Arial"/>
                <w:szCs w:val="22"/>
              </w:rPr>
            </w:pPr>
            <w:r>
              <w:rPr>
                <w:rFonts w:cs="Arial"/>
                <w:szCs w:val="22"/>
              </w:rPr>
              <w:t>110</w:t>
            </w:r>
          </w:p>
        </w:tc>
        <w:tc>
          <w:tcPr>
            <w:tcW w:w="1620" w:type="dxa"/>
            <w:shd w:val="clear" w:color="auto" w:fill="auto"/>
            <w:vAlign w:val="center"/>
          </w:tcPr>
          <w:p w14:paraId="05177634" w14:textId="74215F07" w:rsidR="00D6404A" w:rsidRPr="00BD420C" w:rsidRDefault="00140651" w:rsidP="00297D82">
            <w:pPr>
              <w:pStyle w:val="ListParagraph"/>
              <w:spacing w:before="0" w:after="0"/>
              <w:ind w:left="0"/>
              <w:jc w:val="center"/>
              <w:rPr>
                <w:rFonts w:cs="Arial"/>
                <w:szCs w:val="22"/>
              </w:rPr>
            </w:pPr>
            <w:r>
              <w:rPr>
                <w:rFonts w:cs="Arial"/>
                <w:szCs w:val="22"/>
              </w:rPr>
              <w:t>92</w:t>
            </w:r>
          </w:p>
        </w:tc>
        <w:tc>
          <w:tcPr>
            <w:tcW w:w="1620" w:type="dxa"/>
            <w:shd w:val="clear" w:color="auto" w:fill="auto"/>
            <w:vAlign w:val="center"/>
          </w:tcPr>
          <w:p w14:paraId="5554D024" w14:textId="41A36412" w:rsidR="00D6404A" w:rsidRPr="00BD420C" w:rsidRDefault="00140651" w:rsidP="00297D82">
            <w:pPr>
              <w:pStyle w:val="ListParagraph"/>
              <w:spacing w:before="0" w:after="0"/>
              <w:ind w:left="0"/>
              <w:jc w:val="center"/>
              <w:rPr>
                <w:rFonts w:cs="Arial"/>
                <w:szCs w:val="22"/>
              </w:rPr>
            </w:pPr>
            <w:r>
              <w:rPr>
                <w:rFonts w:cs="Arial"/>
                <w:szCs w:val="22"/>
              </w:rPr>
              <w:t>160</w:t>
            </w:r>
          </w:p>
        </w:tc>
      </w:tr>
      <w:tr w:rsidR="00D6404A" w:rsidRPr="00BD420C" w14:paraId="44FBD6C0" w14:textId="77777777" w:rsidTr="00A14E39">
        <w:trPr>
          <w:cantSplit/>
          <w:trHeight w:val="70"/>
        </w:trPr>
        <w:tc>
          <w:tcPr>
            <w:tcW w:w="2880" w:type="dxa"/>
            <w:shd w:val="clear" w:color="auto" w:fill="auto"/>
            <w:vAlign w:val="center"/>
            <w:hideMark/>
          </w:tcPr>
          <w:p w14:paraId="7622BCE6" w14:textId="7A315971" w:rsidR="00D6404A" w:rsidRPr="00BD420C" w:rsidRDefault="00D6404A" w:rsidP="00297D82">
            <w:pPr>
              <w:pStyle w:val="ListParagraph"/>
              <w:spacing w:before="0" w:after="0"/>
              <w:ind w:left="0"/>
              <w:rPr>
                <w:rFonts w:cs="Arial"/>
                <w:b/>
                <w:szCs w:val="22"/>
              </w:rPr>
            </w:pPr>
            <w:r>
              <w:rPr>
                <w:rFonts w:cs="Arial"/>
                <w:b/>
                <w:szCs w:val="22"/>
              </w:rPr>
              <w:t>Actual</w:t>
            </w:r>
          </w:p>
        </w:tc>
        <w:tc>
          <w:tcPr>
            <w:tcW w:w="1620" w:type="dxa"/>
            <w:shd w:val="clear" w:color="auto" w:fill="auto"/>
            <w:vAlign w:val="center"/>
          </w:tcPr>
          <w:p w14:paraId="2DB5B586" w14:textId="579BBA08" w:rsidR="00D6404A" w:rsidRPr="00BD420C" w:rsidRDefault="00140651" w:rsidP="00297D82">
            <w:pPr>
              <w:pStyle w:val="ListParagraph"/>
              <w:spacing w:before="0" w:after="0"/>
              <w:ind w:left="0"/>
              <w:jc w:val="center"/>
              <w:rPr>
                <w:rFonts w:cs="Arial"/>
                <w:szCs w:val="22"/>
              </w:rPr>
            </w:pPr>
            <w:r>
              <w:rPr>
                <w:rFonts w:cs="Arial"/>
                <w:szCs w:val="22"/>
              </w:rPr>
              <w:t>40</w:t>
            </w:r>
          </w:p>
        </w:tc>
        <w:tc>
          <w:tcPr>
            <w:tcW w:w="1620" w:type="dxa"/>
            <w:shd w:val="clear" w:color="auto" w:fill="auto"/>
            <w:vAlign w:val="center"/>
          </w:tcPr>
          <w:p w14:paraId="6A8FC2D6" w14:textId="62E85FEB" w:rsidR="00D6404A" w:rsidRPr="00BD420C" w:rsidRDefault="00140651" w:rsidP="00297D82">
            <w:pPr>
              <w:pStyle w:val="ListParagraph"/>
              <w:spacing w:before="0" w:after="0"/>
              <w:ind w:left="0"/>
              <w:jc w:val="center"/>
              <w:rPr>
                <w:rFonts w:cs="Arial"/>
                <w:szCs w:val="22"/>
              </w:rPr>
            </w:pPr>
            <w:r>
              <w:rPr>
                <w:rFonts w:cs="Arial"/>
                <w:szCs w:val="22"/>
              </w:rPr>
              <w:t>62</w:t>
            </w:r>
          </w:p>
        </w:tc>
        <w:tc>
          <w:tcPr>
            <w:tcW w:w="1620" w:type="dxa"/>
            <w:shd w:val="clear" w:color="auto" w:fill="auto"/>
            <w:vAlign w:val="center"/>
          </w:tcPr>
          <w:p w14:paraId="283281C2" w14:textId="7A7FE47C" w:rsidR="00D6404A" w:rsidRPr="00BD420C" w:rsidRDefault="00C02779" w:rsidP="00297D82">
            <w:pPr>
              <w:pStyle w:val="ListParagraph"/>
              <w:spacing w:before="0" w:after="0"/>
              <w:ind w:left="0"/>
              <w:jc w:val="center"/>
              <w:rPr>
                <w:rFonts w:cs="Arial"/>
                <w:szCs w:val="22"/>
              </w:rPr>
            </w:pPr>
            <w:r>
              <w:rPr>
                <w:rFonts w:cs="Arial"/>
                <w:szCs w:val="22"/>
              </w:rPr>
              <w:t>TBD</w:t>
            </w:r>
          </w:p>
        </w:tc>
        <w:tc>
          <w:tcPr>
            <w:tcW w:w="1620" w:type="dxa"/>
            <w:shd w:val="clear" w:color="auto" w:fill="auto"/>
            <w:vAlign w:val="center"/>
          </w:tcPr>
          <w:p w14:paraId="34A8A62D" w14:textId="7CD56C70" w:rsidR="00D6404A" w:rsidRPr="00BD420C" w:rsidRDefault="00C02779" w:rsidP="00297D82">
            <w:pPr>
              <w:pStyle w:val="ListParagraph"/>
              <w:spacing w:before="0" w:after="0"/>
              <w:ind w:left="0"/>
              <w:jc w:val="center"/>
              <w:rPr>
                <w:rFonts w:cs="Arial"/>
                <w:szCs w:val="22"/>
              </w:rPr>
            </w:pPr>
            <w:r>
              <w:rPr>
                <w:rFonts w:cs="Arial"/>
                <w:szCs w:val="22"/>
              </w:rPr>
              <w:t>TBD</w:t>
            </w:r>
          </w:p>
        </w:tc>
      </w:tr>
    </w:tbl>
    <w:p w14:paraId="514AC13B" w14:textId="7EED5A70" w:rsidR="000F4CDF" w:rsidRDefault="00B66E58" w:rsidP="009D2145">
      <w:r w:rsidRPr="009B12CD">
        <w:t xml:space="preserve">Despite being advised by LACOE prior to adopting both the 2021–22 and 2022–23 budgets that T.I.M.E.’s enrollment projections may be too aggressive causing a substantial negative fiscal impact, as reported in T.I.M.E.’s response, </w:t>
      </w:r>
      <w:r w:rsidR="000F4CDF" w:rsidRPr="009B12CD">
        <w:t xml:space="preserve">T.I.M.E. </w:t>
      </w:r>
      <w:r w:rsidR="00EA44CE" w:rsidRPr="009B12CD">
        <w:t>currently</w:t>
      </w:r>
      <w:r w:rsidR="007648E7" w:rsidRPr="009B12CD">
        <w:t xml:space="preserve"> projects</w:t>
      </w:r>
      <w:r w:rsidR="000F4CDF" w:rsidRPr="009B12CD">
        <w:t xml:space="preserve"> </w:t>
      </w:r>
      <w:r w:rsidR="00ED65E7" w:rsidRPr="009B12CD">
        <w:t xml:space="preserve">an enrollment increase of </w:t>
      </w:r>
      <w:r w:rsidR="000F4CDF" w:rsidRPr="009B12CD">
        <w:t>30 students in 2023</w:t>
      </w:r>
      <w:r w:rsidR="00D94D39" w:rsidRPr="009B12CD">
        <w:t>–</w:t>
      </w:r>
      <w:r w:rsidR="000F4CDF" w:rsidRPr="009B12CD">
        <w:t>24</w:t>
      </w:r>
      <w:r w:rsidR="00BB7A1F" w:rsidRPr="009B12CD">
        <w:t xml:space="preserve"> and 68 additional students in 2024–25. </w:t>
      </w:r>
      <w:r w:rsidR="005E49F4" w:rsidRPr="009B12CD">
        <w:t>T.I.M.E.</w:t>
      </w:r>
      <w:r w:rsidR="00BB7A1F" w:rsidRPr="009B12CD">
        <w:t>’s</w:t>
      </w:r>
      <w:r w:rsidR="005E49F4" w:rsidRPr="009B12CD">
        <w:t xml:space="preserve"> project</w:t>
      </w:r>
      <w:r w:rsidR="00BB7A1F" w:rsidRPr="009B12CD">
        <w:t xml:space="preserve">ed increase of </w:t>
      </w:r>
      <w:r w:rsidR="000F4CDF" w:rsidRPr="009B12CD">
        <w:t xml:space="preserve">68 students </w:t>
      </w:r>
      <w:r w:rsidR="00BB7A1F" w:rsidRPr="009B12CD">
        <w:t>for the 2024–25 school year</w:t>
      </w:r>
      <w:r w:rsidR="000F4CDF" w:rsidRPr="009B12CD">
        <w:t>, a 43</w:t>
      </w:r>
      <w:r w:rsidR="009D2145" w:rsidRPr="009B12CD">
        <w:t xml:space="preserve"> percent</w:t>
      </w:r>
      <w:r w:rsidR="000F4CDF" w:rsidRPr="009B12CD">
        <w:t xml:space="preserve"> increase</w:t>
      </w:r>
      <w:r w:rsidR="00BB7A1F" w:rsidRPr="009B12CD">
        <w:t xml:space="preserve"> from the previous year</w:t>
      </w:r>
      <w:r w:rsidR="005E49F4" w:rsidRPr="009B12CD">
        <w:t xml:space="preserve">, is </w:t>
      </w:r>
      <w:r w:rsidR="000F4CDF" w:rsidRPr="009B12CD">
        <w:t xml:space="preserve">unrealistic as the school will no longer be adding grade levels. </w:t>
      </w:r>
    </w:p>
    <w:p w14:paraId="783CFD12" w14:textId="04B63B92" w:rsidR="007B6AB6" w:rsidRPr="0062745D" w:rsidRDefault="009D2145" w:rsidP="00843D88">
      <w:r>
        <w:t>T.I.M.E.</w:t>
      </w:r>
      <w:r w:rsidR="000F4CDF" w:rsidRPr="000F4CDF">
        <w:t xml:space="preserve"> has attempted to develop a budget that will support the operation of the school as well as pay off accumulated debt; however, its own unrealistic enrollment and attendance rate projections continue to undermine any planned budget and </w:t>
      </w:r>
      <w:r w:rsidR="00297D82">
        <w:t>its</w:t>
      </w:r>
      <w:r w:rsidR="00297D82" w:rsidRPr="000F4CDF">
        <w:t xml:space="preserve"> </w:t>
      </w:r>
      <w:r w:rsidR="000F4CDF" w:rsidRPr="000F4CDF">
        <w:t xml:space="preserve">educational program. </w:t>
      </w:r>
      <w:r w:rsidR="007B6AB6">
        <w:t>D</w:t>
      </w:r>
      <w:r w:rsidR="00EA0A00" w:rsidRPr="000F4CDF">
        <w:t>ue to lower than expected revenue caused by overly optimistic enrollment projections</w:t>
      </w:r>
      <w:r w:rsidR="00EA0A00">
        <w:t>,</w:t>
      </w:r>
      <w:r w:rsidR="000F4CDF" w:rsidRPr="000F4CDF">
        <w:t xml:space="preserve"> </w:t>
      </w:r>
      <w:r w:rsidR="007B6AB6">
        <w:t>i</w:t>
      </w:r>
      <w:r w:rsidR="007B6AB6" w:rsidRPr="000F4CDF">
        <w:t>n 2021</w:t>
      </w:r>
      <w:r w:rsidR="007B6AB6">
        <w:t>–</w:t>
      </w:r>
      <w:r w:rsidR="007B6AB6" w:rsidRPr="000F4CDF">
        <w:t>22</w:t>
      </w:r>
      <w:r w:rsidR="007B6AB6">
        <w:t xml:space="preserve"> </w:t>
      </w:r>
      <w:r w:rsidR="000F4CDF" w:rsidRPr="000F4CDF">
        <w:t xml:space="preserve">T.I.M.E. was </w:t>
      </w:r>
      <w:r w:rsidR="00EA0A00">
        <w:t xml:space="preserve">unable to </w:t>
      </w:r>
      <w:r w:rsidR="00297D82">
        <w:t xml:space="preserve">fill its </w:t>
      </w:r>
      <w:r w:rsidR="000F4CDF" w:rsidRPr="000F4CDF">
        <w:t xml:space="preserve">school counselor </w:t>
      </w:r>
      <w:r w:rsidR="00297D82">
        <w:t>position</w:t>
      </w:r>
      <w:r w:rsidR="000F4CDF" w:rsidRPr="000F4CDF">
        <w:t>. The impact</w:t>
      </w:r>
      <w:r w:rsidR="00297D82">
        <w:t xml:space="preserve"> of this vacancy</w:t>
      </w:r>
      <w:r w:rsidR="000F4CDF" w:rsidRPr="000F4CDF">
        <w:t xml:space="preserve"> on the </w:t>
      </w:r>
      <w:r w:rsidR="00297D82">
        <w:t xml:space="preserve">school’s </w:t>
      </w:r>
      <w:r w:rsidR="000F4CDF" w:rsidRPr="000F4CDF">
        <w:t xml:space="preserve">educational program was immediate as the school failed to administer </w:t>
      </w:r>
      <w:r w:rsidR="00E15A18">
        <w:t xml:space="preserve">Northwest Evaluation Association </w:t>
      </w:r>
      <w:r w:rsidR="000F4CDF" w:rsidRPr="000F4CDF">
        <w:t>assessments to all students</w:t>
      </w:r>
      <w:r>
        <w:t xml:space="preserve">, </w:t>
      </w:r>
      <w:r w:rsidR="000F4CDF" w:rsidRPr="000F4CDF">
        <w:t xml:space="preserve">a responsibility that falls under the role of the school </w:t>
      </w:r>
      <w:r w:rsidR="000F4CDF" w:rsidRPr="0062745D">
        <w:t>counselor per the charter petition.</w:t>
      </w:r>
    </w:p>
    <w:p w14:paraId="62F1C8BF" w14:textId="090AA3DD" w:rsidR="00843D88" w:rsidRPr="0062745D" w:rsidRDefault="00843D88" w:rsidP="00843D88">
      <w:r w:rsidRPr="0062745D">
        <w:lastRenderedPageBreak/>
        <w:t xml:space="preserve">T.I.M.E.’s Response states that LACOE’s failure to issue </w:t>
      </w:r>
      <w:r w:rsidR="005138CF" w:rsidRPr="0062745D">
        <w:t xml:space="preserve">a Letter of Good Standing </w:t>
      </w:r>
      <w:r w:rsidRPr="0062745D">
        <w:t>for the school impacted the school’s ability to access CSRLF Program funds and SB 740 Program funds as well as engage in the selling of receivables.</w:t>
      </w:r>
      <w:r w:rsidR="00EA0A00" w:rsidRPr="0062745D">
        <w:t xml:space="preserve"> However,</w:t>
      </w:r>
      <w:r w:rsidRPr="0062745D">
        <w:t xml:space="preserve"> </w:t>
      </w:r>
      <w:r w:rsidR="00EA0A00" w:rsidRPr="0062745D">
        <w:t>LACOE was unable to provide a Letter of Good Standing to T.I.M.E. due to T.I.M.E.’s submission of an unsound fiscal plan and failure to remedy the violations identified in the Notice of Concern that LACOE had issued to the T.I.M.E. Board on June 28, 2022.</w:t>
      </w:r>
      <w:r w:rsidR="00297D82" w:rsidRPr="0062745D">
        <w:t xml:space="preserve"> </w:t>
      </w:r>
      <w:r w:rsidR="00EA0A00" w:rsidRPr="0062745D">
        <w:t xml:space="preserve">Additionally, the CDE and LACOE note that contrary to T.I.M.E.’s </w:t>
      </w:r>
      <w:r w:rsidR="00297D82" w:rsidRPr="0062745D">
        <w:t>assertion, T.I.M.E.</w:t>
      </w:r>
      <w:r w:rsidRPr="0062745D">
        <w:t xml:space="preserve"> was approved to borrow $100,000 through the CSRLF Program administered by the CSFA. The proceeds were received in September 2021. T.I.M.E.’s 2022–23 budget</w:t>
      </w:r>
      <w:r w:rsidR="00EA0A00" w:rsidRPr="0062745D">
        <w:t xml:space="preserve"> also</w:t>
      </w:r>
      <w:r w:rsidRPr="0062745D">
        <w:t xml:space="preserve"> included $114,000 from the SB 740 Program. Furthermore, T.I.M.E. has sold $476,200 in receivables without a letter of good standing this fiscal year. </w:t>
      </w:r>
    </w:p>
    <w:p w14:paraId="426A4628" w14:textId="38749F85" w:rsidR="00E57406" w:rsidDel="00EA0A00" w:rsidRDefault="000F4CDF" w:rsidP="00F443A0">
      <w:r w:rsidRPr="000F4CDF" w:rsidDel="00EA0A00">
        <w:t xml:space="preserve">In addition, </w:t>
      </w:r>
      <w:r w:rsidR="00E15A18" w:rsidDel="00EA0A00">
        <w:t>o</w:t>
      </w:r>
      <w:r w:rsidRPr="000F4CDF" w:rsidDel="00EA0A00">
        <w:t xml:space="preserve">n July 11, 2022, T.I.M.E. received correspondence from the CDE regarding </w:t>
      </w:r>
      <w:r w:rsidR="003B474A" w:rsidDel="00EA0A00">
        <w:t>the termination of its</w:t>
      </w:r>
      <w:r w:rsidRPr="000F4CDF" w:rsidDel="00EA0A00">
        <w:t xml:space="preserve"> Public Charter Schools Grant Program (PCSGP)</w:t>
      </w:r>
      <w:r w:rsidR="003B474A" w:rsidDel="00EA0A00">
        <w:t xml:space="preserve"> sub-grant award</w:t>
      </w:r>
      <w:r w:rsidRPr="000F4CDF" w:rsidDel="00EA0A00">
        <w:t xml:space="preserve">. The letter informed the school of the </w:t>
      </w:r>
      <w:r w:rsidR="00F60969" w:rsidDel="00EA0A00">
        <w:t>CDE’s</w:t>
      </w:r>
      <w:r w:rsidRPr="000F4CDF" w:rsidDel="00EA0A00">
        <w:t xml:space="preserve"> conclusion that </w:t>
      </w:r>
      <w:r w:rsidR="008B5336" w:rsidDel="00EA0A00">
        <w:t xml:space="preserve">T.I.M.E. </w:t>
      </w:r>
      <w:r w:rsidR="00D858A2" w:rsidDel="00EA0A00">
        <w:t xml:space="preserve">was not eligible </w:t>
      </w:r>
      <w:r w:rsidR="00944003" w:rsidDel="00EA0A00">
        <w:t xml:space="preserve">to </w:t>
      </w:r>
      <w:r w:rsidR="003F4A11" w:rsidDel="00EA0A00">
        <w:t xml:space="preserve">receive </w:t>
      </w:r>
      <w:r w:rsidR="007B08CD" w:rsidDel="00EA0A00">
        <w:t xml:space="preserve">PCSGP funds </w:t>
      </w:r>
      <w:r w:rsidR="00FC78C3" w:rsidDel="00EA0A00">
        <w:t xml:space="preserve">because </w:t>
      </w:r>
      <w:r w:rsidRPr="000F4CDF" w:rsidDel="00EA0A00">
        <w:t>T.I.M.E. had not enrolled a minimum of 80 students in its first year of operation</w:t>
      </w:r>
      <w:r w:rsidR="00944003" w:rsidDel="00EA0A00">
        <w:t>;</w:t>
      </w:r>
      <w:r w:rsidRPr="000F4CDF" w:rsidDel="00EA0A00">
        <w:t xml:space="preserve"> nor had the school demonstrated fiscal sustainability with the reduced enrollment.</w:t>
      </w:r>
    </w:p>
    <w:p w14:paraId="04C6EC03" w14:textId="1BB02D8E" w:rsidR="00910D55" w:rsidRPr="008D4BCC" w:rsidRDefault="00910D55" w:rsidP="00F443A0">
      <w:r w:rsidRPr="009B12CD">
        <w:t>Based on the CDE</w:t>
      </w:r>
      <w:r w:rsidR="001F1C52" w:rsidRPr="009B12CD">
        <w:t xml:space="preserve"> and LACOE</w:t>
      </w:r>
      <w:r w:rsidRPr="009B12CD">
        <w:t xml:space="preserve">’s analysis </w:t>
      </w:r>
      <w:r w:rsidR="00D0045A" w:rsidRPr="009B12CD">
        <w:t>of</w:t>
      </w:r>
      <w:r w:rsidRPr="009B12CD">
        <w:t xml:space="preserve"> T.I.M.E.’s Response, </w:t>
      </w:r>
      <w:r w:rsidR="006F5037" w:rsidRPr="009B12CD">
        <w:t>the CDE finds that</w:t>
      </w:r>
      <w:r w:rsidR="006F5037">
        <w:t xml:space="preserve"> </w:t>
      </w:r>
      <w:r>
        <w:t xml:space="preserve">T.I.M.E. has </w:t>
      </w:r>
      <w:r w:rsidR="00EB1326">
        <w:t>failed to refute, remedy, or propose to remedy concerns</w:t>
      </w:r>
      <w:r w:rsidR="006D6C71">
        <w:t xml:space="preserve"> related to </w:t>
      </w:r>
      <w:r w:rsidR="0092750E">
        <w:t xml:space="preserve">T.I.M.E.’s </w:t>
      </w:r>
      <w:r w:rsidR="006D6C71">
        <w:t xml:space="preserve">unrealistic enrollment and </w:t>
      </w:r>
      <w:r w:rsidR="00E15A18">
        <w:t>ADA</w:t>
      </w:r>
      <w:r w:rsidR="006D6C71">
        <w:t xml:space="preserve"> projections.</w:t>
      </w:r>
    </w:p>
    <w:bookmarkEnd w:id="1"/>
    <w:p w14:paraId="4847B883" w14:textId="30F2F5A8" w:rsidR="005D117F" w:rsidRDefault="005D117F" w:rsidP="000D0061">
      <w:pPr>
        <w:pStyle w:val="Heading3"/>
      </w:pPr>
      <w:r>
        <w:t>Financial Projection and Actual Results</w:t>
      </w:r>
    </w:p>
    <w:p w14:paraId="65CDC8DA" w14:textId="2D2A711D" w:rsidR="00C85C43" w:rsidRDefault="00383320" w:rsidP="00C85C43">
      <w:pPr>
        <w:rPr>
          <w:rFonts w:eastAsia="Arial"/>
        </w:rPr>
      </w:pPr>
      <w:r w:rsidRPr="00AC2271">
        <w:rPr>
          <w:rFonts w:eastAsia="Arial"/>
        </w:rPr>
        <w:t xml:space="preserve">As </w:t>
      </w:r>
      <w:r>
        <w:rPr>
          <w:rFonts w:eastAsia="Arial"/>
        </w:rPr>
        <w:t xml:space="preserve">stated in the Notice of Violation and </w:t>
      </w:r>
      <w:r w:rsidRPr="00AC2271">
        <w:rPr>
          <w:rFonts w:eastAsia="Arial"/>
        </w:rPr>
        <w:t xml:space="preserve">illustrated in the table </w:t>
      </w:r>
      <w:r>
        <w:rPr>
          <w:rFonts w:eastAsia="Arial"/>
        </w:rPr>
        <w:t>below</w:t>
      </w:r>
      <w:r w:rsidRPr="00AC2271">
        <w:rPr>
          <w:rFonts w:eastAsia="Arial"/>
        </w:rPr>
        <w:t xml:space="preserve">, </w:t>
      </w:r>
      <w:r>
        <w:rPr>
          <w:rFonts w:eastAsia="Arial"/>
        </w:rPr>
        <w:t>T.I.M.E.</w:t>
      </w:r>
      <w:r w:rsidRPr="00B654CA">
        <w:rPr>
          <w:rFonts w:eastAsia="Arial"/>
        </w:rPr>
        <w:t>’s financial projections for fiscal years 2021</w:t>
      </w:r>
      <w:r>
        <w:rPr>
          <w:rFonts w:eastAsia="Arial"/>
        </w:rPr>
        <w:t>–</w:t>
      </w:r>
      <w:r w:rsidRPr="00B654CA">
        <w:rPr>
          <w:rFonts w:eastAsia="Arial"/>
        </w:rPr>
        <w:t>22 and 2022</w:t>
      </w:r>
      <w:r>
        <w:rPr>
          <w:rFonts w:eastAsia="Arial"/>
        </w:rPr>
        <w:t>–</w:t>
      </w:r>
      <w:r w:rsidRPr="00B654CA">
        <w:rPr>
          <w:rFonts w:eastAsia="Arial"/>
        </w:rPr>
        <w:t>23</w:t>
      </w:r>
      <w:r>
        <w:rPr>
          <w:rFonts w:eastAsia="Arial"/>
        </w:rPr>
        <w:t xml:space="preserve"> differed significantly from the school’s</w:t>
      </w:r>
      <w:r w:rsidRPr="00B654CA">
        <w:rPr>
          <w:rFonts w:eastAsia="Arial"/>
        </w:rPr>
        <w:t xml:space="preserve"> actual results through December 31, 2022</w:t>
      </w:r>
      <w:r>
        <w:rPr>
          <w:rFonts w:eastAsia="Arial"/>
        </w:rPr>
        <w:t xml:space="preserve">. </w:t>
      </w:r>
      <w:r w:rsidRPr="00AC2271">
        <w:rPr>
          <w:rFonts w:eastAsia="Arial"/>
        </w:rPr>
        <w:t>T.I.M.E.’s 2021–22 adopted budget projected an operating surplus of $376,460 and an ending net position of $468,272. Due to T.I.M.E.’s substantial enrollment shortfall, T.I.M.E. incurred a deficit of $378,107 and an ending net position of negative $268,436 in 2021–22. T.I.M.E.’s 2022–23 adopted budget projected a surplus of $509,130 and</w:t>
      </w:r>
      <w:r w:rsidRPr="00B654CA">
        <w:rPr>
          <w:rFonts w:eastAsia="Arial"/>
        </w:rPr>
        <w:t xml:space="preserve"> an ending net position of $285,135. However, its 2022</w:t>
      </w:r>
      <w:r>
        <w:rPr>
          <w:rFonts w:eastAsia="Arial"/>
        </w:rPr>
        <w:t>–</w:t>
      </w:r>
      <w:r w:rsidRPr="00B654CA">
        <w:rPr>
          <w:rFonts w:eastAsia="Arial"/>
        </w:rPr>
        <w:t>23 First Interim Report</w:t>
      </w:r>
      <w:r>
        <w:rPr>
          <w:rFonts w:eastAsia="Arial"/>
        </w:rPr>
        <w:t xml:space="preserve"> </w:t>
      </w:r>
      <w:r w:rsidRPr="00793FDD">
        <w:rPr>
          <w:rFonts w:eastAsia="Arial"/>
        </w:rPr>
        <w:t>projection reflected a revised budget and project</w:t>
      </w:r>
      <w:r w:rsidR="00C91E56">
        <w:rPr>
          <w:rFonts w:eastAsia="Arial"/>
        </w:rPr>
        <w:t>ed</w:t>
      </w:r>
      <w:r w:rsidRPr="00793FDD">
        <w:rPr>
          <w:rFonts w:eastAsia="Arial"/>
        </w:rPr>
        <w:t xml:space="preserve"> an operating deficit of $68,312</w:t>
      </w:r>
      <w:r>
        <w:rPr>
          <w:rFonts w:eastAsia="Arial"/>
        </w:rPr>
        <w:t xml:space="preserve">; </w:t>
      </w:r>
      <w:r w:rsidRPr="00793FDD">
        <w:rPr>
          <w:rFonts w:eastAsia="Arial"/>
        </w:rPr>
        <w:t>an ending net</w:t>
      </w:r>
      <w:r w:rsidRPr="00B654CA">
        <w:rPr>
          <w:rFonts w:eastAsia="Arial"/>
        </w:rPr>
        <w:t xml:space="preserve"> position of negative $336,748</w:t>
      </w:r>
      <w:r>
        <w:rPr>
          <w:rFonts w:eastAsia="Arial"/>
        </w:rPr>
        <w:t>;</w:t>
      </w:r>
      <w:r w:rsidRPr="00B654CA">
        <w:rPr>
          <w:rFonts w:eastAsia="Arial"/>
        </w:rPr>
        <w:t xml:space="preserve"> and a </w:t>
      </w:r>
      <w:r w:rsidRPr="00793FDD">
        <w:rPr>
          <w:rFonts w:eastAsia="Arial"/>
        </w:rPr>
        <w:t>reserve for economic uncertainties of negative 23.3 percent.</w:t>
      </w:r>
      <w:r w:rsidRPr="00B654CA">
        <w:rPr>
          <w:rFonts w:eastAsia="Arial"/>
        </w:rPr>
        <w:t xml:space="preserve"> </w:t>
      </w:r>
    </w:p>
    <w:p w14:paraId="504222E7" w14:textId="1D8BCC88" w:rsidR="00B55C7E" w:rsidRDefault="00B55C7E" w:rsidP="00B55C7E">
      <w:pPr>
        <w:pStyle w:val="TableHeading"/>
        <w:rPr>
          <w:rFonts w:eastAsia="Arial"/>
        </w:rPr>
      </w:pPr>
      <w:r>
        <w:rPr>
          <w:rFonts w:eastAsia="Arial"/>
        </w:rPr>
        <w:t>T.I.M.E.’s Financial Projections and Actual Results</w:t>
      </w:r>
    </w:p>
    <w:p w14:paraId="7B4AE29E" w14:textId="77777777" w:rsidR="004547F8" w:rsidRPr="00AC2271" w:rsidRDefault="004547F8" w:rsidP="004547F8">
      <w:pPr>
        <w:rPr>
          <w:rFonts w:eastAsia="Arial"/>
        </w:rPr>
      </w:pPr>
      <w:r w:rsidRPr="00AC2271">
        <w:rPr>
          <w:rFonts w:eastAsia="Arial"/>
        </w:rPr>
        <w:t>* Estimated amount at the time of budget development.</w:t>
      </w:r>
    </w:p>
    <w:tbl>
      <w:tblPr>
        <w:tblStyle w:val="TableGrid"/>
        <w:tblW w:w="9355" w:type="dxa"/>
        <w:tblInd w:w="0" w:type="dxa"/>
        <w:tblLook w:val="04A0" w:firstRow="1" w:lastRow="0" w:firstColumn="1" w:lastColumn="0" w:noHBand="0" w:noVBand="1"/>
        <w:tblDescription w:val="Financial Projection and Actual Results"/>
      </w:tblPr>
      <w:tblGrid>
        <w:gridCol w:w="1944"/>
        <w:gridCol w:w="1464"/>
        <w:gridCol w:w="1464"/>
        <w:gridCol w:w="1471"/>
        <w:gridCol w:w="1464"/>
        <w:gridCol w:w="1548"/>
      </w:tblGrid>
      <w:tr w:rsidR="00C85C43" w:rsidRPr="002B26AC" w14:paraId="3FB2D4B9" w14:textId="77777777" w:rsidTr="004547F8">
        <w:trPr>
          <w:cantSplit/>
          <w:trHeight w:val="802"/>
          <w:tblHeader/>
        </w:trPr>
        <w:tc>
          <w:tcPr>
            <w:tcW w:w="19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9F4012" w14:textId="77777777" w:rsidR="00C85C43" w:rsidRPr="002B26AC" w:rsidRDefault="00C85C43" w:rsidP="000E4CAE">
            <w:pPr>
              <w:spacing w:before="0" w:after="0"/>
              <w:jc w:val="center"/>
              <w:rPr>
                <w:rFonts w:cs="Arial"/>
                <w:b/>
                <w:szCs w:val="22"/>
              </w:rPr>
            </w:pPr>
            <w:r w:rsidRPr="002B26AC">
              <w:rPr>
                <w:rFonts w:cs="Arial"/>
                <w:b/>
                <w:szCs w:val="22"/>
              </w:rPr>
              <w:t>Criteria</w:t>
            </w:r>
          </w:p>
        </w:tc>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69B0BB" w14:textId="77777777" w:rsidR="00C85C43" w:rsidRPr="002B26AC" w:rsidRDefault="00C85C43" w:rsidP="000E4CAE">
            <w:pPr>
              <w:spacing w:before="0" w:after="0"/>
              <w:jc w:val="center"/>
              <w:rPr>
                <w:rFonts w:cs="Arial"/>
                <w:b/>
                <w:szCs w:val="22"/>
              </w:rPr>
            </w:pPr>
            <w:r w:rsidRPr="002B26AC">
              <w:rPr>
                <w:rFonts w:cs="Arial"/>
                <w:b/>
                <w:szCs w:val="22"/>
              </w:rPr>
              <w:t>2021–22</w:t>
            </w:r>
            <w:r>
              <w:rPr>
                <w:rFonts w:cs="Arial"/>
                <w:b/>
                <w:szCs w:val="22"/>
              </w:rPr>
              <w:t xml:space="preserve"> Adopted</w:t>
            </w:r>
            <w:r w:rsidRPr="002B26AC">
              <w:rPr>
                <w:rFonts w:cs="Arial"/>
                <w:b/>
                <w:szCs w:val="22"/>
              </w:rPr>
              <w:t xml:space="preserve"> Budget</w:t>
            </w:r>
          </w:p>
        </w:tc>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DC6A2" w14:textId="77777777" w:rsidR="00C85C43" w:rsidRPr="002B26AC" w:rsidRDefault="00C85C43" w:rsidP="000E4CAE">
            <w:pPr>
              <w:spacing w:before="0" w:after="0"/>
              <w:jc w:val="center"/>
              <w:rPr>
                <w:rFonts w:cs="Arial"/>
                <w:b/>
                <w:szCs w:val="22"/>
              </w:rPr>
            </w:pPr>
            <w:r w:rsidRPr="002B26AC">
              <w:rPr>
                <w:rFonts w:cs="Arial"/>
                <w:b/>
                <w:szCs w:val="22"/>
              </w:rPr>
              <w:t>2021–22</w:t>
            </w:r>
          </w:p>
          <w:p w14:paraId="14AA0062" w14:textId="77777777" w:rsidR="00C85C43" w:rsidRPr="002B26AC" w:rsidRDefault="00C85C43" w:rsidP="000E4CAE">
            <w:pPr>
              <w:spacing w:before="0" w:after="0"/>
              <w:jc w:val="center"/>
              <w:rPr>
                <w:rFonts w:cs="Arial"/>
                <w:b/>
                <w:szCs w:val="22"/>
              </w:rPr>
            </w:pPr>
            <w:r>
              <w:rPr>
                <w:rFonts w:cs="Arial"/>
                <w:b/>
                <w:szCs w:val="22"/>
              </w:rPr>
              <w:t>Audit Report (Actuals)</w:t>
            </w:r>
          </w:p>
        </w:tc>
        <w:tc>
          <w:tcPr>
            <w:tcW w:w="1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DD66AC" w14:textId="77777777" w:rsidR="00C85C43" w:rsidRPr="002B26AC" w:rsidRDefault="00C85C43" w:rsidP="000E4CAE">
            <w:pPr>
              <w:spacing w:before="0" w:after="0"/>
              <w:jc w:val="center"/>
              <w:rPr>
                <w:rFonts w:cs="Arial"/>
                <w:b/>
                <w:szCs w:val="22"/>
              </w:rPr>
            </w:pPr>
            <w:r>
              <w:rPr>
                <w:rFonts w:cs="Arial"/>
                <w:b/>
                <w:szCs w:val="22"/>
              </w:rPr>
              <w:t>2022–23 Adopted Budget</w:t>
            </w:r>
          </w:p>
        </w:tc>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B8C1BB" w14:textId="77777777" w:rsidR="00C85C43" w:rsidRPr="002B26AC" w:rsidRDefault="00C85C43" w:rsidP="000E4CAE">
            <w:pPr>
              <w:spacing w:before="0" w:after="0"/>
              <w:jc w:val="center"/>
              <w:rPr>
                <w:rFonts w:cs="Arial"/>
                <w:b/>
                <w:szCs w:val="22"/>
              </w:rPr>
            </w:pPr>
            <w:r>
              <w:rPr>
                <w:rFonts w:cs="Arial"/>
                <w:b/>
                <w:szCs w:val="22"/>
              </w:rPr>
              <w:t>2022–23 First Interim Report Projection</w:t>
            </w:r>
          </w:p>
        </w:tc>
        <w:tc>
          <w:tcPr>
            <w:tcW w:w="1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ECF655" w14:textId="77777777" w:rsidR="00C85C43" w:rsidRPr="002B26AC" w:rsidRDefault="00C85C43" w:rsidP="000E4CAE">
            <w:pPr>
              <w:spacing w:before="0" w:after="0"/>
              <w:jc w:val="center"/>
              <w:rPr>
                <w:rFonts w:cs="Arial"/>
                <w:b/>
                <w:szCs w:val="22"/>
              </w:rPr>
            </w:pPr>
            <w:r>
              <w:rPr>
                <w:rFonts w:cs="Arial"/>
                <w:b/>
                <w:szCs w:val="22"/>
              </w:rPr>
              <w:t>July to December 2022 Actuals</w:t>
            </w:r>
          </w:p>
        </w:tc>
      </w:tr>
      <w:tr w:rsidR="00C85C43" w:rsidRPr="002B26AC" w14:paraId="6DFD9A55" w14:textId="77777777" w:rsidTr="004547F8">
        <w:trPr>
          <w:cantSplit/>
          <w:trHeight w:val="262"/>
        </w:trPr>
        <w:tc>
          <w:tcPr>
            <w:tcW w:w="1944" w:type="dxa"/>
            <w:tcBorders>
              <w:top w:val="single" w:sz="4" w:space="0" w:color="auto"/>
              <w:left w:val="single" w:sz="4" w:space="0" w:color="auto"/>
              <w:bottom w:val="single" w:sz="4" w:space="0" w:color="auto"/>
              <w:right w:val="single" w:sz="4" w:space="0" w:color="auto"/>
            </w:tcBorders>
            <w:vAlign w:val="center"/>
            <w:hideMark/>
          </w:tcPr>
          <w:p w14:paraId="4A979FBD" w14:textId="77777777" w:rsidR="00C85C43" w:rsidRPr="002B26AC" w:rsidRDefault="00C85C43" w:rsidP="000E4CAE">
            <w:pPr>
              <w:spacing w:before="0" w:after="0"/>
              <w:rPr>
                <w:rFonts w:cs="Arial"/>
                <w:b/>
                <w:szCs w:val="22"/>
              </w:rPr>
            </w:pPr>
            <w:r w:rsidRPr="002B26AC">
              <w:rPr>
                <w:rFonts w:cs="Arial"/>
                <w:b/>
                <w:szCs w:val="22"/>
              </w:rPr>
              <w:t>Total Revenues</w:t>
            </w:r>
          </w:p>
        </w:tc>
        <w:tc>
          <w:tcPr>
            <w:tcW w:w="1464" w:type="dxa"/>
            <w:tcBorders>
              <w:top w:val="single" w:sz="4" w:space="0" w:color="auto"/>
              <w:left w:val="single" w:sz="4" w:space="0" w:color="auto"/>
              <w:bottom w:val="single" w:sz="4" w:space="0" w:color="auto"/>
              <w:right w:val="single" w:sz="4" w:space="0" w:color="auto"/>
            </w:tcBorders>
            <w:vAlign w:val="center"/>
            <w:hideMark/>
          </w:tcPr>
          <w:p w14:paraId="35D7EA08" w14:textId="77777777" w:rsidR="00C85C43" w:rsidRPr="002B26AC" w:rsidRDefault="00C85C43" w:rsidP="000E4CAE">
            <w:pPr>
              <w:spacing w:before="0" w:after="0"/>
              <w:jc w:val="center"/>
              <w:rPr>
                <w:rFonts w:cs="Arial"/>
                <w:szCs w:val="22"/>
              </w:rPr>
            </w:pPr>
            <w:r w:rsidRPr="002B26AC">
              <w:rPr>
                <w:rFonts w:cs="Arial"/>
                <w:szCs w:val="22"/>
              </w:rPr>
              <w:t>$2,386,765</w:t>
            </w:r>
          </w:p>
        </w:tc>
        <w:tc>
          <w:tcPr>
            <w:tcW w:w="1464" w:type="dxa"/>
            <w:tcBorders>
              <w:top w:val="single" w:sz="4" w:space="0" w:color="auto"/>
              <w:left w:val="single" w:sz="4" w:space="0" w:color="auto"/>
              <w:bottom w:val="single" w:sz="4" w:space="0" w:color="auto"/>
              <w:right w:val="single" w:sz="4" w:space="0" w:color="auto"/>
            </w:tcBorders>
            <w:vAlign w:val="center"/>
          </w:tcPr>
          <w:p w14:paraId="3739FC9D" w14:textId="77777777" w:rsidR="00C85C43" w:rsidRPr="002B26AC" w:rsidRDefault="00C85C43" w:rsidP="000E4CAE">
            <w:pPr>
              <w:spacing w:before="0" w:after="0"/>
              <w:jc w:val="center"/>
              <w:rPr>
                <w:rFonts w:cs="Arial"/>
                <w:szCs w:val="22"/>
              </w:rPr>
            </w:pPr>
            <w:r>
              <w:rPr>
                <w:rFonts w:cs="Arial"/>
                <w:szCs w:val="22"/>
              </w:rPr>
              <w:t>$708,430</w:t>
            </w:r>
          </w:p>
        </w:tc>
        <w:tc>
          <w:tcPr>
            <w:tcW w:w="1471" w:type="dxa"/>
            <w:tcBorders>
              <w:top w:val="single" w:sz="4" w:space="0" w:color="auto"/>
              <w:left w:val="single" w:sz="4" w:space="0" w:color="auto"/>
              <w:bottom w:val="single" w:sz="4" w:space="0" w:color="auto"/>
              <w:right w:val="single" w:sz="4" w:space="0" w:color="auto"/>
            </w:tcBorders>
            <w:vAlign w:val="center"/>
          </w:tcPr>
          <w:p w14:paraId="469CE65B" w14:textId="77777777" w:rsidR="00C85C43" w:rsidRPr="002B26AC" w:rsidRDefault="00C85C43" w:rsidP="000E4CAE">
            <w:pPr>
              <w:spacing w:before="0" w:after="0"/>
              <w:jc w:val="center"/>
              <w:rPr>
                <w:rFonts w:cs="Arial"/>
                <w:szCs w:val="22"/>
              </w:rPr>
            </w:pPr>
            <w:r>
              <w:rPr>
                <w:rFonts w:cs="Arial"/>
                <w:szCs w:val="22"/>
              </w:rPr>
              <w:t>$2,126,369</w:t>
            </w:r>
          </w:p>
        </w:tc>
        <w:tc>
          <w:tcPr>
            <w:tcW w:w="1464" w:type="dxa"/>
            <w:tcBorders>
              <w:top w:val="single" w:sz="4" w:space="0" w:color="auto"/>
              <w:left w:val="single" w:sz="4" w:space="0" w:color="auto"/>
              <w:bottom w:val="single" w:sz="4" w:space="0" w:color="auto"/>
              <w:right w:val="single" w:sz="4" w:space="0" w:color="auto"/>
            </w:tcBorders>
            <w:vAlign w:val="center"/>
          </w:tcPr>
          <w:p w14:paraId="0C3E0A4D" w14:textId="77777777" w:rsidR="00C85C43" w:rsidRPr="002B26AC" w:rsidRDefault="00C85C43" w:rsidP="000E4CAE">
            <w:pPr>
              <w:spacing w:before="0" w:after="0"/>
              <w:jc w:val="center"/>
              <w:rPr>
                <w:rFonts w:cs="Arial"/>
                <w:szCs w:val="22"/>
              </w:rPr>
            </w:pPr>
            <w:r>
              <w:rPr>
                <w:rFonts w:cs="Arial"/>
                <w:szCs w:val="22"/>
              </w:rPr>
              <w:t>$1,379,715</w:t>
            </w:r>
          </w:p>
        </w:tc>
        <w:tc>
          <w:tcPr>
            <w:tcW w:w="1548" w:type="dxa"/>
            <w:tcBorders>
              <w:top w:val="single" w:sz="4" w:space="0" w:color="auto"/>
              <w:left w:val="single" w:sz="4" w:space="0" w:color="auto"/>
              <w:bottom w:val="single" w:sz="4" w:space="0" w:color="auto"/>
              <w:right w:val="single" w:sz="4" w:space="0" w:color="auto"/>
            </w:tcBorders>
            <w:vAlign w:val="center"/>
          </w:tcPr>
          <w:p w14:paraId="431DEC43" w14:textId="77777777" w:rsidR="00C85C43" w:rsidRPr="002B26AC" w:rsidRDefault="00C85C43" w:rsidP="000E4CAE">
            <w:pPr>
              <w:spacing w:before="0" w:after="0"/>
              <w:jc w:val="center"/>
              <w:rPr>
                <w:rFonts w:cs="Arial"/>
                <w:szCs w:val="22"/>
              </w:rPr>
            </w:pPr>
            <w:r>
              <w:rPr>
                <w:rFonts w:cs="Arial"/>
                <w:szCs w:val="22"/>
              </w:rPr>
              <w:t>$316,781</w:t>
            </w:r>
          </w:p>
        </w:tc>
      </w:tr>
      <w:tr w:rsidR="00C85C43" w:rsidRPr="002B26AC" w14:paraId="3A65D341" w14:textId="77777777" w:rsidTr="004547F8">
        <w:trPr>
          <w:cantSplit/>
          <w:trHeight w:val="540"/>
        </w:trPr>
        <w:tc>
          <w:tcPr>
            <w:tcW w:w="1944" w:type="dxa"/>
            <w:tcBorders>
              <w:top w:val="single" w:sz="4" w:space="0" w:color="auto"/>
              <w:left w:val="single" w:sz="4" w:space="0" w:color="auto"/>
              <w:bottom w:val="single" w:sz="4" w:space="0" w:color="auto"/>
              <w:right w:val="single" w:sz="4" w:space="0" w:color="auto"/>
            </w:tcBorders>
            <w:vAlign w:val="center"/>
            <w:hideMark/>
          </w:tcPr>
          <w:p w14:paraId="3516A079" w14:textId="77777777" w:rsidR="00C85C43" w:rsidRPr="002B26AC" w:rsidRDefault="00C85C43" w:rsidP="000E4CAE">
            <w:pPr>
              <w:spacing w:before="0" w:after="0"/>
              <w:rPr>
                <w:rFonts w:cs="Arial"/>
                <w:b/>
                <w:szCs w:val="22"/>
              </w:rPr>
            </w:pPr>
            <w:r w:rsidRPr="002B26AC">
              <w:rPr>
                <w:rFonts w:cs="Arial"/>
                <w:b/>
                <w:szCs w:val="22"/>
              </w:rPr>
              <w:t>Total Expenditures</w:t>
            </w:r>
          </w:p>
        </w:tc>
        <w:tc>
          <w:tcPr>
            <w:tcW w:w="1464" w:type="dxa"/>
            <w:tcBorders>
              <w:top w:val="single" w:sz="4" w:space="0" w:color="auto"/>
              <w:left w:val="single" w:sz="4" w:space="0" w:color="auto"/>
              <w:bottom w:val="single" w:sz="4" w:space="0" w:color="auto"/>
              <w:right w:val="single" w:sz="4" w:space="0" w:color="auto"/>
            </w:tcBorders>
            <w:vAlign w:val="center"/>
            <w:hideMark/>
          </w:tcPr>
          <w:p w14:paraId="40170385" w14:textId="77777777" w:rsidR="00C85C43" w:rsidRPr="002B26AC" w:rsidRDefault="00C85C43" w:rsidP="000E4CAE">
            <w:pPr>
              <w:spacing w:before="0" w:after="0"/>
              <w:jc w:val="center"/>
              <w:rPr>
                <w:rFonts w:cs="Arial"/>
                <w:szCs w:val="22"/>
              </w:rPr>
            </w:pPr>
            <w:r w:rsidRPr="002B26AC">
              <w:rPr>
                <w:rFonts w:cs="Arial"/>
                <w:szCs w:val="22"/>
              </w:rPr>
              <w:t>$2,010,305</w:t>
            </w:r>
          </w:p>
        </w:tc>
        <w:tc>
          <w:tcPr>
            <w:tcW w:w="1464" w:type="dxa"/>
            <w:tcBorders>
              <w:top w:val="single" w:sz="4" w:space="0" w:color="auto"/>
              <w:left w:val="single" w:sz="4" w:space="0" w:color="auto"/>
              <w:bottom w:val="single" w:sz="4" w:space="0" w:color="auto"/>
              <w:right w:val="single" w:sz="4" w:space="0" w:color="auto"/>
            </w:tcBorders>
            <w:vAlign w:val="center"/>
          </w:tcPr>
          <w:p w14:paraId="4DEEDCAF" w14:textId="77777777" w:rsidR="00C85C43" w:rsidRPr="002B26AC" w:rsidRDefault="00C85C43" w:rsidP="000E4CAE">
            <w:pPr>
              <w:spacing w:before="0" w:after="0"/>
              <w:jc w:val="center"/>
              <w:rPr>
                <w:rFonts w:cs="Arial"/>
                <w:szCs w:val="22"/>
              </w:rPr>
            </w:pPr>
            <w:r>
              <w:rPr>
                <w:rFonts w:cs="Arial"/>
                <w:szCs w:val="22"/>
              </w:rPr>
              <w:t>$1,086,537</w:t>
            </w:r>
          </w:p>
        </w:tc>
        <w:tc>
          <w:tcPr>
            <w:tcW w:w="1471" w:type="dxa"/>
            <w:tcBorders>
              <w:top w:val="single" w:sz="4" w:space="0" w:color="auto"/>
              <w:left w:val="single" w:sz="4" w:space="0" w:color="auto"/>
              <w:bottom w:val="single" w:sz="4" w:space="0" w:color="auto"/>
              <w:right w:val="single" w:sz="4" w:space="0" w:color="auto"/>
            </w:tcBorders>
            <w:vAlign w:val="center"/>
          </w:tcPr>
          <w:p w14:paraId="5F94F778" w14:textId="77777777" w:rsidR="00C85C43" w:rsidRPr="002B26AC" w:rsidRDefault="00C85C43" w:rsidP="000E4CAE">
            <w:pPr>
              <w:spacing w:before="0" w:after="0"/>
              <w:jc w:val="center"/>
              <w:rPr>
                <w:rFonts w:cs="Arial"/>
                <w:szCs w:val="22"/>
              </w:rPr>
            </w:pPr>
            <w:r>
              <w:rPr>
                <w:rFonts w:cs="Arial"/>
                <w:szCs w:val="22"/>
              </w:rPr>
              <w:t>$1,617,239</w:t>
            </w:r>
          </w:p>
        </w:tc>
        <w:tc>
          <w:tcPr>
            <w:tcW w:w="1464" w:type="dxa"/>
            <w:tcBorders>
              <w:top w:val="single" w:sz="4" w:space="0" w:color="auto"/>
              <w:left w:val="single" w:sz="4" w:space="0" w:color="auto"/>
              <w:bottom w:val="single" w:sz="4" w:space="0" w:color="auto"/>
              <w:right w:val="single" w:sz="4" w:space="0" w:color="auto"/>
            </w:tcBorders>
            <w:vAlign w:val="center"/>
          </w:tcPr>
          <w:p w14:paraId="70E6A4E3" w14:textId="77777777" w:rsidR="00C85C43" w:rsidRPr="002B26AC" w:rsidRDefault="00C85C43" w:rsidP="000E4CAE">
            <w:pPr>
              <w:spacing w:before="0" w:after="0"/>
              <w:jc w:val="center"/>
              <w:rPr>
                <w:rFonts w:cs="Arial"/>
                <w:szCs w:val="22"/>
              </w:rPr>
            </w:pPr>
            <w:r>
              <w:rPr>
                <w:rFonts w:cs="Arial"/>
                <w:szCs w:val="22"/>
              </w:rPr>
              <w:t>$1,448,027</w:t>
            </w:r>
          </w:p>
        </w:tc>
        <w:tc>
          <w:tcPr>
            <w:tcW w:w="1548" w:type="dxa"/>
            <w:tcBorders>
              <w:top w:val="single" w:sz="4" w:space="0" w:color="auto"/>
              <w:left w:val="single" w:sz="4" w:space="0" w:color="auto"/>
              <w:bottom w:val="single" w:sz="4" w:space="0" w:color="auto"/>
              <w:right w:val="single" w:sz="4" w:space="0" w:color="auto"/>
            </w:tcBorders>
            <w:vAlign w:val="center"/>
          </w:tcPr>
          <w:p w14:paraId="5B5080B0" w14:textId="77777777" w:rsidR="00C85C43" w:rsidRPr="002B26AC" w:rsidRDefault="00C85C43" w:rsidP="000E4CAE">
            <w:pPr>
              <w:spacing w:before="0" w:after="0"/>
              <w:jc w:val="center"/>
              <w:rPr>
                <w:rFonts w:cs="Arial"/>
                <w:szCs w:val="22"/>
              </w:rPr>
            </w:pPr>
            <w:r>
              <w:rPr>
                <w:rFonts w:cs="Arial"/>
                <w:szCs w:val="22"/>
              </w:rPr>
              <w:t>$741,050</w:t>
            </w:r>
          </w:p>
        </w:tc>
      </w:tr>
      <w:tr w:rsidR="00C85C43" w:rsidRPr="00AC2271" w14:paraId="028F54F5" w14:textId="77777777" w:rsidTr="004547F8">
        <w:trPr>
          <w:cantSplit/>
          <w:trHeight w:val="262"/>
        </w:trPr>
        <w:tc>
          <w:tcPr>
            <w:tcW w:w="1944" w:type="dxa"/>
            <w:tcBorders>
              <w:top w:val="single" w:sz="4" w:space="0" w:color="auto"/>
              <w:left w:val="single" w:sz="4" w:space="0" w:color="auto"/>
              <w:bottom w:val="single" w:sz="4" w:space="0" w:color="auto"/>
              <w:right w:val="single" w:sz="4" w:space="0" w:color="auto"/>
            </w:tcBorders>
            <w:vAlign w:val="center"/>
            <w:hideMark/>
          </w:tcPr>
          <w:p w14:paraId="6F662CFE" w14:textId="77777777" w:rsidR="00C85C43" w:rsidRPr="00AC2271" w:rsidRDefault="00C85C43" w:rsidP="000E4CAE">
            <w:pPr>
              <w:spacing w:before="0" w:after="0"/>
              <w:rPr>
                <w:rFonts w:cs="Arial"/>
                <w:b/>
                <w:szCs w:val="22"/>
              </w:rPr>
            </w:pPr>
            <w:r w:rsidRPr="00AC2271">
              <w:rPr>
                <w:rFonts w:cs="Arial"/>
                <w:b/>
                <w:szCs w:val="22"/>
              </w:rPr>
              <w:lastRenderedPageBreak/>
              <w:t>Surplus (Deficits)</w:t>
            </w:r>
          </w:p>
        </w:tc>
        <w:tc>
          <w:tcPr>
            <w:tcW w:w="1464" w:type="dxa"/>
            <w:tcBorders>
              <w:top w:val="single" w:sz="4" w:space="0" w:color="auto"/>
              <w:left w:val="single" w:sz="4" w:space="0" w:color="auto"/>
              <w:bottom w:val="single" w:sz="4" w:space="0" w:color="auto"/>
              <w:right w:val="single" w:sz="4" w:space="0" w:color="auto"/>
            </w:tcBorders>
            <w:vAlign w:val="center"/>
            <w:hideMark/>
          </w:tcPr>
          <w:p w14:paraId="3DD8F7F2" w14:textId="77777777" w:rsidR="00C85C43" w:rsidRPr="00AC2271" w:rsidRDefault="00C85C43" w:rsidP="000E4CAE">
            <w:pPr>
              <w:spacing w:before="0" w:after="0"/>
              <w:jc w:val="center"/>
              <w:rPr>
                <w:rFonts w:cs="Arial"/>
                <w:szCs w:val="22"/>
              </w:rPr>
            </w:pPr>
            <w:r w:rsidRPr="00AC2271">
              <w:rPr>
                <w:rFonts w:cs="Arial"/>
                <w:szCs w:val="22"/>
              </w:rPr>
              <w:t>$376,460</w:t>
            </w:r>
          </w:p>
        </w:tc>
        <w:tc>
          <w:tcPr>
            <w:tcW w:w="1464" w:type="dxa"/>
            <w:tcBorders>
              <w:top w:val="single" w:sz="4" w:space="0" w:color="auto"/>
              <w:left w:val="single" w:sz="4" w:space="0" w:color="auto"/>
              <w:bottom w:val="single" w:sz="4" w:space="0" w:color="auto"/>
              <w:right w:val="single" w:sz="4" w:space="0" w:color="auto"/>
            </w:tcBorders>
            <w:vAlign w:val="center"/>
          </w:tcPr>
          <w:p w14:paraId="47ACD981" w14:textId="77777777" w:rsidR="00C85C43" w:rsidRPr="00AC2271" w:rsidRDefault="00C85C43" w:rsidP="000E4CAE">
            <w:pPr>
              <w:spacing w:before="0" w:after="0"/>
              <w:jc w:val="center"/>
              <w:rPr>
                <w:rFonts w:cs="Arial"/>
                <w:szCs w:val="22"/>
              </w:rPr>
            </w:pPr>
            <w:r w:rsidRPr="00AC2271">
              <w:rPr>
                <w:rFonts w:cs="Arial"/>
                <w:szCs w:val="22"/>
              </w:rPr>
              <w:t>($378,107)</w:t>
            </w:r>
          </w:p>
        </w:tc>
        <w:tc>
          <w:tcPr>
            <w:tcW w:w="1471" w:type="dxa"/>
            <w:tcBorders>
              <w:top w:val="single" w:sz="4" w:space="0" w:color="auto"/>
              <w:left w:val="single" w:sz="4" w:space="0" w:color="auto"/>
              <w:bottom w:val="single" w:sz="4" w:space="0" w:color="auto"/>
              <w:right w:val="single" w:sz="4" w:space="0" w:color="auto"/>
            </w:tcBorders>
            <w:vAlign w:val="center"/>
          </w:tcPr>
          <w:p w14:paraId="4D20F47E" w14:textId="77777777" w:rsidR="00C85C43" w:rsidRPr="00AC2271" w:rsidRDefault="00C85C43" w:rsidP="000E4CAE">
            <w:pPr>
              <w:spacing w:before="0" w:after="0"/>
              <w:jc w:val="center"/>
              <w:rPr>
                <w:rFonts w:cs="Arial"/>
                <w:szCs w:val="22"/>
              </w:rPr>
            </w:pPr>
            <w:r w:rsidRPr="00AC2271">
              <w:rPr>
                <w:rFonts w:cs="Arial"/>
                <w:szCs w:val="22"/>
              </w:rPr>
              <w:t>$509,130</w:t>
            </w:r>
          </w:p>
        </w:tc>
        <w:tc>
          <w:tcPr>
            <w:tcW w:w="1464" w:type="dxa"/>
            <w:tcBorders>
              <w:top w:val="single" w:sz="4" w:space="0" w:color="auto"/>
              <w:left w:val="single" w:sz="4" w:space="0" w:color="auto"/>
              <w:bottom w:val="single" w:sz="4" w:space="0" w:color="auto"/>
              <w:right w:val="single" w:sz="4" w:space="0" w:color="auto"/>
            </w:tcBorders>
            <w:vAlign w:val="center"/>
          </w:tcPr>
          <w:p w14:paraId="04505C52" w14:textId="77777777" w:rsidR="00C85C43" w:rsidRPr="00AC2271" w:rsidRDefault="00C85C43" w:rsidP="000E4CAE">
            <w:pPr>
              <w:spacing w:before="0" w:after="0"/>
              <w:jc w:val="center"/>
              <w:rPr>
                <w:rFonts w:cs="Arial"/>
                <w:szCs w:val="22"/>
              </w:rPr>
            </w:pPr>
            <w:r w:rsidRPr="00AC2271">
              <w:rPr>
                <w:rFonts w:cs="Arial"/>
                <w:szCs w:val="22"/>
              </w:rPr>
              <w:t>($68,312)</w:t>
            </w:r>
          </w:p>
        </w:tc>
        <w:tc>
          <w:tcPr>
            <w:tcW w:w="1548" w:type="dxa"/>
            <w:tcBorders>
              <w:top w:val="single" w:sz="4" w:space="0" w:color="auto"/>
              <w:left w:val="single" w:sz="4" w:space="0" w:color="auto"/>
              <w:bottom w:val="single" w:sz="4" w:space="0" w:color="auto"/>
              <w:right w:val="single" w:sz="4" w:space="0" w:color="auto"/>
            </w:tcBorders>
            <w:vAlign w:val="center"/>
          </w:tcPr>
          <w:p w14:paraId="19F26166" w14:textId="77777777" w:rsidR="00C85C43" w:rsidRPr="00AC2271" w:rsidRDefault="00C85C43" w:rsidP="000E4CAE">
            <w:pPr>
              <w:spacing w:before="0" w:after="0"/>
              <w:jc w:val="center"/>
              <w:rPr>
                <w:rFonts w:cs="Arial"/>
                <w:szCs w:val="22"/>
              </w:rPr>
            </w:pPr>
            <w:r w:rsidRPr="00AC2271">
              <w:rPr>
                <w:rFonts w:cs="Arial"/>
                <w:szCs w:val="22"/>
              </w:rPr>
              <w:t>($424,269)</w:t>
            </w:r>
          </w:p>
        </w:tc>
      </w:tr>
      <w:tr w:rsidR="00C85C43" w:rsidRPr="00AC2271" w14:paraId="11BC5DB4" w14:textId="77777777" w:rsidTr="004547F8">
        <w:trPr>
          <w:cantSplit/>
          <w:trHeight w:val="524"/>
        </w:trPr>
        <w:tc>
          <w:tcPr>
            <w:tcW w:w="1944" w:type="dxa"/>
            <w:tcBorders>
              <w:top w:val="single" w:sz="4" w:space="0" w:color="auto"/>
              <w:left w:val="single" w:sz="4" w:space="0" w:color="auto"/>
              <w:bottom w:val="single" w:sz="4" w:space="0" w:color="auto"/>
              <w:right w:val="single" w:sz="4" w:space="0" w:color="auto"/>
            </w:tcBorders>
            <w:vAlign w:val="center"/>
            <w:hideMark/>
          </w:tcPr>
          <w:p w14:paraId="4FBAF8BF" w14:textId="77777777" w:rsidR="00C85C43" w:rsidRPr="00AC2271" w:rsidRDefault="00C85C43" w:rsidP="000E4CAE">
            <w:pPr>
              <w:spacing w:before="0" w:after="0"/>
              <w:rPr>
                <w:rFonts w:cs="Arial"/>
                <w:b/>
                <w:szCs w:val="22"/>
              </w:rPr>
            </w:pPr>
            <w:r w:rsidRPr="00AC2271">
              <w:rPr>
                <w:rFonts w:cs="Arial"/>
                <w:b/>
                <w:szCs w:val="22"/>
              </w:rPr>
              <w:t>Beginning Net Position</w:t>
            </w:r>
          </w:p>
        </w:tc>
        <w:tc>
          <w:tcPr>
            <w:tcW w:w="1464" w:type="dxa"/>
            <w:tcBorders>
              <w:top w:val="single" w:sz="4" w:space="0" w:color="auto"/>
              <w:left w:val="single" w:sz="4" w:space="0" w:color="auto"/>
              <w:bottom w:val="single" w:sz="4" w:space="0" w:color="auto"/>
              <w:right w:val="single" w:sz="4" w:space="0" w:color="auto"/>
            </w:tcBorders>
            <w:vAlign w:val="center"/>
            <w:hideMark/>
          </w:tcPr>
          <w:p w14:paraId="52E584A4" w14:textId="77777777" w:rsidR="00C85C43" w:rsidRPr="00AC2271" w:rsidRDefault="00C85C43" w:rsidP="000E4CAE">
            <w:pPr>
              <w:spacing w:before="0" w:after="0"/>
              <w:jc w:val="center"/>
              <w:rPr>
                <w:rFonts w:cs="Arial"/>
                <w:szCs w:val="22"/>
              </w:rPr>
            </w:pPr>
            <w:r w:rsidRPr="00AC2271">
              <w:rPr>
                <w:rFonts w:cs="Arial"/>
                <w:szCs w:val="22"/>
              </w:rPr>
              <w:t>$91,812*</w:t>
            </w:r>
          </w:p>
        </w:tc>
        <w:tc>
          <w:tcPr>
            <w:tcW w:w="1464" w:type="dxa"/>
            <w:tcBorders>
              <w:top w:val="single" w:sz="4" w:space="0" w:color="auto"/>
              <w:left w:val="single" w:sz="4" w:space="0" w:color="auto"/>
              <w:bottom w:val="single" w:sz="4" w:space="0" w:color="auto"/>
              <w:right w:val="single" w:sz="4" w:space="0" w:color="auto"/>
            </w:tcBorders>
            <w:vAlign w:val="center"/>
          </w:tcPr>
          <w:p w14:paraId="4A1E5C79" w14:textId="77777777" w:rsidR="00C85C43" w:rsidRPr="00AC2271" w:rsidRDefault="00C85C43" w:rsidP="000E4CAE">
            <w:pPr>
              <w:spacing w:before="0" w:after="0"/>
              <w:jc w:val="center"/>
              <w:rPr>
                <w:rFonts w:cs="Arial"/>
                <w:szCs w:val="22"/>
              </w:rPr>
            </w:pPr>
            <w:r w:rsidRPr="00AC2271">
              <w:rPr>
                <w:rFonts w:cs="Arial"/>
                <w:szCs w:val="22"/>
              </w:rPr>
              <w:t>$109,671</w:t>
            </w:r>
          </w:p>
        </w:tc>
        <w:tc>
          <w:tcPr>
            <w:tcW w:w="1471" w:type="dxa"/>
            <w:tcBorders>
              <w:top w:val="single" w:sz="4" w:space="0" w:color="auto"/>
              <w:left w:val="single" w:sz="4" w:space="0" w:color="auto"/>
              <w:bottom w:val="single" w:sz="4" w:space="0" w:color="auto"/>
              <w:right w:val="single" w:sz="4" w:space="0" w:color="auto"/>
            </w:tcBorders>
            <w:vAlign w:val="center"/>
          </w:tcPr>
          <w:p w14:paraId="09CE6015" w14:textId="77777777" w:rsidR="00C85C43" w:rsidRPr="00AC2271" w:rsidRDefault="00C85C43" w:rsidP="000E4CAE">
            <w:pPr>
              <w:spacing w:before="0" w:after="0"/>
              <w:jc w:val="center"/>
              <w:rPr>
                <w:rFonts w:cs="Arial"/>
                <w:szCs w:val="22"/>
              </w:rPr>
            </w:pPr>
            <w:r w:rsidRPr="00AC2271">
              <w:rPr>
                <w:rFonts w:cs="Arial"/>
                <w:szCs w:val="22"/>
              </w:rPr>
              <w:t>($</w:t>
            </w:r>
            <w:proofErr w:type="gramStart"/>
            <w:r w:rsidRPr="00AC2271">
              <w:rPr>
                <w:rFonts w:cs="Arial"/>
                <w:szCs w:val="22"/>
              </w:rPr>
              <w:t>223,995)*</w:t>
            </w:r>
            <w:proofErr w:type="gramEnd"/>
          </w:p>
        </w:tc>
        <w:tc>
          <w:tcPr>
            <w:tcW w:w="1464" w:type="dxa"/>
            <w:tcBorders>
              <w:top w:val="single" w:sz="4" w:space="0" w:color="auto"/>
              <w:left w:val="single" w:sz="4" w:space="0" w:color="auto"/>
              <w:bottom w:val="single" w:sz="4" w:space="0" w:color="auto"/>
              <w:right w:val="single" w:sz="4" w:space="0" w:color="auto"/>
            </w:tcBorders>
            <w:vAlign w:val="center"/>
          </w:tcPr>
          <w:p w14:paraId="4D48BC1A" w14:textId="77777777" w:rsidR="00C85C43" w:rsidRPr="00AC2271" w:rsidRDefault="00C85C43" w:rsidP="000E4CAE">
            <w:pPr>
              <w:spacing w:before="0" w:after="0"/>
              <w:jc w:val="center"/>
              <w:rPr>
                <w:rFonts w:cs="Arial"/>
                <w:szCs w:val="22"/>
              </w:rPr>
            </w:pPr>
            <w:r w:rsidRPr="00AC2271">
              <w:rPr>
                <w:rFonts w:cs="Arial"/>
                <w:szCs w:val="22"/>
              </w:rPr>
              <w:t>($268,436)</w:t>
            </w:r>
          </w:p>
        </w:tc>
        <w:tc>
          <w:tcPr>
            <w:tcW w:w="1548" w:type="dxa"/>
            <w:tcBorders>
              <w:top w:val="single" w:sz="4" w:space="0" w:color="auto"/>
              <w:left w:val="single" w:sz="4" w:space="0" w:color="auto"/>
              <w:bottom w:val="single" w:sz="4" w:space="0" w:color="auto"/>
              <w:right w:val="single" w:sz="4" w:space="0" w:color="auto"/>
            </w:tcBorders>
            <w:vAlign w:val="center"/>
          </w:tcPr>
          <w:p w14:paraId="7A650D4E" w14:textId="77777777" w:rsidR="00C85C43" w:rsidRPr="00AC2271" w:rsidRDefault="00C85C43" w:rsidP="000E4CAE">
            <w:pPr>
              <w:spacing w:before="0" w:after="0"/>
              <w:jc w:val="center"/>
              <w:rPr>
                <w:rFonts w:cs="Arial"/>
                <w:szCs w:val="22"/>
              </w:rPr>
            </w:pPr>
            <w:r w:rsidRPr="00AC2271">
              <w:rPr>
                <w:rFonts w:cs="Arial"/>
                <w:szCs w:val="22"/>
              </w:rPr>
              <w:t>($268,436)</w:t>
            </w:r>
          </w:p>
        </w:tc>
      </w:tr>
      <w:tr w:rsidR="00C85C43" w:rsidRPr="00AC2271" w14:paraId="6DE2A047" w14:textId="77777777" w:rsidTr="004547F8">
        <w:trPr>
          <w:cantSplit/>
          <w:trHeight w:val="524"/>
        </w:trPr>
        <w:tc>
          <w:tcPr>
            <w:tcW w:w="1944" w:type="dxa"/>
            <w:tcBorders>
              <w:top w:val="single" w:sz="4" w:space="0" w:color="auto"/>
              <w:left w:val="single" w:sz="4" w:space="0" w:color="auto"/>
              <w:bottom w:val="single" w:sz="4" w:space="0" w:color="auto"/>
              <w:right w:val="single" w:sz="4" w:space="0" w:color="auto"/>
            </w:tcBorders>
            <w:vAlign w:val="center"/>
            <w:hideMark/>
          </w:tcPr>
          <w:p w14:paraId="02637951" w14:textId="77777777" w:rsidR="00C85C43" w:rsidRPr="00AC2271" w:rsidRDefault="00C85C43" w:rsidP="000E4CAE">
            <w:pPr>
              <w:spacing w:before="0" w:after="0"/>
              <w:rPr>
                <w:rFonts w:cs="Arial"/>
                <w:b/>
                <w:szCs w:val="22"/>
              </w:rPr>
            </w:pPr>
            <w:r w:rsidRPr="00AC2271">
              <w:rPr>
                <w:rFonts w:cs="Arial"/>
                <w:b/>
                <w:szCs w:val="22"/>
              </w:rPr>
              <w:t>Ending Net Position</w:t>
            </w:r>
          </w:p>
        </w:tc>
        <w:tc>
          <w:tcPr>
            <w:tcW w:w="1464" w:type="dxa"/>
            <w:tcBorders>
              <w:top w:val="single" w:sz="4" w:space="0" w:color="auto"/>
              <w:left w:val="single" w:sz="4" w:space="0" w:color="auto"/>
              <w:bottom w:val="single" w:sz="4" w:space="0" w:color="auto"/>
              <w:right w:val="single" w:sz="4" w:space="0" w:color="auto"/>
            </w:tcBorders>
            <w:vAlign w:val="center"/>
            <w:hideMark/>
          </w:tcPr>
          <w:p w14:paraId="3D31D15F" w14:textId="77777777" w:rsidR="00C85C43" w:rsidRPr="00AC2271" w:rsidRDefault="00C85C43" w:rsidP="000E4CAE">
            <w:pPr>
              <w:spacing w:before="0" w:after="0"/>
              <w:jc w:val="center"/>
              <w:rPr>
                <w:rFonts w:cs="Arial"/>
                <w:szCs w:val="22"/>
              </w:rPr>
            </w:pPr>
            <w:r w:rsidRPr="00AC2271">
              <w:rPr>
                <w:rFonts w:cs="Arial"/>
                <w:szCs w:val="22"/>
              </w:rPr>
              <w:t>$468,272</w:t>
            </w:r>
          </w:p>
        </w:tc>
        <w:tc>
          <w:tcPr>
            <w:tcW w:w="1464" w:type="dxa"/>
            <w:tcBorders>
              <w:top w:val="single" w:sz="4" w:space="0" w:color="auto"/>
              <w:left w:val="single" w:sz="4" w:space="0" w:color="auto"/>
              <w:bottom w:val="single" w:sz="4" w:space="0" w:color="auto"/>
              <w:right w:val="single" w:sz="4" w:space="0" w:color="auto"/>
            </w:tcBorders>
            <w:vAlign w:val="center"/>
          </w:tcPr>
          <w:p w14:paraId="3B3A0527" w14:textId="77777777" w:rsidR="00C85C43" w:rsidRPr="00AC2271" w:rsidRDefault="00C85C43" w:rsidP="000E4CAE">
            <w:pPr>
              <w:spacing w:before="0" w:after="0"/>
              <w:jc w:val="center"/>
              <w:rPr>
                <w:rFonts w:cs="Arial"/>
                <w:szCs w:val="22"/>
              </w:rPr>
            </w:pPr>
            <w:r w:rsidRPr="00AC2271">
              <w:rPr>
                <w:rFonts w:cs="Arial"/>
                <w:szCs w:val="22"/>
              </w:rPr>
              <w:t>($268,436)</w:t>
            </w:r>
          </w:p>
        </w:tc>
        <w:tc>
          <w:tcPr>
            <w:tcW w:w="1471" w:type="dxa"/>
            <w:tcBorders>
              <w:top w:val="single" w:sz="4" w:space="0" w:color="auto"/>
              <w:left w:val="single" w:sz="4" w:space="0" w:color="auto"/>
              <w:bottom w:val="single" w:sz="4" w:space="0" w:color="auto"/>
              <w:right w:val="single" w:sz="4" w:space="0" w:color="auto"/>
            </w:tcBorders>
            <w:vAlign w:val="center"/>
          </w:tcPr>
          <w:p w14:paraId="3BE47944" w14:textId="77777777" w:rsidR="00C85C43" w:rsidRPr="00AC2271" w:rsidRDefault="00C85C43" w:rsidP="000E4CAE">
            <w:pPr>
              <w:spacing w:before="0" w:after="0"/>
              <w:jc w:val="center"/>
              <w:rPr>
                <w:rFonts w:cs="Arial"/>
                <w:szCs w:val="22"/>
              </w:rPr>
            </w:pPr>
            <w:r w:rsidRPr="00AC2271">
              <w:rPr>
                <w:rFonts w:cs="Arial"/>
                <w:szCs w:val="22"/>
              </w:rPr>
              <w:t>$285,135</w:t>
            </w:r>
          </w:p>
        </w:tc>
        <w:tc>
          <w:tcPr>
            <w:tcW w:w="1464" w:type="dxa"/>
            <w:tcBorders>
              <w:top w:val="single" w:sz="4" w:space="0" w:color="auto"/>
              <w:left w:val="single" w:sz="4" w:space="0" w:color="auto"/>
              <w:bottom w:val="single" w:sz="4" w:space="0" w:color="auto"/>
              <w:right w:val="single" w:sz="4" w:space="0" w:color="auto"/>
            </w:tcBorders>
            <w:vAlign w:val="center"/>
          </w:tcPr>
          <w:p w14:paraId="470D0636" w14:textId="77777777" w:rsidR="00C85C43" w:rsidRPr="00AC2271" w:rsidRDefault="00C85C43" w:rsidP="000E4CAE">
            <w:pPr>
              <w:spacing w:before="0" w:after="0"/>
              <w:jc w:val="center"/>
              <w:rPr>
                <w:rFonts w:cs="Arial"/>
                <w:szCs w:val="22"/>
              </w:rPr>
            </w:pPr>
            <w:r w:rsidRPr="00AC2271">
              <w:rPr>
                <w:rFonts w:cs="Arial"/>
                <w:szCs w:val="22"/>
              </w:rPr>
              <w:t>($336,748)</w:t>
            </w:r>
          </w:p>
        </w:tc>
        <w:tc>
          <w:tcPr>
            <w:tcW w:w="1548" w:type="dxa"/>
            <w:tcBorders>
              <w:top w:val="single" w:sz="4" w:space="0" w:color="auto"/>
              <w:left w:val="single" w:sz="4" w:space="0" w:color="auto"/>
              <w:bottom w:val="single" w:sz="4" w:space="0" w:color="auto"/>
              <w:right w:val="single" w:sz="4" w:space="0" w:color="auto"/>
            </w:tcBorders>
            <w:vAlign w:val="center"/>
          </w:tcPr>
          <w:p w14:paraId="59B41DA8" w14:textId="77777777" w:rsidR="00C85C43" w:rsidRPr="00AC2271" w:rsidRDefault="00C85C43" w:rsidP="000E4CAE">
            <w:pPr>
              <w:spacing w:before="0" w:after="0"/>
              <w:jc w:val="center"/>
              <w:rPr>
                <w:rFonts w:cs="Arial"/>
                <w:szCs w:val="22"/>
              </w:rPr>
            </w:pPr>
            <w:r w:rsidRPr="00AC2271">
              <w:rPr>
                <w:rFonts w:cs="Arial"/>
                <w:szCs w:val="22"/>
              </w:rPr>
              <w:t>($692,704)</w:t>
            </w:r>
          </w:p>
        </w:tc>
      </w:tr>
    </w:tbl>
    <w:p w14:paraId="5718BF3B" w14:textId="0A3CD2EE" w:rsidR="00C85C43" w:rsidRPr="00B654CA" w:rsidRDefault="00C85C43" w:rsidP="00C85C43">
      <w:pPr>
        <w:rPr>
          <w:rFonts w:eastAsia="Arial"/>
        </w:rPr>
      </w:pPr>
      <w:r w:rsidRPr="00B654CA">
        <w:rPr>
          <w:rFonts w:eastAsia="Arial"/>
        </w:rPr>
        <w:t>In addition to a substantial reduction in the projected revenues due to enrollment</w:t>
      </w:r>
      <w:r>
        <w:rPr>
          <w:rFonts w:eastAsia="Arial"/>
        </w:rPr>
        <w:t xml:space="preserve"> and </w:t>
      </w:r>
      <w:r w:rsidRPr="00B654CA">
        <w:rPr>
          <w:rFonts w:eastAsia="Arial"/>
        </w:rPr>
        <w:t xml:space="preserve">ADA shortfall, </w:t>
      </w:r>
      <w:r>
        <w:rPr>
          <w:rFonts w:eastAsia="Arial"/>
        </w:rPr>
        <w:t>T.I.M.E.</w:t>
      </w:r>
      <w:r w:rsidRPr="00B654CA">
        <w:rPr>
          <w:rFonts w:eastAsia="Arial"/>
        </w:rPr>
        <w:t xml:space="preserve"> is incurring increased operational costs, including a long</w:t>
      </w:r>
      <w:r>
        <w:rPr>
          <w:rFonts w:eastAsia="Arial"/>
        </w:rPr>
        <w:t>-</w:t>
      </w:r>
      <w:r w:rsidRPr="00B654CA">
        <w:rPr>
          <w:rFonts w:eastAsia="Arial"/>
        </w:rPr>
        <w:t>term commitment under its five</w:t>
      </w:r>
      <w:r>
        <w:rPr>
          <w:rFonts w:eastAsia="Arial"/>
        </w:rPr>
        <w:t>-</w:t>
      </w:r>
      <w:r w:rsidRPr="00B654CA">
        <w:rPr>
          <w:rFonts w:eastAsia="Arial"/>
        </w:rPr>
        <w:t xml:space="preserve">year lease agreement. The </w:t>
      </w:r>
      <w:r w:rsidR="007455AE" w:rsidRPr="00B654CA">
        <w:rPr>
          <w:rFonts w:eastAsia="Arial"/>
        </w:rPr>
        <w:t xml:space="preserve">First Interim Report </w:t>
      </w:r>
      <w:r w:rsidRPr="00B654CA">
        <w:rPr>
          <w:rFonts w:eastAsia="Arial"/>
        </w:rPr>
        <w:t xml:space="preserve">projects facility leases and related expenses totaling </w:t>
      </w:r>
      <w:r w:rsidRPr="00793FDD">
        <w:rPr>
          <w:rFonts w:eastAsia="Arial"/>
        </w:rPr>
        <w:t>$412,786, an increase of $340,941 or 475.0 percent</w:t>
      </w:r>
      <w:r w:rsidRPr="00B654CA">
        <w:rPr>
          <w:rFonts w:eastAsia="Arial"/>
        </w:rPr>
        <w:t xml:space="preserve"> from its 2021</w:t>
      </w:r>
      <w:r>
        <w:rPr>
          <w:rFonts w:eastAsia="Arial"/>
        </w:rPr>
        <w:t>–</w:t>
      </w:r>
      <w:r w:rsidRPr="00B654CA">
        <w:rPr>
          <w:rFonts w:eastAsia="Arial"/>
        </w:rPr>
        <w:t xml:space="preserve">22 facility leases related expenses. The budget for the facility leases and related expenses represents 42.9 percent of </w:t>
      </w:r>
      <w:r>
        <w:rPr>
          <w:rFonts w:eastAsia="Arial"/>
        </w:rPr>
        <w:t>T.I.M.E.</w:t>
      </w:r>
      <w:r w:rsidRPr="00B654CA">
        <w:rPr>
          <w:rFonts w:eastAsia="Arial"/>
        </w:rPr>
        <w:t>’s 2022</w:t>
      </w:r>
      <w:r>
        <w:rPr>
          <w:rFonts w:eastAsia="Arial"/>
        </w:rPr>
        <w:t>–</w:t>
      </w:r>
      <w:r w:rsidRPr="00B654CA">
        <w:rPr>
          <w:rFonts w:eastAsia="Arial"/>
        </w:rPr>
        <w:t>23 projected LCFF revenues of $962,625.</w:t>
      </w:r>
    </w:p>
    <w:p w14:paraId="6B6D2474" w14:textId="55A18F90" w:rsidR="00C85C43" w:rsidRDefault="00383320" w:rsidP="00C85C43">
      <w:pPr>
        <w:rPr>
          <w:rFonts w:eastAsia="Arial"/>
        </w:rPr>
      </w:pPr>
      <w:bookmarkStart w:id="2" w:name="_Hlk126913745"/>
      <w:r w:rsidRPr="003F09B4">
        <w:rPr>
          <w:rFonts w:eastAsia="Arial"/>
        </w:rPr>
        <w:t xml:space="preserve">T.I.M.E.’s financial activities from July 1, 2022, to December 31, 2022, resulted in an operating deficit of $424,269; ending net assets of negative $692,704; and a reserve for economic uncertainties of negative 47.8 percent based on T.I.M.E.’s 2022–23 first interim projected expenses. </w:t>
      </w:r>
      <w:r w:rsidRPr="00B654CA">
        <w:rPr>
          <w:rFonts w:eastAsia="Arial"/>
        </w:rPr>
        <w:t xml:space="preserve">The table below provides a summary of changes in </w:t>
      </w:r>
      <w:r>
        <w:rPr>
          <w:rFonts w:eastAsia="Arial"/>
        </w:rPr>
        <w:t>T.I.M.E.</w:t>
      </w:r>
      <w:r w:rsidRPr="00B654CA">
        <w:rPr>
          <w:rFonts w:eastAsia="Arial"/>
        </w:rPr>
        <w:t>’s financial position from July 1, 2022, to December 31, 2022.</w:t>
      </w:r>
    </w:p>
    <w:p w14:paraId="320D5923" w14:textId="2D38F237" w:rsidR="00B55C7E" w:rsidRDefault="00B55C7E" w:rsidP="00B55C7E">
      <w:pPr>
        <w:pStyle w:val="TableHeading"/>
        <w:rPr>
          <w:rFonts w:eastAsia="Arial"/>
        </w:rPr>
      </w:pPr>
      <w:r>
        <w:rPr>
          <w:rFonts w:eastAsia="Arial"/>
        </w:rPr>
        <w:t>T.I.M.E.’s Financial Position from July 1 to December 31, 2022</w:t>
      </w:r>
    </w:p>
    <w:p w14:paraId="0EBDD6E1" w14:textId="77777777" w:rsidR="004547F8" w:rsidRDefault="004547F8" w:rsidP="004547F8">
      <w:pPr>
        <w:rPr>
          <w:rFonts w:eastAsia="Arial"/>
        </w:rPr>
      </w:pPr>
      <w:r w:rsidRPr="003F09B4">
        <w:rPr>
          <w:rFonts w:eastAsia="Arial"/>
        </w:rPr>
        <w:t>* Negative total assets include factored (sale) receivables of negative $247,600 net of other assets, including a cash balance of $14,189.</w:t>
      </w:r>
    </w:p>
    <w:tbl>
      <w:tblPr>
        <w:tblStyle w:val="TableGrid"/>
        <w:tblW w:w="0" w:type="auto"/>
        <w:tblInd w:w="0" w:type="dxa"/>
        <w:tblLook w:val="04A0" w:firstRow="1" w:lastRow="0" w:firstColumn="1" w:lastColumn="0" w:noHBand="0" w:noVBand="1"/>
        <w:tblDescription w:val="Summary of changes in T.I.M.E.’s financial position from July 1, 2022, to December 31, 2022"/>
      </w:tblPr>
      <w:tblGrid>
        <w:gridCol w:w="2155"/>
        <w:gridCol w:w="1798"/>
        <w:gridCol w:w="1799"/>
        <w:gridCol w:w="1799"/>
        <w:gridCol w:w="1799"/>
      </w:tblGrid>
      <w:tr w:rsidR="00C85C43" w14:paraId="0117930F" w14:textId="77777777" w:rsidTr="00331221">
        <w:trPr>
          <w:cantSplit/>
          <w:tblHeader/>
        </w:trPr>
        <w:tc>
          <w:tcPr>
            <w:tcW w:w="2155" w:type="dxa"/>
            <w:shd w:val="clear" w:color="auto" w:fill="D9D9D9" w:themeFill="background1" w:themeFillShade="D9"/>
            <w:vAlign w:val="center"/>
          </w:tcPr>
          <w:p w14:paraId="551C772B" w14:textId="77777777" w:rsidR="00C85C43" w:rsidRPr="00CC21F9" w:rsidRDefault="00C85C43" w:rsidP="000E4CAE">
            <w:pPr>
              <w:spacing w:before="0" w:after="0"/>
              <w:jc w:val="center"/>
              <w:rPr>
                <w:rFonts w:eastAsia="Arial"/>
                <w:b/>
              </w:rPr>
            </w:pPr>
            <w:r>
              <w:rPr>
                <w:rFonts w:eastAsia="Arial"/>
                <w:b/>
              </w:rPr>
              <w:t>Criteria</w:t>
            </w:r>
          </w:p>
        </w:tc>
        <w:tc>
          <w:tcPr>
            <w:tcW w:w="1798" w:type="dxa"/>
            <w:shd w:val="clear" w:color="auto" w:fill="D9D9D9" w:themeFill="background1" w:themeFillShade="D9"/>
            <w:vAlign w:val="center"/>
          </w:tcPr>
          <w:p w14:paraId="40147E5E" w14:textId="77777777" w:rsidR="00C85C43" w:rsidRPr="00CC21F9" w:rsidRDefault="00C85C43" w:rsidP="000E4CAE">
            <w:pPr>
              <w:spacing w:before="0" w:after="0"/>
              <w:jc w:val="center"/>
              <w:rPr>
                <w:rFonts w:eastAsia="Arial"/>
                <w:b/>
              </w:rPr>
            </w:pPr>
            <w:r>
              <w:rPr>
                <w:rFonts w:eastAsia="Arial"/>
                <w:b/>
              </w:rPr>
              <w:t>July 1, 2022</w:t>
            </w:r>
          </w:p>
        </w:tc>
        <w:tc>
          <w:tcPr>
            <w:tcW w:w="1799" w:type="dxa"/>
            <w:shd w:val="clear" w:color="auto" w:fill="D9D9D9" w:themeFill="background1" w:themeFillShade="D9"/>
            <w:vAlign w:val="center"/>
          </w:tcPr>
          <w:p w14:paraId="6D40BC81" w14:textId="77777777" w:rsidR="00C85C43" w:rsidRPr="00CC21F9" w:rsidRDefault="00C85C43" w:rsidP="000E4CAE">
            <w:pPr>
              <w:spacing w:before="0" w:after="0"/>
              <w:jc w:val="center"/>
              <w:rPr>
                <w:rFonts w:eastAsia="Arial"/>
                <w:b/>
              </w:rPr>
            </w:pPr>
            <w:r>
              <w:rPr>
                <w:rFonts w:eastAsia="Arial"/>
                <w:b/>
              </w:rPr>
              <w:t>December 31, 2022</w:t>
            </w:r>
          </w:p>
        </w:tc>
        <w:tc>
          <w:tcPr>
            <w:tcW w:w="1799" w:type="dxa"/>
            <w:shd w:val="clear" w:color="auto" w:fill="D9D9D9" w:themeFill="background1" w:themeFillShade="D9"/>
            <w:vAlign w:val="center"/>
          </w:tcPr>
          <w:p w14:paraId="678C9154" w14:textId="77777777" w:rsidR="00C85C43" w:rsidRPr="00CC21F9" w:rsidRDefault="00C85C43" w:rsidP="000E4CAE">
            <w:pPr>
              <w:spacing w:before="0" w:after="0"/>
              <w:jc w:val="center"/>
              <w:rPr>
                <w:rFonts w:eastAsia="Arial"/>
                <w:b/>
              </w:rPr>
            </w:pPr>
            <w:r>
              <w:rPr>
                <w:rFonts w:eastAsia="Arial"/>
                <w:b/>
              </w:rPr>
              <w:t>Year-to-Date Change</w:t>
            </w:r>
          </w:p>
        </w:tc>
        <w:tc>
          <w:tcPr>
            <w:tcW w:w="1799" w:type="dxa"/>
            <w:shd w:val="clear" w:color="auto" w:fill="D9D9D9" w:themeFill="background1" w:themeFillShade="D9"/>
            <w:vAlign w:val="center"/>
          </w:tcPr>
          <w:p w14:paraId="16B03615" w14:textId="77777777" w:rsidR="00C85C43" w:rsidRPr="00CC21F9" w:rsidRDefault="00C85C43" w:rsidP="000E4CAE">
            <w:pPr>
              <w:spacing w:before="0" w:after="0"/>
              <w:jc w:val="center"/>
              <w:rPr>
                <w:rFonts w:eastAsia="Arial"/>
                <w:b/>
              </w:rPr>
            </w:pPr>
            <w:r>
              <w:rPr>
                <w:rFonts w:eastAsia="Arial"/>
                <w:b/>
              </w:rPr>
              <w:t>Year-to-Date Percentage Change</w:t>
            </w:r>
          </w:p>
        </w:tc>
      </w:tr>
      <w:tr w:rsidR="00C85C43" w14:paraId="0DFBFDFF" w14:textId="77777777" w:rsidTr="00331221">
        <w:trPr>
          <w:cantSplit/>
        </w:trPr>
        <w:tc>
          <w:tcPr>
            <w:tcW w:w="2155" w:type="dxa"/>
            <w:vAlign w:val="center"/>
          </w:tcPr>
          <w:p w14:paraId="0071483F" w14:textId="77777777" w:rsidR="00C85C43" w:rsidRPr="00CC21F9" w:rsidRDefault="00C85C43" w:rsidP="000E4CAE">
            <w:pPr>
              <w:spacing w:before="0" w:after="0"/>
              <w:rPr>
                <w:rFonts w:eastAsia="Arial"/>
                <w:b/>
              </w:rPr>
            </w:pPr>
            <w:r>
              <w:rPr>
                <w:rFonts w:eastAsia="Arial"/>
                <w:b/>
              </w:rPr>
              <w:t>Total Assets</w:t>
            </w:r>
          </w:p>
        </w:tc>
        <w:tc>
          <w:tcPr>
            <w:tcW w:w="1798" w:type="dxa"/>
            <w:vAlign w:val="center"/>
          </w:tcPr>
          <w:p w14:paraId="14ED494B" w14:textId="77777777" w:rsidR="00C85C43" w:rsidRDefault="00C85C43" w:rsidP="000E4CAE">
            <w:pPr>
              <w:spacing w:before="0" w:after="0"/>
              <w:jc w:val="center"/>
              <w:rPr>
                <w:rFonts w:eastAsia="Arial"/>
              </w:rPr>
            </w:pPr>
            <w:r>
              <w:rPr>
                <w:rFonts w:eastAsia="Arial"/>
              </w:rPr>
              <w:t>$226,663</w:t>
            </w:r>
          </w:p>
        </w:tc>
        <w:tc>
          <w:tcPr>
            <w:tcW w:w="1799" w:type="dxa"/>
            <w:vAlign w:val="center"/>
          </w:tcPr>
          <w:p w14:paraId="6E218E42" w14:textId="77777777" w:rsidR="00C85C43" w:rsidRDefault="00C85C43" w:rsidP="000E4CAE">
            <w:pPr>
              <w:spacing w:before="0" w:after="0"/>
              <w:jc w:val="center"/>
              <w:rPr>
                <w:rFonts w:eastAsia="Arial"/>
              </w:rPr>
            </w:pPr>
            <w:r>
              <w:rPr>
                <w:rFonts w:eastAsia="Arial"/>
              </w:rPr>
              <w:t>($</w:t>
            </w:r>
            <w:proofErr w:type="gramStart"/>
            <w:r>
              <w:rPr>
                <w:rFonts w:eastAsia="Arial"/>
              </w:rPr>
              <w:t>19,432)*</w:t>
            </w:r>
            <w:proofErr w:type="gramEnd"/>
          </w:p>
        </w:tc>
        <w:tc>
          <w:tcPr>
            <w:tcW w:w="1799" w:type="dxa"/>
            <w:vAlign w:val="center"/>
          </w:tcPr>
          <w:p w14:paraId="185B5A86" w14:textId="77777777" w:rsidR="00C85C43" w:rsidRDefault="00C85C43" w:rsidP="000E4CAE">
            <w:pPr>
              <w:spacing w:before="0" w:after="0"/>
              <w:jc w:val="center"/>
              <w:rPr>
                <w:rFonts w:eastAsia="Arial"/>
              </w:rPr>
            </w:pPr>
            <w:r>
              <w:rPr>
                <w:rFonts w:eastAsia="Arial"/>
              </w:rPr>
              <w:t>($246,095)</w:t>
            </w:r>
          </w:p>
        </w:tc>
        <w:tc>
          <w:tcPr>
            <w:tcW w:w="1799" w:type="dxa"/>
            <w:vAlign w:val="center"/>
          </w:tcPr>
          <w:p w14:paraId="03AC8F24" w14:textId="77777777" w:rsidR="00C85C43" w:rsidRDefault="00C85C43" w:rsidP="000E4CAE">
            <w:pPr>
              <w:spacing w:before="0" w:after="0"/>
              <w:jc w:val="center"/>
              <w:rPr>
                <w:rFonts w:eastAsia="Arial"/>
              </w:rPr>
            </w:pPr>
            <w:r>
              <w:rPr>
                <w:rFonts w:eastAsia="Arial"/>
              </w:rPr>
              <w:t>(149%)</w:t>
            </w:r>
          </w:p>
        </w:tc>
      </w:tr>
      <w:tr w:rsidR="00C85C43" w14:paraId="75EDAD27" w14:textId="77777777" w:rsidTr="00331221">
        <w:trPr>
          <w:cantSplit/>
        </w:trPr>
        <w:tc>
          <w:tcPr>
            <w:tcW w:w="2155" w:type="dxa"/>
            <w:vAlign w:val="center"/>
          </w:tcPr>
          <w:p w14:paraId="174BCFAB" w14:textId="77777777" w:rsidR="00C85C43" w:rsidRPr="00CC21F9" w:rsidRDefault="00C85C43" w:rsidP="000E4CAE">
            <w:pPr>
              <w:spacing w:before="0" w:after="0"/>
              <w:rPr>
                <w:rFonts w:eastAsia="Arial"/>
                <w:b/>
              </w:rPr>
            </w:pPr>
            <w:r>
              <w:rPr>
                <w:rFonts w:eastAsia="Arial"/>
                <w:b/>
              </w:rPr>
              <w:t>Total Liabilities</w:t>
            </w:r>
          </w:p>
        </w:tc>
        <w:tc>
          <w:tcPr>
            <w:tcW w:w="1798" w:type="dxa"/>
            <w:vAlign w:val="center"/>
          </w:tcPr>
          <w:p w14:paraId="526A9728" w14:textId="77777777" w:rsidR="00C85C43" w:rsidRDefault="00C85C43" w:rsidP="000E4CAE">
            <w:pPr>
              <w:spacing w:before="0" w:after="0"/>
              <w:jc w:val="center"/>
              <w:rPr>
                <w:rFonts w:eastAsia="Arial"/>
              </w:rPr>
            </w:pPr>
            <w:r>
              <w:rPr>
                <w:rFonts w:eastAsia="Arial"/>
              </w:rPr>
              <w:t>$495,099</w:t>
            </w:r>
          </w:p>
        </w:tc>
        <w:tc>
          <w:tcPr>
            <w:tcW w:w="1799" w:type="dxa"/>
            <w:vAlign w:val="center"/>
          </w:tcPr>
          <w:p w14:paraId="5E35B0AC" w14:textId="77777777" w:rsidR="00C85C43" w:rsidRDefault="00C85C43" w:rsidP="000E4CAE">
            <w:pPr>
              <w:spacing w:before="0" w:after="0"/>
              <w:jc w:val="center"/>
              <w:rPr>
                <w:rFonts w:eastAsia="Arial"/>
              </w:rPr>
            </w:pPr>
            <w:r>
              <w:rPr>
                <w:rFonts w:eastAsia="Arial"/>
              </w:rPr>
              <w:t>$673,273</w:t>
            </w:r>
          </w:p>
        </w:tc>
        <w:tc>
          <w:tcPr>
            <w:tcW w:w="1799" w:type="dxa"/>
            <w:vAlign w:val="center"/>
          </w:tcPr>
          <w:p w14:paraId="4CC799D7" w14:textId="77777777" w:rsidR="00C85C43" w:rsidRDefault="00C85C43" w:rsidP="000E4CAE">
            <w:pPr>
              <w:spacing w:before="0" w:after="0"/>
              <w:jc w:val="center"/>
              <w:rPr>
                <w:rFonts w:eastAsia="Arial"/>
              </w:rPr>
            </w:pPr>
            <w:r>
              <w:rPr>
                <w:rFonts w:eastAsia="Arial"/>
              </w:rPr>
              <w:t>$178,174</w:t>
            </w:r>
          </w:p>
        </w:tc>
        <w:tc>
          <w:tcPr>
            <w:tcW w:w="1799" w:type="dxa"/>
            <w:vAlign w:val="center"/>
          </w:tcPr>
          <w:p w14:paraId="2065A167" w14:textId="77777777" w:rsidR="00C85C43" w:rsidRDefault="00C85C43" w:rsidP="000E4CAE">
            <w:pPr>
              <w:spacing w:before="0" w:after="0"/>
              <w:jc w:val="center"/>
              <w:rPr>
                <w:rFonts w:eastAsia="Arial"/>
              </w:rPr>
            </w:pPr>
            <w:r>
              <w:rPr>
                <w:rFonts w:eastAsia="Arial"/>
              </w:rPr>
              <w:t>36%</w:t>
            </w:r>
          </w:p>
        </w:tc>
      </w:tr>
      <w:tr w:rsidR="00C85C43" w:rsidRPr="003F09B4" w14:paraId="6FE46850" w14:textId="77777777" w:rsidTr="00331221">
        <w:trPr>
          <w:cantSplit/>
        </w:trPr>
        <w:tc>
          <w:tcPr>
            <w:tcW w:w="2155" w:type="dxa"/>
            <w:vAlign w:val="center"/>
          </w:tcPr>
          <w:p w14:paraId="3A18AEF9" w14:textId="77777777" w:rsidR="00C85C43" w:rsidRPr="003F09B4" w:rsidRDefault="00C85C43" w:rsidP="000E4CAE">
            <w:pPr>
              <w:spacing w:before="0" w:after="0"/>
              <w:rPr>
                <w:rFonts w:eastAsia="Arial"/>
                <w:b/>
              </w:rPr>
            </w:pPr>
            <w:r w:rsidRPr="003F09B4">
              <w:rPr>
                <w:rFonts w:eastAsia="Arial"/>
                <w:b/>
              </w:rPr>
              <w:t>Total Net Assets</w:t>
            </w:r>
          </w:p>
        </w:tc>
        <w:tc>
          <w:tcPr>
            <w:tcW w:w="1798" w:type="dxa"/>
            <w:vAlign w:val="center"/>
          </w:tcPr>
          <w:p w14:paraId="5FFD5F65" w14:textId="77777777" w:rsidR="00C85C43" w:rsidRPr="003F09B4" w:rsidRDefault="00C85C43" w:rsidP="000E4CAE">
            <w:pPr>
              <w:spacing w:before="0" w:after="0"/>
              <w:jc w:val="center"/>
              <w:rPr>
                <w:rFonts w:eastAsia="Arial"/>
              </w:rPr>
            </w:pPr>
            <w:r w:rsidRPr="003F09B4">
              <w:rPr>
                <w:rFonts w:eastAsia="Arial"/>
              </w:rPr>
              <w:t>($268,436)</w:t>
            </w:r>
          </w:p>
        </w:tc>
        <w:tc>
          <w:tcPr>
            <w:tcW w:w="1799" w:type="dxa"/>
            <w:vAlign w:val="center"/>
          </w:tcPr>
          <w:p w14:paraId="164196D6" w14:textId="77777777" w:rsidR="00C85C43" w:rsidRPr="003F09B4" w:rsidRDefault="00C85C43" w:rsidP="000E4CAE">
            <w:pPr>
              <w:spacing w:before="0" w:after="0"/>
              <w:jc w:val="center"/>
              <w:rPr>
                <w:rFonts w:eastAsia="Arial"/>
              </w:rPr>
            </w:pPr>
            <w:r w:rsidRPr="003F09B4">
              <w:rPr>
                <w:rFonts w:eastAsia="Arial"/>
              </w:rPr>
              <w:t>($692,70</w:t>
            </w:r>
            <w:r>
              <w:rPr>
                <w:rFonts w:eastAsia="Arial"/>
              </w:rPr>
              <w:t>5</w:t>
            </w:r>
            <w:r w:rsidRPr="003F09B4">
              <w:rPr>
                <w:rFonts w:eastAsia="Arial"/>
              </w:rPr>
              <w:t>)</w:t>
            </w:r>
          </w:p>
        </w:tc>
        <w:tc>
          <w:tcPr>
            <w:tcW w:w="1799" w:type="dxa"/>
            <w:vAlign w:val="center"/>
          </w:tcPr>
          <w:p w14:paraId="6D444DDB" w14:textId="77777777" w:rsidR="00C85C43" w:rsidRPr="003F09B4" w:rsidRDefault="00C85C43" w:rsidP="000E4CAE">
            <w:pPr>
              <w:spacing w:before="0" w:after="0"/>
              <w:jc w:val="center"/>
              <w:rPr>
                <w:rFonts w:eastAsia="Arial"/>
              </w:rPr>
            </w:pPr>
            <w:r w:rsidRPr="003F09B4">
              <w:rPr>
                <w:rFonts w:eastAsia="Arial"/>
              </w:rPr>
              <w:t>($424,269)</w:t>
            </w:r>
          </w:p>
        </w:tc>
        <w:tc>
          <w:tcPr>
            <w:tcW w:w="1799" w:type="dxa"/>
            <w:vAlign w:val="center"/>
          </w:tcPr>
          <w:p w14:paraId="706BBAA6" w14:textId="77777777" w:rsidR="00C85C43" w:rsidRPr="003F09B4" w:rsidRDefault="00C85C43" w:rsidP="000E4CAE">
            <w:pPr>
              <w:spacing w:before="0" w:after="0"/>
              <w:jc w:val="center"/>
              <w:rPr>
                <w:rFonts w:eastAsia="Arial"/>
              </w:rPr>
            </w:pPr>
            <w:r w:rsidRPr="003F09B4">
              <w:rPr>
                <w:rFonts w:eastAsia="Arial"/>
              </w:rPr>
              <w:t>158%</w:t>
            </w:r>
          </w:p>
        </w:tc>
      </w:tr>
    </w:tbl>
    <w:p w14:paraId="0DC61098" w14:textId="06D790C9" w:rsidR="00383320" w:rsidRPr="003F09B4" w:rsidRDefault="00383320" w:rsidP="00C85C43">
      <w:pPr>
        <w:rPr>
          <w:rFonts w:eastAsia="Arial"/>
        </w:rPr>
      </w:pPr>
      <w:r w:rsidRPr="003F09B4">
        <w:rPr>
          <w:rFonts w:eastAsia="Arial"/>
        </w:rPr>
        <w:t>T.I.M.E.’s reserve is far below the 3 percent minimum reserve requirement, which is outlined on page 18 in section 3.4 (Revenue and Expenditure Reporting) of its MOU with LACOE.</w:t>
      </w:r>
    </w:p>
    <w:bookmarkEnd w:id="2"/>
    <w:p w14:paraId="25FDB654" w14:textId="19BA46E1" w:rsidR="00C85C43" w:rsidRDefault="0005661A" w:rsidP="00C85C43">
      <w:pPr>
        <w:rPr>
          <w:rFonts w:eastAsia="Arial"/>
        </w:rPr>
      </w:pPr>
      <w:r>
        <w:rPr>
          <w:rFonts w:eastAsia="Arial"/>
        </w:rPr>
        <w:t>Additionally,</w:t>
      </w:r>
      <w:r w:rsidR="00C85C43" w:rsidRPr="003F09B4">
        <w:rPr>
          <w:rFonts w:eastAsia="Arial"/>
        </w:rPr>
        <w:t xml:space="preserve"> T.I.M.E. has not developed and implemented a recovery plan necessary to prevent further deteriorating of its financial condition. T.I.M.E.’s Statement of Financial Position, as of December 31, 2022, reflected total assets of negative $19,432; total liabilities of $673,273; and an ending net position of negative $692,704. Included</w:t>
      </w:r>
      <w:r w:rsidR="00C85C43" w:rsidRPr="00B654CA">
        <w:rPr>
          <w:rFonts w:eastAsia="Arial"/>
        </w:rPr>
        <w:t xml:space="preserve"> in the total liabilities are various personal promissory notes totaling $279,444 and a </w:t>
      </w:r>
      <w:r w:rsidR="0067796A">
        <w:rPr>
          <w:rFonts w:eastAsia="Arial"/>
        </w:rPr>
        <w:t>CSRLF Program l</w:t>
      </w:r>
      <w:r w:rsidR="00C85C43" w:rsidRPr="00B654CA">
        <w:rPr>
          <w:rFonts w:eastAsia="Arial"/>
        </w:rPr>
        <w:t xml:space="preserve">oan of $86,002. </w:t>
      </w:r>
      <w:r w:rsidR="00C85C43">
        <w:rPr>
          <w:rFonts w:eastAsia="Arial"/>
        </w:rPr>
        <w:t>T.I.M.E.</w:t>
      </w:r>
      <w:r w:rsidR="00C85C43" w:rsidRPr="00B654CA">
        <w:rPr>
          <w:rFonts w:eastAsia="Arial"/>
        </w:rPr>
        <w:t>’s ability to repay outstanding liabilities will depend on future revenue growth in excess of operational costs.</w:t>
      </w:r>
    </w:p>
    <w:p w14:paraId="73C70146" w14:textId="114868BE" w:rsidR="00C85C43" w:rsidRDefault="00C85C43" w:rsidP="00C85C43">
      <w:r>
        <w:rPr>
          <w:rFonts w:eastAsia="Arial"/>
        </w:rPr>
        <w:lastRenderedPageBreak/>
        <w:t>T.I.M.E.</w:t>
      </w:r>
      <w:r w:rsidRPr="00B654CA">
        <w:rPr>
          <w:rFonts w:eastAsia="Arial"/>
        </w:rPr>
        <w:t xml:space="preserve">’s structural deficit, rising debts, </w:t>
      </w:r>
      <w:r>
        <w:rPr>
          <w:rFonts w:eastAsia="Arial"/>
        </w:rPr>
        <w:t xml:space="preserve">and </w:t>
      </w:r>
      <w:r w:rsidRPr="00B654CA">
        <w:rPr>
          <w:rFonts w:eastAsia="Arial"/>
        </w:rPr>
        <w:t>lack of a viable plan to address its dire fiscal condition,</w:t>
      </w:r>
      <w:r>
        <w:rPr>
          <w:rFonts w:eastAsia="Arial"/>
        </w:rPr>
        <w:t xml:space="preserve"> leave in doubt T.I.M.E.’s </w:t>
      </w:r>
      <w:r w:rsidRPr="00B654CA">
        <w:rPr>
          <w:rFonts w:eastAsia="Arial"/>
        </w:rPr>
        <w:t>ability to secure additional funding to satisfy its immediate and future financial obligations, inclusive of payroll obligations.</w:t>
      </w:r>
    </w:p>
    <w:p w14:paraId="119558CF" w14:textId="7B2FA7E4" w:rsidR="00FC3839" w:rsidRDefault="00FC3839" w:rsidP="000D0061">
      <w:pPr>
        <w:pStyle w:val="Heading4"/>
      </w:pPr>
      <w:r>
        <w:t>T.I.M.E.’s Response to Financial Projection and Actual Results</w:t>
      </w:r>
    </w:p>
    <w:p w14:paraId="4E0E2B2B" w14:textId="425656C7" w:rsidR="00140651" w:rsidRDefault="00140651" w:rsidP="00140651">
      <w:r w:rsidRPr="00A14E39">
        <w:t>In response to this section of the Notice of Violation, T.I.M.E. provided the following table:</w:t>
      </w:r>
    </w:p>
    <w:p w14:paraId="054BD78E" w14:textId="7C0F4C9E" w:rsidR="000D2668" w:rsidRDefault="00B55C7E" w:rsidP="00B55C7E">
      <w:pPr>
        <w:pStyle w:val="TableHeading"/>
      </w:pPr>
      <w:r>
        <w:t>T.I.M.E.’s Forecasted Revenues and Expenditures</w:t>
      </w:r>
      <w:r w:rsidR="00292919">
        <w:t xml:space="preserve"> (provided by T.I.M.E.)</w:t>
      </w:r>
    </w:p>
    <w:p w14:paraId="265E1978" w14:textId="0303DE39" w:rsidR="004547F8" w:rsidRPr="00B55C7E" w:rsidRDefault="004547F8" w:rsidP="004547F8">
      <w:r>
        <w:rPr>
          <w:rFonts w:eastAsia="Arial"/>
        </w:rPr>
        <w:t>* After gifting of $217,444 notes payable</w:t>
      </w:r>
    </w:p>
    <w:tbl>
      <w:tblPr>
        <w:tblStyle w:val="TableGrid"/>
        <w:tblW w:w="9355" w:type="dxa"/>
        <w:tblInd w:w="0" w:type="dxa"/>
        <w:tblLook w:val="04A0" w:firstRow="1" w:lastRow="0" w:firstColumn="1" w:lastColumn="0" w:noHBand="0" w:noVBand="1"/>
        <w:tblDescription w:val="Table provided by T.I.M.E. Community in their response to the Notice of Violation"/>
      </w:tblPr>
      <w:tblGrid>
        <w:gridCol w:w="2338"/>
        <w:gridCol w:w="2339"/>
        <w:gridCol w:w="2339"/>
        <w:gridCol w:w="2339"/>
      </w:tblGrid>
      <w:tr w:rsidR="00A9510F" w:rsidRPr="003424AE" w14:paraId="6935EFCA" w14:textId="77777777" w:rsidTr="00297D82">
        <w:trPr>
          <w:cantSplit/>
          <w:tblHeader/>
        </w:trPr>
        <w:tc>
          <w:tcPr>
            <w:tcW w:w="2338" w:type="dxa"/>
            <w:shd w:val="clear" w:color="auto" w:fill="D0CECE" w:themeFill="background2" w:themeFillShade="E6"/>
            <w:vAlign w:val="center"/>
          </w:tcPr>
          <w:p w14:paraId="6F8750F4" w14:textId="3F136A8D" w:rsidR="00A9510F" w:rsidRPr="003424AE" w:rsidRDefault="00A9510F" w:rsidP="00297D82">
            <w:pPr>
              <w:spacing w:before="0" w:after="0"/>
              <w:jc w:val="center"/>
              <w:rPr>
                <w:rFonts w:eastAsia="Arial"/>
                <w:b/>
              </w:rPr>
            </w:pPr>
            <w:r>
              <w:rPr>
                <w:rFonts w:eastAsia="Arial"/>
                <w:b/>
              </w:rPr>
              <w:t>Criteria</w:t>
            </w:r>
          </w:p>
        </w:tc>
        <w:tc>
          <w:tcPr>
            <w:tcW w:w="2339" w:type="dxa"/>
            <w:shd w:val="clear" w:color="auto" w:fill="D0CECE" w:themeFill="background2" w:themeFillShade="E6"/>
            <w:vAlign w:val="center"/>
          </w:tcPr>
          <w:p w14:paraId="3539A317" w14:textId="1329DD2E" w:rsidR="00A9510F" w:rsidRPr="003424AE" w:rsidRDefault="00A9510F" w:rsidP="00297D82">
            <w:pPr>
              <w:spacing w:before="0" w:after="0"/>
              <w:jc w:val="center"/>
              <w:rPr>
                <w:rFonts w:eastAsia="Arial"/>
                <w:b/>
              </w:rPr>
            </w:pPr>
            <w:r>
              <w:rPr>
                <w:rFonts w:eastAsia="Arial"/>
                <w:b/>
              </w:rPr>
              <w:t>2022</w:t>
            </w:r>
            <w:r w:rsidR="00C313F8">
              <w:rPr>
                <w:rFonts w:eastAsia="Arial"/>
                <w:b/>
              </w:rPr>
              <w:t>–</w:t>
            </w:r>
            <w:r>
              <w:rPr>
                <w:rFonts w:eastAsia="Arial"/>
                <w:b/>
              </w:rPr>
              <w:t>23 Annual Forecast First Principal Apportionment</w:t>
            </w:r>
          </w:p>
        </w:tc>
        <w:tc>
          <w:tcPr>
            <w:tcW w:w="2339" w:type="dxa"/>
            <w:shd w:val="clear" w:color="auto" w:fill="D0CECE" w:themeFill="background2" w:themeFillShade="E6"/>
            <w:vAlign w:val="center"/>
          </w:tcPr>
          <w:p w14:paraId="7F328C55" w14:textId="308E3D14" w:rsidR="00A9510F" w:rsidRPr="003424AE" w:rsidRDefault="00A9510F" w:rsidP="00297D82">
            <w:pPr>
              <w:spacing w:before="0" w:after="0"/>
              <w:jc w:val="center"/>
              <w:rPr>
                <w:rFonts w:eastAsia="Arial"/>
                <w:b/>
              </w:rPr>
            </w:pPr>
            <w:r>
              <w:rPr>
                <w:rFonts w:eastAsia="Arial"/>
                <w:b/>
              </w:rPr>
              <w:t>2023</w:t>
            </w:r>
            <w:r w:rsidR="00C313F8">
              <w:rPr>
                <w:rFonts w:eastAsia="Arial"/>
                <w:b/>
              </w:rPr>
              <w:t>–</w:t>
            </w:r>
            <w:r>
              <w:rPr>
                <w:rFonts w:eastAsia="Arial"/>
                <w:b/>
              </w:rPr>
              <w:t>24 Forecast</w:t>
            </w:r>
          </w:p>
        </w:tc>
        <w:tc>
          <w:tcPr>
            <w:tcW w:w="2339" w:type="dxa"/>
            <w:shd w:val="clear" w:color="auto" w:fill="D0CECE" w:themeFill="background2" w:themeFillShade="E6"/>
            <w:vAlign w:val="center"/>
          </w:tcPr>
          <w:p w14:paraId="513E970F" w14:textId="6DBFEE7F" w:rsidR="00A9510F" w:rsidRPr="003424AE" w:rsidRDefault="00A9510F" w:rsidP="00297D82">
            <w:pPr>
              <w:spacing w:before="0" w:after="0"/>
              <w:jc w:val="center"/>
              <w:rPr>
                <w:rFonts w:eastAsia="Arial"/>
                <w:b/>
              </w:rPr>
            </w:pPr>
            <w:r>
              <w:rPr>
                <w:rFonts w:eastAsia="Arial"/>
                <w:b/>
              </w:rPr>
              <w:t>2024</w:t>
            </w:r>
            <w:r w:rsidR="00C313F8">
              <w:rPr>
                <w:rFonts w:eastAsia="Arial"/>
                <w:b/>
              </w:rPr>
              <w:t>–</w:t>
            </w:r>
            <w:r>
              <w:rPr>
                <w:rFonts w:eastAsia="Arial"/>
                <w:b/>
              </w:rPr>
              <w:t>25 Forecast</w:t>
            </w:r>
          </w:p>
        </w:tc>
      </w:tr>
      <w:tr w:rsidR="00A9510F" w:rsidRPr="003424AE" w14:paraId="4009C720" w14:textId="77777777" w:rsidTr="00A14E39">
        <w:trPr>
          <w:cantSplit/>
        </w:trPr>
        <w:tc>
          <w:tcPr>
            <w:tcW w:w="2338" w:type="dxa"/>
            <w:shd w:val="clear" w:color="auto" w:fill="auto"/>
            <w:vAlign w:val="center"/>
          </w:tcPr>
          <w:p w14:paraId="553D1450" w14:textId="3C24ADEB" w:rsidR="00A9510F" w:rsidRPr="003424AE" w:rsidRDefault="00A9510F" w:rsidP="00297D82">
            <w:pPr>
              <w:spacing w:before="0" w:after="0"/>
              <w:rPr>
                <w:rFonts w:eastAsia="Arial"/>
                <w:b/>
              </w:rPr>
            </w:pPr>
            <w:r>
              <w:rPr>
                <w:rFonts w:eastAsia="Arial"/>
                <w:b/>
              </w:rPr>
              <w:t>Total Revenues</w:t>
            </w:r>
          </w:p>
        </w:tc>
        <w:tc>
          <w:tcPr>
            <w:tcW w:w="2339" w:type="dxa"/>
            <w:shd w:val="clear" w:color="auto" w:fill="auto"/>
            <w:vAlign w:val="center"/>
          </w:tcPr>
          <w:p w14:paraId="23412B8A" w14:textId="46060423" w:rsidR="00A9510F" w:rsidRPr="003424AE" w:rsidRDefault="00A9510F" w:rsidP="00297D82">
            <w:pPr>
              <w:spacing w:before="0" w:after="0"/>
              <w:jc w:val="center"/>
              <w:rPr>
                <w:rFonts w:eastAsia="Arial"/>
              </w:rPr>
            </w:pPr>
            <w:r>
              <w:rPr>
                <w:rFonts w:eastAsia="Arial"/>
              </w:rPr>
              <w:t>$1,226,924</w:t>
            </w:r>
          </w:p>
        </w:tc>
        <w:tc>
          <w:tcPr>
            <w:tcW w:w="2339" w:type="dxa"/>
            <w:shd w:val="clear" w:color="auto" w:fill="auto"/>
            <w:vAlign w:val="center"/>
          </w:tcPr>
          <w:p w14:paraId="163004E2" w14:textId="611D6293" w:rsidR="00A9510F" w:rsidRPr="003424AE" w:rsidRDefault="00A9510F" w:rsidP="00297D82">
            <w:pPr>
              <w:spacing w:before="0" w:after="0"/>
              <w:jc w:val="center"/>
              <w:rPr>
                <w:rFonts w:eastAsia="Arial"/>
              </w:rPr>
            </w:pPr>
            <w:r>
              <w:rPr>
                <w:rFonts w:eastAsia="Arial"/>
              </w:rPr>
              <w:t>$1,886,664</w:t>
            </w:r>
          </w:p>
        </w:tc>
        <w:tc>
          <w:tcPr>
            <w:tcW w:w="2339" w:type="dxa"/>
            <w:shd w:val="clear" w:color="auto" w:fill="auto"/>
            <w:vAlign w:val="center"/>
          </w:tcPr>
          <w:p w14:paraId="4B380AF9" w14:textId="14281BB3" w:rsidR="00A9510F" w:rsidRPr="003424AE" w:rsidRDefault="00A9510F" w:rsidP="00297D82">
            <w:pPr>
              <w:spacing w:before="0" w:after="0"/>
              <w:jc w:val="center"/>
              <w:rPr>
                <w:rFonts w:eastAsia="Arial"/>
              </w:rPr>
            </w:pPr>
            <w:r>
              <w:rPr>
                <w:rFonts w:eastAsia="Arial"/>
              </w:rPr>
              <w:t>$3,257,976</w:t>
            </w:r>
          </w:p>
        </w:tc>
      </w:tr>
      <w:tr w:rsidR="00A9510F" w:rsidRPr="003424AE" w14:paraId="7C8DDED1" w14:textId="77777777" w:rsidTr="00A14E39">
        <w:trPr>
          <w:cantSplit/>
        </w:trPr>
        <w:tc>
          <w:tcPr>
            <w:tcW w:w="2338" w:type="dxa"/>
            <w:shd w:val="clear" w:color="auto" w:fill="auto"/>
            <w:vAlign w:val="center"/>
          </w:tcPr>
          <w:p w14:paraId="5228FA34" w14:textId="21FE3EF3" w:rsidR="00A9510F" w:rsidRPr="003424AE" w:rsidRDefault="00A9510F" w:rsidP="00297D82">
            <w:pPr>
              <w:spacing w:before="0" w:after="0"/>
              <w:rPr>
                <w:rFonts w:eastAsia="Arial"/>
                <w:b/>
              </w:rPr>
            </w:pPr>
            <w:r>
              <w:rPr>
                <w:rFonts w:eastAsia="Arial"/>
                <w:b/>
              </w:rPr>
              <w:t>Total Expenditures</w:t>
            </w:r>
          </w:p>
        </w:tc>
        <w:tc>
          <w:tcPr>
            <w:tcW w:w="2339" w:type="dxa"/>
            <w:shd w:val="clear" w:color="auto" w:fill="auto"/>
            <w:vAlign w:val="center"/>
          </w:tcPr>
          <w:p w14:paraId="09138618" w14:textId="015F5F18" w:rsidR="00A9510F" w:rsidRPr="003424AE" w:rsidRDefault="00A9510F" w:rsidP="00297D82">
            <w:pPr>
              <w:spacing w:before="0" w:after="0"/>
              <w:jc w:val="center"/>
              <w:rPr>
                <w:rFonts w:eastAsia="Arial"/>
              </w:rPr>
            </w:pPr>
            <w:r>
              <w:rPr>
                <w:rFonts w:eastAsia="Arial"/>
              </w:rPr>
              <w:t>$1,427,760</w:t>
            </w:r>
          </w:p>
        </w:tc>
        <w:tc>
          <w:tcPr>
            <w:tcW w:w="2339" w:type="dxa"/>
            <w:shd w:val="clear" w:color="auto" w:fill="auto"/>
            <w:vAlign w:val="center"/>
          </w:tcPr>
          <w:p w14:paraId="4D0BFB18" w14:textId="29CCB56F" w:rsidR="00A9510F" w:rsidRPr="003424AE" w:rsidRDefault="00A9510F" w:rsidP="00297D82">
            <w:pPr>
              <w:spacing w:before="0" w:after="0"/>
              <w:jc w:val="center"/>
              <w:rPr>
                <w:rFonts w:eastAsia="Arial"/>
              </w:rPr>
            </w:pPr>
            <w:r>
              <w:rPr>
                <w:rFonts w:eastAsia="Arial"/>
              </w:rPr>
              <w:t>$1,653,193</w:t>
            </w:r>
          </w:p>
        </w:tc>
        <w:tc>
          <w:tcPr>
            <w:tcW w:w="2339" w:type="dxa"/>
            <w:shd w:val="clear" w:color="auto" w:fill="auto"/>
            <w:vAlign w:val="center"/>
          </w:tcPr>
          <w:p w14:paraId="5FACA048" w14:textId="7EC6D9A9" w:rsidR="00A9510F" w:rsidRPr="003424AE" w:rsidRDefault="00A9510F" w:rsidP="00297D82">
            <w:pPr>
              <w:spacing w:before="0" w:after="0"/>
              <w:jc w:val="center"/>
              <w:rPr>
                <w:rFonts w:eastAsia="Arial"/>
              </w:rPr>
            </w:pPr>
            <w:r>
              <w:rPr>
                <w:rFonts w:eastAsia="Arial"/>
              </w:rPr>
              <w:t>$2,819,717</w:t>
            </w:r>
          </w:p>
        </w:tc>
      </w:tr>
      <w:tr w:rsidR="00A9510F" w:rsidRPr="003424AE" w14:paraId="7DDD3C95" w14:textId="77777777" w:rsidTr="00A14E39">
        <w:trPr>
          <w:cantSplit/>
        </w:trPr>
        <w:tc>
          <w:tcPr>
            <w:tcW w:w="2338" w:type="dxa"/>
            <w:shd w:val="clear" w:color="auto" w:fill="auto"/>
            <w:vAlign w:val="center"/>
          </w:tcPr>
          <w:p w14:paraId="69A9F102" w14:textId="08A0D7D9" w:rsidR="00A9510F" w:rsidRPr="003424AE" w:rsidRDefault="00A9510F" w:rsidP="00297D82">
            <w:pPr>
              <w:spacing w:before="0" w:after="0"/>
              <w:rPr>
                <w:rFonts w:eastAsia="Arial"/>
                <w:b/>
              </w:rPr>
            </w:pPr>
            <w:r>
              <w:rPr>
                <w:rFonts w:eastAsia="Arial"/>
                <w:b/>
              </w:rPr>
              <w:t>Surplus (Deficits)</w:t>
            </w:r>
          </w:p>
        </w:tc>
        <w:tc>
          <w:tcPr>
            <w:tcW w:w="2339" w:type="dxa"/>
            <w:shd w:val="clear" w:color="auto" w:fill="auto"/>
            <w:vAlign w:val="center"/>
          </w:tcPr>
          <w:p w14:paraId="378FC7F2" w14:textId="07030C1D" w:rsidR="00A9510F" w:rsidRPr="003424AE" w:rsidRDefault="00A9510F" w:rsidP="00297D82">
            <w:pPr>
              <w:spacing w:before="0" w:after="0"/>
              <w:jc w:val="center"/>
              <w:rPr>
                <w:rFonts w:eastAsia="Arial"/>
              </w:rPr>
            </w:pPr>
            <w:r>
              <w:rPr>
                <w:rFonts w:eastAsia="Arial"/>
              </w:rPr>
              <w:t>($200,836)</w:t>
            </w:r>
          </w:p>
        </w:tc>
        <w:tc>
          <w:tcPr>
            <w:tcW w:w="2339" w:type="dxa"/>
            <w:shd w:val="clear" w:color="auto" w:fill="auto"/>
            <w:vAlign w:val="center"/>
          </w:tcPr>
          <w:p w14:paraId="21F6702C" w14:textId="46FF7FD3" w:rsidR="00A9510F" w:rsidRPr="003424AE" w:rsidRDefault="00A9510F" w:rsidP="00297D82">
            <w:pPr>
              <w:spacing w:before="0" w:after="0"/>
              <w:jc w:val="center"/>
              <w:rPr>
                <w:rFonts w:eastAsia="Arial"/>
              </w:rPr>
            </w:pPr>
            <w:r>
              <w:rPr>
                <w:rFonts w:eastAsia="Arial"/>
              </w:rPr>
              <w:t>$233,471</w:t>
            </w:r>
          </w:p>
        </w:tc>
        <w:tc>
          <w:tcPr>
            <w:tcW w:w="2339" w:type="dxa"/>
            <w:shd w:val="clear" w:color="auto" w:fill="auto"/>
            <w:vAlign w:val="center"/>
          </w:tcPr>
          <w:p w14:paraId="063A18FC" w14:textId="3EB6D198" w:rsidR="00A9510F" w:rsidRPr="003424AE" w:rsidRDefault="00A9510F" w:rsidP="00297D82">
            <w:pPr>
              <w:spacing w:before="0" w:after="0"/>
              <w:jc w:val="center"/>
              <w:rPr>
                <w:rFonts w:eastAsia="Arial"/>
              </w:rPr>
            </w:pPr>
            <w:r>
              <w:rPr>
                <w:rFonts w:eastAsia="Arial"/>
              </w:rPr>
              <w:t>$438,259</w:t>
            </w:r>
          </w:p>
        </w:tc>
      </w:tr>
      <w:tr w:rsidR="00A9510F" w:rsidRPr="003424AE" w14:paraId="531E9271" w14:textId="77777777" w:rsidTr="00A14E39">
        <w:trPr>
          <w:cantSplit/>
        </w:trPr>
        <w:tc>
          <w:tcPr>
            <w:tcW w:w="2338" w:type="dxa"/>
            <w:shd w:val="clear" w:color="auto" w:fill="auto"/>
            <w:vAlign w:val="center"/>
          </w:tcPr>
          <w:p w14:paraId="3F38A9F6" w14:textId="14DDD579" w:rsidR="00A9510F" w:rsidRDefault="00A9510F" w:rsidP="00297D82">
            <w:pPr>
              <w:spacing w:before="0" w:after="0"/>
              <w:rPr>
                <w:rFonts w:eastAsia="Arial"/>
                <w:b/>
              </w:rPr>
            </w:pPr>
            <w:r>
              <w:rPr>
                <w:rFonts w:eastAsia="Arial"/>
                <w:b/>
              </w:rPr>
              <w:t>Beginning Net Position</w:t>
            </w:r>
          </w:p>
        </w:tc>
        <w:tc>
          <w:tcPr>
            <w:tcW w:w="2339" w:type="dxa"/>
            <w:shd w:val="clear" w:color="auto" w:fill="auto"/>
            <w:vAlign w:val="center"/>
          </w:tcPr>
          <w:p w14:paraId="7BDD111D" w14:textId="46C534D6" w:rsidR="00A9510F" w:rsidRDefault="00A9510F" w:rsidP="00297D82">
            <w:pPr>
              <w:spacing w:before="0" w:after="0"/>
              <w:jc w:val="center"/>
              <w:rPr>
                <w:rFonts w:eastAsia="Arial"/>
              </w:rPr>
            </w:pPr>
            <w:r>
              <w:rPr>
                <w:rFonts w:eastAsia="Arial"/>
              </w:rPr>
              <w:t>($268,436)</w:t>
            </w:r>
          </w:p>
        </w:tc>
        <w:tc>
          <w:tcPr>
            <w:tcW w:w="2339" w:type="dxa"/>
            <w:shd w:val="clear" w:color="auto" w:fill="auto"/>
            <w:vAlign w:val="center"/>
          </w:tcPr>
          <w:p w14:paraId="6AE68210" w14:textId="4DE6294E" w:rsidR="00A9510F" w:rsidRDefault="00A9510F" w:rsidP="00297D82">
            <w:pPr>
              <w:spacing w:before="0" w:after="0"/>
              <w:jc w:val="center"/>
              <w:rPr>
                <w:rFonts w:eastAsia="Arial"/>
              </w:rPr>
            </w:pPr>
            <w:r>
              <w:rPr>
                <w:rFonts w:eastAsia="Arial"/>
              </w:rPr>
              <w:t>($251,828)</w:t>
            </w:r>
          </w:p>
        </w:tc>
        <w:tc>
          <w:tcPr>
            <w:tcW w:w="2339" w:type="dxa"/>
            <w:shd w:val="clear" w:color="auto" w:fill="auto"/>
            <w:vAlign w:val="center"/>
          </w:tcPr>
          <w:p w14:paraId="28189BD2" w14:textId="390A4EF0" w:rsidR="00A9510F" w:rsidRDefault="00A9510F" w:rsidP="00297D82">
            <w:pPr>
              <w:spacing w:before="0" w:after="0"/>
              <w:jc w:val="center"/>
              <w:rPr>
                <w:rFonts w:eastAsia="Arial"/>
              </w:rPr>
            </w:pPr>
            <w:r>
              <w:rPr>
                <w:rFonts w:eastAsia="Arial"/>
              </w:rPr>
              <w:t>($18,357)</w:t>
            </w:r>
          </w:p>
        </w:tc>
      </w:tr>
      <w:tr w:rsidR="00A9510F" w:rsidRPr="003424AE" w14:paraId="27033D7A" w14:textId="77777777" w:rsidTr="00A14E39">
        <w:trPr>
          <w:cantSplit/>
        </w:trPr>
        <w:tc>
          <w:tcPr>
            <w:tcW w:w="2338" w:type="dxa"/>
            <w:shd w:val="clear" w:color="auto" w:fill="auto"/>
            <w:vAlign w:val="center"/>
          </w:tcPr>
          <w:p w14:paraId="261EDD6D" w14:textId="3C34BC06" w:rsidR="00A9510F" w:rsidRDefault="00A9510F" w:rsidP="00297D82">
            <w:pPr>
              <w:spacing w:before="0" w:after="0"/>
              <w:rPr>
                <w:rFonts w:eastAsia="Arial"/>
                <w:b/>
              </w:rPr>
            </w:pPr>
            <w:r>
              <w:rPr>
                <w:rFonts w:eastAsia="Arial"/>
                <w:b/>
              </w:rPr>
              <w:t>Ending Net Position</w:t>
            </w:r>
          </w:p>
        </w:tc>
        <w:tc>
          <w:tcPr>
            <w:tcW w:w="2339" w:type="dxa"/>
            <w:shd w:val="clear" w:color="auto" w:fill="auto"/>
            <w:vAlign w:val="center"/>
          </w:tcPr>
          <w:p w14:paraId="723B6FE9" w14:textId="39624932" w:rsidR="00A9510F" w:rsidRDefault="00A9510F" w:rsidP="00297D82">
            <w:pPr>
              <w:spacing w:before="0" w:after="0"/>
              <w:jc w:val="center"/>
              <w:rPr>
                <w:rFonts w:eastAsia="Arial"/>
              </w:rPr>
            </w:pPr>
            <w:r>
              <w:rPr>
                <w:rFonts w:eastAsia="Arial"/>
              </w:rPr>
              <w:t>($</w:t>
            </w:r>
            <w:proofErr w:type="gramStart"/>
            <w:r>
              <w:rPr>
                <w:rFonts w:eastAsia="Arial"/>
              </w:rPr>
              <w:t>251,828)</w:t>
            </w:r>
            <w:r w:rsidR="004547F8">
              <w:rPr>
                <w:rFonts w:eastAsia="Arial"/>
              </w:rPr>
              <w:t>*</w:t>
            </w:r>
            <w:proofErr w:type="gramEnd"/>
          </w:p>
          <w:p w14:paraId="0921755E" w14:textId="0AF32827" w:rsidR="00A9510F" w:rsidRDefault="00A9510F" w:rsidP="00297D82">
            <w:pPr>
              <w:spacing w:before="0" w:after="0"/>
              <w:jc w:val="center"/>
              <w:rPr>
                <w:rFonts w:eastAsia="Arial"/>
              </w:rPr>
            </w:pPr>
          </w:p>
        </w:tc>
        <w:tc>
          <w:tcPr>
            <w:tcW w:w="2339" w:type="dxa"/>
            <w:shd w:val="clear" w:color="auto" w:fill="auto"/>
            <w:vAlign w:val="center"/>
          </w:tcPr>
          <w:p w14:paraId="63A057A9" w14:textId="400C8298" w:rsidR="00A9510F" w:rsidRDefault="00A9510F" w:rsidP="00297D82">
            <w:pPr>
              <w:spacing w:before="0" w:after="0"/>
              <w:jc w:val="center"/>
              <w:rPr>
                <w:rFonts w:eastAsia="Arial"/>
              </w:rPr>
            </w:pPr>
            <w:r>
              <w:rPr>
                <w:rFonts w:eastAsia="Arial"/>
              </w:rPr>
              <w:t>($18,357)</w:t>
            </w:r>
          </w:p>
        </w:tc>
        <w:tc>
          <w:tcPr>
            <w:tcW w:w="2339" w:type="dxa"/>
            <w:shd w:val="clear" w:color="auto" w:fill="auto"/>
            <w:vAlign w:val="center"/>
          </w:tcPr>
          <w:p w14:paraId="194FD74C" w14:textId="33747F9D" w:rsidR="00A9510F" w:rsidRDefault="00A9510F" w:rsidP="00297D82">
            <w:pPr>
              <w:spacing w:before="0" w:after="0"/>
              <w:jc w:val="center"/>
              <w:rPr>
                <w:rFonts w:eastAsia="Arial"/>
              </w:rPr>
            </w:pPr>
            <w:r>
              <w:rPr>
                <w:rFonts w:eastAsia="Arial"/>
              </w:rPr>
              <w:t>$419,902</w:t>
            </w:r>
          </w:p>
        </w:tc>
      </w:tr>
      <w:tr w:rsidR="00A9510F" w:rsidRPr="003424AE" w14:paraId="4C987F06" w14:textId="77777777" w:rsidTr="00A14E39">
        <w:trPr>
          <w:cantSplit/>
        </w:trPr>
        <w:tc>
          <w:tcPr>
            <w:tcW w:w="2338" w:type="dxa"/>
            <w:shd w:val="clear" w:color="auto" w:fill="auto"/>
            <w:vAlign w:val="center"/>
          </w:tcPr>
          <w:p w14:paraId="0623113D" w14:textId="795A170D" w:rsidR="00A9510F" w:rsidRDefault="004547F8" w:rsidP="00297D82">
            <w:pPr>
              <w:spacing w:before="0" w:after="0"/>
              <w:rPr>
                <w:rFonts w:eastAsia="Arial"/>
                <w:b/>
              </w:rPr>
            </w:pPr>
            <w:r w:rsidRPr="000D2668">
              <w:rPr>
                <w:rFonts w:eastAsia="Arial"/>
                <w:b/>
              </w:rPr>
              <w:t>M</w:t>
            </w:r>
            <w:r>
              <w:rPr>
                <w:rFonts w:eastAsia="Arial"/>
                <w:b/>
              </w:rPr>
              <w:t xml:space="preserve">aintenance of Effort </w:t>
            </w:r>
            <w:r w:rsidR="00A9510F">
              <w:rPr>
                <w:rFonts w:eastAsia="Arial"/>
                <w:b/>
              </w:rPr>
              <w:t>Reserve 3%</w:t>
            </w:r>
          </w:p>
        </w:tc>
        <w:tc>
          <w:tcPr>
            <w:tcW w:w="2339" w:type="dxa"/>
            <w:shd w:val="clear" w:color="auto" w:fill="auto"/>
            <w:vAlign w:val="center"/>
          </w:tcPr>
          <w:p w14:paraId="0A59004B" w14:textId="5F795788" w:rsidR="00A9510F" w:rsidRDefault="00A9510F" w:rsidP="00297D82">
            <w:pPr>
              <w:spacing w:before="0" w:after="0"/>
              <w:jc w:val="center"/>
              <w:rPr>
                <w:rFonts w:eastAsia="Arial"/>
              </w:rPr>
            </w:pPr>
            <w:r>
              <w:rPr>
                <w:rFonts w:eastAsia="Arial"/>
              </w:rPr>
              <w:t>-17.6%</w:t>
            </w:r>
          </w:p>
        </w:tc>
        <w:tc>
          <w:tcPr>
            <w:tcW w:w="2339" w:type="dxa"/>
            <w:shd w:val="clear" w:color="auto" w:fill="auto"/>
            <w:vAlign w:val="center"/>
          </w:tcPr>
          <w:p w14:paraId="136CFA64" w14:textId="2BCA82CF" w:rsidR="00A9510F" w:rsidRDefault="00A9510F" w:rsidP="00297D82">
            <w:pPr>
              <w:spacing w:before="0" w:after="0"/>
              <w:jc w:val="center"/>
              <w:rPr>
                <w:rFonts w:eastAsia="Arial"/>
              </w:rPr>
            </w:pPr>
            <w:r>
              <w:rPr>
                <w:rFonts w:eastAsia="Arial"/>
              </w:rPr>
              <w:t>-1.1%</w:t>
            </w:r>
          </w:p>
        </w:tc>
        <w:tc>
          <w:tcPr>
            <w:tcW w:w="2339" w:type="dxa"/>
            <w:shd w:val="clear" w:color="auto" w:fill="auto"/>
            <w:vAlign w:val="center"/>
          </w:tcPr>
          <w:p w14:paraId="56CE8A32" w14:textId="51440916" w:rsidR="00A9510F" w:rsidRDefault="00A9510F" w:rsidP="00297D82">
            <w:pPr>
              <w:spacing w:before="0" w:after="0"/>
              <w:jc w:val="center"/>
              <w:rPr>
                <w:rFonts w:eastAsia="Arial"/>
              </w:rPr>
            </w:pPr>
            <w:r>
              <w:rPr>
                <w:rFonts w:eastAsia="Arial"/>
              </w:rPr>
              <w:t>14.9%</w:t>
            </w:r>
          </w:p>
        </w:tc>
      </w:tr>
    </w:tbl>
    <w:p w14:paraId="7F1B5A4E" w14:textId="063592F9" w:rsidR="00140651" w:rsidRDefault="000254F7" w:rsidP="00140651">
      <w:r>
        <w:t>I</w:t>
      </w:r>
      <w:r w:rsidR="00140651">
        <w:t xml:space="preserve">n </w:t>
      </w:r>
      <w:r w:rsidR="00140651" w:rsidRPr="002B3D80">
        <w:t>T.I.M.E.’s Response</w:t>
      </w:r>
      <w:r w:rsidR="00140651">
        <w:t xml:space="preserve">, the school states that the Notice of Violation issued by the SBE on March 9, 2023, used outdated projections from December 2022. Additionally, </w:t>
      </w:r>
      <w:r w:rsidR="00140651">
        <w:rPr>
          <w:rFonts w:eastAsia="Arial"/>
        </w:rPr>
        <w:t xml:space="preserve">T.I.M.E. also expects incoming revenue from sublease agreements and fundraising. </w:t>
      </w:r>
      <w:r w:rsidR="00140651">
        <w:t xml:space="preserve">With T.I.M.E.’s Response, the school submitted </w:t>
      </w:r>
      <w:r w:rsidR="00140651" w:rsidRPr="003424AE">
        <w:t xml:space="preserve">a </w:t>
      </w:r>
      <w:r w:rsidR="00140651">
        <w:t xml:space="preserve">proposed </w:t>
      </w:r>
      <w:r w:rsidR="00140651" w:rsidRPr="003424AE">
        <w:t>Fiscal Stability Plan</w:t>
      </w:r>
      <w:r w:rsidR="00140651">
        <w:t xml:space="preserve">, which T.I.M.E. asserts </w:t>
      </w:r>
      <w:r w:rsidR="00140651" w:rsidRPr="003424AE">
        <w:t xml:space="preserve">will allow </w:t>
      </w:r>
      <w:r w:rsidR="00140651">
        <w:t xml:space="preserve">T.I.M.E. </w:t>
      </w:r>
      <w:r w:rsidR="00140651" w:rsidRPr="003424AE">
        <w:t xml:space="preserve">to continue </w:t>
      </w:r>
      <w:r w:rsidR="00140651">
        <w:t xml:space="preserve">operating </w:t>
      </w:r>
      <w:r w:rsidR="00140651" w:rsidRPr="003424AE">
        <w:t xml:space="preserve">while being fiscally responsible within a reasonable amount of </w:t>
      </w:r>
      <w:r w:rsidR="00140651">
        <w:t>time</w:t>
      </w:r>
      <w:r w:rsidR="00140651" w:rsidRPr="003424AE">
        <w:t>.</w:t>
      </w:r>
    </w:p>
    <w:p w14:paraId="56D95CAC" w14:textId="19AD5132" w:rsidR="00E62E02" w:rsidRDefault="00E62E02" w:rsidP="000D0061">
      <w:pPr>
        <w:pStyle w:val="Heading4"/>
      </w:pPr>
      <w:r>
        <w:t xml:space="preserve">CDE </w:t>
      </w:r>
      <w:r w:rsidR="001F1C52">
        <w:t xml:space="preserve">and LACOE’s </w:t>
      </w:r>
      <w:r>
        <w:t>Analys</w:t>
      </w:r>
      <w:r w:rsidR="001F1C52">
        <w:t>i</w:t>
      </w:r>
      <w:r>
        <w:t>s of T.I.M.E.’s Response to Financial Projection and Actual Results</w:t>
      </w:r>
    </w:p>
    <w:p w14:paraId="247168D8" w14:textId="77777777" w:rsidR="006E285A" w:rsidRDefault="006E285A" w:rsidP="006E285A">
      <w:pPr>
        <w:rPr>
          <w:rFonts w:eastAsia="Arial"/>
        </w:rPr>
      </w:pPr>
      <w:r w:rsidRPr="00EA2B49">
        <w:t xml:space="preserve">The CDE notes that the Notice of Violation issued to T.I.M.E. by the SBE on March 9, 2023, contained the most up-to-date projections available at the time the SBE Agenda for March 2023 was posted to the SBE website on February 24, 2023.  Furthermore, despite T.I.M.E.’s assertion that the Notice of Violation used outdated projections, T.I.M.E.’s Response provided limited detail related to its updated projections. </w:t>
      </w:r>
      <w:r w:rsidRPr="00EA2B49">
        <w:rPr>
          <w:rFonts w:eastAsia="Arial"/>
        </w:rPr>
        <w:t>As T.I.M.E. did not provide detailed assumptions upon which its updated projections are based, the CDE and LACOE were unable to analyze the validity of these projections.</w:t>
      </w:r>
    </w:p>
    <w:p w14:paraId="4EDC5A74" w14:textId="5D2450F4" w:rsidR="00653FAC" w:rsidRDefault="00EB5BB7" w:rsidP="00E62E02">
      <w:r>
        <w:t xml:space="preserve">Additionally, </w:t>
      </w:r>
      <w:r w:rsidR="00C368A3" w:rsidRPr="00C368A3">
        <w:t xml:space="preserve">T.I.M.E. has failed to address the concern that their financial projections continue to </w:t>
      </w:r>
      <w:r w:rsidR="00140651">
        <w:t>significantly differ</w:t>
      </w:r>
      <w:r w:rsidR="00C368A3" w:rsidRPr="00C368A3">
        <w:t xml:space="preserve"> from the actual results. In July 2022, one month before</w:t>
      </w:r>
      <w:r w:rsidR="0070362E">
        <w:t xml:space="preserve"> the 2022</w:t>
      </w:r>
      <w:r w:rsidR="00E60B09">
        <w:t>–</w:t>
      </w:r>
      <w:r w:rsidR="0070362E">
        <w:t>23</w:t>
      </w:r>
      <w:r w:rsidR="00C368A3" w:rsidRPr="00C368A3">
        <w:t xml:space="preserve"> school </w:t>
      </w:r>
      <w:r w:rsidR="0070362E">
        <w:t xml:space="preserve">year </w:t>
      </w:r>
      <w:r w:rsidR="00C368A3" w:rsidRPr="00C368A3">
        <w:t xml:space="preserve">began, </w:t>
      </w:r>
      <w:r w:rsidR="001E6AEF">
        <w:t xml:space="preserve">T.I.M.E.’s Executive Director Dr. </w:t>
      </w:r>
      <w:r w:rsidR="00E60B09">
        <w:t xml:space="preserve">Gabriel </w:t>
      </w:r>
      <w:r w:rsidR="001E6AEF">
        <w:t xml:space="preserve">Ramirez </w:t>
      </w:r>
      <w:r w:rsidR="00137E60">
        <w:t>stated to</w:t>
      </w:r>
      <w:r w:rsidR="00C368A3" w:rsidRPr="00C368A3">
        <w:t xml:space="preserve"> </w:t>
      </w:r>
      <w:r w:rsidR="00C368A3" w:rsidRPr="00C368A3">
        <w:lastRenderedPageBreak/>
        <w:t xml:space="preserve">the </w:t>
      </w:r>
      <w:r w:rsidR="00E60B09">
        <w:t xml:space="preserve">SBE </w:t>
      </w:r>
      <w:r w:rsidR="00C368A3" w:rsidRPr="00C368A3">
        <w:t>that</w:t>
      </w:r>
      <w:r w:rsidR="00137E60">
        <w:t>, at that time,</w:t>
      </w:r>
      <w:r w:rsidR="00C368A3" w:rsidRPr="00C368A3">
        <w:t xml:space="preserve"> </w:t>
      </w:r>
      <w:r w:rsidR="00137E60">
        <w:t xml:space="preserve">T.I.M.E. had 72 fully registered students plus another 16 in the process of registering, for a total of 88 students. In addition, Dr. Ramirez stated that over 200 families have expressed interest in T.I.M.E. </w:t>
      </w:r>
      <w:r w:rsidR="0003088A">
        <w:t xml:space="preserve">However, </w:t>
      </w:r>
      <w:r w:rsidR="00907047">
        <w:t xml:space="preserve">T.I.M.E. </w:t>
      </w:r>
      <w:r w:rsidR="00C368A3" w:rsidRPr="00C368A3">
        <w:t xml:space="preserve">began the </w:t>
      </w:r>
      <w:r w:rsidR="00E60B09">
        <w:t xml:space="preserve">2022–23 school </w:t>
      </w:r>
      <w:r w:rsidR="00C368A3" w:rsidRPr="00C368A3">
        <w:t>year with 63 students enrolled</w:t>
      </w:r>
      <w:r w:rsidR="00E60B09">
        <w:t>. T.I.M.E.</w:t>
      </w:r>
      <w:r w:rsidR="00C368A3" w:rsidRPr="00C368A3">
        <w:t xml:space="preserve"> has never had more than 67 students </w:t>
      </w:r>
      <w:r w:rsidR="00E60B09">
        <w:t xml:space="preserve">enrolled </w:t>
      </w:r>
      <w:r w:rsidR="00C368A3" w:rsidRPr="00C368A3">
        <w:t xml:space="preserve">throughout the </w:t>
      </w:r>
      <w:r w:rsidR="00907047">
        <w:t>2022</w:t>
      </w:r>
      <w:r w:rsidR="00E60B09">
        <w:t>–</w:t>
      </w:r>
      <w:r w:rsidR="00907047">
        <w:t xml:space="preserve">23 </w:t>
      </w:r>
      <w:r w:rsidR="00C368A3" w:rsidRPr="00C368A3">
        <w:t xml:space="preserve">year. Additionally, </w:t>
      </w:r>
      <w:r w:rsidR="00E60B09">
        <w:t xml:space="preserve">T.I.M.E.’s </w:t>
      </w:r>
      <w:r w:rsidR="00C368A3" w:rsidRPr="00C368A3">
        <w:t>initial projections for lease revenues of over $247,000 for the 2022</w:t>
      </w:r>
      <w:r w:rsidR="00E60B09">
        <w:t>–</w:t>
      </w:r>
      <w:r w:rsidR="00C368A3" w:rsidRPr="00C368A3">
        <w:t>23 school year have materialized less than $71,000.</w:t>
      </w:r>
    </w:p>
    <w:p w14:paraId="1E948B47" w14:textId="40AE1B82" w:rsidR="006A1C2D" w:rsidRDefault="000254F7" w:rsidP="006A1C2D">
      <w:r w:rsidRPr="00EA2B49">
        <w:t>T.I.M.E.’s failure to address the concern that their financial projections continue to significantly differ from the actual results is further illustrated in the table</w:t>
      </w:r>
      <w:r w:rsidR="00297D82" w:rsidRPr="00EA2B49">
        <w:t>s</w:t>
      </w:r>
      <w:r w:rsidRPr="00EA2B49">
        <w:t xml:space="preserve"> below. Contrary to T.I.M.E.’s</w:t>
      </w:r>
      <w:r w:rsidR="006A1C2D" w:rsidRPr="00EA2B49">
        <w:t xml:space="preserve"> financial projections for fiscal years 2021–22 and 2022–23</w:t>
      </w:r>
      <w:r w:rsidR="00297D82" w:rsidRPr="00EA2B49">
        <w:t>,</w:t>
      </w:r>
      <w:r w:rsidR="006A1C2D" w:rsidRPr="00DA695F">
        <w:t xml:space="preserve"> </w:t>
      </w:r>
      <w:r w:rsidR="006A1C2D" w:rsidRPr="00AB312C">
        <w:t xml:space="preserve">T.I.M.E.’s report of actual revenue and expenditures </w:t>
      </w:r>
      <w:r w:rsidR="00E45B4A" w:rsidRPr="00AB312C">
        <w:t xml:space="preserve">reflect a financial position which continues to deteriorate with an </w:t>
      </w:r>
      <w:r w:rsidR="006A1C2D" w:rsidRPr="00AB312C">
        <w:t xml:space="preserve">operating deficit of </w:t>
      </w:r>
      <w:r w:rsidR="006A1C2D" w:rsidRPr="009B12CD">
        <w:t>negative $452,222</w:t>
      </w:r>
      <w:r w:rsidR="00E45B4A" w:rsidRPr="009B12CD">
        <w:t xml:space="preserve"> and </w:t>
      </w:r>
      <w:r w:rsidR="006A1C2D" w:rsidRPr="009B12CD">
        <w:t>an ending net position of negative $702,657</w:t>
      </w:r>
      <w:r w:rsidR="006F5037" w:rsidRPr="009B12CD">
        <w:t>, as of February 28, 2023.</w:t>
      </w:r>
    </w:p>
    <w:p w14:paraId="578FC29E" w14:textId="42576E16" w:rsidR="00EA2B49" w:rsidRDefault="00EA2B49" w:rsidP="00B55C7E">
      <w:pPr>
        <w:pStyle w:val="TableHeading"/>
      </w:pPr>
      <w:r w:rsidRPr="00EA2B49">
        <w:t>T.I.M.E.’s 2021–22 Adopted Budget and Audit Report Actuals</w:t>
      </w:r>
    </w:p>
    <w:p w14:paraId="0BF31A14" w14:textId="77777777" w:rsidR="00292919" w:rsidRPr="0062745D" w:rsidRDefault="00292919" w:rsidP="00292919">
      <w:pPr>
        <w:rPr>
          <w:rFonts w:eastAsia="Arial"/>
        </w:rPr>
      </w:pPr>
      <w:r w:rsidRPr="0062745D">
        <w:rPr>
          <w:rFonts w:eastAsia="Arial"/>
        </w:rPr>
        <w:t>* Estimated amount at the time of budget development.</w:t>
      </w:r>
    </w:p>
    <w:tbl>
      <w:tblPr>
        <w:tblStyle w:val="TableGrid"/>
        <w:tblW w:w="9360" w:type="dxa"/>
        <w:jc w:val="center"/>
        <w:tblInd w:w="0" w:type="dxa"/>
        <w:tblLayout w:type="fixed"/>
        <w:tblLook w:val="04A0" w:firstRow="1" w:lastRow="0" w:firstColumn="1" w:lastColumn="0" w:noHBand="0" w:noVBand="1"/>
        <w:tblDescription w:val="2021-22 Adopted Budget and Audit Report Actuals"/>
      </w:tblPr>
      <w:tblGrid>
        <w:gridCol w:w="2965"/>
        <w:gridCol w:w="3155"/>
        <w:gridCol w:w="3240"/>
      </w:tblGrid>
      <w:tr w:rsidR="0062745D" w:rsidRPr="0062745D" w14:paraId="0975FB56" w14:textId="77777777" w:rsidTr="00845CC7">
        <w:trPr>
          <w:cantSplit/>
          <w:trHeight w:val="70"/>
          <w:tblHeader/>
          <w:jc w:val="center"/>
        </w:trPr>
        <w:tc>
          <w:tcPr>
            <w:tcW w:w="296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3AFF4D7" w14:textId="77777777" w:rsidR="00845CC7" w:rsidRPr="0062745D" w:rsidRDefault="00845CC7" w:rsidP="00845CC7">
            <w:pPr>
              <w:spacing w:before="0" w:after="0"/>
              <w:jc w:val="center"/>
              <w:rPr>
                <w:rFonts w:cs="Arial"/>
                <w:b/>
                <w:szCs w:val="22"/>
              </w:rPr>
            </w:pPr>
            <w:r w:rsidRPr="0062745D">
              <w:rPr>
                <w:rFonts w:cs="Arial"/>
                <w:b/>
                <w:szCs w:val="22"/>
              </w:rPr>
              <w:t>Criteria</w:t>
            </w:r>
          </w:p>
        </w:tc>
        <w:tc>
          <w:tcPr>
            <w:tcW w:w="315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050B1F9" w14:textId="41469CF0" w:rsidR="00845CC7" w:rsidRPr="0062745D" w:rsidRDefault="00845CC7" w:rsidP="00845CC7">
            <w:pPr>
              <w:spacing w:before="0" w:after="0"/>
              <w:jc w:val="center"/>
              <w:rPr>
                <w:rFonts w:cs="Arial"/>
                <w:b/>
                <w:szCs w:val="22"/>
              </w:rPr>
            </w:pPr>
            <w:r w:rsidRPr="0062745D">
              <w:rPr>
                <w:rFonts w:cs="Arial"/>
                <w:b/>
                <w:szCs w:val="22"/>
              </w:rPr>
              <w:t>Adopted Budget</w:t>
            </w:r>
          </w:p>
        </w:tc>
        <w:tc>
          <w:tcPr>
            <w:tcW w:w="32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4D7A77E" w14:textId="49284A9A" w:rsidR="00845CC7" w:rsidRPr="0062745D" w:rsidRDefault="00845CC7" w:rsidP="00845CC7">
            <w:pPr>
              <w:spacing w:before="0" w:after="0"/>
              <w:jc w:val="center"/>
              <w:rPr>
                <w:rFonts w:cs="Arial"/>
                <w:b/>
                <w:szCs w:val="22"/>
              </w:rPr>
            </w:pPr>
            <w:r w:rsidRPr="0062745D">
              <w:rPr>
                <w:rFonts w:cs="Arial"/>
                <w:b/>
                <w:szCs w:val="22"/>
              </w:rPr>
              <w:t>Audit Report (Actuals)</w:t>
            </w:r>
          </w:p>
        </w:tc>
      </w:tr>
      <w:tr w:rsidR="0062745D" w:rsidRPr="0062745D" w14:paraId="11A196F8" w14:textId="77777777" w:rsidTr="00845CC7">
        <w:trPr>
          <w:cantSplit/>
          <w:trHeight w:val="263"/>
          <w:jc w:val="center"/>
        </w:trPr>
        <w:tc>
          <w:tcPr>
            <w:tcW w:w="2965" w:type="dxa"/>
            <w:tcBorders>
              <w:top w:val="single" w:sz="4" w:space="0" w:color="auto"/>
              <w:left w:val="single" w:sz="4" w:space="0" w:color="auto"/>
              <w:bottom w:val="single" w:sz="4" w:space="0" w:color="auto"/>
              <w:right w:val="single" w:sz="4" w:space="0" w:color="auto"/>
            </w:tcBorders>
            <w:vAlign w:val="center"/>
            <w:hideMark/>
          </w:tcPr>
          <w:p w14:paraId="0E37CE6A" w14:textId="77777777" w:rsidR="00845CC7" w:rsidRPr="0062745D" w:rsidRDefault="00845CC7" w:rsidP="00845CC7">
            <w:pPr>
              <w:spacing w:before="0" w:after="0"/>
              <w:rPr>
                <w:rFonts w:cs="Arial"/>
                <w:b/>
                <w:szCs w:val="22"/>
              </w:rPr>
            </w:pPr>
            <w:r w:rsidRPr="0062745D">
              <w:rPr>
                <w:rFonts w:cs="Arial"/>
                <w:b/>
                <w:szCs w:val="22"/>
              </w:rPr>
              <w:t>Total Revenues</w:t>
            </w:r>
          </w:p>
        </w:tc>
        <w:tc>
          <w:tcPr>
            <w:tcW w:w="3155" w:type="dxa"/>
            <w:tcBorders>
              <w:top w:val="single" w:sz="4" w:space="0" w:color="auto"/>
              <w:left w:val="single" w:sz="4" w:space="0" w:color="auto"/>
              <w:bottom w:val="single" w:sz="4" w:space="0" w:color="auto"/>
              <w:right w:val="single" w:sz="4" w:space="0" w:color="auto"/>
            </w:tcBorders>
            <w:vAlign w:val="center"/>
            <w:hideMark/>
          </w:tcPr>
          <w:p w14:paraId="0DF66684" w14:textId="77777777" w:rsidR="00845CC7" w:rsidRPr="0062745D" w:rsidRDefault="00845CC7" w:rsidP="00845CC7">
            <w:pPr>
              <w:spacing w:before="0" w:after="0"/>
              <w:jc w:val="center"/>
              <w:rPr>
                <w:rFonts w:cs="Arial"/>
                <w:szCs w:val="22"/>
              </w:rPr>
            </w:pPr>
            <w:r w:rsidRPr="0062745D">
              <w:rPr>
                <w:rFonts w:cs="Arial"/>
                <w:szCs w:val="22"/>
              </w:rPr>
              <w:t>$2,386,765</w:t>
            </w:r>
          </w:p>
        </w:tc>
        <w:tc>
          <w:tcPr>
            <w:tcW w:w="3240" w:type="dxa"/>
            <w:tcBorders>
              <w:top w:val="single" w:sz="4" w:space="0" w:color="auto"/>
              <w:left w:val="single" w:sz="4" w:space="0" w:color="auto"/>
              <w:bottom w:val="single" w:sz="4" w:space="0" w:color="auto"/>
              <w:right w:val="single" w:sz="4" w:space="0" w:color="auto"/>
            </w:tcBorders>
            <w:vAlign w:val="center"/>
          </w:tcPr>
          <w:p w14:paraId="3C827350" w14:textId="29C2D482" w:rsidR="00845CC7" w:rsidRPr="0062745D" w:rsidRDefault="00845CC7" w:rsidP="00845CC7">
            <w:pPr>
              <w:spacing w:before="0" w:after="0"/>
              <w:jc w:val="center"/>
              <w:rPr>
                <w:rFonts w:cs="Arial"/>
                <w:szCs w:val="22"/>
              </w:rPr>
            </w:pPr>
            <w:r w:rsidRPr="0062745D">
              <w:rPr>
                <w:rFonts w:cs="Arial"/>
                <w:szCs w:val="22"/>
              </w:rPr>
              <w:t>$708,430</w:t>
            </w:r>
          </w:p>
        </w:tc>
      </w:tr>
      <w:tr w:rsidR="0062745D" w:rsidRPr="0062745D" w14:paraId="299BDE08" w14:textId="77777777" w:rsidTr="00845CC7">
        <w:trPr>
          <w:cantSplit/>
          <w:trHeight w:val="70"/>
          <w:jc w:val="center"/>
        </w:trPr>
        <w:tc>
          <w:tcPr>
            <w:tcW w:w="2965" w:type="dxa"/>
            <w:tcBorders>
              <w:top w:val="single" w:sz="4" w:space="0" w:color="auto"/>
              <w:left w:val="single" w:sz="4" w:space="0" w:color="auto"/>
              <w:bottom w:val="single" w:sz="4" w:space="0" w:color="auto"/>
              <w:right w:val="single" w:sz="4" w:space="0" w:color="auto"/>
            </w:tcBorders>
            <w:vAlign w:val="center"/>
            <w:hideMark/>
          </w:tcPr>
          <w:p w14:paraId="7F2964DB" w14:textId="77777777" w:rsidR="00845CC7" w:rsidRPr="0062745D" w:rsidRDefault="00845CC7" w:rsidP="00845CC7">
            <w:pPr>
              <w:spacing w:before="0" w:after="0"/>
              <w:rPr>
                <w:rFonts w:cs="Arial"/>
                <w:b/>
                <w:szCs w:val="22"/>
              </w:rPr>
            </w:pPr>
            <w:r w:rsidRPr="0062745D">
              <w:rPr>
                <w:rFonts w:cs="Arial"/>
                <w:b/>
                <w:szCs w:val="22"/>
              </w:rPr>
              <w:t>Total Expenditures</w:t>
            </w:r>
          </w:p>
        </w:tc>
        <w:tc>
          <w:tcPr>
            <w:tcW w:w="3155" w:type="dxa"/>
            <w:tcBorders>
              <w:top w:val="single" w:sz="4" w:space="0" w:color="auto"/>
              <w:left w:val="single" w:sz="4" w:space="0" w:color="auto"/>
              <w:bottom w:val="single" w:sz="4" w:space="0" w:color="auto"/>
              <w:right w:val="single" w:sz="4" w:space="0" w:color="auto"/>
            </w:tcBorders>
            <w:vAlign w:val="center"/>
            <w:hideMark/>
          </w:tcPr>
          <w:p w14:paraId="720F31AC" w14:textId="77777777" w:rsidR="00845CC7" w:rsidRPr="0062745D" w:rsidRDefault="00845CC7" w:rsidP="00845CC7">
            <w:pPr>
              <w:spacing w:before="0" w:after="0"/>
              <w:jc w:val="center"/>
              <w:rPr>
                <w:rFonts w:cs="Arial"/>
                <w:szCs w:val="22"/>
              </w:rPr>
            </w:pPr>
            <w:r w:rsidRPr="0062745D">
              <w:rPr>
                <w:rFonts w:cs="Arial"/>
                <w:szCs w:val="22"/>
              </w:rPr>
              <w:t>$2,010,305</w:t>
            </w:r>
          </w:p>
        </w:tc>
        <w:tc>
          <w:tcPr>
            <w:tcW w:w="3240" w:type="dxa"/>
            <w:tcBorders>
              <w:top w:val="single" w:sz="4" w:space="0" w:color="auto"/>
              <w:left w:val="single" w:sz="4" w:space="0" w:color="auto"/>
              <w:bottom w:val="single" w:sz="4" w:space="0" w:color="auto"/>
              <w:right w:val="single" w:sz="4" w:space="0" w:color="auto"/>
            </w:tcBorders>
            <w:vAlign w:val="center"/>
          </w:tcPr>
          <w:p w14:paraId="3DF0FF42" w14:textId="325F3B8C" w:rsidR="00845CC7" w:rsidRPr="0062745D" w:rsidRDefault="00845CC7" w:rsidP="00845CC7">
            <w:pPr>
              <w:spacing w:before="0" w:after="0"/>
              <w:jc w:val="center"/>
              <w:rPr>
                <w:rFonts w:cs="Arial"/>
                <w:szCs w:val="22"/>
              </w:rPr>
            </w:pPr>
            <w:r w:rsidRPr="0062745D">
              <w:rPr>
                <w:rFonts w:cs="Arial"/>
                <w:szCs w:val="22"/>
              </w:rPr>
              <w:t>$1,086,537</w:t>
            </w:r>
          </w:p>
        </w:tc>
      </w:tr>
      <w:tr w:rsidR="0062745D" w:rsidRPr="0062745D" w14:paraId="2DB59532" w14:textId="77777777" w:rsidTr="00845CC7">
        <w:trPr>
          <w:cantSplit/>
          <w:trHeight w:val="263"/>
          <w:jc w:val="center"/>
        </w:trPr>
        <w:tc>
          <w:tcPr>
            <w:tcW w:w="2965" w:type="dxa"/>
            <w:tcBorders>
              <w:top w:val="single" w:sz="4" w:space="0" w:color="auto"/>
              <w:left w:val="single" w:sz="4" w:space="0" w:color="auto"/>
              <w:bottom w:val="single" w:sz="4" w:space="0" w:color="auto"/>
              <w:right w:val="single" w:sz="4" w:space="0" w:color="auto"/>
            </w:tcBorders>
            <w:vAlign w:val="center"/>
            <w:hideMark/>
          </w:tcPr>
          <w:p w14:paraId="5BA19D64" w14:textId="77777777" w:rsidR="00845CC7" w:rsidRPr="0062745D" w:rsidRDefault="00845CC7" w:rsidP="00845CC7">
            <w:pPr>
              <w:spacing w:before="0" w:after="0"/>
              <w:rPr>
                <w:rFonts w:cs="Arial"/>
                <w:b/>
                <w:szCs w:val="22"/>
              </w:rPr>
            </w:pPr>
            <w:r w:rsidRPr="0062745D">
              <w:rPr>
                <w:rFonts w:cs="Arial"/>
                <w:b/>
                <w:szCs w:val="22"/>
              </w:rPr>
              <w:t>Surplus (Deficits)</w:t>
            </w:r>
          </w:p>
        </w:tc>
        <w:tc>
          <w:tcPr>
            <w:tcW w:w="3155" w:type="dxa"/>
            <w:tcBorders>
              <w:top w:val="single" w:sz="4" w:space="0" w:color="auto"/>
              <w:left w:val="single" w:sz="4" w:space="0" w:color="auto"/>
              <w:bottom w:val="single" w:sz="4" w:space="0" w:color="auto"/>
              <w:right w:val="single" w:sz="4" w:space="0" w:color="auto"/>
            </w:tcBorders>
            <w:vAlign w:val="center"/>
            <w:hideMark/>
          </w:tcPr>
          <w:p w14:paraId="621FDFEA" w14:textId="77777777" w:rsidR="00845CC7" w:rsidRPr="0062745D" w:rsidRDefault="00845CC7" w:rsidP="00845CC7">
            <w:pPr>
              <w:spacing w:before="0" w:after="0"/>
              <w:jc w:val="center"/>
              <w:rPr>
                <w:rFonts w:cs="Arial"/>
                <w:szCs w:val="22"/>
              </w:rPr>
            </w:pPr>
            <w:r w:rsidRPr="0062745D">
              <w:rPr>
                <w:rFonts w:cs="Arial"/>
                <w:szCs w:val="22"/>
              </w:rPr>
              <w:t>$376,460</w:t>
            </w:r>
          </w:p>
        </w:tc>
        <w:tc>
          <w:tcPr>
            <w:tcW w:w="3240" w:type="dxa"/>
            <w:tcBorders>
              <w:top w:val="single" w:sz="4" w:space="0" w:color="auto"/>
              <w:left w:val="single" w:sz="4" w:space="0" w:color="auto"/>
              <w:bottom w:val="single" w:sz="4" w:space="0" w:color="auto"/>
              <w:right w:val="single" w:sz="4" w:space="0" w:color="auto"/>
            </w:tcBorders>
            <w:vAlign w:val="center"/>
          </w:tcPr>
          <w:p w14:paraId="2298FC5C" w14:textId="0A7C25CE" w:rsidR="00845CC7" w:rsidRPr="0062745D" w:rsidRDefault="00845CC7" w:rsidP="00845CC7">
            <w:pPr>
              <w:spacing w:before="0" w:after="0"/>
              <w:jc w:val="center"/>
              <w:rPr>
                <w:rFonts w:cs="Arial"/>
                <w:szCs w:val="22"/>
              </w:rPr>
            </w:pPr>
            <w:r w:rsidRPr="0062745D">
              <w:rPr>
                <w:rFonts w:cs="Arial"/>
                <w:szCs w:val="22"/>
              </w:rPr>
              <w:t>($378,107)</w:t>
            </w:r>
          </w:p>
        </w:tc>
      </w:tr>
      <w:tr w:rsidR="0062745D" w:rsidRPr="0062745D" w14:paraId="0DBD1FAE" w14:textId="77777777" w:rsidTr="00845CC7">
        <w:trPr>
          <w:cantSplit/>
          <w:trHeight w:val="70"/>
          <w:jc w:val="center"/>
        </w:trPr>
        <w:tc>
          <w:tcPr>
            <w:tcW w:w="2965" w:type="dxa"/>
            <w:tcBorders>
              <w:top w:val="single" w:sz="4" w:space="0" w:color="auto"/>
              <w:left w:val="single" w:sz="4" w:space="0" w:color="auto"/>
              <w:bottom w:val="single" w:sz="4" w:space="0" w:color="auto"/>
              <w:right w:val="single" w:sz="4" w:space="0" w:color="auto"/>
            </w:tcBorders>
            <w:vAlign w:val="center"/>
            <w:hideMark/>
          </w:tcPr>
          <w:p w14:paraId="2A295989" w14:textId="2002749A" w:rsidR="00845CC7" w:rsidRPr="0062745D" w:rsidRDefault="00845CC7" w:rsidP="00845CC7">
            <w:pPr>
              <w:spacing w:before="0" w:after="0"/>
              <w:rPr>
                <w:rFonts w:cs="Arial"/>
                <w:b/>
                <w:szCs w:val="22"/>
              </w:rPr>
            </w:pPr>
            <w:r w:rsidRPr="0062745D">
              <w:rPr>
                <w:rFonts w:cs="Arial"/>
                <w:b/>
                <w:szCs w:val="22"/>
              </w:rPr>
              <w:t>Beginning Net Position*</w:t>
            </w:r>
          </w:p>
        </w:tc>
        <w:tc>
          <w:tcPr>
            <w:tcW w:w="3155" w:type="dxa"/>
            <w:tcBorders>
              <w:top w:val="single" w:sz="4" w:space="0" w:color="auto"/>
              <w:left w:val="single" w:sz="4" w:space="0" w:color="auto"/>
              <w:bottom w:val="single" w:sz="4" w:space="0" w:color="auto"/>
              <w:right w:val="single" w:sz="4" w:space="0" w:color="auto"/>
            </w:tcBorders>
            <w:vAlign w:val="center"/>
            <w:hideMark/>
          </w:tcPr>
          <w:p w14:paraId="0F5CA35B" w14:textId="193FFFBB" w:rsidR="00845CC7" w:rsidRPr="0062745D" w:rsidRDefault="00845CC7" w:rsidP="00845CC7">
            <w:pPr>
              <w:spacing w:before="0" w:after="0"/>
              <w:jc w:val="center"/>
              <w:rPr>
                <w:rFonts w:cs="Arial"/>
                <w:szCs w:val="22"/>
              </w:rPr>
            </w:pPr>
            <w:r w:rsidRPr="0062745D">
              <w:rPr>
                <w:rFonts w:cs="Arial"/>
                <w:szCs w:val="22"/>
              </w:rPr>
              <w:t>$91,812</w:t>
            </w:r>
          </w:p>
        </w:tc>
        <w:tc>
          <w:tcPr>
            <w:tcW w:w="3240" w:type="dxa"/>
            <w:tcBorders>
              <w:top w:val="single" w:sz="4" w:space="0" w:color="auto"/>
              <w:left w:val="single" w:sz="4" w:space="0" w:color="auto"/>
              <w:bottom w:val="single" w:sz="4" w:space="0" w:color="auto"/>
              <w:right w:val="single" w:sz="4" w:space="0" w:color="auto"/>
            </w:tcBorders>
            <w:vAlign w:val="center"/>
          </w:tcPr>
          <w:p w14:paraId="0237F30B" w14:textId="57C30F4D" w:rsidR="00845CC7" w:rsidRPr="0062745D" w:rsidRDefault="00845CC7" w:rsidP="00845CC7">
            <w:pPr>
              <w:spacing w:before="0" w:after="0"/>
              <w:jc w:val="center"/>
              <w:rPr>
                <w:rFonts w:cs="Arial"/>
                <w:szCs w:val="22"/>
              </w:rPr>
            </w:pPr>
            <w:r w:rsidRPr="0062745D">
              <w:rPr>
                <w:rFonts w:cs="Arial"/>
                <w:szCs w:val="22"/>
              </w:rPr>
              <w:t>$109,671</w:t>
            </w:r>
          </w:p>
        </w:tc>
      </w:tr>
      <w:tr w:rsidR="0062745D" w:rsidRPr="0062745D" w14:paraId="0E366468" w14:textId="77777777" w:rsidTr="00845CC7">
        <w:trPr>
          <w:cantSplit/>
          <w:trHeight w:val="70"/>
          <w:jc w:val="center"/>
        </w:trPr>
        <w:tc>
          <w:tcPr>
            <w:tcW w:w="2965" w:type="dxa"/>
            <w:tcBorders>
              <w:top w:val="single" w:sz="4" w:space="0" w:color="auto"/>
              <w:left w:val="single" w:sz="4" w:space="0" w:color="auto"/>
              <w:bottom w:val="single" w:sz="4" w:space="0" w:color="auto"/>
              <w:right w:val="single" w:sz="4" w:space="0" w:color="auto"/>
            </w:tcBorders>
            <w:vAlign w:val="center"/>
            <w:hideMark/>
          </w:tcPr>
          <w:p w14:paraId="2B75032B" w14:textId="77777777" w:rsidR="00845CC7" w:rsidRPr="0062745D" w:rsidRDefault="00845CC7" w:rsidP="00845CC7">
            <w:pPr>
              <w:spacing w:before="0" w:after="0"/>
              <w:rPr>
                <w:rFonts w:cs="Arial"/>
                <w:b/>
                <w:szCs w:val="22"/>
              </w:rPr>
            </w:pPr>
            <w:r w:rsidRPr="0062745D">
              <w:rPr>
                <w:rFonts w:cs="Arial"/>
                <w:b/>
                <w:szCs w:val="22"/>
              </w:rPr>
              <w:t>Ending Net Position</w:t>
            </w:r>
          </w:p>
        </w:tc>
        <w:tc>
          <w:tcPr>
            <w:tcW w:w="3155" w:type="dxa"/>
            <w:tcBorders>
              <w:top w:val="single" w:sz="4" w:space="0" w:color="auto"/>
              <w:left w:val="single" w:sz="4" w:space="0" w:color="auto"/>
              <w:bottom w:val="single" w:sz="4" w:space="0" w:color="auto"/>
              <w:right w:val="single" w:sz="4" w:space="0" w:color="auto"/>
            </w:tcBorders>
            <w:vAlign w:val="center"/>
            <w:hideMark/>
          </w:tcPr>
          <w:p w14:paraId="430761DC" w14:textId="77777777" w:rsidR="00845CC7" w:rsidRPr="0062745D" w:rsidRDefault="00845CC7" w:rsidP="00845CC7">
            <w:pPr>
              <w:spacing w:before="0" w:after="0"/>
              <w:jc w:val="center"/>
              <w:rPr>
                <w:rFonts w:cs="Arial"/>
                <w:szCs w:val="22"/>
              </w:rPr>
            </w:pPr>
            <w:r w:rsidRPr="0062745D">
              <w:rPr>
                <w:rFonts w:cs="Arial"/>
                <w:szCs w:val="22"/>
              </w:rPr>
              <w:t>$468,272</w:t>
            </w:r>
          </w:p>
        </w:tc>
        <w:tc>
          <w:tcPr>
            <w:tcW w:w="3240" w:type="dxa"/>
            <w:tcBorders>
              <w:top w:val="single" w:sz="4" w:space="0" w:color="auto"/>
              <w:left w:val="single" w:sz="4" w:space="0" w:color="auto"/>
              <w:bottom w:val="single" w:sz="4" w:space="0" w:color="auto"/>
              <w:right w:val="single" w:sz="4" w:space="0" w:color="auto"/>
            </w:tcBorders>
            <w:vAlign w:val="center"/>
          </w:tcPr>
          <w:p w14:paraId="66F4B541" w14:textId="712ED10A" w:rsidR="00845CC7" w:rsidRPr="0062745D" w:rsidRDefault="00845CC7" w:rsidP="00845CC7">
            <w:pPr>
              <w:spacing w:before="0" w:after="0"/>
              <w:jc w:val="center"/>
              <w:rPr>
                <w:rFonts w:cs="Arial"/>
                <w:szCs w:val="22"/>
              </w:rPr>
            </w:pPr>
            <w:r w:rsidRPr="0062745D">
              <w:rPr>
                <w:rFonts w:cs="Arial"/>
                <w:szCs w:val="22"/>
              </w:rPr>
              <w:t>($268,436)</w:t>
            </w:r>
          </w:p>
        </w:tc>
      </w:tr>
    </w:tbl>
    <w:p w14:paraId="0DC1B6AC" w14:textId="06ADBAF3" w:rsidR="00EA2B49" w:rsidRDefault="00EA2B49" w:rsidP="00B55C7E">
      <w:pPr>
        <w:pStyle w:val="TableHeading"/>
        <w:rPr>
          <w:rFonts w:eastAsia="Arial"/>
        </w:rPr>
      </w:pPr>
      <w:r w:rsidRPr="0062745D">
        <w:rPr>
          <w:rFonts w:eastAsia="Arial"/>
        </w:rPr>
        <w:t>T.I.M.E.’s 2022–23 Adopted Budget and Actuals</w:t>
      </w:r>
    </w:p>
    <w:p w14:paraId="0C4D7932" w14:textId="77777777" w:rsidR="00292919" w:rsidRPr="0062745D" w:rsidRDefault="00292919" w:rsidP="00292919">
      <w:pPr>
        <w:rPr>
          <w:rFonts w:eastAsia="Arial"/>
        </w:rPr>
      </w:pPr>
      <w:r w:rsidRPr="0062745D">
        <w:rPr>
          <w:rFonts w:eastAsia="Arial"/>
        </w:rPr>
        <w:t>* Estimated amount at the time of budget development.</w:t>
      </w:r>
    </w:p>
    <w:tbl>
      <w:tblPr>
        <w:tblStyle w:val="TableGrid"/>
        <w:tblW w:w="9360" w:type="dxa"/>
        <w:jc w:val="center"/>
        <w:tblInd w:w="0" w:type="dxa"/>
        <w:tblLook w:val="04A0" w:firstRow="1" w:lastRow="0" w:firstColumn="1" w:lastColumn="0" w:noHBand="0" w:noVBand="1"/>
        <w:tblDescription w:val="2022-23 Adopted Budget and Actuals"/>
      </w:tblPr>
      <w:tblGrid>
        <w:gridCol w:w="2965"/>
        <w:gridCol w:w="1598"/>
        <w:gridCol w:w="1599"/>
        <w:gridCol w:w="1599"/>
        <w:gridCol w:w="1599"/>
      </w:tblGrid>
      <w:tr w:rsidR="0062745D" w:rsidRPr="0062745D" w14:paraId="09880AF7" w14:textId="77777777" w:rsidTr="00845CC7">
        <w:trPr>
          <w:cantSplit/>
          <w:trHeight w:val="807"/>
          <w:tblHeader/>
          <w:jc w:val="center"/>
        </w:trPr>
        <w:tc>
          <w:tcPr>
            <w:tcW w:w="296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D7FF716" w14:textId="77777777" w:rsidR="00845CC7" w:rsidRPr="0062745D" w:rsidRDefault="00845CC7" w:rsidP="00845CC7">
            <w:pPr>
              <w:spacing w:before="0" w:after="0"/>
              <w:jc w:val="center"/>
              <w:rPr>
                <w:rFonts w:cs="Arial"/>
                <w:b/>
                <w:szCs w:val="22"/>
              </w:rPr>
            </w:pPr>
            <w:r w:rsidRPr="0062745D">
              <w:rPr>
                <w:rFonts w:cs="Arial"/>
                <w:b/>
                <w:szCs w:val="22"/>
              </w:rPr>
              <w:t>Criteria</w:t>
            </w:r>
          </w:p>
        </w:tc>
        <w:tc>
          <w:tcPr>
            <w:tcW w:w="159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9B9335" w14:textId="02691054" w:rsidR="00845CC7" w:rsidRPr="0062745D" w:rsidRDefault="00845CC7" w:rsidP="00845CC7">
            <w:pPr>
              <w:spacing w:before="0" w:after="0"/>
              <w:jc w:val="center"/>
              <w:rPr>
                <w:rFonts w:cs="Arial"/>
                <w:b/>
                <w:szCs w:val="22"/>
              </w:rPr>
            </w:pPr>
            <w:r w:rsidRPr="0062745D">
              <w:rPr>
                <w:rFonts w:cs="Arial"/>
                <w:b/>
                <w:szCs w:val="22"/>
              </w:rPr>
              <w:t>Adopted Budget</w:t>
            </w:r>
          </w:p>
        </w:tc>
        <w:tc>
          <w:tcPr>
            <w:tcW w:w="159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2F8E0A3" w14:textId="13A41905" w:rsidR="00845CC7" w:rsidRPr="0062745D" w:rsidRDefault="00845CC7" w:rsidP="00845CC7">
            <w:pPr>
              <w:spacing w:before="0" w:after="0"/>
              <w:jc w:val="center"/>
              <w:rPr>
                <w:rFonts w:cs="Arial"/>
                <w:b/>
                <w:szCs w:val="22"/>
              </w:rPr>
            </w:pPr>
            <w:r w:rsidRPr="0062745D">
              <w:rPr>
                <w:rFonts w:cs="Arial"/>
                <w:b/>
                <w:szCs w:val="22"/>
              </w:rPr>
              <w:t>First Interim Report Projection</w:t>
            </w:r>
          </w:p>
        </w:tc>
        <w:tc>
          <w:tcPr>
            <w:tcW w:w="159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0CEB07E" w14:textId="77777777" w:rsidR="00845CC7" w:rsidRPr="0062745D" w:rsidRDefault="00845CC7" w:rsidP="00845CC7">
            <w:pPr>
              <w:spacing w:before="0" w:after="0"/>
              <w:jc w:val="center"/>
              <w:rPr>
                <w:rFonts w:cs="Arial"/>
                <w:b/>
                <w:szCs w:val="22"/>
              </w:rPr>
            </w:pPr>
            <w:r w:rsidRPr="0062745D">
              <w:rPr>
                <w:rFonts w:cs="Arial"/>
                <w:b/>
                <w:szCs w:val="22"/>
              </w:rPr>
              <w:t>July to December 2022 Actuals</w:t>
            </w:r>
          </w:p>
        </w:tc>
        <w:tc>
          <w:tcPr>
            <w:tcW w:w="159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55C58A" w14:textId="77777777" w:rsidR="00845CC7" w:rsidRPr="0062745D" w:rsidRDefault="00845CC7" w:rsidP="00845CC7">
            <w:pPr>
              <w:spacing w:before="0" w:after="0"/>
              <w:jc w:val="center"/>
              <w:rPr>
                <w:rFonts w:cs="Arial"/>
                <w:b/>
                <w:szCs w:val="22"/>
              </w:rPr>
            </w:pPr>
            <w:r w:rsidRPr="0062745D">
              <w:rPr>
                <w:rFonts w:cs="Arial"/>
                <w:b/>
                <w:szCs w:val="22"/>
              </w:rPr>
              <w:t>July to February 2023 Actuals</w:t>
            </w:r>
          </w:p>
        </w:tc>
      </w:tr>
      <w:tr w:rsidR="0062745D" w:rsidRPr="0062745D" w14:paraId="4B6F7492" w14:textId="77777777" w:rsidTr="00845CC7">
        <w:trPr>
          <w:cantSplit/>
          <w:trHeight w:val="263"/>
          <w:jc w:val="center"/>
        </w:trPr>
        <w:tc>
          <w:tcPr>
            <w:tcW w:w="2965" w:type="dxa"/>
            <w:tcBorders>
              <w:top w:val="single" w:sz="4" w:space="0" w:color="auto"/>
              <w:left w:val="single" w:sz="4" w:space="0" w:color="auto"/>
              <w:bottom w:val="single" w:sz="4" w:space="0" w:color="auto"/>
              <w:right w:val="single" w:sz="4" w:space="0" w:color="auto"/>
            </w:tcBorders>
            <w:vAlign w:val="center"/>
            <w:hideMark/>
          </w:tcPr>
          <w:p w14:paraId="43195250" w14:textId="77777777" w:rsidR="00845CC7" w:rsidRPr="0062745D" w:rsidRDefault="00845CC7" w:rsidP="00845CC7">
            <w:pPr>
              <w:spacing w:before="0" w:after="0"/>
              <w:rPr>
                <w:rFonts w:cs="Arial"/>
                <w:b/>
                <w:szCs w:val="22"/>
              </w:rPr>
            </w:pPr>
            <w:r w:rsidRPr="0062745D">
              <w:rPr>
                <w:rFonts w:cs="Arial"/>
                <w:b/>
                <w:szCs w:val="22"/>
              </w:rPr>
              <w:t>Total Revenues</w:t>
            </w:r>
          </w:p>
        </w:tc>
        <w:tc>
          <w:tcPr>
            <w:tcW w:w="1598" w:type="dxa"/>
            <w:tcBorders>
              <w:top w:val="single" w:sz="4" w:space="0" w:color="auto"/>
              <w:left w:val="single" w:sz="4" w:space="0" w:color="auto"/>
              <w:bottom w:val="single" w:sz="4" w:space="0" w:color="auto"/>
              <w:right w:val="single" w:sz="4" w:space="0" w:color="auto"/>
            </w:tcBorders>
            <w:vAlign w:val="center"/>
          </w:tcPr>
          <w:p w14:paraId="14049543" w14:textId="66515971" w:rsidR="00845CC7" w:rsidRPr="0062745D" w:rsidRDefault="00845CC7" w:rsidP="00845CC7">
            <w:pPr>
              <w:spacing w:before="0" w:after="0"/>
              <w:jc w:val="center"/>
              <w:rPr>
                <w:rFonts w:cs="Arial"/>
                <w:szCs w:val="22"/>
              </w:rPr>
            </w:pPr>
            <w:r w:rsidRPr="0062745D">
              <w:rPr>
                <w:rFonts w:cs="Arial"/>
                <w:szCs w:val="22"/>
              </w:rPr>
              <w:t>$2,126,369</w:t>
            </w:r>
          </w:p>
        </w:tc>
        <w:tc>
          <w:tcPr>
            <w:tcW w:w="1599" w:type="dxa"/>
            <w:tcBorders>
              <w:top w:val="single" w:sz="4" w:space="0" w:color="auto"/>
              <w:left w:val="single" w:sz="4" w:space="0" w:color="auto"/>
              <w:bottom w:val="single" w:sz="4" w:space="0" w:color="auto"/>
              <w:right w:val="single" w:sz="4" w:space="0" w:color="auto"/>
            </w:tcBorders>
            <w:vAlign w:val="center"/>
          </w:tcPr>
          <w:p w14:paraId="723D1004" w14:textId="77777777" w:rsidR="00845CC7" w:rsidRPr="0062745D" w:rsidRDefault="00845CC7" w:rsidP="00845CC7">
            <w:pPr>
              <w:spacing w:before="0" w:after="0"/>
              <w:jc w:val="center"/>
              <w:rPr>
                <w:rFonts w:cs="Arial"/>
                <w:szCs w:val="22"/>
              </w:rPr>
            </w:pPr>
            <w:r w:rsidRPr="0062745D">
              <w:rPr>
                <w:rFonts w:cs="Arial"/>
                <w:szCs w:val="22"/>
              </w:rPr>
              <w:t>$1,379,715</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2B9C6BAE" w14:textId="77777777" w:rsidR="00845CC7" w:rsidRPr="0062745D" w:rsidRDefault="00845CC7" w:rsidP="00845CC7">
            <w:pPr>
              <w:spacing w:before="0" w:after="0"/>
              <w:jc w:val="center"/>
              <w:rPr>
                <w:rFonts w:cs="Arial"/>
                <w:szCs w:val="22"/>
              </w:rPr>
            </w:pPr>
            <w:r w:rsidRPr="0062745D">
              <w:rPr>
                <w:rFonts w:cs="Arial"/>
                <w:szCs w:val="22"/>
              </w:rPr>
              <w:t>$316,781</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2ADBC05D" w14:textId="77777777" w:rsidR="00845CC7" w:rsidRPr="0062745D" w:rsidRDefault="00845CC7" w:rsidP="00845CC7">
            <w:pPr>
              <w:spacing w:before="0" w:after="0"/>
              <w:jc w:val="center"/>
              <w:rPr>
                <w:rFonts w:cs="Arial"/>
                <w:szCs w:val="22"/>
              </w:rPr>
            </w:pPr>
            <w:r w:rsidRPr="0062745D">
              <w:rPr>
                <w:rFonts w:cs="Arial"/>
                <w:szCs w:val="22"/>
              </w:rPr>
              <w:t>$501,339</w:t>
            </w:r>
          </w:p>
        </w:tc>
      </w:tr>
      <w:tr w:rsidR="0062745D" w:rsidRPr="0062745D" w14:paraId="75F714DB" w14:textId="77777777" w:rsidTr="00845CC7">
        <w:trPr>
          <w:cantSplit/>
          <w:trHeight w:val="70"/>
          <w:jc w:val="center"/>
        </w:trPr>
        <w:tc>
          <w:tcPr>
            <w:tcW w:w="2965" w:type="dxa"/>
            <w:tcBorders>
              <w:top w:val="single" w:sz="4" w:space="0" w:color="auto"/>
              <w:left w:val="single" w:sz="4" w:space="0" w:color="auto"/>
              <w:bottom w:val="single" w:sz="4" w:space="0" w:color="auto"/>
              <w:right w:val="single" w:sz="4" w:space="0" w:color="auto"/>
            </w:tcBorders>
            <w:vAlign w:val="center"/>
            <w:hideMark/>
          </w:tcPr>
          <w:p w14:paraId="0DD7D524" w14:textId="77777777" w:rsidR="00845CC7" w:rsidRPr="0062745D" w:rsidRDefault="00845CC7" w:rsidP="00845CC7">
            <w:pPr>
              <w:spacing w:before="0" w:after="0"/>
              <w:rPr>
                <w:rFonts w:cs="Arial"/>
                <w:b/>
                <w:szCs w:val="22"/>
              </w:rPr>
            </w:pPr>
            <w:r w:rsidRPr="0062745D">
              <w:rPr>
                <w:rFonts w:cs="Arial"/>
                <w:b/>
                <w:szCs w:val="22"/>
              </w:rPr>
              <w:t>Total Expenditures</w:t>
            </w:r>
          </w:p>
        </w:tc>
        <w:tc>
          <w:tcPr>
            <w:tcW w:w="1598" w:type="dxa"/>
            <w:tcBorders>
              <w:top w:val="single" w:sz="4" w:space="0" w:color="auto"/>
              <w:left w:val="single" w:sz="4" w:space="0" w:color="auto"/>
              <w:bottom w:val="single" w:sz="4" w:space="0" w:color="auto"/>
              <w:right w:val="single" w:sz="4" w:space="0" w:color="auto"/>
            </w:tcBorders>
            <w:vAlign w:val="center"/>
          </w:tcPr>
          <w:p w14:paraId="175BC67F" w14:textId="59E12947" w:rsidR="00845CC7" w:rsidRPr="0062745D" w:rsidRDefault="00845CC7" w:rsidP="00845CC7">
            <w:pPr>
              <w:spacing w:before="0" w:after="0"/>
              <w:jc w:val="center"/>
              <w:rPr>
                <w:rFonts w:cs="Arial"/>
                <w:szCs w:val="22"/>
              </w:rPr>
            </w:pPr>
            <w:r w:rsidRPr="0062745D">
              <w:rPr>
                <w:rFonts w:cs="Arial"/>
                <w:szCs w:val="22"/>
              </w:rPr>
              <w:t>$1,617,239</w:t>
            </w:r>
          </w:p>
        </w:tc>
        <w:tc>
          <w:tcPr>
            <w:tcW w:w="1599" w:type="dxa"/>
            <w:tcBorders>
              <w:top w:val="single" w:sz="4" w:space="0" w:color="auto"/>
              <w:left w:val="single" w:sz="4" w:space="0" w:color="auto"/>
              <w:bottom w:val="single" w:sz="4" w:space="0" w:color="auto"/>
              <w:right w:val="single" w:sz="4" w:space="0" w:color="auto"/>
            </w:tcBorders>
            <w:vAlign w:val="center"/>
          </w:tcPr>
          <w:p w14:paraId="4F306D6B" w14:textId="77777777" w:rsidR="00845CC7" w:rsidRPr="0062745D" w:rsidRDefault="00845CC7" w:rsidP="00845CC7">
            <w:pPr>
              <w:spacing w:before="0" w:after="0"/>
              <w:jc w:val="center"/>
              <w:rPr>
                <w:rFonts w:cs="Arial"/>
                <w:szCs w:val="22"/>
              </w:rPr>
            </w:pPr>
            <w:r w:rsidRPr="0062745D">
              <w:rPr>
                <w:rFonts w:cs="Arial"/>
                <w:szCs w:val="22"/>
              </w:rPr>
              <w:t>$1,448,027</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0FE28D79" w14:textId="77777777" w:rsidR="00845CC7" w:rsidRPr="0062745D" w:rsidRDefault="00845CC7" w:rsidP="00845CC7">
            <w:pPr>
              <w:spacing w:before="0" w:after="0"/>
              <w:jc w:val="center"/>
              <w:rPr>
                <w:rFonts w:cs="Arial"/>
                <w:szCs w:val="22"/>
              </w:rPr>
            </w:pPr>
            <w:r w:rsidRPr="0062745D">
              <w:rPr>
                <w:rFonts w:cs="Arial"/>
                <w:szCs w:val="22"/>
              </w:rPr>
              <w:t>$741,050</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015A0825" w14:textId="77777777" w:rsidR="00845CC7" w:rsidRPr="0062745D" w:rsidRDefault="00845CC7" w:rsidP="00845CC7">
            <w:pPr>
              <w:spacing w:before="0" w:after="0"/>
              <w:jc w:val="center"/>
              <w:rPr>
                <w:rFonts w:cs="Arial"/>
                <w:szCs w:val="22"/>
              </w:rPr>
            </w:pPr>
            <w:r w:rsidRPr="0062745D">
              <w:rPr>
                <w:rFonts w:cs="Arial"/>
                <w:szCs w:val="22"/>
              </w:rPr>
              <w:t>$953,561</w:t>
            </w:r>
          </w:p>
        </w:tc>
      </w:tr>
      <w:tr w:rsidR="0062745D" w:rsidRPr="0062745D" w14:paraId="3A1F88E2" w14:textId="77777777" w:rsidTr="00845CC7">
        <w:trPr>
          <w:cantSplit/>
          <w:trHeight w:val="263"/>
          <w:jc w:val="center"/>
        </w:trPr>
        <w:tc>
          <w:tcPr>
            <w:tcW w:w="2965" w:type="dxa"/>
            <w:tcBorders>
              <w:top w:val="single" w:sz="4" w:space="0" w:color="auto"/>
              <w:left w:val="single" w:sz="4" w:space="0" w:color="auto"/>
              <w:bottom w:val="single" w:sz="4" w:space="0" w:color="auto"/>
              <w:right w:val="single" w:sz="4" w:space="0" w:color="auto"/>
            </w:tcBorders>
            <w:vAlign w:val="center"/>
            <w:hideMark/>
          </w:tcPr>
          <w:p w14:paraId="22E81637" w14:textId="77777777" w:rsidR="00845CC7" w:rsidRPr="0062745D" w:rsidRDefault="00845CC7" w:rsidP="00845CC7">
            <w:pPr>
              <w:spacing w:before="0" w:after="0"/>
              <w:rPr>
                <w:rFonts w:cs="Arial"/>
                <w:b/>
                <w:szCs w:val="22"/>
              </w:rPr>
            </w:pPr>
            <w:r w:rsidRPr="0062745D">
              <w:rPr>
                <w:rFonts w:cs="Arial"/>
                <w:b/>
                <w:szCs w:val="22"/>
              </w:rPr>
              <w:t>Surplus (Deficits)</w:t>
            </w:r>
          </w:p>
        </w:tc>
        <w:tc>
          <w:tcPr>
            <w:tcW w:w="1598" w:type="dxa"/>
            <w:tcBorders>
              <w:top w:val="single" w:sz="4" w:space="0" w:color="auto"/>
              <w:left w:val="single" w:sz="4" w:space="0" w:color="auto"/>
              <w:bottom w:val="single" w:sz="4" w:space="0" w:color="auto"/>
              <w:right w:val="single" w:sz="4" w:space="0" w:color="auto"/>
            </w:tcBorders>
            <w:vAlign w:val="center"/>
          </w:tcPr>
          <w:p w14:paraId="0005628E" w14:textId="2DF971D8" w:rsidR="00845CC7" w:rsidRPr="0062745D" w:rsidRDefault="00845CC7" w:rsidP="00845CC7">
            <w:pPr>
              <w:spacing w:before="0" w:after="0"/>
              <w:jc w:val="center"/>
              <w:rPr>
                <w:rFonts w:cs="Arial"/>
                <w:szCs w:val="22"/>
              </w:rPr>
            </w:pPr>
            <w:r w:rsidRPr="0062745D">
              <w:rPr>
                <w:rFonts w:cs="Arial"/>
                <w:szCs w:val="22"/>
              </w:rPr>
              <w:t>$509,130</w:t>
            </w:r>
          </w:p>
        </w:tc>
        <w:tc>
          <w:tcPr>
            <w:tcW w:w="1599" w:type="dxa"/>
            <w:tcBorders>
              <w:top w:val="single" w:sz="4" w:space="0" w:color="auto"/>
              <w:left w:val="single" w:sz="4" w:space="0" w:color="auto"/>
              <w:bottom w:val="single" w:sz="4" w:space="0" w:color="auto"/>
              <w:right w:val="single" w:sz="4" w:space="0" w:color="auto"/>
            </w:tcBorders>
            <w:vAlign w:val="center"/>
          </w:tcPr>
          <w:p w14:paraId="0969238B" w14:textId="77777777" w:rsidR="00845CC7" w:rsidRPr="0062745D" w:rsidRDefault="00845CC7" w:rsidP="00845CC7">
            <w:pPr>
              <w:spacing w:before="0" w:after="0"/>
              <w:jc w:val="center"/>
              <w:rPr>
                <w:rFonts w:cs="Arial"/>
                <w:szCs w:val="22"/>
              </w:rPr>
            </w:pPr>
            <w:r w:rsidRPr="0062745D">
              <w:rPr>
                <w:rFonts w:cs="Arial"/>
                <w:szCs w:val="22"/>
              </w:rPr>
              <w:t>($68,312)</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2185462B" w14:textId="77777777" w:rsidR="00845CC7" w:rsidRPr="0062745D" w:rsidRDefault="00845CC7" w:rsidP="00845CC7">
            <w:pPr>
              <w:spacing w:before="0" w:after="0"/>
              <w:jc w:val="center"/>
              <w:rPr>
                <w:rFonts w:cs="Arial"/>
                <w:szCs w:val="22"/>
              </w:rPr>
            </w:pPr>
            <w:r w:rsidRPr="0062745D">
              <w:rPr>
                <w:rFonts w:cs="Arial"/>
                <w:szCs w:val="22"/>
              </w:rPr>
              <w:t>($424,269)</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10E19BB7" w14:textId="77777777" w:rsidR="00845CC7" w:rsidRPr="0062745D" w:rsidRDefault="00845CC7" w:rsidP="00845CC7">
            <w:pPr>
              <w:spacing w:before="0" w:after="0"/>
              <w:jc w:val="center"/>
              <w:rPr>
                <w:rFonts w:cs="Arial"/>
                <w:szCs w:val="22"/>
              </w:rPr>
            </w:pPr>
            <w:r w:rsidRPr="0062745D">
              <w:rPr>
                <w:rFonts w:cs="Arial"/>
                <w:szCs w:val="22"/>
              </w:rPr>
              <w:t>($452,222)</w:t>
            </w:r>
          </w:p>
        </w:tc>
      </w:tr>
      <w:tr w:rsidR="0062745D" w:rsidRPr="0062745D" w14:paraId="329E11EE" w14:textId="77777777" w:rsidTr="00845CC7">
        <w:trPr>
          <w:cantSplit/>
          <w:trHeight w:val="70"/>
          <w:jc w:val="center"/>
        </w:trPr>
        <w:tc>
          <w:tcPr>
            <w:tcW w:w="2965" w:type="dxa"/>
            <w:tcBorders>
              <w:top w:val="single" w:sz="4" w:space="0" w:color="auto"/>
              <w:left w:val="single" w:sz="4" w:space="0" w:color="auto"/>
              <w:bottom w:val="single" w:sz="4" w:space="0" w:color="auto"/>
              <w:right w:val="single" w:sz="4" w:space="0" w:color="auto"/>
            </w:tcBorders>
            <w:vAlign w:val="center"/>
            <w:hideMark/>
          </w:tcPr>
          <w:p w14:paraId="66D311ED" w14:textId="20E58100" w:rsidR="00845CC7" w:rsidRPr="0062745D" w:rsidRDefault="00845CC7" w:rsidP="00845CC7">
            <w:pPr>
              <w:spacing w:before="0" w:after="0"/>
              <w:rPr>
                <w:rFonts w:cs="Arial"/>
                <w:b/>
                <w:szCs w:val="22"/>
              </w:rPr>
            </w:pPr>
            <w:r w:rsidRPr="0062745D">
              <w:rPr>
                <w:rFonts w:cs="Arial"/>
                <w:b/>
                <w:szCs w:val="22"/>
              </w:rPr>
              <w:t>Beginning Net Position*</w:t>
            </w:r>
          </w:p>
        </w:tc>
        <w:tc>
          <w:tcPr>
            <w:tcW w:w="1598" w:type="dxa"/>
            <w:tcBorders>
              <w:top w:val="single" w:sz="4" w:space="0" w:color="auto"/>
              <w:left w:val="single" w:sz="4" w:space="0" w:color="auto"/>
              <w:bottom w:val="single" w:sz="4" w:space="0" w:color="auto"/>
              <w:right w:val="single" w:sz="4" w:space="0" w:color="auto"/>
            </w:tcBorders>
            <w:vAlign w:val="center"/>
          </w:tcPr>
          <w:p w14:paraId="19F5FE40" w14:textId="55913845" w:rsidR="00845CC7" w:rsidRPr="0062745D" w:rsidRDefault="00845CC7" w:rsidP="00845CC7">
            <w:pPr>
              <w:spacing w:before="0" w:after="0"/>
              <w:jc w:val="center"/>
              <w:rPr>
                <w:rFonts w:cs="Arial"/>
                <w:szCs w:val="22"/>
              </w:rPr>
            </w:pPr>
            <w:r w:rsidRPr="0062745D">
              <w:rPr>
                <w:rFonts w:cs="Arial"/>
                <w:szCs w:val="22"/>
              </w:rPr>
              <w:t>($223,995)</w:t>
            </w:r>
          </w:p>
        </w:tc>
        <w:tc>
          <w:tcPr>
            <w:tcW w:w="1599" w:type="dxa"/>
            <w:tcBorders>
              <w:top w:val="single" w:sz="4" w:space="0" w:color="auto"/>
              <w:left w:val="single" w:sz="4" w:space="0" w:color="auto"/>
              <w:bottom w:val="single" w:sz="4" w:space="0" w:color="auto"/>
              <w:right w:val="single" w:sz="4" w:space="0" w:color="auto"/>
            </w:tcBorders>
            <w:vAlign w:val="center"/>
          </w:tcPr>
          <w:p w14:paraId="3BAE0786" w14:textId="77777777" w:rsidR="00845CC7" w:rsidRPr="0062745D" w:rsidRDefault="00845CC7" w:rsidP="00845CC7">
            <w:pPr>
              <w:spacing w:before="0" w:after="0"/>
              <w:jc w:val="center"/>
              <w:rPr>
                <w:rFonts w:cs="Arial"/>
                <w:szCs w:val="22"/>
              </w:rPr>
            </w:pPr>
            <w:r w:rsidRPr="0062745D">
              <w:rPr>
                <w:rFonts w:cs="Arial"/>
                <w:szCs w:val="22"/>
              </w:rPr>
              <w:t>($268,436)</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1E63837D" w14:textId="77777777" w:rsidR="00845CC7" w:rsidRPr="0062745D" w:rsidRDefault="00845CC7" w:rsidP="00845CC7">
            <w:pPr>
              <w:spacing w:before="0" w:after="0"/>
              <w:jc w:val="center"/>
              <w:rPr>
                <w:rFonts w:cs="Arial"/>
                <w:szCs w:val="22"/>
              </w:rPr>
            </w:pPr>
            <w:r w:rsidRPr="0062745D">
              <w:rPr>
                <w:rFonts w:cs="Arial"/>
                <w:szCs w:val="22"/>
              </w:rPr>
              <w:t>($268,436)</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6AB8122C" w14:textId="77777777" w:rsidR="00845CC7" w:rsidRPr="0062745D" w:rsidRDefault="00845CC7" w:rsidP="00845CC7">
            <w:pPr>
              <w:spacing w:before="0" w:after="0"/>
              <w:jc w:val="center"/>
              <w:rPr>
                <w:rFonts w:cs="Arial"/>
                <w:szCs w:val="22"/>
              </w:rPr>
            </w:pPr>
            <w:r w:rsidRPr="0062745D">
              <w:rPr>
                <w:rFonts w:cs="Arial"/>
                <w:szCs w:val="22"/>
              </w:rPr>
              <w:t>($268,436)</w:t>
            </w:r>
          </w:p>
        </w:tc>
      </w:tr>
      <w:tr w:rsidR="0062745D" w:rsidRPr="0062745D" w14:paraId="42E09AE3" w14:textId="77777777" w:rsidTr="00845CC7">
        <w:trPr>
          <w:cantSplit/>
          <w:trHeight w:val="70"/>
          <w:jc w:val="center"/>
        </w:trPr>
        <w:tc>
          <w:tcPr>
            <w:tcW w:w="2965" w:type="dxa"/>
            <w:tcBorders>
              <w:top w:val="single" w:sz="4" w:space="0" w:color="auto"/>
              <w:left w:val="single" w:sz="4" w:space="0" w:color="auto"/>
              <w:bottom w:val="single" w:sz="4" w:space="0" w:color="auto"/>
              <w:right w:val="single" w:sz="4" w:space="0" w:color="auto"/>
            </w:tcBorders>
            <w:vAlign w:val="center"/>
            <w:hideMark/>
          </w:tcPr>
          <w:p w14:paraId="7522992C" w14:textId="77777777" w:rsidR="00845CC7" w:rsidRPr="0062745D" w:rsidRDefault="00845CC7" w:rsidP="00845CC7">
            <w:pPr>
              <w:spacing w:before="0" w:after="0"/>
              <w:rPr>
                <w:rFonts w:cs="Arial"/>
                <w:b/>
                <w:szCs w:val="22"/>
              </w:rPr>
            </w:pPr>
            <w:r w:rsidRPr="0062745D">
              <w:rPr>
                <w:rFonts w:cs="Arial"/>
                <w:b/>
                <w:szCs w:val="22"/>
              </w:rPr>
              <w:t>Ending Net Position</w:t>
            </w:r>
          </w:p>
        </w:tc>
        <w:tc>
          <w:tcPr>
            <w:tcW w:w="1598" w:type="dxa"/>
            <w:tcBorders>
              <w:top w:val="single" w:sz="4" w:space="0" w:color="auto"/>
              <w:left w:val="single" w:sz="4" w:space="0" w:color="auto"/>
              <w:bottom w:val="single" w:sz="4" w:space="0" w:color="auto"/>
              <w:right w:val="single" w:sz="4" w:space="0" w:color="auto"/>
            </w:tcBorders>
            <w:vAlign w:val="center"/>
          </w:tcPr>
          <w:p w14:paraId="4606F1C8" w14:textId="3F288FE0" w:rsidR="00845CC7" w:rsidRPr="0062745D" w:rsidRDefault="00845CC7" w:rsidP="00845CC7">
            <w:pPr>
              <w:spacing w:before="0" w:after="0"/>
              <w:jc w:val="center"/>
              <w:rPr>
                <w:rFonts w:cs="Arial"/>
                <w:szCs w:val="22"/>
              </w:rPr>
            </w:pPr>
            <w:r w:rsidRPr="0062745D">
              <w:rPr>
                <w:rFonts w:cs="Arial"/>
                <w:szCs w:val="22"/>
              </w:rPr>
              <w:t>$285,135</w:t>
            </w:r>
          </w:p>
        </w:tc>
        <w:tc>
          <w:tcPr>
            <w:tcW w:w="1599" w:type="dxa"/>
            <w:tcBorders>
              <w:top w:val="single" w:sz="4" w:space="0" w:color="auto"/>
              <w:left w:val="single" w:sz="4" w:space="0" w:color="auto"/>
              <w:bottom w:val="single" w:sz="4" w:space="0" w:color="auto"/>
              <w:right w:val="single" w:sz="4" w:space="0" w:color="auto"/>
            </w:tcBorders>
            <w:vAlign w:val="center"/>
          </w:tcPr>
          <w:p w14:paraId="68CE24E4" w14:textId="77777777" w:rsidR="00845CC7" w:rsidRPr="0062745D" w:rsidRDefault="00845CC7" w:rsidP="00845CC7">
            <w:pPr>
              <w:spacing w:before="0" w:after="0"/>
              <w:jc w:val="center"/>
              <w:rPr>
                <w:rFonts w:cs="Arial"/>
                <w:szCs w:val="22"/>
              </w:rPr>
            </w:pPr>
            <w:r w:rsidRPr="0062745D">
              <w:rPr>
                <w:rFonts w:cs="Arial"/>
                <w:szCs w:val="22"/>
              </w:rPr>
              <w:t>($336,748)</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476A3D28" w14:textId="77777777" w:rsidR="00845CC7" w:rsidRPr="0062745D" w:rsidRDefault="00845CC7" w:rsidP="00845CC7">
            <w:pPr>
              <w:spacing w:before="0" w:after="0"/>
              <w:jc w:val="center"/>
              <w:rPr>
                <w:rFonts w:cs="Arial"/>
                <w:szCs w:val="22"/>
              </w:rPr>
            </w:pPr>
            <w:r w:rsidRPr="0062745D">
              <w:rPr>
                <w:rFonts w:cs="Arial"/>
                <w:szCs w:val="22"/>
              </w:rPr>
              <w:t>($692,704)</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51B90ACF" w14:textId="77777777" w:rsidR="00845CC7" w:rsidRPr="0062745D" w:rsidRDefault="00845CC7" w:rsidP="00845CC7">
            <w:pPr>
              <w:spacing w:before="0" w:after="0"/>
              <w:jc w:val="center"/>
              <w:rPr>
                <w:rFonts w:cs="Arial"/>
                <w:szCs w:val="22"/>
              </w:rPr>
            </w:pPr>
            <w:r w:rsidRPr="0062745D">
              <w:rPr>
                <w:rFonts w:cs="Arial"/>
                <w:szCs w:val="22"/>
              </w:rPr>
              <w:t>($702,657)</w:t>
            </w:r>
          </w:p>
        </w:tc>
      </w:tr>
    </w:tbl>
    <w:p w14:paraId="16342233" w14:textId="4E1A4280" w:rsidR="006A1C2D" w:rsidRDefault="006A1C2D" w:rsidP="006A1C2D">
      <w:pPr>
        <w:rPr>
          <w:rFonts w:eastAsia="Arial"/>
        </w:rPr>
      </w:pPr>
      <w:r w:rsidRPr="009B12CD">
        <w:rPr>
          <w:rFonts w:eastAsia="Arial"/>
        </w:rPr>
        <w:t xml:space="preserve">The table below </w:t>
      </w:r>
      <w:r w:rsidR="006F5037" w:rsidRPr="009B12CD">
        <w:rPr>
          <w:rFonts w:eastAsia="Arial"/>
        </w:rPr>
        <w:t>further summarize</w:t>
      </w:r>
      <w:r w:rsidRPr="009B12CD">
        <w:rPr>
          <w:rFonts w:eastAsia="Arial"/>
        </w:rPr>
        <w:t xml:space="preserve"> changes in T.I.M.E.’s financial position from July 1, 2022, to February 28, 2023.</w:t>
      </w:r>
    </w:p>
    <w:p w14:paraId="510B6E58" w14:textId="2828B851" w:rsidR="00B55C7E" w:rsidRPr="003424AE" w:rsidRDefault="00B55C7E" w:rsidP="00B55C7E">
      <w:pPr>
        <w:pStyle w:val="TableHeading"/>
        <w:rPr>
          <w:rFonts w:eastAsia="Arial"/>
        </w:rPr>
      </w:pPr>
      <w:r>
        <w:rPr>
          <w:rFonts w:eastAsia="Arial"/>
        </w:rPr>
        <w:t>T.I.M.E.’s Financial Position from July 1, 2022, to February 28, 2023</w:t>
      </w:r>
    </w:p>
    <w:tbl>
      <w:tblPr>
        <w:tblStyle w:val="TableGrid"/>
        <w:tblW w:w="0" w:type="auto"/>
        <w:tblInd w:w="0" w:type="dxa"/>
        <w:tblLook w:val="04A0" w:firstRow="1" w:lastRow="0" w:firstColumn="1" w:lastColumn="0" w:noHBand="0" w:noVBand="1"/>
        <w:tblDescription w:val="Summary of changes in T.I.M.E.’s financial position from July 1, 2022, to December 31, 2022"/>
      </w:tblPr>
      <w:tblGrid>
        <w:gridCol w:w="2155"/>
        <w:gridCol w:w="1798"/>
        <w:gridCol w:w="1799"/>
        <w:gridCol w:w="1799"/>
        <w:gridCol w:w="1799"/>
      </w:tblGrid>
      <w:tr w:rsidR="006A1C2D" w:rsidRPr="003424AE" w14:paraId="1AEB0CE8" w14:textId="77777777" w:rsidTr="006A1C2D">
        <w:trPr>
          <w:cantSplit/>
          <w:tblHeader/>
        </w:trPr>
        <w:tc>
          <w:tcPr>
            <w:tcW w:w="2155" w:type="dxa"/>
            <w:shd w:val="clear" w:color="auto" w:fill="D0CECE" w:themeFill="background2" w:themeFillShade="E6"/>
            <w:vAlign w:val="center"/>
          </w:tcPr>
          <w:p w14:paraId="6910BFA3" w14:textId="77777777" w:rsidR="006A1C2D" w:rsidRPr="003424AE" w:rsidRDefault="006A1C2D" w:rsidP="006A1C2D">
            <w:pPr>
              <w:spacing w:before="0" w:after="0"/>
              <w:jc w:val="center"/>
              <w:rPr>
                <w:rFonts w:eastAsia="Arial"/>
                <w:b/>
              </w:rPr>
            </w:pPr>
            <w:r w:rsidRPr="003424AE">
              <w:rPr>
                <w:rFonts w:eastAsia="Arial"/>
                <w:b/>
              </w:rPr>
              <w:t>Criteria</w:t>
            </w:r>
          </w:p>
        </w:tc>
        <w:tc>
          <w:tcPr>
            <w:tcW w:w="1798" w:type="dxa"/>
            <w:shd w:val="clear" w:color="auto" w:fill="D0CECE" w:themeFill="background2" w:themeFillShade="E6"/>
            <w:vAlign w:val="center"/>
          </w:tcPr>
          <w:p w14:paraId="4294CA7F" w14:textId="77777777" w:rsidR="006A1C2D" w:rsidRPr="003424AE" w:rsidRDefault="006A1C2D" w:rsidP="006A1C2D">
            <w:pPr>
              <w:spacing w:before="0" w:after="0"/>
              <w:jc w:val="center"/>
              <w:rPr>
                <w:rFonts w:eastAsia="Arial"/>
                <w:b/>
              </w:rPr>
            </w:pPr>
            <w:r w:rsidRPr="003424AE">
              <w:rPr>
                <w:rFonts w:eastAsia="Arial"/>
                <w:b/>
              </w:rPr>
              <w:t>July 1, 2022</w:t>
            </w:r>
          </w:p>
        </w:tc>
        <w:tc>
          <w:tcPr>
            <w:tcW w:w="1799" w:type="dxa"/>
            <w:shd w:val="clear" w:color="auto" w:fill="D0CECE" w:themeFill="background2" w:themeFillShade="E6"/>
            <w:vAlign w:val="center"/>
          </w:tcPr>
          <w:p w14:paraId="612954C2" w14:textId="77777777" w:rsidR="006A1C2D" w:rsidRPr="003424AE" w:rsidRDefault="006A1C2D" w:rsidP="006A1C2D">
            <w:pPr>
              <w:spacing w:before="0" w:after="0"/>
              <w:jc w:val="center"/>
              <w:rPr>
                <w:rFonts w:eastAsia="Arial"/>
                <w:b/>
              </w:rPr>
            </w:pPr>
            <w:r w:rsidRPr="003424AE">
              <w:rPr>
                <w:rFonts w:eastAsia="Arial"/>
                <w:b/>
              </w:rPr>
              <w:t>February 28, 2023</w:t>
            </w:r>
          </w:p>
        </w:tc>
        <w:tc>
          <w:tcPr>
            <w:tcW w:w="1799" w:type="dxa"/>
            <w:shd w:val="clear" w:color="auto" w:fill="D0CECE" w:themeFill="background2" w:themeFillShade="E6"/>
            <w:vAlign w:val="center"/>
          </w:tcPr>
          <w:p w14:paraId="09A58287" w14:textId="77777777" w:rsidR="006A1C2D" w:rsidRPr="003424AE" w:rsidRDefault="006A1C2D" w:rsidP="006A1C2D">
            <w:pPr>
              <w:spacing w:before="0" w:after="0"/>
              <w:jc w:val="center"/>
              <w:rPr>
                <w:rFonts w:eastAsia="Arial"/>
                <w:b/>
              </w:rPr>
            </w:pPr>
            <w:r w:rsidRPr="003424AE">
              <w:rPr>
                <w:rFonts w:eastAsia="Arial"/>
                <w:b/>
              </w:rPr>
              <w:t>Year-to-Date Change</w:t>
            </w:r>
          </w:p>
        </w:tc>
        <w:tc>
          <w:tcPr>
            <w:tcW w:w="1799" w:type="dxa"/>
            <w:shd w:val="clear" w:color="auto" w:fill="D0CECE" w:themeFill="background2" w:themeFillShade="E6"/>
            <w:vAlign w:val="center"/>
          </w:tcPr>
          <w:p w14:paraId="2D8D25AC" w14:textId="77777777" w:rsidR="006A1C2D" w:rsidRPr="003424AE" w:rsidRDefault="006A1C2D" w:rsidP="006A1C2D">
            <w:pPr>
              <w:spacing w:before="0" w:after="0"/>
              <w:jc w:val="center"/>
              <w:rPr>
                <w:rFonts w:eastAsia="Arial"/>
                <w:b/>
              </w:rPr>
            </w:pPr>
            <w:r w:rsidRPr="003424AE">
              <w:rPr>
                <w:rFonts w:eastAsia="Arial"/>
                <w:b/>
              </w:rPr>
              <w:t>Year-to-Date Percentage Change</w:t>
            </w:r>
          </w:p>
        </w:tc>
      </w:tr>
      <w:tr w:rsidR="006A1C2D" w:rsidRPr="003424AE" w14:paraId="1131E03E" w14:textId="77777777" w:rsidTr="00C65D7D">
        <w:trPr>
          <w:cantSplit/>
        </w:trPr>
        <w:tc>
          <w:tcPr>
            <w:tcW w:w="2155" w:type="dxa"/>
            <w:vAlign w:val="center"/>
          </w:tcPr>
          <w:p w14:paraId="465AD674" w14:textId="77777777" w:rsidR="006A1C2D" w:rsidRPr="003424AE" w:rsidRDefault="006A1C2D" w:rsidP="006A1C2D">
            <w:pPr>
              <w:spacing w:before="0" w:after="0"/>
              <w:rPr>
                <w:rFonts w:eastAsia="Arial"/>
                <w:b/>
              </w:rPr>
            </w:pPr>
            <w:r w:rsidRPr="003424AE">
              <w:rPr>
                <w:rFonts w:eastAsia="Arial"/>
                <w:b/>
              </w:rPr>
              <w:t>Total Assets</w:t>
            </w:r>
          </w:p>
        </w:tc>
        <w:tc>
          <w:tcPr>
            <w:tcW w:w="1798" w:type="dxa"/>
            <w:vAlign w:val="center"/>
          </w:tcPr>
          <w:p w14:paraId="25E2067F" w14:textId="77777777" w:rsidR="006A1C2D" w:rsidRPr="003424AE" w:rsidRDefault="006A1C2D" w:rsidP="006A1C2D">
            <w:pPr>
              <w:spacing w:before="0" w:after="0"/>
              <w:jc w:val="center"/>
              <w:rPr>
                <w:rFonts w:eastAsia="Arial"/>
              </w:rPr>
            </w:pPr>
            <w:r w:rsidRPr="003424AE">
              <w:rPr>
                <w:rFonts w:eastAsia="Arial"/>
              </w:rPr>
              <w:t>$226,663</w:t>
            </w:r>
          </w:p>
        </w:tc>
        <w:tc>
          <w:tcPr>
            <w:tcW w:w="1799" w:type="dxa"/>
            <w:shd w:val="clear" w:color="auto" w:fill="auto"/>
            <w:vAlign w:val="center"/>
          </w:tcPr>
          <w:p w14:paraId="6B1FEE41" w14:textId="77777777" w:rsidR="006A1C2D" w:rsidRPr="003424AE" w:rsidRDefault="006A1C2D" w:rsidP="006A1C2D">
            <w:pPr>
              <w:spacing w:before="0" w:after="0"/>
              <w:jc w:val="center"/>
              <w:rPr>
                <w:rFonts w:eastAsia="Arial"/>
              </w:rPr>
            </w:pPr>
            <w:r w:rsidRPr="003424AE">
              <w:rPr>
                <w:rFonts w:eastAsia="Arial"/>
              </w:rPr>
              <w:t>($61,522)</w:t>
            </w:r>
          </w:p>
        </w:tc>
        <w:tc>
          <w:tcPr>
            <w:tcW w:w="1799" w:type="dxa"/>
            <w:shd w:val="clear" w:color="auto" w:fill="auto"/>
            <w:vAlign w:val="center"/>
          </w:tcPr>
          <w:p w14:paraId="430435B0" w14:textId="77777777" w:rsidR="006A1C2D" w:rsidRPr="003424AE" w:rsidRDefault="006A1C2D" w:rsidP="006A1C2D">
            <w:pPr>
              <w:spacing w:before="0" w:after="0"/>
              <w:jc w:val="center"/>
              <w:rPr>
                <w:rFonts w:eastAsia="Arial"/>
              </w:rPr>
            </w:pPr>
            <w:r w:rsidRPr="003424AE">
              <w:rPr>
                <w:rFonts w:eastAsia="Arial"/>
              </w:rPr>
              <w:t>($288,185)</w:t>
            </w:r>
          </w:p>
        </w:tc>
        <w:tc>
          <w:tcPr>
            <w:tcW w:w="1799" w:type="dxa"/>
            <w:shd w:val="clear" w:color="auto" w:fill="auto"/>
            <w:vAlign w:val="center"/>
          </w:tcPr>
          <w:p w14:paraId="138C875E" w14:textId="77777777" w:rsidR="006A1C2D" w:rsidRPr="003424AE" w:rsidRDefault="006A1C2D" w:rsidP="006A1C2D">
            <w:pPr>
              <w:spacing w:before="0" w:after="0"/>
              <w:jc w:val="center"/>
              <w:rPr>
                <w:rFonts w:eastAsia="Arial"/>
              </w:rPr>
            </w:pPr>
            <w:r w:rsidRPr="003424AE">
              <w:rPr>
                <w:rFonts w:eastAsia="Arial"/>
              </w:rPr>
              <w:t>(127%)</w:t>
            </w:r>
          </w:p>
        </w:tc>
      </w:tr>
      <w:tr w:rsidR="006A1C2D" w:rsidRPr="003424AE" w14:paraId="532323D0" w14:textId="77777777" w:rsidTr="00C65D7D">
        <w:trPr>
          <w:cantSplit/>
        </w:trPr>
        <w:tc>
          <w:tcPr>
            <w:tcW w:w="2155" w:type="dxa"/>
            <w:vAlign w:val="center"/>
          </w:tcPr>
          <w:p w14:paraId="41745BC0" w14:textId="77777777" w:rsidR="006A1C2D" w:rsidRPr="003424AE" w:rsidRDefault="006A1C2D" w:rsidP="006A1C2D">
            <w:pPr>
              <w:spacing w:before="0" w:after="0"/>
              <w:rPr>
                <w:rFonts w:eastAsia="Arial"/>
                <w:b/>
              </w:rPr>
            </w:pPr>
            <w:r w:rsidRPr="003424AE">
              <w:rPr>
                <w:rFonts w:eastAsia="Arial"/>
                <w:b/>
              </w:rPr>
              <w:lastRenderedPageBreak/>
              <w:t>Total Liabilities</w:t>
            </w:r>
          </w:p>
        </w:tc>
        <w:tc>
          <w:tcPr>
            <w:tcW w:w="1798" w:type="dxa"/>
            <w:vAlign w:val="center"/>
          </w:tcPr>
          <w:p w14:paraId="27F0BB8E" w14:textId="77777777" w:rsidR="006A1C2D" w:rsidRPr="003424AE" w:rsidRDefault="006A1C2D" w:rsidP="006A1C2D">
            <w:pPr>
              <w:spacing w:before="0" w:after="0"/>
              <w:jc w:val="center"/>
              <w:rPr>
                <w:rFonts w:eastAsia="Arial"/>
              </w:rPr>
            </w:pPr>
            <w:r w:rsidRPr="003424AE">
              <w:rPr>
                <w:rFonts w:eastAsia="Arial"/>
              </w:rPr>
              <w:t>$495,099</w:t>
            </w:r>
          </w:p>
        </w:tc>
        <w:tc>
          <w:tcPr>
            <w:tcW w:w="1799" w:type="dxa"/>
            <w:shd w:val="clear" w:color="auto" w:fill="auto"/>
            <w:vAlign w:val="center"/>
          </w:tcPr>
          <w:p w14:paraId="5957F227" w14:textId="77777777" w:rsidR="006A1C2D" w:rsidRPr="003424AE" w:rsidRDefault="006A1C2D" w:rsidP="006A1C2D">
            <w:pPr>
              <w:spacing w:before="0" w:after="0"/>
              <w:jc w:val="center"/>
              <w:rPr>
                <w:rFonts w:eastAsia="Arial"/>
              </w:rPr>
            </w:pPr>
            <w:r w:rsidRPr="003424AE">
              <w:rPr>
                <w:rFonts w:eastAsia="Arial"/>
              </w:rPr>
              <w:t>$659,136</w:t>
            </w:r>
          </w:p>
        </w:tc>
        <w:tc>
          <w:tcPr>
            <w:tcW w:w="1799" w:type="dxa"/>
            <w:shd w:val="clear" w:color="auto" w:fill="auto"/>
            <w:vAlign w:val="center"/>
          </w:tcPr>
          <w:p w14:paraId="1DF1AB85" w14:textId="77777777" w:rsidR="006A1C2D" w:rsidRPr="003424AE" w:rsidRDefault="006A1C2D" w:rsidP="006A1C2D">
            <w:pPr>
              <w:spacing w:before="0" w:after="0"/>
              <w:jc w:val="center"/>
              <w:rPr>
                <w:rFonts w:eastAsia="Arial"/>
              </w:rPr>
            </w:pPr>
            <w:r w:rsidRPr="003424AE">
              <w:rPr>
                <w:rFonts w:eastAsia="Arial"/>
              </w:rPr>
              <w:t>$164,037</w:t>
            </w:r>
          </w:p>
        </w:tc>
        <w:tc>
          <w:tcPr>
            <w:tcW w:w="1799" w:type="dxa"/>
            <w:shd w:val="clear" w:color="auto" w:fill="auto"/>
            <w:vAlign w:val="center"/>
          </w:tcPr>
          <w:p w14:paraId="5B4DCFA0" w14:textId="77777777" w:rsidR="006A1C2D" w:rsidRPr="003424AE" w:rsidRDefault="006A1C2D" w:rsidP="006A1C2D">
            <w:pPr>
              <w:spacing w:before="0" w:after="0"/>
              <w:jc w:val="center"/>
              <w:rPr>
                <w:rFonts w:eastAsia="Arial"/>
              </w:rPr>
            </w:pPr>
            <w:r w:rsidRPr="003424AE">
              <w:rPr>
                <w:rFonts w:eastAsia="Arial"/>
              </w:rPr>
              <w:t>33%</w:t>
            </w:r>
          </w:p>
        </w:tc>
      </w:tr>
      <w:tr w:rsidR="006A1C2D" w:rsidRPr="003424AE" w14:paraId="4C6F61D5" w14:textId="77777777" w:rsidTr="00C65D7D">
        <w:trPr>
          <w:cantSplit/>
        </w:trPr>
        <w:tc>
          <w:tcPr>
            <w:tcW w:w="2155" w:type="dxa"/>
            <w:vAlign w:val="center"/>
          </w:tcPr>
          <w:p w14:paraId="0621B19E" w14:textId="77777777" w:rsidR="006A1C2D" w:rsidRPr="003424AE" w:rsidRDefault="006A1C2D" w:rsidP="006A1C2D">
            <w:pPr>
              <w:spacing w:before="0" w:after="0"/>
              <w:rPr>
                <w:rFonts w:eastAsia="Arial"/>
                <w:b/>
              </w:rPr>
            </w:pPr>
            <w:r w:rsidRPr="003424AE">
              <w:rPr>
                <w:rFonts w:eastAsia="Arial"/>
                <w:b/>
              </w:rPr>
              <w:t>Total Net Assets</w:t>
            </w:r>
          </w:p>
        </w:tc>
        <w:tc>
          <w:tcPr>
            <w:tcW w:w="1798" w:type="dxa"/>
            <w:vAlign w:val="center"/>
          </w:tcPr>
          <w:p w14:paraId="55A79FB6" w14:textId="77777777" w:rsidR="006A1C2D" w:rsidRPr="003424AE" w:rsidRDefault="006A1C2D" w:rsidP="006A1C2D">
            <w:pPr>
              <w:spacing w:before="0" w:after="0"/>
              <w:jc w:val="center"/>
              <w:rPr>
                <w:rFonts w:eastAsia="Arial"/>
              </w:rPr>
            </w:pPr>
            <w:r w:rsidRPr="003424AE">
              <w:rPr>
                <w:rFonts w:eastAsia="Arial"/>
              </w:rPr>
              <w:t>($268,436)</w:t>
            </w:r>
          </w:p>
        </w:tc>
        <w:tc>
          <w:tcPr>
            <w:tcW w:w="1799" w:type="dxa"/>
            <w:shd w:val="clear" w:color="auto" w:fill="auto"/>
            <w:vAlign w:val="center"/>
          </w:tcPr>
          <w:p w14:paraId="1AA6F47E" w14:textId="77777777" w:rsidR="006A1C2D" w:rsidRPr="003424AE" w:rsidRDefault="006A1C2D" w:rsidP="006A1C2D">
            <w:pPr>
              <w:spacing w:before="0" w:after="0"/>
              <w:jc w:val="center"/>
              <w:rPr>
                <w:rFonts w:eastAsia="Arial"/>
              </w:rPr>
            </w:pPr>
            <w:r w:rsidRPr="003424AE">
              <w:rPr>
                <w:rFonts w:eastAsia="Arial"/>
              </w:rPr>
              <w:t>($720,657)</w:t>
            </w:r>
          </w:p>
        </w:tc>
        <w:tc>
          <w:tcPr>
            <w:tcW w:w="1799" w:type="dxa"/>
            <w:shd w:val="clear" w:color="auto" w:fill="auto"/>
            <w:vAlign w:val="center"/>
          </w:tcPr>
          <w:p w14:paraId="11FE446B" w14:textId="77777777" w:rsidR="006A1C2D" w:rsidRPr="003424AE" w:rsidRDefault="006A1C2D" w:rsidP="006A1C2D">
            <w:pPr>
              <w:spacing w:before="0" w:after="0"/>
              <w:jc w:val="center"/>
              <w:rPr>
                <w:rFonts w:eastAsia="Arial"/>
              </w:rPr>
            </w:pPr>
            <w:r w:rsidRPr="003424AE">
              <w:rPr>
                <w:rFonts w:eastAsia="Arial"/>
              </w:rPr>
              <w:t>($452,222)</w:t>
            </w:r>
          </w:p>
        </w:tc>
        <w:tc>
          <w:tcPr>
            <w:tcW w:w="1799" w:type="dxa"/>
            <w:shd w:val="clear" w:color="auto" w:fill="auto"/>
            <w:vAlign w:val="center"/>
          </w:tcPr>
          <w:p w14:paraId="62936AA7" w14:textId="77777777" w:rsidR="006A1C2D" w:rsidRPr="003424AE" w:rsidRDefault="006A1C2D" w:rsidP="006A1C2D">
            <w:pPr>
              <w:spacing w:before="0" w:after="0"/>
              <w:jc w:val="center"/>
              <w:rPr>
                <w:rFonts w:eastAsia="Arial"/>
              </w:rPr>
            </w:pPr>
            <w:r w:rsidRPr="003424AE">
              <w:rPr>
                <w:rFonts w:eastAsia="Arial"/>
              </w:rPr>
              <w:t>168%</w:t>
            </w:r>
          </w:p>
        </w:tc>
      </w:tr>
    </w:tbl>
    <w:p w14:paraId="3FC15CD6" w14:textId="2DEB2F97" w:rsidR="00A15A1D" w:rsidRDefault="00486D67" w:rsidP="00E62E02">
      <w:pPr>
        <w:rPr>
          <w:rFonts w:eastAsia="Arial"/>
        </w:rPr>
      </w:pPr>
      <w:bookmarkStart w:id="3" w:name="_Hlk131426076"/>
      <w:r w:rsidRPr="003424AE">
        <w:rPr>
          <w:rFonts w:eastAsia="Arial"/>
        </w:rPr>
        <w:t>T.I.M.E.’s continues to have a structural deficit, rising debts, and lack of a viable plan to address its dire fiscal condition, leav</w:t>
      </w:r>
      <w:r w:rsidR="00E60B09">
        <w:rPr>
          <w:rFonts w:eastAsia="Arial"/>
        </w:rPr>
        <w:t>ing</w:t>
      </w:r>
      <w:r w:rsidRPr="003424AE">
        <w:rPr>
          <w:rFonts w:eastAsia="Arial"/>
        </w:rPr>
        <w:t xml:space="preserve"> in doubt T.I.M.E.’s ability to secure additional funding to satisfy its immediate and future financial obligations, inclusive of payroll obligations.</w:t>
      </w:r>
    </w:p>
    <w:p w14:paraId="5D83B6ED" w14:textId="3615D366" w:rsidR="00C919C2" w:rsidRDefault="00C919C2" w:rsidP="00E62E02">
      <w:r w:rsidRPr="009B12CD">
        <w:t>Based on the CDE</w:t>
      </w:r>
      <w:r w:rsidR="001F1C52" w:rsidRPr="009B12CD">
        <w:t xml:space="preserve"> and LACOE</w:t>
      </w:r>
      <w:r w:rsidRPr="009B12CD">
        <w:t xml:space="preserve">’s analysis </w:t>
      </w:r>
      <w:r w:rsidR="00D0045A" w:rsidRPr="009B12CD">
        <w:t>of</w:t>
      </w:r>
      <w:r w:rsidRPr="009B12CD">
        <w:t xml:space="preserve"> T.I.M.E.’s Response, </w:t>
      </w:r>
      <w:r w:rsidR="006F5037" w:rsidRPr="009B12CD">
        <w:t>the CDE finds that</w:t>
      </w:r>
      <w:r w:rsidR="006F5037">
        <w:t xml:space="preserve"> </w:t>
      </w:r>
      <w:r>
        <w:t xml:space="preserve">T.I.M.E. has failed to refute, remedy, or propose to remedy concerns related to T.I.M.E.’s </w:t>
      </w:r>
      <w:r w:rsidR="00030CBF">
        <w:t>financial projections and actual results</w:t>
      </w:r>
      <w:r>
        <w:t>.</w:t>
      </w:r>
    </w:p>
    <w:p w14:paraId="47CBC98E" w14:textId="5FFF3444" w:rsidR="001F704C" w:rsidRDefault="001F704C" w:rsidP="000D0061">
      <w:pPr>
        <w:pStyle w:val="Heading3"/>
      </w:pPr>
      <w:bookmarkStart w:id="4" w:name="_Hlk131595038"/>
      <w:bookmarkEnd w:id="3"/>
      <w:r>
        <w:t>Cash Flow Projection</w:t>
      </w:r>
    </w:p>
    <w:p w14:paraId="2F15552B" w14:textId="355DC333" w:rsidR="00BF2305" w:rsidRDefault="0005661A" w:rsidP="00BF2305">
      <w:r>
        <w:t>As stated in the Notice of Violation, a</w:t>
      </w:r>
      <w:r w:rsidR="00BF2305">
        <w:t xml:space="preserve">s of December 31, 2022, T.I.M.E. has a low ending cash balance of $14,189, representing only 3.6 days of operating cash based on T.I.M.E.’s first interim projections. T.I.M.E.’s November 2022 cash flow projection reflects positive ending cash balances for the remainder of the fiscal year, with a projected June 2023 ending cash balance of $52,352. The projection incorporated cash proceeds from the sales of </w:t>
      </w:r>
      <w:r w:rsidR="007455AE">
        <w:t xml:space="preserve">future state aid </w:t>
      </w:r>
      <w:r w:rsidR="00BF2305">
        <w:t xml:space="preserve">receivables totaling $586,400. The cash projection also includes facility sub-leasing cash receipts totaling $126,667 and </w:t>
      </w:r>
      <w:r w:rsidR="007455AE">
        <w:t>SB</w:t>
      </w:r>
      <w:r w:rsidR="00BF2305">
        <w:t xml:space="preserve"> 740 grant totaling $49,699. However, T.I.M.E.’s projected cash receipts appear to be overstated based on the two executed sub-lease agreements as of December 31, 2022. These two leases can potentially generate a combined monthly income of $6,570, lower by $10,097 compared to T.I.M.E.’s projected monthly cash receipts of $16,667. T.I.M.E.’s 2022–23 adopted budget projected sub-lease revenues totaling $247,500 but has revised that amount to $126,667, which is currently overstated. In addition, the budgeted SB 740 grant of $66,266 and projected cash receipts of $49,699 are also in question since T.I.M.E. has not received an award letter for this grant. Further, T.I.M.E. may incur additional loss of revenues in the current fiscal year should the current attendance decline, which could place an additional burden on T.I.M.E.’s cash requirements. </w:t>
      </w:r>
    </w:p>
    <w:p w14:paraId="5C8506E4" w14:textId="129EEB3A" w:rsidR="001F704C" w:rsidRPr="00830B22" w:rsidRDefault="0005661A" w:rsidP="00BF2305">
      <w:r>
        <w:t xml:space="preserve">T.I.M.E.’s </w:t>
      </w:r>
      <w:r w:rsidR="00BF2305">
        <w:t xml:space="preserve">cash projection </w:t>
      </w:r>
      <w:r w:rsidR="007B6AB6">
        <w:t>is</w:t>
      </w:r>
      <w:r w:rsidR="00BF2305">
        <w:t xml:space="preserve"> overstated</w:t>
      </w:r>
      <w:r>
        <w:t xml:space="preserve">; </w:t>
      </w:r>
      <w:r w:rsidR="00BF2305">
        <w:t xml:space="preserve">T.I.M.E. may not be able to meet its financial </w:t>
      </w:r>
      <w:r w:rsidR="00BF2305" w:rsidRPr="00830B22">
        <w:t>obligations for the remainder of this fiscal year.</w:t>
      </w:r>
    </w:p>
    <w:bookmarkEnd w:id="4"/>
    <w:p w14:paraId="50AA3497" w14:textId="234C96D4" w:rsidR="00BF2305" w:rsidRPr="00830B22" w:rsidRDefault="00BF2305" w:rsidP="000D0061">
      <w:pPr>
        <w:pStyle w:val="Heading4"/>
      </w:pPr>
      <w:r w:rsidRPr="00830B22">
        <w:t>T.I.M.E.’s Response to Cash Flow Projection</w:t>
      </w:r>
    </w:p>
    <w:p w14:paraId="40F40611" w14:textId="77777777" w:rsidR="00275515" w:rsidRPr="00830B22" w:rsidRDefault="00275515" w:rsidP="00275515">
      <w:r w:rsidRPr="00830B22">
        <w:t>T.I.M.E.’s Response does not address any of the specific concerns in the Notice of Violation related to T.I.M.E.’s cash flow projection.</w:t>
      </w:r>
    </w:p>
    <w:p w14:paraId="58240DE7" w14:textId="77777777" w:rsidR="00275515" w:rsidRPr="00830B22" w:rsidRDefault="00275515" w:rsidP="000D0061">
      <w:pPr>
        <w:pStyle w:val="Heading4"/>
      </w:pPr>
      <w:r w:rsidRPr="00830B22">
        <w:t>CDE and LACOE’s Analysis of T.I.M.E.’s Response to Cash Flow Projection</w:t>
      </w:r>
    </w:p>
    <w:p w14:paraId="0F29AF6C" w14:textId="317703BE" w:rsidR="00275515" w:rsidRPr="0058086A" w:rsidRDefault="00275515" w:rsidP="00275515">
      <w:r w:rsidRPr="00830B22">
        <w:t xml:space="preserve">As T.I.M.E.’s Response does not address any of the specific concerns in the Notice of Violation related to T.I.M.E.’s cash flow projection, the CDE and LACOE </w:t>
      </w:r>
      <w:r w:rsidR="00EA2B49" w:rsidRPr="00830B22">
        <w:t>could not</w:t>
      </w:r>
      <w:r w:rsidRPr="00830B22">
        <w:t xml:space="preserve"> provide an analysis</w:t>
      </w:r>
      <w:r w:rsidR="00EA2B49" w:rsidRPr="00830B22">
        <w:t xml:space="preserve"> for this section</w:t>
      </w:r>
      <w:r w:rsidRPr="00830B22">
        <w:t>.</w:t>
      </w:r>
    </w:p>
    <w:p w14:paraId="5249E669" w14:textId="5BE7728D" w:rsidR="000D3BEF" w:rsidRPr="0005661A" w:rsidRDefault="00100D56" w:rsidP="00602386">
      <w:pPr>
        <w:pStyle w:val="Heading2"/>
      </w:pPr>
      <w:r w:rsidRPr="0005661A">
        <w:rPr>
          <w:rStyle w:val="Heading2Char"/>
          <w:b/>
        </w:rPr>
        <w:lastRenderedPageBreak/>
        <w:t>Additional</w:t>
      </w:r>
      <w:r w:rsidR="000D3BEF" w:rsidRPr="0005661A">
        <w:t xml:space="preserve"> Concern</w:t>
      </w:r>
      <w:r w:rsidR="0005661A">
        <w:t xml:space="preserve"> Identified in the Notice of Violation</w:t>
      </w:r>
    </w:p>
    <w:p w14:paraId="4C7D24C3" w14:textId="2013FC74" w:rsidR="00C57F1E" w:rsidRPr="00BF129C" w:rsidRDefault="00C57F1E" w:rsidP="000D0061">
      <w:pPr>
        <w:pStyle w:val="Heading3"/>
      </w:pPr>
      <w:r>
        <w:t xml:space="preserve">Personal Loan to the School Executed Prior to </w:t>
      </w:r>
      <w:r w:rsidR="003C06A8">
        <w:t>T.I.M.E. Board</w:t>
      </w:r>
      <w:r>
        <w:t xml:space="preserve"> Approval</w:t>
      </w:r>
    </w:p>
    <w:p w14:paraId="44603FCA" w14:textId="60925DB0" w:rsidR="00BB33AC" w:rsidRDefault="00BB33AC" w:rsidP="0005661A">
      <w:pPr>
        <w:rPr>
          <w:lang w:eastAsia="ja-JP"/>
        </w:rPr>
      </w:pPr>
      <w:r>
        <w:rPr>
          <w:lang w:eastAsia="ja-JP"/>
        </w:rPr>
        <w:t>T.I.M.E.</w:t>
      </w:r>
      <w:r w:rsidRPr="006E4AE2">
        <w:rPr>
          <w:lang w:eastAsia="ja-JP"/>
        </w:rPr>
        <w:t xml:space="preserve">’s </w:t>
      </w:r>
      <w:r>
        <w:rPr>
          <w:lang w:eastAsia="ja-JP"/>
        </w:rPr>
        <w:t>B</w:t>
      </w:r>
      <w:r w:rsidRPr="006E4AE2">
        <w:rPr>
          <w:lang w:eastAsia="ja-JP"/>
        </w:rPr>
        <w:t>oard</w:t>
      </w:r>
      <w:r>
        <w:rPr>
          <w:lang w:eastAsia="ja-JP"/>
        </w:rPr>
        <w:t>-</w:t>
      </w:r>
      <w:r w:rsidRPr="006E4AE2">
        <w:rPr>
          <w:lang w:eastAsia="ja-JP"/>
        </w:rPr>
        <w:t xml:space="preserve">approved fiscal policies included in the charter petition state that the governing board will approve all loans from third parties. On January 31, 2023, LACOE received a promissory note for a loan to </w:t>
      </w:r>
      <w:r>
        <w:rPr>
          <w:lang w:eastAsia="ja-JP"/>
        </w:rPr>
        <w:t>T.I.M.E., which was</w:t>
      </w:r>
      <w:r w:rsidRPr="006E4AE2">
        <w:rPr>
          <w:lang w:eastAsia="ja-JP"/>
        </w:rPr>
        <w:t xml:space="preserve"> executed on January 12, 2023. LACOE staff contacted </w:t>
      </w:r>
      <w:r>
        <w:rPr>
          <w:lang w:eastAsia="ja-JP"/>
        </w:rPr>
        <w:t xml:space="preserve">T.I.M.E. </w:t>
      </w:r>
      <w:r w:rsidRPr="006E4AE2">
        <w:rPr>
          <w:lang w:eastAsia="ja-JP"/>
        </w:rPr>
        <w:t>to determine i</w:t>
      </w:r>
      <w:r>
        <w:rPr>
          <w:lang w:eastAsia="ja-JP"/>
        </w:rPr>
        <w:t>f T.I.M.E.’s</w:t>
      </w:r>
      <w:r w:rsidRPr="006E4AE2">
        <w:rPr>
          <w:lang w:eastAsia="ja-JP"/>
        </w:rPr>
        <w:t xml:space="preserve"> </w:t>
      </w:r>
      <w:r>
        <w:rPr>
          <w:lang w:eastAsia="ja-JP"/>
        </w:rPr>
        <w:t>Board</w:t>
      </w:r>
      <w:r w:rsidRPr="006E4AE2">
        <w:rPr>
          <w:lang w:eastAsia="ja-JP"/>
        </w:rPr>
        <w:t xml:space="preserve"> had approved the promissory note on or before January 12, 2023. </w:t>
      </w:r>
      <w:r>
        <w:rPr>
          <w:lang w:eastAsia="ja-JP"/>
        </w:rPr>
        <w:t>T.I.M.E.’s</w:t>
      </w:r>
      <w:r w:rsidRPr="006E4AE2">
        <w:rPr>
          <w:lang w:eastAsia="ja-JP"/>
        </w:rPr>
        <w:t xml:space="preserve"> executive director stated that </w:t>
      </w:r>
      <w:r>
        <w:rPr>
          <w:lang w:eastAsia="ja-JP"/>
        </w:rPr>
        <w:t>T.I.M.E.</w:t>
      </w:r>
      <w:r w:rsidRPr="006E4AE2">
        <w:rPr>
          <w:lang w:eastAsia="ja-JP"/>
        </w:rPr>
        <w:t>’s</w:t>
      </w:r>
      <w:r>
        <w:rPr>
          <w:lang w:eastAsia="ja-JP"/>
        </w:rPr>
        <w:t xml:space="preserve"> Board</w:t>
      </w:r>
      <w:r w:rsidRPr="006E4AE2">
        <w:rPr>
          <w:lang w:eastAsia="ja-JP"/>
        </w:rPr>
        <w:t xml:space="preserve"> approved the promissory note on January 31, 2023.</w:t>
      </w:r>
      <w:r>
        <w:rPr>
          <w:lang w:eastAsia="ja-JP"/>
        </w:rPr>
        <w:t xml:space="preserve"> The</w:t>
      </w:r>
      <w:r w:rsidRPr="006E4AE2">
        <w:rPr>
          <w:lang w:eastAsia="ja-JP"/>
        </w:rPr>
        <w:t xml:space="preserve"> </w:t>
      </w:r>
      <w:r w:rsidR="003C06A8">
        <w:rPr>
          <w:lang w:eastAsia="ja-JP"/>
        </w:rPr>
        <w:t>T.I.M.E. Board</w:t>
      </w:r>
      <w:r w:rsidRPr="006E4AE2">
        <w:rPr>
          <w:lang w:eastAsia="ja-JP"/>
        </w:rPr>
        <w:t xml:space="preserve">’s approval of the promissory note after it was executed is a direct violation of </w:t>
      </w:r>
      <w:r>
        <w:rPr>
          <w:lang w:eastAsia="ja-JP"/>
        </w:rPr>
        <w:t>T.I.M.E.</w:t>
      </w:r>
      <w:r w:rsidRPr="006E4AE2">
        <w:rPr>
          <w:lang w:eastAsia="ja-JP"/>
        </w:rPr>
        <w:t xml:space="preserve">’s adopted fiscal policies. The matter poses concerns regarding the internal controls and </w:t>
      </w:r>
      <w:r>
        <w:rPr>
          <w:lang w:eastAsia="ja-JP"/>
        </w:rPr>
        <w:t>T.I.M.E.</w:t>
      </w:r>
      <w:r w:rsidRPr="006E4AE2">
        <w:rPr>
          <w:lang w:eastAsia="ja-JP"/>
        </w:rPr>
        <w:t xml:space="preserve">’s adherence to the checks and balances delineated in its fiscal policies. This is also a direct violation of the MOU between </w:t>
      </w:r>
      <w:r>
        <w:rPr>
          <w:lang w:eastAsia="ja-JP"/>
        </w:rPr>
        <w:t>T.I.M.E.</w:t>
      </w:r>
      <w:r w:rsidRPr="006E4AE2">
        <w:rPr>
          <w:lang w:eastAsia="ja-JP"/>
        </w:rPr>
        <w:t xml:space="preserve"> and LACOE, which requires notification prior to the school incurring additional debt.</w:t>
      </w:r>
    </w:p>
    <w:p w14:paraId="676BD36B" w14:textId="572DC0B6" w:rsidR="000D3BEF" w:rsidRDefault="00BB33AC" w:rsidP="0005661A">
      <w:pPr>
        <w:pStyle w:val="NoSpacing"/>
        <w:spacing w:after="240"/>
        <w:rPr>
          <w:lang w:eastAsia="ja-JP"/>
        </w:rPr>
      </w:pPr>
      <w:r w:rsidRPr="006E4AE2">
        <w:rPr>
          <w:lang w:eastAsia="ja-JP"/>
        </w:rPr>
        <w:t xml:space="preserve">As of January 31, 2023, </w:t>
      </w:r>
      <w:r>
        <w:rPr>
          <w:lang w:eastAsia="ja-JP"/>
        </w:rPr>
        <w:t>T.I.M.E.</w:t>
      </w:r>
      <w:r w:rsidRPr="006E4AE2">
        <w:rPr>
          <w:lang w:eastAsia="ja-JP"/>
        </w:rPr>
        <w:t xml:space="preserve"> has outstanding promissory notes due to its executive director totaling $228,548, comprised of $219,444 in principal and $9,104 in accrued interests. In addition, there are also two other outstanding promissory notes totaling $120,000 due to two other individuals ($60,000 each). </w:t>
      </w:r>
      <w:r>
        <w:rPr>
          <w:lang w:eastAsia="ja-JP"/>
        </w:rPr>
        <w:t>T.I.M.E.</w:t>
      </w:r>
      <w:r w:rsidRPr="006E4AE2">
        <w:rPr>
          <w:lang w:eastAsia="ja-JP"/>
        </w:rPr>
        <w:t xml:space="preserve"> has not provided a plan to repay its outstanding debts.</w:t>
      </w:r>
    </w:p>
    <w:p w14:paraId="42D42530" w14:textId="6A210459" w:rsidR="00BB33AC" w:rsidRPr="00BF129C" w:rsidRDefault="00BB33AC" w:rsidP="000D0061">
      <w:pPr>
        <w:pStyle w:val="Heading4"/>
      </w:pPr>
      <w:r>
        <w:t xml:space="preserve">T.I.M.E.’s Response </w:t>
      </w:r>
      <w:r w:rsidRPr="00021D2B">
        <w:t>to</w:t>
      </w:r>
      <w:r>
        <w:t xml:space="preserve"> Personal Loan to the School Executed Prior to </w:t>
      </w:r>
      <w:r w:rsidR="003C06A8">
        <w:t>T.I.M.E. Board</w:t>
      </w:r>
      <w:r>
        <w:t xml:space="preserve"> Approval</w:t>
      </w:r>
    </w:p>
    <w:p w14:paraId="1146E3C8" w14:textId="15049449" w:rsidR="00BB33AC" w:rsidRDefault="007E67D9" w:rsidP="0005661A">
      <w:pPr>
        <w:pStyle w:val="NoSpacing"/>
        <w:spacing w:after="240"/>
      </w:pPr>
      <w:r>
        <w:t>In its r</w:t>
      </w:r>
      <w:r w:rsidR="00976839">
        <w:t xml:space="preserve">esponse, T.I.M.E. </w:t>
      </w:r>
      <w:r>
        <w:t xml:space="preserve">states that it </w:t>
      </w:r>
      <w:r w:rsidR="00EA6DF8">
        <w:t xml:space="preserve">did not violate its fiscal policies. T.I.M.E. </w:t>
      </w:r>
      <w:r w:rsidR="00976839">
        <w:t xml:space="preserve">states that </w:t>
      </w:r>
      <w:r w:rsidR="00EA6DF8">
        <w:t xml:space="preserve">loan documents </w:t>
      </w:r>
      <w:r w:rsidR="00976839">
        <w:t xml:space="preserve">were being prepared </w:t>
      </w:r>
      <w:r w:rsidR="00EA6DF8">
        <w:t xml:space="preserve">with a third party and </w:t>
      </w:r>
      <w:r w:rsidR="008972C6">
        <w:t xml:space="preserve">that </w:t>
      </w:r>
      <w:r w:rsidR="00EA6DF8">
        <w:t xml:space="preserve">T.I.M.E. informed the third party that the loans must be approved by the T.I.M.E.’s </w:t>
      </w:r>
      <w:r w:rsidR="008972C6">
        <w:t>B</w:t>
      </w:r>
      <w:r w:rsidR="00EA6DF8">
        <w:t xml:space="preserve">oard. </w:t>
      </w:r>
      <w:r w:rsidR="00976839">
        <w:t>T.I.M.E. further states that t</w:t>
      </w:r>
      <w:r w:rsidR="00EA6DF8">
        <w:t>he third party took it upon themselves to deposit the funds early</w:t>
      </w:r>
      <w:r w:rsidR="00976839">
        <w:t xml:space="preserve"> and that</w:t>
      </w:r>
      <w:r w:rsidR="00EA6DF8">
        <w:t xml:space="preserve"> T.I.M.E. did not request the deposit. Once the deposit occurred, T.I.M.E. scheduled a board meeting as soon as possible in order to correct the mistake.</w:t>
      </w:r>
      <w:r w:rsidR="00CF5041">
        <w:t xml:space="preserve"> T.I.M.E. takes responsibility for this error but</w:t>
      </w:r>
      <w:r w:rsidR="00976839">
        <w:t xml:space="preserve"> states that </w:t>
      </w:r>
      <w:r w:rsidR="00270F35">
        <w:t>it was unintentional</w:t>
      </w:r>
      <w:r w:rsidR="00CF5041">
        <w:t>.</w:t>
      </w:r>
    </w:p>
    <w:p w14:paraId="7D1B47DB" w14:textId="18E93B63" w:rsidR="00BB33AC" w:rsidRPr="00BF129C" w:rsidRDefault="00BB33AC" w:rsidP="000D0061">
      <w:pPr>
        <w:pStyle w:val="Heading4"/>
      </w:pPr>
      <w:r>
        <w:t>CDE</w:t>
      </w:r>
      <w:r w:rsidR="001F1C52">
        <w:t xml:space="preserve"> and LACOE</w:t>
      </w:r>
      <w:r w:rsidR="008972C6">
        <w:t>’s</w:t>
      </w:r>
      <w:r>
        <w:t xml:space="preserve"> Analysis of T.I.M.E.’s Response to Personal Loan to the School Executed Prior to </w:t>
      </w:r>
      <w:r w:rsidR="003C06A8">
        <w:t>T.I.M.E. Board</w:t>
      </w:r>
      <w:r>
        <w:t xml:space="preserve"> Approval</w:t>
      </w:r>
    </w:p>
    <w:p w14:paraId="5D654B17" w14:textId="1FB21C15" w:rsidR="00FC209A" w:rsidRPr="00F93048" w:rsidRDefault="00E52127" w:rsidP="00BB33AC">
      <w:pPr>
        <w:pStyle w:val="NoSpacing"/>
        <w:spacing w:after="240"/>
      </w:pPr>
      <w:r>
        <w:t xml:space="preserve">T.I.M.E.’s Response confirms </w:t>
      </w:r>
      <w:r w:rsidR="001350E9">
        <w:t>a failure of T.I.M.E.’s internal controls</w:t>
      </w:r>
      <w:r w:rsidR="00FE3EE8">
        <w:t xml:space="preserve"> related to the execution of a loan with the approval of T.I.M.E.’s </w:t>
      </w:r>
      <w:r w:rsidR="008972C6">
        <w:t>B</w:t>
      </w:r>
      <w:r w:rsidR="00FE3EE8">
        <w:t>oard</w:t>
      </w:r>
      <w:r w:rsidR="008A52F3">
        <w:t xml:space="preserve">. </w:t>
      </w:r>
      <w:r w:rsidR="00C51765">
        <w:t xml:space="preserve">The Notice of Violation </w:t>
      </w:r>
      <w:r w:rsidR="006A544C">
        <w:t xml:space="preserve">issued by the SBE </w:t>
      </w:r>
      <w:r w:rsidR="00472B32">
        <w:t xml:space="preserve">merely </w:t>
      </w:r>
      <w:r w:rsidR="001271E0">
        <w:t>states</w:t>
      </w:r>
      <w:r w:rsidR="00C51765">
        <w:t xml:space="preserve"> that a violation of T.I.M.E.’s fiscal policies occurred</w:t>
      </w:r>
      <w:r w:rsidR="00850990">
        <w:t xml:space="preserve"> and does not </w:t>
      </w:r>
      <w:r w:rsidR="00407382">
        <w:t xml:space="preserve">address the issue of </w:t>
      </w:r>
      <w:r w:rsidR="00850990">
        <w:t>intent</w:t>
      </w:r>
      <w:r w:rsidR="00FC209A" w:rsidRPr="00FC209A">
        <w:t xml:space="preserve">. LACOE </w:t>
      </w:r>
      <w:r w:rsidR="00C0637C">
        <w:t>has</w:t>
      </w:r>
      <w:r w:rsidR="00FC209A" w:rsidRPr="00FC209A">
        <w:t xml:space="preserve"> not receive</w:t>
      </w:r>
      <w:r w:rsidR="00C0637C">
        <w:t>d</w:t>
      </w:r>
      <w:r w:rsidR="00FC209A" w:rsidRPr="00FC209A">
        <w:t xml:space="preserve"> a corrective plan from T.I.M.E. that indicates a process to ensure this type of transaction will not occur again.</w:t>
      </w:r>
    </w:p>
    <w:p w14:paraId="37235488" w14:textId="6472F687" w:rsidR="009F2646" w:rsidRPr="00830B22" w:rsidRDefault="000D0061" w:rsidP="000D0061">
      <w:pPr>
        <w:pStyle w:val="Heading3"/>
        <w:rPr>
          <w:lang w:eastAsia="ja-JP"/>
        </w:rPr>
      </w:pPr>
      <w:r w:rsidRPr="00830B22">
        <w:rPr>
          <w:lang w:eastAsia="ja-JP"/>
        </w:rPr>
        <w:t>O</w:t>
      </w:r>
      <w:r w:rsidR="009F2646" w:rsidRPr="00830B22">
        <w:rPr>
          <w:lang w:eastAsia="ja-JP"/>
        </w:rPr>
        <w:t>utstanding Debts</w:t>
      </w:r>
    </w:p>
    <w:p w14:paraId="616EC636" w14:textId="48993681" w:rsidR="009F2646" w:rsidRPr="00830B22" w:rsidRDefault="009F2646" w:rsidP="009F2646">
      <w:pPr>
        <w:rPr>
          <w:rFonts w:eastAsia="Arial"/>
          <w:lang w:eastAsia="ja-JP"/>
        </w:rPr>
      </w:pPr>
      <w:r w:rsidRPr="00830B22">
        <w:rPr>
          <w:rFonts w:eastAsia="Arial"/>
          <w:lang w:eastAsia="ja-JP"/>
        </w:rPr>
        <w:t>As stated in the Notice of Violation (Attachment 1, pp. 1–2), according to its 2021–22 independent audit, T.I.M.E. had six promissory notes (personal loans) totaling $281,348 that have lapsed (defaulted) and remain unpaid, along with an outstanding $100,000 loan obtained from the CSRLF Program administered by the CSFA.</w:t>
      </w:r>
    </w:p>
    <w:p w14:paraId="71B6F987" w14:textId="77777777" w:rsidR="009F2646" w:rsidRPr="00830B22" w:rsidRDefault="009F2646" w:rsidP="000D0061">
      <w:pPr>
        <w:pStyle w:val="Heading4"/>
      </w:pPr>
      <w:r w:rsidRPr="00830B22">
        <w:lastRenderedPageBreak/>
        <w:t xml:space="preserve">T.I.M.E.’s Response </w:t>
      </w:r>
    </w:p>
    <w:p w14:paraId="138FB02C" w14:textId="5E50D80F" w:rsidR="009F2646" w:rsidRDefault="009F2646" w:rsidP="009F2646">
      <w:r w:rsidRPr="00830B22">
        <w:t>In its response to the Notice of Violation, T.I.M.E. provided the following table:</w:t>
      </w:r>
    </w:p>
    <w:p w14:paraId="05C915E5" w14:textId="43849210" w:rsidR="00B55C7E" w:rsidRPr="00830B22" w:rsidRDefault="00B55C7E" w:rsidP="00B55C7E">
      <w:pPr>
        <w:pStyle w:val="TableHeading"/>
      </w:pPr>
      <w:r>
        <w:t>T.I.M.E.’s Current, Forgiven, and Outstanding Debts</w:t>
      </w:r>
      <w:r w:rsidR="00292919">
        <w:t xml:space="preserve"> (provided by T.I.M.E.)</w:t>
      </w:r>
    </w:p>
    <w:tbl>
      <w:tblPr>
        <w:tblStyle w:val="TableGrid"/>
        <w:tblW w:w="9355" w:type="dxa"/>
        <w:tblInd w:w="0" w:type="dxa"/>
        <w:tblLook w:val="04A0" w:firstRow="1" w:lastRow="0" w:firstColumn="1" w:lastColumn="0" w:noHBand="0" w:noVBand="1"/>
        <w:tblDescription w:val="Table provided by T.I.M.E. of their Current, Forgiven, and Outstanding Debts"/>
      </w:tblPr>
      <w:tblGrid>
        <w:gridCol w:w="2338"/>
        <w:gridCol w:w="2339"/>
        <w:gridCol w:w="2339"/>
        <w:gridCol w:w="2339"/>
      </w:tblGrid>
      <w:tr w:rsidR="009F2646" w:rsidRPr="00830B22" w14:paraId="0D7DCF2A" w14:textId="77777777" w:rsidTr="00ED344A">
        <w:trPr>
          <w:cantSplit/>
          <w:tblHeader/>
        </w:trPr>
        <w:tc>
          <w:tcPr>
            <w:tcW w:w="2338" w:type="dxa"/>
            <w:shd w:val="clear" w:color="auto" w:fill="D0CECE" w:themeFill="background2" w:themeFillShade="E6"/>
            <w:vAlign w:val="center"/>
          </w:tcPr>
          <w:p w14:paraId="0A6652D7" w14:textId="77777777" w:rsidR="009F2646" w:rsidRPr="00830B22" w:rsidRDefault="009F2646" w:rsidP="009F2646">
            <w:pPr>
              <w:spacing w:before="0" w:after="0"/>
              <w:jc w:val="center"/>
              <w:rPr>
                <w:rFonts w:eastAsia="Arial"/>
                <w:b/>
              </w:rPr>
            </w:pPr>
            <w:r w:rsidRPr="00830B22">
              <w:rPr>
                <w:rFonts w:eastAsia="Arial"/>
                <w:b/>
              </w:rPr>
              <w:t>Lenders</w:t>
            </w:r>
          </w:p>
        </w:tc>
        <w:tc>
          <w:tcPr>
            <w:tcW w:w="2339" w:type="dxa"/>
            <w:shd w:val="clear" w:color="auto" w:fill="D0CECE" w:themeFill="background2" w:themeFillShade="E6"/>
            <w:vAlign w:val="center"/>
          </w:tcPr>
          <w:p w14:paraId="1284C731" w14:textId="77777777" w:rsidR="009F2646" w:rsidRPr="00830B22" w:rsidRDefault="009F2646" w:rsidP="009F2646">
            <w:pPr>
              <w:spacing w:before="0" w:after="0"/>
              <w:jc w:val="center"/>
              <w:rPr>
                <w:rFonts w:eastAsia="Arial"/>
                <w:b/>
              </w:rPr>
            </w:pPr>
            <w:r w:rsidRPr="00830B22">
              <w:rPr>
                <w:rFonts w:eastAsia="Arial"/>
                <w:b/>
              </w:rPr>
              <w:t>Current Debt Amounts</w:t>
            </w:r>
          </w:p>
        </w:tc>
        <w:tc>
          <w:tcPr>
            <w:tcW w:w="2339" w:type="dxa"/>
            <w:shd w:val="clear" w:color="auto" w:fill="D0CECE" w:themeFill="background2" w:themeFillShade="E6"/>
            <w:vAlign w:val="center"/>
          </w:tcPr>
          <w:p w14:paraId="0ADA686A" w14:textId="77777777" w:rsidR="009F2646" w:rsidRPr="00830B22" w:rsidRDefault="009F2646" w:rsidP="009F2646">
            <w:pPr>
              <w:spacing w:before="0" w:after="0"/>
              <w:jc w:val="center"/>
              <w:rPr>
                <w:rFonts w:eastAsia="Arial"/>
                <w:b/>
              </w:rPr>
            </w:pPr>
            <w:r w:rsidRPr="00830B22">
              <w:rPr>
                <w:rFonts w:eastAsia="Arial"/>
                <w:b/>
              </w:rPr>
              <w:t>Debt Forgiven</w:t>
            </w:r>
          </w:p>
        </w:tc>
        <w:tc>
          <w:tcPr>
            <w:tcW w:w="2339" w:type="dxa"/>
            <w:shd w:val="clear" w:color="auto" w:fill="D0CECE" w:themeFill="background2" w:themeFillShade="E6"/>
            <w:vAlign w:val="center"/>
          </w:tcPr>
          <w:p w14:paraId="77E4542A" w14:textId="77777777" w:rsidR="009F2646" w:rsidRPr="00830B22" w:rsidRDefault="009F2646" w:rsidP="009F2646">
            <w:pPr>
              <w:spacing w:before="0" w:after="0"/>
              <w:jc w:val="center"/>
              <w:rPr>
                <w:rFonts w:eastAsia="Arial"/>
                <w:b/>
              </w:rPr>
            </w:pPr>
            <w:r w:rsidRPr="00830B22">
              <w:rPr>
                <w:rFonts w:eastAsia="Arial"/>
                <w:b/>
              </w:rPr>
              <w:t>Outstanding Debt</w:t>
            </w:r>
          </w:p>
        </w:tc>
      </w:tr>
      <w:tr w:rsidR="009F2646" w:rsidRPr="00830B22" w14:paraId="1C6B78FE" w14:textId="77777777" w:rsidTr="00ED344A">
        <w:trPr>
          <w:cantSplit/>
        </w:trPr>
        <w:tc>
          <w:tcPr>
            <w:tcW w:w="2338" w:type="dxa"/>
            <w:shd w:val="clear" w:color="auto" w:fill="auto"/>
            <w:vAlign w:val="center"/>
          </w:tcPr>
          <w:p w14:paraId="2E813422" w14:textId="77777777" w:rsidR="009F2646" w:rsidRPr="00830B22" w:rsidRDefault="009F2646" w:rsidP="009F2646">
            <w:pPr>
              <w:spacing w:before="0" w:after="0"/>
              <w:rPr>
                <w:rFonts w:eastAsia="Arial"/>
                <w:b/>
              </w:rPr>
            </w:pPr>
            <w:r w:rsidRPr="00830B22">
              <w:rPr>
                <w:rFonts w:eastAsia="Arial"/>
                <w:b/>
              </w:rPr>
              <w:t>California School Revolving Loan</w:t>
            </w:r>
          </w:p>
        </w:tc>
        <w:tc>
          <w:tcPr>
            <w:tcW w:w="2339" w:type="dxa"/>
            <w:shd w:val="clear" w:color="auto" w:fill="auto"/>
            <w:vAlign w:val="center"/>
          </w:tcPr>
          <w:p w14:paraId="2DB9C6D5" w14:textId="77777777" w:rsidR="009F2646" w:rsidRPr="00830B22" w:rsidRDefault="009F2646" w:rsidP="009F2646">
            <w:pPr>
              <w:spacing w:before="0" w:after="0"/>
              <w:jc w:val="center"/>
              <w:rPr>
                <w:rFonts w:eastAsia="Arial"/>
              </w:rPr>
            </w:pPr>
            <w:r w:rsidRPr="00830B22">
              <w:rPr>
                <w:rFonts w:eastAsia="Arial"/>
              </w:rPr>
              <w:t>$80,002</w:t>
            </w:r>
          </w:p>
        </w:tc>
        <w:tc>
          <w:tcPr>
            <w:tcW w:w="2339" w:type="dxa"/>
            <w:shd w:val="clear" w:color="auto" w:fill="auto"/>
            <w:vAlign w:val="center"/>
          </w:tcPr>
          <w:p w14:paraId="4B0DA1FC" w14:textId="14EFEEF2" w:rsidR="009F2646" w:rsidRPr="00830B22" w:rsidRDefault="00FC660E" w:rsidP="009F2646">
            <w:pPr>
              <w:spacing w:before="0" w:after="0"/>
              <w:jc w:val="center"/>
              <w:rPr>
                <w:rFonts w:eastAsia="Arial"/>
              </w:rPr>
            </w:pPr>
            <w:r>
              <w:rPr>
                <w:rFonts w:eastAsia="Arial"/>
              </w:rPr>
              <w:t xml:space="preserve">No data </w:t>
            </w:r>
          </w:p>
        </w:tc>
        <w:tc>
          <w:tcPr>
            <w:tcW w:w="2339" w:type="dxa"/>
            <w:shd w:val="clear" w:color="auto" w:fill="auto"/>
            <w:vAlign w:val="center"/>
          </w:tcPr>
          <w:p w14:paraId="650C1AC2" w14:textId="77777777" w:rsidR="009F2646" w:rsidRPr="00830B22" w:rsidRDefault="009F2646" w:rsidP="009F2646">
            <w:pPr>
              <w:spacing w:before="0" w:after="0"/>
              <w:jc w:val="center"/>
              <w:rPr>
                <w:rFonts w:eastAsia="Arial"/>
              </w:rPr>
            </w:pPr>
            <w:r w:rsidRPr="00830B22">
              <w:rPr>
                <w:rFonts w:eastAsia="Arial"/>
              </w:rPr>
              <w:t>$80,002</w:t>
            </w:r>
          </w:p>
        </w:tc>
      </w:tr>
      <w:tr w:rsidR="009F2646" w:rsidRPr="00830B22" w14:paraId="6048CCAF" w14:textId="77777777" w:rsidTr="00ED344A">
        <w:trPr>
          <w:cantSplit/>
        </w:trPr>
        <w:tc>
          <w:tcPr>
            <w:tcW w:w="2338" w:type="dxa"/>
            <w:shd w:val="clear" w:color="auto" w:fill="auto"/>
            <w:vAlign w:val="center"/>
          </w:tcPr>
          <w:p w14:paraId="620D6D0E" w14:textId="77777777" w:rsidR="009F2646" w:rsidRPr="00830B22" w:rsidRDefault="009F2646" w:rsidP="009F2646">
            <w:pPr>
              <w:spacing w:before="0" w:after="0"/>
              <w:rPr>
                <w:rFonts w:eastAsia="Arial"/>
                <w:b/>
              </w:rPr>
            </w:pPr>
            <w:r w:rsidRPr="00830B22">
              <w:rPr>
                <w:rFonts w:eastAsia="Arial"/>
                <w:b/>
              </w:rPr>
              <w:t>Unsecured Promissory Note</w:t>
            </w:r>
          </w:p>
        </w:tc>
        <w:tc>
          <w:tcPr>
            <w:tcW w:w="2339" w:type="dxa"/>
            <w:shd w:val="clear" w:color="auto" w:fill="auto"/>
            <w:vAlign w:val="center"/>
          </w:tcPr>
          <w:p w14:paraId="381DA88C" w14:textId="77777777" w:rsidR="009F2646" w:rsidRPr="00830B22" w:rsidRDefault="009F2646" w:rsidP="009F2646">
            <w:pPr>
              <w:spacing w:before="0" w:after="0"/>
              <w:jc w:val="center"/>
              <w:rPr>
                <w:rFonts w:eastAsia="Arial"/>
              </w:rPr>
            </w:pPr>
            <w:r w:rsidRPr="00830B22">
              <w:rPr>
                <w:rFonts w:eastAsia="Arial"/>
              </w:rPr>
              <w:t>$325,644</w:t>
            </w:r>
          </w:p>
        </w:tc>
        <w:tc>
          <w:tcPr>
            <w:tcW w:w="2339" w:type="dxa"/>
            <w:shd w:val="clear" w:color="auto" w:fill="auto"/>
            <w:vAlign w:val="center"/>
          </w:tcPr>
          <w:p w14:paraId="64D7E35D" w14:textId="77777777" w:rsidR="009F2646" w:rsidRPr="00830B22" w:rsidRDefault="009F2646" w:rsidP="009F2646">
            <w:pPr>
              <w:spacing w:before="0" w:after="0"/>
              <w:jc w:val="center"/>
              <w:rPr>
                <w:rFonts w:eastAsia="Arial"/>
              </w:rPr>
            </w:pPr>
            <w:r w:rsidRPr="00830B22">
              <w:rPr>
                <w:rFonts w:eastAsia="Arial"/>
              </w:rPr>
              <w:t>($217,444)</w:t>
            </w:r>
          </w:p>
        </w:tc>
        <w:tc>
          <w:tcPr>
            <w:tcW w:w="2339" w:type="dxa"/>
            <w:shd w:val="clear" w:color="auto" w:fill="auto"/>
            <w:vAlign w:val="center"/>
          </w:tcPr>
          <w:p w14:paraId="493A6530" w14:textId="77777777" w:rsidR="009F2646" w:rsidRPr="00830B22" w:rsidRDefault="009F2646" w:rsidP="009F2646">
            <w:pPr>
              <w:spacing w:before="0" w:after="0"/>
              <w:jc w:val="center"/>
              <w:rPr>
                <w:rFonts w:eastAsia="Arial"/>
              </w:rPr>
            </w:pPr>
            <w:r w:rsidRPr="00830B22">
              <w:rPr>
                <w:rFonts w:eastAsia="Arial"/>
              </w:rPr>
              <w:t>$108,200</w:t>
            </w:r>
          </w:p>
        </w:tc>
      </w:tr>
      <w:tr w:rsidR="009F2646" w:rsidRPr="00830B22" w14:paraId="59B3A33F" w14:textId="77777777" w:rsidTr="00ED344A">
        <w:trPr>
          <w:cantSplit/>
        </w:trPr>
        <w:tc>
          <w:tcPr>
            <w:tcW w:w="2338" w:type="dxa"/>
            <w:shd w:val="clear" w:color="auto" w:fill="auto"/>
            <w:vAlign w:val="center"/>
          </w:tcPr>
          <w:p w14:paraId="63E14524" w14:textId="77777777" w:rsidR="009F2646" w:rsidRPr="00830B22" w:rsidRDefault="009F2646" w:rsidP="009F2646">
            <w:pPr>
              <w:spacing w:before="0" w:after="0"/>
              <w:rPr>
                <w:rFonts w:eastAsia="Arial"/>
                <w:b/>
              </w:rPr>
            </w:pPr>
            <w:r w:rsidRPr="00830B22">
              <w:rPr>
                <w:rFonts w:eastAsia="Arial"/>
                <w:b/>
              </w:rPr>
              <w:t>Total</w:t>
            </w:r>
          </w:p>
        </w:tc>
        <w:tc>
          <w:tcPr>
            <w:tcW w:w="2339" w:type="dxa"/>
            <w:shd w:val="clear" w:color="auto" w:fill="auto"/>
            <w:vAlign w:val="center"/>
          </w:tcPr>
          <w:p w14:paraId="542661AD" w14:textId="77777777" w:rsidR="009F2646" w:rsidRPr="00830B22" w:rsidRDefault="009F2646" w:rsidP="009F2646">
            <w:pPr>
              <w:spacing w:before="0" w:after="0"/>
              <w:jc w:val="center"/>
              <w:rPr>
                <w:rFonts w:eastAsia="Arial"/>
              </w:rPr>
            </w:pPr>
            <w:r w:rsidRPr="00830B22">
              <w:rPr>
                <w:rFonts w:eastAsia="Arial"/>
              </w:rPr>
              <w:t>$405,646</w:t>
            </w:r>
          </w:p>
        </w:tc>
        <w:tc>
          <w:tcPr>
            <w:tcW w:w="2339" w:type="dxa"/>
            <w:shd w:val="clear" w:color="auto" w:fill="auto"/>
            <w:vAlign w:val="center"/>
          </w:tcPr>
          <w:p w14:paraId="5F7DFD64" w14:textId="77777777" w:rsidR="009F2646" w:rsidRPr="00830B22" w:rsidRDefault="009F2646" w:rsidP="009F2646">
            <w:pPr>
              <w:spacing w:before="0" w:after="0"/>
              <w:jc w:val="center"/>
              <w:rPr>
                <w:rFonts w:eastAsia="Arial"/>
              </w:rPr>
            </w:pPr>
            <w:r w:rsidRPr="00830B22">
              <w:rPr>
                <w:rFonts w:eastAsia="Arial"/>
              </w:rPr>
              <w:t>($217,444)</w:t>
            </w:r>
          </w:p>
        </w:tc>
        <w:tc>
          <w:tcPr>
            <w:tcW w:w="2339" w:type="dxa"/>
            <w:shd w:val="clear" w:color="auto" w:fill="auto"/>
            <w:vAlign w:val="center"/>
          </w:tcPr>
          <w:p w14:paraId="7F6ED378" w14:textId="77777777" w:rsidR="009F2646" w:rsidRPr="00830B22" w:rsidRDefault="009F2646" w:rsidP="009F2646">
            <w:pPr>
              <w:spacing w:before="0" w:after="0"/>
              <w:jc w:val="center"/>
              <w:rPr>
                <w:rFonts w:eastAsia="Arial"/>
              </w:rPr>
            </w:pPr>
            <w:r w:rsidRPr="00830B22">
              <w:rPr>
                <w:rFonts w:eastAsia="Arial"/>
              </w:rPr>
              <w:t>$188,202</w:t>
            </w:r>
          </w:p>
        </w:tc>
      </w:tr>
    </w:tbl>
    <w:p w14:paraId="6AED5642" w14:textId="77777777" w:rsidR="009F2646" w:rsidRPr="00830B22" w:rsidRDefault="009F2646" w:rsidP="009F2646">
      <w:r w:rsidRPr="00830B22">
        <w:t>In T.I.M.E.’s Response, the school states that it submits monthly financial reports to LACOE that include enrollment numbers based on actual student attendance. T.I.M.E. states that the school is not in default on any loans and that its audit for the 2021–22 fiscal year had no findings. T.I.M.E. also states that one of its lenders has agreed to loan forgiveness totaling over $218,000 and that its other lenders are willing to extend repayment to ensure financial stability. T.I.M.E. further states that CSRLF Program loan payments are deducted from T.I.M.E.’s monthly apportionments from state aid, and that the 2021–22 audit recognizes T.I.M.E.’s plan to reduce the deficit.</w:t>
      </w:r>
    </w:p>
    <w:p w14:paraId="2E1314B1" w14:textId="77777777" w:rsidR="009F2646" w:rsidRPr="00830B22" w:rsidRDefault="009F2646" w:rsidP="000D0061">
      <w:pPr>
        <w:pStyle w:val="Heading4"/>
      </w:pPr>
      <w:r w:rsidRPr="00830B22">
        <w:t>CDE and LACOE’s Analysis of T.I.M.E.’s Response</w:t>
      </w:r>
    </w:p>
    <w:p w14:paraId="2D0DA7BD" w14:textId="77777777" w:rsidR="009F2646" w:rsidRDefault="009F2646" w:rsidP="009F2646">
      <w:r w:rsidRPr="00830B22">
        <w:t>Per T.I.M.E.’s 2021–22 independent audit, during the fiscal year ending June 30, 2022, the school received proceeds totaling $281,348 in personal loans from individuals. From January to April 2022, T.I.M.E.’s Executive Director, Dr. Gabriel Ramirez, was the school’s largest lender, providing a total of $221,348 in funds to the school. T.I.M.E.’s 2021–22 audit states that “no revised repayment terms have been agreed upon for the three of five borrowings for which the repayment due date has lapsed and remain due as of June 30, 2022” (Attachment 4, p. 14). The two remaining loans, which were due July 31, 2022, and August 31, 2022, respectively, also fell into default. In addition, a loan made by Adrian Enriquez, which was to be repaid on August 15, 2022, similarly fell into default. These loans remained in default until T.I.M.E.’s February 16, 2023, board meeting, when the T.I.M.E. Board voted to amend the terms on loans to both individuals (Attachment 5).</w:t>
      </w:r>
    </w:p>
    <w:p w14:paraId="5A4405BF" w14:textId="019CCFE1" w:rsidR="008473B0" w:rsidRPr="008D4BCC" w:rsidRDefault="008473B0" w:rsidP="00602386">
      <w:pPr>
        <w:pStyle w:val="Heading2"/>
        <w:rPr>
          <w:rFonts w:eastAsia="Calibri"/>
        </w:rPr>
      </w:pPr>
      <w:r w:rsidRPr="008D4BCC">
        <w:rPr>
          <w:rFonts w:eastAsia="Calibri"/>
        </w:rPr>
        <w:t>Conclusion</w:t>
      </w:r>
    </w:p>
    <w:p w14:paraId="57D22946" w14:textId="2A6390EC" w:rsidR="00B54E78" w:rsidRDefault="00C7538D" w:rsidP="00E5519D">
      <w:pPr>
        <w:rPr>
          <w:rFonts w:cs="Arial"/>
        </w:rPr>
      </w:pPr>
      <w:r>
        <w:rPr>
          <w:rFonts w:cs="Arial"/>
        </w:rPr>
        <w:t>As outlined in the Notice of Violation that was issued to T.I.M.E. by the SBE on March 9, 2023, t</w:t>
      </w:r>
      <w:r w:rsidR="00E31404">
        <w:rPr>
          <w:rFonts w:cs="Arial"/>
        </w:rPr>
        <w:t xml:space="preserve">here is substantial evidence </w:t>
      </w:r>
      <w:r w:rsidR="00FB3E2D">
        <w:rPr>
          <w:rFonts w:cs="Arial"/>
        </w:rPr>
        <w:t xml:space="preserve">that </w:t>
      </w:r>
      <w:r w:rsidR="0016474F">
        <w:rPr>
          <w:rFonts w:cs="Arial"/>
        </w:rPr>
        <w:t xml:space="preserve">shows that the </w:t>
      </w:r>
      <w:r w:rsidR="003C06A8">
        <w:rPr>
          <w:rFonts w:cs="Arial"/>
        </w:rPr>
        <w:t>T.I.M.E. Board</w:t>
      </w:r>
      <w:r w:rsidR="00FB3E2D" w:rsidRPr="009A707B">
        <w:rPr>
          <w:rFonts w:cs="Arial"/>
        </w:rPr>
        <w:t xml:space="preserve"> has failed to follow generally accepted accounting principles</w:t>
      </w:r>
      <w:r w:rsidR="0016474F">
        <w:rPr>
          <w:rFonts w:cs="Arial"/>
        </w:rPr>
        <w:t xml:space="preserve"> and has engaged in fiscal mismanagement.</w:t>
      </w:r>
    </w:p>
    <w:p w14:paraId="79FF012B" w14:textId="10547B1F" w:rsidR="00C7538D" w:rsidRDefault="005C5948" w:rsidP="00E5519D">
      <w:pPr>
        <w:rPr>
          <w:rFonts w:cs="Arial"/>
        </w:rPr>
      </w:pPr>
      <w:r w:rsidRPr="008D4BCC">
        <w:rPr>
          <w:rFonts w:cs="Arial"/>
        </w:rPr>
        <w:t xml:space="preserve">The </w:t>
      </w:r>
      <w:r w:rsidR="00857DDC" w:rsidRPr="008D4BCC">
        <w:rPr>
          <w:rFonts w:cs="Arial"/>
        </w:rPr>
        <w:t xml:space="preserve">CDE has determined that </w:t>
      </w:r>
      <w:r w:rsidR="00FB3E2D" w:rsidRPr="009A707B">
        <w:rPr>
          <w:rFonts w:cs="Arial"/>
        </w:rPr>
        <w:t>T.I.M.E.</w:t>
      </w:r>
      <w:r w:rsidR="00FB3E2D">
        <w:rPr>
          <w:rFonts w:cs="Arial"/>
        </w:rPr>
        <w:t xml:space="preserve"> </w:t>
      </w:r>
      <w:r w:rsidR="00857DDC" w:rsidRPr="008D4BCC">
        <w:rPr>
          <w:rFonts w:cs="Arial"/>
        </w:rPr>
        <w:t xml:space="preserve">has not </w:t>
      </w:r>
      <w:r w:rsidR="00B561AA" w:rsidRPr="008D4BCC">
        <w:rPr>
          <w:rFonts w:cs="Arial"/>
        </w:rPr>
        <w:t xml:space="preserve">adequately </w:t>
      </w:r>
      <w:r w:rsidR="00857DDC" w:rsidRPr="008D4BCC">
        <w:rPr>
          <w:rFonts w:cs="Arial"/>
        </w:rPr>
        <w:t xml:space="preserve">refuted, remedied, or proposed a plan to remedy the violations identified in the </w:t>
      </w:r>
      <w:r w:rsidRPr="008D4BCC">
        <w:rPr>
          <w:rFonts w:cs="Arial"/>
        </w:rPr>
        <w:t>Notice of Viola</w:t>
      </w:r>
      <w:r w:rsidRPr="00A14E39">
        <w:rPr>
          <w:rFonts w:cs="Arial"/>
        </w:rPr>
        <w:t>tion</w:t>
      </w:r>
      <w:r w:rsidR="00857DDC" w:rsidRPr="00A14E39">
        <w:rPr>
          <w:rFonts w:cs="Arial"/>
        </w:rPr>
        <w:t>.</w:t>
      </w:r>
      <w:r w:rsidR="00876699" w:rsidRPr="00A14E39">
        <w:rPr>
          <w:rFonts w:cs="Arial"/>
        </w:rPr>
        <w:t xml:space="preserve"> </w:t>
      </w:r>
      <w:r w:rsidR="00E0398F" w:rsidRPr="00A14E39">
        <w:rPr>
          <w:rFonts w:cs="Arial"/>
        </w:rPr>
        <w:t xml:space="preserve">While </w:t>
      </w:r>
      <w:r w:rsidR="001B1158" w:rsidRPr="00A14E39">
        <w:rPr>
          <w:rFonts w:cs="Arial"/>
        </w:rPr>
        <w:t>T.I.M.E.</w:t>
      </w:r>
      <w:r w:rsidR="00E0398F" w:rsidRPr="00A14E39">
        <w:rPr>
          <w:rFonts w:cs="Arial"/>
        </w:rPr>
        <w:t xml:space="preserve"> provided a</w:t>
      </w:r>
      <w:r w:rsidR="001B1158" w:rsidRPr="00A14E39">
        <w:rPr>
          <w:rFonts w:cs="Arial"/>
        </w:rPr>
        <w:t xml:space="preserve"> Fiscal Stability Plan</w:t>
      </w:r>
      <w:r w:rsidR="00E0398F" w:rsidRPr="00A14E39">
        <w:rPr>
          <w:rFonts w:cs="Arial"/>
        </w:rPr>
        <w:t xml:space="preserve"> (Attachment 2, p. 5) along with its response to the Notice of Violation that provides</w:t>
      </w:r>
      <w:r w:rsidR="001B1158" w:rsidRPr="00A14E39">
        <w:rPr>
          <w:rFonts w:cs="Arial"/>
        </w:rPr>
        <w:t xml:space="preserve"> enrollment forecasts</w:t>
      </w:r>
      <w:r w:rsidR="00E0398F" w:rsidRPr="00A14E39">
        <w:rPr>
          <w:rFonts w:cs="Arial"/>
        </w:rPr>
        <w:t>,</w:t>
      </w:r>
      <w:r w:rsidR="001B1158" w:rsidRPr="00A14E39">
        <w:rPr>
          <w:rFonts w:cs="Arial"/>
        </w:rPr>
        <w:t xml:space="preserve"> </w:t>
      </w:r>
      <w:r w:rsidR="00E0398F" w:rsidRPr="00A14E39">
        <w:rPr>
          <w:rFonts w:cs="Arial"/>
        </w:rPr>
        <w:t>and</w:t>
      </w:r>
      <w:r w:rsidR="001B1158" w:rsidRPr="00A14E39">
        <w:rPr>
          <w:rFonts w:cs="Arial"/>
        </w:rPr>
        <w:t xml:space="preserve"> revenue and expenditure </w:t>
      </w:r>
      <w:r w:rsidR="001B1158" w:rsidRPr="00A14E39">
        <w:rPr>
          <w:rFonts w:cs="Arial"/>
        </w:rPr>
        <w:lastRenderedPageBreak/>
        <w:t>projections</w:t>
      </w:r>
      <w:r w:rsidR="00E0398F" w:rsidRPr="00A14E39">
        <w:rPr>
          <w:rFonts w:cs="Arial"/>
        </w:rPr>
        <w:t xml:space="preserve">, </w:t>
      </w:r>
      <w:r w:rsidR="001B1158" w:rsidRPr="00A14E39">
        <w:rPr>
          <w:rFonts w:cs="Arial"/>
        </w:rPr>
        <w:t xml:space="preserve">the plan does not contain detailed assumptions or supporting documentation for those projections. </w:t>
      </w:r>
      <w:r w:rsidR="00E0398F" w:rsidRPr="00A14E39">
        <w:rPr>
          <w:rFonts w:cs="Arial"/>
        </w:rPr>
        <w:t>Rather, t</w:t>
      </w:r>
      <w:r w:rsidR="001B1158" w:rsidRPr="00A14E39">
        <w:rPr>
          <w:rFonts w:cs="Arial"/>
        </w:rPr>
        <w:t>he plan includes general statements about fundraising and efforts to minimize expenditures,</w:t>
      </w:r>
      <w:r w:rsidR="00E0398F" w:rsidRPr="00A14E39">
        <w:rPr>
          <w:rFonts w:cs="Arial"/>
        </w:rPr>
        <w:t xml:space="preserve"> which</w:t>
      </w:r>
      <w:r w:rsidR="001B1158" w:rsidRPr="00A14E39">
        <w:rPr>
          <w:rFonts w:cs="Arial"/>
        </w:rPr>
        <w:t xml:space="preserve"> lack the specificity necessary for analysis. </w:t>
      </w:r>
      <w:r w:rsidR="00924E00" w:rsidRPr="00A14E39">
        <w:rPr>
          <w:rFonts w:cs="Arial"/>
        </w:rPr>
        <w:t>Accordingly</w:t>
      </w:r>
      <w:r w:rsidR="007C4B28" w:rsidRPr="00A14E39">
        <w:rPr>
          <w:rFonts w:cs="Arial"/>
        </w:rPr>
        <w:t>, the CDE finds T.I.M.E.’s Fiscal Stability Plan an inadequate proposal for remedying the violations listed in the Notice of Violation</w:t>
      </w:r>
      <w:r w:rsidR="00E0398F" w:rsidRPr="00A14E39">
        <w:rPr>
          <w:rFonts w:cs="Arial"/>
        </w:rPr>
        <w:t>.</w:t>
      </w:r>
    </w:p>
    <w:p w14:paraId="6985C263" w14:textId="250BC32C" w:rsidR="00857DDC" w:rsidRDefault="00857DDC" w:rsidP="00E5519D">
      <w:pPr>
        <w:rPr>
          <w:rFonts w:cs="Arial"/>
        </w:rPr>
      </w:pPr>
      <w:r w:rsidRPr="008D4BCC">
        <w:rPr>
          <w:rFonts w:cs="Arial"/>
        </w:rPr>
        <w:t xml:space="preserve">Therefore, the CDE </w:t>
      </w:r>
      <w:r w:rsidR="005C5948" w:rsidRPr="008D4BCC">
        <w:rPr>
          <w:rFonts w:cs="Arial"/>
        </w:rPr>
        <w:t>proposes</w:t>
      </w:r>
      <w:r w:rsidRPr="008D4BCC">
        <w:rPr>
          <w:rFonts w:cs="Arial"/>
        </w:rPr>
        <w:t xml:space="preserve"> to recommend that the SBE </w:t>
      </w:r>
      <w:r w:rsidR="005C5948" w:rsidRPr="008D4BCC">
        <w:rPr>
          <w:rFonts w:cs="Arial"/>
        </w:rPr>
        <w:t xml:space="preserve">issue a Notice of Intent to Revoke with Notice of Facts to </w:t>
      </w:r>
      <w:r w:rsidR="00FB3E2D" w:rsidRPr="009A707B">
        <w:rPr>
          <w:rFonts w:cs="Arial"/>
        </w:rPr>
        <w:t>T.I.M.E.</w:t>
      </w:r>
      <w:r w:rsidR="00FB3E2D">
        <w:rPr>
          <w:rFonts w:cs="Arial"/>
        </w:rPr>
        <w:t xml:space="preserve"> </w:t>
      </w:r>
      <w:r w:rsidRPr="008D4BCC">
        <w:rPr>
          <w:rFonts w:cs="Arial"/>
        </w:rPr>
        <w:t xml:space="preserve">pursuant to </w:t>
      </w:r>
      <w:r w:rsidRPr="008D4BCC">
        <w:rPr>
          <w:rFonts w:cs="Arial"/>
          <w:i/>
        </w:rPr>
        <w:t xml:space="preserve">EC </w:t>
      </w:r>
      <w:r w:rsidRPr="008D4BCC">
        <w:rPr>
          <w:rFonts w:cs="Arial"/>
        </w:rPr>
        <w:t>Section</w:t>
      </w:r>
      <w:r w:rsidR="00047DD4" w:rsidRPr="008D4BCC">
        <w:rPr>
          <w:rFonts w:cs="Arial"/>
        </w:rPr>
        <w:t xml:space="preserve"> 47607(h), </w:t>
      </w:r>
      <w:r w:rsidRPr="008D4BCC">
        <w:rPr>
          <w:rFonts w:cs="Arial"/>
        </w:rPr>
        <w:t xml:space="preserve">at its </w:t>
      </w:r>
      <w:r w:rsidR="00331221">
        <w:rPr>
          <w:rFonts w:cs="Arial"/>
        </w:rPr>
        <w:t>May</w:t>
      </w:r>
      <w:r w:rsidR="00331221" w:rsidRPr="008D4BCC">
        <w:rPr>
          <w:rFonts w:cs="Arial"/>
        </w:rPr>
        <w:t xml:space="preserve"> </w:t>
      </w:r>
      <w:r w:rsidR="00331221">
        <w:rPr>
          <w:rFonts w:cs="Arial"/>
        </w:rPr>
        <w:t>1</w:t>
      </w:r>
      <w:r w:rsidR="008972C6">
        <w:rPr>
          <w:rFonts w:cs="Arial"/>
        </w:rPr>
        <w:t>8</w:t>
      </w:r>
      <w:r w:rsidR="00331221" w:rsidRPr="008D4BCC">
        <w:rPr>
          <w:rFonts w:cs="Arial"/>
        </w:rPr>
        <w:t>–1</w:t>
      </w:r>
      <w:r w:rsidR="008972C6">
        <w:rPr>
          <w:rFonts w:cs="Arial"/>
        </w:rPr>
        <w:t>9</w:t>
      </w:r>
      <w:r w:rsidR="00331221" w:rsidRPr="008D4BCC">
        <w:rPr>
          <w:rFonts w:cs="Arial"/>
        </w:rPr>
        <w:t>, 202</w:t>
      </w:r>
      <w:r w:rsidR="00331221">
        <w:rPr>
          <w:rFonts w:cs="Arial"/>
        </w:rPr>
        <w:t>3</w:t>
      </w:r>
      <w:r w:rsidR="00331221" w:rsidRPr="008D4BCC">
        <w:rPr>
          <w:rFonts w:cs="Arial"/>
        </w:rPr>
        <w:t>, meeting</w:t>
      </w:r>
      <w:r w:rsidR="002E3B6F" w:rsidRPr="008D4BCC">
        <w:rPr>
          <w:rFonts w:cs="Arial"/>
        </w:rPr>
        <w:t>.</w:t>
      </w:r>
    </w:p>
    <w:p w14:paraId="4B7F5077" w14:textId="77777777" w:rsidR="00E5519D" w:rsidRPr="008D4BCC" w:rsidRDefault="00E5519D" w:rsidP="00602386">
      <w:pPr>
        <w:pStyle w:val="Heading2"/>
      </w:pPr>
      <w:r w:rsidRPr="008D4BCC">
        <w:t>Previous Board Action</w:t>
      </w:r>
    </w:p>
    <w:p w14:paraId="58ABE607" w14:textId="77777777" w:rsidR="009C5F41" w:rsidRDefault="009C5F41" w:rsidP="009C5F41">
      <w:bookmarkStart w:id="5" w:name="_Hlk39038666"/>
      <w:r w:rsidRPr="009D4E23">
        <w:t xml:space="preserve">On August 26, 2019, the petitioner submitted the </w:t>
      </w:r>
      <w:r>
        <w:t>T.I.M.E.</w:t>
      </w:r>
      <w:r w:rsidRPr="009D4E23">
        <w:t xml:space="preserve"> </w:t>
      </w:r>
      <w:r>
        <w:t xml:space="preserve">charter </w:t>
      </w:r>
      <w:r w:rsidRPr="009D4E23">
        <w:t xml:space="preserve">petition to </w:t>
      </w:r>
      <w:r>
        <w:t xml:space="preserve">the </w:t>
      </w:r>
      <w:r w:rsidRPr="009D4E23">
        <w:t>Montebello Unified School District (MUSD). O</w:t>
      </w:r>
      <w:bookmarkStart w:id="6" w:name="_Hlk37326099"/>
      <w:r w:rsidRPr="009D4E23">
        <w:t xml:space="preserve">n October 23, 2019, MUSD voted to deny the </w:t>
      </w:r>
      <w:r>
        <w:t>T.I.M.E.</w:t>
      </w:r>
      <w:r w:rsidRPr="009D4E23">
        <w:t xml:space="preserve"> </w:t>
      </w:r>
      <w:r>
        <w:t xml:space="preserve">charter </w:t>
      </w:r>
      <w:r w:rsidRPr="009D4E23">
        <w:t>petition by a vote of four to zero.</w:t>
      </w:r>
    </w:p>
    <w:p w14:paraId="55A479B3" w14:textId="67A317C3" w:rsidR="009C5F41" w:rsidRPr="009D4E23" w:rsidRDefault="009C5F41" w:rsidP="009C5F41">
      <w:r w:rsidRPr="009D4E23">
        <w:t xml:space="preserve">On November 12, 2019, the petitioner submitted the </w:t>
      </w:r>
      <w:r>
        <w:t>T.I.M.E.</w:t>
      </w:r>
      <w:r w:rsidRPr="009D4E23">
        <w:t xml:space="preserve"> </w:t>
      </w:r>
      <w:r>
        <w:t xml:space="preserve">charter </w:t>
      </w:r>
      <w:r w:rsidRPr="009D4E23">
        <w:t xml:space="preserve">petition to </w:t>
      </w:r>
      <w:r>
        <w:t>LACOE.</w:t>
      </w:r>
      <w:r w:rsidRPr="009D4E23">
        <w:t xml:space="preserve"> On January 14, 2020, the L</w:t>
      </w:r>
      <w:r>
        <w:t>os Angeles County Board of Education (L</w:t>
      </w:r>
      <w:r w:rsidRPr="009D4E23">
        <w:t>ACBOE</w:t>
      </w:r>
      <w:r>
        <w:t>)</w:t>
      </w:r>
      <w:r w:rsidRPr="009D4E23">
        <w:t xml:space="preserve"> voted to amend the motion to approve the Superintendent’s recommendation to deny the </w:t>
      </w:r>
      <w:r>
        <w:t>T.I.M.E.</w:t>
      </w:r>
      <w:r w:rsidRPr="009D4E23">
        <w:t xml:space="preserve"> </w:t>
      </w:r>
      <w:r>
        <w:t xml:space="preserve">charter </w:t>
      </w:r>
      <w:r w:rsidRPr="009D4E23">
        <w:t>petition. The</w:t>
      </w:r>
      <w:r>
        <w:t xml:space="preserve"> </w:t>
      </w:r>
      <w:r w:rsidRPr="009D4E23">
        <w:t>CDE notes that LACBOE only adopted Finding 2, Indicator 2 (Budget Plan[s] Deficiencies) of the staff report (Attachment 7</w:t>
      </w:r>
      <w:r w:rsidRPr="00E271E0">
        <w:rPr>
          <w:rFonts w:cs="Arial"/>
        </w:rPr>
        <w:t xml:space="preserve"> </w:t>
      </w:r>
      <w:r>
        <w:rPr>
          <w:rFonts w:cs="Arial"/>
        </w:rPr>
        <w:t xml:space="preserve">of the Agenda Item 6 on the June 9, 2020, Meeting Notice on the SBE ACCS web page at </w:t>
      </w:r>
      <w:hyperlink r:id="rId11" w:tooltip="June 2020 ACCS Agenda Item 06 Attachment 7" w:history="1">
        <w:r w:rsidRPr="0050353D">
          <w:rPr>
            <w:rStyle w:val="Hyperlink"/>
          </w:rPr>
          <w:t>https://www.cde.ca.gov/be/cc/cs/doc</w:t>
        </w:r>
        <w:r w:rsidRPr="0050353D">
          <w:rPr>
            <w:rStyle w:val="Hyperlink"/>
          </w:rPr>
          <w:t>u</w:t>
        </w:r>
        <w:r w:rsidRPr="0050353D">
          <w:rPr>
            <w:rStyle w:val="Hyperlink"/>
          </w:rPr>
          <w:t>ments/accs-jun20item06a7.pdf</w:t>
        </w:r>
      </w:hyperlink>
      <w:r w:rsidRPr="009D4E23">
        <w:t xml:space="preserve">). LACBOE denied the </w:t>
      </w:r>
      <w:r>
        <w:t>T.I.M.E.</w:t>
      </w:r>
      <w:r w:rsidRPr="009D4E23">
        <w:t xml:space="preserve"> </w:t>
      </w:r>
      <w:r>
        <w:t xml:space="preserve">charter </w:t>
      </w:r>
      <w:r w:rsidRPr="009D4E23">
        <w:t>petition by a vote of five to one.</w:t>
      </w:r>
    </w:p>
    <w:p w14:paraId="21DDBC18" w14:textId="31D08419" w:rsidR="009C5F41" w:rsidRPr="009F60BF" w:rsidRDefault="009C5F41" w:rsidP="009C5F41">
      <w:r w:rsidRPr="009F60BF">
        <w:t xml:space="preserve">The petitioner submitted the </w:t>
      </w:r>
      <w:r>
        <w:t>T.I.M.E.</w:t>
      </w:r>
      <w:r w:rsidRPr="009F60BF">
        <w:t xml:space="preserve"> </w:t>
      </w:r>
      <w:r>
        <w:t xml:space="preserve">charter </w:t>
      </w:r>
      <w:r w:rsidRPr="009F60BF">
        <w:t>petition to the SBE on March 6, 2020.</w:t>
      </w:r>
      <w:bookmarkEnd w:id="5"/>
      <w:bookmarkEnd w:id="6"/>
      <w:r w:rsidRPr="009F60BF">
        <w:t xml:space="preserve"> The </w:t>
      </w:r>
      <w:r>
        <w:t>Advisory Commission on Charter Schools (ACCS)</w:t>
      </w:r>
      <w:r w:rsidRPr="009F60BF">
        <w:t xml:space="preserve"> considered the </w:t>
      </w:r>
      <w:r>
        <w:t>T.I.M.E.</w:t>
      </w:r>
      <w:r w:rsidRPr="009F60BF">
        <w:t xml:space="preserve"> </w:t>
      </w:r>
      <w:r>
        <w:t xml:space="preserve">charter </w:t>
      </w:r>
      <w:r w:rsidRPr="009F60BF">
        <w:t xml:space="preserve">petition at its June 9, 2020, meeting. At this meeting, the CDE proposed to recommend that the SBE deny the </w:t>
      </w:r>
      <w:r>
        <w:t>T.I.M.E. charter</w:t>
      </w:r>
      <w:r w:rsidRPr="009F60BF">
        <w:t xml:space="preserve"> petition. The ACCS did not agree with the CDE’s recommendation and moved to recommend approval of the </w:t>
      </w:r>
      <w:r>
        <w:t>T.I.M.E. charter</w:t>
      </w:r>
      <w:r w:rsidRPr="009F60BF">
        <w:t xml:space="preserve"> petition with a delay in opening for one year, with the understanding that </w:t>
      </w:r>
      <w:r>
        <w:t>T.I.M.E.</w:t>
      </w:r>
      <w:r w:rsidRPr="009F60BF">
        <w:t xml:space="preserve"> would be in operation for four years. The motion passed by a vote of seven to two. </w:t>
      </w:r>
      <w:r w:rsidRPr="009F60BF">
        <w:rPr>
          <w:rFonts w:eastAsia="Calibri" w:cs="Arial"/>
        </w:rPr>
        <w:t xml:space="preserve">The notice for the June 9, 2020, ACCS meeting is located on the SBE ACCS web page at </w:t>
      </w:r>
      <w:hyperlink r:id="rId12" w:tooltip="June 2020 ACCS Meeting Agenda " w:history="1">
        <w:r w:rsidRPr="009F60BF">
          <w:rPr>
            <w:rStyle w:val="Hyperlink"/>
          </w:rPr>
          <w:t>https://www.cde.ca.gov/be/cc/</w:t>
        </w:r>
        <w:r w:rsidRPr="009F60BF">
          <w:rPr>
            <w:rStyle w:val="Hyperlink"/>
          </w:rPr>
          <w:t>c</w:t>
        </w:r>
        <w:r w:rsidRPr="009F60BF">
          <w:rPr>
            <w:rStyle w:val="Hyperlink"/>
          </w:rPr>
          <w:t>s/accsnotice060920.asp</w:t>
        </w:r>
      </w:hyperlink>
      <w:r w:rsidRPr="009F60BF">
        <w:t>.</w:t>
      </w:r>
    </w:p>
    <w:p w14:paraId="5285A60E" w14:textId="537C2B4C" w:rsidR="009C5F41" w:rsidRDefault="009C5F41" w:rsidP="009C5F41">
      <w:pPr>
        <w:rPr>
          <w:rFonts w:cs="Arial"/>
        </w:rPr>
      </w:pPr>
      <w:r w:rsidRPr="009F60BF">
        <w:rPr>
          <w:rFonts w:cs="Arial"/>
        </w:rPr>
        <w:t xml:space="preserve">At </w:t>
      </w:r>
      <w:r>
        <w:rPr>
          <w:rFonts w:cs="Arial"/>
        </w:rPr>
        <w:t>the</w:t>
      </w:r>
      <w:r w:rsidRPr="009F60BF">
        <w:rPr>
          <w:rFonts w:cs="Arial"/>
        </w:rPr>
        <w:t xml:space="preserve"> July 9, 2020, </w:t>
      </w:r>
      <w:r>
        <w:rPr>
          <w:rFonts w:cs="Arial"/>
        </w:rPr>
        <w:t xml:space="preserve">SBE </w:t>
      </w:r>
      <w:r w:rsidRPr="009F60BF">
        <w:rPr>
          <w:rFonts w:cs="Arial"/>
        </w:rPr>
        <w:t xml:space="preserve">meeting, the CDE again recommended that the SBE deny the </w:t>
      </w:r>
      <w:r>
        <w:rPr>
          <w:rFonts w:cs="Arial"/>
        </w:rPr>
        <w:t>T.I.M.E.</w:t>
      </w:r>
      <w:r w:rsidRPr="009F60BF">
        <w:rPr>
          <w:rFonts w:cs="Arial"/>
        </w:rPr>
        <w:t xml:space="preserve"> </w:t>
      </w:r>
      <w:r>
        <w:rPr>
          <w:rFonts w:cs="Arial"/>
        </w:rPr>
        <w:t xml:space="preserve">charter </w:t>
      </w:r>
      <w:r w:rsidRPr="009F60BF">
        <w:rPr>
          <w:rFonts w:cs="Arial"/>
        </w:rPr>
        <w:t xml:space="preserve">petition. However, the SBE moved to approve the </w:t>
      </w:r>
      <w:r>
        <w:rPr>
          <w:rFonts w:cs="Arial"/>
        </w:rPr>
        <w:t>T.I.M.E.</w:t>
      </w:r>
      <w:r w:rsidRPr="009F60BF">
        <w:rPr>
          <w:rFonts w:cs="Arial"/>
        </w:rPr>
        <w:t xml:space="preserve"> </w:t>
      </w:r>
      <w:r>
        <w:rPr>
          <w:rFonts w:cs="Arial"/>
        </w:rPr>
        <w:t xml:space="preserve">charter </w:t>
      </w:r>
      <w:r w:rsidRPr="009F60BF">
        <w:rPr>
          <w:rFonts w:cs="Arial"/>
        </w:rPr>
        <w:t xml:space="preserve">petition with conditions. The motion passed by a vote of 10 to 0. The meeting agenda and corresponding minutes for this item (Item 19) can be found on the SBE Meeting for July 2020 web page at </w:t>
      </w:r>
      <w:hyperlink r:id="rId13" w:tooltip="July 2020 SBE Meeting Agenda" w:history="1">
        <w:r w:rsidRPr="009F60BF">
          <w:rPr>
            <w:rStyle w:val="Hyperlink"/>
          </w:rPr>
          <w:t>https://ww</w:t>
        </w:r>
        <w:r w:rsidRPr="009F60BF">
          <w:rPr>
            <w:rStyle w:val="Hyperlink"/>
          </w:rPr>
          <w:t>w</w:t>
        </w:r>
        <w:r w:rsidRPr="009F60BF">
          <w:rPr>
            <w:rStyle w:val="Hyperlink"/>
          </w:rPr>
          <w:t>.cde.ca.gov/be/a</w:t>
        </w:r>
        <w:r w:rsidRPr="009F60BF">
          <w:rPr>
            <w:rStyle w:val="Hyperlink"/>
          </w:rPr>
          <w:t>g</w:t>
        </w:r>
        <w:r w:rsidRPr="009F60BF">
          <w:rPr>
            <w:rStyle w:val="Hyperlink"/>
          </w:rPr>
          <w:t>/ag/yr20/agenda202007.asp</w:t>
        </w:r>
      </w:hyperlink>
      <w:r w:rsidRPr="009F60BF">
        <w:rPr>
          <w:rFonts w:cs="Arial"/>
        </w:rPr>
        <w:t xml:space="preserve"> and </w:t>
      </w:r>
      <w:hyperlink r:id="rId14" w:tooltip="July 2020 SBE Meeting Minutes" w:history="1">
        <w:r w:rsidRPr="009F60BF">
          <w:rPr>
            <w:rStyle w:val="Hyperlink"/>
            <w:rFonts w:cs="Arial"/>
          </w:rPr>
          <w:t>https://www.cde.ca.gov/be/mt/ms/documents/finalmi</w:t>
        </w:r>
        <w:r w:rsidRPr="009F60BF">
          <w:rPr>
            <w:rStyle w:val="Hyperlink"/>
            <w:rFonts w:cs="Arial"/>
          </w:rPr>
          <w:t>n</w:t>
        </w:r>
        <w:r w:rsidRPr="009F60BF">
          <w:rPr>
            <w:rStyle w:val="Hyperlink"/>
            <w:rFonts w:cs="Arial"/>
          </w:rPr>
          <w:t>utes0809jul2020.docx</w:t>
        </w:r>
      </w:hyperlink>
      <w:r w:rsidRPr="009F60BF">
        <w:rPr>
          <w:rFonts w:cs="Arial"/>
        </w:rPr>
        <w:t>, respectively.</w:t>
      </w:r>
    </w:p>
    <w:p w14:paraId="39351647" w14:textId="133294ED" w:rsidR="00E5519D" w:rsidRDefault="009C5F41" w:rsidP="009C5F41">
      <w:pPr>
        <w:rPr>
          <w:rFonts w:cs="Arial"/>
        </w:rPr>
      </w:pPr>
      <w:r w:rsidRPr="00B93F98">
        <w:rPr>
          <w:rFonts w:cs="Arial"/>
        </w:rPr>
        <w:t xml:space="preserve">At the July 14, 2022, </w:t>
      </w:r>
      <w:r>
        <w:rPr>
          <w:rFonts w:cs="Arial"/>
        </w:rPr>
        <w:t xml:space="preserve">SBE </w:t>
      </w:r>
      <w:r w:rsidRPr="00B93F98">
        <w:rPr>
          <w:rFonts w:cs="Arial"/>
        </w:rPr>
        <w:t xml:space="preserve">meeting, the CDE recommended that the SBE consider issuing a Notice of Violation to T.I.M.E., pursuant to </w:t>
      </w:r>
      <w:r w:rsidRPr="00B93F98">
        <w:rPr>
          <w:rFonts w:cs="Arial"/>
          <w:i/>
        </w:rPr>
        <w:t xml:space="preserve">EC </w:t>
      </w:r>
      <w:r w:rsidRPr="00B93F98">
        <w:rPr>
          <w:rFonts w:cs="Arial"/>
        </w:rPr>
        <w:t xml:space="preserve">Section 47607(g). The SBE moved to approve the CDE recommendation to issue a Notice of Violation to T.I.M.E.; however, the motion failed by a vote of five to four. As six affirmative votes are required for an action to carry, no action was taken by the SBE. The meeting agenda and corresponding minutes for this item (Item 18) can be found on the SBE Meeting for July </w:t>
      </w:r>
      <w:r w:rsidRPr="00B93F98">
        <w:rPr>
          <w:rFonts w:cs="Arial"/>
        </w:rPr>
        <w:lastRenderedPageBreak/>
        <w:t xml:space="preserve">2022 web page at </w:t>
      </w:r>
      <w:hyperlink r:id="rId15" w:tooltip="July 2022 SBE Meeting Agenda" w:history="1">
        <w:r w:rsidRPr="00B93F98">
          <w:rPr>
            <w:rStyle w:val="Hyperlink"/>
            <w:rFonts w:cs="Arial"/>
          </w:rPr>
          <w:t>https://www.cde.ca.gov/be/ag/ag</w:t>
        </w:r>
        <w:r w:rsidRPr="00B93F98">
          <w:rPr>
            <w:rStyle w:val="Hyperlink"/>
            <w:rFonts w:cs="Arial"/>
          </w:rPr>
          <w:t>/</w:t>
        </w:r>
        <w:r w:rsidRPr="00B93F98">
          <w:rPr>
            <w:rStyle w:val="Hyperlink"/>
            <w:rFonts w:cs="Arial"/>
          </w:rPr>
          <w:t>yr22/agenda202207.asp</w:t>
        </w:r>
      </w:hyperlink>
      <w:r w:rsidRPr="00B93F98">
        <w:rPr>
          <w:rFonts w:cs="Arial"/>
        </w:rPr>
        <w:t xml:space="preserve"> and </w:t>
      </w:r>
      <w:hyperlink r:id="rId16" w:tooltip="July 2022 SBE Meeting Minutes" w:history="1">
        <w:r w:rsidRPr="00B93F98">
          <w:rPr>
            <w:rStyle w:val="Hyperlink"/>
            <w:rFonts w:cs="Arial"/>
          </w:rPr>
          <w:t>https://www.cde.ca.gov/be/mt/ms/documents/fina</w:t>
        </w:r>
        <w:r w:rsidRPr="00B93F98">
          <w:rPr>
            <w:rStyle w:val="Hyperlink"/>
            <w:rFonts w:cs="Arial"/>
          </w:rPr>
          <w:t>l</w:t>
        </w:r>
        <w:r w:rsidRPr="00B93F98">
          <w:rPr>
            <w:rStyle w:val="Hyperlink"/>
            <w:rFonts w:cs="Arial"/>
          </w:rPr>
          <w:t>minutes1314jul2022.docx</w:t>
        </w:r>
      </w:hyperlink>
      <w:r w:rsidRPr="00B93F98">
        <w:rPr>
          <w:rFonts w:cs="Arial"/>
        </w:rPr>
        <w:t>, respectively.</w:t>
      </w:r>
    </w:p>
    <w:p w14:paraId="58934ED8" w14:textId="5954CAA6" w:rsidR="00503CE1" w:rsidRPr="008D4BCC" w:rsidRDefault="00503CE1" w:rsidP="009C5F41">
      <w:pPr>
        <w:rPr>
          <w:rFonts w:cs="Arial"/>
        </w:rPr>
      </w:pPr>
      <w:r>
        <w:rPr>
          <w:rFonts w:cs="Arial"/>
        </w:rPr>
        <w:t>At the March 9, 2023, SBE meeting, the CDE again recommended that the SBE</w:t>
      </w:r>
      <w:r w:rsidR="005D060F" w:rsidRPr="005D060F">
        <w:rPr>
          <w:rFonts w:cs="Arial"/>
        </w:rPr>
        <w:t xml:space="preserve"> </w:t>
      </w:r>
      <w:r w:rsidR="005D060F" w:rsidRPr="00B93F98">
        <w:rPr>
          <w:rFonts w:cs="Arial"/>
        </w:rPr>
        <w:t xml:space="preserve">consider issuing a Notice of Violation to T.I.M.E., pursuant to </w:t>
      </w:r>
      <w:r w:rsidR="005D060F" w:rsidRPr="00B93F98">
        <w:rPr>
          <w:rFonts w:cs="Arial"/>
          <w:i/>
        </w:rPr>
        <w:t xml:space="preserve">EC </w:t>
      </w:r>
      <w:r w:rsidR="005D060F" w:rsidRPr="00B93F98">
        <w:rPr>
          <w:rFonts w:cs="Arial"/>
        </w:rPr>
        <w:t>Section 47607(g).</w:t>
      </w:r>
      <w:r w:rsidR="005D060F">
        <w:rPr>
          <w:rFonts w:cs="Arial"/>
        </w:rPr>
        <w:t xml:space="preserve"> </w:t>
      </w:r>
      <w:r w:rsidR="007C292E" w:rsidRPr="007C292E">
        <w:rPr>
          <w:rFonts w:cs="Arial"/>
        </w:rPr>
        <w:t xml:space="preserve">The SBE moved to approve the CDE recommendation to issue a Notice of Violation to T.I.M.E. The motion passed unanimously. The meeting agenda for this item (Item 10) can be found on the SBE Meeting for March 2023 web page at </w:t>
      </w:r>
      <w:hyperlink r:id="rId17" w:tooltip="March 2023 SBE Meeting Agenda" w:history="1">
        <w:r w:rsidR="007C292E" w:rsidRPr="00130068">
          <w:rPr>
            <w:rStyle w:val="Hyperlink"/>
            <w:rFonts w:cs="Arial"/>
          </w:rPr>
          <w:t>https://www.cde.ca.gov/be/ag/ag/yr23/agenda202</w:t>
        </w:r>
        <w:r w:rsidR="007C292E" w:rsidRPr="00130068">
          <w:rPr>
            <w:rStyle w:val="Hyperlink"/>
            <w:rFonts w:cs="Arial"/>
          </w:rPr>
          <w:t>3</w:t>
        </w:r>
        <w:r w:rsidR="007C292E" w:rsidRPr="00130068">
          <w:rPr>
            <w:rStyle w:val="Hyperlink"/>
            <w:rFonts w:cs="Arial"/>
          </w:rPr>
          <w:t>03.asp</w:t>
        </w:r>
      </w:hyperlink>
      <w:r w:rsidR="007C292E">
        <w:rPr>
          <w:rFonts w:cs="Arial"/>
        </w:rPr>
        <w:t xml:space="preserve">. </w:t>
      </w:r>
    </w:p>
    <w:p w14:paraId="3D33836D" w14:textId="4BB9148E" w:rsidR="00290E53" w:rsidRPr="008D4BCC" w:rsidRDefault="004C175E" w:rsidP="00602386">
      <w:pPr>
        <w:pStyle w:val="Heading2"/>
      </w:pPr>
      <w:bookmarkStart w:id="7" w:name="_Hlk91149395"/>
      <w:bookmarkStart w:id="8" w:name="_Hlk90454948"/>
      <w:r>
        <w:t>Documentation</w:t>
      </w:r>
      <w:r w:rsidR="00736EF7" w:rsidRPr="008D4BCC">
        <w:t xml:space="preserve"> </w:t>
      </w:r>
      <w:r w:rsidR="00290E53" w:rsidRPr="008D4BCC">
        <w:t>Reviewed by the California Department of Education</w:t>
      </w:r>
    </w:p>
    <w:p w14:paraId="644F7679" w14:textId="6228E2BE" w:rsidR="00736EF7" w:rsidRDefault="0030649B" w:rsidP="00736EF7">
      <w:pPr>
        <w:pStyle w:val="Default"/>
        <w:numPr>
          <w:ilvl w:val="0"/>
          <w:numId w:val="13"/>
        </w:numPr>
        <w:spacing w:after="240"/>
      </w:pPr>
      <w:r>
        <w:t xml:space="preserve">T.I.M.E. </w:t>
      </w:r>
      <w:r w:rsidR="00021D2B" w:rsidRPr="00812F6E">
        <w:t xml:space="preserve">charter </w:t>
      </w:r>
      <w:r w:rsidR="00021D2B">
        <w:t xml:space="preserve">petition </w:t>
      </w:r>
      <w:r w:rsidR="00021D2B" w:rsidRPr="00812F6E">
        <w:t xml:space="preserve">as </w:t>
      </w:r>
      <w:r w:rsidR="00021D2B">
        <w:t>a</w:t>
      </w:r>
      <w:r w:rsidR="00021D2B" w:rsidRPr="00812F6E">
        <w:t xml:space="preserve">pproved </w:t>
      </w:r>
      <w:r w:rsidRPr="00812F6E">
        <w:t xml:space="preserve">by the </w:t>
      </w:r>
      <w:r w:rsidR="00021D2B">
        <w:t>SBE</w:t>
      </w:r>
      <w:r w:rsidRPr="00812F6E">
        <w:t xml:space="preserve"> on July </w:t>
      </w:r>
      <w:r>
        <w:t>9</w:t>
      </w:r>
      <w:r w:rsidRPr="00812F6E">
        <w:t>, 2020</w:t>
      </w:r>
      <w:r w:rsidR="00006B22" w:rsidRPr="008D4BCC">
        <w:t xml:space="preserve">, which is available on the SBE Meeting for </w:t>
      </w:r>
      <w:r w:rsidR="00006B22">
        <w:t>March</w:t>
      </w:r>
      <w:r w:rsidR="00006B22" w:rsidRPr="008D4BCC">
        <w:t xml:space="preserve"> 202</w:t>
      </w:r>
      <w:r w:rsidR="00006B22">
        <w:t>3</w:t>
      </w:r>
      <w:r w:rsidR="00006B22" w:rsidRPr="008D4BCC">
        <w:t xml:space="preserve"> web page at</w:t>
      </w:r>
      <w:r w:rsidR="00006B22">
        <w:t xml:space="preserve"> </w:t>
      </w:r>
      <w:hyperlink r:id="rId18" w:tooltip="March 2023 State Board of Education Agenda Item 10 Attachment 2" w:history="1">
        <w:r w:rsidR="00437DDD" w:rsidRPr="00836908">
          <w:rPr>
            <w:rStyle w:val="Hyperlink"/>
          </w:rPr>
          <w:t>https://www.cde.ca.gov/be/ag/ag/y</w:t>
        </w:r>
        <w:r w:rsidR="00437DDD" w:rsidRPr="00836908">
          <w:rPr>
            <w:rStyle w:val="Hyperlink"/>
          </w:rPr>
          <w:t>r</w:t>
        </w:r>
        <w:r w:rsidR="00437DDD" w:rsidRPr="00836908">
          <w:rPr>
            <w:rStyle w:val="Hyperlink"/>
          </w:rPr>
          <w:t>23/documents/mar23item10a2.pdf</w:t>
        </w:r>
      </w:hyperlink>
      <w:r w:rsidR="00437DDD">
        <w:t xml:space="preserve"> </w:t>
      </w:r>
    </w:p>
    <w:p w14:paraId="32BB3C5E" w14:textId="352FBCA3" w:rsidR="00AB5064" w:rsidRDefault="00021D2B" w:rsidP="00736EF7">
      <w:pPr>
        <w:pStyle w:val="Default"/>
        <w:numPr>
          <w:ilvl w:val="0"/>
          <w:numId w:val="13"/>
        </w:numPr>
        <w:spacing w:after="240"/>
      </w:pPr>
      <w:r>
        <w:t>MOU</w:t>
      </w:r>
      <w:r w:rsidR="00C80AD1" w:rsidRPr="00812F6E">
        <w:t xml:space="preserve"> between </w:t>
      </w:r>
      <w:bookmarkStart w:id="9" w:name="_Hlk107237538"/>
      <w:r>
        <w:t>LACOE</w:t>
      </w:r>
      <w:r w:rsidR="00C80AD1">
        <w:t xml:space="preserve"> </w:t>
      </w:r>
      <w:bookmarkEnd w:id="9"/>
      <w:r w:rsidR="00C80AD1" w:rsidRPr="00812F6E">
        <w:t xml:space="preserve">and </w:t>
      </w:r>
      <w:r w:rsidR="00C80AD1">
        <w:t>T.I.M.E.</w:t>
      </w:r>
      <w:r w:rsidR="00006B22" w:rsidRPr="008D4BCC">
        <w:t xml:space="preserve">, which is available on the SBE Meeting for </w:t>
      </w:r>
      <w:r w:rsidR="00006B22">
        <w:t>March</w:t>
      </w:r>
      <w:r w:rsidR="00006B22" w:rsidRPr="008D4BCC">
        <w:t xml:space="preserve"> 202</w:t>
      </w:r>
      <w:r w:rsidR="00006B22">
        <w:t>3</w:t>
      </w:r>
      <w:r w:rsidR="00006B22" w:rsidRPr="008D4BCC">
        <w:t xml:space="preserve"> web page at</w:t>
      </w:r>
      <w:r w:rsidR="00006B22">
        <w:t xml:space="preserve"> </w:t>
      </w:r>
      <w:hyperlink r:id="rId19" w:tooltip="March 2023 State Board of Education Agenda Item 10 Attachment 3" w:history="1">
        <w:r w:rsidR="004C78B2" w:rsidRPr="00836908">
          <w:rPr>
            <w:rStyle w:val="Hyperlink"/>
          </w:rPr>
          <w:t>https://www.cde.ca.gov/be/ag/ag/yr23/documents/mar23item10a3.pdf</w:t>
        </w:r>
      </w:hyperlink>
      <w:r w:rsidR="004C78B2">
        <w:t xml:space="preserve"> </w:t>
      </w:r>
    </w:p>
    <w:p w14:paraId="3440B982" w14:textId="0D224EF3" w:rsidR="00C80AD1" w:rsidRDefault="00D22E3C" w:rsidP="00736EF7">
      <w:pPr>
        <w:pStyle w:val="Default"/>
        <w:numPr>
          <w:ilvl w:val="0"/>
          <w:numId w:val="13"/>
        </w:numPr>
        <w:spacing w:after="240"/>
      </w:pPr>
      <w:r>
        <w:t xml:space="preserve">October 6, 2022, </w:t>
      </w:r>
      <w:r w:rsidR="00021D2B">
        <w:t xml:space="preserve">letter of concern </w:t>
      </w:r>
      <w:r>
        <w:t xml:space="preserve">from </w:t>
      </w:r>
      <w:r w:rsidR="00021D2B">
        <w:t>LACOE</w:t>
      </w:r>
      <w:r>
        <w:t xml:space="preserve"> to T.I.M.E. </w:t>
      </w:r>
      <w:r w:rsidR="00021D2B">
        <w:t xml:space="preserve">regarding the school’s adopted budget for fiscal year </w:t>
      </w:r>
      <w:r>
        <w:t>2022–23</w:t>
      </w:r>
      <w:r w:rsidR="00006B22" w:rsidRPr="008D4BCC">
        <w:t xml:space="preserve">, which is available on the SBE Meeting for </w:t>
      </w:r>
      <w:r w:rsidR="00006B22">
        <w:t>March</w:t>
      </w:r>
      <w:r w:rsidR="00006B22" w:rsidRPr="008D4BCC">
        <w:t xml:space="preserve"> 202</w:t>
      </w:r>
      <w:r w:rsidR="00006B22">
        <w:t>3</w:t>
      </w:r>
      <w:r w:rsidR="00006B22" w:rsidRPr="008D4BCC">
        <w:t xml:space="preserve"> web page at</w:t>
      </w:r>
      <w:r w:rsidR="00006B22">
        <w:t xml:space="preserve"> </w:t>
      </w:r>
      <w:hyperlink r:id="rId20" w:tooltip="March 2023 State Board of Education Agenda Item 10 Attachment 4" w:history="1">
        <w:r w:rsidR="008130CA" w:rsidRPr="00836908">
          <w:rPr>
            <w:rStyle w:val="Hyperlink"/>
          </w:rPr>
          <w:t>https://www.cde.ca.gov/be/ag/ag/yr23/documents/mar23item10a4.pdf</w:t>
        </w:r>
      </w:hyperlink>
      <w:r w:rsidR="008130CA">
        <w:t xml:space="preserve"> </w:t>
      </w:r>
    </w:p>
    <w:p w14:paraId="38F4525D" w14:textId="097046C6" w:rsidR="00D22E3C" w:rsidRDefault="00836FC8" w:rsidP="00736EF7">
      <w:pPr>
        <w:pStyle w:val="Default"/>
        <w:numPr>
          <w:ilvl w:val="0"/>
          <w:numId w:val="13"/>
        </w:numPr>
        <w:spacing w:after="240"/>
      </w:pPr>
      <w:r>
        <w:t xml:space="preserve">October 11, 2022, </w:t>
      </w:r>
      <w:r w:rsidR="00021D2B">
        <w:t>letter of concern from LACOE</w:t>
      </w:r>
      <w:r>
        <w:t xml:space="preserve"> to T.I.M.E. </w:t>
      </w:r>
      <w:r w:rsidR="00021D2B">
        <w:t xml:space="preserve">regarding the school’s unaudited actuals for fiscal year </w:t>
      </w:r>
      <w:r>
        <w:t>2021–22</w:t>
      </w:r>
      <w:r w:rsidR="00006B22" w:rsidRPr="008D4BCC">
        <w:t xml:space="preserve">, which is available on the SBE Meeting for </w:t>
      </w:r>
      <w:r w:rsidR="00006B22">
        <w:t>March</w:t>
      </w:r>
      <w:r w:rsidR="00006B22" w:rsidRPr="008D4BCC">
        <w:t xml:space="preserve"> 202</w:t>
      </w:r>
      <w:r w:rsidR="00006B22">
        <w:t>3</w:t>
      </w:r>
      <w:r w:rsidR="00006B22" w:rsidRPr="008D4BCC">
        <w:t xml:space="preserve"> web page at</w:t>
      </w:r>
      <w:r w:rsidR="00006B22">
        <w:t xml:space="preserve"> </w:t>
      </w:r>
      <w:hyperlink r:id="rId21" w:tooltip="March 2023 State Board of Education Agenda Item 10 Attachment 5" w:history="1">
        <w:r w:rsidR="00CF6512" w:rsidRPr="00836908">
          <w:rPr>
            <w:rStyle w:val="Hyperlink"/>
          </w:rPr>
          <w:t>https://www.cde.ca.gov/be/ag/ag/yr23/documents/mar23item10a5.pdf</w:t>
        </w:r>
      </w:hyperlink>
      <w:r w:rsidR="00CF6512">
        <w:t xml:space="preserve"> </w:t>
      </w:r>
    </w:p>
    <w:p w14:paraId="24A7ED38" w14:textId="26555BDC" w:rsidR="00836FC8" w:rsidRDefault="009921C1" w:rsidP="00736EF7">
      <w:pPr>
        <w:pStyle w:val="Default"/>
        <w:numPr>
          <w:ilvl w:val="0"/>
          <w:numId w:val="13"/>
        </w:numPr>
        <w:spacing w:after="240"/>
      </w:pPr>
      <w:r>
        <w:t xml:space="preserve">October 31, 2022, T.I.M.E. </w:t>
      </w:r>
      <w:r w:rsidR="00021D2B">
        <w:t xml:space="preserve">revised budget for fiscal year </w:t>
      </w:r>
      <w:r>
        <w:t>2022–23</w:t>
      </w:r>
      <w:r w:rsidR="00006B22" w:rsidRPr="008D4BCC">
        <w:t xml:space="preserve">, which is available on the SBE Meeting for </w:t>
      </w:r>
      <w:r w:rsidR="00006B22">
        <w:t>March</w:t>
      </w:r>
      <w:r w:rsidR="00006B22" w:rsidRPr="008D4BCC">
        <w:t xml:space="preserve"> 202</w:t>
      </w:r>
      <w:r w:rsidR="00006B22">
        <w:t>3</w:t>
      </w:r>
      <w:r w:rsidR="00006B22" w:rsidRPr="008D4BCC">
        <w:t xml:space="preserve"> web page at</w:t>
      </w:r>
      <w:r w:rsidR="00006B22">
        <w:t xml:space="preserve"> </w:t>
      </w:r>
      <w:hyperlink r:id="rId22" w:tooltip="March 2023 State Board of Education Agenda Item 10 Attachment 6" w:history="1">
        <w:r w:rsidR="00CF6512" w:rsidRPr="00836908">
          <w:rPr>
            <w:rStyle w:val="Hyperlink"/>
          </w:rPr>
          <w:t>https://www.cde.ca.gov/be/ag/ag/yr23/documents/mar23item10a6.pdf</w:t>
        </w:r>
      </w:hyperlink>
      <w:r w:rsidR="00CF6512">
        <w:t xml:space="preserve"> </w:t>
      </w:r>
    </w:p>
    <w:p w14:paraId="4BC30DF0" w14:textId="1195609F" w:rsidR="009921C1" w:rsidRDefault="00034B15" w:rsidP="00736EF7">
      <w:pPr>
        <w:pStyle w:val="Default"/>
        <w:numPr>
          <w:ilvl w:val="0"/>
          <w:numId w:val="13"/>
        </w:numPr>
        <w:spacing w:after="240"/>
      </w:pPr>
      <w:r>
        <w:t xml:space="preserve">January 17, 2023, </w:t>
      </w:r>
      <w:r w:rsidR="00021D2B">
        <w:t>letter of concern from LACOE</w:t>
      </w:r>
      <w:r>
        <w:t xml:space="preserve"> to T.I.M.E. </w:t>
      </w:r>
      <w:r w:rsidR="00021D2B">
        <w:t xml:space="preserve">regarding the school’s first interim report for fiscal year </w:t>
      </w:r>
      <w:r>
        <w:t>2022–23</w:t>
      </w:r>
      <w:r w:rsidR="00006B22" w:rsidRPr="008D4BCC">
        <w:t xml:space="preserve">, which is available on the SBE Meeting for </w:t>
      </w:r>
      <w:r w:rsidR="00006B22">
        <w:t>March</w:t>
      </w:r>
      <w:r w:rsidR="00006B22" w:rsidRPr="008D4BCC">
        <w:t xml:space="preserve"> 202</w:t>
      </w:r>
      <w:r w:rsidR="00006B22">
        <w:t>3</w:t>
      </w:r>
      <w:r w:rsidR="00006B22" w:rsidRPr="008D4BCC">
        <w:t xml:space="preserve"> web page at</w:t>
      </w:r>
      <w:r w:rsidR="00006B22">
        <w:t xml:space="preserve"> </w:t>
      </w:r>
      <w:hyperlink r:id="rId23" w:tooltip="March 2023 State Board of Education Agenda Item 10 Attachment 7" w:history="1">
        <w:r w:rsidR="00EE6858" w:rsidRPr="00836908">
          <w:rPr>
            <w:rStyle w:val="Hyperlink"/>
          </w:rPr>
          <w:t>https://www.cde.ca.gov/be/ag/ag/yr23/documents/mar23item10a7.pdf</w:t>
        </w:r>
      </w:hyperlink>
      <w:r w:rsidR="00EE6858">
        <w:t xml:space="preserve"> </w:t>
      </w:r>
    </w:p>
    <w:p w14:paraId="6F360CC7" w14:textId="1F688DCB" w:rsidR="00034B15" w:rsidRDefault="00CC7C92" w:rsidP="00736EF7">
      <w:pPr>
        <w:pStyle w:val="Default"/>
        <w:numPr>
          <w:ilvl w:val="0"/>
          <w:numId w:val="13"/>
        </w:numPr>
        <w:spacing w:after="240"/>
      </w:pPr>
      <w:r>
        <w:t xml:space="preserve">January 27, 2023, T.I.M.E. </w:t>
      </w:r>
      <w:r w:rsidR="00021D2B">
        <w:t xml:space="preserve">audit letter and audit for year ended </w:t>
      </w:r>
      <w:r>
        <w:t>June 30, 2022</w:t>
      </w:r>
      <w:r w:rsidR="00006B22" w:rsidRPr="008D4BCC">
        <w:t xml:space="preserve">, which is available on the SBE Meeting for </w:t>
      </w:r>
      <w:r w:rsidR="00006B22">
        <w:t>March</w:t>
      </w:r>
      <w:r w:rsidR="00006B22" w:rsidRPr="008D4BCC">
        <w:t xml:space="preserve"> 202</w:t>
      </w:r>
      <w:r w:rsidR="00006B22">
        <w:t>3</w:t>
      </w:r>
      <w:r w:rsidR="00006B22" w:rsidRPr="008D4BCC">
        <w:t xml:space="preserve"> web page at</w:t>
      </w:r>
      <w:r w:rsidR="00006B22">
        <w:t xml:space="preserve"> </w:t>
      </w:r>
      <w:hyperlink r:id="rId24" w:tooltip="March 2023 State Board of Education Agenda Item 10 Attachment 8" w:history="1">
        <w:r w:rsidR="00EE6858" w:rsidRPr="00836908">
          <w:rPr>
            <w:rStyle w:val="Hyperlink"/>
          </w:rPr>
          <w:t>https://www.cde.ca.gov/be/ag/ag/yr23/documents/mar23item10a8.pdf</w:t>
        </w:r>
      </w:hyperlink>
      <w:r w:rsidR="00EE6858">
        <w:t xml:space="preserve"> </w:t>
      </w:r>
    </w:p>
    <w:p w14:paraId="1BCE8989" w14:textId="14CA4F95" w:rsidR="00CC7C92" w:rsidRDefault="006010E9" w:rsidP="00736EF7">
      <w:pPr>
        <w:pStyle w:val="Default"/>
        <w:numPr>
          <w:ilvl w:val="0"/>
          <w:numId w:val="13"/>
        </w:numPr>
        <w:spacing w:after="240"/>
      </w:pPr>
      <w:r>
        <w:t xml:space="preserve">T.I.M.E. </w:t>
      </w:r>
      <w:r w:rsidR="00021D2B">
        <w:t>f</w:t>
      </w:r>
      <w:r>
        <w:t>inancials for October 2022</w:t>
      </w:r>
      <w:r w:rsidR="00006B22" w:rsidRPr="008D4BCC">
        <w:t xml:space="preserve">, which is available on the SBE Meeting for </w:t>
      </w:r>
      <w:r w:rsidR="00006B22">
        <w:t>March</w:t>
      </w:r>
      <w:r w:rsidR="00006B22" w:rsidRPr="008D4BCC">
        <w:t xml:space="preserve"> 202</w:t>
      </w:r>
      <w:r w:rsidR="00006B22">
        <w:t>3</w:t>
      </w:r>
      <w:r w:rsidR="00006B22" w:rsidRPr="008D4BCC">
        <w:t xml:space="preserve"> web page at</w:t>
      </w:r>
      <w:r w:rsidR="00006B22">
        <w:t xml:space="preserve"> </w:t>
      </w:r>
      <w:hyperlink r:id="rId25" w:tooltip="March 2023 State Board of Education Agenda Item 10 Attachment 9" w:history="1">
        <w:r w:rsidR="008619EA" w:rsidRPr="00836908">
          <w:rPr>
            <w:rStyle w:val="Hyperlink"/>
          </w:rPr>
          <w:t>https://www.cde.ca.gov/be/ag/ag/yr23/documents/mar23item10a9.pdf</w:t>
        </w:r>
      </w:hyperlink>
      <w:r w:rsidR="008619EA">
        <w:t xml:space="preserve"> </w:t>
      </w:r>
    </w:p>
    <w:p w14:paraId="061EFF40" w14:textId="3774C818" w:rsidR="006010E9" w:rsidRDefault="00BE4287" w:rsidP="00736EF7">
      <w:pPr>
        <w:pStyle w:val="Default"/>
        <w:numPr>
          <w:ilvl w:val="0"/>
          <w:numId w:val="13"/>
        </w:numPr>
        <w:spacing w:after="240"/>
      </w:pPr>
      <w:r>
        <w:lastRenderedPageBreak/>
        <w:t xml:space="preserve">T.I.M.E. </w:t>
      </w:r>
      <w:r w:rsidR="00021D2B">
        <w:t>fi</w:t>
      </w:r>
      <w:r>
        <w:t>nancials for November 2022</w:t>
      </w:r>
      <w:r w:rsidR="00006B22" w:rsidRPr="008D4BCC">
        <w:t xml:space="preserve">, which is available on the SBE Meeting for </w:t>
      </w:r>
      <w:r w:rsidR="00006B22">
        <w:t>March</w:t>
      </w:r>
      <w:r w:rsidR="00006B22" w:rsidRPr="008D4BCC">
        <w:t xml:space="preserve"> 202</w:t>
      </w:r>
      <w:r w:rsidR="00006B22">
        <w:t>3</w:t>
      </w:r>
      <w:r w:rsidR="00006B22" w:rsidRPr="008D4BCC">
        <w:t xml:space="preserve"> web page at</w:t>
      </w:r>
      <w:r w:rsidR="00006B22">
        <w:t xml:space="preserve"> </w:t>
      </w:r>
      <w:hyperlink r:id="rId26" w:tooltip="March 2023 State Board of Education Agenda Item 10 Attachment 10" w:history="1">
        <w:r w:rsidR="00F122FD" w:rsidRPr="00836908">
          <w:rPr>
            <w:rStyle w:val="Hyperlink"/>
          </w:rPr>
          <w:t>https://www.cde.ca.gov/be/ag/ag/yr23/documents/mar23item10a10.pdf</w:t>
        </w:r>
      </w:hyperlink>
      <w:r w:rsidR="00F122FD">
        <w:t xml:space="preserve"> </w:t>
      </w:r>
    </w:p>
    <w:p w14:paraId="3BEE5403" w14:textId="55CCDD2A" w:rsidR="00BE4287" w:rsidRDefault="008D01AC" w:rsidP="00736EF7">
      <w:pPr>
        <w:pStyle w:val="Default"/>
        <w:numPr>
          <w:ilvl w:val="0"/>
          <w:numId w:val="13"/>
        </w:numPr>
        <w:spacing w:after="240"/>
      </w:pPr>
      <w:r>
        <w:t xml:space="preserve">T.I.M.E. </w:t>
      </w:r>
      <w:r w:rsidR="00021D2B">
        <w:t>f</w:t>
      </w:r>
      <w:r>
        <w:t>inancials for December 2022</w:t>
      </w:r>
      <w:r w:rsidR="00006B22" w:rsidRPr="008D4BCC">
        <w:t xml:space="preserve">, which is available on the SBE Meeting for </w:t>
      </w:r>
      <w:r w:rsidR="00006B22">
        <w:t>March</w:t>
      </w:r>
      <w:r w:rsidR="00006B22" w:rsidRPr="008D4BCC">
        <w:t xml:space="preserve"> 202</w:t>
      </w:r>
      <w:r w:rsidR="00006B22">
        <w:t>3</w:t>
      </w:r>
      <w:r w:rsidR="00006B22" w:rsidRPr="008D4BCC">
        <w:t xml:space="preserve"> web page at</w:t>
      </w:r>
      <w:r w:rsidR="00006B22">
        <w:t xml:space="preserve"> </w:t>
      </w:r>
      <w:hyperlink r:id="rId27" w:tooltip="March 2023 State Board of Education Agenda Item 10 Attachment 11" w:history="1">
        <w:r w:rsidR="008373D0" w:rsidRPr="00836908">
          <w:rPr>
            <w:rStyle w:val="Hyperlink"/>
          </w:rPr>
          <w:t>https://www.cde.ca.gov/be/ag/ag/yr23/documents/mar23item10a11.pdf</w:t>
        </w:r>
      </w:hyperlink>
      <w:r w:rsidR="008373D0">
        <w:t xml:space="preserve"> </w:t>
      </w:r>
    </w:p>
    <w:p w14:paraId="37FE8ABB" w14:textId="03A308BA" w:rsidR="008D01AC" w:rsidRDefault="00AD14CE" w:rsidP="00736EF7">
      <w:pPr>
        <w:pStyle w:val="Default"/>
        <w:numPr>
          <w:ilvl w:val="0"/>
          <w:numId w:val="13"/>
        </w:numPr>
        <w:spacing w:after="240"/>
      </w:pPr>
      <w:r>
        <w:t>T.I.M.E. 2021–22 Second Principal Apportionment and 2022–23 First Principal Apportionment</w:t>
      </w:r>
      <w:r w:rsidR="00006B22" w:rsidRPr="008D4BCC">
        <w:t xml:space="preserve">, which is available on the SBE Meeting for </w:t>
      </w:r>
      <w:r w:rsidR="00006B22">
        <w:t>March</w:t>
      </w:r>
      <w:r w:rsidR="00006B22" w:rsidRPr="008D4BCC">
        <w:t xml:space="preserve"> 202</w:t>
      </w:r>
      <w:r w:rsidR="00006B22">
        <w:t>3</w:t>
      </w:r>
      <w:r w:rsidR="00006B22" w:rsidRPr="008D4BCC">
        <w:t xml:space="preserve"> web page at</w:t>
      </w:r>
      <w:r w:rsidR="00006B22">
        <w:t xml:space="preserve"> </w:t>
      </w:r>
      <w:hyperlink r:id="rId28" w:tooltip="March 2023 State Board of Education Agenda Item 10 Attachment 12" w:history="1">
        <w:r w:rsidR="008373D0" w:rsidRPr="00836908">
          <w:rPr>
            <w:rStyle w:val="Hyperlink"/>
          </w:rPr>
          <w:t>https://www.cde.ca.gov/be/ag/ag/yr23/documents/mar23item10a12.pdf</w:t>
        </w:r>
      </w:hyperlink>
      <w:r w:rsidR="008373D0">
        <w:t xml:space="preserve"> </w:t>
      </w:r>
    </w:p>
    <w:p w14:paraId="2D392E5F" w14:textId="773F0D4A" w:rsidR="00AD14CE" w:rsidRPr="008D4BCC" w:rsidRDefault="00312EC0" w:rsidP="00736EF7">
      <w:pPr>
        <w:pStyle w:val="Default"/>
        <w:numPr>
          <w:ilvl w:val="0"/>
          <w:numId w:val="13"/>
        </w:numPr>
        <w:spacing w:after="240"/>
      </w:pPr>
      <w:r>
        <w:t>Promissory</w:t>
      </w:r>
      <w:r w:rsidR="00021D2B">
        <w:t xml:space="preserve"> n</w:t>
      </w:r>
      <w:r>
        <w:t>otes</w:t>
      </w:r>
      <w:r w:rsidR="00006B22" w:rsidRPr="008D4BCC">
        <w:t xml:space="preserve">, which is available on the SBE Meeting for </w:t>
      </w:r>
      <w:r w:rsidR="00006B22">
        <w:t>March</w:t>
      </w:r>
      <w:r w:rsidR="00006B22" w:rsidRPr="008D4BCC">
        <w:t xml:space="preserve"> 202</w:t>
      </w:r>
      <w:r w:rsidR="00006B22">
        <w:t>3</w:t>
      </w:r>
      <w:r w:rsidR="00006B22" w:rsidRPr="008D4BCC">
        <w:t xml:space="preserve"> web page at</w:t>
      </w:r>
      <w:r w:rsidR="00006B22">
        <w:t xml:space="preserve"> </w:t>
      </w:r>
      <w:hyperlink r:id="rId29" w:tooltip="March 2023 State Board of Education Agenda Item 10 Attachment 13" w:history="1">
        <w:r w:rsidR="005D00BE" w:rsidRPr="00836908">
          <w:rPr>
            <w:rStyle w:val="Hyperlink"/>
          </w:rPr>
          <w:t>https://www.cde.ca.gov/be/ag/ag/yr23/documents/mar23item10a13.pdf</w:t>
        </w:r>
      </w:hyperlink>
      <w:r w:rsidR="005D00BE">
        <w:t xml:space="preserve"> </w:t>
      </w:r>
    </w:p>
    <w:p w14:paraId="44A46707" w14:textId="278BE741" w:rsidR="00E5519D" w:rsidRPr="008D4BCC" w:rsidRDefault="00E5519D" w:rsidP="00602386">
      <w:pPr>
        <w:pStyle w:val="Heading2"/>
      </w:pPr>
      <w:r w:rsidRPr="008D4BCC">
        <w:t>Attachments</w:t>
      </w:r>
    </w:p>
    <w:p w14:paraId="149987C1" w14:textId="77777777" w:rsidR="00EC15D8" w:rsidRDefault="00EC15D8" w:rsidP="00EC15D8">
      <w:pPr>
        <w:pStyle w:val="Default"/>
        <w:numPr>
          <w:ilvl w:val="0"/>
          <w:numId w:val="13"/>
        </w:numPr>
        <w:spacing w:after="240"/>
      </w:pPr>
      <w:bookmarkStart w:id="10" w:name="_Hlk91152495"/>
      <w:bookmarkEnd w:id="7"/>
      <w:bookmarkEnd w:id="8"/>
      <w:r>
        <w:rPr>
          <w:b/>
        </w:rPr>
        <w:t>Attachment 1:</w:t>
      </w:r>
      <w:r>
        <w:t xml:space="preserve"> Notice of Violation Issued to T.I.M.E. Community by the California State Board of Education on March 9, 2023 (</w:t>
      </w:r>
      <w:r w:rsidRPr="00021D2B">
        <w:t>8</w:t>
      </w:r>
      <w:r>
        <w:t xml:space="preserve"> Pages)</w:t>
      </w:r>
    </w:p>
    <w:p w14:paraId="60F9A2CB" w14:textId="3902A723" w:rsidR="00EC15D8" w:rsidRDefault="00EC15D8" w:rsidP="00EC15D8">
      <w:pPr>
        <w:pStyle w:val="Default"/>
        <w:numPr>
          <w:ilvl w:val="0"/>
          <w:numId w:val="13"/>
        </w:numPr>
        <w:spacing w:after="240"/>
      </w:pPr>
      <w:r>
        <w:rPr>
          <w:b/>
        </w:rPr>
        <w:t xml:space="preserve">Attachment 2: </w:t>
      </w:r>
      <w:r>
        <w:t xml:space="preserve">T.I.M.E. Community Response Dated </w:t>
      </w:r>
      <w:r w:rsidRPr="00B43D6E">
        <w:t>March 24, 2023, to the California State Board of Education March 9, 2023, Notice of Violation (</w:t>
      </w:r>
      <w:r w:rsidR="00FD7409">
        <w:t>8</w:t>
      </w:r>
      <w:r w:rsidRPr="00B43D6E">
        <w:t xml:space="preserve"> Pages)</w:t>
      </w:r>
      <w:bookmarkEnd w:id="10"/>
    </w:p>
    <w:p w14:paraId="63E741FA" w14:textId="04E17980" w:rsidR="00EC15D8" w:rsidRDefault="00EC15D8" w:rsidP="00EC15D8">
      <w:pPr>
        <w:pStyle w:val="Default"/>
        <w:numPr>
          <w:ilvl w:val="0"/>
          <w:numId w:val="13"/>
        </w:numPr>
        <w:spacing w:after="240"/>
      </w:pPr>
      <w:r>
        <w:rPr>
          <w:b/>
        </w:rPr>
        <w:t>Attachment 3:</w:t>
      </w:r>
      <w:r>
        <w:t xml:space="preserve"> </w:t>
      </w:r>
      <w:r w:rsidR="00E0398F" w:rsidRPr="00E0398F">
        <w:t xml:space="preserve">California Department of Education and Los Angeles County Office of Education’s Analysis of T.I.M.E. Community’s Response to the California State Board of Education </w:t>
      </w:r>
      <w:r w:rsidR="00E0398F">
        <w:t xml:space="preserve">March 9, 2023, </w:t>
      </w:r>
      <w:r w:rsidR="00E0398F" w:rsidRPr="00E0398F">
        <w:t xml:space="preserve">Notice of Violation </w:t>
      </w:r>
      <w:r w:rsidRPr="008D4BCC">
        <w:t>(</w:t>
      </w:r>
      <w:r w:rsidR="00B55C7E" w:rsidRPr="00B55C7E">
        <w:t>3</w:t>
      </w:r>
      <w:r>
        <w:t xml:space="preserve"> </w:t>
      </w:r>
      <w:r w:rsidRPr="008D4BCC">
        <w:t>Pages)</w:t>
      </w:r>
    </w:p>
    <w:p w14:paraId="39DAF3CE" w14:textId="2A8E0771" w:rsidR="00EC15D8" w:rsidRDefault="00EC15D8" w:rsidP="00EC15D8">
      <w:pPr>
        <w:pStyle w:val="Default"/>
        <w:numPr>
          <w:ilvl w:val="0"/>
          <w:numId w:val="13"/>
        </w:numPr>
        <w:spacing w:after="240"/>
      </w:pPr>
      <w:r>
        <w:rPr>
          <w:b/>
        </w:rPr>
        <w:t xml:space="preserve">Attachment 4: </w:t>
      </w:r>
      <w:r>
        <w:t>T.I.M.E. Community Audit Report for the Year Ended June 30, 2022 (</w:t>
      </w:r>
      <w:r w:rsidR="007E67D9" w:rsidRPr="007E67D9">
        <w:t>34</w:t>
      </w:r>
      <w:r>
        <w:t xml:space="preserve"> Pages)</w:t>
      </w:r>
    </w:p>
    <w:p w14:paraId="0EAB4340" w14:textId="6F0CF3ED" w:rsidR="001F1C52" w:rsidRPr="008D4BCC" w:rsidRDefault="00EC15D8" w:rsidP="00EC15D8">
      <w:pPr>
        <w:pStyle w:val="Default"/>
        <w:numPr>
          <w:ilvl w:val="0"/>
          <w:numId w:val="13"/>
        </w:numPr>
        <w:spacing w:after="240"/>
      </w:pPr>
      <w:r>
        <w:rPr>
          <w:b/>
        </w:rPr>
        <w:t xml:space="preserve">Attachment 5: </w:t>
      </w:r>
      <w:r>
        <w:t xml:space="preserve">T.I.M.E. Community Loan Addendums </w:t>
      </w:r>
      <w:r w:rsidR="00FD7409">
        <w:t>(5</w:t>
      </w:r>
      <w:r>
        <w:t xml:space="preserve"> Pages)</w:t>
      </w:r>
    </w:p>
    <w:sectPr w:rsidR="001F1C52" w:rsidRPr="008D4BCC" w:rsidSect="00DC278A">
      <w:headerReference w:type="even" r:id="rId30"/>
      <w:headerReference w:type="default" r:id="rId31"/>
      <w:headerReference w:type="first" r:id="rId32"/>
      <w:footerReference w:type="first" r:id="rId33"/>
      <w:type w:val="continuous"/>
      <w:pgSz w:w="12240" w:h="15840"/>
      <w:pgMar w:top="720" w:right="1440" w:bottom="994"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2C974" w14:textId="77777777" w:rsidR="009D6C2B" w:rsidRDefault="009D6C2B" w:rsidP="000E09DC">
      <w:r>
        <w:separator/>
      </w:r>
    </w:p>
  </w:endnote>
  <w:endnote w:type="continuationSeparator" w:id="0">
    <w:p w14:paraId="6F039B24" w14:textId="77777777" w:rsidR="009D6C2B" w:rsidRDefault="009D6C2B"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FB637" w14:textId="77777777" w:rsidR="00B2120A" w:rsidRDefault="00B2120A" w:rsidP="00DC278A">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33447" w14:textId="77777777" w:rsidR="009D6C2B" w:rsidRDefault="009D6C2B" w:rsidP="000E09DC">
      <w:r>
        <w:separator/>
      </w:r>
    </w:p>
  </w:footnote>
  <w:footnote w:type="continuationSeparator" w:id="0">
    <w:p w14:paraId="3BA039AA" w14:textId="77777777" w:rsidR="009D6C2B" w:rsidRDefault="009D6C2B"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C98D" w14:textId="7462E236" w:rsidR="00B2120A" w:rsidRDefault="00B21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CA6B" w14:textId="108D168C" w:rsidR="00B2120A" w:rsidRPr="00E5519D" w:rsidRDefault="00B2120A" w:rsidP="00BA695B">
    <w:pPr>
      <w:spacing w:after="0"/>
      <w:jc w:val="right"/>
    </w:pPr>
    <w:r w:rsidRPr="00E5519D">
      <w:rPr>
        <w:rFonts w:cs="Arial"/>
      </w:rPr>
      <w:t>accs-</w:t>
    </w:r>
    <w:r>
      <w:rPr>
        <w:rFonts w:cs="Arial"/>
      </w:rPr>
      <w:t>apr23</w:t>
    </w:r>
    <w:r w:rsidRPr="00E5519D">
      <w:rPr>
        <w:rFonts w:cs="Arial"/>
      </w:rPr>
      <w:t>item0</w:t>
    </w:r>
    <w:r>
      <w:rPr>
        <w:rFonts w:cs="Arial"/>
      </w:rPr>
      <w:t>4</w:t>
    </w:r>
  </w:p>
  <w:p w14:paraId="39FA5079" w14:textId="77777777" w:rsidR="00B2120A" w:rsidRDefault="00B2120A" w:rsidP="00BA695B">
    <w:pPr>
      <w:pStyle w:val="Header"/>
      <w:spacing w:before="0"/>
      <w:jc w:val="right"/>
      <w:rPr>
        <w:rFonts w:cs="Arial"/>
        <w:bCs/>
      </w:rPr>
    </w:pPr>
    <w:r w:rsidRPr="00E5519D">
      <w:rPr>
        <w:rFonts w:cs="Arial"/>
      </w:rPr>
      <w:t xml:space="preserve">Page </w:t>
    </w:r>
    <w:r w:rsidRPr="00E5519D">
      <w:rPr>
        <w:rFonts w:cs="Arial"/>
        <w:bCs/>
      </w:rPr>
      <w:fldChar w:fldCharType="begin"/>
    </w:r>
    <w:r w:rsidRPr="00E5519D">
      <w:rPr>
        <w:rFonts w:cs="Arial"/>
        <w:bCs/>
      </w:rPr>
      <w:instrText xml:space="preserve"> PAGE  \* Arabic  \* MERGEFORMAT </w:instrText>
    </w:r>
    <w:r w:rsidRPr="00E5519D">
      <w:rPr>
        <w:rFonts w:cs="Arial"/>
        <w:bCs/>
      </w:rPr>
      <w:fldChar w:fldCharType="separate"/>
    </w:r>
    <w:r w:rsidRPr="00E5519D">
      <w:rPr>
        <w:rFonts w:cs="Arial"/>
        <w:bCs/>
        <w:noProof/>
      </w:rPr>
      <w:t>3</w:t>
    </w:r>
    <w:r w:rsidRPr="00E5519D">
      <w:rPr>
        <w:rFonts w:cs="Arial"/>
        <w:bCs/>
      </w:rPr>
      <w:fldChar w:fldCharType="end"/>
    </w:r>
    <w:r w:rsidRPr="00E5519D">
      <w:rPr>
        <w:rFonts w:cs="Arial"/>
      </w:rPr>
      <w:t xml:space="preserve"> of </w:t>
    </w:r>
    <w:r w:rsidRPr="00E5519D">
      <w:rPr>
        <w:rFonts w:cs="Arial"/>
        <w:bCs/>
      </w:rPr>
      <w:fldChar w:fldCharType="begin"/>
    </w:r>
    <w:r w:rsidRPr="00E5519D">
      <w:rPr>
        <w:rFonts w:cs="Arial"/>
        <w:bCs/>
      </w:rPr>
      <w:instrText xml:space="preserve"> NUMPAGES  \* Arabic  \* MERGEFORMAT </w:instrText>
    </w:r>
    <w:r w:rsidRPr="00E5519D">
      <w:rPr>
        <w:rFonts w:cs="Arial"/>
        <w:bCs/>
      </w:rPr>
      <w:fldChar w:fldCharType="separate"/>
    </w:r>
    <w:r w:rsidRPr="00E5519D">
      <w:rPr>
        <w:rFonts w:cs="Arial"/>
        <w:bCs/>
        <w:noProof/>
      </w:rPr>
      <w:t>3</w:t>
    </w:r>
    <w:r w:rsidRPr="00E5519D">
      <w:rPr>
        <w:rFonts w:cs="Arial"/>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CE9C" w14:textId="3A29E5D5" w:rsidR="00B2120A" w:rsidRDefault="00B2120A" w:rsidP="00DC278A">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A4E0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D08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0098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2AEA8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A609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1B067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D08C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10AD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A4AF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5210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B21B69"/>
    <w:multiLevelType w:val="hybridMultilevel"/>
    <w:tmpl w:val="7FD0D244"/>
    <w:lvl w:ilvl="0" w:tplc="CD6E6F26">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F146AD5A" w:tentative="1">
      <w:start w:val="1"/>
      <w:numFmt w:val="bullet"/>
      <w:lvlText w:val="•"/>
      <w:lvlJc w:val="left"/>
      <w:pPr>
        <w:tabs>
          <w:tab w:val="num" w:pos="2160"/>
        </w:tabs>
        <w:ind w:left="2160" w:hanging="360"/>
      </w:pPr>
      <w:rPr>
        <w:rFonts w:ascii="Arial" w:hAnsi="Arial" w:hint="default"/>
      </w:rPr>
    </w:lvl>
    <w:lvl w:ilvl="3" w:tplc="EC50797E" w:tentative="1">
      <w:start w:val="1"/>
      <w:numFmt w:val="bullet"/>
      <w:lvlText w:val="•"/>
      <w:lvlJc w:val="left"/>
      <w:pPr>
        <w:tabs>
          <w:tab w:val="num" w:pos="2880"/>
        </w:tabs>
        <w:ind w:left="2880" w:hanging="360"/>
      </w:pPr>
      <w:rPr>
        <w:rFonts w:ascii="Arial" w:hAnsi="Arial" w:hint="default"/>
      </w:rPr>
    </w:lvl>
    <w:lvl w:ilvl="4" w:tplc="4AA0423A" w:tentative="1">
      <w:start w:val="1"/>
      <w:numFmt w:val="bullet"/>
      <w:lvlText w:val="•"/>
      <w:lvlJc w:val="left"/>
      <w:pPr>
        <w:tabs>
          <w:tab w:val="num" w:pos="3600"/>
        </w:tabs>
        <w:ind w:left="3600" w:hanging="360"/>
      </w:pPr>
      <w:rPr>
        <w:rFonts w:ascii="Arial" w:hAnsi="Arial" w:hint="default"/>
      </w:rPr>
    </w:lvl>
    <w:lvl w:ilvl="5" w:tplc="F594C5CC" w:tentative="1">
      <w:start w:val="1"/>
      <w:numFmt w:val="bullet"/>
      <w:lvlText w:val="•"/>
      <w:lvlJc w:val="left"/>
      <w:pPr>
        <w:tabs>
          <w:tab w:val="num" w:pos="4320"/>
        </w:tabs>
        <w:ind w:left="4320" w:hanging="360"/>
      </w:pPr>
      <w:rPr>
        <w:rFonts w:ascii="Arial" w:hAnsi="Arial" w:hint="default"/>
      </w:rPr>
    </w:lvl>
    <w:lvl w:ilvl="6" w:tplc="9CEA42F6" w:tentative="1">
      <w:start w:val="1"/>
      <w:numFmt w:val="bullet"/>
      <w:lvlText w:val="•"/>
      <w:lvlJc w:val="left"/>
      <w:pPr>
        <w:tabs>
          <w:tab w:val="num" w:pos="5040"/>
        </w:tabs>
        <w:ind w:left="5040" w:hanging="360"/>
      </w:pPr>
      <w:rPr>
        <w:rFonts w:ascii="Arial" w:hAnsi="Arial" w:hint="default"/>
      </w:rPr>
    </w:lvl>
    <w:lvl w:ilvl="7" w:tplc="4DFE8382" w:tentative="1">
      <w:start w:val="1"/>
      <w:numFmt w:val="bullet"/>
      <w:lvlText w:val="•"/>
      <w:lvlJc w:val="left"/>
      <w:pPr>
        <w:tabs>
          <w:tab w:val="num" w:pos="5760"/>
        </w:tabs>
        <w:ind w:left="5760" w:hanging="360"/>
      </w:pPr>
      <w:rPr>
        <w:rFonts w:ascii="Arial" w:hAnsi="Arial" w:hint="default"/>
      </w:rPr>
    </w:lvl>
    <w:lvl w:ilvl="8" w:tplc="AEBA87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B6F41E2"/>
    <w:multiLevelType w:val="hybridMultilevel"/>
    <w:tmpl w:val="017097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00EC1"/>
    <w:multiLevelType w:val="hybridMultilevel"/>
    <w:tmpl w:val="CC5A5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461758"/>
    <w:multiLevelType w:val="hybridMultilevel"/>
    <w:tmpl w:val="5B7E6226"/>
    <w:lvl w:ilvl="0" w:tplc="CF404E68">
      <w:start w:val="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2E6D54"/>
    <w:multiLevelType w:val="hybridMultilevel"/>
    <w:tmpl w:val="061CB59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146AD5A" w:tentative="1">
      <w:start w:val="1"/>
      <w:numFmt w:val="bullet"/>
      <w:lvlText w:val="•"/>
      <w:lvlJc w:val="left"/>
      <w:pPr>
        <w:tabs>
          <w:tab w:val="num" w:pos="2160"/>
        </w:tabs>
        <w:ind w:left="2160" w:hanging="360"/>
      </w:pPr>
      <w:rPr>
        <w:rFonts w:ascii="Arial" w:hAnsi="Arial" w:hint="default"/>
      </w:rPr>
    </w:lvl>
    <w:lvl w:ilvl="3" w:tplc="EC50797E" w:tentative="1">
      <w:start w:val="1"/>
      <w:numFmt w:val="bullet"/>
      <w:lvlText w:val="•"/>
      <w:lvlJc w:val="left"/>
      <w:pPr>
        <w:tabs>
          <w:tab w:val="num" w:pos="2880"/>
        </w:tabs>
        <w:ind w:left="2880" w:hanging="360"/>
      </w:pPr>
      <w:rPr>
        <w:rFonts w:ascii="Arial" w:hAnsi="Arial" w:hint="default"/>
      </w:rPr>
    </w:lvl>
    <w:lvl w:ilvl="4" w:tplc="4AA0423A" w:tentative="1">
      <w:start w:val="1"/>
      <w:numFmt w:val="bullet"/>
      <w:lvlText w:val="•"/>
      <w:lvlJc w:val="left"/>
      <w:pPr>
        <w:tabs>
          <w:tab w:val="num" w:pos="3600"/>
        </w:tabs>
        <w:ind w:left="3600" w:hanging="360"/>
      </w:pPr>
      <w:rPr>
        <w:rFonts w:ascii="Arial" w:hAnsi="Arial" w:hint="default"/>
      </w:rPr>
    </w:lvl>
    <w:lvl w:ilvl="5" w:tplc="F594C5CC" w:tentative="1">
      <w:start w:val="1"/>
      <w:numFmt w:val="bullet"/>
      <w:lvlText w:val="•"/>
      <w:lvlJc w:val="left"/>
      <w:pPr>
        <w:tabs>
          <w:tab w:val="num" w:pos="4320"/>
        </w:tabs>
        <w:ind w:left="4320" w:hanging="360"/>
      </w:pPr>
      <w:rPr>
        <w:rFonts w:ascii="Arial" w:hAnsi="Arial" w:hint="default"/>
      </w:rPr>
    </w:lvl>
    <w:lvl w:ilvl="6" w:tplc="9CEA42F6" w:tentative="1">
      <w:start w:val="1"/>
      <w:numFmt w:val="bullet"/>
      <w:lvlText w:val="•"/>
      <w:lvlJc w:val="left"/>
      <w:pPr>
        <w:tabs>
          <w:tab w:val="num" w:pos="5040"/>
        </w:tabs>
        <w:ind w:left="5040" w:hanging="360"/>
      </w:pPr>
      <w:rPr>
        <w:rFonts w:ascii="Arial" w:hAnsi="Arial" w:hint="default"/>
      </w:rPr>
    </w:lvl>
    <w:lvl w:ilvl="7" w:tplc="4DFE8382" w:tentative="1">
      <w:start w:val="1"/>
      <w:numFmt w:val="bullet"/>
      <w:lvlText w:val="•"/>
      <w:lvlJc w:val="left"/>
      <w:pPr>
        <w:tabs>
          <w:tab w:val="num" w:pos="5760"/>
        </w:tabs>
        <w:ind w:left="5760" w:hanging="360"/>
      </w:pPr>
      <w:rPr>
        <w:rFonts w:ascii="Arial" w:hAnsi="Arial" w:hint="default"/>
      </w:rPr>
    </w:lvl>
    <w:lvl w:ilvl="8" w:tplc="AEBA877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B900F3C"/>
    <w:multiLevelType w:val="hybridMultilevel"/>
    <w:tmpl w:val="9848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FF3B17"/>
    <w:multiLevelType w:val="hybridMultilevel"/>
    <w:tmpl w:val="B27E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3109EB"/>
    <w:multiLevelType w:val="hybridMultilevel"/>
    <w:tmpl w:val="5A8AC18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B5778D"/>
    <w:multiLevelType w:val="hybridMultilevel"/>
    <w:tmpl w:val="2884AFBE"/>
    <w:lvl w:ilvl="0" w:tplc="1BBEC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CF6D20"/>
    <w:multiLevelType w:val="hybridMultilevel"/>
    <w:tmpl w:val="85CEA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7252A3"/>
    <w:multiLevelType w:val="hybridMultilevel"/>
    <w:tmpl w:val="F9BEB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1B1A03"/>
    <w:multiLevelType w:val="hybridMultilevel"/>
    <w:tmpl w:val="B0A89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2073C1"/>
    <w:multiLevelType w:val="hybridMultilevel"/>
    <w:tmpl w:val="2F124C1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8C572B"/>
    <w:multiLevelType w:val="hybridMultilevel"/>
    <w:tmpl w:val="B4A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020A5B"/>
    <w:multiLevelType w:val="hybridMultilevel"/>
    <w:tmpl w:val="2884AFBE"/>
    <w:lvl w:ilvl="0" w:tplc="1BBEC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602A4D"/>
    <w:multiLevelType w:val="hybridMultilevel"/>
    <w:tmpl w:val="51D6E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5A6C1F"/>
    <w:multiLevelType w:val="hybridMultilevel"/>
    <w:tmpl w:val="3F004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381563"/>
    <w:multiLevelType w:val="hybridMultilevel"/>
    <w:tmpl w:val="771A86C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146AD5A" w:tentative="1">
      <w:start w:val="1"/>
      <w:numFmt w:val="bullet"/>
      <w:lvlText w:val="•"/>
      <w:lvlJc w:val="left"/>
      <w:pPr>
        <w:tabs>
          <w:tab w:val="num" w:pos="2160"/>
        </w:tabs>
        <w:ind w:left="2160" w:hanging="360"/>
      </w:pPr>
      <w:rPr>
        <w:rFonts w:ascii="Arial" w:hAnsi="Arial" w:hint="default"/>
      </w:rPr>
    </w:lvl>
    <w:lvl w:ilvl="3" w:tplc="EC50797E" w:tentative="1">
      <w:start w:val="1"/>
      <w:numFmt w:val="bullet"/>
      <w:lvlText w:val="•"/>
      <w:lvlJc w:val="left"/>
      <w:pPr>
        <w:tabs>
          <w:tab w:val="num" w:pos="2880"/>
        </w:tabs>
        <w:ind w:left="2880" w:hanging="360"/>
      </w:pPr>
      <w:rPr>
        <w:rFonts w:ascii="Arial" w:hAnsi="Arial" w:hint="default"/>
      </w:rPr>
    </w:lvl>
    <w:lvl w:ilvl="4" w:tplc="4AA0423A" w:tentative="1">
      <w:start w:val="1"/>
      <w:numFmt w:val="bullet"/>
      <w:lvlText w:val="•"/>
      <w:lvlJc w:val="left"/>
      <w:pPr>
        <w:tabs>
          <w:tab w:val="num" w:pos="3600"/>
        </w:tabs>
        <w:ind w:left="3600" w:hanging="360"/>
      </w:pPr>
      <w:rPr>
        <w:rFonts w:ascii="Arial" w:hAnsi="Arial" w:hint="default"/>
      </w:rPr>
    </w:lvl>
    <w:lvl w:ilvl="5" w:tplc="F594C5CC" w:tentative="1">
      <w:start w:val="1"/>
      <w:numFmt w:val="bullet"/>
      <w:lvlText w:val="•"/>
      <w:lvlJc w:val="left"/>
      <w:pPr>
        <w:tabs>
          <w:tab w:val="num" w:pos="4320"/>
        </w:tabs>
        <w:ind w:left="4320" w:hanging="360"/>
      </w:pPr>
      <w:rPr>
        <w:rFonts w:ascii="Arial" w:hAnsi="Arial" w:hint="default"/>
      </w:rPr>
    </w:lvl>
    <w:lvl w:ilvl="6" w:tplc="9CEA42F6" w:tentative="1">
      <w:start w:val="1"/>
      <w:numFmt w:val="bullet"/>
      <w:lvlText w:val="•"/>
      <w:lvlJc w:val="left"/>
      <w:pPr>
        <w:tabs>
          <w:tab w:val="num" w:pos="5040"/>
        </w:tabs>
        <w:ind w:left="5040" w:hanging="360"/>
      </w:pPr>
      <w:rPr>
        <w:rFonts w:ascii="Arial" w:hAnsi="Arial" w:hint="default"/>
      </w:rPr>
    </w:lvl>
    <w:lvl w:ilvl="7" w:tplc="4DFE8382" w:tentative="1">
      <w:start w:val="1"/>
      <w:numFmt w:val="bullet"/>
      <w:lvlText w:val="•"/>
      <w:lvlJc w:val="left"/>
      <w:pPr>
        <w:tabs>
          <w:tab w:val="num" w:pos="5760"/>
        </w:tabs>
        <w:ind w:left="5760" w:hanging="360"/>
      </w:pPr>
      <w:rPr>
        <w:rFonts w:ascii="Arial" w:hAnsi="Arial" w:hint="default"/>
      </w:rPr>
    </w:lvl>
    <w:lvl w:ilvl="8" w:tplc="AEBA877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924392F"/>
    <w:multiLevelType w:val="hybridMultilevel"/>
    <w:tmpl w:val="33F838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0F2534"/>
    <w:multiLevelType w:val="hybridMultilevel"/>
    <w:tmpl w:val="F3C45D20"/>
    <w:lvl w:ilvl="0" w:tplc="589A66FA">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BF2AE7"/>
    <w:multiLevelType w:val="hybridMultilevel"/>
    <w:tmpl w:val="57F48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463134"/>
    <w:multiLevelType w:val="hybridMultilevel"/>
    <w:tmpl w:val="56C08A2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9C18F3"/>
    <w:multiLevelType w:val="hybridMultilevel"/>
    <w:tmpl w:val="A8CC3662"/>
    <w:lvl w:ilvl="0" w:tplc="CD6E6F26">
      <w:start w:val="1"/>
      <w:numFmt w:val="bullet"/>
      <w:lvlText w:val="•"/>
      <w:lvlJc w:val="left"/>
      <w:pPr>
        <w:tabs>
          <w:tab w:val="num" w:pos="720"/>
        </w:tabs>
        <w:ind w:left="720" w:hanging="360"/>
      </w:pPr>
      <w:rPr>
        <w:rFonts w:ascii="Arial" w:hAnsi="Arial" w:hint="default"/>
      </w:rPr>
    </w:lvl>
    <w:lvl w:ilvl="1" w:tplc="86BA18AC">
      <w:start w:val="1"/>
      <w:numFmt w:val="bullet"/>
      <w:lvlText w:val="•"/>
      <w:lvlJc w:val="left"/>
      <w:pPr>
        <w:tabs>
          <w:tab w:val="num" w:pos="1440"/>
        </w:tabs>
        <w:ind w:left="1440" w:hanging="360"/>
      </w:pPr>
      <w:rPr>
        <w:rFonts w:ascii="Arial" w:hAnsi="Arial" w:hint="default"/>
      </w:rPr>
    </w:lvl>
    <w:lvl w:ilvl="2" w:tplc="F146AD5A" w:tentative="1">
      <w:start w:val="1"/>
      <w:numFmt w:val="bullet"/>
      <w:lvlText w:val="•"/>
      <w:lvlJc w:val="left"/>
      <w:pPr>
        <w:tabs>
          <w:tab w:val="num" w:pos="2160"/>
        </w:tabs>
        <w:ind w:left="2160" w:hanging="360"/>
      </w:pPr>
      <w:rPr>
        <w:rFonts w:ascii="Arial" w:hAnsi="Arial" w:hint="default"/>
      </w:rPr>
    </w:lvl>
    <w:lvl w:ilvl="3" w:tplc="EC50797E" w:tentative="1">
      <w:start w:val="1"/>
      <w:numFmt w:val="bullet"/>
      <w:lvlText w:val="•"/>
      <w:lvlJc w:val="left"/>
      <w:pPr>
        <w:tabs>
          <w:tab w:val="num" w:pos="2880"/>
        </w:tabs>
        <w:ind w:left="2880" w:hanging="360"/>
      </w:pPr>
      <w:rPr>
        <w:rFonts w:ascii="Arial" w:hAnsi="Arial" w:hint="default"/>
      </w:rPr>
    </w:lvl>
    <w:lvl w:ilvl="4" w:tplc="4AA0423A" w:tentative="1">
      <w:start w:val="1"/>
      <w:numFmt w:val="bullet"/>
      <w:lvlText w:val="•"/>
      <w:lvlJc w:val="left"/>
      <w:pPr>
        <w:tabs>
          <w:tab w:val="num" w:pos="3600"/>
        </w:tabs>
        <w:ind w:left="3600" w:hanging="360"/>
      </w:pPr>
      <w:rPr>
        <w:rFonts w:ascii="Arial" w:hAnsi="Arial" w:hint="default"/>
      </w:rPr>
    </w:lvl>
    <w:lvl w:ilvl="5" w:tplc="F594C5CC" w:tentative="1">
      <w:start w:val="1"/>
      <w:numFmt w:val="bullet"/>
      <w:lvlText w:val="•"/>
      <w:lvlJc w:val="left"/>
      <w:pPr>
        <w:tabs>
          <w:tab w:val="num" w:pos="4320"/>
        </w:tabs>
        <w:ind w:left="4320" w:hanging="360"/>
      </w:pPr>
      <w:rPr>
        <w:rFonts w:ascii="Arial" w:hAnsi="Arial" w:hint="default"/>
      </w:rPr>
    </w:lvl>
    <w:lvl w:ilvl="6" w:tplc="9CEA42F6" w:tentative="1">
      <w:start w:val="1"/>
      <w:numFmt w:val="bullet"/>
      <w:lvlText w:val="•"/>
      <w:lvlJc w:val="left"/>
      <w:pPr>
        <w:tabs>
          <w:tab w:val="num" w:pos="5040"/>
        </w:tabs>
        <w:ind w:left="5040" w:hanging="360"/>
      </w:pPr>
      <w:rPr>
        <w:rFonts w:ascii="Arial" w:hAnsi="Arial" w:hint="default"/>
      </w:rPr>
    </w:lvl>
    <w:lvl w:ilvl="7" w:tplc="4DFE8382" w:tentative="1">
      <w:start w:val="1"/>
      <w:numFmt w:val="bullet"/>
      <w:lvlText w:val="•"/>
      <w:lvlJc w:val="left"/>
      <w:pPr>
        <w:tabs>
          <w:tab w:val="num" w:pos="5760"/>
        </w:tabs>
        <w:ind w:left="5760" w:hanging="360"/>
      </w:pPr>
      <w:rPr>
        <w:rFonts w:ascii="Arial" w:hAnsi="Arial" w:hint="default"/>
      </w:rPr>
    </w:lvl>
    <w:lvl w:ilvl="8" w:tplc="AEBA877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1A0839"/>
    <w:multiLevelType w:val="hybridMultilevel"/>
    <w:tmpl w:val="383E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5A6D6A"/>
    <w:multiLevelType w:val="hybridMultilevel"/>
    <w:tmpl w:val="92A6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145112"/>
    <w:multiLevelType w:val="hybridMultilevel"/>
    <w:tmpl w:val="8590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F30A1A"/>
    <w:multiLevelType w:val="hybridMultilevel"/>
    <w:tmpl w:val="83782D34"/>
    <w:lvl w:ilvl="0" w:tplc="2C9CE1D4">
      <w:start w:val="1"/>
      <w:numFmt w:val="bullet"/>
      <w:lvlText w:val=""/>
      <w:lvlJc w:val="left"/>
      <w:pPr>
        <w:ind w:left="720" w:hanging="360"/>
      </w:pPr>
      <w:rPr>
        <w:rFonts w:ascii="Symbol" w:hAnsi="Symbol" w:hint="default"/>
        <w:u w:color="5B9BD5"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394943">
    <w:abstractNumId w:val="25"/>
  </w:num>
  <w:num w:numId="2" w16cid:durableId="975792421">
    <w:abstractNumId w:val="40"/>
  </w:num>
  <w:num w:numId="3" w16cid:durableId="456917840">
    <w:abstractNumId w:val="19"/>
  </w:num>
  <w:num w:numId="4" w16cid:durableId="1601719545">
    <w:abstractNumId w:val="34"/>
  </w:num>
  <w:num w:numId="5" w16cid:durableId="512571812">
    <w:abstractNumId w:val="36"/>
  </w:num>
  <w:num w:numId="6" w16cid:durableId="1646466871">
    <w:abstractNumId w:val="10"/>
  </w:num>
  <w:num w:numId="7" w16cid:durableId="2128234671">
    <w:abstractNumId w:val="22"/>
  </w:num>
  <w:num w:numId="8" w16cid:durableId="950432342">
    <w:abstractNumId w:val="27"/>
  </w:num>
  <w:num w:numId="9" w16cid:durableId="1696155780">
    <w:abstractNumId w:val="30"/>
  </w:num>
  <w:num w:numId="10" w16cid:durableId="703142306">
    <w:abstractNumId w:val="42"/>
  </w:num>
  <w:num w:numId="11" w16cid:durableId="733237471">
    <w:abstractNumId w:val="13"/>
  </w:num>
  <w:num w:numId="12" w16cid:durableId="1674457979">
    <w:abstractNumId w:val="21"/>
  </w:num>
  <w:num w:numId="13" w16cid:durableId="488786089">
    <w:abstractNumId w:val="41"/>
  </w:num>
  <w:num w:numId="14" w16cid:durableId="238372185">
    <w:abstractNumId w:val="28"/>
  </w:num>
  <w:num w:numId="15" w16cid:durableId="1949042441">
    <w:abstractNumId w:val="17"/>
  </w:num>
  <w:num w:numId="16" w16cid:durableId="863708887">
    <w:abstractNumId w:val="44"/>
  </w:num>
  <w:num w:numId="17" w16cid:durableId="2008289520">
    <w:abstractNumId w:val="16"/>
  </w:num>
  <w:num w:numId="18" w16cid:durableId="280458585">
    <w:abstractNumId w:val="33"/>
  </w:num>
  <w:num w:numId="19" w16cid:durableId="1194611695">
    <w:abstractNumId w:val="31"/>
  </w:num>
  <w:num w:numId="20" w16cid:durableId="785126061">
    <w:abstractNumId w:val="18"/>
  </w:num>
  <w:num w:numId="21" w16cid:durableId="79912403">
    <w:abstractNumId w:val="24"/>
  </w:num>
  <w:num w:numId="22" w16cid:durableId="2058510658">
    <w:abstractNumId w:val="43"/>
  </w:num>
  <w:num w:numId="23" w16cid:durableId="1704744263">
    <w:abstractNumId w:val="37"/>
  </w:num>
  <w:num w:numId="24" w16cid:durableId="1595287186">
    <w:abstractNumId w:val="29"/>
  </w:num>
  <w:num w:numId="25" w16cid:durableId="1913150520">
    <w:abstractNumId w:val="23"/>
  </w:num>
  <w:num w:numId="26" w16cid:durableId="1823497284">
    <w:abstractNumId w:val="12"/>
  </w:num>
  <w:num w:numId="27" w16cid:durableId="2131626835">
    <w:abstractNumId w:val="39"/>
  </w:num>
  <w:num w:numId="28" w16cid:durableId="1729645905">
    <w:abstractNumId w:val="11"/>
  </w:num>
  <w:num w:numId="29" w16cid:durableId="672268826">
    <w:abstractNumId w:val="15"/>
  </w:num>
  <w:num w:numId="30" w16cid:durableId="1933246538">
    <w:abstractNumId w:val="32"/>
  </w:num>
  <w:num w:numId="31" w16cid:durableId="107161424">
    <w:abstractNumId w:val="20"/>
  </w:num>
  <w:num w:numId="32" w16cid:durableId="640113733">
    <w:abstractNumId w:val="35"/>
  </w:num>
  <w:num w:numId="33" w16cid:durableId="1265918866">
    <w:abstractNumId w:val="14"/>
  </w:num>
  <w:num w:numId="34" w16cid:durableId="1093358091">
    <w:abstractNumId w:val="38"/>
  </w:num>
  <w:num w:numId="35" w16cid:durableId="360521480">
    <w:abstractNumId w:val="26"/>
  </w:num>
  <w:num w:numId="36" w16cid:durableId="531460505">
    <w:abstractNumId w:val="9"/>
  </w:num>
  <w:num w:numId="37" w16cid:durableId="1412778862">
    <w:abstractNumId w:val="7"/>
  </w:num>
  <w:num w:numId="38" w16cid:durableId="1346246416">
    <w:abstractNumId w:val="6"/>
  </w:num>
  <w:num w:numId="39" w16cid:durableId="1394155966">
    <w:abstractNumId w:val="5"/>
  </w:num>
  <w:num w:numId="40" w16cid:durableId="1922836055">
    <w:abstractNumId w:val="4"/>
  </w:num>
  <w:num w:numId="41" w16cid:durableId="387607863">
    <w:abstractNumId w:val="8"/>
  </w:num>
  <w:num w:numId="42" w16cid:durableId="1489444986">
    <w:abstractNumId w:val="3"/>
  </w:num>
  <w:num w:numId="43" w16cid:durableId="979112651">
    <w:abstractNumId w:val="2"/>
  </w:num>
  <w:num w:numId="44" w16cid:durableId="1584677418">
    <w:abstractNumId w:val="1"/>
  </w:num>
  <w:num w:numId="45" w16cid:durableId="689111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9D"/>
    <w:rsid w:val="000040D5"/>
    <w:rsid w:val="00006B22"/>
    <w:rsid w:val="000144B8"/>
    <w:rsid w:val="0001732F"/>
    <w:rsid w:val="00021D2B"/>
    <w:rsid w:val="000220F2"/>
    <w:rsid w:val="00022B67"/>
    <w:rsid w:val="00024BDD"/>
    <w:rsid w:val="000254F7"/>
    <w:rsid w:val="00025553"/>
    <w:rsid w:val="0003088A"/>
    <w:rsid w:val="00030CBF"/>
    <w:rsid w:val="000321AE"/>
    <w:rsid w:val="000324AD"/>
    <w:rsid w:val="000341E6"/>
    <w:rsid w:val="00034B15"/>
    <w:rsid w:val="00037056"/>
    <w:rsid w:val="00037C5E"/>
    <w:rsid w:val="000412D3"/>
    <w:rsid w:val="000471DF"/>
    <w:rsid w:val="00047DD4"/>
    <w:rsid w:val="00050515"/>
    <w:rsid w:val="00050604"/>
    <w:rsid w:val="00054260"/>
    <w:rsid w:val="0005661A"/>
    <w:rsid w:val="000576B2"/>
    <w:rsid w:val="00057AE0"/>
    <w:rsid w:val="00063DAB"/>
    <w:rsid w:val="00070F39"/>
    <w:rsid w:val="000715F1"/>
    <w:rsid w:val="00071F71"/>
    <w:rsid w:val="0007536A"/>
    <w:rsid w:val="00077C2B"/>
    <w:rsid w:val="000825A2"/>
    <w:rsid w:val="00082680"/>
    <w:rsid w:val="00087980"/>
    <w:rsid w:val="00090A98"/>
    <w:rsid w:val="0009661F"/>
    <w:rsid w:val="000971F0"/>
    <w:rsid w:val="000A2800"/>
    <w:rsid w:val="000A5399"/>
    <w:rsid w:val="000B14AF"/>
    <w:rsid w:val="000B249D"/>
    <w:rsid w:val="000B2660"/>
    <w:rsid w:val="000B36BB"/>
    <w:rsid w:val="000B39C0"/>
    <w:rsid w:val="000B7009"/>
    <w:rsid w:val="000C06D0"/>
    <w:rsid w:val="000C0809"/>
    <w:rsid w:val="000C1BE6"/>
    <w:rsid w:val="000C6A63"/>
    <w:rsid w:val="000D0061"/>
    <w:rsid w:val="000D2668"/>
    <w:rsid w:val="000D3BEF"/>
    <w:rsid w:val="000D6CA2"/>
    <w:rsid w:val="000D6CF6"/>
    <w:rsid w:val="000E09DC"/>
    <w:rsid w:val="000E12FE"/>
    <w:rsid w:val="000E2D84"/>
    <w:rsid w:val="000E4CAE"/>
    <w:rsid w:val="000E5E40"/>
    <w:rsid w:val="000E74A2"/>
    <w:rsid w:val="000F4065"/>
    <w:rsid w:val="000F44B6"/>
    <w:rsid w:val="000F4CDF"/>
    <w:rsid w:val="000F622C"/>
    <w:rsid w:val="000F6ACE"/>
    <w:rsid w:val="0010017F"/>
    <w:rsid w:val="00100D56"/>
    <w:rsid w:val="001048F3"/>
    <w:rsid w:val="0010507B"/>
    <w:rsid w:val="00111698"/>
    <w:rsid w:val="00115A37"/>
    <w:rsid w:val="0011739A"/>
    <w:rsid w:val="001271E0"/>
    <w:rsid w:val="00130059"/>
    <w:rsid w:val="001322B7"/>
    <w:rsid w:val="00132C58"/>
    <w:rsid w:val="00133612"/>
    <w:rsid w:val="001350E9"/>
    <w:rsid w:val="00136963"/>
    <w:rsid w:val="0013778B"/>
    <w:rsid w:val="00137E60"/>
    <w:rsid w:val="00140651"/>
    <w:rsid w:val="00142142"/>
    <w:rsid w:val="00147394"/>
    <w:rsid w:val="00150538"/>
    <w:rsid w:val="00150DF8"/>
    <w:rsid w:val="00153800"/>
    <w:rsid w:val="00154B7A"/>
    <w:rsid w:val="001552B2"/>
    <w:rsid w:val="00156F66"/>
    <w:rsid w:val="0016474F"/>
    <w:rsid w:val="001656C6"/>
    <w:rsid w:val="0016634B"/>
    <w:rsid w:val="00167080"/>
    <w:rsid w:val="00167DE4"/>
    <w:rsid w:val="00174FE7"/>
    <w:rsid w:val="001755B1"/>
    <w:rsid w:val="0018148D"/>
    <w:rsid w:val="00190BDD"/>
    <w:rsid w:val="00192D01"/>
    <w:rsid w:val="00197B2D"/>
    <w:rsid w:val="001A0CA5"/>
    <w:rsid w:val="001A17DC"/>
    <w:rsid w:val="001A31DC"/>
    <w:rsid w:val="001A5CD3"/>
    <w:rsid w:val="001B0988"/>
    <w:rsid w:val="001B0BF4"/>
    <w:rsid w:val="001B1158"/>
    <w:rsid w:val="001B3958"/>
    <w:rsid w:val="001B788E"/>
    <w:rsid w:val="001B7899"/>
    <w:rsid w:val="001C004F"/>
    <w:rsid w:val="001C7337"/>
    <w:rsid w:val="001C7F2F"/>
    <w:rsid w:val="001D2679"/>
    <w:rsid w:val="001D48FB"/>
    <w:rsid w:val="001D7FAC"/>
    <w:rsid w:val="001E1929"/>
    <w:rsid w:val="001E1951"/>
    <w:rsid w:val="001E3CE0"/>
    <w:rsid w:val="001E4215"/>
    <w:rsid w:val="001E6AEF"/>
    <w:rsid w:val="001E7134"/>
    <w:rsid w:val="001E7834"/>
    <w:rsid w:val="001F19FB"/>
    <w:rsid w:val="001F1C52"/>
    <w:rsid w:val="001F61CF"/>
    <w:rsid w:val="001F655D"/>
    <w:rsid w:val="001F704C"/>
    <w:rsid w:val="00200D9F"/>
    <w:rsid w:val="00201ADC"/>
    <w:rsid w:val="00203C38"/>
    <w:rsid w:val="00212CCC"/>
    <w:rsid w:val="0021374F"/>
    <w:rsid w:val="00213E1B"/>
    <w:rsid w:val="00215003"/>
    <w:rsid w:val="00216185"/>
    <w:rsid w:val="00220188"/>
    <w:rsid w:val="00221F26"/>
    <w:rsid w:val="00222F51"/>
    <w:rsid w:val="00223112"/>
    <w:rsid w:val="002238E9"/>
    <w:rsid w:val="00224AE7"/>
    <w:rsid w:val="00227190"/>
    <w:rsid w:val="0023022E"/>
    <w:rsid w:val="002304A3"/>
    <w:rsid w:val="00230A03"/>
    <w:rsid w:val="00230EC8"/>
    <w:rsid w:val="00232385"/>
    <w:rsid w:val="002337CD"/>
    <w:rsid w:val="00240B26"/>
    <w:rsid w:val="0024175C"/>
    <w:rsid w:val="00246DF0"/>
    <w:rsid w:val="00247A24"/>
    <w:rsid w:val="00247B3F"/>
    <w:rsid w:val="00252267"/>
    <w:rsid w:val="0025269A"/>
    <w:rsid w:val="0025381A"/>
    <w:rsid w:val="0026358A"/>
    <w:rsid w:val="00264A3E"/>
    <w:rsid w:val="00266143"/>
    <w:rsid w:val="0026762F"/>
    <w:rsid w:val="00267F4F"/>
    <w:rsid w:val="00270F35"/>
    <w:rsid w:val="00271F4A"/>
    <w:rsid w:val="00274F32"/>
    <w:rsid w:val="00275515"/>
    <w:rsid w:val="00276BB0"/>
    <w:rsid w:val="00277C39"/>
    <w:rsid w:val="00280F10"/>
    <w:rsid w:val="00282212"/>
    <w:rsid w:val="00282EB3"/>
    <w:rsid w:val="00283031"/>
    <w:rsid w:val="002865A3"/>
    <w:rsid w:val="00286F3C"/>
    <w:rsid w:val="00287396"/>
    <w:rsid w:val="00290E53"/>
    <w:rsid w:val="00292919"/>
    <w:rsid w:val="00292A2F"/>
    <w:rsid w:val="00297D82"/>
    <w:rsid w:val="002A76D2"/>
    <w:rsid w:val="002B0CB9"/>
    <w:rsid w:val="002B31F6"/>
    <w:rsid w:val="002B368A"/>
    <w:rsid w:val="002B3D80"/>
    <w:rsid w:val="002B4B14"/>
    <w:rsid w:val="002C0D90"/>
    <w:rsid w:val="002C31A6"/>
    <w:rsid w:val="002C5249"/>
    <w:rsid w:val="002D1A82"/>
    <w:rsid w:val="002D3CBC"/>
    <w:rsid w:val="002D58FE"/>
    <w:rsid w:val="002D5987"/>
    <w:rsid w:val="002D685D"/>
    <w:rsid w:val="002D6EC8"/>
    <w:rsid w:val="002D73B1"/>
    <w:rsid w:val="002E31EF"/>
    <w:rsid w:val="002E3B6F"/>
    <w:rsid w:val="002E4CB5"/>
    <w:rsid w:val="002E5F77"/>
    <w:rsid w:val="002E6FCA"/>
    <w:rsid w:val="002F279B"/>
    <w:rsid w:val="002F563A"/>
    <w:rsid w:val="002F6D3D"/>
    <w:rsid w:val="002F7D01"/>
    <w:rsid w:val="003001D3"/>
    <w:rsid w:val="00305FD8"/>
    <w:rsid w:val="0030649B"/>
    <w:rsid w:val="00307389"/>
    <w:rsid w:val="0031016D"/>
    <w:rsid w:val="00312EC0"/>
    <w:rsid w:val="00312F50"/>
    <w:rsid w:val="00315131"/>
    <w:rsid w:val="00315E49"/>
    <w:rsid w:val="003160BF"/>
    <w:rsid w:val="0031611E"/>
    <w:rsid w:val="0031789D"/>
    <w:rsid w:val="00320346"/>
    <w:rsid w:val="00321BD7"/>
    <w:rsid w:val="0032564F"/>
    <w:rsid w:val="00331096"/>
    <w:rsid w:val="00331221"/>
    <w:rsid w:val="00333209"/>
    <w:rsid w:val="00333211"/>
    <w:rsid w:val="00334592"/>
    <w:rsid w:val="0033639E"/>
    <w:rsid w:val="00340077"/>
    <w:rsid w:val="0034106A"/>
    <w:rsid w:val="003437AF"/>
    <w:rsid w:val="003453FB"/>
    <w:rsid w:val="00345DB2"/>
    <w:rsid w:val="00347BAD"/>
    <w:rsid w:val="003521C0"/>
    <w:rsid w:val="003550E0"/>
    <w:rsid w:val="00363520"/>
    <w:rsid w:val="003705FC"/>
    <w:rsid w:val="003718CC"/>
    <w:rsid w:val="00371992"/>
    <w:rsid w:val="00377E40"/>
    <w:rsid w:val="00380B4C"/>
    <w:rsid w:val="00383320"/>
    <w:rsid w:val="00383577"/>
    <w:rsid w:val="00384ACF"/>
    <w:rsid w:val="00394E45"/>
    <w:rsid w:val="003950D7"/>
    <w:rsid w:val="003A15E6"/>
    <w:rsid w:val="003A66DE"/>
    <w:rsid w:val="003A709A"/>
    <w:rsid w:val="003B0BC3"/>
    <w:rsid w:val="003B3111"/>
    <w:rsid w:val="003B474A"/>
    <w:rsid w:val="003B5B8E"/>
    <w:rsid w:val="003B5CD3"/>
    <w:rsid w:val="003B7F2A"/>
    <w:rsid w:val="003C06A8"/>
    <w:rsid w:val="003C0AB9"/>
    <w:rsid w:val="003C0CED"/>
    <w:rsid w:val="003C2F2C"/>
    <w:rsid w:val="003D1A0F"/>
    <w:rsid w:val="003D1ECD"/>
    <w:rsid w:val="003E1E8D"/>
    <w:rsid w:val="003E1F44"/>
    <w:rsid w:val="003E2353"/>
    <w:rsid w:val="003E3187"/>
    <w:rsid w:val="003E4DF7"/>
    <w:rsid w:val="003F0D66"/>
    <w:rsid w:val="003F4A11"/>
    <w:rsid w:val="003F6EE4"/>
    <w:rsid w:val="00406F50"/>
    <w:rsid w:val="00407382"/>
    <w:rsid w:val="00407E9B"/>
    <w:rsid w:val="0041065E"/>
    <w:rsid w:val="0041149B"/>
    <w:rsid w:val="00411D7E"/>
    <w:rsid w:val="00415631"/>
    <w:rsid w:val="00417CB5"/>
    <w:rsid w:val="00417F35"/>
    <w:rsid w:val="004203BC"/>
    <w:rsid w:val="00420E05"/>
    <w:rsid w:val="00420ED4"/>
    <w:rsid w:val="00424EE3"/>
    <w:rsid w:val="0042654E"/>
    <w:rsid w:val="00427965"/>
    <w:rsid w:val="00431D9A"/>
    <w:rsid w:val="00437DDD"/>
    <w:rsid w:val="00442E13"/>
    <w:rsid w:val="00442EBA"/>
    <w:rsid w:val="0044368B"/>
    <w:rsid w:val="00443B1F"/>
    <w:rsid w:val="0044411F"/>
    <w:rsid w:val="0044670C"/>
    <w:rsid w:val="00447E06"/>
    <w:rsid w:val="00450D05"/>
    <w:rsid w:val="00450F97"/>
    <w:rsid w:val="004547F8"/>
    <w:rsid w:val="00455051"/>
    <w:rsid w:val="004567A7"/>
    <w:rsid w:val="00457AD1"/>
    <w:rsid w:val="00463432"/>
    <w:rsid w:val="00464167"/>
    <w:rsid w:val="004657C3"/>
    <w:rsid w:val="004672C5"/>
    <w:rsid w:val="00470433"/>
    <w:rsid w:val="00472B32"/>
    <w:rsid w:val="00473DD0"/>
    <w:rsid w:val="0047534A"/>
    <w:rsid w:val="004860D8"/>
    <w:rsid w:val="004864B4"/>
    <w:rsid w:val="00486D67"/>
    <w:rsid w:val="004903D5"/>
    <w:rsid w:val="00492D61"/>
    <w:rsid w:val="00494AC0"/>
    <w:rsid w:val="00495442"/>
    <w:rsid w:val="004964A6"/>
    <w:rsid w:val="004966DD"/>
    <w:rsid w:val="004973AC"/>
    <w:rsid w:val="004A3897"/>
    <w:rsid w:val="004A4E8A"/>
    <w:rsid w:val="004A7E96"/>
    <w:rsid w:val="004B3F25"/>
    <w:rsid w:val="004B4DE4"/>
    <w:rsid w:val="004B7AB8"/>
    <w:rsid w:val="004C175E"/>
    <w:rsid w:val="004C1C0A"/>
    <w:rsid w:val="004C2B0F"/>
    <w:rsid w:val="004C78B2"/>
    <w:rsid w:val="004D4FC8"/>
    <w:rsid w:val="004D590D"/>
    <w:rsid w:val="004E029B"/>
    <w:rsid w:val="004E4801"/>
    <w:rsid w:val="004E5BB4"/>
    <w:rsid w:val="004E7867"/>
    <w:rsid w:val="004F44C6"/>
    <w:rsid w:val="004F5D5D"/>
    <w:rsid w:val="004F727F"/>
    <w:rsid w:val="005008DC"/>
    <w:rsid w:val="00501B57"/>
    <w:rsid w:val="00503CE1"/>
    <w:rsid w:val="00506CCD"/>
    <w:rsid w:val="00510E33"/>
    <w:rsid w:val="005114D7"/>
    <w:rsid w:val="005138CF"/>
    <w:rsid w:val="0051672D"/>
    <w:rsid w:val="00517C00"/>
    <w:rsid w:val="0052030B"/>
    <w:rsid w:val="0052122A"/>
    <w:rsid w:val="00521F29"/>
    <w:rsid w:val="00522DC2"/>
    <w:rsid w:val="00527B0E"/>
    <w:rsid w:val="0053001F"/>
    <w:rsid w:val="00530940"/>
    <w:rsid w:val="00531D2F"/>
    <w:rsid w:val="00532B85"/>
    <w:rsid w:val="0053552C"/>
    <w:rsid w:val="0054777B"/>
    <w:rsid w:val="005506D4"/>
    <w:rsid w:val="0055266E"/>
    <w:rsid w:val="005604DC"/>
    <w:rsid w:val="005669C8"/>
    <w:rsid w:val="00574470"/>
    <w:rsid w:val="00576C77"/>
    <w:rsid w:val="00577FA9"/>
    <w:rsid w:val="005802CE"/>
    <w:rsid w:val="0058086A"/>
    <w:rsid w:val="005808A1"/>
    <w:rsid w:val="00583506"/>
    <w:rsid w:val="005857F4"/>
    <w:rsid w:val="00590CF9"/>
    <w:rsid w:val="00590F72"/>
    <w:rsid w:val="0059552A"/>
    <w:rsid w:val="00597C43"/>
    <w:rsid w:val="005B254D"/>
    <w:rsid w:val="005B2CEF"/>
    <w:rsid w:val="005B4D3F"/>
    <w:rsid w:val="005C1E0E"/>
    <w:rsid w:val="005C5948"/>
    <w:rsid w:val="005C6C25"/>
    <w:rsid w:val="005D00BE"/>
    <w:rsid w:val="005D060F"/>
    <w:rsid w:val="005D117F"/>
    <w:rsid w:val="005E3896"/>
    <w:rsid w:val="005E49F4"/>
    <w:rsid w:val="005F4590"/>
    <w:rsid w:val="005F62E6"/>
    <w:rsid w:val="005F7563"/>
    <w:rsid w:val="00600B0B"/>
    <w:rsid w:val="006010E9"/>
    <w:rsid w:val="00602386"/>
    <w:rsid w:val="00602F00"/>
    <w:rsid w:val="0060392C"/>
    <w:rsid w:val="00604382"/>
    <w:rsid w:val="006064B9"/>
    <w:rsid w:val="00611E7A"/>
    <w:rsid w:val="00612919"/>
    <w:rsid w:val="0061444E"/>
    <w:rsid w:val="006156AB"/>
    <w:rsid w:val="00621FE6"/>
    <w:rsid w:val="00624CCA"/>
    <w:rsid w:val="00625AB8"/>
    <w:rsid w:val="0062745D"/>
    <w:rsid w:val="00630445"/>
    <w:rsid w:val="00632242"/>
    <w:rsid w:val="00635042"/>
    <w:rsid w:val="00640A6B"/>
    <w:rsid w:val="006419F8"/>
    <w:rsid w:val="00644140"/>
    <w:rsid w:val="00644CE3"/>
    <w:rsid w:val="00646632"/>
    <w:rsid w:val="00652238"/>
    <w:rsid w:val="00652A95"/>
    <w:rsid w:val="00653FAC"/>
    <w:rsid w:val="00656CB6"/>
    <w:rsid w:val="00656E74"/>
    <w:rsid w:val="006578F5"/>
    <w:rsid w:val="00662507"/>
    <w:rsid w:val="0066786E"/>
    <w:rsid w:val="0067796A"/>
    <w:rsid w:val="006805E6"/>
    <w:rsid w:val="00684E86"/>
    <w:rsid w:val="00687338"/>
    <w:rsid w:val="00687BF5"/>
    <w:rsid w:val="00692300"/>
    <w:rsid w:val="00693951"/>
    <w:rsid w:val="0069772D"/>
    <w:rsid w:val="006A1C2D"/>
    <w:rsid w:val="006A2078"/>
    <w:rsid w:val="006A544C"/>
    <w:rsid w:val="006B15FA"/>
    <w:rsid w:val="006B2111"/>
    <w:rsid w:val="006B2B40"/>
    <w:rsid w:val="006B5FE3"/>
    <w:rsid w:val="006C3B98"/>
    <w:rsid w:val="006C40F7"/>
    <w:rsid w:val="006C7C5D"/>
    <w:rsid w:val="006C7FEB"/>
    <w:rsid w:val="006D0223"/>
    <w:rsid w:val="006D0F01"/>
    <w:rsid w:val="006D6C71"/>
    <w:rsid w:val="006E06C6"/>
    <w:rsid w:val="006E285A"/>
    <w:rsid w:val="006E6C9D"/>
    <w:rsid w:val="006F1AB1"/>
    <w:rsid w:val="006F216F"/>
    <w:rsid w:val="006F5037"/>
    <w:rsid w:val="006F5CE9"/>
    <w:rsid w:val="006F66D6"/>
    <w:rsid w:val="006F7FD7"/>
    <w:rsid w:val="00701089"/>
    <w:rsid w:val="00701951"/>
    <w:rsid w:val="00702FC9"/>
    <w:rsid w:val="00703435"/>
    <w:rsid w:val="0070362E"/>
    <w:rsid w:val="00703B6D"/>
    <w:rsid w:val="0070603A"/>
    <w:rsid w:val="00707E23"/>
    <w:rsid w:val="00710D1C"/>
    <w:rsid w:val="007140CE"/>
    <w:rsid w:val="007153C2"/>
    <w:rsid w:val="00716F84"/>
    <w:rsid w:val="00721C5A"/>
    <w:rsid w:val="00723774"/>
    <w:rsid w:val="0072548A"/>
    <w:rsid w:val="00726B90"/>
    <w:rsid w:val="00726EDA"/>
    <w:rsid w:val="007313A3"/>
    <w:rsid w:val="007327E1"/>
    <w:rsid w:val="00732908"/>
    <w:rsid w:val="00732F95"/>
    <w:rsid w:val="00736EF7"/>
    <w:rsid w:val="0074261B"/>
    <w:rsid w:val="007428B8"/>
    <w:rsid w:val="007455AE"/>
    <w:rsid w:val="00746164"/>
    <w:rsid w:val="00746B82"/>
    <w:rsid w:val="00746F53"/>
    <w:rsid w:val="00752227"/>
    <w:rsid w:val="00753BF7"/>
    <w:rsid w:val="00757490"/>
    <w:rsid w:val="0076400B"/>
    <w:rsid w:val="007646C6"/>
    <w:rsid w:val="007648E7"/>
    <w:rsid w:val="00770060"/>
    <w:rsid w:val="007741D6"/>
    <w:rsid w:val="00774F76"/>
    <w:rsid w:val="00776FA4"/>
    <w:rsid w:val="00780279"/>
    <w:rsid w:val="00780BB6"/>
    <w:rsid w:val="007819CA"/>
    <w:rsid w:val="00781FED"/>
    <w:rsid w:val="007822D7"/>
    <w:rsid w:val="0078386C"/>
    <w:rsid w:val="0078479B"/>
    <w:rsid w:val="00785D89"/>
    <w:rsid w:val="00790E5F"/>
    <w:rsid w:val="00793E1F"/>
    <w:rsid w:val="007A045E"/>
    <w:rsid w:val="007A2823"/>
    <w:rsid w:val="007A786B"/>
    <w:rsid w:val="007B08CD"/>
    <w:rsid w:val="007B1656"/>
    <w:rsid w:val="007B2B88"/>
    <w:rsid w:val="007B661E"/>
    <w:rsid w:val="007B67F6"/>
    <w:rsid w:val="007B6AB6"/>
    <w:rsid w:val="007B7533"/>
    <w:rsid w:val="007C0DE3"/>
    <w:rsid w:val="007C1F1A"/>
    <w:rsid w:val="007C292E"/>
    <w:rsid w:val="007C4B28"/>
    <w:rsid w:val="007C5697"/>
    <w:rsid w:val="007C7D38"/>
    <w:rsid w:val="007D0AB7"/>
    <w:rsid w:val="007D4577"/>
    <w:rsid w:val="007D6A8F"/>
    <w:rsid w:val="007E1029"/>
    <w:rsid w:val="007E1300"/>
    <w:rsid w:val="007E67D9"/>
    <w:rsid w:val="007E736A"/>
    <w:rsid w:val="007F4D41"/>
    <w:rsid w:val="00800FD3"/>
    <w:rsid w:val="0080240B"/>
    <w:rsid w:val="00803486"/>
    <w:rsid w:val="0080667A"/>
    <w:rsid w:val="00810814"/>
    <w:rsid w:val="008113FD"/>
    <w:rsid w:val="00811510"/>
    <w:rsid w:val="00811AA4"/>
    <w:rsid w:val="008130CA"/>
    <w:rsid w:val="00813313"/>
    <w:rsid w:val="00814D11"/>
    <w:rsid w:val="00815578"/>
    <w:rsid w:val="00820144"/>
    <w:rsid w:val="0082131C"/>
    <w:rsid w:val="00826969"/>
    <w:rsid w:val="00827274"/>
    <w:rsid w:val="008304AA"/>
    <w:rsid w:val="00830B22"/>
    <w:rsid w:val="00831181"/>
    <w:rsid w:val="0083279C"/>
    <w:rsid w:val="00833BFA"/>
    <w:rsid w:val="00835FB6"/>
    <w:rsid w:val="00836FC8"/>
    <w:rsid w:val="008373D0"/>
    <w:rsid w:val="00843D88"/>
    <w:rsid w:val="00844FCC"/>
    <w:rsid w:val="00845874"/>
    <w:rsid w:val="00845CC7"/>
    <w:rsid w:val="008473B0"/>
    <w:rsid w:val="00850990"/>
    <w:rsid w:val="00853C3C"/>
    <w:rsid w:val="00857657"/>
    <w:rsid w:val="00857DDC"/>
    <w:rsid w:val="00857E26"/>
    <w:rsid w:val="008616B0"/>
    <w:rsid w:val="008619EA"/>
    <w:rsid w:val="00861E07"/>
    <w:rsid w:val="008629B5"/>
    <w:rsid w:val="0086395B"/>
    <w:rsid w:val="008653DF"/>
    <w:rsid w:val="00866660"/>
    <w:rsid w:val="00870ADC"/>
    <w:rsid w:val="0087581A"/>
    <w:rsid w:val="00876699"/>
    <w:rsid w:val="00882C5F"/>
    <w:rsid w:val="00887231"/>
    <w:rsid w:val="00887536"/>
    <w:rsid w:val="008909EE"/>
    <w:rsid w:val="00893113"/>
    <w:rsid w:val="008963C0"/>
    <w:rsid w:val="008964D3"/>
    <w:rsid w:val="008972C6"/>
    <w:rsid w:val="008A0E0C"/>
    <w:rsid w:val="008A52F3"/>
    <w:rsid w:val="008A79CD"/>
    <w:rsid w:val="008A7F4E"/>
    <w:rsid w:val="008B05ED"/>
    <w:rsid w:val="008B0D12"/>
    <w:rsid w:val="008B245D"/>
    <w:rsid w:val="008B5336"/>
    <w:rsid w:val="008C27D8"/>
    <w:rsid w:val="008C5E4F"/>
    <w:rsid w:val="008C7F4A"/>
    <w:rsid w:val="008D01AC"/>
    <w:rsid w:val="008D4BCC"/>
    <w:rsid w:val="008D7FBC"/>
    <w:rsid w:val="008E6DB9"/>
    <w:rsid w:val="008F0426"/>
    <w:rsid w:val="008F1E9A"/>
    <w:rsid w:val="008F50BA"/>
    <w:rsid w:val="008F6066"/>
    <w:rsid w:val="008F6C82"/>
    <w:rsid w:val="008F7E2C"/>
    <w:rsid w:val="00903791"/>
    <w:rsid w:val="00907047"/>
    <w:rsid w:val="00910B7A"/>
    <w:rsid w:val="00910D55"/>
    <w:rsid w:val="0091117B"/>
    <w:rsid w:val="00912795"/>
    <w:rsid w:val="009176B3"/>
    <w:rsid w:val="00917B20"/>
    <w:rsid w:val="009205E2"/>
    <w:rsid w:val="00920DD9"/>
    <w:rsid w:val="0092152D"/>
    <w:rsid w:val="00921569"/>
    <w:rsid w:val="009232FB"/>
    <w:rsid w:val="00924E00"/>
    <w:rsid w:val="0092750E"/>
    <w:rsid w:val="00944003"/>
    <w:rsid w:val="009454FF"/>
    <w:rsid w:val="00946794"/>
    <w:rsid w:val="00947C6C"/>
    <w:rsid w:val="00950EEE"/>
    <w:rsid w:val="0095711B"/>
    <w:rsid w:val="00957F3A"/>
    <w:rsid w:val="00961E00"/>
    <w:rsid w:val="009638EA"/>
    <w:rsid w:val="00963C85"/>
    <w:rsid w:val="0097553F"/>
    <w:rsid w:val="00976839"/>
    <w:rsid w:val="00981ADC"/>
    <w:rsid w:val="009820C8"/>
    <w:rsid w:val="009821EB"/>
    <w:rsid w:val="00982CEF"/>
    <w:rsid w:val="00987219"/>
    <w:rsid w:val="00987CB3"/>
    <w:rsid w:val="009912D8"/>
    <w:rsid w:val="009921C1"/>
    <w:rsid w:val="009A2A1E"/>
    <w:rsid w:val="009A2DFC"/>
    <w:rsid w:val="009A52CF"/>
    <w:rsid w:val="009A707B"/>
    <w:rsid w:val="009B04E1"/>
    <w:rsid w:val="009B0DB2"/>
    <w:rsid w:val="009B12CD"/>
    <w:rsid w:val="009B1E8E"/>
    <w:rsid w:val="009B20C9"/>
    <w:rsid w:val="009B39B1"/>
    <w:rsid w:val="009B5E54"/>
    <w:rsid w:val="009B783E"/>
    <w:rsid w:val="009C58DE"/>
    <w:rsid w:val="009C5F41"/>
    <w:rsid w:val="009C7279"/>
    <w:rsid w:val="009D2145"/>
    <w:rsid w:val="009D5028"/>
    <w:rsid w:val="009D58D1"/>
    <w:rsid w:val="009D6C2B"/>
    <w:rsid w:val="009E29DE"/>
    <w:rsid w:val="009E745A"/>
    <w:rsid w:val="009F2646"/>
    <w:rsid w:val="009F7BC7"/>
    <w:rsid w:val="00A0102B"/>
    <w:rsid w:val="00A02046"/>
    <w:rsid w:val="00A04D47"/>
    <w:rsid w:val="00A07F42"/>
    <w:rsid w:val="00A14877"/>
    <w:rsid w:val="00A14E39"/>
    <w:rsid w:val="00A15A1D"/>
    <w:rsid w:val="00A16315"/>
    <w:rsid w:val="00A20219"/>
    <w:rsid w:val="00A2541C"/>
    <w:rsid w:val="00A30B3C"/>
    <w:rsid w:val="00A30C32"/>
    <w:rsid w:val="00A317F6"/>
    <w:rsid w:val="00A331C2"/>
    <w:rsid w:val="00A3385D"/>
    <w:rsid w:val="00A33D75"/>
    <w:rsid w:val="00A37B85"/>
    <w:rsid w:val="00A4423D"/>
    <w:rsid w:val="00A505CE"/>
    <w:rsid w:val="00A509A8"/>
    <w:rsid w:val="00A530C1"/>
    <w:rsid w:val="00A542B7"/>
    <w:rsid w:val="00A552D2"/>
    <w:rsid w:val="00A5680C"/>
    <w:rsid w:val="00A569D3"/>
    <w:rsid w:val="00A71246"/>
    <w:rsid w:val="00A75526"/>
    <w:rsid w:val="00A76623"/>
    <w:rsid w:val="00A90AFA"/>
    <w:rsid w:val="00A9510F"/>
    <w:rsid w:val="00AA089B"/>
    <w:rsid w:val="00AA171D"/>
    <w:rsid w:val="00AA46E3"/>
    <w:rsid w:val="00AA774A"/>
    <w:rsid w:val="00AA7AFF"/>
    <w:rsid w:val="00AB312C"/>
    <w:rsid w:val="00AB5064"/>
    <w:rsid w:val="00AB69C5"/>
    <w:rsid w:val="00AB6D66"/>
    <w:rsid w:val="00AC1F27"/>
    <w:rsid w:val="00AC4EB9"/>
    <w:rsid w:val="00AC5C65"/>
    <w:rsid w:val="00AD14CE"/>
    <w:rsid w:val="00AD1709"/>
    <w:rsid w:val="00AD2360"/>
    <w:rsid w:val="00AD45A5"/>
    <w:rsid w:val="00AD47E3"/>
    <w:rsid w:val="00AD6F72"/>
    <w:rsid w:val="00AE1578"/>
    <w:rsid w:val="00AE2550"/>
    <w:rsid w:val="00AE2876"/>
    <w:rsid w:val="00AE3E77"/>
    <w:rsid w:val="00AE74BE"/>
    <w:rsid w:val="00AF05DF"/>
    <w:rsid w:val="00AF501F"/>
    <w:rsid w:val="00AF5589"/>
    <w:rsid w:val="00AF68CE"/>
    <w:rsid w:val="00B02150"/>
    <w:rsid w:val="00B04399"/>
    <w:rsid w:val="00B066F1"/>
    <w:rsid w:val="00B1086C"/>
    <w:rsid w:val="00B13A6A"/>
    <w:rsid w:val="00B13BEE"/>
    <w:rsid w:val="00B15DE7"/>
    <w:rsid w:val="00B15FB7"/>
    <w:rsid w:val="00B20E21"/>
    <w:rsid w:val="00B2120A"/>
    <w:rsid w:val="00B25833"/>
    <w:rsid w:val="00B25FAC"/>
    <w:rsid w:val="00B40BC9"/>
    <w:rsid w:val="00B4278A"/>
    <w:rsid w:val="00B43D6E"/>
    <w:rsid w:val="00B54E78"/>
    <w:rsid w:val="00B55C7E"/>
    <w:rsid w:val="00B561AA"/>
    <w:rsid w:val="00B637C7"/>
    <w:rsid w:val="00B66E58"/>
    <w:rsid w:val="00B723BE"/>
    <w:rsid w:val="00B744C2"/>
    <w:rsid w:val="00B748F9"/>
    <w:rsid w:val="00B74D4F"/>
    <w:rsid w:val="00B7664D"/>
    <w:rsid w:val="00B77D16"/>
    <w:rsid w:val="00B802FD"/>
    <w:rsid w:val="00B8146E"/>
    <w:rsid w:val="00B816F0"/>
    <w:rsid w:val="00B82705"/>
    <w:rsid w:val="00B83EBA"/>
    <w:rsid w:val="00B86E6A"/>
    <w:rsid w:val="00B953DB"/>
    <w:rsid w:val="00B95530"/>
    <w:rsid w:val="00B978DB"/>
    <w:rsid w:val="00BA4B7D"/>
    <w:rsid w:val="00BA695B"/>
    <w:rsid w:val="00BB212B"/>
    <w:rsid w:val="00BB2D96"/>
    <w:rsid w:val="00BB33AC"/>
    <w:rsid w:val="00BB4901"/>
    <w:rsid w:val="00BB49FC"/>
    <w:rsid w:val="00BB700A"/>
    <w:rsid w:val="00BB7A1F"/>
    <w:rsid w:val="00BC5307"/>
    <w:rsid w:val="00BC6E7E"/>
    <w:rsid w:val="00BD1384"/>
    <w:rsid w:val="00BD2C1C"/>
    <w:rsid w:val="00BD2F6C"/>
    <w:rsid w:val="00BD3844"/>
    <w:rsid w:val="00BD6165"/>
    <w:rsid w:val="00BD7DC3"/>
    <w:rsid w:val="00BE004B"/>
    <w:rsid w:val="00BE1303"/>
    <w:rsid w:val="00BE4287"/>
    <w:rsid w:val="00BF2305"/>
    <w:rsid w:val="00BF449E"/>
    <w:rsid w:val="00C02396"/>
    <w:rsid w:val="00C02779"/>
    <w:rsid w:val="00C04E43"/>
    <w:rsid w:val="00C0637C"/>
    <w:rsid w:val="00C065B2"/>
    <w:rsid w:val="00C06885"/>
    <w:rsid w:val="00C136FE"/>
    <w:rsid w:val="00C13C58"/>
    <w:rsid w:val="00C156B1"/>
    <w:rsid w:val="00C27D57"/>
    <w:rsid w:val="00C313F8"/>
    <w:rsid w:val="00C3215D"/>
    <w:rsid w:val="00C368A3"/>
    <w:rsid w:val="00C36F0F"/>
    <w:rsid w:val="00C3706D"/>
    <w:rsid w:val="00C3738F"/>
    <w:rsid w:val="00C3795F"/>
    <w:rsid w:val="00C40243"/>
    <w:rsid w:val="00C44348"/>
    <w:rsid w:val="00C44931"/>
    <w:rsid w:val="00C476EF"/>
    <w:rsid w:val="00C51765"/>
    <w:rsid w:val="00C5367A"/>
    <w:rsid w:val="00C5484F"/>
    <w:rsid w:val="00C556D9"/>
    <w:rsid w:val="00C57F1E"/>
    <w:rsid w:val="00C61DD1"/>
    <w:rsid w:val="00C623E6"/>
    <w:rsid w:val="00C63992"/>
    <w:rsid w:val="00C65D7D"/>
    <w:rsid w:val="00C677E2"/>
    <w:rsid w:val="00C7538D"/>
    <w:rsid w:val="00C75563"/>
    <w:rsid w:val="00C76442"/>
    <w:rsid w:val="00C80AD1"/>
    <w:rsid w:val="00C82C10"/>
    <w:rsid w:val="00C82CBA"/>
    <w:rsid w:val="00C84EF7"/>
    <w:rsid w:val="00C85C43"/>
    <w:rsid w:val="00C919C2"/>
    <w:rsid w:val="00C91E56"/>
    <w:rsid w:val="00C940CC"/>
    <w:rsid w:val="00C95D76"/>
    <w:rsid w:val="00C967E6"/>
    <w:rsid w:val="00CA3E80"/>
    <w:rsid w:val="00CA7B2E"/>
    <w:rsid w:val="00CB3111"/>
    <w:rsid w:val="00CB322A"/>
    <w:rsid w:val="00CB60AC"/>
    <w:rsid w:val="00CB666C"/>
    <w:rsid w:val="00CB6738"/>
    <w:rsid w:val="00CC0A9C"/>
    <w:rsid w:val="00CC4DE5"/>
    <w:rsid w:val="00CC7C92"/>
    <w:rsid w:val="00CD03E0"/>
    <w:rsid w:val="00CD148C"/>
    <w:rsid w:val="00CD5F69"/>
    <w:rsid w:val="00CE1C84"/>
    <w:rsid w:val="00CE64AC"/>
    <w:rsid w:val="00CF19D6"/>
    <w:rsid w:val="00CF38B8"/>
    <w:rsid w:val="00CF5041"/>
    <w:rsid w:val="00CF6512"/>
    <w:rsid w:val="00CF7EE1"/>
    <w:rsid w:val="00D0045A"/>
    <w:rsid w:val="00D01890"/>
    <w:rsid w:val="00D0277C"/>
    <w:rsid w:val="00D05E66"/>
    <w:rsid w:val="00D1061A"/>
    <w:rsid w:val="00D11A1D"/>
    <w:rsid w:val="00D2040C"/>
    <w:rsid w:val="00D227CD"/>
    <w:rsid w:val="00D22E3C"/>
    <w:rsid w:val="00D258B6"/>
    <w:rsid w:val="00D25C18"/>
    <w:rsid w:val="00D2681B"/>
    <w:rsid w:val="00D30C16"/>
    <w:rsid w:val="00D32662"/>
    <w:rsid w:val="00D3521B"/>
    <w:rsid w:val="00D425B4"/>
    <w:rsid w:val="00D47128"/>
    <w:rsid w:val="00D47DAB"/>
    <w:rsid w:val="00D50F1A"/>
    <w:rsid w:val="00D5115F"/>
    <w:rsid w:val="00D561AC"/>
    <w:rsid w:val="00D56242"/>
    <w:rsid w:val="00D566D4"/>
    <w:rsid w:val="00D5785B"/>
    <w:rsid w:val="00D6404A"/>
    <w:rsid w:val="00D65052"/>
    <w:rsid w:val="00D701AB"/>
    <w:rsid w:val="00D70DE1"/>
    <w:rsid w:val="00D722F1"/>
    <w:rsid w:val="00D730FE"/>
    <w:rsid w:val="00D826E4"/>
    <w:rsid w:val="00D840D9"/>
    <w:rsid w:val="00D8589D"/>
    <w:rsid w:val="00D858A2"/>
    <w:rsid w:val="00D8667C"/>
    <w:rsid w:val="00D86AB9"/>
    <w:rsid w:val="00D90BDB"/>
    <w:rsid w:val="00D94D39"/>
    <w:rsid w:val="00D94FCB"/>
    <w:rsid w:val="00D95663"/>
    <w:rsid w:val="00D95CCC"/>
    <w:rsid w:val="00D96B03"/>
    <w:rsid w:val="00D97A26"/>
    <w:rsid w:val="00D97BF1"/>
    <w:rsid w:val="00DA4464"/>
    <w:rsid w:val="00DA695F"/>
    <w:rsid w:val="00DA7EFD"/>
    <w:rsid w:val="00DB539B"/>
    <w:rsid w:val="00DB541A"/>
    <w:rsid w:val="00DB55BE"/>
    <w:rsid w:val="00DB7EDD"/>
    <w:rsid w:val="00DC1DDD"/>
    <w:rsid w:val="00DC278A"/>
    <w:rsid w:val="00DD11B7"/>
    <w:rsid w:val="00DD2B6F"/>
    <w:rsid w:val="00DD6207"/>
    <w:rsid w:val="00DD7C25"/>
    <w:rsid w:val="00DE3898"/>
    <w:rsid w:val="00DF0D11"/>
    <w:rsid w:val="00DF1910"/>
    <w:rsid w:val="00DF1FA1"/>
    <w:rsid w:val="00DF3E9F"/>
    <w:rsid w:val="00E002E9"/>
    <w:rsid w:val="00E00B7F"/>
    <w:rsid w:val="00E023E3"/>
    <w:rsid w:val="00E02701"/>
    <w:rsid w:val="00E02871"/>
    <w:rsid w:val="00E02D68"/>
    <w:rsid w:val="00E0398F"/>
    <w:rsid w:val="00E0434B"/>
    <w:rsid w:val="00E048B6"/>
    <w:rsid w:val="00E06C21"/>
    <w:rsid w:val="00E107AA"/>
    <w:rsid w:val="00E12E99"/>
    <w:rsid w:val="00E15A18"/>
    <w:rsid w:val="00E16FCB"/>
    <w:rsid w:val="00E17F59"/>
    <w:rsid w:val="00E22FF3"/>
    <w:rsid w:val="00E24B69"/>
    <w:rsid w:val="00E27F13"/>
    <w:rsid w:val="00E31350"/>
    <w:rsid w:val="00E31404"/>
    <w:rsid w:val="00E32266"/>
    <w:rsid w:val="00E32A1E"/>
    <w:rsid w:val="00E33990"/>
    <w:rsid w:val="00E414F2"/>
    <w:rsid w:val="00E41884"/>
    <w:rsid w:val="00E42E6F"/>
    <w:rsid w:val="00E43D0F"/>
    <w:rsid w:val="00E4483A"/>
    <w:rsid w:val="00E45B4A"/>
    <w:rsid w:val="00E46C9F"/>
    <w:rsid w:val="00E47911"/>
    <w:rsid w:val="00E47ED1"/>
    <w:rsid w:val="00E52127"/>
    <w:rsid w:val="00E54F3F"/>
    <w:rsid w:val="00E55081"/>
    <w:rsid w:val="00E5519D"/>
    <w:rsid w:val="00E57406"/>
    <w:rsid w:val="00E60B09"/>
    <w:rsid w:val="00E62E02"/>
    <w:rsid w:val="00E62F72"/>
    <w:rsid w:val="00E750DD"/>
    <w:rsid w:val="00E823EA"/>
    <w:rsid w:val="00E93645"/>
    <w:rsid w:val="00EA0A00"/>
    <w:rsid w:val="00EA0DBB"/>
    <w:rsid w:val="00EA2B49"/>
    <w:rsid w:val="00EA3EB3"/>
    <w:rsid w:val="00EA442D"/>
    <w:rsid w:val="00EA44CE"/>
    <w:rsid w:val="00EA4F36"/>
    <w:rsid w:val="00EA6DF8"/>
    <w:rsid w:val="00EA6E7B"/>
    <w:rsid w:val="00EA7B48"/>
    <w:rsid w:val="00EA7D4F"/>
    <w:rsid w:val="00EB1326"/>
    <w:rsid w:val="00EB16F7"/>
    <w:rsid w:val="00EB1C16"/>
    <w:rsid w:val="00EB3474"/>
    <w:rsid w:val="00EB5037"/>
    <w:rsid w:val="00EB5BB7"/>
    <w:rsid w:val="00EC15D8"/>
    <w:rsid w:val="00EC2BFA"/>
    <w:rsid w:val="00EC3358"/>
    <w:rsid w:val="00EC504C"/>
    <w:rsid w:val="00ED65E7"/>
    <w:rsid w:val="00EE0C5F"/>
    <w:rsid w:val="00EE34EE"/>
    <w:rsid w:val="00EE6858"/>
    <w:rsid w:val="00EE6A7B"/>
    <w:rsid w:val="00EE7C95"/>
    <w:rsid w:val="00EF1BCD"/>
    <w:rsid w:val="00EF48D3"/>
    <w:rsid w:val="00EF5EFA"/>
    <w:rsid w:val="00F029B7"/>
    <w:rsid w:val="00F05A21"/>
    <w:rsid w:val="00F069CC"/>
    <w:rsid w:val="00F1010B"/>
    <w:rsid w:val="00F11200"/>
    <w:rsid w:val="00F122FD"/>
    <w:rsid w:val="00F12420"/>
    <w:rsid w:val="00F13EAF"/>
    <w:rsid w:val="00F1596B"/>
    <w:rsid w:val="00F22078"/>
    <w:rsid w:val="00F22E03"/>
    <w:rsid w:val="00F23CC6"/>
    <w:rsid w:val="00F250F3"/>
    <w:rsid w:val="00F2666B"/>
    <w:rsid w:val="00F26872"/>
    <w:rsid w:val="00F3098F"/>
    <w:rsid w:val="00F31858"/>
    <w:rsid w:val="00F31DD8"/>
    <w:rsid w:val="00F33BF2"/>
    <w:rsid w:val="00F35D0F"/>
    <w:rsid w:val="00F36768"/>
    <w:rsid w:val="00F40510"/>
    <w:rsid w:val="00F41104"/>
    <w:rsid w:val="00F443A0"/>
    <w:rsid w:val="00F46AC8"/>
    <w:rsid w:val="00F50806"/>
    <w:rsid w:val="00F5123C"/>
    <w:rsid w:val="00F533CE"/>
    <w:rsid w:val="00F552C4"/>
    <w:rsid w:val="00F56DD2"/>
    <w:rsid w:val="00F60969"/>
    <w:rsid w:val="00F62D2A"/>
    <w:rsid w:val="00F65425"/>
    <w:rsid w:val="00F66181"/>
    <w:rsid w:val="00F661CD"/>
    <w:rsid w:val="00F714E1"/>
    <w:rsid w:val="00F717BC"/>
    <w:rsid w:val="00F71935"/>
    <w:rsid w:val="00F71A65"/>
    <w:rsid w:val="00F76A50"/>
    <w:rsid w:val="00F77C0B"/>
    <w:rsid w:val="00F8654D"/>
    <w:rsid w:val="00F92CF2"/>
    <w:rsid w:val="00F965BF"/>
    <w:rsid w:val="00F96B5B"/>
    <w:rsid w:val="00FA2976"/>
    <w:rsid w:val="00FA3BB3"/>
    <w:rsid w:val="00FA521C"/>
    <w:rsid w:val="00FA5462"/>
    <w:rsid w:val="00FA7221"/>
    <w:rsid w:val="00FB0B2D"/>
    <w:rsid w:val="00FB1FCB"/>
    <w:rsid w:val="00FB2316"/>
    <w:rsid w:val="00FB367A"/>
    <w:rsid w:val="00FB3E2D"/>
    <w:rsid w:val="00FC1FCE"/>
    <w:rsid w:val="00FC209A"/>
    <w:rsid w:val="00FC3839"/>
    <w:rsid w:val="00FC5333"/>
    <w:rsid w:val="00FC660E"/>
    <w:rsid w:val="00FC78C3"/>
    <w:rsid w:val="00FD2009"/>
    <w:rsid w:val="00FD2958"/>
    <w:rsid w:val="00FD7409"/>
    <w:rsid w:val="00FE08D5"/>
    <w:rsid w:val="00FE17FD"/>
    <w:rsid w:val="00FE3007"/>
    <w:rsid w:val="00FE3EE8"/>
    <w:rsid w:val="00FE4BD6"/>
    <w:rsid w:val="00FE75F5"/>
    <w:rsid w:val="00FF0480"/>
    <w:rsid w:val="00FF277C"/>
    <w:rsid w:val="00FF2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A1BD5B"/>
  <w15:chartTrackingRefBased/>
  <w15:docId w15:val="{464386A6-A695-4B0C-A2E2-708775A6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C7E"/>
    <w:pPr>
      <w:spacing w:before="240" w:after="24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050515"/>
    <w:pPr>
      <w:keepNext/>
      <w:keepLines/>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602386"/>
    <w:pPr>
      <w:keepNext/>
      <w:keepLines/>
      <w:spacing w:before="0"/>
      <w:outlineLvl w:val="1"/>
    </w:pPr>
    <w:rPr>
      <w:rFonts w:eastAsiaTheme="majorEastAsia" w:cstheme="majorBidi"/>
      <w:b/>
      <w:sz w:val="36"/>
      <w:szCs w:val="36"/>
    </w:rPr>
  </w:style>
  <w:style w:type="paragraph" w:styleId="Heading3">
    <w:name w:val="heading 3"/>
    <w:basedOn w:val="Normal"/>
    <w:next w:val="Normal"/>
    <w:link w:val="Heading3Char"/>
    <w:autoRedefine/>
    <w:uiPriority w:val="9"/>
    <w:unhideWhenUsed/>
    <w:qFormat/>
    <w:rsid w:val="000D0061"/>
    <w:pPr>
      <w:keepNext/>
      <w:keepLines/>
      <w:spacing w:before="0"/>
      <w:outlineLvl w:val="2"/>
    </w:pPr>
    <w:rPr>
      <w:rFonts w:eastAsia="Arial" w:cstheme="majorBidi"/>
      <w:b/>
    </w:rPr>
  </w:style>
  <w:style w:type="paragraph" w:styleId="Heading4">
    <w:name w:val="heading 4"/>
    <w:basedOn w:val="Normal"/>
    <w:next w:val="Normal"/>
    <w:link w:val="Heading4Char"/>
    <w:autoRedefine/>
    <w:uiPriority w:val="9"/>
    <w:unhideWhenUsed/>
    <w:qFormat/>
    <w:rsid w:val="000D0061"/>
    <w:pPr>
      <w:keepNext/>
      <w:keepLines/>
      <w:outlineLvl w:val="3"/>
    </w:pPr>
    <w:rPr>
      <w:rFonts w:eastAsia="Arial" w:cstheme="majorBidi"/>
      <w:bCs/>
      <w:i/>
      <w:lang w:eastAsia="ja-JP"/>
    </w:rPr>
  </w:style>
  <w:style w:type="paragraph" w:styleId="Heading5">
    <w:name w:val="heading 5"/>
    <w:basedOn w:val="Normal"/>
    <w:next w:val="Normal"/>
    <w:link w:val="Heading5Char"/>
    <w:autoRedefine/>
    <w:uiPriority w:val="9"/>
    <w:unhideWhenUsed/>
    <w:qFormat/>
    <w:rsid w:val="00C04E43"/>
    <w:pPr>
      <w:keepNext/>
      <w:keepLines/>
      <w:outlineLvl w:val="4"/>
    </w:pPr>
    <w:rPr>
      <w:rFonts w:eastAsiaTheme="majorEastAsia" w:cstheme="majorBidi"/>
      <w:b/>
      <w:i/>
    </w:rPr>
  </w:style>
  <w:style w:type="paragraph" w:styleId="Heading6">
    <w:name w:val="heading 6"/>
    <w:basedOn w:val="Normal"/>
    <w:next w:val="Normal"/>
    <w:link w:val="Heading6Char"/>
    <w:autoRedefine/>
    <w:uiPriority w:val="9"/>
    <w:unhideWhenUsed/>
    <w:qFormat/>
    <w:rsid w:val="00C04E43"/>
    <w:pPr>
      <w:keepNext/>
      <w:keepLines/>
      <w:outlineLvl w:val="5"/>
    </w:pPr>
    <w:rPr>
      <w:rFonts w:eastAsiaTheme="majorEastAsia" w:cstheme="majorBidi"/>
      <w:b/>
    </w:rPr>
  </w:style>
  <w:style w:type="paragraph" w:styleId="Heading7">
    <w:name w:val="heading 7"/>
    <w:basedOn w:val="Normal"/>
    <w:next w:val="Normal"/>
    <w:link w:val="Heading7Char"/>
    <w:autoRedefine/>
    <w:uiPriority w:val="9"/>
    <w:semiHidden/>
    <w:unhideWhenUsed/>
    <w:qFormat/>
    <w:rsid w:val="00443B1F"/>
    <w:pPr>
      <w:keepNext/>
      <w:keepLines/>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515"/>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602386"/>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0D0061"/>
    <w:rPr>
      <w:rFonts w:ascii="Arial" w:eastAsia="Arial" w:hAnsi="Arial" w:cstheme="majorBidi"/>
      <w:b/>
      <w:sz w:val="24"/>
      <w:szCs w:val="24"/>
    </w:rPr>
  </w:style>
  <w:style w:type="character" w:customStyle="1" w:styleId="Heading4Char">
    <w:name w:val="Heading 4 Char"/>
    <w:basedOn w:val="DefaultParagraphFont"/>
    <w:link w:val="Heading4"/>
    <w:uiPriority w:val="9"/>
    <w:rsid w:val="000D0061"/>
    <w:rPr>
      <w:rFonts w:ascii="Arial" w:eastAsia="Arial" w:hAnsi="Arial" w:cstheme="majorBidi"/>
      <w:bCs/>
      <w:i/>
      <w:sz w:val="24"/>
      <w:szCs w:val="24"/>
      <w:lang w:eastAsia="ja-JP"/>
    </w:rPr>
  </w:style>
  <w:style w:type="paragraph" w:styleId="Title">
    <w:name w:val="Title"/>
    <w:basedOn w:val="Normal"/>
    <w:next w:val="Normal"/>
    <w:link w:val="TitleChar"/>
    <w:uiPriority w:val="10"/>
    <w:qFormat/>
    <w:rsid w:val="007428B8"/>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04E43"/>
    <w:rPr>
      <w:rFonts w:ascii="Arial" w:eastAsiaTheme="majorEastAsia" w:hAnsi="Arial" w:cstheme="majorBidi"/>
      <w:b/>
      <w:i/>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C04E43"/>
    <w:rPr>
      <w:rFonts w:ascii="Arial" w:eastAsiaTheme="majorEastAsia" w:hAnsi="Arial" w:cstheme="majorBidi"/>
      <w:b/>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443B1F"/>
    <w:rPr>
      <w:rFonts w:ascii="Arial" w:eastAsiaTheme="majorEastAsia" w:hAnsi="Arial" w:cstheme="majorBidi"/>
      <w:i/>
      <w:iCs/>
      <w:color w:val="1F4D78" w:themeColor="accent1" w:themeShade="7F"/>
      <w:sz w:val="24"/>
      <w:szCs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semiHidden/>
    <w:unhideWhenUsed/>
    <w:rsid w:val="00E5519D"/>
    <w:rPr>
      <w:sz w:val="16"/>
      <w:szCs w:val="16"/>
    </w:rPr>
  </w:style>
  <w:style w:type="paragraph" w:customStyle="1" w:styleId="Default">
    <w:name w:val="Default"/>
    <w:rsid w:val="00E5519D"/>
    <w:pPr>
      <w:autoSpaceDE w:val="0"/>
      <w:autoSpaceDN w:val="0"/>
      <w:adjustRightInd w:val="0"/>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uiPriority w:val="99"/>
    <w:unhideWhenUsed/>
    <w:rsid w:val="00E5519D"/>
    <w:pPr>
      <w:spacing w:before="0" w:after="0"/>
    </w:pPr>
    <w:rPr>
      <w:sz w:val="20"/>
      <w:szCs w:val="20"/>
    </w:rPr>
  </w:style>
  <w:style w:type="character" w:customStyle="1" w:styleId="FootnoteTextChar">
    <w:name w:val="Footnote Text Char"/>
    <w:basedOn w:val="DefaultParagraphFont"/>
    <w:link w:val="FootnoteText"/>
    <w:uiPriority w:val="99"/>
    <w:rsid w:val="00E5519D"/>
    <w:rPr>
      <w:rFonts w:ascii="Arial" w:eastAsia="Times New Roman" w:hAnsi="Arial" w:cs="Times New Roman"/>
      <w:sz w:val="20"/>
      <w:szCs w:val="20"/>
    </w:rPr>
  </w:style>
  <w:style w:type="character" w:styleId="FootnoteReference">
    <w:name w:val="footnote reference"/>
    <w:basedOn w:val="DefaultParagraphFont"/>
    <w:uiPriority w:val="99"/>
    <w:unhideWhenUsed/>
    <w:rsid w:val="00E5519D"/>
    <w:rPr>
      <w:vertAlign w:val="superscript"/>
    </w:rPr>
  </w:style>
  <w:style w:type="paragraph" w:styleId="CommentText">
    <w:name w:val="annotation text"/>
    <w:basedOn w:val="Normal"/>
    <w:link w:val="CommentTextChar"/>
    <w:uiPriority w:val="99"/>
    <w:unhideWhenUsed/>
    <w:rsid w:val="00E5519D"/>
    <w:rPr>
      <w:sz w:val="20"/>
      <w:szCs w:val="20"/>
    </w:rPr>
  </w:style>
  <w:style w:type="character" w:customStyle="1" w:styleId="CommentTextChar">
    <w:name w:val="Comment Text Char"/>
    <w:basedOn w:val="DefaultParagraphFont"/>
    <w:link w:val="CommentText"/>
    <w:uiPriority w:val="99"/>
    <w:rsid w:val="00E5519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5519D"/>
    <w:rPr>
      <w:b/>
      <w:bCs/>
    </w:rPr>
  </w:style>
  <w:style w:type="character" w:customStyle="1" w:styleId="CommentSubjectChar">
    <w:name w:val="Comment Subject Char"/>
    <w:basedOn w:val="CommentTextChar"/>
    <w:link w:val="CommentSubject"/>
    <w:uiPriority w:val="99"/>
    <w:semiHidden/>
    <w:rsid w:val="00E5519D"/>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6064B9"/>
    <w:rPr>
      <w:color w:val="605E5C"/>
      <w:shd w:val="clear" w:color="auto" w:fill="E1DFDD"/>
    </w:rPr>
  </w:style>
  <w:style w:type="character" w:styleId="FollowedHyperlink">
    <w:name w:val="FollowedHyperlink"/>
    <w:basedOn w:val="DefaultParagraphFont"/>
    <w:uiPriority w:val="99"/>
    <w:semiHidden/>
    <w:unhideWhenUsed/>
    <w:rsid w:val="000412D3"/>
    <w:rPr>
      <w:color w:val="954F72" w:themeColor="followedHyperlink"/>
      <w:u w:val="single"/>
    </w:rPr>
  </w:style>
  <w:style w:type="paragraph" w:styleId="NormalWeb">
    <w:name w:val="Normal (Web)"/>
    <w:basedOn w:val="Normal"/>
    <w:uiPriority w:val="99"/>
    <w:unhideWhenUsed/>
    <w:rsid w:val="00AA46E3"/>
    <w:pPr>
      <w:spacing w:before="100" w:beforeAutospacing="1" w:after="100" w:afterAutospacing="1"/>
    </w:pPr>
    <w:rPr>
      <w:rFonts w:ascii="Times New Roman" w:hAnsi="Times New Roman"/>
    </w:rPr>
  </w:style>
  <w:style w:type="table" w:styleId="TableGrid">
    <w:name w:val="Table Grid"/>
    <w:basedOn w:val="TableNormal"/>
    <w:rsid w:val="005F62E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1D7E"/>
    <w:pPr>
      <w:spacing w:after="0" w:line="240" w:lineRule="auto"/>
    </w:pPr>
    <w:rPr>
      <w:rFonts w:ascii="Arial" w:eastAsia="Times New Roman" w:hAnsi="Arial" w:cs="Times New Roman"/>
      <w:sz w:val="24"/>
      <w:szCs w:val="24"/>
    </w:rPr>
  </w:style>
  <w:style w:type="paragraph" w:customStyle="1" w:styleId="TableHeading">
    <w:name w:val="Table Heading"/>
    <w:basedOn w:val="Normal"/>
    <w:link w:val="TableHeadingChar"/>
    <w:qFormat/>
    <w:rsid w:val="00B55C7E"/>
    <w:rPr>
      <w:b/>
      <w:szCs w:val="22"/>
    </w:rPr>
  </w:style>
  <w:style w:type="character" w:customStyle="1" w:styleId="TableHeadingChar">
    <w:name w:val="Table Heading Char"/>
    <w:basedOn w:val="DefaultParagraphFont"/>
    <w:link w:val="TableHeading"/>
    <w:rsid w:val="00B55C7E"/>
    <w:rPr>
      <w:rFonts w:ascii="Arial" w:eastAsia="Times New Roman" w:hAnsi="Arial"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58096">
      <w:bodyDiv w:val="1"/>
      <w:marLeft w:val="0"/>
      <w:marRight w:val="0"/>
      <w:marTop w:val="0"/>
      <w:marBottom w:val="0"/>
      <w:divBdr>
        <w:top w:val="none" w:sz="0" w:space="0" w:color="auto"/>
        <w:left w:val="none" w:sz="0" w:space="0" w:color="auto"/>
        <w:bottom w:val="none" w:sz="0" w:space="0" w:color="auto"/>
        <w:right w:val="none" w:sz="0" w:space="0" w:color="auto"/>
      </w:divBdr>
    </w:div>
    <w:div w:id="337655250">
      <w:bodyDiv w:val="1"/>
      <w:marLeft w:val="0"/>
      <w:marRight w:val="0"/>
      <w:marTop w:val="0"/>
      <w:marBottom w:val="0"/>
      <w:divBdr>
        <w:top w:val="none" w:sz="0" w:space="0" w:color="auto"/>
        <w:left w:val="none" w:sz="0" w:space="0" w:color="auto"/>
        <w:bottom w:val="none" w:sz="0" w:space="0" w:color="auto"/>
        <w:right w:val="none" w:sz="0" w:space="0" w:color="auto"/>
      </w:divBdr>
    </w:div>
    <w:div w:id="386415549">
      <w:bodyDiv w:val="1"/>
      <w:marLeft w:val="0"/>
      <w:marRight w:val="0"/>
      <w:marTop w:val="0"/>
      <w:marBottom w:val="0"/>
      <w:divBdr>
        <w:top w:val="none" w:sz="0" w:space="0" w:color="auto"/>
        <w:left w:val="none" w:sz="0" w:space="0" w:color="auto"/>
        <w:bottom w:val="none" w:sz="0" w:space="0" w:color="auto"/>
        <w:right w:val="none" w:sz="0" w:space="0" w:color="auto"/>
      </w:divBdr>
    </w:div>
    <w:div w:id="403724965">
      <w:bodyDiv w:val="1"/>
      <w:marLeft w:val="0"/>
      <w:marRight w:val="0"/>
      <w:marTop w:val="0"/>
      <w:marBottom w:val="0"/>
      <w:divBdr>
        <w:top w:val="none" w:sz="0" w:space="0" w:color="auto"/>
        <w:left w:val="none" w:sz="0" w:space="0" w:color="auto"/>
        <w:bottom w:val="none" w:sz="0" w:space="0" w:color="auto"/>
        <w:right w:val="none" w:sz="0" w:space="0" w:color="auto"/>
      </w:divBdr>
    </w:div>
    <w:div w:id="521436907">
      <w:bodyDiv w:val="1"/>
      <w:marLeft w:val="0"/>
      <w:marRight w:val="0"/>
      <w:marTop w:val="0"/>
      <w:marBottom w:val="0"/>
      <w:divBdr>
        <w:top w:val="none" w:sz="0" w:space="0" w:color="auto"/>
        <w:left w:val="none" w:sz="0" w:space="0" w:color="auto"/>
        <w:bottom w:val="none" w:sz="0" w:space="0" w:color="auto"/>
        <w:right w:val="none" w:sz="0" w:space="0" w:color="auto"/>
      </w:divBdr>
    </w:div>
    <w:div w:id="546527861">
      <w:bodyDiv w:val="1"/>
      <w:marLeft w:val="0"/>
      <w:marRight w:val="0"/>
      <w:marTop w:val="0"/>
      <w:marBottom w:val="0"/>
      <w:divBdr>
        <w:top w:val="none" w:sz="0" w:space="0" w:color="auto"/>
        <w:left w:val="none" w:sz="0" w:space="0" w:color="auto"/>
        <w:bottom w:val="none" w:sz="0" w:space="0" w:color="auto"/>
        <w:right w:val="none" w:sz="0" w:space="0" w:color="auto"/>
      </w:divBdr>
    </w:div>
    <w:div w:id="565527707">
      <w:bodyDiv w:val="1"/>
      <w:marLeft w:val="0"/>
      <w:marRight w:val="0"/>
      <w:marTop w:val="0"/>
      <w:marBottom w:val="0"/>
      <w:divBdr>
        <w:top w:val="none" w:sz="0" w:space="0" w:color="auto"/>
        <w:left w:val="none" w:sz="0" w:space="0" w:color="auto"/>
        <w:bottom w:val="none" w:sz="0" w:space="0" w:color="auto"/>
        <w:right w:val="none" w:sz="0" w:space="0" w:color="auto"/>
      </w:divBdr>
      <w:divsChild>
        <w:div w:id="711997831">
          <w:marLeft w:val="1080"/>
          <w:marRight w:val="0"/>
          <w:marTop w:val="100"/>
          <w:marBottom w:val="0"/>
          <w:divBdr>
            <w:top w:val="none" w:sz="0" w:space="0" w:color="auto"/>
            <w:left w:val="none" w:sz="0" w:space="0" w:color="auto"/>
            <w:bottom w:val="none" w:sz="0" w:space="0" w:color="auto"/>
            <w:right w:val="none" w:sz="0" w:space="0" w:color="auto"/>
          </w:divBdr>
        </w:div>
        <w:div w:id="362946141">
          <w:marLeft w:val="1080"/>
          <w:marRight w:val="0"/>
          <w:marTop w:val="100"/>
          <w:marBottom w:val="0"/>
          <w:divBdr>
            <w:top w:val="none" w:sz="0" w:space="0" w:color="auto"/>
            <w:left w:val="none" w:sz="0" w:space="0" w:color="auto"/>
            <w:bottom w:val="none" w:sz="0" w:space="0" w:color="auto"/>
            <w:right w:val="none" w:sz="0" w:space="0" w:color="auto"/>
          </w:divBdr>
        </w:div>
        <w:div w:id="124198664">
          <w:marLeft w:val="1080"/>
          <w:marRight w:val="0"/>
          <w:marTop w:val="100"/>
          <w:marBottom w:val="0"/>
          <w:divBdr>
            <w:top w:val="none" w:sz="0" w:space="0" w:color="auto"/>
            <w:left w:val="none" w:sz="0" w:space="0" w:color="auto"/>
            <w:bottom w:val="none" w:sz="0" w:space="0" w:color="auto"/>
            <w:right w:val="none" w:sz="0" w:space="0" w:color="auto"/>
          </w:divBdr>
        </w:div>
        <w:div w:id="1546872871">
          <w:marLeft w:val="1080"/>
          <w:marRight w:val="0"/>
          <w:marTop w:val="100"/>
          <w:marBottom w:val="0"/>
          <w:divBdr>
            <w:top w:val="none" w:sz="0" w:space="0" w:color="auto"/>
            <w:left w:val="none" w:sz="0" w:space="0" w:color="auto"/>
            <w:bottom w:val="none" w:sz="0" w:space="0" w:color="auto"/>
            <w:right w:val="none" w:sz="0" w:space="0" w:color="auto"/>
          </w:divBdr>
        </w:div>
        <w:div w:id="1844514060">
          <w:marLeft w:val="1080"/>
          <w:marRight w:val="0"/>
          <w:marTop w:val="100"/>
          <w:marBottom w:val="0"/>
          <w:divBdr>
            <w:top w:val="none" w:sz="0" w:space="0" w:color="auto"/>
            <w:left w:val="none" w:sz="0" w:space="0" w:color="auto"/>
            <w:bottom w:val="none" w:sz="0" w:space="0" w:color="auto"/>
            <w:right w:val="none" w:sz="0" w:space="0" w:color="auto"/>
          </w:divBdr>
        </w:div>
        <w:div w:id="242108779">
          <w:marLeft w:val="1080"/>
          <w:marRight w:val="0"/>
          <w:marTop w:val="100"/>
          <w:marBottom w:val="0"/>
          <w:divBdr>
            <w:top w:val="none" w:sz="0" w:space="0" w:color="auto"/>
            <w:left w:val="none" w:sz="0" w:space="0" w:color="auto"/>
            <w:bottom w:val="none" w:sz="0" w:space="0" w:color="auto"/>
            <w:right w:val="none" w:sz="0" w:space="0" w:color="auto"/>
          </w:divBdr>
        </w:div>
        <w:div w:id="756554936">
          <w:marLeft w:val="1080"/>
          <w:marRight w:val="0"/>
          <w:marTop w:val="100"/>
          <w:marBottom w:val="0"/>
          <w:divBdr>
            <w:top w:val="none" w:sz="0" w:space="0" w:color="auto"/>
            <w:left w:val="none" w:sz="0" w:space="0" w:color="auto"/>
            <w:bottom w:val="none" w:sz="0" w:space="0" w:color="auto"/>
            <w:right w:val="none" w:sz="0" w:space="0" w:color="auto"/>
          </w:divBdr>
        </w:div>
        <w:div w:id="668296081">
          <w:marLeft w:val="1080"/>
          <w:marRight w:val="0"/>
          <w:marTop w:val="100"/>
          <w:marBottom w:val="0"/>
          <w:divBdr>
            <w:top w:val="none" w:sz="0" w:space="0" w:color="auto"/>
            <w:left w:val="none" w:sz="0" w:space="0" w:color="auto"/>
            <w:bottom w:val="none" w:sz="0" w:space="0" w:color="auto"/>
            <w:right w:val="none" w:sz="0" w:space="0" w:color="auto"/>
          </w:divBdr>
        </w:div>
        <w:div w:id="1949963413">
          <w:marLeft w:val="1080"/>
          <w:marRight w:val="0"/>
          <w:marTop w:val="100"/>
          <w:marBottom w:val="0"/>
          <w:divBdr>
            <w:top w:val="none" w:sz="0" w:space="0" w:color="auto"/>
            <w:left w:val="none" w:sz="0" w:space="0" w:color="auto"/>
            <w:bottom w:val="none" w:sz="0" w:space="0" w:color="auto"/>
            <w:right w:val="none" w:sz="0" w:space="0" w:color="auto"/>
          </w:divBdr>
        </w:div>
      </w:divsChild>
    </w:div>
    <w:div w:id="589432287">
      <w:bodyDiv w:val="1"/>
      <w:marLeft w:val="0"/>
      <w:marRight w:val="0"/>
      <w:marTop w:val="0"/>
      <w:marBottom w:val="0"/>
      <w:divBdr>
        <w:top w:val="none" w:sz="0" w:space="0" w:color="auto"/>
        <w:left w:val="none" w:sz="0" w:space="0" w:color="auto"/>
        <w:bottom w:val="none" w:sz="0" w:space="0" w:color="auto"/>
        <w:right w:val="none" w:sz="0" w:space="0" w:color="auto"/>
      </w:divBdr>
      <w:divsChild>
        <w:div w:id="1996058239">
          <w:marLeft w:val="360"/>
          <w:marRight w:val="0"/>
          <w:marTop w:val="200"/>
          <w:marBottom w:val="0"/>
          <w:divBdr>
            <w:top w:val="none" w:sz="0" w:space="0" w:color="auto"/>
            <w:left w:val="none" w:sz="0" w:space="0" w:color="auto"/>
            <w:bottom w:val="none" w:sz="0" w:space="0" w:color="auto"/>
            <w:right w:val="none" w:sz="0" w:space="0" w:color="auto"/>
          </w:divBdr>
        </w:div>
      </w:divsChild>
    </w:div>
    <w:div w:id="649334735">
      <w:bodyDiv w:val="1"/>
      <w:marLeft w:val="0"/>
      <w:marRight w:val="0"/>
      <w:marTop w:val="0"/>
      <w:marBottom w:val="0"/>
      <w:divBdr>
        <w:top w:val="none" w:sz="0" w:space="0" w:color="auto"/>
        <w:left w:val="none" w:sz="0" w:space="0" w:color="auto"/>
        <w:bottom w:val="none" w:sz="0" w:space="0" w:color="auto"/>
        <w:right w:val="none" w:sz="0" w:space="0" w:color="auto"/>
      </w:divBdr>
    </w:div>
    <w:div w:id="779491949">
      <w:bodyDiv w:val="1"/>
      <w:marLeft w:val="0"/>
      <w:marRight w:val="0"/>
      <w:marTop w:val="0"/>
      <w:marBottom w:val="0"/>
      <w:divBdr>
        <w:top w:val="none" w:sz="0" w:space="0" w:color="auto"/>
        <w:left w:val="none" w:sz="0" w:space="0" w:color="auto"/>
        <w:bottom w:val="none" w:sz="0" w:space="0" w:color="auto"/>
        <w:right w:val="none" w:sz="0" w:space="0" w:color="auto"/>
      </w:divBdr>
    </w:div>
    <w:div w:id="1001391532">
      <w:bodyDiv w:val="1"/>
      <w:marLeft w:val="0"/>
      <w:marRight w:val="0"/>
      <w:marTop w:val="0"/>
      <w:marBottom w:val="0"/>
      <w:divBdr>
        <w:top w:val="none" w:sz="0" w:space="0" w:color="auto"/>
        <w:left w:val="none" w:sz="0" w:space="0" w:color="auto"/>
        <w:bottom w:val="none" w:sz="0" w:space="0" w:color="auto"/>
        <w:right w:val="none" w:sz="0" w:space="0" w:color="auto"/>
      </w:divBdr>
    </w:div>
    <w:div w:id="1183319363">
      <w:bodyDiv w:val="1"/>
      <w:marLeft w:val="0"/>
      <w:marRight w:val="0"/>
      <w:marTop w:val="0"/>
      <w:marBottom w:val="0"/>
      <w:divBdr>
        <w:top w:val="none" w:sz="0" w:space="0" w:color="auto"/>
        <w:left w:val="none" w:sz="0" w:space="0" w:color="auto"/>
        <w:bottom w:val="none" w:sz="0" w:space="0" w:color="auto"/>
        <w:right w:val="none" w:sz="0" w:space="0" w:color="auto"/>
      </w:divBdr>
      <w:divsChild>
        <w:div w:id="422839558">
          <w:marLeft w:val="1080"/>
          <w:marRight w:val="0"/>
          <w:marTop w:val="100"/>
          <w:marBottom w:val="0"/>
          <w:divBdr>
            <w:top w:val="none" w:sz="0" w:space="0" w:color="auto"/>
            <w:left w:val="none" w:sz="0" w:space="0" w:color="auto"/>
            <w:bottom w:val="none" w:sz="0" w:space="0" w:color="auto"/>
            <w:right w:val="none" w:sz="0" w:space="0" w:color="auto"/>
          </w:divBdr>
        </w:div>
        <w:div w:id="1707294804">
          <w:marLeft w:val="1080"/>
          <w:marRight w:val="0"/>
          <w:marTop w:val="100"/>
          <w:marBottom w:val="0"/>
          <w:divBdr>
            <w:top w:val="none" w:sz="0" w:space="0" w:color="auto"/>
            <w:left w:val="none" w:sz="0" w:space="0" w:color="auto"/>
            <w:bottom w:val="none" w:sz="0" w:space="0" w:color="auto"/>
            <w:right w:val="none" w:sz="0" w:space="0" w:color="auto"/>
          </w:divBdr>
        </w:div>
        <w:div w:id="1978073888">
          <w:marLeft w:val="1080"/>
          <w:marRight w:val="0"/>
          <w:marTop w:val="100"/>
          <w:marBottom w:val="0"/>
          <w:divBdr>
            <w:top w:val="none" w:sz="0" w:space="0" w:color="auto"/>
            <w:left w:val="none" w:sz="0" w:space="0" w:color="auto"/>
            <w:bottom w:val="none" w:sz="0" w:space="0" w:color="auto"/>
            <w:right w:val="none" w:sz="0" w:space="0" w:color="auto"/>
          </w:divBdr>
        </w:div>
        <w:div w:id="828056710">
          <w:marLeft w:val="1080"/>
          <w:marRight w:val="0"/>
          <w:marTop w:val="100"/>
          <w:marBottom w:val="0"/>
          <w:divBdr>
            <w:top w:val="none" w:sz="0" w:space="0" w:color="auto"/>
            <w:left w:val="none" w:sz="0" w:space="0" w:color="auto"/>
            <w:bottom w:val="none" w:sz="0" w:space="0" w:color="auto"/>
            <w:right w:val="none" w:sz="0" w:space="0" w:color="auto"/>
          </w:divBdr>
        </w:div>
        <w:div w:id="1575623117">
          <w:marLeft w:val="1080"/>
          <w:marRight w:val="0"/>
          <w:marTop w:val="100"/>
          <w:marBottom w:val="0"/>
          <w:divBdr>
            <w:top w:val="none" w:sz="0" w:space="0" w:color="auto"/>
            <w:left w:val="none" w:sz="0" w:space="0" w:color="auto"/>
            <w:bottom w:val="none" w:sz="0" w:space="0" w:color="auto"/>
            <w:right w:val="none" w:sz="0" w:space="0" w:color="auto"/>
          </w:divBdr>
        </w:div>
        <w:div w:id="1396859840">
          <w:marLeft w:val="1080"/>
          <w:marRight w:val="0"/>
          <w:marTop w:val="100"/>
          <w:marBottom w:val="0"/>
          <w:divBdr>
            <w:top w:val="none" w:sz="0" w:space="0" w:color="auto"/>
            <w:left w:val="none" w:sz="0" w:space="0" w:color="auto"/>
            <w:bottom w:val="none" w:sz="0" w:space="0" w:color="auto"/>
            <w:right w:val="none" w:sz="0" w:space="0" w:color="auto"/>
          </w:divBdr>
        </w:div>
        <w:div w:id="1622954254">
          <w:marLeft w:val="1080"/>
          <w:marRight w:val="0"/>
          <w:marTop w:val="100"/>
          <w:marBottom w:val="0"/>
          <w:divBdr>
            <w:top w:val="none" w:sz="0" w:space="0" w:color="auto"/>
            <w:left w:val="none" w:sz="0" w:space="0" w:color="auto"/>
            <w:bottom w:val="none" w:sz="0" w:space="0" w:color="auto"/>
            <w:right w:val="none" w:sz="0" w:space="0" w:color="auto"/>
          </w:divBdr>
        </w:div>
        <w:div w:id="906260703">
          <w:marLeft w:val="1080"/>
          <w:marRight w:val="0"/>
          <w:marTop w:val="100"/>
          <w:marBottom w:val="0"/>
          <w:divBdr>
            <w:top w:val="none" w:sz="0" w:space="0" w:color="auto"/>
            <w:left w:val="none" w:sz="0" w:space="0" w:color="auto"/>
            <w:bottom w:val="none" w:sz="0" w:space="0" w:color="auto"/>
            <w:right w:val="none" w:sz="0" w:space="0" w:color="auto"/>
          </w:divBdr>
        </w:div>
        <w:div w:id="1272711647">
          <w:marLeft w:val="1080"/>
          <w:marRight w:val="0"/>
          <w:marTop w:val="100"/>
          <w:marBottom w:val="0"/>
          <w:divBdr>
            <w:top w:val="none" w:sz="0" w:space="0" w:color="auto"/>
            <w:left w:val="none" w:sz="0" w:space="0" w:color="auto"/>
            <w:bottom w:val="none" w:sz="0" w:space="0" w:color="auto"/>
            <w:right w:val="none" w:sz="0" w:space="0" w:color="auto"/>
          </w:divBdr>
        </w:div>
      </w:divsChild>
    </w:div>
    <w:div w:id="1366296902">
      <w:bodyDiv w:val="1"/>
      <w:marLeft w:val="0"/>
      <w:marRight w:val="0"/>
      <w:marTop w:val="0"/>
      <w:marBottom w:val="0"/>
      <w:divBdr>
        <w:top w:val="none" w:sz="0" w:space="0" w:color="auto"/>
        <w:left w:val="none" w:sz="0" w:space="0" w:color="auto"/>
        <w:bottom w:val="none" w:sz="0" w:space="0" w:color="auto"/>
        <w:right w:val="none" w:sz="0" w:space="0" w:color="auto"/>
      </w:divBdr>
    </w:div>
    <w:div w:id="1378972004">
      <w:bodyDiv w:val="1"/>
      <w:marLeft w:val="0"/>
      <w:marRight w:val="0"/>
      <w:marTop w:val="0"/>
      <w:marBottom w:val="0"/>
      <w:divBdr>
        <w:top w:val="none" w:sz="0" w:space="0" w:color="auto"/>
        <w:left w:val="none" w:sz="0" w:space="0" w:color="auto"/>
        <w:bottom w:val="none" w:sz="0" w:space="0" w:color="auto"/>
        <w:right w:val="none" w:sz="0" w:space="0" w:color="auto"/>
      </w:divBdr>
    </w:div>
    <w:div w:id="1565944066">
      <w:bodyDiv w:val="1"/>
      <w:marLeft w:val="0"/>
      <w:marRight w:val="0"/>
      <w:marTop w:val="0"/>
      <w:marBottom w:val="0"/>
      <w:divBdr>
        <w:top w:val="none" w:sz="0" w:space="0" w:color="auto"/>
        <w:left w:val="none" w:sz="0" w:space="0" w:color="auto"/>
        <w:bottom w:val="none" w:sz="0" w:space="0" w:color="auto"/>
        <w:right w:val="none" w:sz="0" w:space="0" w:color="auto"/>
      </w:divBdr>
    </w:div>
    <w:div w:id="1579168447">
      <w:bodyDiv w:val="1"/>
      <w:marLeft w:val="0"/>
      <w:marRight w:val="0"/>
      <w:marTop w:val="0"/>
      <w:marBottom w:val="0"/>
      <w:divBdr>
        <w:top w:val="none" w:sz="0" w:space="0" w:color="auto"/>
        <w:left w:val="none" w:sz="0" w:space="0" w:color="auto"/>
        <w:bottom w:val="none" w:sz="0" w:space="0" w:color="auto"/>
        <w:right w:val="none" w:sz="0" w:space="0" w:color="auto"/>
      </w:divBdr>
    </w:div>
    <w:div w:id="1721510676">
      <w:bodyDiv w:val="1"/>
      <w:marLeft w:val="0"/>
      <w:marRight w:val="0"/>
      <w:marTop w:val="0"/>
      <w:marBottom w:val="0"/>
      <w:divBdr>
        <w:top w:val="none" w:sz="0" w:space="0" w:color="auto"/>
        <w:left w:val="none" w:sz="0" w:space="0" w:color="auto"/>
        <w:bottom w:val="none" w:sz="0" w:space="0" w:color="auto"/>
        <w:right w:val="none" w:sz="0" w:space="0" w:color="auto"/>
      </w:divBdr>
    </w:div>
    <w:div w:id="2076513264">
      <w:bodyDiv w:val="1"/>
      <w:marLeft w:val="0"/>
      <w:marRight w:val="0"/>
      <w:marTop w:val="0"/>
      <w:marBottom w:val="0"/>
      <w:divBdr>
        <w:top w:val="none" w:sz="0" w:space="0" w:color="auto"/>
        <w:left w:val="none" w:sz="0" w:space="0" w:color="auto"/>
        <w:bottom w:val="none" w:sz="0" w:space="0" w:color="auto"/>
        <w:right w:val="none" w:sz="0" w:space="0" w:color="auto"/>
      </w:divBdr>
    </w:div>
    <w:div w:id="2080588004">
      <w:bodyDiv w:val="1"/>
      <w:marLeft w:val="0"/>
      <w:marRight w:val="0"/>
      <w:marTop w:val="0"/>
      <w:marBottom w:val="0"/>
      <w:divBdr>
        <w:top w:val="none" w:sz="0" w:space="0" w:color="auto"/>
        <w:left w:val="none" w:sz="0" w:space="0" w:color="auto"/>
        <w:bottom w:val="none" w:sz="0" w:space="0" w:color="auto"/>
        <w:right w:val="none" w:sz="0" w:space="0" w:color="auto"/>
      </w:divBdr>
    </w:div>
    <w:div w:id="213578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be/ag/ag/yr20/agenda202007.asp" TargetMode="External"/><Relationship Id="rId18" Type="http://schemas.openxmlformats.org/officeDocument/2006/relationships/hyperlink" Target="https://www.cde.ca.gov/be/ag/ag/yr23/documents/mar23item10a2.pdf" TargetMode="External"/><Relationship Id="rId26" Type="http://schemas.openxmlformats.org/officeDocument/2006/relationships/hyperlink" Target="https://www.cde.ca.gov/be/ag/ag/yr23/documents/mar23item10a10.pdf" TargetMode="External"/><Relationship Id="rId3" Type="http://schemas.openxmlformats.org/officeDocument/2006/relationships/customXml" Target="../customXml/item3.xml"/><Relationship Id="rId21" Type="http://schemas.openxmlformats.org/officeDocument/2006/relationships/hyperlink" Target="https://www.cde.ca.gov/be/ag/ag/yr23/documents/mar23item10a5.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de.ca.gov/be/cc/cs/accsnotice060920.asp" TargetMode="External"/><Relationship Id="rId17" Type="http://schemas.openxmlformats.org/officeDocument/2006/relationships/hyperlink" Target="https://www.cde.ca.gov/be/ag/ag/yr23/agenda202303.asp" TargetMode="External"/><Relationship Id="rId25" Type="http://schemas.openxmlformats.org/officeDocument/2006/relationships/hyperlink" Target="https://www.cde.ca.gov/be/ag/ag/yr23/documents/mar23item10a9.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de.ca.gov/be/mt/ms/documents/finalminutes1314jul2022.docx" TargetMode="External"/><Relationship Id="rId20" Type="http://schemas.openxmlformats.org/officeDocument/2006/relationships/hyperlink" Target="https://www.cde.ca.gov/be/ag/ag/yr23/documents/mar23item10a4.pdf" TargetMode="External"/><Relationship Id="rId29" Type="http://schemas.openxmlformats.org/officeDocument/2006/relationships/hyperlink" Target="https://www.cde.ca.gov/be/ag/ag/yr23/documents/mar23item10a1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be/cc/cs/documents/accs-jun20item06a7.pdf" TargetMode="External"/><Relationship Id="rId24" Type="http://schemas.openxmlformats.org/officeDocument/2006/relationships/hyperlink" Target="https://www.cde.ca.gov/be/ag/ag/yr23/documents/mar23item10a8.pdf"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cde.ca.gov/be/ag/ag/yr22/agenda202207.asp" TargetMode="External"/><Relationship Id="rId23" Type="http://schemas.openxmlformats.org/officeDocument/2006/relationships/hyperlink" Target="https://www.cde.ca.gov/be/ag/ag/yr23/documents/mar23item10a7.pdf" TargetMode="External"/><Relationship Id="rId28" Type="http://schemas.openxmlformats.org/officeDocument/2006/relationships/hyperlink" Target="https://www.cde.ca.gov/be/ag/ag/yr23/documents/mar23item10a12.pdf" TargetMode="External"/><Relationship Id="rId10" Type="http://schemas.openxmlformats.org/officeDocument/2006/relationships/endnotes" Target="endnotes.xml"/><Relationship Id="rId19" Type="http://schemas.openxmlformats.org/officeDocument/2006/relationships/hyperlink" Target="https://www.cde.ca.gov/be/ag/ag/yr23/documents/mar23item10a3.pdf"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be/mt/ms/documents/finalminutes0809jul2020.docx" TargetMode="External"/><Relationship Id="rId22" Type="http://schemas.openxmlformats.org/officeDocument/2006/relationships/hyperlink" Target="https://www.cde.ca.gov/be/ag/ag/yr23/documents/mar23item10a6.pdf" TargetMode="External"/><Relationship Id="rId27" Type="http://schemas.openxmlformats.org/officeDocument/2006/relationships/hyperlink" Target="https://www.cde.ca.gov/be/ag/ag/yr23/documents/mar23item10a11.pdf"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dff3dbb-61e3-4368-bf92-1d68c8a56cf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D0B19BA4EF6B4B9A0FC77EC9FA340A" ma:contentTypeVersion="15" ma:contentTypeDescription="Create a new document." ma:contentTypeScope="" ma:versionID="dcfdc156d644a8bc5e72960f064dac0b">
  <xsd:schema xmlns:xsd="http://www.w3.org/2001/XMLSchema" xmlns:xs="http://www.w3.org/2001/XMLSchema" xmlns:p="http://schemas.microsoft.com/office/2006/metadata/properties" xmlns:ns3="8dff3dbb-61e3-4368-bf92-1d68c8a56cf7" xmlns:ns4="7f86d84b-5758-488d-8258-cb4d5195d36f" targetNamespace="http://schemas.microsoft.com/office/2006/metadata/properties" ma:root="true" ma:fieldsID="465d7262f4bec270c5590c5edb16c69e" ns3:_="" ns4:_="">
    <xsd:import namespace="8dff3dbb-61e3-4368-bf92-1d68c8a56cf7"/>
    <xsd:import namespace="7f86d84b-5758-488d-8258-cb4d5195d3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f3dbb-61e3-4368-bf92-1d68c8a56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6d84b-5758-488d-8258-cb4d5195d3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A7150-CDE2-4D81-998D-EDD2B4F9A79B}">
  <ds:schemaRefs>
    <ds:schemaRef ds:uri="http://purl.org/dc/terms/"/>
    <ds:schemaRef ds:uri="8dff3dbb-61e3-4368-bf92-1d68c8a56cf7"/>
    <ds:schemaRef ds:uri="http://schemas.microsoft.com/office/2006/documentManagement/types"/>
    <ds:schemaRef ds:uri="7f86d84b-5758-488d-8258-cb4d5195d36f"/>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8D55629-82EE-48C1-B8FF-C71CC864759A}">
  <ds:schemaRefs>
    <ds:schemaRef ds:uri="http://schemas.openxmlformats.org/officeDocument/2006/bibliography"/>
  </ds:schemaRefs>
</ds:datastoreItem>
</file>

<file path=customXml/itemProps3.xml><?xml version="1.0" encoding="utf-8"?>
<ds:datastoreItem xmlns:ds="http://schemas.openxmlformats.org/officeDocument/2006/customXml" ds:itemID="{45950FB3-2B4C-4FF0-A2F5-9D2283549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f3dbb-61e3-4368-bf92-1d68c8a56cf7"/>
    <ds:schemaRef ds:uri="7f86d84b-5758-488d-8258-cb4d5195d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3220BC-A1D7-40FE-A630-33F5B6719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5321</Words>
  <Characters>34857</Characters>
  <Application>Microsoft Office Word</Application>
  <DocSecurity>0</DocSecurity>
  <Lines>2178</Lines>
  <Paragraphs>979</Paragraphs>
  <ScaleCrop>false</ScaleCrop>
  <HeadingPairs>
    <vt:vector size="2" baseType="variant">
      <vt:variant>
        <vt:lpstr>Title</vt:lpstr>
      </vt:variant>
      <vt:variant>
        <vt:i4>1</vt:i4>
      </vt:variant>
    </vt:vector>
  </HeadingPairs>
  <TitlesOfParts>
    <vt:vector size="1" baseType="lpstr">
      <vt:lpstr>April 2023 ACCS Agenda Item 04 - Advisory Commission on Charter Schools (CA State Board of Education)</vt:lpstr>
    </vt:vector>
  </TitlesOfParts>
  <Company>CA Department of Education</Company>
  <LinksUpToDate>false</LinksUpToDate>
  <CharactersWithSpaces>39199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2023 ACCS Agenda Item 04 - Advisory Commission on Charter Schools (CA State Board of Education)</dc:title>
  <dc:subject>T.I.M.E. Community: Consider Evidence Regarding a Notice of Violation Issued by the California State Board of Education, pursuant to California Education Code.</dc:subject>
  <dc:creator>Makenna Huey</dc:creator>
  <cp:keywords/>
  <dc:description/>
  <cp:lastModifiedBy>Shauna Rodriguez</cp:lastModifiedBy>
  <cp:revision>3</cp:revision>
  <cp:lastPrinted>2023-03-31T19:24:00Z</cp:lastPrinted>
  <dcterms:created xsi:type="dcterms:W3CDTF">2023-04-07T18:56:00Z</dcterms:created>
  <dcterms:modified xsi:type="dcterms:W3CDTF">2023-04-07T19:03:00Z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0x0101009ED0B19BA4EF6B4B9A0FC77EC9FA340A</vt:lpwstr>
  </property>
</Properties>
</file>