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E7DB" w14:textId="48703B56" w:rsidR="00EF48D3" w:rsidRPr="00780B44" w:rsidRDefault="002D6EC8" w:rsidP="002A09AA">
      <w:pPr>
        <w:spacing w:line="240" w:lineRule="auto"/>
        <w:rPr>
          <w:rFonts w:cs="Arial"/>
        </w:rPr>
      </w:pPr>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r w:rsidR="00045B9A">
        <w:rPr>
          <w:rFonts w:cs="Arial"/>
        </w:rPr>
        <w:t>dec</w:t>
      </w:r>
      <w:r w:rsidR="004F4157">
        <w:rPr>
          <w:rFonts w:cs="Arial"/>
        </w:rPr>
        <w:t>2</w:t>
      </w:r>
      <w:r w:rsidR="008C37D4">
        <w:rPr>
          <w:rFonts w:cs="Arial"/>
        </w:rPr>
        <w:t>2</w:t>
      </w:r>
      <w:r w:rsidR="008F7BC4" w:rsidRPr="00780B44">
        <w:rPr>
          <w:rFonts w:cs="Arial"/>
        </w:rPr>
        <w:t>item0</w:t>
      </w:r>
      <w:r w:rsidR="00263A48">
        <w:rPr>
          <w:rFonts w:cs="Arial"/>
        </w:rPr>
        <w:t>1</w:t>
      </w:r>
    </w:p>
    <w:p w14:paraId="4F987488" w14:textId="77777777" w:rsidR="00050515" w:rsidRPr="00780B44" w:rsidRDefault="00050515" w:rsidP="008F7BC4">
      <w:pPr>
        <w:pStyle w:val="NoSpacing"/>
        <w:spacing w:before="120"/>
        <w:jc w:val="center"/>
        <w:rPr>
          <w:b/>
          <w:sz w:val="32"/>
          <w:szCs w:val="32"/>
        </w:rPr>
      </w:pPr>
      <w:r w:rsidRPr="00780B44">
        <w:rPr>
          <w:b/>
          <w:sz w:val="32"/>
          <w:szCs w:val="32"/>
        </w:rPr>
        <w:t>ADVISORY COMMISSION ON CHARTER SCHOOLS</w:t>
      </w:r>
    </w:p>
    <w:p w14:paraId="26BB5330" w14:textId="77777777" w:rsidR="00050515" w:rsidRPr="00780B44" w:rsidRDefault="00050515" w:rsidP="008F7BC4">
      <w:pPr>
        <w:spacing w:before="0" w:line="240" w:lineRule="auto"/>
        <w:jc w:val="center"/>
      </w:pPr>
      <w:r w:rsidRPr="00780B44">
        <w:t>AN ADVISORY BODY TO THE STATE BOARD OF EDUCATION</w:t>
      </w:r>
    </w:p>
    <w:p w14:paraId="7B731161" w14:textId="5738B16B" w:rsidR="00050515" w:rsidRDefault="00045B9A" w:rsidP="008F7BC4">
      <w:pPr>
        <w:pStyle w:val="Heading1"/>
        <w:spacing w:line="240" w:lineRule="auto"/>
      </w:pPr>
      <w:r>
        <w:t>December</w:t>
      </w:r>
      <w:r w:rsidR="00604A25" w:rsidRPr="00780B44">
        <w:t xml:space="preserve"> 202</w:t>
      </w:r>
      <w:r w:rsidR="008C37D4">
        <w:t>2</w:t>
      </w:r>
      <w:r w:rsidR="00050515" w:rsidRPr="00780B44">
        <w:t xml:space="preserve"> Agenda</w:t>
      </w:r>
      <w:r w:rsidR="00510736">
        <w:br/>
      </w:r>
      <w:r w:rsidR="00050515" w:rsidRPr="00780B44">
        <w:t>Item #</w:t>
      </w:r>
      <w:r w:rsidR="008F7BC4" w:rsidRPr="00780B44">
        <w:t>0</w:t>
      </w:r>
      <w:r w:rsidR="00263A48">
        <w:t>1</w:t>
      </w:r>
    </w:p>
    <w:p w14:paraId="086EB83E" w14:textId="77777777" w:rsidR="00FC1FCE" w:rsidRPr="001B3958" w:rsidRDefault="00FC1FCE" w:rsidP="00E94E5E">
      <w:pPr>
        <w:pStyle w:val="Heading2"/>
      </w:pPr>
      <w:r w:rsidRPr="001B3958">
        <w:t>Subject</w:t>
      </w:r>
    </w:p>
    <w:p w14:paraId="1A9EDBB2" w14:textId="5D61B0D2" w:rsidR="008F7BC4" w:rsidRPr="0064766D" w:rsidRDefault="00ED652A" w:rsidP="005F0AAC">
      <w:pPr>
        <w:spacing w:before="240" w:after="240" w:line="240" w:lineRule="auto"/>
      </w:pPr>
      <w:r w:rsidRPr="00D13ED8">
        <w:t>Consideration of</w:t>
      </w:r>
      <w:r>
        <w:t xml:space="preserve"> Reques</w:t>
      </w:r>
      <w:r w:rsidR="009D305E">
        <w:t>t</w:t>
      </w:r>
      <w:r w:rsidR="00272FFD">
        <w:t>s</w:t>
      </w:r>
      <w:r>
        <w:t xml:space="preserve"> for Determination of Funding </w:t>
      </w:r>
      <w:r w:rsidR="00045B9A">
        <w:t xml:space="preserve">with “Reasonable Basis”/Mitigating Circumstances </w:t>
      </w:r>
      <w:r>
        <w:t>a</w:t>
      </w:r>
      <w:r w:rsidR="00C9454F">
        <w:t>s Required for</w:t>
      </w:r>
      <w:r w:rsidR="008F7BC4">
        <w:t xml:space="preserve"> Nonclassroom-</w:t>
      </w:r>
      <w:r w:rsidR="007617EF">
        <w:t>B</w:t>
      </w:r>
      <w:r w:rsidR="008F7BC4">
        <w:t>ased Charter School</w:t>
      </w:r>
      <w:r w:rsidR="00C9454F">
        <w:t>s</w:t>
      </w:r>
      <w:r w:rsidR="008F7BC4">
        <w:t xml:space="preserve"> Pursuant to </w:t>
      </w:r>
      <w:r w:rsidR="008F7BC4" w:rsidRPr="008306A7">
        <w:rPr>
          <w:rFonts w:cs="Arial"/>
        </w:rPr>
        <w:t>California</w:t>
      </w:r>
      <w:r w:rsidR="008F7BC4">
        <w:rPr>
          <w:rFonts w:cs="Arial"/>
          <w:i/>
        </w:rPr>
        <w:t xml:space="preserve"> </w:t>
      </w:r>
      <w:r w:rsidR="008F7BC4" w:rsidRPr="003639BA">
        <w:rPr>
          <w:rFonts w:cs="Arial"/>
          <w:i/>
        </w:rPr>
        <w:t>E</w:t>
      </w:r>
      <w:r w:rsidR="008F7BC4">
        <w:rPr>
          <w:rFonts w:cs="Arial"/>
          <w:i/>
        </w:rPr>
        <w:t xml:space="preserve">ducation Code </w:t>
      </w:r>
      <w:r w:rsidR="008F7BC4">
        <w:rPr>
          <w:rFonts w:cs="Arial"/>
        </w:rPr>
        <w:t xml:space="preserve">sections 47612.5 and 47634.2, and Associated </w:t>
      </w:r>
      <w:r w:rsidR="008F7BC4" w:rsidRPr="0015561B">
        <w:rPr>
          <w:rFonts w:cs="Arial"/>
          <w:i/>
        </w:rPr>
        <w:t>California Code of Regulations</w:t>
      </w:r>
      <w:r w:rsidR="008F7BC4">
        <w:rPr>
          <w:rFonts w:cs="Arial"/>
        </w:rPr>
        <w:t>, Title 5.</w:t>
      </w:r>
    </w:p>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8F7BC4">
      <w:pPr>
        <w:spacing w:line="240" w:lineRule="auto"/>
      </w:pPr>
      <w:r w:rsidRPr="0055124C">
        <w:t>Action, Information</w:t>
      </w:r>
    </w:p>
    <w:p w14:paraId="4F1F3903" w14:textId="77777777" w:rsidR="008F7BC4" w:rsidRPr="001B3958" w:rsidRDefault="008F7BC4" w:rsidP="00E94E5E">
      <w:pPr>
        <w:pStyle w:val="Heading2"/>
      </w:pPr>
      <w:r>
        <w:t>Summary of the Issue</w:t>
      </w:r>
    </w:p>
    <w:p w14:paraId="0EE56D5F" w14:textId="6428FD43" w:rsidR="004C1016" w:rsidRDefault="004C1016" w:rsidP="004C1016">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w:t>
      </w:r>
      <w:r w:rsidR="00546DFA">
        <w:rPr>
          <w:rFonts w:cs="Arial"/>
        </w:rPr>
        <w:t xml:space="preserve"> that offers NCB instruction </w:t>
      </w:r>
      <w:r w:rsidR="004D7E48">
        <w:rPr>
          <w:rFonts w:cs="Arial"/>
        </w:rPr>
        <w:t xml:space="preserve">in excess of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 xml:space="preserve">may receive apportionment funding for NCB instruction only if a determination of funding is made by the </w:t>
      </w:r>
      <w:r w:rsidR="008F426F">
        <w:rPr>
          <w:rFonts w:cs="Arial"/>
        </w:rPr>
        <w:t xml:space="preserve">California </w:t>
      </w:r>
      <w:r>
        <w:rPr>
          <w:rFonts w:cs="Arial"/>
        </w:rPr>
        <w:t>State Board of Education (SBE). The California Department of Education (CDE) reviews a charter school’s determination of funding request and presents it for consideration by the Advisory Commission on Charter Schools</w:t>
      </w:r>
      <w:r w:rsidR="00A0798C">
        <w:rPr>
          <w:rFonts w:cs="Arial"/>
        </w:rPr>
        <w:t xml:space="preserve"> (ACCS)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0" w:name="_Hlk37434151"/>
      <w:r w:rsidR="00045B9A">
        <w:rPr>
          <w:rFonts w:cs="Arial"/>
        </w:rPr>
        <w:t xml:space="preserve"> </w:t>
      </w:r>
      <w:r w:rsidR="00045B9A" w:rsidRPr="00211E16">
        <w:rPr>
          <w:rFonts w:cs="Arial"/>
        </w:rPr>
        <w:t>The ACCS may include the consideration of mitigating circumstances in conjunction with a recommendation to the SBE.</w:t>
      </w:r>
    </w:p>
    <w:p w14:paraId="082662D4" w14:textId="3FE46FA2" w:rsidR="009B626D" w:rsidRDefault="00272FFD" w:rsidP="004C1016">
      <w:pPr>
        <w:spacing w:before="240" w:after="240" w:line="240" w:lineRule="auto"/>
        <w:contextualSpacing w:val="0"/>
        <w:rPr>
          <w:rFonts w:cs="Arial"/>
        </w:rPr>
      </w:pPr>
      <w:r>
        <w:rPr>
          <w:rFonts w:cs="Arial"/>
        </w:rPr>
        <w:t>Two</w:t>
      </w:r>
      <w:r w:rsidR="00595E73">
        <w:rPr>
          <w:rFonts w:cs="Arial"/>
        </w:rPr>
        <w:t xml:space="preserve"> existing classroom-based charter school</w:t>
      </w:r>
      <w:r w:rsidR="00B10593">
        <w:rPr>
          <w:rFonts w:cs="Arial"/>
        </w:rPr>
        <w:t>s</w:t>
      </w:r>
      <w:r w:rsidR="00595E73">
        <w:rPr>
          <w:rFonts w:cs="Arial"/>
        </w:rPr>
        <w:t xml:space="preserve"> that </w:t>
      </w:r>
      <w:r>
        <w:rPr>
          <w:rFonts w:cs="Arial"/>
        </w:rPr>
        <w:t>have</w:t>
      </w:r>
      <w:r w:rsidR="00595E73">
        <w:rPr>
          <w:rFonts w:cs="Arial"/>
        </w:rPr>
        <w:t xml:space="preserve"> not previously had a funding </w:t>
      </w:r>
      <w:r w:rsidR="00595E73" w:rsidRPr="00EF40AD">
        <w:rPr>
          <w:rFonts w:cs="Arial"/>
        </w:rPr>
        <w:t>determination</w:t>
      </w:r>
      <w:r w:rsidRPr="00EF40AD">
        <w:rPr>
          <w:rFonts w:cs="Arial"/>
        </w:rPr>
        <w:t xml:space="preserve"> have</w:t>
      </w:r>
      <w:r w:rsidR="00595E73" w:rsidRPr="00EF40AD">
        <w:rPr>
          <w:rFonts w:cs="Arial"/>
        </w:rPr>
        <w:t xml:space="preserve"> submitted determination of funding request</w:t>
      </w:r>
      <w:r w:rsidR="00B10593">
        <w:rPr>
          <w:rFonts w:cs="Arial"/>
        </w:rPr>
        <w:t>s</w:t>
      </w:r>
      <w:r w:rsidR="007D4E8A" w:rsidRPr="00EF40AD">
        <w:rPr>
          <w:rFonts w:cs="Arial"/>
        </w:rPr>
        <w:t xml:space="preserve"> for NCB instruction</w:t>
      </w:r>
      <w:r w:rsidR="00045B9A">
        <w:rPr>
          <w:rFonts w:cs="Arial"/>
        </w:rPr>
        <w:t xml:space="preserve"> with mitigating circumstances</w:t>
      </w:r>
      <w:r w:rsidR="00EB1C35" w:rsidRPr="00EF40AD">
        <w:rPr>
          <w:rFonts w:cs="Arial"/>
        </w:rPr>
        <w:t>.</w:t>
      </w:r>
    </w:p>
    <w:bookmarkEnd w:id="0"/>
    <w:p w14:paraId="19EBEFE6" w14:textId="77777777" w:rsidR="008F7BC4" w:rsidRPr="00F40510" w:rsidRDefault="008F7BC4" w:rsidP="00E94E5E">
      <w:pPr>
        <w:pStyle w:val="Heading2"/>
      </w:pPr>
      <w:r w:rsidRPr="00EF48D3">
        <w:t>Proposed</w:t>
      </w:r>
      <w:r>
        <w:t xml:space="preserve"> Recommendation</w:t>
      </w:r>
    </w:p>
    <w:p w14:paraId="2D642341" w14:textId="6C7A8C04" w:rsidR="00FC4859" w:rsidRDefault="00FC4859" w:rsidP="00FC4859">
      <w:pPr>
        <w:spacing w:before="240" w:after="240" w:line="240" w:lineRule="auto"/>
        <w:contextualSpacing w:val="0"/>
        <w:rPr>
          <w:rFonts w:cs="Arial"/>
        </w:rPr>
      </w:pPr>
      <w:r>
        <w:rPr>
          <w:rFonts w:cs="Arial"/>
        </w:rPr>
        <w:t>T</w:t>
      </w:r>
      <w:r w:rsidRPr="00F171E7">
        <w:rPr>
          <w:rFonts w:cs="Arial"/>
        </w:rPr>
        <w:t xml:space="preserve">he CDE proposes to recommend that the SBE </w:t>
      </w:r>
      <w:r>
        <w:rPr>
          <w:rFonts w:cs="Arial"/>
        </w:rPr>
        <w:t xml:space="preserve">approve </w:t>
      </w:r>
      <w:r w:rsidR="008D3311">
        <w:rPr>
          <w:rFonts w:cs="Arial"/>
        </w:rPr>
        <w:t xml:space="preserve">the </w:t>
      </w:r>
      <w:r>
        <w:rPr>
          <w:rFonts w:cs="Arial"/>
        </w:rPr>
        <w:t>two schools’</w:t>
      </w:r>
      <w:r w:rsidRPr="00F171E7">
        <w:rPr>
          <w:rFonts w:cs="Arial"/>
        </w:rPr>
        <w:t xml:space="preserve"> mitigating circumstances request</w:t>
      </w:r>
      <w:r>
        <w:rPr>
          <w:rFonts w:cs="Arial"/>
        </w:rPr>
        <w:t>s</w:t>
      </w:r>
      <w:r w:rsidRPr="00F171E7">
        <w:rPr>
          <w:rFonts w:cs="Arial"/>
        </w:rPr>
        <w:t xml:space="preserve"> and </w:t>
      </w:r>
      <w:r>
        <w:rPr>
          <w:rFonts w:cs="Arial"/>
        </w:rPr>
        <w:t>approve</w:t>
      </w:r>
      <w:r w:rsidRPr="00F171E7">
        <w:rPr>
          <w:rFonts w:cs="Arial"/>
        </w:rPr>
        <w:t xml:space="preserve"> the determination of funding request</w:t>
      </w:r>
      <w:r>
        <w:rPr>
          <w:rFonts w:cs="Arial"/>
        </w:rPr>
        <w:t>s for 100 percent funding</w:t>
      </w:r>
      <w:r w:rsidRPr="00F171E7">
        <w:rPr>
          <w:rFonts w:cs="Arial"/>
        </w:rPr>
        <w:t xml:space="preserve"> as specified in Attachment 1</w:t>
      </w:r>
      <w:r>
        <w:rPr>
          <w:rFonts w:cs="Arial"/>
        </w:rPr>
        <w:t>.</w:t>
      </w:r>
    </w:p>
    <w:p w14:paraId="4368B580" w14:textId="00E61FB2" w:rsidR="005A3BE4" w:rsidRDefault="004E3ACE" w:rsidP="00E94E5E">
      <w:pPr>
        <w:pStyle w:val="Heading2"/>
      </w:pPr>
      <w:r>
        <w:lastRenderedPageBreak/>
        <w:t>Background</w:t>
      </w:r>
    </w:p>
    <w:p w14:paraId="41793C42" w14:textId="7C1B2305" w:rsidR="008370CC" w:rsidRDefault="008370CC" w:rsidP="008370CC">
      <w:pPr>
        <w:pStyle w:val="Heading3"/>
      </w:pPr>
      <w:r>
        <w:t>Submission Deadline for Classroom-Based Charter Schools</w:t>
      </w:r>
    </w:p>
    <w:p w14:paraId="25B3639A" w14:textId="39B170D7" w:rsidR="008370CC" w:rsidRPr="008370CC" w:rsidRDefault="008370CC" w:rsidP="007A1DA6">
      <w:pPr>
        <w:spacing w:before="240" w:after="240" w:line="240" w:lineRule="auto"/>
        <w:contextualSpacing w:val="0"/>
        <w:rPr>
          <w:rFonts w:cs="Arial"/>
        </w:rPr>
      </w:pPr>
      <w:r w:rsidRPr="008370CC">
        <w:rPr>
          <w:rFonts w:cs="Arial"/>
        </w:rPr>
        <w:t>Pursuant to 5</w:t>
      </w:r>
      <w:r>
        <w:rPr>
          <w:rFonts w:cs="Arial"/>
        </w:rPr>
        <w:t xml:space="preserve"> </w:t>
      </w:r>
      <w:r w:rsidRPr="008370CC">
        <w:rPr>
          <w:rFonts w:cs="Arial"/>
          <w:i/>
          <w:iCs/>
        </w:rPr>
        <w:t>CCR</w:t>
      </w:r>
      <w:r>
        <w:rPr>
          <w:rFonts w:cs="Arial"/>
        </w:rPr>
        <w:t xml:space="preserve"> </w:t>
      </w:r>
      <w:r w:rsidRPr="008370CC">
        <w:rPr>
          <w:rFonts w:cs="Arial"/>
        </w:rPr>
        <w:t xml:space="preserve">Section 11963.6(c), determination of funding requests approved by the SBE for existing </w:t>
      </w:r>
      <w:r>
        <w:rPr>
          <w:rFonts w:cs="Arial"/>
        </w:rPr>
        <w:t>NCB</w:t>
      </w:r>
      <w:r w:rsidRPr="008370CC">
        <w:rPr>
          <w:rFonts w:cs="Arial"/>
        </w:rPr>
        <w:t xml:space="preserve"> charter schools shall be prospective (not for the current year) and shall be submitted in the </w:t>
      </w:r>
      <w:r w:rsidR="0063396B">
        <w:rPr>
          <w:rFonts w:cs="Arial"/>
        </w:rPr>
        <w:t>fiscal year (</w:t>
      </w:r>
      <w:r>
        <w:rPr>
          <w:rFonts w:cs="Arial"/>
        </w:rPr>
        <w:t>FY</w:t>
      </w:r>
      <w:r w:rsidR="0063396B">
        <w:rPr>
          <w:rFonts w:cs="Arial"/>
        </w:rPr>
        <w:t>)</w:t>
      </w:r>
      <w:r w:rsidRPr="008370CC">
        <w:rPr>
          <w:rFonts w:cs="Arial"/>
        </w:rPr>
        <w:t xml:space="preserve"> prior to the year the funding determination will be effective. This requirement does not apply to classroom-based charter schools; existing classroom-based charter schools are not required to submit a funding determination request prior to the year the funding determination will be effective. However, charter schools may experience significant fiscal impacts to their </w:t>
      </w:r>
      <w:r>
        <w:rPr>
          <w:rFonts w:cs="Arial"/>
        </w:rPr>
        <w:t>Local Control Funding Formula (LCFF)</w:t>
      </w:r>
      <w:r w:rsidRPr="008370CC">
        <w:rPr>
          <w:rFonts w:cs="Arial"/>
        </w:rPr>
        <w:t xml:space="preserve"> funding if funding determination requests are not submitted timely. </w:t>
      </w:r>
      <w:r w:rsidRPr="005B3F41">
        <w:rPr>
          <w:rFonts w:cs="Arial"/>
        </w:rPr>
        <w:t xml:space="preserve">Existing charter schools seeking funding for their NCB </w:t>
      </w:r>
      <w:r w:rsidR="00815144" w:rsidRPr="005B3F41">
        <w:rPr>
          <w:rFonts w:cs="Arial"/>
        </w:rPr>
        <w:t>average daily attendance (ADA)</w:t>
      </w:r>
      <w:r w:rsidRPr="005B3F41">
        <w:rPr>
          <w:rFonts w:cs="Arial"/>
        </w:rPr>
        <w:t xml:space="preserve"> for the 2021–22 school year </w:t>
      </w:r>
      <w:r w:rsidR="007A1DA6" w:rsidRPr="005B3F41">
        <w:rPr>
          <w:rFonts w:cs="Arial"/>
        </w:rPr>
        <w:t xml:space="preserve">were required to have </w:t>
      </w:r>
      <w:r w:rsidRPr="005B3F41">
        <w:rPr>
          <w:rFonts w:cs="Arial"/>
        </w:rPr>
        <w:t xml:space="preserve">a funding determination </w:t>
      </w:r>
      <w:r w:rsidR="003420FC" w:rsidRPr="005B3F41">
        <w:rPr>
          <w:rFonts w:cs="Arial"/>
        </w:rPr>
        <w:t xml:space="preserve">approved </w:t>
      </w:r>
      <w:r w:rsidRPr="005B3F41">
        <w:rPr>
          <w:rFonts w:cs="Arial"/>
        </w:rPr>
        <w:t>by the SBE by its January 2022 meeting</w:t>
      </w:r>
      <w:r w:rsidR="007A1DA6" w:rsidRPr="005B3F41">
        <w:rPr>
          <w:rFonts w:cs="Arial"/>
        </w:rPr>
        <w:t>; otherwise,</w:t>
      </w:r>
      <w:r w:rsidRPr="005B3F41">
        <w:rPr>
          <w:rFonts w:cs="Arial"/>
        </w:rPr>
        <w:t xml:space="preserve"> beginning with the First Principal (P-1) Apportionment for </w:t>
      </w:r>
      <w:r w:rsidR="005A78D1">
        <w:rPr>
          <w:rFonts w:cs="Arial"/>
        </w:rPr>
        <w:t>FY</w:t>
      </w:r>
      <w:r w:rsidRPr="005B3F41">
        <w:rPr>
          <w:rFonts w:cs="Arial"/>
        </w:rPr>
        <w:t xml:space="preserve"> 2021–22, the CDE </w:t>
      </w:r>
      <w:r w:rsidR="003420FC" w:rsidRPr="005B3F41">
        <w:rPr>
          <w:rFonts w:cs="Arial"/>
        </w:rPr>
        <w:t xml:space="preserve">would </w:t>
      </w:r>
      <w:r w:rsidRPr="005B3F41">
        <w:rPr>
          <w:rFonts w:cs="Arial"/>
        </w:rPr>
        <w:t>not disburse LCFF funds to charter schools based on its NCB ADA. In order to receive disbursement of LCFF funds for NCB ADA for the Second Principal (P-2) Apportionment,</w:t>
      </w:r>
      <w:r w:rsidR="007A1DA6" w:rsidRPr="005B3F41">
        <w:rPr>
          <w:rFonts w:cs="Arial"/>
        </w:rPr>
        <w:t xml:space="preserve"> these charter schools were required to have a funding determination approved by the SBE by its May 2022 meeting</w:t>
      </w:r>
      <w:r w:rsidR="003156E5" w:rsidRPr="005B3F41">
        <w:rPr>
          <w:rFonts w:cs="Arial"/>
        </w:rPr>
        <w:t>.</w:t>
      </w:r>
    </w:p>
    <w:p w14:paraId="6E00D127" w14:textId="5494350B" w:rsidR="008370CC" w:rsidRDefault="008370CC" w:rsidP="008370CC">
      <w:pPr>
        <w:spacing w:before="240" w:after="240" w:line="240" w:lineRule="auto"/>
        <w:contextualSpacing w:val="0"/>
        <w:rPr>
          <w:rFonts w:cs="Arial"/>
        </w:rPr>
      </w:pPr>
      <w:bookmarkStart w:id="1" w:name="_Hlk103089052"/>
      <w:r w:rsidRPr="008370CC">
        <w:rPr>
          <w:rFonts w:cs="Arial"/>
        </w:rPr>
        <w:t xml:space="preserve">In the above scenario, funding may be adjusted after funding determinations are approved. However, any funding withheld at the P-2 Apportionment will not be adjusted until the following </w:t>
      </w:r>
      <w:r w:rsidR="005A78D1">
        <w:rPr>
          <w:rFonts w:cs="Arial"/>
        </w:rPr>
        <w:t>FY</w:t>
      </w:r>
      <w:r w:rsidRPr="008370CC">
        <w:rPr>
          <w:rFonts w:cs="Arial"/>
        </w:rPr>
        <w:t xml:space="preserve"> P-1 Apportionment</w:t>
      </w:r>
      <w:r w:rsidR="006A662A">
        <w:rPr>
          <w:rFonts w:cs="Arial"/>
        </w:rPr>
        <w:t>, which is</w:t>
      </w:r>
      <w:r w:rsidRPr="008370CC">
        <w:rPr>
          <w:rFonts w:cs="Arial"/>
        </w:rPr>
        <w:t xml:space="preserve"> certified in February 2023. Additionally, the charter schools’ 2022–23 Advance Apportionment funding </w:t>
      </w:r>
      <w:r w:rsidR="00CE37C1">
        <w:rPr>
          <w:rFonts w:cs="Arial"/>
        </w:rPr>
        <w:t>would be</w:t>
      </w:r>
      <w:r w:rsidRPr="008370CC">
        <w:rPr>
          <w:rFonts w:cs="Arial"/>
        </w:rPr>
        <w:t xml:space="preserve"> impacted. Other ADA-driven funding for charter schools, such as lottery funding, may also be impacted.</w:t>
      </w:r>
    </w:p>
    <w:bookmarkEnd w:id="1"/>
    <w:p w14:paraId="55AED14D" w14:textId="7B391F04" w:rsidR="008F7BC4" w:rsidRDefault="008F7BC4" w:rsidP="00E94E5E">
      <w:pPr>
        <w:pStyle w:val="Heading2"/>
      </w:pPr>
      <w:r>
        <w:t>Brief Analysis of the Issue</w:t>
      </w:r>
    </w:p>
    <w:p w14:paraId="549F3C85" w14:textId="77777777" w:rsidR="00D8166B" w:rsidRPr="00A0798C" w:rsidRDefault="00D8166B" w:rsidP="00D8166B">
      <w:pPr>
        <w:spacing w:before="0" w:after="240" w:line="240" w:lineRule="auto"/>
        <w:contextualSpacing w:val="0"/>
      </w:pPr>
      <w:bookmarkStart w:id="2" w:name="_Hlk106108130"/>
      <w:r w:rsidRPr="00A0798C">
        <w:rPr>
          <w:i/>
        </w:rPr>
        <w:t xml:space="preserve">EC </w:t>
      </w:r>
      <w:r w:rsidRPr="00A0798C">
        <w:t xml:space="preserve">Section 47634.2(a)(1) provides the following: </w:t>
      </w:r>
    </w:p>
    <w:p w14:paraId="7BE1902E" w14:textId="77777777" w:rsidR="00D8166B" w:rsidRPr="00A0798C" w:rsidRDefault="00D8166B" w:rsidP="00D8166B">
      <w:pPr>
        <w:spacing w:before="0" w:after="240" w:line="240" w:lineRule="auto"/>
        <w:ind w:left="720"/>
        <w:contextualSpacing w:val="0"/>
      </w:pPr>
      <w:r w:rsidRPr="00A0798C">
        <w:t>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schoolsites, as defined in paragraph (3) of subdivision (d) of Section 47612.5, and the teacher-to-pupil ratio in the school.</w:t>
      </w:r>
    </w:p>
    <w:p w14:paraId="17653B0F" w14:textId="77777777" w:rsidR="00D8166B" w:rsidRPr="00A0798C" w:rsidRDefault="00D8166B" w:rsidP="00D8166B">
      <w:pPr>
        <w:spacing w:before="0" w:after="240" w:line="240" w:lineRule="auto"/>
        <w:contextualSpacing w:val="0"/>
      </w:pPr>
      <w:r w:rsidRPr="00A0798C">
        <w:rPr>
          <w:i/>
        </w:rPr>
        <w:lastRenderedPageBreak/>
        <w:t xml:space="preserve">EC </w:t>
      </w:r>
      <w:r w:rsidRPr="00A0798C">
        <w:t>Section 47634.2(a)(4) further states:</w:t>
      </w:r>
    </w:p>
    <w:p w14:paraId="21977C27" w14:textId="77777777" w:rsidR="00D8166B" w:rsidRPr="00A0798C" w:rsidRDefault="00D8166B" w:rsidP="00D8166B">
      <w:pPr>
        <w:spacing w:before="0" w:after="240" w:line="240" w:lineRule="auto"/>
        <w:ind w:left="720"/>
        <w:contextualSpacing w:val="0"/>
      </w:pPr>
      <w:r w:rsidRPr="00A0798C">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0B940C3B" w14:textId="51A193BC" w:rsidR="00D8166B" w:rsidRDefault="00D8166B" w:rsidP="00D8166B">
      <w:pPr>
        <w:spacing w:before="0" w:after="240" w:line="240" w:lineRule="auto"/>
        <w:contextualSpacing w:val="0"/>
      </w:pPr>
      <w:r w:rsidRPr="00A0798C">
        <w:t xml:space="preserve">Regulations provide that the ACCS shall develop a recommendation to the SBE regarding determination of funding requests. </w:t>
      </w:r>
      <w:r w:rsidR="0093709E">
        <w:t>Pursuant to</w:t>
      </w:r>
      <w:r w:rsidRPr="00A0798C">
        <w:t xml:space="preserve"> 5 </w:t>
      </w:r>
      <w:r w:rsidRPr="00A0798C">
        <w:rPr>
          <w:i/>
        </w:rPr>
        <w:t>CCR</w:t>
      </w:r>
      <w:r w:rsidRPr="00A0798C">
        <w:t xml:space="preserve"> Section 11963.4(a), a charter school requesting a determination of funding may qualify for either 70 percent, 85 percent, or 100 percent funding, or may be denied (i.e., 0 percent funding).</w:t>
      </w:r>
      <w:r w:rsidRPr="00D8166B">
        <w:t xml:space="preserve"> </w:t>
      </w:r>
    </w:p>
    <w:p w14:paraId="49A5EA22" w14:textId="77777777" w:rsidR="00D8166B" w:rsidRPr="00D44713" w:rsidRDefault="00D8166B" w:rsidP="00D8166B">
      <w:pPr>
        <w:spacing w:before="240" w:after="240" w:line="240" w:lineRule="auto"/>
        <w:contextualSpacing w:val="0"/>
        <w:rPr>
          <w:rFonts w:cs="Arial"/>
        </w:rPr>
      </w:pPr>
      <w:r w:rsidRPr="00D8166B">
        <w:rPr>
          <w:rFonts w:cs="Arial"/>
        </w:rPr>
        <w:t>To qualify for a proposed recommendation of 100 percent funding, an NCB charter</w:t>
      </w:r>
      <w:r w:rsidRPr="00D44713">
        <w:rPr>
          <w:rFonts w:cs="Arial"/>
        </w:rPr>
        <w:t xml:space="preserve"> school must meet the following criteria:</w:t>
      </w:r>
      <w:bookmarkEnd w:id="2"/>
    </w:p>
    <w:p w14:paraId="7D13E4C1" w14:textId="77777777" w:rsidR="00D8166B" w:rsidRPr="00D44713" w:rsidRDefault="00D8166B" w:rsidP="00D8166B">
      <w:pPr>
        <w:numPr>
          <w:ilvl w:val="0"/>
          <w:numId w:val="11"/>
        </w:numPr>
        <w:spacing w:before="240" w:after="240" w:line="240" w:lineRule="auto"/>
        <w:contextualSpacing w:val="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7F3BA81C" w14:textId="77777777" w:rsidR="00D8166B" w:rsidRDefault="00D8166B" w:rsidP="00D8166B">
      <w:pPr>
        <w:numPr>
          <w:ilvl w:val="0"/>
          <w:numId w:val="11"/>
        </w:numPr>
        <w:spacing w:before="240" w:after="240" w:line="240" w:lineRule="auto"/>
        <w:contextualSpacing w:val="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2EAD3EDF" w14:textId="77777777" w:rsidR="00D8166B" w:rsidRPr="00167DCA" w:rsidRDefault="00D8166B" w:rsidP="00D8166B">
      <w:pPr>
        <w:numPr>
          <w:ilvl w:val="0"/>
          <w:numId w:val="11"/>
        </w:numPr>
        <w:spacing w:before="100" w:beforeAutospacing="1" w:after="240" w:line="240" w:lineRule="auto"/>
        <w:contextualSpacing w:val="0"/>
        <w:rPr>
          <w:rFonts w:cs="Arial"/>
        </w:rPr>
      </w:pPr>
      <w:r>
        <w:rPr>
          <w:rFonts w:cs="Arial"/>
        </w:rPr>
        <w:t xml:space="preserve">Maintain a </w:t>
      </w:r>
      <w:r w:rsidRPr="00C02C2C">
        <w:rPr>
          <w:rFonts w:cs="Arial"/>
        </w:rPr>
        <w:t xml:space="preserve">ratio of </w:t>
      </w:r>
      <w:r>
        <w:rPr>
          <w:rFonts w:cs="Arial"/>
        </w:rPr>
        <w:t xml:space="preserve">ADA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w:t>
      </w:r>
      <w:r w:rsidRPr="00167DCA">
        <w:rPr>
          <w:rFonts w:cs="Arial"/>
        </w:rPr>
        <w:t>school operates.</w:t>
      </w:r>
    </w:p>
    <w:p w14:paraId="4B82A581" w14:textId="6310A7A5" w:rsidR="00D8166B" w:rsidRDefault="00D8166B" w:rsidP="00D8166B">
      <w:pPr>
        <w:spacing w:before="0" w:after="240" w:line="240" w:lineRule="auto"/>
        <w:contextualSpacing w:val="0"/>
      </w:pPr>
      <w:bookmarkStart w:id="3" w:name="_Hlk106108198"/>
      <w:r w:rsidRPr="00A0798C">
        <w:t xml:space="preserve">The expenditure and </w:t>
      </w:r>
      <w:r w:rsidR="00211328" w:rsidRPr="00A0798C">
        <w:t>PTR</w:t>
      </w:r>
      <w:r w:rsidRPr="00A0798C">
        <w:t xml:space="preserve"> criteria for </w:t>
      </w:r>
      <w:r w:rsidR="00EF40AD">
        <w:t>all</w:t>
      </w:r>
      <w:r w:rsidRPr="00A0798C">
        <w:t xml:space="preserve"> funding levels for NCB instruction </w:t>
      </w:r>
      <w:r w:rsidR="00A0798C">
        <w:t>are</w:t>
      </w:r>
      <w:r w:rsidRPr="00A0798C">
        <w:t xml:space="preserve"> summarized in the table below:</w:t>
      </w:r>
    </w:p>
    <w:p w14:paraId="10FC3F75" w14:textId="66B8DA01" w:rsidR="008D3311" w:rsidRPr="00A0798C" w:rsidRDefault="008D3311" w:rsidP="008D3311">
      <w:pPr>
        <w:pStyle w:val="TableHeader"/>
      </w:pPr>
      <w:proofErr w:type="spellStart"/>
      <w:r>
        <w:t>Nonclassroom</w:t>
      </w:r>
      <w:proofErr w:type="spellEnd"/>
      <w:r>
        <w:t>-based Instruction Funding Levels</w:t>
      </w:r>
    </w:p>
    <w:tbl>
      <w:tblPr>
        <w:tblStyle w:val="TableGrid"/>
        <w:tblW w:w="0" w:type="auto"/>
        <w:tblLook w:val="04A0" w:firstRow="1" w:lastRow="0" w:firstColumn="1" w:lastColumn="0" w:noHBand="0" w:noVBand="1"/>
        <w:tblDescription w:val="Funding levels for nonclassroom-based instruction"/>
      </w:tblPr>
      <w:tblGrid>
        <w:gridCol w:w="1615"/>
        <w:gridCol w:w="2578"/>
        <w:gridCol w:w="2578"/>
        <w:gridCol w:w="2579"/>
      </w:tblGrid>
      <w:tr w:rsidR="00D8166B" w:rsidRPr="00167DCA" w14:paraId="5238B261" w14:textId="77777777" w:rsidTr="0021116D">
        <w:trPr>
          <w:cantSplit/>
          <w:tblHeader/>
        </w:trPr>
        <w:tc>
          <w:tcPr>
            <w:tcW w:w="1615" w:type="dxa"/>
            <w:shd w:val="clear" w:color="auto" w:fill="D9D9D9" w:themeFill="background1" w:themeFillShade="D9"/>
            <w:vAlign w:val="center"/>
          </w:tcPr>
          <w:p w14:paraId="6E142EAF" w14:textId="77777777" w:rsidR="00D8166B" w:rsidRPr="00167DCA" w:rsidRDefault="00D8166B" w:rsidP="00D8166B">
            <w:pPr>
              <w:spacing w:before="0" w:after="0"/>
              <w:contextualSpacing w:val="0"/>
              <w:jc w:val="center"/>
              <w:rPr>
                <w:b/>
              </w:rPr>
            </w:pPr>
            <w:r w:rsidRPr="00167DCA">
              <w:rPr>
                <w:b/>
              </w:rPr>
              <w:t>Funding Level</w:t>
            </w:r>
          </w:p>
        </w:tc>
        <w:tc>
          <w:tcPr>
            <w:tcW w:w="2578" w:type="dxa"/>
            <w:shd w:val="clear" w:color="auto" w:fill="D9D9D9" w:themeFill="background1" w:themeFillShade="D9"/>
            <w:vAlign w:val="center"/>
          </w:tcPr>
          <w:p w14:paraId="174FF433" w14:textId="77777777" w:rsidR="00D8166B" w:rsidRPr="00167DCA" w:rsidRDefault="00D8166B" w:rsidP="00D8166B">
            <w:pPr>
              <w:spacing w:before="0" w:after="0"/>
              <w:contextualSpacing w:val="0"/>
              <w:jc w:val="center"/>
              <w:rPr>
                <w:b/>
              </w:rPr>
            </w:pPr>
            <w:r w:rsidRPr="00167DCA">
              <w:rPr>
                <w:b/>
              </w:rPr>
              <w:t>Percent of Public Revenues Spent on Certificated Salaries and Benefits</w:t>
            </w:r>
          </w:p>
        </w:tc>
        <w:tc>
          <w:tcPr>
            <w:tcW w:w="2578" w:type="dxa"/>
            <w:shd w:val="clear" w:color="auto" w:fill="D9D9D9" w:themeFill="background1" w:themeFillShade="D9"/>
            <w:vAlign w:val="center"/>
          </w:tcPr>
          <w:p w14:paraId="71580F7B" w14:textId="77777777" w:rsidR="00D8166B" w:rsidRPr="00167DCA" w:rsidRDefault="00D8166B" w:rsidP="00D8166B">
            <w:pPr>
              <w:spacing w:before="0" w:after="0"/>
              <w:contextualSpacing w:val="0"/>
              <w:jc w:val="center"/>
              <w:rPr>
                <w:b/>
              </w:rPr>
            </w:pPr>
            <w:r w:rsidRPr="00167DCA">
              <w:rPr>
                <w:b/>
              </w:rPr>
              <w:t>Percent of All Revenues Spent on Instruction and Related Services</w:t>
            </w:r>
          </w:p>
        </w:tc>
        <w:tc>
          <w:tcPr>
            <w:tcW w:w="2579" w:type="dxa"/>
            <w:shd w:val="clear" w:color="auto" w:fill="D9D9D9" w:themeFill="background1" w:themeFillShade="D9"/>
            <w:vAlign w:val="center"/>
          </w:tcPr>
          <w:p w14:paraId="5A56E269" w14:textId="77777777" w:rsidR="00D8166B" w:rsidRPr="00167DCA" w:rsidRDefault="00D8166B" w:rsidP="00D8166B">
            <w:pPr>
              <w:spacing w:before="0" w:after="0"/>
              <w:contextualSpacing w:val="0"/>
              <w:jc w:val="center"/>
              <w:rPr>
                <w:b/>
              </w:rPr>
            </w:pPr>
            <w:r w:rsidRPr="00167DCA">
              <w:rPr>
                <w:b/>
              </w:rPr>
              <w:t>Pupil-Teacher Ratio</w:t>
            </w:r>
          </w:p>
        </w:tc>
      </w:tr>
      <w:tr w:rsidR="001368D1" w:rsidRPr="00167DCA" w14:paraId="1DF1172C" w14:textId="77777777" w:rsidTr="0021116D">
        <w:trPr>
          <w:cantSplit/>
        </w:trPr>
        <w:tc>
          <w:tcPr>
            <w:tcW w:w="1615" w:type="dxa"/>
            <w:shd w:val="clear" w:color="auto" w:fill="auto"/>
            <w:vAlign w:val="center"/>
          </w:tcPr>
          <w:p w14:paraId="0DAAE552" w14:textId="3449C785" w:rsidR="001368D1" w:rsidRPr="00167DCA" w:rsidRDefault="001368D1" w:rsidP="001368D1">
            <w:pPr>
              <w:spacing w:before="0" w:after="0"/>
              <w:contextualSpacing w:val="0"/>
              <w:jc w:val="center"/>
              <w:rPr>
                <w:b/>
              </w:rPr>
            </w:pPr>
            <w:r w:rsidRPr="00167DCA">
              <w:rPr>
                <w:b/>
              </w:rPr>
              <w:t>100%</w:t>
            </w:r>
          </w:p>
        </w:tc>
        <w:tc>
          <w:tcPr>
            <w:tcW w:w="2578" w:type="dxa"/>
            <w:shd w:val="clear" w:color="auto" w:fill="auto"/>
            <w:vAlign w:val="center"/>
          </w:tcPr>
          <w:p w14:paraId="702C29EB" w14:textId="15A74E11" w:rsidR="001368D1" w:rsidRPr="00167DCA" w:rsidRDefault="001368D1" w:rsidP="001368D1">
            <w:pPr>
              <w:spacing w:before="0" w:after="0"/>
              <w:contextualSpacing w:val="0"/>
              <w:jc w:val="center"/>
              <w:rPr>
                <w:b/>
              </w:rPr>
            </w:pPr>
            <w:r w:rsidRPr="00167DCA">
              <w:rPr>
                <w:rFonts w:cs="Arial"/>
              </w:rPr>
              <w:t>≥ 40%</w:t>
            </w:r>
          </w:p>
        </w:tc>
        <w:tc>
          <w:tcPr>
            <w:tcW w:w="2578" w:type="dxa"/>
            <w:shd w:val="clear" w:color="auto" w:fill="auto"/>
            <w:vAlign w:val="center"/>
          </w:tcPr>
          <w:p w14:paraId="6950FFE0" w14:textId="2B0DCD18" w:rsidR="001368D1" w:rsidRPr="00167DCA" w:rsidRDefault="001368D1" w:rsidP="001368D1">
            <w:pPr>
              <w:spacing w:before="0" w:after="0"/>
              <w:contextualSpacing w:val="0"/>
              <w:jc w:val="center"/>
              <w:rPr>
                <w:b/>
              </w:rPr>
            </w:pPr>
            <w:r w:rsidRPr="00167DCA">
              <w:rPr>
                <w:rFonts w:cs="Arial"/>
              </w:rPr>
              <w:t>≥ 80</w:t>
            </w:r>
            <w:r w:rsidRPr="00167DCA">
              <w:t>%</w:t>
            </w:r>
          </w:p>
        </w:tc>
        <w:tc>
          <w:tcPr>
            <w:tcW w:w="2579" w:type="dxa"/>
            <w:shd w:val="clear" w:color="auto" w:fill="auto"/>
            <w:vAlign w:val="center"/>
          </w:tcPr>
          <w:p w14:paraId="6375169B" w14:textId="1EEB688E" w:rsidR="001368D1" w:rsidRPr="00A0798C" w:rsidRDefault="001368D1" w:rsidP="001368D1">
            <w:pPr>
              <w:spacing w:before="0" w:after="0"/>
              <w:contextualSpacing w:val="0"/>
              <w:jc w:val="center"/>
            </w:pPr>
            <w:r w:rsidRPr="00A0798C">
              <w:rPr>
                <w:rFonts w:cs="Arial"/>
              </w:rPr>
              <w:t>≤</w:t>
            </w:r>
            <w:r w:rsidRPr="00A0798C">
              <w:t xml:space="preserve"> 25 to 1</w:t>
            </w:r>
          </w:p>
        </w:tc>
      </w:tr>
      <w:tr w:rsidR="001368D1" w:rsidRPr="00167DCA" w14:paraId="338DEA63" w14:textId="77777777" w:rsidTr="0021116D">
        <w:trPr>
          <w:cantSplit/>
        </w:trPr>
        <w:tc>
          <w:tcPr>
            <w:tcW w:w="1615" w:type="dxa"/>
            <w:shd w:val="clear" w:color="auto" w:fill="auto"/>
            <w:vAlign w:val="center"/>
          </w:tcPr>
          <w:p w14:paraId="62DD084B" w14:textId="77777777" w:rsidR="001368D1" w:rsidRPr="00167DCA" w:rsidRDefault="001368D1" w:rsidP="001368D1">
            <w:pPr>
              <w:spacing w:before="0" w:after="0"/>
              <w:contextualSpacing w:val="0"/>
              <w:jc w:val="center"/>
              <w:rPr>
                <w:b/>
              </w:rPr>
            </w:pPr>
            <w:r w:rsidRPr="00167DCA">
              <w:rPr>
                <w:b/>
              </w:rPr>
              <w:t>85%</w:t>
            </w:r>
          </w:p>
        </w:tc>
        <w:tc>
          <w:tcPr>
            <w:tcW w:w="2578" w:type="dxa"/>
            <w:shd w:val="clear" w:color="auto" w:fill="auto"/>
            <w:vAlign w:val="center"/>
          </w:tcPr>
          <w:p w14:paraId="549423CD" w14:textId="77777777" w:rsidR="001368D1" w:rsidRPr="00167DCA" w:rsidRDefault="001368D1" w:rsidP="001368D1">
            <w:pPr>
              <w:spacing w:before="0" w:after="0"/>
              <w:contextualSpacing w:val="0"/>
              <w:jc w:val="center"/>
            </w:pPr>
            <w:r w:rsidRPr="00167DCA">
              <w:rPr>
                <w:rFonts w:cs="Arial"/>
              </w:rPr>
              <w:t>≥ 40%</w:t>
            </w:r>
          </w:p>
        </w:tc>
        <w:tc>
          <w:tcPr>
            <w:tcW w:w="2578" w:type="dxa"/>
            <w:shd w:val="clear" w:color="auto" w:fill="auto"/>
            <w:vAlign w:val="center"/>
          </w:tcPr>
          <w:p w14:paraId="522E414B" w14:textId="77777777" w:rsidR="001368D1" w:rsidRPr="00167DCA" w:rsidRDefault="001368D1" w:rsidP="001368D1">
            <w:pPr>
              <w:spacing w:before="0" w:after="0"/>
              <w:contextualSpacing w:val="0"/>
              <w:jc w:val="center"/>
            </w:pPr>
            <w:r w:rsidRPr="00167DCA">
              <w:rPr>
                <w:rFonts w:cs="Arial"/>
              </w:rPr>
              <w:t>≥ 70</w:t>
            </w:r>
            <w:r w:rsidRPr="00167DCA">
              <w:t>%</w:t>
            </w:r>
          </w:p>
        </w:tc>
        <w:tc>
          <w:tcPr>
            <w:tcW w:w="2579" w:type="dxa"/>
            <w:shd w:val="clear" w:color="auto" w:fill="auto"/>
            <w:vAlign w:val="center"/>
          </w:tcPr>
          <w:p w14:paraId="538BC192" w14:textId="77777777" w:rsidR="001368D1" w:rsidRPr="00167DCA" w:rsidRDefault="001368D1" w:rsidP="001368D1">
            <w:pPr>
              <w:spacing w:before="0" w:after="0"/>
              <w:contextualSpacing w:val="0"/>
              <w:jc w:val="center"/>
            </w:pPr>
            <w:r w:rsidRPr="00167DCA">
              <w:t>Not Applicable</w:t>
            </w:r>
          </w:p>
        </w:tc>
      </w:tr>
      <w:tr w:rsidR="001368D1" w:rsidRPr="00167DCA" w14:paraId="78CE9A31" w14:textId="77777777" w:rsidTr="0021116D">
        <w:trPr>
          <w:cantSplit/>
        </w:trPr>
        <w:tc>
          <w:tcPr>
            <w:tcW w:w="1615" w:type="dxa"/>
            <w:shd w:val="clear" w:color="auto" w:fill="auto"/>
            <w:vAlign w:val="center"/>
          </w:tcPr>
          <w:p w14:paraId="6665A477" w14:textId="77777777" w:rsidR="001368D1" w:rsidRPr="00167DCA" w:rsidRDefault="001368D1" w:rsidP="001368D1">
            <w:pPr>
              <w:spacing w:before="0" w:after="0"/>
              <w:contextualSpacing w:val="0"/>
              <w:jc w:val="center"/>
              <w:rPr>
                <w:b/>
              </w:rPr>
            </w:pPr>
            <w:r w:rsidRPr="00167DCA">
              <w:rPr>
                <w:b/>
              </w:rPr>
              <w:t>70%</w:t>
            </w:r>
          </w:p>
        </w:tc>
        <w:tc>
          <w:tcPr>
            <w:tcW w:w="2578" w:type="dxa"/>
            <w:shd w:val="clear" w:color="auto" w:fill="auto"/>
            <w:vAlign w:val="center"/>
          </w:tcPr>
          <w:p w14:paraId="64635487" w14:textId="77777777" w:rsidR="001368D1" w:rsidRPr="00167DCA" w:rsidRDefault="001368D1" w:rsidP="001368D1">
            <w:pPr>
              <w:spacing w:before="0" w:after="0"/>
              <w:contextualSpacing w:val="0"/>
              <w:jc w:val="center"/>
            </w:pPr>
            <w:r w:rsidRPr="00167DCA">
              <w:rPr>
                <w:rFonts w:cs="Arial"/>
              </w:rPr>
              <w:t>≥ 35%</w:t>
            </w:r>
          </w:p>
        </w:tc>
        <w:tc>
          <w:tcPr>
            <w:tcW w:w="2578" w:type="dxa"/>
            <w:shd w:val="clear" w:color="auto" w:fill="auto"/>
            <w:vAlign w:val="center"/>
          </w:tcPr>
          <w:p w14:paraId="51AE9D14" w14:textId="77777777" w:rsidR="001368D1" w:rsidRPr="00167DCA" w:rsidRDefault="001368D1" w:rsidP="001368D1">
            <w:pPr>
              <w:spacing w:before="0" w:after="0"/>
              <w:contextualSpacing w:val="0"/>
              <w:jc w:val="center"/>
            </w:pPr>
            <w:r w:rsidRPr="00167DCA">
              <w:rPr>
                <w:rFonts w:cs="Arial"/>
              </w:rPr>
              <w:t>≥ 60</w:t>
            </w:r>
            <w:r w:rsidRPr="00167DCA">
              <w:t>%</w:t>
            </w:r>
          </w:p>
        </w:tc>
        <w:tc>
          <w:tcPr>
            <w:tcW w:w="2579" w:type="dxa"/>
            <w:shd w:val="clear" w:color="auto" w:fill="auto"/>
            <w:vAlign w:val="center"/>
          </w:tcPr>
          <w:p w14:paraId="32CCE088" w14:textId="77777777" w:rsidR="001368D1" w:rsidRPr="00167DCA" w:rsidRDefault="001368D1" w:rsidP="001368D1">
            <w:pPr>
              <w:spacing w:before="0" w:after="0"/>
              <w:contextualSpacing w:val="0"/>
              <w:jc w:val="center"/>
            </w:pPr>
            <w:r w:rsidRPr="00167DCA">
              <w:t>Not Applicable</w:t>
            </w:r>
          </w:p>
        </w:tc>
      </w:tr>
      <w:tr w:rsidR="001368D1" w:rsidRPr="00167DCA" w14:paraId="7CDE49A3" w14:textId="77777777" w:rsidTr="0021116D">
        <w:trPr>
          <w:cantSplit/>
        </w:trPr>
        <w:tc>
          <w:tcPr>
            <w:tcW w:w="1615" w:type="dxa"/>
            <w:shd w:val="clear" w:color="auto" w:fill="auto"/>
            <w:vAlign w:val="center"/>
          </w:tcPr>
          <w:p w14:paraId="28FE535F" w14:textId="77777777" w:rsidR="001368D1" w:rsidRPr="00167DCA" w:rsidRDefault="001368D1" w:rsidP="001368D1">
            <w:pPr>
              <w:spacing w:before="0" w:after="0"/>
              <w:contextualSpacing w:val="0"/>
              <w:jc w:val="center"/>
              <w:rPr>
                <w:b/>
              </w:rPr>
            </w:pPr>
            <w:r w:rsidRPr="00167DCA">
              <w:rPr>
                <w:b/>
              </w:rPr>
              <w:t>0%</w:t>
            </w:r>
          </w:p>
        </w:tc>
        <w:tc>
          <w:tcPr>
            <w:tcW w:w="2578" w:type="dxa"/>
            <w:shd w:val="clear" w:color="auto" w:fill="auto"/>
            <w:vAlign w:val="center"/>
          </w:tcPr>
          <w:p w14:paraId="3FD129DF" w14:textId="77777777" w:rsidR="001368D1" w:rsidRPr="00167DCA" w:rsidRDefault="001368D1" w:rsidP="001368D1">
            <w:pPr>
              <w:spacing w:before="0" w:after="0"/>
              <w:contextualSpacing w:val="0"/>
              <w:jc w:val="center"/>
            </w:pPr>
            <w:r w:rsidRPr="00167DCA">
              <w:rPr>
                <w:rFonts w:cs="Arial"/>
              </w:rPr>
              <w:t>&lt;</w:t>
            </w:r>
            <w:r w:rsidRPr="00167DCA">
              <w:t xml:space="preserve"> 35%</w:t>
            </w:r>
          </w:p>
        </w:tc>
        <w:tc>
          <w:tcPr>
            <w:tcW w:w="2578" w:type="dxa"/>
            <w:shd w:val="clear" w:color="auto" w:fill="auto"/>
            <w:vAlign w:val="center"/>
          </w:tcPr>
          <w:p w14:paraId="564018FE" w14:textId="77777777" w:rsidR="001368D1" w:rsidRPr="00167DCA" w:rsidRDefault="001368D1" w:rsidP="001368D1">
            <w:pPr>
              <w:spacing w:before="0" w:after="0"/>
              <w:contextualSpacing w:val="0"/>
              <w:jc w:val="center"/>
            </w:pPr>
            <w:r w:rsidRPr="00167DCA">
              <w:rPr>
                <w:rFonts w:cs="Arial"/>
              </w:rPr>
              <w:t>&lt; 60</w:t>
            </w:r>
            <w:r w:rsidRPr="00167DCA">
              <w:t>%</w:t>
            </w:r>
          </w:p>
        </w:tc>
        <w:tc>
          <w:tcPr>
            <w:tcW w:w="2579" w:type="dxa"/>
            <w:shd w:val="clear" w:color="auto" w:fill="auto"/>
            <w:vAlign w:val="center"/>
          </w:tcPr>
          <w:p w14:paraId="740B9EF6" w14:textId="77777777" w:rsidR="001368D1" w:rsidRPr="00167DCA" w:rsidRDefault="001368D1" w:rsidP="001368D1">
            <w:pPr>
              <w:spacing w:before="0" w:after="0"/>
              <w:contextualSpacing w:val="0"/>
              <w:jc w:val="center"/>
            </w:pPr>
            <w:r w:rsidRPr="00167DCA">
              <w:t>Not Applicable</w:t>
            </w:r>
          </w:p>
        </w:tc>
      </w:tr>
    </w:tbl>
    <w:p w14:paraId="7B393358" w14:textId="26E9A27B" w:rsidR="00BE376D" w:rsidRDefault="0032779B" w:rsidP="005F0AAC">
      <w:pPr>
        <w:spacing w:before="240" w:after="240" w:line="240" w:lineRule="auto"/>
        <w:contextualSpacing w:val="0"/>
        <w:rPr>
          <w:rFonts w:cs="Arial"/>
        </w:rPr>
      </w:pPr>
      <w:bookmarkStart w:id="4" w:name="_Hlk38636967"/>
      <w:r w:rsidRPr="005B3F41">
        <w:rPr>
          <w:rFonts w:cs="Arial"/>
        </w:rPr>
        <w:t xml:space="preserve">Pursuant to </w:t>
      </w:r>
      <w:r w:rsidRPr="005B3F41">
        <w:rPr>
          <w:rFonts w:cs="Arial"/>
          <w:i/>
        </w:rPr>
        <w:t>EC</w:t>
      </w:r>
      <w:r w:rsidRPr="005B3F41">
        <w:rPr>
          <w:rFonts w:cs="Arial"/>
        </w:rPr>
        <w:t xml:space="preserve"> Section 47612.5(d)(2), a determination of funding may not exceed five years. </w:t>
      </w:r>
      <w:r w:rsidR="005B226A" w:rsidRPr="005B3F41">
        <w:rPr>
          <w:rFonts w:cs="Arial"/>
        </w:rPr>
        <w:t>I</w:t>
      </w:r>
      <w:r w:rsidR="005B226A" w:rsidRPr="0032779B">
        <w:rPr>
          <w:rFonts w:cs="Arial"/>
        </w:rPr>
        <w:t>t</w:t>
      </w:r>
      <w:r w:rsidR="005B226A" w:rsidRPr="00D44713">
        <w:rPr>
          <w:rFonts w:cs="Arial"/>
        </w:rPr>
        <w:t xml:space="preserve"> is the CDE’s current practice to recommend time periods</w:t>
      </w:r>
      <w:r>
        <w:rPr>
          <w:rFonts w:cs="Arial"/>
        </w:rPr>
        <w:t xml:space="preserve"> between two to four years</w:t>
      </w:r>
      <w:r w:rsidR="005B226A" w:rsidRPr="00D44713">
        <w:rPr>
          <w:rFonts w:cs="Arial"/>
        </w:rPr>
        <w:t xml:space="preserve"> based on the number of years a charter school has been in operation</w:t>
      </w:r>
      <w:r w:rsidR="00407926">
        <w:rPr>
          <w:rFonts w:cs="Arial"/>
        </w:rPr>
        <w:t xml:space="preserve"> and the </w:t>
      </w:r>
      <w:r w:rsidR="0096561A">
        <w:rPr>
          <w:rFonts w:cs="Arial"/>
        </w:rPr>
        <w:t>number</w:t>
      </w:r>
      <w:r w:rsidR="00407926">
        <w:rPr>
          <w:rFonts w:cs="Arial"/>
        </w:rPr>
        <w:t xml:space="preserve"> of </w:t>
      </w:r>
      <w:r w:rsidR="006E43D0">
        <w:rPr>
          <w:rFonts w:cs="Arial"/>
        </w:rPr>
        <w:t>times it has obtained a funding determination</w:t>
      </w:r>
      <w:r w:rsidR="005B226A" w:rsidRPr="00D44713">
        <w:rPr>
          <w:rFonts w:cs="Arial"/>
        </w:rPr>
        <w:t>.</w:t>
      </w:r>
      <w:r w:rsidR="002C407A">
        <w:rPr>
          <w:rFonts w:cs="Arial"/>
        </w:rPr>
        <w:t xml:space="preserve"> </w:t>
      </w:r>
      <w:r w:rsidR="005B226A" w:rsidRPr="00D44713">
        <w:rPr>
          <w:rFonts w:cs="Arial"/>
        </w:rPr>
        <w:t xml:space="preserve">In the past, the CDE recommended five-year periods dependent on a charter school’s Academic Performance Index (API) rank, pursuant to </w:t>
      </w:r>
      <w:r w:rsidR="005B226A" w:rsidRPr="00D44713">
        <w:rPr>
          <w:rFonts w:cs="Arial"/>
          <w:i/>
        </w:rPr>
        <w:t>EC</w:t>
      </w:r>
      <w:r w:rsidR="005B226A" w:rsidRPr="00D44713">
        <w:rPr>
          <w:rFonts w:cs="Arial"/>
        </w:rPr>
        <w:t xml:space="preserve"> Section 47612.5(d)(2); however, </w:t>
      </w:r>
      <w:r w:rsidR="005B226A" w:rsidRPr="00D44713">
        <w:rPr>
          <w:rFonts w:cs="Arial"/>
        </w:rPr>
        <w:lastRenderedPageBreak/>
        <w:t>because API is no longer calculated, the CDE does not currently recommend five-year funding determination periods.</w:t>
      </w:r>
    </w:p>
    <w:p w14:paraId="38E9640C" w14:textId="4C5654B7" w:rsidR="00522DD1" w:rsidRDefault="00522DD1" w:rsidP="00522DD1">
      <w:pPr>
        <w:spacing w:before="240" w:after="240" w:line="240" w:lineRule="auto"/>
        <w:contextualSpacing w:val="0"/>
        <w:rPr>
          <w:rFonts w:cs="Arial"/>
          <w:bCs/>
        </w:rPr>
      </w:pPr>
      <w:r w:rsidRPr="00854A57">
        <w:rPr>
          <w:rFonts w:cs="Arial"/>
        </w:rPr>
        <w:t xml:space="preserve">Details </w:t>
      </w:r>
      <w:r>
        <w:rPr>
          <w:rFonts w:cs="Arial"/>
        </w:rPr>
        <w:t xml:space="preserve">of each </w:t>
      </w:r>
      <w:r w:rsidRPr="00854A57">
        <w:rPr>
          <w:rFonts w:cs="Arial"/>
        </w:rPr>
        <w:t>school’s mitigating circumstances are provided below.</w:t>
      </w:r>
      <w:r w:rsidR="00AA2A6D">
        <w:rPr>
          <w:rFonts w:cs="Arial"/>
        </w:rPr>
        <w:t xml:space="preserve"> The CDE notes that the two schools share the same facilities at 2 Positive Place,</w:t>
      </w:r>
      <w:r w:rsidR="00AA2A6D" w:rsidRPr="00AA2A6D">
        <w:rPr>
          <w:rFonts w:cs="Arial"/>
          <w:bCs/>
        </w:rPr>
        <w:t xml:space="preserve"> </w:t>
      </w:r>
      <w:r w:rsidR="00AA2A6D" w:rsidRPr="00E2077F">
        <w:rPr>
          <w:rFonts w:cs="Arial"/>
          <w:bCs/>
        </w:rPr>
        <w:t>Vallejo, C</w:t>
      </w:r>
      <w:r w:rsidR="0063396B">
        <w:rPr>
          <w:rFonts w:cs="Arial"/>
          <w:bCs/>
        </w:rPr>
        <w:t xml:space="preserve">alifornia </w:t>
      </w:r>
      <w:r w:rsidR="00AA2A6D" w:rsidRPr="00E2077F">
        <w:rPr>
          <w:rFonts w:cs="Arial"/>
          <w:bCs/>
        </w:rPr>
        <w:t>94589</w:t>
      </w:r>
      <w:r w:rsidR="00AA2A6D">
        <w:rPr>
          <w:rFonts w:cs="Arial"/>
          <w:bCs/>
        </w:rPr>
        <w:t>.</w:t>
      </w:r>
    </w:p>
    <w:p w14:paraId="4CC1E840" w14:textId="040897B7" w:rsidR="00226AE6" w:rsidRPr="00854A57" w:rsidRDefault="00226AE6" w:rsidP="00226AE6">
      <w:pPr>
        <w:spacing w:before="240" w:after="240" w:line="240" w:lineRule="auto"/>
        <w:contextualSpacing w:val="0"/>
        <w:rPr>
          <w:rFonts w:cs="Arial"/>
        </w:rPr>
      </w:pPr>
      <w:r w:rsidRPr="00A67F96">
        <w:rPr>
          <w:rFonts w:cs="Arial"/>
        </w:rPr>
        <w:t>The CDE also notes that its review and analysis of determination of funding requests and mitigating circumstances are separate and distinct from Request for Allowance of Attendance Due to Emergency Conditions, or Form J-13A requests. Although both schools reference their Form J-13A requests in their funding determination forms, this matter will not be addressed in this item</w:t>
      </w:r>
      <w:r w:rsidR="008A3108" w:rsidRPr="00A67F96">
        <w:rPr>
          <w:rFonts w:cs="Arial"/>
        </w:rPr>
        <w:t>. Form J-13A requests are not decided upon by the ACCS or the SBE; rather, these requests are decided at the sole discretion of the State Superintendent of Public Instruction</w:t>
      </w:r>
      <w:r w:rsidR="00C43F4C" w:rsidRPr="00A67F96">
        <w:rPr>
          <w:rFonts w:cs="Arial"/>
        </w:rPr>
        <w:t xml:space="preserve"> pursuant to </w:t>
      </w:r>
      <w:r w:rsidR="00C43F4C" w:rsidRPr="00A67F96">
        <w:rPr>
          <w:rFonts w:cs="Arial"/>
          <w:i/>
        </w:rPr>
        <w:t xml:space="preserve">EC </w:t>
      </w:r>
      <w:r w:rsidR="00C43F4C" w:rsidRPr="00A67F96">
        <w:rPr>
          <w:rFonts w:cs="Arial"/>
        </w:rPr>
        <w:t>Section 41422(a)</w:t>
      </w:r>
      <w:r w:rsidR="008A3108" w:rsidRPr="00A67F96">
        <w:rPr>
          <w:rFonts w:cs="Arial"/>
        </w:rPr>
        <w:t>.</w:t>
      </w:r>
    </w:p>
    <w:p w14:paraId="6CAFE990" w14:textId="52EA6F8A" w:rsidR="00522DD1" w:rsidRDefault="00096A45" w:rsidP="00522DD1">
      <w:pPr>
        <w:pStyle w:val="Heading3"/>
      </w:pPr>
      <w:r>
        <w:t>MIT Academy, Charter #0372</w:t>
      </w:r>
    </w:p>
    <w:p w14:paraId="33A024E9" w14:textId="7A042689" w:rsidR="00522DD1" w:rsidRDefault="00D05D82" w:rsidP="00522DD1">
      <w:pPr>
        <w:spacing w:before="240" w:after="240" w:line="240" w:lineRule="auto"/>
        <w:contextualSpacing w:val="0"/>
        <w:rPr>
          <w:rFonts w:cs="Arial"/>
          <w:bCs/>
        </w:rPr>
      </w:pPr>
      <w:r>
        <w:rPr>
          <w:rFonts w:cs="Arial"/>
        </w:rPr>
        <w:t xml:space="preserve">MIT Academy </w:t>
      </w:r>
      <w:r w:rsidR="00522DD1" w:rsidRPr="00846CA4">
        <w:rPr>
          <w:rFonts w:cs="Arial"/>
          <w:bCs/>
        </w:rPr>
        <w:t>does</w:t>
      </w:r>
      <w:r w:rsidR="00522DD1" w:rsidRPr="00AC335E">
        <w:rPr>
          <w:rFonts w:cs="Arial"/>
          <w:bCs/>
        </w:rPr>
        <w:t xml:space="preserve"> not meet the requirements to qualify for a proposed recommendation of 100 percent funding </w:t>
      </w:r>
      <w:r w:rsidR="00522DD1">
        <w:rPr>
          <w:rFonts w:cs="Arial"/>
          <w:bCs/>
        </w:rPr>
        <w:t>based on reported FY 2021–22 data.</w:t>
      </w:r>
    </w:p>
    <w:p w14:paraId="21B4D231" w14:textId="46FFA028" w:rsidR="00522DD1" w:rsidRDefault="00522DD1" w:rsidP="00522DD1">
      <w:pPr>
        <w:spacing w:before="100" w:beforeAutospacing="1" w:after="100" w:afterAutospacing="1" w:line="240" w:lineRule="auto"/>
        <w:contextualSpacing w:val="0"/>
        <w:rPr>
          <w:rFonts w:cs="Arial"/>
          <w:bCs/>
        </w:rPr>
      </w:pPr>
      <w:r w:rsidRPr="00F37D5F">
        <w:rPr>
          <w:rFonts w:cs="Arial"/>
          <w:bCs/>
        </w:rPr>
        <w:t xml:space="preserve">The school is requesting a </w:t>
      </w:r>
      <w:r>
        <w:rPr>
          <w:rFonts w:cs="Arial"/>
          <w:bCs/>
        </w:rPr>
        <w:t xml:space="preserve">100 percent </w:t>
      </w:r>
      <w:r w:rsidRPr="00F37D5F">
        <w:rPr>
          <w:rFonts w:cs="Arial"/>
          <w:bCs/>
        </w:rPr>
        <w:t xml:space="preserve">determination of funding for </w:t>
      </w:r>
      <w:r w:rsidR="008B299F">
        <w:rPr>
          <w:rFonts w:cs="Arial"/>
          <w:bCs/>
        </w:rPr>
        <w:t>two</w:t>
      </w:r>
      <w:r w:rsidRPr="00F37D5F">
        <w:rPr>
          <w:rFonts w:cs="Arial"/>
          <w:bCs/>
        </w:rPr>
        <w:t xml:space="preserve"> years with the consideration of mitigating circumstances. The school reported expenditures of </w:t>
      </w:r>
      <w:r>
        <w:rPr>
          <w:rFonts w:cs="Arial"/>
          <w:bCs/>
        </w:rPr>
        <w:t>3</w:t>
      </w:r>
      <w:r w:rsidR="008B299F">
        <w:rPr>
          <w:rFonts w:cs="Arial"/>
          <w:bCs/>
        </w:rPr>
        <w:t>5</w:t>
      </w:r>
      <w:r>
        <w:rPr>
          <w:rFonts w:cs="Arial"/>
          <w:bCs/>
        </w:rPr>
        <w:t>.20</w:t>
      </w:r>
      <w:r w:rsidRPr="00F37D5F">
        <w:rPr>
          <w:rFonts w:cs="Arial"/>
          <w:bCs/>
        </w:rPr>
        <w:t xml:space="preserve"> percent on certificated </w:t>
      </w:r>
      <w:r>
        <w:rPr>
          <w:rFonts w:cs="Arial"/>
          <w:bCs/>
        </w:rPr>
        <w:t>salaries and benefits</w:t>
      </w:r>
      <w:r w:rsidRPr="00F37D5F">
        <w:rPr>
          <w:rFonts w:cs="Arial"/>
          <w:bCs/>
        </w:rPr>
        <w:t xml:space="preserve">, expenditures of </w:t>
      </w:r>
      <w:r w:rsidR="008B299F">
        <w:rPr>
          <w:rFonts w:cs="Arial"/>
          <w:bCs/>
        </w:rPr>
        <w:t>50.65</w:t>
      </w:r>
      <w:r w:rsidRPr="00F37D5F">
        <w:rPr>
          <w:rFonts w:cs="Arial"/>
          <w:bCs/>
        </w:rPr>
        <w:t xml:space="preserve"> percent on instruction and related services costs, and a pupil teacher ratio of </w:t>
      </w:r>
      <w:r w:rsidR="008B299F">
        <w:rPr>
          <w:rFonts w:cs="Arial"/>
          <w:bCs/>
        </w:rPr>
        <w:t>18.79</w:t>
      </w:r>
      <w:r w:rsidRPr="00F37D5F">
        <w:rPr>
          <w:rFonts w:cs="Arial"/>
          <w:bCs/>
        </w:rPr>
        <w:t xml:space="preserve"> to 1. Without the consideration of mitigating circumstances, the school </w:t>
      </w:r>
      <w:r w:rsidR="008B299F">
        <w:rPr>
          <w:rFonts w:cs="Arial"/>
          <w:bCs/>
        </w:rPr>
        <w:t xml:space="preserve">fails to qualify for funding for its </w:t>
      </w:r>
      <w:r w:rsidR="0063396B">
        <w:rPr>
          <w:rFonts w:cs="Arial"/>
          <w:bCs/>
        </w:rPr>
        <w:t>NCB</w:t>
      </w:r>
      <w:r w:rsidR="008B299F">
        <w:rPr>
          <w:rFonts w:cs="Arial"/>
          <w:bCs/>
        </w:rPr>
        <w:t xml:space="preserve"> instruction.</w:t>
      </w:r>
    </w:p>
    <w:p w14:paraId="50002BFE" w14:textId="669A930C" w:rsidR="00BD7272" w:rsidRDefault="00522DD1" w:rsidP="00522DD1">
      <w:pPr>
        <w:spacing w:before="240" w:after="240" w:line="240" w:lineRule="auto"/>
        <w:contextualSpacing w:val="0"/>
        <w:rPr>
          <w:rFonts w:cs="Arial"/>
          <w:bCs/>
        </w:rPr>
      </w:pPr>
      <w:r>
        <w:rPr>
          <w:rFonts w:cs="Arial"/>
          <w:bCs/>
        </w:rPr>
        <w:t xml:space="preserve">The school cites as mitigating circumstances that </w:t>
      </w:r>
      <w:r w:rsidR="000D3669">
        <w:rPr>
          <w:rFonts w:cs="Arial"/>
          <w:bCs/>
        </w:rPr>
        <w:t>it</w:t>
      </w:r>
      <w:r w:rsidR="008B299F">
        <w:rPr>
          <w:rFonts w:cs="Arial"/>
          <w:bCs/>
        </w:rPr>
        <w:t xml:space="preserve"> experienced an unanticipated campus closure in FY 2021–22 due to the discovery of subsurface mold, which required significant </w:t>
      </w:r>
      <w:r w:rsidR="005C364F">
        <w:rPr>
          <w:rFonts w:cs="Arial"/>
          <w:bCs/>
        </w:rPr>
        <w:t xml:space="preserve">one-time </w:t>
      </w:r>
      <w:r w:rsidR="008B299F">
        <w:rPr>
          <w:rFonts w:cs="Arial"/>
          <w:bCs/>
        </w:rPr>
        <w:t>expenditures on mold remediation</w:t>
      </w:r>
      <w:r w:rsidR="00BD7272">
        <w:rPr>
          <w:rFonts w:cs="Arial"/>
          <w:bCs/>
        </w:rPr>
        <w:t>.</w:t>
      </w:r>
      <w:r w:rsidR="00CF0C4F">
        <w:rPr>
          <w:rFonts w:cs="Arial"/>
          <w:bCs/>
        </w:rPr>
        <w:t xml:space="preserve"> </w:t>
      </w:r>
      <w:r w:rsidR="00DC2346">
        <w:rPr>
          <w:rFonts w:cs="Arial"/>
          <w:bCs/>
        </w:rPr>
        <w:t>According to its funding determination</w:t>
      </w:r>
      <w:r w:rsidR="00532E0A">
        <w:rPr>
          <w:rFonts w:cs="Arial"/>
          <w:bCs/>
        </w:rPr>
        <w:t xml:space="preserve"> form</w:t>
      </w:r>
      <w:r w:rsidR="00DC2346">
        <w:rPr>
          <w:rFonts w:cs="Arial"/>
          <w:bCs/>
        </w:rPr>
        <w:t>, t</w:t>
      </w:r>
      <w:r w:rsidR="00BD7272">
        <w:rPr>
          <w:rFonts w:cs="Arial"/>
          <w:bCs/>
        </w:rPr>
        <w:t xml:space="preserve">he school </w:t>
      </w:r>
      <w:r w:rsidR="006D4288">
        <w:rPr>
          <w:rFonts w:cs="Arial"/>
          <w:bCs/>
        </w:rPr>
        <w:t xml:space="preserve">spent </w:t>
      </w:r>
      <w:r w:rsidR="006D4288" w:rsidRPr="006D4288">
        <w:rPr>
          <w:rFonts w:cs="Arial"/>
          <w:bCs/>
        </w:rPr>
        <w:t>in total $2,136,331 on mold remediation and facilities reconstruction</w:t>
      </w:r>
      <w:r w:rsidR="00CF0C4F">
        <w:rPr>
          <w:rFonts w:cs="Arial"/>
          <w:bCs/>
        </w:rPr>
        <w:t xml:space="preserve"> expenses</w:t>
      </w:r>
      <w:r w:rsidR="008C26CE">
        <w:rPr>
          <w:rFonts w:cs="Arial"/>
          <w:bCs/>
        </w:rPr>
        <w:t>.</w:t>
      </w:r>
    </w:p>
    <w:p w14:paraId="6DA1CC7E" w14:textId="3567C8BA" w:rsidR="00FD7A33" w:rsidRPr="00433796" w:rsidRDefault="00FD7A33" w:rsidP="00522DD1">
      <w:pPr>
        <w:spacing w:before="240" w:after="240" w:line="240" w:lineRule="auto"/>
        <w:contextualSpacing w:val="0"/>
        <w:rPr>
          <w:rFonts w:cs="Arial"/>
          <w:bCs/>
        </w:rPr>
      </w:pPr>
      <w:r w:rsidRPr="00433796">
        <w:rPr>
          <w:rFonts w:cs="Arial"/>
          <w:bCs/>
        </w:rPr>
        <w:t xml:space="preserve">The school also reports total reserves of $9,991,788, or 133.17 percent of total expenditures. The school </w:t>
      </w:r>
      <w:r w:rsidR="00FC6426" w:rsidRPr="00433796">
        <w:rPr>
          <w:rFonts w:cs="Arial"/>
          <w:bCs/>
        </w:rPr>
        <w:t>did not provide a plan for its reserves</w:t>
      </w:r>
      <w:r w:rsidR="00E50408" w:rsidRPr="00433796">
        <w:rPr>
          <w:rFonts w:cs="Arial"/>
          <w:bCs/>
        </w:rPr>
        <w:t xml:space="preserve"> in its determination of funding request</w:t>
      </w:r>
      <w:r w:rsidR="00FC6426" w:rsidRPr="00433796">
        <w:rPr>
          <w:rFonts w:cs="Arial"/>
          <w:bCs/>
        </w:rPr>
        <w:t xml:space="preserve">. Pursuant to 5 </w:t>
      </w:r>
      <w:r w:rsidR="00FC6426" w:rsidRPr="00433796">
        <w:rPr>
          <w:rFonts w:cs="Arial"/>
          <w:bCs/>
          <w:i/>
        </w:rPr>
        <w:t>CCR</w:t>
      </w:r>
      <w:r w:rsidR="00FC6426" w:rsidRPr="00433796">
        <w:rPr>
          <w:rFonts w:cs="Arial"/>
          <w:bCs/>
        </w:rPr>
        <w:t xml:space="preserve"> Section 11963.3(a)</w:t>
      </w:r>
      <w:r w:rsidR="00E50408" w:rsidRPr="00433796">
        <w:rPr>
          <w:rFonts w:cs="Arial"/>
          <w:bCs/>
        </w:rPr>
        <w:t>(5)(F),</w:t>
      </w:r>
    </w:p>
    <w:p w14:paraId="25A3D42E" w14:textId="698C5532" w:rsidR="00E50408" w:rsidRDefault="00E50408" w:rsidP="00E50408">
      <w:pPr>
        <w:spacing w:before="240" w:after="240" w:line="240" w:lineRule="auto"/>
        <w:ind w:left="720"/>
        <w:contextualSpacing w:val="0"/>
        <w:rPr>
          <w:rFonts w:cs="Arial"/>
          <w:bCs/>
        </w:rPr>
      </w:pPr>
      <w:r w:rsidRPr="00433796">
        <w:rPr>
          <w:rFonts w:cs="Arial"/>
          <w:bCs/>
        </w:rPr>
        <w:t>Reserves in excess of the greater of fifty-thousand dollars or five percent of total expenditures may be allowed for economic uncertainties or long-term expenditures such as capital projects if the excess reserves are satisfactorily</w:t>
      </w:r>
      <w:r w:rsidRPr="00E50408">
        <w:rPr>
          <w:rFonts w:cs="Arial"/>
          <w:bCs/>
        </w:rPr>
        <w:t xml:space="preserve"> explained pursuant to section 11963.4(b).</w:t>
      </w:r>
    </w:p>
    <w:p w14:paraId="71DFDA28" w14:textId="645856E5" w:rsidR="00F412CB" w:rsidRPr="00F412CB" w:rsidRDefault="00F412CB" w:rsidP="00F412CB">
      <w:pPr>
        <w:spacing w:before="0" w:after="240" w:line="240" w:lineRule="auto"/>
        <w:contextualSpacing w:val="0"/>
        <w:rPr>
          <w:rFonts w:eastAsia="Calibri"/>
          <w:szCs w:val="22"/>
        </w:rPr>
      </w:pPr>
      <w:bookmarkStart w:id="5" w:name="_Hlk118366397"/>
      <w:r w:rsidRPr="00F412CB">
        <w:rPr>
          <w:rFonts w:eastAsia="Calibri"/>
          <w:szCs w:val="22"/>
        </w:rPr>
        <w:t>The CDE contacted the school to ask about its reserves. In its response, the school stated that its reserves are intended to be spent on facilit</w:t>
      </w:r>
      <w:r w:rsidR="00B571E0">
        <w:rPr>
          <w:rFonts w:eastAsia="Calibri"/>
          <w:szCs w:val="22"/>
        </w:rPr>
        <w:t>y construction</w:t>
      </w:r>
      <w:r w:rsidRPr="00F412CB">
        <w:rPr>
          <w:rFonts w:eastAsia="Calibri"/>
          <w:szCs w:val="22"/>
        </w:rPr>
        <w:t>.</w:t>
      </w:r>
    </w:p>
    <w:p w14:paraId="00714E55" w14:textId="373C7837" w:rsidR="0059761A" w:rsidRDefault="00F412CB" w:rsidP="0059761A">
      <w:pPr>
        <w:spacing w:before="240" w:after="240" w:line="240" w:lineRule="auto"/>
        <w:contextualSpacing w:val="0"/>
        <w:rPr>
          <w:rFonts w:cs="Arial"/>
          <w:bCs/>
        </w:rPr>
      </w:pPr>
      <w:r w:rsidRPr="00F412CB">
        <w:rPr>
          <w:rFonts w:eastAsia="Calibri"/>
          <w:szCs w:val="22"/>
        </w:rPr>
        <w:t xml:space="preserve">The school plans to build a facility at its current location, with an approximate cost of $48 million, which would be funded 50 percent by the California Proposition 51, Public </w:t>
      </w:r>
      <w:r w:rsidRPr="00F412CB">
        <w:rPr>
          <w:rFonts w:eastAsia="Calibri"/>
          <w:szCs w:val="22"/>
        </w:rPr>
        <w:lastRenderedPageBreak/>
        <w:t>School Facility Bonds, or the Kindergarten Through Community College Public Education Facilities Bond Act of 2016, grant awarded to the school and 50 percent by debt by the Charter School Finance Authority. The $24 million in debt would be financed at 3 percent over 30 years, requiring cash debt service comprised of existing reserves and future general fund revenues. The school states that the final approvals of the plan are expected by February 2023, with an estimated construction completion date of August 2025.</w:t>
      </w:r>
      <w:bookmarkEnd w:id="5"/>
    </w:p>
    <w:p w14:paraId="60C51E01" w14:textId="71F85B32" w:rsidR="00FC4859" w:rsidRPr="00FC4859" w:rsidRDefault="0067669D" w:rsidP="0067669D">
      <w:pPr>
        <w:spacing w:before="240" w:after="240" w:line="240" w:lineRule="auto"/>
        <w:contextualSpacing w:val="0"/>
        <w:rPr>
          <w:rFonts w:cs="Arial"/>
          <w:bCs/>
          <w:highlight w:val="yellow"/>
        </w:rPr>
      </w:pPr>
      <w:r w:rsidRPr="00433796">
        <w:rPr>
          <w:rFonts w:cs="Arial"/>
          <w:bCs/>
        </w:rPr>
        <w:t>The CDE has determined that the information submitted</w:t>
      </w:r>
      <w:r w:rsidR="008C26CE" w:rsidRPr="00433796">
        <w:rPr>
          <w:rFonts w:cs="Arial"/>
          <w:bCs/>
        </w:rPr>
        <w:t xml:space="preserve"> </w:t>
      </w:r>
      <w:r w:rsidRPr="00433796">
        <w:rPr>
          <w:rFonts w:cs="Arial"/>
          <w:bCs/>
        </w:rPr>
        <w:t>support</w:t>
      </w:r>
      <w:r w:rsidR="00FC4859">
        <w:rPr>
          <w:rFonts w:cs="Arial"/>
          <w:bCs/>
        </w:rPr>
        <w:t>s</w:t>
      </w:r>
      <w:r w:rsidRPr="00433796">
        <w:rPr>
          <w:rFonts w:cs="Arial"/>
          <w:bCs/>
        </w:rPr>
        <w:t xml:space="preserve"> the claim for mitigating circumstances. </w:t>
      </w:r>
      <w:r w:rsidR="008C26CE" w:rsidRPr="00433796">
        <w:rPr>
          <w:rFonts w:cs="Arial"/>
          <w:bCs/>
        </w:rPr>
        <w:t>The CDE agrees that t</w:t>
      </w:r>
      <w:r w:rsidRPr="00433796">
        <w:rPr>
          <w:rFonts w:cs="Arial"/>
          <w:bCs/>
        </w:rPr>
        <w:t>he school’s need to spend money on subsurface mold remediation was an exceptional, one-time expense, evidenced by the fact that the school’s campus is open for FY 2022–23 and that the school intends to return to its classroom-based status going forwa</w:t>
      </w:r>
      <w:r w:rsidRPr="00AA2A6D">
        <w:rPr>
          <w:rFonts w:cs="Arial"/>
          <w:bCs/>
        </w:rPr>
        <w:t>r</w:t>
      </w:r>
      <w:r w:rsidR="00433796" w:rsidRPr="00AA2A6D">
        <w:rPr>
          <w:rFonts w:cs="Arial"/>
          <w:bCs/>
        </w:rPr>
        <w:t xml:space="preserve">d. </w:t>
      </w:r>
      <w:r w:rsidR="00FC4859" w:rsidRPr="00AA2A6D">
        <w:rPr>
          <w:rFonts w:cs="Arial"/>
          <w:bCs/>
        </w:rPr>
        <w:t xml:space="preserve">Additionally, the school </w:t>
      </w:r>
      <w:r w:rsidR="00AA2A6D" w:rsidRPr="00AA2A6D">
        <w:rPr>
          <w:rFonts w:cs="Arial"/>
          <w:bCs/>
        </w:rPr>
        <w:t>has provided specific plans for its reserves.</w:t>
      </w:r>
    </w:p>
    <w:p w14:paraId="3880AAD8" w14:textId="6BD06E7D" w:rsidR="00FC4859" w:rsidRPr="00FD7A33" w:rsidRDefault="00FC4859" w:rsidP="00FC4859">
      <w:pPr>
        <w:spacing w:before="100" w:beforeAutospacing="1" w:after="100" w:afterAutospacing="1" w:line="240" w:lineRule="auto"/>
        <w:contextualSpacing w:val="0"/>
        <w:rPr>
          <w:rFonts w:cs="Arial"/>
        </w:rPr>
      </w:pPr>
      <w:r w:rsidRPr="006D1229">
        <w:rPr>
          <w:rFonts w:cs="Arial"/>
          <w:bCs/>
        </w:rPr>
        <w:t xml:space="preserve">Therefore, </w:t>
      </w:r>
      <w:bookmarkStart w:id="6" w:name="_Hlk117776860"/>
      <w:r w:rsidRPr="006D1229">
        <w:rPr>
          <w:rFonts w:cs="Arial"/>
          <w:bCs/>
        </w:rPr>
        <w:t xml:space="preserve">the CDE proposes to recommend that the SBE </w:t>
      </w:r>
      <w:r>
        <w:rPr>
          <w:rFonts w:cs="Arial"/>
          <w:bCs/>
        </w:rPr>
        <w:t>approve</w:t>
      </w:r>
      <w:r w:rsidRPr="006D1229">
        <w:rPr>
          <w:rFonts w:cs="Arial"/>
          <w:bCs/>
        </w:rPr>
        <w:t xml:space="preserve"> the school’s mitigating circumstances request and </w:t>
      </w:r>
      <w:r>
        <w:rPr>
          <w:rFonts w:cs="Arial"/>
          <w:bCs/>
        </w:rPr>
        <w:t>approve</w:t>
      </w:r>
      <w:r w:rsidRPr="006D1229">
        <w:rPr>
          <w:rFonts w:cs="Arial"/>
          <w:bCs/>
        </w:rPr>
        <w:t xml:space="preserve"> the determination of funding request </w:t>
      </w:r>
      <w:r>
        <w:rPr>
          <w:rFonts w:cs="Arial"/>
          <w:bCs/>
        </w:rPr>
        <w:t xml:space="preserve">for 100 percent funding </w:t>
      </w:r>
      <w:r w:rsidRPr="006D1229">
        <w:rPr>
          <w:rFonts w:cs="Arial"/>
          <w:bCs/>
        </w:rPr>
        <w:t>as specified in Attachment 1</w:t>
      </w:r>
      <w:bookmarkEnd w:id="6"/>
      <w:r w:rsidRPr="006D1229">
        <w:rPr>
          <w:rFonts w:cs="Arial"/>
          <w:bCs/>
        </w:rPr>
        <w:t xml:space="preserve">. </w:t>
      </w:r>
      <w:r w:rsidRPr="006D1229">
        <w:rPr>
          <w:rFonts w:cs="Arial"/>
        </w:rPr>
        <w:t xml:space="preserve">If the school’s mitigating circumstances request and determination of funding request are </w:t>
      </w:r>
      <w:r>
        <w:rPr>
          <w:rFonts w:cs="Arial"/>
        </w:rPr>
        <w:t>approved</w:t>
      </w:r>
      <w:r w:rsidRPr="006D1229">
        <w:rPr>
          <w:rFonts w:cs="Arial"/>
        </w:rPr>
        <w:t xml:space="preserve">, it will be eligible to receive funding for ADA identified by the charter school as being generated through NCB instruction pursuant to </w:t>
      </w:r>
      <w:r w:rsidRPr="006D1229">
        <w:rPr>
          <w:rFonts w:cs="Arial"/>
          <w:i/>
        </w:rPr>
        <w:t>EC</w:t>
      </w:r>
      <w:r w:rsidRPr="006D1229">
        <w:rPr>
          <w:rFonts w:cs="Arial"/>
        </w:rPr>
        <w:t xml:space="preserve"> Section</w:t>
      </w:r>
      <w:r>
        <w:rPr>
          <w:rFonts w:cs="Arial"/>
        </w:rPr>
        <w:t xml:space="preserve"> 47634.2(c).</w:t>
      </w:r>
    </w:p>
    <w:p w14:paraId="78B87617" w14:textId="79F93FBC" w:rsidR="00096A45" w:rsidRDefault="00096A45" w:rsidP="00096A45">
      <w:pPr>
        <w:pStyle w:val="Heading3"/>
      </w:pPr>
      <w:r>
        <w:t>Mare Island Technology Academy, Charter #0181</w:t>
      </w:r>
    </w:p>
    <w:p w14:paraId="3367833A" w14:textId="17462B9F" w:rsidR="001C20F2" w:rsidRDefault="001C20F2" w:rsidP="001C20F2">
      <w:pPr>
        <w:spacing w:before="240" w:after="240" w:line="240" w:lineRule="auto"/>
        <w:contextualSpacing w:val="0"/>
        <w:rPr>
          <w:rFonts w:cs="Arial"/>
          <w:bCs/>
        </w:rPr>
      </w:pPr>
      <w:r>
        <w:rPr>
          <w:rFonts w:cs="Arial"/>
        </w:rPr>
        <w:t xml:space="preserve">Mare Island Technology Academy </w:t>
      </w:r>
      <w:r w:rsidRPr="00846CA4">
        <w:rPr>
          <w:rFonts w:cs="Arial"/>
          <w:bCs/>
        </w:rPr>
        <w:t>does</w:t>
      </w:r>
      <w:r w:rsidRPr="00AC335E">
        <w:rPr>
          <w:rFonts w:cs="Arial"/>
          <w:bCs/>
        </w:rPr>
        <w:t xml:space="preserve"> not meet the requirements to qualify for a proposed recommendation of 100 percent funding </w:t>
      </w:r>
      <w:r>
        <w:rPr>
          <w:rFonts w:cs="Arial"/>
          <w:bCs/>
        </w:rPr>
        <w:t>based on reported FY 2021–22 data.</w:t>
      </w:r>
    </w:p>
    <w:p w14:paraId="252216BF" w14:textId="6B15C256" w:rsidR="001C20F2" w:rsidRDefault="001C20F2" w:rsidP="001C20F2">
      <w:pPr>
        <w:spacing w:before="100" w:beforeAutospacing="1" w:after="100" w:afterAutospacing="1" w:line="240" w:lineRule="auto"/>
        <w:contextualSpacing w:val="0"/>
        <w:rPr>
          <w:rFonts w:cs="Arial"/>
          <w:bCs/>
        </w:rPr>
      </w:pPr>
      <w:r w:rsidRPr="00F37D5F">
        <w:rPr>
          <w:rFonts w:cs="Arial"/>
          <w:bCs/>
        </w:rPr>
        <w:t xml:space="preserve">The school is requesting a </w:t>
      </w:r>
      <w:r>
        <w:rPr>
          <w:rFonts w:cs="Arial"/>
          <w:bCs/>
        </w:rPr>
        <w:t xml:space="preserve">100 percent </w:t>
      </w:r>
      <w:r w:rsidRPr="00F37D5F">
        <w:rPr>
          <w:rFonts w:cs="Arial"/>
          <w:bCs/>
        </w:rPr>
        <w:t xml:space="preserve">determination of funding for </w:t>
      </w:r>
      <w:r>
        <w:rPr>
          <w:rFonts w:cs="Arial"/>
          <w:bCs/>
        </w:rPr>
        <w:t>two</w:t>
      </w:r>
      <w:r w:rsidRPr="00F37D5F">
        <w:rPr>
          <w:rFonts w:cs="Arial"/>
          <w:bCs/>
        </w:rPr>
        <w:t xml:space="preserve"> years with the consideration of mitigating circumstances. The school reported expenditures of </w:t>
      </w:r>
      <w:r>
        <w:rPr>
          <w:rFonts w:cs="Arial"/>
          <w:bCs/>
        </w:rPr>
        <w:t>3</w:t>
      </w:r>
      <w:r w:rsidR="00C731F4">
        <w:rPr>
          <w:rFonts w:cs="Arial"/>
          <w:bCs/>
        </w:rPr>
        <w:t>7</w:t>
      </w:r>
      <w:r>
        <w:rPr>
          <w:rFonts w:cs="Arial"/>
          <w:bCs/>
        </w:rPr>
        <w:t>.</w:t>
      </w:r>
      <w:r w:rsidR="00C731F4">
        <w:rPr>
          <w:rFonts w:cs="Arial"/>
          <w:bCs/>
        </w:rPr>
        <w:t>39</w:t>
      </w:r>
      <w:r w:rsidRPr="00F37D5F">
        <w:rPr>
          <w:rFonts w:cs="Arial"/>
          <w:bCs/>
        </w:rPr>
        <w:t xml:space="preserve"> percent on certificated </w:t>
      </w:r>
      <w:r>
        <w:rPr>
          <w:rFonts w:cs="Arial"/>
          <w:bCs/>
        </w:rPr>
        <w:t>salaries and benefits</w:t>
      </w:r>
      <w:r w:rsidRPr="00F37D5F">
        <w:rPr>
          <w:rFonts w:cs="Arial"/>
          <w:bCs/>
        </w:rPr>
        <w:t xml:space="preserve">, expenditures of </w:t>
      </w:r>
      <w:r w:rsidR="00C731F4">
        <w:rPr>
          <w:rFonts w:cs="Arial"/>
          <w:bCs/>
        </w:rPr>
        <w:t>54.22</w:t>
      </w:r>
      <w:r w:rsidRPr="00F37D5F">
        <w:rPr>
          <w:rFonts w:cs="Arial"/>
          <w:bCs/>
        </w:rPr>
        <w:t xml:space="preserve"> percent on instruction and related services costs, and a pupil teacher ratio of </w:t>
      </w:r>
      <w:r w:rsidR="00C731F4">
        <w:rPr>
          <w:rFonts w:cs="Arial"/>
          <w:bCs/>
        </w:rPr>
        <w:t>21</w:t>
      </w:r>
      <w:r>
        <w:rPr>
          <w:rFonts w:cs="Arial"/>
          <w:bCs/>
        </w:rPr>
        <w:t>.</w:t>
      </w:r>
      <w:r w:rsidR="00C731F4">
        <w:rPr>
          <w:rFonts w:cs="Arial"/>
          <w:bCs/>
        </w:rPr>
        <w:t>15</w:t>
      </w:r>
      <w:r w:rsidRPr="00F37D5F">
        <w:rPr>
          <w:rFonts w:cs="Arial"/>
          <w:bCs/>
        </w:rPr>
        <w:t xml:space="preserve"> to 1. Without the consideration of mitigating circumstances, the school </w:t>
      </w:r>
      <w:r>
        <w:rPr>
          <w:rFonts w:cs="Arial"/>
          <w:bCs/>
        </w:rPr>
        <w:t xml:space="preserve">fails to qualify for funding for its </w:t>
      </w:r>
      <w:r w:rsidR="0063396B">
        <w:rPr>
          <w:rFonts w:cs="Arial"/>
          <w:bCs/>
        </w:rPr>
        <w:t>NCB</w:t>
      </w:r>
      <w:r>
        <w:rPr>
          <w:rFonts w:cs="Arial"/>
          <w:bCs/>
        </w:rPr>
        <w:t xml:space="preserve"> instruction.</w:t>
      </w:r>
    </w:p>
    <w:p w14:paraId="04F98A49" w14:textId="66133718" w:rsidR="00FF66F0" w:rsidRDefault="001C20F2" w:rsidP="00FF66F0">
      <w:pPr>
        <w:spacing w:before="240" w:after="240" w:line="240" w:lineRule="auto"/>
        <w:contextualSpacing w:val="0"/>
        <w:rPr>
          <w:rFonts w:cs="Arial"/>
          <w:bCs/>
        </w:rPr>
      </w:pPr>
      <w:r>
        <w:rPr>
          <w:rFonts w:cs="Arial"/>
          <w:bCs/>
        </w:rPr>
        <w:t>The school cites as mitigating circumstances that it experienced an unanticipated campus closure in FY 2021–22 due to the discovery of subsurface mold, which required significant one-time expenditures on mold remediation.</w:t>
      </w:r>
      <w:r w:rsidR="00FF66F0">
        <w:rPr>
          <w:rFonts w:cs="Arial"/>
          <w:bCs/>
        </w:rPr>
        <w:t xml:space="preserve"> </w:t>
      </w:r>
      <w:r w:rsidR="00DC2346">
        <w:rPr>
          <w:rFonts w:cs="Arial"/>
          <w:bCs/>
        </w:rPr>
        <w:t>According to its funding determination</w:t>
      </w:r>
      <w:r w:rsidR="005D2360">
        <w:rPr>
          <w:rFonts w:cs="Arial"/>
          <w:bCs/>
        </w:rPr>
        <w:t xml:space="preserve"> </w:t>
      </w:r>
      <w:r w:rsidR="00532E0A">
        <w:rPr>
          <w:rFonts w:cs="Arial"/>
          <w:bCs/>
        </w:rPr>
        <w:t>form</w:t>
      </w:r>
      <w:r w:rsidR="00DC2346">
        <w:rPr>
          <w:rFonts w:cs="Arial"/>
          <w:bCs/>
        </w:rPr>
        <w:t>, t</w:t>
      </w:r>
      <w:r w:rsidR="00FF66F0">
        <w:rPr>
          <w:rFonts w:cs="Arial"/>
          <w:bCs/>
        </w:rPr>
        <w:t xml:space="preserve">he school spent </w:t>
      </w:r>
      <w:r w:rsidR="00FF66F0" w:rsidRPr="006D4288">
        <w:rPr>
          <w:rFonts w:cs="Arial"/>
          <w:bCs/>
        </w:rPr>
        <w:t>in total $</w:t>
      </w:r>
      <w:r w:rsidR="00FF66F0">
        <w:rPr>
          <w:rFonts w:cs="Arial"/>
          <w:bCs/>
        </w:rPr>
        <w:t>1</w:t>
      </w:r>
      <w:r w:rsidR="00FF66F0" w:rsidRPr="006D4288">
        <w:rPr>
          <w:rFonts w:cs="Arial"/>
          <w:bCs/>
        </w:rPr>
        <w:t>,</w:t>
      </w:r>
      <w:r w:rsidR="00FF66F0">
        <w:rPr>
          <w:rFonts w:cs="Arial"/>
          <w:bCs/>
        </w:rPr>
        <w:t>292</w:t>
      </w:r>
      <w:r w:rsidR="00FF66F0" w:rsidRPr="006D4288">
        <w:rPr>
          <w:rFonts w:cs="Arial"/>
          <w:bCs/>
        </w:rPr>
        <w:t>,</w:t>
      </w:r>
      <w:r w:rsidR="00FF66F0">
        <w:rPr>
          <w:rFonts w:cs="Arial"/>
          <w:bCs/>
        </w:rPr>
        <w:t>705</w:t>
      </w:r>
      <w:r w:rsidR="00FF66F0" w:rsidRPr="006D4288">
        <w:rPr>
          <w:rFonts w:cs="Arial"/>
          <w:bCs/>
        </w:rPr>
        <w:t xml:space="preserve"> on mold remediation and facilities reconstruction</w:t>
      </w:r>
      <w:r w:rsidR="00FF66F0">
        <w:rPr>
          <w:rFonts w:cs="Arial"/>
          <w:bCs/>
        </w:rPr>
        <w:t xml:space="preserve"> expenses.</w:t>
      </w:r>
    </w:p>
    <w:p w14:paraId="30401574" w14:textId="7CBAE626" w:rsidR="00FF66F0" w:rsidRPr="00433796" w:rsidRDefault="00FF66F0" w:rsidP="00FF66F0">
      <w:pPr>
        <w:spacing w:before="240" w:after="240" w:line="240" w:lineRule="auto"/>
        <w:contextualSpacing w:val="0"/>
        <w:rPr>
          <w:rFonts w:cs="Arial"/>
          <w:bCs/>
        </w:rPr>
      </w:pPr>
      <w:r w:rsidRPr="00433796">
        <w:rPr>
          <w:rFonts w:cs="Arial"/>
          <w:bCs/>
        </w:rPr>
        <w:t xml:space="preserve">The school also reports total </w:t>
      </w:r>
      <w:r w:rsidRPr="00FF66F0">
        <w:rPr>
          <w:rFonts w:cs="Arial"/>
          <w:bCs/>
        </w:rPr>
        <w:t>reserves of $4,327,011, or 82.59 percent of total expenditures. The school did not provide a plan for its reserves in its determination of</w:t>
      </w:r>
      <w:r w:rsidRPr="00433796">
        <w:rPr>
          <w:rFonts w:cs="Arial"/>
          <w:bCs/>
        </w:rPr>
        <w:t xml:space="preserve"> funding request. Pursuant to 5 </w:t>
      </w:r>
      <w:r w:rsidRPr="00433796">
        <w:rPr>
          <w:rFonts w:cs="Arial"/>
          <w:bCs/>
          <w:i/>
        </w:rPr>
        <w:t>CCR</w:t>
      </w:r>
      <w:r w:rsidRPr="00433796">
        <w:rPr>
          <w:rFonts w:cs="Arial"/>
          <w:bCs/>
        </w:rPr>
        <w:t xml:space="preserve"> Section 11963.3(a)(5)(F),</w:t>
      </w:r>
    </w:p>
    <w:p w14:paraId="2583DB8F" w14:textId="0641A0C2" w:rsidR="00FF66F0" w:rsidRDefault="00FF66F0" w:rsidP="00FF66F0">
      <w:pPr>
        <w:spacing w:before="240" w:after="240" w:line="240" w:lineRule="auto"/>
        <w:ind w:left="720"/>
        <w:contextualSpacing w:val="0"/>
        <w:rPr>
          <w:rFonts w:cs="Arial"/>
          <w:bCs/>
        </w:rPr>
      </w:pPr>
      <w:r w:rsidRPr="00433796">
        <w:rPr>
          <w:rFonts w:cs="Arial"/>
          <w:bCs/>
        </w:rPr>
        <w:t xml:space="preserve">Reserves in excess of the greater of fifty-thousand dollars or five percent of total expenditures may be allowed for economic uncertainties or long-term </w:t>
      </w:r>
      <w:r w:rsidRPr="00433796">
        <w:rPr>
          <w:rFonts w:cs="Arial"/>
          <w:bCs/>
        </w:rPr>
        <w:lastRenderedPageBreak/>
        <w:t>expenditures such as capital projects if the excess reserves are satisfactorily</w:t>
      </w:r>
      <w:r w:rsidRPr="00E50408">
        <w:rPr>
          <w:rFonts w:cs="Arial"/>
          <w:bCs/>
        </w:rPr>
        <w:t xml:space="preserve"> explained pursuant to section 11963.4(b).</w:t>
      </w:r>
    </w:p>
    <w:bookmarkEnd w:id="3"/>
    <w:bookmarkEnd w:id="4"/>
    <w:p w14:paraId="10F1DF2B" w14:textId="77777777" w:rsidR="00B571E0" w:rsidRPr="00F412CB" w:rsidRDefault="00B571E0" w:rsidP="00B571E0">
      <w:pPr>
        <w:spacing w:before="0" w:after="240" w:line="240" w:lineRule="auto"/>
        <w:contextualSpacing w:val="0"/>
        <w:rPr>
          <w:rFonts w:eastAsia="Calibri"/>
          <w:szCs w:val="22"/>
        </w:rPr>
      </w:pPr>
      <w:r w:rsidRPr="00F412CB">
        <w:rPr>
          <w:rFonts w:eastAsia="Calibri"/>
          <w:szCs w:val="22"/>
        </w:rPr>
        <w:t>The CDE contacted the school to ask about its reserves. In its response, the school stated that its reserves are intended to be spent on facilit</w:t>
      </w:r>
      <w:r>
        <w:rPr>
          <w:rFonts w:eastAsia="Calibri"/>
          <w:szCs w:val="22"/>
        </w:rPr>
        <w:t>y construction</w:t>
      </w:r>
      <w:r w:rsidRPr="00F412CB">
        <w:rPr>
          <w:rFonts w:eastAsia="Calibri"/>
          <w:szCs w:val="22"/>
        </w:rPr>
        <w:t>.</w:t>
      </w:r>
    </w:p>
    <w:p w14:paraId="7406251F" w14:textId="501F1246" w:rsidR="00B85187" w:rsidRDefault="00B571E0" w:rsidP="00B85187">
      <w:pPr>
        <w:spacing w:before="240" w:after="240" w:line="240" w:lineRule="auto"/>
        <w:contextualSpacing w:val="0"/>
        <w:rPr>
          <w:rFonts w:cs="Arial"/>
          <w:bCs/>
        </w:rPr>
      </w:pPr>
      <w:r w:rsidRPr="00F412CB">
        <w:rPr>
          <w:rFonts w:eastAsia="Calibri"/>
          <w:szCs w:val="22"/>
        </w:rPr>
        <w:t>The school plans to build a facility at its current location, with an approximate cost of $48 million, which would be funded 50 percent by the California Proposition 51, Public School Facility Bonds, or the Kindergarten Through Community College Public Education Facilities Bond Act of 2016, grant awarded to the school and 50 percent by debt by the Charter School Finance Authority. The $24 million in debt would be financed at 3 percent over 30 years, requiring cash debt service comprised of existing reserves and future general fund revenues. The school states that the final approvals of the plan are expected by February 2023, with an estimated construction completion date of August 2025.</w:t>
      </w:r>
    </w:p>
    <w:p w14:paraId="2ACB18DD" w14:textId="77777777" w:rsidR="00B85187" w:rsidRPr="00FC4859" w:rsidRDefault="00B85187" w:rsidP="00B85187">
      <w:pPr>
        <w:spacing w:before="240" w:after="240" w:line="240" w:lineRule="auto"/>
        <w:contextualSpacing w:val="0"/>
        <w:rPr>
          <w:rFonts w:cs="Arial"/>
          <w:bCs/>
          <w:highlight w:val="yellow"/>
        </w:rPr>
      </w:pPr>
      <w:r w:rsidRPr="00433796">
        <w:rPr>
          <w:rFonts w:cs="Arial"/>
          <w:bCs/>
        </w:rPr>
        <w:t>The CDE has determined that the information submitted support</w:t>
      </w:r>
      <w:r>
        <w:rPr>
          <w:rFonts w:cs="Arial"/>
          <w:bCs/>
        </w:rPr>
        <w:t>s</w:t>
      </w:r>
      <w:r w:rsidRPr="00433796">
        <w:rPr>
          <w:rFonts w:cs="Arial"/>
          <w:bCs/>
        </w:rPr>
        <w:t xml:space="preserve"> the claim for mitigating circumstances. The CDE agrees that the school’s need to spend money on subsurface mold remediation was an exceptional, one-time expense, evidenced by the fact that the school’s campus is open for FY 2022–23 and that the school intends to return to its classroom-based status going forwa</w:t>
      </w:r>
      <w:r w:rsidRPr="00AA2A6D">
        <w:rPr>
          <w:rFonts w:cs="Arial"/>
          <w:bCs/>
        </w:rPr>
        <w:t>rd. Additionally, the school has provided specific plans for its reserves.</w:t>
      </w:r>
    </w:p>
    <w:p w14:paraId="1AF6E2C4" w14:textId="41A08FF1" w:rsidR="00FC4859" w:rsidRPr="00FD7A33" w:rsidRDefault="00FC4859" w:rsidP="00FC4859">
      <w:pPr>
        <w:spacing w:before="100" w:beforeAutospacing="1" w:after="100" w:afterAutospacing="1" w:line="240" w:lineRule="auto"/>
        <w:contextualSpacing w:val="0"/>
        <w:rPr>
          <w:rFonts w:cs="Arial"/>
        </w:rPr>
      </w:pPr>
      <w:r w:rsidRPr="006D1229">
        <w:rPr>
          <w:rFonts w:cs="Arial"/>
          <w:bCs/>
        </w:rPr>
        <w:t xml:space="preserve">Therefore, the CDE proposes to recommend that the SBE </w:t>
      </w:r>
      <w:r>
        <w:rPr>
          <w:rFonts w:cs="Arial"/>
          <w:bCs/>
        </w:rPr>
        <w:t>approve</w:t>
      </w:r>
      <w:r w:rsidRPr="006D1229">
        <w:rPr>
          <w:rFonts w:cs="Arial"/>
          <w:bCs/>
        </w:rPr>
        <w:t xml:space="preserve"> the school’s mitigating circumstances request and </w:t>
      </w:r>
      <w:r>
        <w:rPr>
          <w:rFonts w:cs="Arial"/>
          <w:bCs/>
        </w:rPr>
        <w:t>approve</w:t>
      </w:r>
      <w:r w:rsidRPr="006D1229">
        <w:rPr>
          <w:rFonts w:cs="Arial"/>
          <w:bCs/>
        </w:rPr>
        <w:t xml:space="preserve"> the determination of funding request </w:t>
      </w:r>
      <w:r>
        <w:rPr>
          <w:rFonts w:cs="Arial"/>
          <w:bCs/>
        </w:rPr>
        <w:t xml:space="preserve">for 100 percent funding </w:t>
      </w:r>
      <w:r w:rsidRPr="006D1229">
        <w:rPr>
          <w:rFonts w:cs="Arial"/>
          <w:bCs/>
        </w:rPr>
        <w:t xml:space="preserve">as specified in Attachment 1. </w:t>
      </w:r>
      <w:r w:rsidRPr="006D1229">
        <w:rPr>
          <w:rFonts w:cs="Arial"/>
        </w:rPr>
        <w:t xml:space="preserve">If the school’s mitigating circumstances request and determination of funding request are </w:t>
      </w:r>
      <w:r>
        <w:rPr>
          <w:rFonts w:cs="Arial"/>
        </w:rPr>
        <w:t>approved</w:t>
      </w:r>
      <w:r w:rsidRPr="006D1229">
        <w:rPr>
          <w:rFonts w:cs="Arial"/>
        </w:rPr>
        <w:t xml:space="preserve">, it will be eligible to receive funding for ADA identified by the charter school as being generated through NCB instruction pursuant to </w:t>
      </w:r>
      <w:r w:rsidRPr="006D1229">
        <w:rPr>
          <w:rFonts w:cs="Arial"/>
          <w:i/>
        </w:rPr>
        <w:t>EC</w:t>
      </w:r>
      <w:r w:rsidRPr="006D1229">
        <w:rPr>
          <w:rFonts w:cs="Arial"/>
        </w:rPr>
        <w:t xml:space="preserve"> Section</w:t>
      </w:r>
      <w:r>
        <w:rPr>
          <w:rFonts w:cs="Arial"/>
        </w:rPr>
        <w:t xml:space="preserve"> 47634.2(c).</w:t>
      </w:r>
    </w:p>
    <w:p w14:paraId="7F4E3621" w14:textId="54D37258" w:rsidR="008F7BC4" w:rsidRPr="001B3958" w:rsidRDefault="00BC41D2" w:rsidP="00E94E5E">
      <w:pPr>
        <w:pStyle w:val="Heading2"/>
      </w:pPr>
      <w:r>
        <w:t>Attachment</w:t>
      </w:r>
      <w:r w:rsidR="007B271A">
        <w:t>s</w:t>
      </w:r>
    </w:p>
    <w:p w14:paraId="767F9CED" w14:textId="5EBCD7ED" w:rsidR="008F7BC4" w:rsidRPr="00876BAD" w:rsidRDefault="008F7BC4" w:rsidP="005878F1">
      <w:pPr>
        <w:pStyle w:val="ListParagraph"/>
        <w:numPr>
          <w:ilvl w:val="0"/>
          <w:numId w:val="12"/>
        </w:numPr>
        <w:spacing w:before="0" w:after="240" w:line="240" w:lineRule="auto"/>
        <w:contextualSpacing w:val="0"/>
      </w:pPr>
      <w:r w:rsidRPr="00876BAD">
        <w:rPr>
          <w:b/>
        </w:rPr>
        <w:t>Attachment 1:</w:t>
      </w:r>
      <w:r w:rsidRPr="00876BAD">
        <w:t xml:space="preserve"> Proposed </w:t>
      </w:r>
      <w:r w:rsidR="000E3F5A" w:rsidRPr="000E3F5A">
        <w:t>Recommendation</w:t>
      </w:r>
      <w:r w:rsidR="003445D1">
        <w:t>s</w:t>
      </w:r>
      <w:r w:rsidR="000E3F5A" w:rsidRPr="000E3F5A">
        <w:t xml:space="preserve"> for Nonclassroom-Based Determination of Funding</w:t>
      </w:r>
      <w:r w:rsidR="00510736" w:rsidRPr="00876BAD">
        <w:t xml:space="preserve"> </w:t>
      </w:r>
      <w:r w:rsidRPr="00876BAD">
        <w:t>(</w:t>
      </w:r>
      <w:r w:rsidR="0052741C" w:rsidRPr="00876BAD">
        <w:t>1</w:t>
      </w:r>
      <w:r w:rsidRPr="00876BAD">
        <w:t xml:space="preserve"> </w:t>
      </w:r>
      <w:r w:rsidR="00222F10">
        <w:t>p</w:t>
      </w:r>
      <w:r w:rsidRPr="00876BAD">
        <w:t>age)</w:t>
      </w:r>
    </w:p>
    <w:p w14:paraId="792B49FD" w14:textId="74B9F35E" w:rsidR="005444B7" w:rsidRDefault="008515E6" w:rsidP="00272FFD">
      <w:pPr>
        <w:pStyle w:val="ListParagraph"/>
        <w:numPr>
          <w:ilvl w:val="0"/>
          <w:numId w:val="12"/>
        </w:numPr>
        <w:spacing w:before="0" w:after="240" w:line="240" w:lineRule="auto"/>
        <w:contextualSpacing w:val="0"/>
      </w:pPr>
      <w:r w:rsidRPr="00876BAD">
        <w:rPr>
          <w:b/>
        </w:rPr>
        <w:t>Attachment 2:</w:t>
      </w:r>
      <w:r w:rsidRPr="00876BAD">
        <w:t xml:space="preserve"> Determination of Funding Request for </w:t>
      </w:r>
      <w:bookmarkStart w:id="7" w:name="_Hlk106108540"/>
      <w:r w:rsidR="009949EE">
        <w:t>MIT Academy</w:t>
      </w:r>
      <w:r w:rsidR="00E13D2C" w:rsidRPr="00876BAD">
        <w:t>, Charter #</w:t>
      </w:r>
      <w:bookmarkEnd w:id="7"/>
      <w:r w:rsidR="009949EE">
        <w:t>0372</w:t>
      </w:r>
      <w:r w:rsidR="00272FFD">
        <w:t xml:space="preserve"> </w:t>
      </w:r>
      <w:r w:rsidRPr="00876BAD">
        <w:t xml:space="preserve">(9 </w:t>
      </w:r>
      <w:r w:rsidR="00222F10">
        <w:t>p</w:t>
      </w:r>
      <w:r w:rsidRPr="00876BAD">
        <w:t>ages)</w:t>
      </w:r>
    </w:p>
    <w:p w14:paraId="09D7F9F2" w14:textId="60036633" w:rsidR="0050238C" w:rsidRDefault="0050238C" w:rsidP="0050238C">
      <w:pPr>
        <w:pStyle w:val="ListParagraph"/>
        <w:numPr>
          <w:ilvl w:val="0"/>
          <w:numId w:val="12"/>
        </w:numPr>
        <w:spacing w:before="0" w:after="240" w:line="240" w:lineRule="auto"/>
        <w:contextualSpacing w:val="0"/>
      </w:pPr>
      <w:r w:rsidRPr="00876BAD">
        <w:rPr>
          <w:b/>
        </w:rPr>
        <w:t xml:space="preserve">Attachment </w:t>
      </w:r>
      <w:r>
        <w:rPr>
          <w:b/>
        </w:rPr>
        <w:t>3</w:t>
      </w:r>
      <w:r w:rsidRPr="00876BAD">
        <w:rPr>
          <w:b/>
        </w:rPr>
        <w:t>:</w:t>
      </w:r>
      <w:r w:rsidRPr="00876BAD">
        <w:t xml:space="preserve"> </w:t>
      </w:r>
      <w:r>
        <w:t>Additional Documentation from</w:t>
      </w:r>
      <w:r w:rsidRPr="00876BAD">
        <w:t xml:space="preserve"> </w:t>
      </w:r>
      <w:r>
        <w:t>MIT Academy</w:t>
      </w:r>
      <w:r w:rsidRPr="00876BAD">
        <w:t>, Charter #</w:t>
      </w:r>
      <w:r>
        <w:t xml:space="preserve">0372 </w:t>
      </w:r>
      <w:r w:rsidRPr="00876BAD">
        <w:t>(</w:t>
      </w:r>
      <w:r>
        <w:t>156</w:t>
      </w:r>
      <w:r w:rsidRPr="00876BAD">
        <w:t xml:space="preserve"> </w:t>
      </w:r>
      <w:r>
        <w:t>p</w:t>
      </w:r>
      <w:r w:rsidRPr="00876BAD">
        <w:t>ages)</w:t>
      </w:r>
    </w:p>
    <w:p w14:paraId="1EB31EFD" w14:textId="16C35083" w:rsidR="00272FFD" w:rsidRDefault="00272FFD" w:rsidP="00272FFD">
      <w:pPr>
        <w:pStyle w:val="ListParagraph"/>
        <w:numPr>
          <w:ilvl w:val="0"/>
          <w:numId w:val="12"/>
        </w:numPr>
        <w:spacing w:before="0" w:after="240" w:line="240" w:lineRule="auto"/>
        <w:contextualSpacing w:val="0"/>
      </w:pPr>
      <w:r w:rsidRPr="00876BAD">
        <w:rPr>
          <w:b/>
        </w:rPr>
        <w:t xml:space="preserve">Attachment </w:t>
      </w:r>
      <w:r w:rsidR="0050238C">
        <w:rPr>
          <w:b/>
        </w:rPr>
        <w:t>4</w:t>
      </w:r>
      <w:r w:rsidRPr="00876BAD">
        <w:rPr>
          <w:b/>
        </w:rPr>
        <w:t>:</w:t>
      </w:r>
      <w:r w:rsidRPr="00876BAD">
        <w:t xml:space="preserve"> Determination of Funding Request for </w:t>
      </w:r>
      <w:r w:rsidR="0050238C">
        <w:t>Mare Island Technology Academy</w:t>
      </w:r>
      <w:r w:rsidRPr="00876BAD">
        <w:t>, Charter #</w:t>
      </w:r>
      <w:r w:rsidR="0050238C">
        <w:t>0</w:t>
      </w:r>
      <w:r>
        <w:t>1</w:t>
      </w:r>
      <w:r w:rsidR="0050238C">
        <w:t>81</w:t>
      </w:r>
      <w:r>
        <w:t xml:space="preserve"> </w:t>
      </w:r>
      <w:r w:rsidRPr="00876BAD">
        <w:t xml:space="preserve">(9 </w:t>
      </w:r>
      <w:r w:rsidR="00222F10">
        <w:t>p</w:t>
      </w:r>
      <w:r w:rsidRPr="00876BAD">
        <w:t>ages)</w:t>
      </w:r>
    </w:p>
    <w:p w14:paraId="013DEA9B" w14:textId="6E589905" w:rsidR="0050238C" w:rsidRDefault="0050238C" w:rsidP="0050238C">
      <w:pPr>
        <w:pStyle w:val="ListParagraph"/>
        <w:numPr>
          <w:ilvl w:val="0"/>
          <w:numId w:val="12"/>
        </w:numPr>
        <w:spacing w:before="0" w:after="240" w:line="240" w:lineRule="auto"/>
        <w:contextualSpacing w:val="0"/>
      </w:pPr>
      <w:r w:rsidRPr="00876BAD">
        <w:rPr>
          <w:b/>
        </w:rPr>
        <w:t xml:space="preserve">Attachment </w:t>
      </w:r>
      <w:r>
        <w:rPr>
          <w:b/>
        </w:rPr>
        <w:t>5</w:t>
      </w:r>
      <w:r w:rsidRPr="00876BAD">
        <w:rPr>
          <w:b/>
        </w:rPr>
        <w:t>:</w:t>
      </w:r>
      <w:r w:rsidRPr="00876BAD">
        <w:t xml:space="preserve"> </w:t>
      </w:r>
      <w:r>
        <w:t>Additional Documentation from</w:t>
      </w:r>
      <w:r w:rsidRPr="00876BAD">
        <w:t xml:space="preserve"> </w:t>
      </w:r>
      <w:r>
        <w:t>Mare Island Technology Academy</w:t>
      </w:r>
      <w:r w:rsidRPr="00876BAD">
        <w:t>, Charter #</w:t>
      </w:r>
      <w:r w:rsidR="00CD5621">
        <w:t>0181</w:t>
      </w:r>
      <w:r>
        <w:t xml:space="preserve"> </w:t>
      </w:r>
      <w:r w:rsidRPr="00876BAD">
        <w:t>(</w:t>
      </w:r>
      <w:r>
        <w:t>156</w:t>
      </w:r>
      <w:r w:rsidRPr="00876BAD">
        <w:t xml:space="preserve"> </w:t>
      </w:r>
      <w:r>
        <w:t>p</w:t>
      </w:r>
      <w:r w:rsidRPr="00876BAD">
        <w:t>ages)</w:t>
      </w:r>
    </w:p>
    <w:sectPr w:rsidR="0050238C" w:rsidSect="00A67F96">
      <w:headerReference w:type="default" r:id="rId7"/>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40D2" w14:textId="77777777" w:rsidR="00FE0D78" w:rsidRDefault="00FE0D78" w:rsidP="000E09DC">
      <w:r>
        <w:separator/>
      </w:r>
    </w:p>
  </w:endnote>
  <w:endnote w:type="continuationSeparator" w:id="0">
    <w:p w14:paraId="542E08B0" w14:textId="77777777" w:rsidR="00FE0D78" w:rsidRDefault="00FE0D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CC6C" w14:textId="77777777" w:rsidR="00FE0D78" w:rsidRDefault="00FE0D78" w:rsidP="000E09DC">
      <w:r>
        <w:separator/>
      </w:r>
    </w:p>
  </w:footnote>
  <w:footnote w:type="continuationSeparator" w:id="0">
    <w:p w14:paraId="7AF86C92" w14:textId="77777777" w:rsidR="00FE0D78" w:rsidRDefault="00FE0D7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3038" w14:textId="5E3EDF09" w:rsidR="00ED6047" w:rsidRPr="002D6EC8" w:rsidRDefault="00ED6047" w:rsidP="00BA695B">
    <w:pPr>
      <w:spacing w:after="0"/>
      <w:contextualSpacing w:val="0"/>
      <w:jc w:val="right"/>
    </w:pPr>
    <w:r w:rsidRPr="00780B44">
      <w:rPr>
        <w:rFonts w:cs="Arial"/>
      </w:rPr>
      <w:t>accs-</w:t>
    </w:r>
    <w:r w:rsidR="00045B9A">
      <w:rPr>
        <w:rFonts w:cs="Arial"/>
      </w:rPr>
      <w:t>dec</w:t>
    </w:r>
    <w:r w:rsidR="00DF4E1C">
      <w:rPr>
        <w:rFonts w:cs="Arial"/>
      </w:rPr>
      <w:t>22</w:t>
    </w:r>
    <w:r w:rsidRPr="00780B44">
      <w:rPr>
        <w:rFonts w:cs="Arial"/>
      </w:rPr>
      <w:t>item0</w:t>
    </w:r>
    <w:r w:rsidR="00263A48">
      <w:rPr>
        <w:rFonts w:cs="Arial"/>
      </w:rPr>
      <w:t>1</w:t>
    </w:r>
  </w:p>
  <w:p w14:paraId="75409F1F" w14:textId="77777777" w:rsidR="00ED6047" w:rsidRDefault="00ED6047" w:rsidP="00BA695B">
    <w:pPr>
      <w:pStyle w:val="Header"/>
      <w:spacing w:before="0" w:after="240"/>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046512">
    <w:abstractNumId w:val="4"/>
  </w:num>
  <w:num w:numId="2" w16cid:durableId="1210847938">
    <w:abstractNumId w:val="13"/>
  </w:num>
  <w:num w:numId="3" w16cid:durableId="1420641475">
    <w:abstractNumId w:val="2"/>
  </w:num>
  <w:num w:numId="4" w16cid:durableId="348482821">
    <w:abstractNumId w:val="9"/>
  </w:num>
  <w:num w:numId="5" w16cid:durableId="963847316">
    <w:abstractNumId w:val="10"/>
  </w:num>
  <w:num w:numId="6" w16cid:durableId="1084381527">
    <w:abstractNumId w:val="1"/>
  </w:num>
  <w:num w:numId="7" w16cid:durableId="410933839">
    <w:abstractNumId w:val="3"/>
  </w:num>
  <w:num w:numId="8" w16cid:durableId="1729455283">
    <w:abstractNumId w:val="6"/>
  </w:num>
  <w:num w:numId="9" w16cid:durableId="358630650">
    <w:abstractNumId w:val="7"/>
  </w:num>
  <w:num w:numId="10" w16cid:durableId="695275634">
    <w:abstractNumId w:val="15"/>
  </w:num>
  <w:num w:numId="11" w16cid:durableId="1178497384">
    <w:abstractNumId w:val="0"/>
  </w:num>
  <w:num w:numId="12" w16cid:durableId="1715159841">
    <w:abstractNumId w:val="12"/>
  </w:num>
  <w:num w:numId="13" w16cid:durableId="1368525945">
    <w:abstractNumId w:val="8"/>
  </w:num>
  <w:num w:numId="14" w16cid:durableId="1469204647">
    <w:abstractNumId w:val="11"/>
  </w:num>
  <w:num w:numId="15" w16cid:durableId="672492788">
    <w:abstractNumId w:val="14"/>
  </w:num>
  <w:num w:numId="16" w16cid:durableId="1595213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8D8"/>
    <w:rsid w:val="000158DF"/>
    <w:rsid w:val="00015BB5"/>
    <w:rsid w:val="00016277"/>
    <w:rsid w:val="00024458"/>
    <w:rsid w:val="00024BC9"/>
    <w:rsid w:val="00025553"/>
    <w:rsid w:val="000321AE"/>
    <w:rsid w:val="000324AD"/>
    <w:rsid w:val="00045B9A"/>
    <w:rsid w:val="000471CA"/>
    <w:rsid w:val="00047C0E"/>
    <w:rsid w:val="00050515"/>
    <w:rsid w:val="00062D56"/>
    <w:rsid w:val="000739CA"/>
    <w:rsid w:val="00073CF7"/>
    <w:rsid w:val="0007597D"/>
    <w:rsid w:val="00076054"/>
    <w:rsid w:val="000802E2"/>
    <w:rsid w:val="0008146C"/>
    <w:rsid w:val="00081E94"/>
    <w:rsid w:val="00082A65"/>
    <w:rsid w:val="000877BE"/>
    <w:rsid w:val="00087A22"/>
    <w:rsid w:val="00091CDC"/>
    <w:rsid w:val="000928B7"/>
    <w:rsid w:val="00092FF8"/>
    <w:rsid w:val="000951F6"/>
    <w:rsid w:val="00096A45"/>
    <w:rsid w:val="000A21F0"/>
    <w:rsid w:val="000A2957"/>
    <w:rsid w:val="000A5399"/>
    <w:rsid w:val="000A67A1"/>
    <w:rsid w:val="000A69F7"/>
    <w:rsid w:val="000B5957"/>
    <w:rsid w:val="000C1BBE"/>
    <w:rsid w:val="000C5AE0"/>
    <w:rsid w:val="000D3669"/>
    <w:rsid w:val="000D5F5E"/>
    <w:rsid w:val="000E09DC"/>
    <w:rsid w:val="000E3913"/>
    <w:rsid w:val="000E3F5A"/>
    <w:rsid w:val="000F0942"/>
    <w:rsid w:val="000F2AE4"/>
    <w:rsid w:val="000F3CED"/>
    <w:rsid w:val="000F50C4"/>
    <w:rsid w:val="00100430"/>
    <w:rsid w:val="0010269E"/>
    <w:rsid w:val="00104466"/>
    <w:rsid w:val="001048F3"/>
    <w:rsid w:val="0010793A"/>
    <w:rsid w:val="0011073C"/>
    <w:rsid w:val="001112C1"/>
    <w:rsid w:val="001115F5"/>
    <w:rsid w:val="00111ABD"/>
    <w:rsid w:val="001130DE"/>
    <w:rsid w:val="0011362F"/>
    <w:rsid w:val="0011561F"/>
    <w:rsid w:val="00120906"/>
    <w:rsid w:val="00121659"/>
    <w:rsid w:val="0012261E"/>
    <w:rsid w:val="00122D52"/>
    <w:rsid w:val="00124D2D"/>
    <w:rsid w:val="0012534F"/>
    <w:rsid w:val="00130059"/>
    <w:rsid w:val="0013142F"/>
    <w:rsid w:val="00134328"/>
    <w:rsid w:val="001368D1"/>
    <w:rsid w:val="00144B53"/>
    <w:rsid w:val="001466ED"/>
    <w:rsid w:val="001517CB"/>
    <w:rsid w:val="0016380B"/>
    <w:rsid w:val="00167DCA"/>
    <w:rsid w:val="00174C93"/>
    <w:rsid w:val="00177405"/>
    <w:rsid w:val="0018148D"/>
    <w:rsid w:val="0018298E"/>
    <w:rsid w:val="0018494B"/>
    <w:rsid w:val="00186990"/>
    <w:rsid w:val="00186DCB"/>
    <w:rsid w:val="00187317"/>
    <w:rsid w:val="00187A59"/>
    <w:rsid w:val="001947B1"/>
    <w:rsid w:val="00194FFD"/>
    <w:rsid w:val="001A0AEA"/>
    <w:rsid w:val="001A0CA5"/>
    <w:rsid w:val="001A1352"/>
    <w:rsid w:val="001A492E"/>
    <w:rsid w:val="001B127C"/>
    <w:rsid w:val="001B1A02"/>
    <w:rsid w:val="001B2D79"/>
    <w:rsid w:val="001B3958"/>
    <w:rsid w:val="001B4D30"/>
    <w:rsid w:val="001C20F2"/>
    <w:rsid w:val="001C3D3B"/>
    <w:rsid w:val="001C723E"/>
    <w:rsid w:val="001D4978"/>
    <w:rsid w:val="001D7FAC"/>
    <w:rsid w:val="001E0FE8"/>
    <w:rsid w:val="001E1929"/>
    <w:rsid w:val="001E2A2F"/>
    <w:rsid w:val="001E3B8E"/>
    <w:rsid w:val="001E5813"/>
    <w:rsid w:val="001F1ACD"/>
    <w:rsid w:val="001F1FD5"/>
    <w:rsid w:val="001F47AD"/>
    <w:rsid w:val="001F4C31"/>
    <w:rsid w:val="001F7D78"/>
    <w:rsid w:val="00200D9F"/>
    <w:rsid w:val="00202C44"/>
    <w:rsid w:val="00202E3D"/>
    <w:rsid w:val="00203C3F"/>
    <w:rsid w:val="002060E7"/>
    <w:rsid w:val="0021116D"/>
    <w:rsid w:val="00211328"/>
    <w:rsid w:val="00211E16"/>
    <w:rsid w:val="002174CC"/>
    <w:rsid w:val="00222F10"/>
    <w:rsid w:val="00223112"/>
    <w:rsid w:val="00226AE6"/>
    <w:rsid w:val="002271A7"/>
    <w:rsid w:val="00230910"/>
    <w:rsid w:val="0023418A"/>
    <w:rsid w:val="00240622"/>
    <w:rsid w:val="00240B26"/>
    <w:rsid w:val="00251AE1"/>
    <w:rsid w:val="00251CDA"/>
    <w:rsid w:val="0025231A"/>
    <w:rsid w:val="00252C96"/>
    <w:rsid w:val="00261B72"/>
    <w:rsid w:val="002631D5"/>
    <w:rsid w:val="00263A48"/>
    <w:rsid w:val="00270D4D"/>
    <w:rsid w:val="00272B4F"/>
    <w:rsid w:val="00272FFD"/>
    <w:rsid w:val="00285BE7"/>
    <w:rsid w:val="00291AB7"/>
    <w:rsid w:val="0029513D"/>
    <w:rsid w:val="00296058"/>
    <w:rsid w:val="002A09AA"/>
    <w:rsid w:val="002A263F"/>
    <w:rsid w:val="002A35EB"/>
    <w:rsid w:val="002B2176"/>
    <w:rsid w:val="002B30C9"/>
    <w:rsid w:val="002B48DD"/>
    <w:rsid w:val="002B4B14"/>
    <w:rsid w:val="002C407A"/>
    <w:rsid w:val="002C71F2"/>
    <w:rsid w:val="002C7705"/>
    <w:rsid w:val="002D1A82"/>
    <w:rsid w:val="002D49FB"/>
    <w:rsid w:val="002D6EC8"/>
    <w:rsid w:val="002E216A"/>
    <w:rsid w:val="002E4CB5"/>
    <w:rsid w:val="002E52C1"/>
    <w:rsid w:val="002E6FCA"/>
    <w:rsid w:val="002F279B"/>
    <w:rsid w:val="002F7D01"/>
    <w:rsid w:val="003005BC"/>
    <w:rsid w:val="00312309"/>
    <w:rsid w:val="00315131"/>
    <w:rsid w:val="003156E5"/>
    <w:rsid w:val="0031775D"/>
    <w:rsid w:val="00317B34"/>
    <w:rsid w:val="00320FA9"/>
    <w:rsid w:val="00321613"/>
    <w:rsid w:val="0032296D"/>
    <w:rsid w:val="00323F65"/>
    <w:rsid w:val="0032779B"/>
    <w:rsid w:val="0033614B"/>
    <w:rsid w:val="00337321"/>
    <w:rsid w:val="003420FC"/>
    <w:rsid w:val="00342F6A"/>
    <w:rsid w:val="003445D1"/>
    <w:rsid w:val="003453FB"/>
    <w:rsid w:val="00351B8D"/>
    <w:rsid w:val="003533D1"/>
    <w:rsid w:val="0035416F"/>
    <w:rsid w:val="003546A4"/>
    <w:rsid w:val="003623A8"/>
    <w:rsid w:val="00363520"/>
    <w:rsid w:val="00364CB8"/>
    <w:rsid w:val="003705FC"/>
    <w:rsid w:val="00371992"/>
    <w:rsid w:val="00374D3F"/>
    <w:rsid w:val="003772A9"/>
    <w:rsid w:val="00377DB5"/>
    <w:rsid w:val="00380371"/>
    <w:rsid w:val="00384ACF"/>
    <w:rsid w:val="00385EEA"/>
    <w:rsid w:val="003875EB"/>
    <w:rsid w:val="00390A50"/>
    <w:rsid w:val="00397AC2"/>
    <w:rsid w:val="003A4D7D"/>
    <w:rsid w:val="003B0477"/>
    <w:rsid w:val="003B2F22"/>
    <w:rsid w:val="003B307B"/>
    <w:rsid w:val="003B32AD"/>
    <w:rsid w:val="003B5617"/>
    <w:rsid w:val="003B5B8E"/>
    <w:rsid w:val="003C103C"/>
    <w:rsid w:val="003C299C"/>
    <w:rsid w:val="003D1ECD"/>
    <w:rsid w:val="003D6DB2"/>
    <w:rsid w:val="003E1E8D"/>
    <w:rsid w:val="003E1F44"/>
    <w:rsid w:val="003E4DF7"/>
    <w:rsid w:val="003E53AD"/>
    <w:rsid w:val="003E581D"/>
    <w:rsid w:val="003E6800"/>
    <w:rsid w:val="003F61DE"/>
    <w:rsid w:val="003F6F98"/>
    <w:rsid w:val="004041BC"/>
    <w:rsid w:val="00406F50"/>
    <w:rsid w:val="00407926"/>
    <w:rsid w:val="00407AA4"/>
    <w:rsid w:val="00407E9B"/>
    <w:rsid w:val="00411671"/>
    <w:rsid w:val="00413525"/>
    <w:rsid w:val="0041467B"/>
    <w:rsid w:val="00417CF6"/>
    <w:rsid w:val="004203BC"/>
    <w:rsid w:val="004248D0"/>
    <w:rsid w:val="0042654E"/>
    <w:rsid w:val="00430094"/>
    <w:rsid w:val="00432357"/>
    <w:rsid w:val="00433796"/>
    <w:rsid w:val="00440D88"/>
    <w:rsid w:val="00443642"/>
    <w:rsid w:val="0044368B"/>
    <w:rsid w:val="00443B1F"/>
    <w:rsid w:val="0044659F"/>
    <w:rsid w:val="0044670C"/>
    <w:rsid w:val="00450C7F"/>
    <w:rsid w:val="00450E5F"/>
    <w:rsid w:val="00455640"/>
    <w:rsid w:val="00462A53"/>
    <w:rsid w:val="00463CAE"/>
    <w:rsid w:val="0046519F"/>
    <w:rsid w:val="0047534A"/>
    <w:rsid w:val="004778BB"/>
    <w:rsid w:val="004903FA"/>
    <w:rsid w:val="00492F24"/>
    <w:rsid w:val="004947BC"/>
    <w:rsid w:val="004B3907"/>
    <w:rsid w:val="004B605A"/>
    <w:rsid w:val="004C1016"/>
    <w:rsid w:val="004D1B6B"/>
    <w:rsid w:val="004D7581"/>
    <w:rsid w:val="004D77E0"/>
    <w:rsid w:val="004D7E48"/>
    <w:rsid w:val="004E029B"/>
    <w:rsid w:val="004E2ADC"/>
    <w:rsid w:val="004E3ACE"/>
    <w:rsid w:val="004F03D0"/>
    <w:rsid w:val="004F1692"/>
    <w:rsid w:val="004F1B26"/>
    <w:rsid w:val="004F2971"/>
    <w:rsid w:val="004F4157"/>
    <w:rsid w:val="004F63BC"/>
    <w:rsid w:val="0050238C"/>
    <w:rsid w:val="00510736"/>
    <w:rsid w:val="00512D1B"/>
    <w:rsid w:val="005156AF"/>
    <w:rsid w:val="00517C00"/>
    <w:rsid w:val="00521C00"/>
    <w:rsid w:val="00522DD1"/>
    <w:rsid w:val="00525A90"/>
    <w:rsid w:val="0052741C"/>
    <w:rsid w:val="00527B0E"/>
    <w:rsid w:val="005321D5"/>
    <w:rsid w:val="00532DAA"/>
    <w:rsid w:val="00532E0A"/>
    <w:rsid w:val="005350B0"/>
    <w:rsid w:val="00536715"/>
    <w:rsid w:val="00536910"/>
    <w:rsid w:val="0054059F"/>
    <w:rsid w:val="00541BEE"/>
    <w:rsid w:val="00543170"/>
    <w:rsid w:val="005444B7"/>
    <w:rsid w:val="00546DFA"/>
    <w:rsid w:val="00550A90"/>
    <w:rsid w:val="00551D51"/>
    <w:rsid w:val="0055266E"/>
    <w:rsid w:val="00553E11"/>
    <w:rsid w:val="00553EA1"/>
    <w:rsid w:val="0055453B"/>
    <w:rsid w:val="005606EE"/>
    <w:rsid w:val="005623C2"/>
    <w:rsid w:val="00565B94"/>
    <w:rsid w:val="00570BF9"/>
    <w:rsid w:val="005713E5"/>
    <w:rsid w:val="00573D57"/>
    <w:rsid w:val="00577182"/>
    <w:rsid w:val="00584A4C"/>
    <w:rsid w:val="005878F1"/>
    <w:rsid w:val="00595E73"/>
    <w:rsid w:val="0059761A"/>
    <w:rsid w:val="005A2FEC"/>
    <w:rsid w:val="005A3BE4"/>
    <w:rsid w:val="005A7073"/>
    <w:rsid w:val="005A78D1"/>
    <w:rsid w:val="005B226A"/>
    <w:rsid w:val="005B3376"/>
    <w:rsid w:val="005B3F41"/>
    <w:rsid w:val="005C364F"/>
    <w:rsid w:val="005C5755"/>
    <w:rsid w:val="005C66DD"/>
    <w:rsid w:val="005D026E"/>
    <w:rsid w:val="005D15C4"/>
    <w:rsid w:val="005D2360"/>
    <w:rsid w:val="005D2491"/>
    <w:rsid w:val="005D316B"/>
    <w:rsid w:val="005D4001"/>
    <w:rsid w:val="005D401E"/>
    <w:rsid w:val="005D630D"/>
    <w:rsid w:val="005E55D3"/>
    <w:rsid w:val="005E703F"/>
    <w:rsid w:val="005F0AAC"/>
    <w:rsid w:val="005F5512"/>
    <w:rsid w:val="005F5A8D"/>
    <w:rsid w:val="005F798C"/>
    <w:rsid w:val="00600FDE"/>
    <w:rsid w:val="00601159"/>
    <w:rsid w:val="00604A25"/>
    <w:rsid w:val="0060666A"/>
    <w:rsid w:val="00607345"/>
    <w:rsid w:val="00611E7A"/>
    <w:rsid w:val="00613E5A"/>
    <w:rsid w:val="00613E69"/>
    <w:rsid w:val="00615654"/>
    <w:rsid w:val="00616AB5"/>
    <w:rsid w:val="0062121B"/>
    <w:rsid w:val="00622569"/>
    <w:rsid w:val="00624CCA"/>
    <w:rsid w:val="00626545"/>
    <w:rsid w:val="00630A9D"/>
    <w:rsid w:val="0063396B"/>
    <w:rsid w:val="0063493C"/>
    <w:rsid w:val="00635042"/>
    <w:rsid w:val="00641BD8"/>
    <w:rsid w:val="0064329F"/>
    <w:rsid w:val="0064373F"/>
    <w:rsid w:val="006508E0"/>
    <w:rsid w:val="00653939"/>
    <w:rsid w:val="00653F15"/>
    <w:rsid w:val="00655299"/>
    <w:rsid w:val="00656222"/>
    <w:rsid w:val="006576AD"/>
    <w:rsid w:val="0066196C"/>
    <w:rsid w:val="006738BA"/>
    <w:rsid w:val="00674E6D"/>
    <w:rsid w:val="0067669D"/>
    <w:rsid w:val="00676B70"/>
    <w:rsid w:val="006860C8"/>
    <w:rsid w:val="00687809"/>
    <w:rsid w:val="00690FD1"/>
    <w:rsid w:val="00692300"/>
    <w:rsid w:val="00693519"/>
    <w:rsid w:val="006938F3"/>
    <w:rsid w:val="00693951"/>
    <w:rsid w:val="006A1DB0"/>
    <w:rsid w:val="006A2812"/>
    <w:rsid w:val="006A5802"/>
    <w:rsid w:val="006A63C6"/>
    <w:rsid w:val="006A662A"/>
    <w:rsid w:val="006B1750"/>
    <w:rsid w:val="006B18B4"/>
    <w:rsid w:val="006B2111"/>
    <w:rsid w:val="006B2149"/>
    <w:rsid w:val="006B68B0"/>
    <w:rsid w:val="006C4282"/>
    <w:rsid w:val="006D0223"/>
    <w:rsid w:val="006D1229"/>
    <w:rsid w:val="006D1849"/>
    <w:rsid w:val="006D41C6"/>
    <w:rsid w:val="006D4288"/>
    <w:rsid w:val="006D6FC6"/>
    <w:rsid w:val="006E06C6"/>
    <w:rsid w:val="006E43D0"/>
    <w:rsid w:val="006E547B"/>
    <w:rsid w:val="006F1AB1"/>
    <w:rsid w:val="006F740B"/>
    <w:rsid w:val="006F797A"/>
    <w:rsid w:val="00700676"/>
    <w:rsid w:val="00702AB1"/>
    <w:rsid w:val="007048C7"/>
    <w:rsid w:val="00704D3D"/>
    <w:rsid w:val="00710C96"/>
    <w:rsid w:val="00711399"/>
    <w:rsid w:val="00711FAC"/>
    <w:rsid w:val="00713E5C"/>
    <w:rsid w:val="007224CC"/>
    <w:rsid w:val="00726EDA"/>
    <w:rsid w:val="0072734E"/>
    <w:rsid w:val="007313A3"/>
    <w:rsid w:val="00732F3F"/>
    <w:rsid w:val="00733945"/>
    <w:rsid w:val="00733C67"/>
    <w:rsid w:val="007400CB"/>
    <w:rsid w:val="007428B8"/>
    <w:rsid w:val="00746164"/>
    <w:rsid w:val="00746ED5"/>
    <w:rsid w:val="007478FF"/>
    <w:rsid w:val="007514ED"/>
    <w:rsid w:val="0075333A"/>
    <w:rsid w:val="00755493"/>
    <w:rsid w:val="007617EF"/>
    <w:rsid w:val="00762830"/>
    <w:rsid w:val="00764AEB"/>
    <w:rsid w:val="007651B6"/>
    <w:rsid w:val="00771394"/>
    <w:rsid w:val="00771552"/>
    <w:rsid w:val="00772605"/>
    <w:rsid w:val="007747DA"/>
    <w:rsid w:val="00774DAC"/>
    <w:rsid w:val="00775131"/>
    <w:rsid w:val="00780B44"/>
    <w:rsid w:val="00780BB6"/>
    <w:rsid w:val="007913E7"/>
    <w:rsid w:val="007934A1"/>
    <w:rsid w:val="007937C5"/>
    <w:rsid w:val="007A0536"/>
    <w:rsid w:val="007A1DA6"/>
    <w:rsid w:val="007A2A8F"/>
    <w:rsid w:val="007A5826"/>
    <w:rsid w:val="007A7F71"/>
    <w:rsid w:val="007B271A"/>
    <w:rsid w:val="007B7957"/>
    <w:rsid w:val="007C090C"/>
    <w:rsid w:val="007C5697"/>
    <w:rsid w:val="007C6264"/>
    <w:rsid w:val="007D4E8A"/>
    <w:rsid w:val="007D56F4"/>
    <w:rsid w:val="007D5B7A"/>
    <w:rsid w:val="007D5DE7"/>
    <w:rsid w:val="007D6A8F"/>
    <w:rsid w:val="007E2CBB"/>
    <w:rsid w:val="007E7B84"/>
    <w:rsid w:val="007F2757"/>
    <w:rsid w:val="00801C86"/>
    <w:rsid w:val="008026B6"/>
    <w:rsid w:val="0080433D"/>
    <w:rsid w:val="00806E78"/>
    <w:rsid w:val="00806F09"/>
    <w:rsid w:val="008143CC"/>
    <w:rsid w:val="008150A1"/>
    <w:rsid w:val="00815144"/>
    <w:rsid w:val="008156A7"/>
    <w:rsid w:val="008157EE"/>
    <w:rsid w:val="008223B1"/>
    <w:rsid w:val="00822709"/>
    <w:rsid w:val="00823DCC"/>
    <w:rsid w:val="00831752"/>
    <w:rsid w:val="0083556E"/>
    <w:rsid w:val="008370CC"/>
    <w:rsid w:val="00844CC0"/>
    <w:rsid w:val="008455A1"/>
    <w:rsid w:val="00846CA4"/>
    <w:rsid w:val="008515E6"/>
    <w:rsid w:val="008536D2"/>
    <w:rsid w:val="00854DB4"/>
    <w:rsid w:val="0086465D"/>
    <w:rsid w:val="008655E1"/>
    <w:rsid w:val="00865F72"/>
    <w:rsid w:val="0087026E"/>
    <w:rsid w:val="00874E17"/>
    <w:rsid w:val="00875C6D"/>
    <w:rsid w:val="00876B82"/>
    <w:rsid w:val="00876BAD"/>
    <w:rsid w:val="00882FC1"/>
    <w:rsid w:val="00884716"/>
    <w:rsid w:val="00887343"/>
    <w:rsid w:val="008909EE"/>
    <w:rsid w:val="00891054"/>
    <w:rsid w:val="00893F0E"/>
    <w:rsid w:val="00895488"/>
    <w:rsid w:val="008A3108"/>
    <w:rsid w:val="008A5EF9"/>
    <w:rsid w:val="008B299F"/>
    <w:rsid w:val="008B4D1D"/>
    <w:rsid w:val="008B4D5C"/>
    <w:rsid w:val="008B659F"/>
    <w:rsid w:val="008C0805"/>
    <w:rsid w:val="008C26CE"/>
    <w:rsid w:val="008C3025"/>
    <w:rsid w:val="008C37D4"/>
    <w:rsid w:val="008D3311"/>
    <w:rsid w:val="008D3AB8"/>
    <w:rsid w:val="008D6FBC"/>
    <w:rsid w:val="008E233F"/>
    <w:rsid w:val="008E2F92"/>
    <w:rsid w:val="008E51BB"/>
    <w:rsid w:val="008F426F"/>
    <w:rsid w:val="008F5714"/>
    <w:rsid w:val="008F759E"/>
    <w:rsid w:val="008F75E6"/>
    <w:rsid w:val="008F7BC4"/>
    <w:rsid w:val="00900358"/>
    <w:rsid w:val="00903A43"/>
    <w:rsid w:val="00906D8D"/>
    <w:rsid w:val="009073F5"/>
    <w:rsid w:val="0091117B"/>
    <w:rsid w:val="00920525"/>
    <w:rsid w:val="00921421"/>
    <w:rsid w:val="0092172A"/>
    <w:rsid w:val="00924290"/>
    <w:rsid w:val="0092696A"/>
    <w:rsid w:val="009270BF"/>
    <w:rsid w:val="009302B6"/>
    <w:rsid w:val="00931B4D"/>
    <w:rsid w:val="00932529"/>
    <w:rsid w:val="0093709E"/>
    <w:rsid w:val="009411A5"/>
    <w:rsid w:val="0094608C"/>
    <w:rsid w:val="00947BC4"/>
    <w:rsid w:val="00951A2B"/>
    <w:rsid w:val="0096561A"/>
    <w:rsid w:val="00972D85"/>
    <w:rsid w:val="00973C53"/>
    <w:rsid w:val="00974218"/>
    <w:rsid w:val="009748A2"/>
    <w:rsid w:val="00980457"/>
    <w:rsid w:val="00980D04"/>
    <w:rsid w:val="009876A4"/>
    <w:rsid w:val="00990393"/>
    <w:rsid w:val="00990AF8"/>
    <w:rsid w:val="009949EE"/>
    <w:rsid w:val="0099535D"/>
    <w:rsid w:val="009A046B"/>
    <w:rsid w:val="009A0F9C"/>
    <w:rsid w:val="009A105B"/>
    <w:rsid w:val="009B04E1"/>
    <w:rsid w:val="009B0E75"/>
    <w:rsid w:val="009B61BF"/>
    <w:rsid w:val="009B626D"/>
    <w:rsid w:val="009B6BA1"/>
    <w:rsid w:val="009C6089"/>
    <w:rsid w:val="009D305E"/>
    <w:rsid w:val="009D42BD"/>
    <w:rsid w:val="009D5028"/>
    <w:rsid w:val="009D69DA"/>
    <w:rsid w:val="009D79FE"/>
    <w:rsid w:val="009E1BA2"/>
    <w:rsid w:val="009F3F9D"/>
    <w:rsid w:val="009F7F09"/>
    <w:rsid w:val="00A00545"/>
    <w:rsid w:val="00A00C7D"/>
    <w:rsid w:val="00A02239"/>
    <w:rsid w:val="00A0367C"/>
    <w:rsid w:val="00A03777"/>
    <w:rsid w:val="00A050CD"/>
    <w:rsid w:val="00A056E5"/>
    <w:rsid w:val="00A0798C"/>
    <w:rsid w:val="00A07F42"/>
    <w:rsid w:val="00A148BF"/>
    <w:rsid w:val="00A14F7A"/>
    <w:rsid w:val="00A16315"/>
    <w:rsid w:val="00A174A2"/>
    <w:rsid w:val="00A221DC"/>
    <w:rsid w:val="00A25C46"/>
    <w:rsid w:val="00A25D56"/>
    <w:rsid w:val="00A30B3C"/>
    <w:rsid w:val="00A32E17"/>
    <w:rsid w:val="00A3335C"/>
    <w:rsid w:val="00A34A51"/>
    <w:rsid w:val="00A35FCD"/>
    <w:rsid w:val="00A4553C"/>
    <w:rsid w:val="00A51E6F"/>
    <w:rsid w:val="00A523D1"/>
    <w:rsid w:val="00A538C9"/>
    <w:rsid w:val="00A552D0"/>
    <w:rsid w:val="00A55FA6"/>
    <w:rsid w:val="00A60392"/>
    <w:rsid w:val="00A63C59"/>
    <w:rsid w:val="00A67820"/>
    <w:rsid w:val="00A67EDA"/>
    <w:rsid w:val="00A67F96"/>
    <w:rsid w:val="00A7011F"/>
    <w:rsid w:val="00A7039F"/>
    <w:rsid w:val="00A71AAC"/>
    <w:rsid w:val="00A74797"/>
    <w:rsid w:val="00A7489B"/>
    <w:rsid w:val="00A7590A"/>
    <w:rsid w:val="00A80ABE"/>
    <w:rsid w:val="00A81CC6"/>
    <w:rsid w:val="00A84839"/>
    <w:rsid w:val="00A87AE1"/>
    <w:rsid w:val="00AA171D"/>
    <w:rsid w:val="00AA2A6D"/>
    <w:rsid w:val="00AB31FB"/>
    <w:rsid w:val="00AB3E00"/>
    <w:rsid w:val="00AB7362"/>
    <w:rsid w:val="00AC0A98"/>
    <w:rsid w:val="00AC0F7B"/>
    <w:rsid w:val="00AC2F3E"/>
    <w:rsid w:val="00AC335E"/>
    <w:rsid w:val="00AC3695"/>
    <w:rsid w:val="00AC4A29"/>
    <w:rsid w:val="00AC7B4B"/>
    <w:rsid w:val="00AD0ECC"/>
    <w:rsid w:val="00AE6AC7"/>
    <w:rsid w:val="00AE6E20"/>
    <w:rsid w:val="00AF2248"/>
    <w:rsid w:val="00AF563B"/>
    <w:rsid w:val="00AF6963"/>
    <w:rsid w:val="00B10167"/>
    <w:rsid w:val="00B10593"/>
    <w:rsid w:val="00B13859"/>
    <w:rsid w:val="00B15EB3"/>
    <w:rsid w:val="00B171A5"/>
    <w:rsid w:val="00B20401"/>
    <w:rsid w:val="00B2173C"/>
    <w:rsid w:val="00B30148"/>
    <w:rsid w:val="00B30CE8"/>
    <w:rsid w:val="00B32155"/>
    <w:rsid w:val="00B40590"/>
    <w:rsid w:val="00B40C0D"/>
    <w:rsid w:val="00B52A34"/>
    <w:rsid w:val="00B53772"/>
    <w:rsid w:val="00B571E0"/>
    <w:rsid w:val="00B5724B"/>
    <w:rsid w:val="00B61629"/>
    <w:rsid w:val="00B63731"/>
    <w:rsid w:val="00B63A96"/>
    <w:rsid w:val="00B65DF5"/>
    <w:rsid w:val="00B723BE"/>
    <w:rsid w:val="00B72477"/>
    <w:rsid w:val="00B74566"/>
    <w:rsid w:val="00B80220"/>
    <w:rsid w:val="00B81FE2"/>
    <w:rsid w:val="00B82705"/>
    <w:rsid w:val="00B85187"/>
    <w:rsid w:val="00B85536"/>
    <w:rsid w:val="00B86263"/>
    <w:rsid w:val="00B87D99"/>
    <w:rsid w:val="00B93BC7"/>
    <w:rsid w:val="00B940F3"/>
    <w:rsid w:val="00B95C61"/>
    <w:rsid w:val="00B97B40"/>
    <w:rsid w:val="00BA2160"/>
    <w:rsid w:val="00BA257A"/>
    <w:rsid w:val="00BA3889"/>
    <w:rsid w:val="00BA3E1A"/>
    <w:rsid w:val="00BA3E40"/>
    <w:rsid w:val="00BA695B"/>
    <w:rsid w:val="00BB0C27"/>
    <w:rsid w:val="00BB2084"/>
    <w:rsid w:val="00BB2AA1"/>
    <w:rsid w:val="00BB558D"/>
    <w:rsid w:val="00BC0932"/>
    <w:rsid w:val="00BC11EE"/>
    <w:rsid w:val="00BC2EA2"/>
    <w:rsid w:val="00BC41D2"/>
    <w:rsid w:val="00BC47B7"/>
    <w:rsid w:val="00BC4CB0"/>
    <w:rsid w:val="00BD0A6E"/>
    <w:rsid w:val="00BD1E33"/>
    <w:rsid w:val="00BD2F63"/>
    <w:rsid w:val="00BD69BF"/>
    <w:rsid w:val="00BD7272"/>
    <w:rsid w:val="00BE28F6"/>
    <w:rsid w:val="00BE33AD"/>
    <w:rsid w:val="00BE376D"/>
    <w:rsid w:val="00BE5EC9"/>
    <w:rsid w:val="00BF2DEF"/>
    <w:rsid w:val="00BF2F73"/>
    <w:rsid w:val="00BF3594"/>
    <w:rsid w:val="00BF4981"/>
    <w:rsid w:val="00BF6947"/>
    <w:rsid w:val="00C0028F"/>
    <w:rsid w:val="00C03809"/>
    <w:rsid w:val="00C04E43"/>
    <w:rsid w:val="00C076D2"/>
    <w:rsid w:val="00C07B90"/>
    <w:rsid w:val="00C123C5"/>
    <w:rsid w:val="00C124EE"/>
    <w:rsid w:val="00C136FE"/>
    <w:rsid w:val="00C22E87"/>
    <w:rsid w:val="00C23591"/>
    <w:rsid w:val="00C27D57"/>
    <w:rsid w:val="00C32324"/>
    <w:rsid w:val="00C33D77"/>
    <w:rsid w:val="00C34DD3"/>
    <w:rsid w:val="00C34E8A"/>
    <w:rsid w:val="00C43F4C"/>
    <w:rsid w:val="00C45768"/>
    <w:rsid w:val="00C51EB2"/>
    <w:rsid w:val="00C51F21"/>
    <w:rsid w:val="00C51F95"/>
    <w:rsid w:val="00C52649"/>
    <w:rsid w:val="00C5306B"/>
    <w:rsid w:val="00C556D9"/>
    <w:rsid w:val="00C6467A"/>
    <w:rsid w:val="00C678A7"/>
    <w:rsid w:val="00C731F4"/>
    <w:rsid w:val="00C73A68"/>
    <w:rsid w:val="00C80AF2"/>
    <w:rsid w:val="00C81DDA"/>
    <w:rsid w:val="00C81E39"/>
    <w:rsid w:val="00C82CBA"/>
    <w:rsid w:val="00C91464"/>
    <w:rsid w:val="00C9454F"/>
    <w:rsid w:val="00C952CD"/>
    <w:rsid w:val="00CA279C"/>
    <w:rsid w:val="00CA403F"/>
    <w:rsid w:val="00CA6628"/>
    <w:rsid w:val="00CA69F3"/>
    <w:rsid w:val="00CA7B2E"/>
    <w:rsid w:val="00CB1157"/>
    <w:rsid w:val="00CB1F2B"/>
    <w:rsid w:val="00CB5B55"/>
    <w:rsid w:val="00CB76D3"/>
    <w:rsid w:val="00CC64F3"/>
    <w:rsid w:val="00CC762F"/>
    <w:rsid w:val="00CD041A"/>
    <w:rsid w:val="00CD4190"/>
    <w:rsid w:val="00CD5621"/>
    <w:rsid w:val="00CE1C84"/>
    <w:rsid w:val="00CE37C1"/>
    <w:rsid w:val="00CF005B"/>
    <w:rsid w:val="00CF0C4F"/>
    <w:rsid w:val="00CF1C86"/>
    <w:rsid w:val="00D01A4B"/>
    <w:rsid w:val="00D04218"/>
    <w:rsid w:val="00D04F26"/>
    <w:rsid w:val="00D05D82"/>
    <w:rsid w:val="00D063E8"/>
    <w:rsid w:val="00D24358"/>
    <w:rsid w:val="00D266A5"/>
    <w:rsid w:val="00D30FA5"/>
    <w:rsid w:val="00D321A0"/>
    <w:rsid w:val="00D41AFB"/>
    <w:rsid w:val="00D43DC5"/>
    <w:rsid w:val="00D44713"/>
    <w:rsid w:val="00D46F9E"/>
    <w:rsid w:val="00D47DAB"/>
    <w:rsid w:val="00D5115F"/>
    <w:rsid w:val="00D549A5"/>
    <w:rsid w:val="00D63392"/>
    <w:rsid w:val="00D743CB"/>
    <w:rsid w:val="00D7709D"/>
    <w:rsid w:val="00D80890"/>
    <w:rsid w:val="00D8166B"/>
    <w:rsid w:val="00D81C0F"/>
    <w:rsid w:val="00D821EF"/>
    <w:rsid w:val="00D83B47"/>
    <w:rsid w:val="00D840D9"/>
    <w:rsid w:val="00D8667C"/>
    <w:rsid w:val="00D86AB9"/>
    <w:rsid w:val="00D87D83"/>
    <w:rsid w:val="00D92D26"/>
    <w:rsid w:val="00DA0371"/>
    <w:rsid w:val="00DA33DB"/>
    <w:rsid w:val="00DA596B"/>
    <w:rsid w:val="00DA5BD6"/>
    <w:rsid w:val="00DB0530"/>
    <w:rsid w:val="00DB3898"/>
    <w:rsid w:val="00DB6378"/>
    <w:rsid w:val="00DC2346"/>
    <w:rsid w:val="00DC2D10"/>
    <w:rsid w:val="00DC325F"/>
    <w:rsid w:val="00DC3647"/>
    <w:rsid w:val="00DC5D44"/>
    <w:rsid w:val="00DC7140"/>
    <w:rsid w:val="00DD3CAA"/>
    <w:rsid w:val="00DD4351"/>
    <w:rsid w:val="00DE4A46"/>
    <w:rsid w:val="00DE5F87"/>
    <w:rsid w:val="00DE5FC0"/>
    <w:rsid w:val="00DF4180"/>
    <w:rsid w:val="00DF4E1C"/>
    <w:rsid w:val="00DF6F8B"/>
    <w:rsid w:val="00E05555"/>
    <w:rsid w:val="00E06196"/>
    <w:rsid w:val="00E068A8"/>
    <w:rsid w:val="00E13D2C"/>
    <w:rsid w:val="00E2077F"/>
    <w:rsid w:val="00E26EF7"/>
    <w:rsid w:val="00E32434"/>
    <w:rsid w:val="00E327CC"/>
    <w:rsid w:val="00E40DAF"/>
    <w:rsid w:val="00E47ED1"/>
    <w:rsid w:val="00E50408"/>
    <w:rsid w:val="00E50D0E"/>
    <w:rsid w:val="00E552D2"/>
    <w:rsid w:val="00E60AC3"/>
    <w:rsid w:val="00E617D5"/>
    <w:rsid w:val="00E64E5A"/>
    <w:rsid w:val="00E7119A"/>
    <w:rsid w:val="00E76BDB"/>
    <w:rsid w:val="00E8263A"/>
    <w:rsid w:val="00E84BFE"/>
    <w:rsid w:val="00E93645"/>
    <w:rsid w:val="00E94E5E"/>
    <w:rsid w:val="00E95F8E"/>
    <w:rsid w:val="00EA09AC"/>
    <w:rsid w:val="00EA1CFC"/>
    <w:rsid w:val="00EA4366"/>
    <w:rsid w:val="00EA449E"/>
    <w:rsid w:val="00EA4682"/>
    <w:rsid w:val="00EA5072"/>
    <w:rsid w:val="00EA7D4F"/>
    <w:rsid w:val="00EB161B"/>
    <w:rsid w:val="00EB16F7"/>
    <w:rsid w:val="00EB1C35"/>
    <w:rsid w:val="00EB3474"/>
    <w:rsid w:val="00EB45AE"/>
    <w:rsid w:val="00EB58A5"/>
    <w:rsid w:val="00EB60E7"/>
    <w:rsid w:val="00EC504C"/>
    <w:rsid w:val="00EC6441"/>
    <w:rsid w:val="00EC68B5"/>
    <w:rsid w:val="00ED3384"/>
    <w:rsid w:val="00ED3BB7"/>
    <w:rsid w:val="00ED44CA"/>
    <w:rsid w:val="00ED6047"/>
    <w:rsid w:val="00ED64A6"/>
    <w:rsid w:val="00ED652A"/>
    <w:rsid w:val="00ED7F90"/>
    <w:rsid w:val="00EE0C5F"/>
    <w:rsid w:val="00EE111F"/>
    <w:rsid w:val="00EE1E2E"/>
    <w:rsid w:val="00EE2239"/>
    <w:rsid w:val="00EF40AD"/>
    <w:rsid w:val="00EF48D3"/>
    <w:rsid w:val="00EF738A"/>
    <w:rsid w:val="00F02268"/>
    <w:rsid w:val="00F063D4"/>
    <w:rsid w:val="00F1381E"/>
    <w:rsid w:val="00F1557B"/>
    <w:rsid w:val="00F171E7"/>
    <w:rsid w:val="00F22078"/>
    <w:rsid w:val="00F326A8"/>
    <w:rsid w:val="00F33F56"/>
    <w:rsid w:val="00F35930"/>
    <w:rsid w:val="00F36AB5"/>
    <w:rsid w:val="00F36C89"/>
    <w:rsid w:val="00F37D5F"/>
    <w:rsid w:val="00F40510"/>
    <w:rsid w:val="00F408AD"/>
    <w:rsid w:val="00F412CB"/>
    <w:rsid w:val="00F4184C"/>
    <w:rsid w:val="00F46D87"/>
    <w:rsid w:val="00F51380"/>
    <w:rsid w:val="00F53B4A"/>
    <w:rsid w:val="00F6376E"/>
    <w:rsid w:val="00F70DEB"/>
    <w:rsid w:val="00F71A65"/>
    <w:rsid w:val="00F75C30"/>
    <w:rsid w:val="00F76AD7"/>
    <w:rsid w:val="00F76BB3"/>
    <w:rsid w:val="00F77C0B"/>
    <w:rsid w:val="00F90654"/>
    <w:rsid w:val="00F94597"/>
    <w:rsid w:val="00F974F0"/>
    <w:rsid w:val="00FA0E0B"/>
    <w:rsid w:val="00FA1AB6"/>
    <w:rsid w:val="00FA2014"/>
    <w:rsid w:val="00FA35C6"/>
    <w:rsid w:val="00FA4439"/>
    <w:rsid w:val="00FB0E66"/>
    <w:rsid w:val="00FB12FA"/>
    <w:rsid w:val="00FB216E"/>
    <w:rsid w:val="00FB3113"/>
    <w:rsid w:val="00FB778F"/>
    <w:rsid w:val="00FC1FCE"/>
    <w:rsid w:val="00FC4859"/>
    <w:rsid w:val="00FC5CEE"/>
    <w:rsid w:val="00FC6426"/>
    <w:rsid w:val="00FD24A0"/>
    <w:rsid w:val="00FD5AE4"/>
    <w:rsid w:val="00FD7A33"/>
    <w:rsid w:val="00FE0D78"/>
    <w:rsid w:val="00FE1B0F"/>
    <w:rsid w:val="00FE3007"/>
    <w:rsid w:val="00FE4927"/>
    <w:rsid w:val="00FE4BD6"/>
    <w:rsid w:val="00FE75F5"/>
    <w:rsid w:val="00FF0480"/>
    <w:rsid w:val="00FF1AD2"/>
    <w:rsid w:val="00FF277C"/>
    <w:rsid w:val="00FF2E75"/>
    <w:rsid w:val="00FF4478"/>
    <w:rsid w:val="00FF66F0"/>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510736"/>
    <w:pPr>
      <w:keepNext/>
      <w:keepLines/>
      <w:spacing w:before="100" w:beforeAutospacing="1" w:after="100" w:afterAutospacing="1" w:line="240" w:lineRule="auto"/>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576AD"/>
    <w:pPr>
      <w:keepNext/>
      <w:keepLines/>
      <w:spacing w:before="240" w:after="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51073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pPr>
      <w:spacing w:line="240" w:lineRule="auto"/>
    </w:pPr>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unhideWhenUsed/>
    <w:rsid w:val="00990393"/>
    <w:pPr>
      <w:spacing w:before="0" w:after="0" w:line="240" w:lineRule="auto"/>
    </w:pPr>
    <w:rPr>
      <w:szCs w:val="20"/>
    </w:rPr>
  </w:style>
  <w:style w:type="character" w:customStyle="1" w:styleId="FootnoteTextChar">
    <w:name w:val="Footnote Text Char"/>
    <w:basedOn w:val="DefaultParagraphFont"/>
    <w:link w:val="FootnoteText"/>
    <w:uiPriority w:val="99"/>
    <w:rsid w:val="0099039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8D3311"/>
    <w:pPr>
      <w:spacing w:before="0" w:line="240" w:lineRule="auto"/>
      <w:contextualSpacing w:val="0"/>
    </w:pPr>
    <w:rPr>
      <w:b/>
    </w:rPr>
  </w:style>
  <w:style w:type="character" w:customStyle="1" w:styleId="TableHeaderChar">
    <w:name w:val="Table Header Char"/>
    <w:basedOn w:val="DefaultParagraphFont"/>
    <w:link w:val="TableHeader"/>
    <w:rsid w:val="008D3311"/>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December 2022 ACCS Agenda Item 01 - Advisory Commission on Charter Schools (CA State Board of Education)</vt:lpstr>
    </vt:vector>
  </TitlesOfParts>
  <Company>CA Department of Education</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2022 ACCS Agenda Item 01 - Advisory Commission on Charter Schools (CA State Board of Education)</dc:title>
  <dc:subject>Consideration of Requests for Determination of Funding with Mitigating Circumstances as Required for Nonclassroom-Based Charter Schools. </dc:subject>
  <dc:creator>Jonathan Yu</dc:creator>
  <cp:keywords/>
  <dc:description/>
  <cp:lastModifiedBy>Shauna Rodriguez</cp:lastModifiedBy>
  <cp:revision>4</cp:revision>
  <cp:lastPrinted>2020-03-16T21:00:00Z</cp:lastPrinted>
  <dcterms:created xsi:type="dcterms:W3CDTF">2022-11-18T16:29:00Z</dcterms:created>
  <dcterms:modified xsi:type="dcterms:W3CDTF">2022-11-18T17:37:00Z</dcterms:modified>
</cp:coreProperties>
</file>