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E7DB" w14:textId="223B5DDD" w:rsidR="00EF48D3" w:rsidRPr="00780B44" w:rsidRDefault="002D6EC8" w:rsidP="00456605">
      <w:pPr>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0D60AC">
        <w:rPr>
          <w:rFonts w:cs="Arial"/>
        </w:rPr>
        <w:t>dec2</w:t>
      </w:r>
      <w:r w:rsidR="00265C3A">
        <w:rPr>
          <w:rFonts w:cs="Arial"/>
        </w:rPr>
        <w:t>3</w:t>
      </w:r>
      <w:r w:rsidR="008F7BC4" w:rsidRPr="00780B44">
        <w:rPr>
          <w:rFonts w:cs="Arial"/>
        </w:rPr>
        <w:t>item0</w:t>
      </w:r>
      <w:r w:rsidR="00A610C1">
        <w:rPr>
          <w:rFonts w:cs="Arial"/>
        </w:rPr>
        <w:t>1</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7FE09010" w:rsidR="00050515" w:rsidRDefault="000D60AC" w:rsidP="008F7BC4">
      <w:pPr>
        <w:pStyle w:val="Heading1"/>
      </w:pPr>
      <w:r>
        <w:t>December</w:t>
      </w:r>
      <w:r w:rsidR="00265C3A">
        <w:t xml:space="preserve"> 2023</w:t>
      </w:r>
      <w:r w:rsidR="00050515" w:rsidRPr="00780B44">
        <w:t xml:space="preserve"> Agenda</w:t>
      </w:r>
      <w:r w:rsidR="00510736">
        <w:br/>
      </w:r>
      <w:r w:rsidR="00050515" w:rsidRPr="00780B44">
        <w:t>Item #</w:t>
      </w:r>
      <w:r w:rsidR="008F7BC4" w:rsidRPr="00780B44">
        <w:t>0</w:t>
      </w:r>
      <w:r w:rsidR="00A610C1">
        <w:t>1</w:t>
      </w:r>
    </w:p>
    <w:p w14:paraId="086EB83E" w14:textId="77777777" w:rsidR="00FC1FCE" w:rsidRPr="001B3958" w:rsidRDefault="00FC1FCE" w:rsidP="00E94E5E">
      <w:pPr>
        <w:pStyle w:val="Heading2"/>
      </w:pPr>
      <w:r w:rsidRPr="001B3958">
        <w:t>Subject</w:t>
      </w:r>
    </w:p>
    <w:p w14:paraId="1A9EDBB2" w14:textId="307F673C" w:rsidR="008F7BC4" w:rsidRPr="0064766D" w:rsidRDefault="00ED652A" w:rsidP="005F0AAC">
      <w:r w:rsidRPr="00D13ED8">
        <w:t>Consideration of</w:t>
      </w:r>
      <w:r>
        <w:t xml:space="preserve"> </w:t>
      </w:r>
      <w:r w:rsidR="000D60AC">
        <w:t xml:space="preserve">a Retroactive </w:t>
      </w:r>
      <w:r>
        <w:t>Reques</w:t>
      </w:r>
      <w:r w:rsidR="009D305E">
        <w:t>t</w:t>
      </w:r>
      <w:r>
        <w:t xml:space="preserve"> for Determination of Funding a</w:t>
      </w:r>
      <w:r w:rsidR="00C9454F">
        <w:t>s Required for</w:t>
      </w:r>
      <w:r w:rsidR="008F7BC4">
        <w:t xml:space="preserve"> </w:t>
      </w:r>
      <w:r w:rsidR="00645F48">
        <w:t xml:space="preserve">a </w:t>
      </w:r>
      <w:r w:rsidR="008F7BC4">
        <w:t>Nonclassroom-</w:t>
      </w:r>
      <w:r w:rsidR="007617EF">
        <w:t>B</w:t>
      </w:r>
      <w:r w:rsidR="008F7BC4">
        <w:t xml:space="preserve">ased Charter School Pursuant to </w:t>
      </w:r>
      <w:r w:rsidR="008F7BC4" w:rsidRPr="008306A7">
        <w:rPr>
          <w:rFonts w:cs="Arial"/>
        </w:rPr>
        <w:t>California</w:t>
      </w:r>
      <w:r w:rsidR="008F7BC4">
        <w:rPr>
          <w:rFonts w:cs="Arial"/>
          <w:i/>
        </w:rPr>
        <w:t xml:space="preserve"> </w:t>
      </w:r>
      <w:r w:rsidR="008F7BC4" w:rsidRPr="003639BA">
        <w:rPr>
          <w:rFonts w:cs="Arial"/>
          <w:i/>
        </w:rPr>
        <w:t>E</w:t>
      </w:r>
      <w:r w:rsidR="008F7BC4">
        <w:rPr>
          <w:rFonts w:cs="Arial"/>
          <w:i/>
        </w:rPr>
        <w:t xml:space="preserve">ducation Code </w:t>
      </w:r>
      <w:r w:rsidR="008F7BC4">
        <w:rPr>
          <w:rFonts w:cs="Arial"/>
        </w:rPr>
        <w:t xml:space="preserve">sections 47612.5 and 47634.2, and Associated </w:t>
      </w:r>
      <w:r w:rsidR="008F7BC4" w:rsidRPr="0015561B">
        <w:rPr>
          <w:rFonts w:cs="Arial"/>
          <w:i/>
        </w:rPr>
        <w:t>California Code of Regulations</w:t>
      </w:r>
      <w:r w:rsidR="008F7BC4">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E94E5E">
      <w:pPr>
        <w:pStyle w:val="Heading2"/>
      </w:pPr>
      <w:r>
        <w:t>Summary of the Issue</w:t>
      </w:r>
    </w:p>
    <w:p w14:paraId="0EE56D5F" w14:textId="44149EA8" w:rsidR="004C1016" w:rsidRDefault="004C1016" w:rsidP="004C1016">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 The California Department of Education (CDE) reviews a charter school’s determination of funding request and presents it for consideration by the Advisory Commission on Charter Schools</w:t>
      </w:r>
      <w:r w:rsidR="00A0798C">
        <w:rPr>
          <w:rFonts w:cs="Arial"/>
        </w:rPr>
        <w:t xml:space="preserve"> (ACCS)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0" w:name="_Hlk37434151"/>
    </w:p>
    <w:p w14:paraId="4EE2F3C2" w14:textId="5BFDE040" w:rsidR="000D60AC" w:rsidRDefault="000D60AC" w:rsidP="000D60AC">
      <w:pPr>
        <w:rPr>
          <w:rFonts w:cs="Arial"/>
        </w:rPr>
      </w:pPr>
      <w:r w:rsidRPr="00BE214F">
        <w:rPr>
          <w:rFonts w:cs="Arial"/>
        </w:rPr>
        <w:t xml:space="preserve">Pursuant to 5 </w:t>
      </w:r>
      <w:r w:rsidRPr="00BE214F">
        <w:rPr>
          <w:rFonts w:cs="Arial"/>
          <w:i/>
        </w:rPr>
        <w:t>CCR</w:t>
      </w:r>
      <w:r w:rsidRPr="00BE214F">
        <w:rPr>
          <w:rFonts w:cs="Arial"/>
        </w:rPr>
        <w:t xml:space="preserve"> Section 11963.6(c), any determination of funding request approved by the SBE for an existing NCB charter school must be submitted by February 1 and be prospective (i.e., submitted during the fiscal year [FY] prior to the year the funding determination will be effective). Retroactive determination of funding requests </w:t>
      </w:r>
      <w:r>
        <w:rPr>
          <w:rFonts w:cs="Arial"/>
        </w:rPr>
        <w:t>refer to</w:t>
      </w:r>
      <w:r w:rsidRPr="00BE214F">
        <w:rPr>
          <w:rFonts w:cs="Arial"/>
        </w:rPr>
        <w:t xml:space="preserve"> requests </w:t>
      </w:r>
      <w:r>
        <w:rPr>
          <w:rFonts w:cs="Arial"/>
        </w:rPr>
        <w:t xml:space="preserve">that are </w:t>
      </w:r>
      <w:r w:rsidRPr="00BE214F">
        <w:rPr>
          <w:rFonts w:cs="Arial"/>
        </w:rPr>
        <w:t>submitted after the regulatory deadline and that require an approved waiver</w:t>
      </w:r>
      <w:r w:rsidR="00DA7309">
        <w:rPr>
          <w:rFonts w:cs="Arial"/>
        </w:rPr>
        <w:t xml:space="preserve"> by the SBE</w:t>
      </w:r>
      <w:r w:rsidRPr="00BE214F">
        <w:rPr>
          <w:rFonts w:cs="Arial"/>
        </w:rPr>
        <w:t xml:space="preserve"> to waive the aforementioned sections of 5 </w:t>
      </w:r>
      <w:r w:rsidRPr="00BE214F">
        <w:rPr>
          <w:rFonts w:cs="Arial"/>
          <w:i/>
        </w:rPr>
        <w:t>CCR</w:t>
      </w:r>
      <w:r w:rsidRPr="00BE214F">
        <w:rPr>
          <w:rFonts w:cs="Arial"/>
        </w:rPr>
        <w:t>.</w:t>
      </w:r>
    </w:p>
    <w:p w14:paraId="2DB65ED2" w14:textId="39CF26D5" w:rsidR="000D60AC" w:rsidRDefault="00241423" w:rsidP="000D60AC">
      <w:pPr>
        <w:rPr>
          <w:rFonts w:cs="Arial"/>
        </w:rPr>
      </w:pPr>
      <w:r>
        <w:rPr>
          <w:rFonts w:cs="Arial"/>
        </w:rPr>
        <w:t>Black Oak Mine</w:t>
      </w:r>
      <w:r w:rsidR="000D60AC">
        <w:rPr>
          <w:rFonts w:cs="Arial"/>
        </w:rPr>
        <w:t xml:space="preserve"> Unified School District submitted a waiver request to the SBE on behalf of </w:t>
      </w:r>
      <w:r>
        <w:rPr>
          <w:rFonts w:cs="Arial"/>
        </w:rPr>
        <w:t>American River Charter</w:t>
      </w:r>
      <w:r w:rsidR="000D60AC">
        <w:rPr>
          <w:rFonts w:cs="Arial"/>
        </w:rPr>
        <w:t xml:space="preserve"> (charter number </w:t>
      </w:r>
      <w:r>
        <w:rPr>
          <w:rFonts w:cs="Arial"/>
        </w:rPr>
        <w:t>1176</w:t>
      </w:r>
      <w:r w:rsidR="000D60AC">
        <w:rPr>
          <w:rFonts w:cs="Arial"/>
        </w:rPr>
        <w:t xml:space="preserve">) </w:t>
      </w:r>
      <w:r w:rsidR="000D60AC" w:rsidRPr="00BE214F">
        <w:rPr>
          <w:rFonts w:cs="Arial"/>
        </w:rPr>
        <w:t xml:space="preserve">requesting approval </w:t>
      </w:r>
      <w:r w:rsidR="000D60AC">
        <w:rPr>
          <w:rFonts w:cs="Arial"/>
        </w:rPr>
        <w:t xml:space="preserve">to submit </w:t>
      </w:r>
      <w:r w:rsidR="000D60AC" w:rsidRPr="00BE214F">
        <w:rPr>
          <w:rFonts w:cs="Arial"/>
        </w:rPr>
        <w:t>a retroactive funding determination</w:t>
      </w:r>
      <w:r w:rsidR="000D60AC">
        <w:rPr>
          <w:rFonts w:cs="Arial"/>
        </w:rPr>
        <w:t xml:space="preserve"> request. The waiver w</w:t>
      </w:r>
      <w:r w:rsidR="00802885">
        <w:rPr>
          <w:rFonts w:cs="Arial"/>
        </w:rPr>
        <w:t>as</w:t>
      </w:r>
      <w:r w:rsidR="000D60AC">
        <w:rPr>
          <w:rFonts w:cs="Arial"/>
        </w:rPr>
        <w:t xml:space="preserve"> approved at the July</w:t>
      </w:r>
      <w:r>
        <w:rPr>
          <w:rFonts w:cs="Arial"/>
        </w:rPr>
        <w:t xml:space="preserve"> 12–13</w:t>
      </w:r>
      <w:r w:rsidR="000D60AC">
        <w:rPr>
          <w:rFonts w:cs="Arial"/>
        </w:rPr>
        <w:t>, 202</w:t>
      </w:r>
      <w:r>
        <w:rPr>
          <w:rFonts w:cs="Arial"/>
        </w:rPr>
        <w:t>3</w:t>
      </w:r>
      <w:r w:rsidR="000D60AC">
        <w:rPr>
          <w:rFonts w:cs="Arial"/>
        </w:rPr>
        <w:t xml:space="preserve">, SBE meeting, which allowed </w:t>
      </w:r>
      <w:r>
        <w:rPr>
          <w:rFonts w:cs="Arial"/>
        </w:rPr>
        <w:t>the</w:t>
      </w:r>
      <w:r w:rsidR="000D60AC">
        <w:rPr>
          <w:rFonts w:cs="Arial"/>
        </w:rPr>
        <w:t xml:space="preserve"> charter school to submit a funding determination request after the </w:t>
      </w:r>
      <w:r w:rsidR="00DA7309">
        <w:rPr>
          <w:rFonts w:cs="Arial"/>
        </w:rPr>
        <w:t>regulatory</w:t>
      </w:r>
      <w:r w:rsidR="000D60AC">
        <w:rPr>
          <w:rFonts w:cs="Arial"/>
        </w:rPr>
        <w:t xml:space="preserve"> deadline</w:t>
      </w:r>
      <w:r>
        <w:rPr>
          <w:rFonts w:cs="Arial"/>
        </w:rPr>
        <w:t>. F</w:t>
      </w:r>
      <w:r w:rsidR="000D60AC">
        <w:rPr>
          <w:rFonts w:cs="Arial"/>
        </w:rPr>
        <w:t>unding determination requests are approved separately from waivers.</w:t>
      </w:r>
    </w:p>
    <w:p w14:paraId="73AE41A0" w14:textId="0DFFE6B7" w:rsidR="000D60AC" w:rsidRDefault="000D60AC" w:rsidP="000D60AC">
      <w:pPr>
        <w:rPr>
          <w:rFonts w:cs="Arial"/>
        </w:rPr>
      </w:pPr>
      <w:r>
        <w:rPr>
          <w:rFonts w:cs="Arial"/>
        </w:rPr>
        <w:lastRenderedPageBreak/>
        <w:t>The school</w:t>
      </w:r>
      <w:r w:rsidR="00241423">
        <w:rPr>
          <w:rFonts w:cs="Arial"/>
        </w:rPr>
        <w:t>’</w:t>
      </w:r>
      <w:r>
        <w:rPr>
          <w:rFonts w:cs="Arial"/>
        </w:rPr>
        <w:t xml:space="preserve">s waiver </w:t>
      </w:r>
      <w:r w:rsidR="00241423">
        <w:rPr>
          <w:rFonts w:cs="Arial"/>
        </w:rPr>
        <w:t>is</w:t>
      </w:r>
      <w:r>
        <w:rPr>
          <w:rFonts w:cs="Arial"/>
        </w:rPr>
        <w:t xml:space="preserve"> available on the SBE Agenda for July 2023 web page at </w:t>
      </w:r>
      <w:hyperlink r:id="rId8" w:tooltip="SBE Agenda for July 2023" w:history="1">
        <w:r>
          <w:rPr>
            <w:rStyle w:val="Hyperlink"/>
            <w:rFonts w:cs="Arial"/>
          </w:rPr>
          <w:t>https://www.cde.ca.gov/be/ag/ag/yr23/agenda202307.asp</w:t>
        </w:r>
      </w:hyperlink>
      <w:r>
        <w:rPr>
          <w:rFonts w:cs="Arial"/>
        </w:rPr>
        <w:t xml:space="preserve">. </w:t>
      </w:r>
    </w:p>
    <w:bookmarkEnd w:id="0"/>
    <w:p w14:paraId="19EBEFE6" w14:textId="77777777" w:rsidR="008F7BC4" w:rsidRPr="00F40510" w:rsidRDefault="008F7BC4" w:rsidP="00E94E5E">
      <w:pPr>
        <w:pStyle w:val="Heading2"/>
      </w:pPr>
      <w:r w:rsidRPr="00EF48D3">
        <w:t>Proposed</w:t>
      </w:r>
      <w:r>
        <w:t xml:space="preserve"> Recommendation</w:t>
      </w:r>
    </w:p>
    <w:p w14:paraId="2D642341" w14:textId="08D68D7B" w:rsidR="00546FCF" w:rsidRDefault="00FC4859" w:rsidP="00FC4859">
      <w:pPr>
        <w:rPr>
          <w:bCs/>
        </w:rPr>
      </w:pPr>
      <w:r>
        <w:rPr>
          <w:rFonts w:cs="Arial"/>
        </w:rPr>
        <w:t>T</w:t>
      </w:r>
      <w:r w:rsidRPr="00F171E7">
        <w:rPr>
          <w:rFonts w:cs="Arial"/>
        </w:rPr>
        <w:t xml:space="preserve">he </w:t>
      </w:r>
      <w:r w:rsidR="00546FCF" w:rsidRPr="00C16B46">
        <w:rPr>
          <w:bCs/>
        </w:rPr>
        <w:t>CDE proposes to recommend that the SBE approve the school</w:t>
      </w:r>
      <w:r w:rsidR="000D60AC">
        <w:rPr>
          <w:bCs/>
        </w:rPr>
        <w:t>’</w:t>
      </w:r>
      <w:r w:rsidR="00546FCF" w:rsidRPr="00C16B46">
        <w:rPr>
          <w:bCs/>
        </w:rPr>
        <w:t xml:space="preserve">s determination of funding request </w:t>
      </w:r>
      <w:r w:rsidR="00DA7309">
        <w:rPr>
          <w:bCs/>
        </w:rPr>
        <w:t>as</w:t>
      </w:r>
      <w:r w:rsidR="00546FCF">
        <w:rPr>
          <w:bCs/>
        </w:rPr>
        <w:t xml:space="preserve"> </w:t>
      </w:r>
      <w:r w:rsidR="00546FCF" w:rsidRPr="00C16B46">
        <w:rPr>
          <w:bCs/>
        </w:rPr>
        <w:t>specified in Attachment 1.</w:t>
      </w:r>
    </w:p>
    <w:p w14:paraId="3BE4F265" w14:textId="675AA8BA" w:rsidR="00124DA1" w:rsidRDefault="00546FCF" w:rsidP="00124DA1">
      <w:pPr>
        <w:pStyle w:val="Heading2"/>
      </w:pPr>
      <w:r>
        <w:t>Funding Determination Criteria</w:t>
      </w:r>
    </w:p>
    <w:p w14:paraId="549F3C85" w14:textId="77777777" w:rsidR="00D8166B" w:rsidRPr="00A0798C" w:rsidRDefault="00D8166B" w:rsidP="00D8166B">
      <w:pPr>
        <w:spacing w:before="0"/>
      </w:pPr>
      <w:bookmarkStart w:id="1" w:name="_Hlk106108130"/>
      <w:r w:rsidRPr="00A0798C">
        <w:rPr>
          <w:i/>
        </w:rPr>
        <w:t xml:space="preserve">EC </w:t>
      </w:r>
      <w:r w:rsidRPr="00A0798C">
        <w:t xml:space="preserve">Section 47634.2(a)(1) provides the following: </w:t>
      </w:r>
    </w:p>
    <w:p w14:paraId="7BE1902E" w14:textId="77777777" w:rsidR="00D8166B" w:rsidRPr="00A0798C" w:rsidRDefault="00D8166B" w:rsidP="00D8166B">
      <w:pPr>
        <w:spacing w:before="0"/>
        <w:ind w:left="720"/>
      </w:pPr>
      <w:r w:rsidRPr="00A0798C">
        <w:t>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schoolsites,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D8166B">
      <w:pPr>
        <w:spacing w:before="0"/>
        <w:ind w:left="720"/>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D524943" w:rsidR="00546FCF" w:rsidRDefault="00546FCF" w:rsidP="00546FCF">
      <w:r>
        <w:t xml:space="preserve">Pursuant to the </w:t>
      </w:r>
      <w:r>
        <w:rPr>
          <w:rFonts w:cs="Arial"/>
          <w:i/>
        </w:rPr>
        <w:t xml:space="preserve">EC </w:t>
      </w:r>
      <w:r>
        <w:rPr>
          <w:rFonts w:cs="Arial"/>
        </w:rPr>
        <w:t>Section 47634.2</w:t>
      </w:r>
      <w:r>
        <w:t xml:space="preserve"> and SBE-adopted regulations, a</w:t>
      </w:r>
      <w:r w:rsidRPr="00A0798C">
        <w:t xml:space="preserve"> charter school may qualify for either 70 percent, 85 percent, or 100 percent funding, or may be denied </w:t>
      </w:r>
      <w:r>
        <w:t xml:space="preserve">funding </w:t>
      </w:r>
      <w:r w:rsidRPr="00A0798C">
        <w:t>(i.e., 0 percent)</w:t>
      </w:r>
      <w:r>
        <w:t xml:space="preserve"> for its NCB instruction.</w:t>
      </w:r>
    </w:p>
    <w:p w14:paraId="49A5EA22" w14:textId="302DDD8B" w:rsidR="00D8166B" w:rsidRPr="00D44713" w:rsidRDefault="00D8166B" w:rsidP="00546FCF">
      <w:pPr>
        <w:rPr>
          <w:rFonts w:cs="Arial"/>
        </w:rPr>
      </w:pPr>
      <w:r w:rsidRPr="00D8166B">
        <w:rPr>
          <w:rFonts w:cs="Arial"/>
        </w:rPr>
        <w:t>To qualify for a proposed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bookmarkEnd w:id="1"/>
    </w:p>
    <w:p w14:paraId="7D13E4C1" w14:textId="7F04CBF7" w:rsidR="00D8166B" w:rsidRPr="00D44713"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school’s public revenues on salaries and benefits for all employees who possess a valid teaching certificate</w:t>
      </w:r>
    </w:p>
    <w:p w14:paraId="7F3BA81C" w14:textId="07500732" w:rsidR="00D8166B" w:rsidRDefault="00D8166B" w:rsidP="00D8166B">
      <w:pPr>
        <w:numPr>
          <w:ilvl w:val="0"/>
          <w:numId w:val="11"/>
        </w:numPr>
        <w:rPr>
          <w:rFonts w:cs="Arial"/>
        </w:rPr>
      </w:pPr>
      <w:r w:rsidRPr="00D44713">
        <w:rPr>
          <w:rFonts w:cs="Arial"/>
        </w:rPr>
        <w:t xml:space="preserve">Spend at least </w:t>
      </w:r>
      <w:r>
        <w:rPr>
          <w:rFonts w:cs="Arial"/>
        </w:rPr>
        <w:t>80</w:t>
      </w:r>
      <w:r w:rsidRPr="00D44713">
        <w:rPr>
          <w:rFonts w:cs="Arial"/>
        </w:rPr>
        <w:t xml:space="preserve"> percent of all revenues on instruction and related services</w:t>
      </w:r>
    </w:p>
    <w:p w14:paraId="2EAD3EDF" w14:textId="2430C914" w:rsidR="00D8166B" w:rsidRPr="00167DCA" w:rsidRDefault="00D8166B" w:rsidP="00D8166B">
      <w:pPr>
        <w:numPr>
          <w:ilvl w:val="0"/>
          <w:numId w:val="11"/>
        </w:numPr>
        <w:spacing w:before="100" w:beforeAutospacing="1"/>
        <w:rPr>
          <w:rFonts w:cs="Arial"/>
        </w:rPr>
      </w:pPr>
      <w:r>
        <w:rPr>
          <w:rFonts w:cs="Arial"/>
        </w:rPr>
        <w:lastRenderedPageBreak/>
        <w:t xml:space="preserve">Maintain a </w:t>
      </w:r>
      <w:r w:rsidRPr="00C02C2C">
        <w:rPr>
          <w:rFonts w:cs="Arial"/>
        </w:rPr>
        <w:t xml:space="preserve">ratio of </w:t>
      </w:r>
      <w:r w:rsidR="000271AE">
        <w:rPr>
          <w:rFonts w:cs="Arial"/>
        </w:rPr>
        <w:t>average daily attendance (</w:t>
      </w:r>
      <w:r>
        <w:rPr>
          <w:rFonts w:cs="Arial"/>
        </w:rPr>
        <w:t>ADA</w:t>
      </w:r>
      <w:r w:rsidR="000271AE">
        <w:rPr>
          <w:rFonts w:cs="Arial"/>
        </w:rPr>
        <w:t>)</w:t>
      </w:r>
      <w:r>
        <w:rPr>
          <w:rFonts w:cs="Arial"/>
        </w:rPr>
        <w:t xml:space="preserve"> </w:t>
      </w:r>
      <w:r w:rsidRPr="00C02C2C">
        <w:rPr>
          <w:rFonts w:cs="Arial"/>
        </w:rPr>
        <w:t xml:space="preserve">for independent study pupils to full-time certificated employees </w:t>
      </w:r>
      <w:r>
        <w:rPr>
          <w:rFonts w:cs="Arial"/>
        </w:rPr>
        <w:t xml:space="preserve">that </w:t>
      </w:r>
      <w:r w:rsidRPr="00C02C2C">
        <w:rPr>
          <w:rFonts w:cs="Arial"/>
        </w:rPr>
        <w:t>does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2" w:name="_Hlk106108198"/>
      <w:bookmarkStart w:id="3"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4C86436" w14:textId="77777777" w:rsidR="002D3F6F" w:rsidRPr="002D3F6F" w:rsidRDefault="002D3F6F" w:rsidP="00DA7309">
      <w:pPr>
        <w:rPr>
          <w:b/>
        </w:rPr>
      </w:pPr>
      <w:bookmarkStart w:id="4" w:name="_Hlk130466142"/>
      <w:bookmarkStart w:id="5" w:name="_Hlk130466789"/>
      <w:r w:rsidRPr="002D3F6F">
        <w:rPr>
          <w:b/>
        </w:rPr>
        <w:t>Table of Nonclassroom-Based Instruction Funding Levels</w:t>
      </w:r>
    </w:p>
    <w:tbl>
      <w:tblPr>
        <w:tblStyle w:val="TableGrid1"/>
        <w:tblW w:w="9360" w:type="dxa"/>
        <w:tblLook w:val="04A0" w:firstRow="1" w:lastRow="0" w:firstColumn="1" w:lastColumn="0" w:noHBand="0" w:noVBand="1"/>
        <w:tblDescription w:val="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77777777" w:rsidR="002D3F6F" w:rsidRPr="002D3F6F" w:rsidRDefault="002D3F6F" w:rsidP="002D3F6F">
            <w:pPr>
              <w:spacing w:before="0" w:after="0"/>
              <w:jc w:val="center"/>
            </w:pPr>
            <w:r w:rsidRPr="002D3F6F">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77777777" w:rsidR="002D3F6F" w:rsidRPr="002D3F6F" w:rsidRDefault="002D3F6F" w:rsidP="002D3F6F">
            <w:pPr>
              <w:spacing w:before="0" w:after="0"/>
              <w:jc w:val="center"/>
            </w:pPr>
            <w:r w:rsidRPr="002D3F6F">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77777777" w:rsidR="002D3F6F" w:rsidRPr="002D3F6F" w:rsidRDefault="002D3F6F" w:rsidP="002D3F6F">
            <w:pPr>
              <w:spacing w:before="0" w:after="0"/>
              <w:jc w:val="center"/>
            </w:pPr>
            <w:r w:rsidRPr="002D3F6F">
              <w:t>Not Applicable</w:t>
            </w:r>
          </w:p>
        </w:tc>
      </w:tr>
    </w:tbl>
    <w:p w14:paraId="0BFEE4DA" w14:textId="77777777" w:rsidR="002D3F6F" w:rsidRPr="002D3F6F" w:rsidRDefault="002D3F6F" w:rsidP="002D3F6F">
      <w:pPr>
        <w:rPr>
          <w:rFonts w:cs="Arial"/>
        </w:rPr>
      </w:pPr>
      <w:bookmarkStart w:id="6" w:name="_Hlk133997085"/>
      <w:bookmarkEnd w:id="4"/>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increments of a minimum of two years and a maximum of five years in length, pursuant to 5 </w:t>
      </w:r>
      <w:r w:rsidRPr="002D3F6F">
        <w:rPr>
          <w:rFonts w:cs="Arial"/>
          <w:i/>
        </w:rPr>
        <w:t xml:space="preserve">CCR </w:t>
      </w:r>
      <w:r w:rsidRPr="002D3F6F">
        <w:rPr>
          <w:rFonts w:cs="Arial"/>
        </w:rPr>
        <w:t>Section 11963.6(c). For an existing charter school with an active funding determination, it is the CDE’s current practice to recommend a time period of three or four years based on the number of times the charter school has renewed its funding determination with the SBE.</w:t>
      </w:r>
    </w:p>
    <w:bookmarkEnd w:id="6"/>
    <w:p w14:paraId="3E76A254" w14:textId="77777777" w:rsidR="000271AE" w:rsidRPr="000271AE" w:rsidRDefault="000271AE" w:rsidP="000271AE">
      <w:pPr>
        <w:rPr>
          <w:rFonts w:cs="Arial"/>
        </w:rPr>
      </w:pPr>
      <w:r w:rsidRPr="000271AE">
        <w:rPr>
          <w:rFonts w:cs="Arial"/>
        </w:rPr>
        <w:t xml:space="preserve">In the past, the CDE recommended five-year periods dependent on a charter school’s Academic Performance Index (API) rank, pursuant to </w:t>
      </w:r>
      <w:r w:rsidRPr="000271AE">
        <w:rPr>
          <w:rFonts w:cs="Arial"/>
          <w:i/>
        </w:rPr>
        <w:t>EC</w:t>
      </w:r>
      <w:r w:rsidRPr="000271AE">
        <w:rPr>
          <w:rFonts w:cs="Arial"/>
        </w:rPr>
        <w:t xml:space="preserve"> Section 47612.5(d)(2); however, because API is no longer calculated, the CDE does not currently recommend five-year funding determination periods.</w:t>
      </w:r>
    </w:p>
    <w:bookmarkEnd w:id="5"/>
    <w:p w14:paraId="664219FB" w14:textId="1CEF031D" w:rsidR="00A65D63" w:rsidRDefault="00802885" w:rsidP="00CA200D">
      <w:pPr>
        <w:pStyle w:val="Heading2"/>
      </w:pPr>
      <w:r>
        <w:t>Analysis</w:t>
      </w:r>
      <w:r w:rsidR="00DA7309">
        <w:t xml:space="preserve"> of</w:t>
      </w:r>
      <w:r w:rsidR="00A65D63">
        <w:t xml:space="preserve"> </w:t>
      </w:r>
      <w:r w:rsidR="00546FCF">
        <w:t>Funding Determination Request</w:t>
      </w:r>
    </w:p>
    <w:p w14:paraId="320D79A9" w14:textId="36A9A86E" w:rsidR="00544066" w:rsidRDefault="0043383E" w:rsidP="00456605">
      <w:pPr>
        <w:rPr>
          <w:rFonts w:cs="Arial"/>
        </w:rPr>
      </w:pPr>
      <w:r>
        <w:rPr>
          <w:rFonts w:cs="Arial"/>
        </w:rPr>
        <w:t>American River Charter m</w:t>
      </w:r>
      <w:r w:rsidR="00CA200D">
        <w:rPr>
          <w:rFonts w:cs="Arial"/>
        </w:rPr>
        <w:t>eet</w:t>
      </w:r>
      <w:r>
        <w:rPr>
          <w:rFonts w:cs="Arial"/>
        </w:rPr>
        <w:t>s</w:t>
      </w:r>
      <w:r w:rsidR="00CA200D">
        <w:rPr>
          <w:rFonts w:cs="Arial"/>
        </w:rPr>
        <w:t xml:space="preserve"> the </w:t>
      </w:r>
      <w:r w:rsidR="00CD2B22">
        <w:rPr>
          <w:rFonts w:cs="Arial"/>
        </w:rPr>
        <w:t>criteria</w:t>
      </w:r>
      <w:r w:rsidR="00CA200D">
        <w:rPr>
          <w:rFonts w:cs="Arial"/>
        </w:rPr>
        <w:t xml:space="preserve"> </w:t>
      </w:r>
      <w:r w:rsidR="00CA200D" w:rsidRPr="00CA200D">
        <w:rPr>
          <w:rFonts w:cs="Arial"/>
        </w:rPr>
        <w:t xml:space="preserve">to qualify for </w:t>
      </w:r>
      <w:r>
        <w:rPr>
          <w:rFonts w:cs="Arial"/>
        </w:rPr>
        <w:t xml:space="preserve">a recommendation of </w:t>
      </w:r>
      <w:r w:rsidR="00B51C0C">
        <w:rPr>
          <w:rFonts w:cs="Arial"/>
        </w:rPr>
        <w:t>100 percent</w:t>
      </w:r>
      <w:r w:rsidR="00456605">
        <w:rPr>
          <w:rFonts w:cs="Arial"/>
        </w:rPr>
        <w:t xml:space="preserve"> funding for </w:t>
      </w:r>
      <w:r>
        <w:rPr>
          <w:rFonts w:cs="Arial"/>
        </w:rPr>
        <w:t>its</w:t>
      </w:r>
      <w:r w:rsidR="00B51C0C">
        <w:rPr>
          <w:rFonts w:cs="Arial"/>
        </w:rPr>
        <w:t xml:space="preserve"> </w:t>
      </w:r>
      <w:r w:rsidR="00456605">
        <w:rPr>
          <w:rFonts w:cs="Arial"/>
        </w:rPr>
        <w:t>NCB instruction</w:t>
      </w:r>
      <w:r w:rsidR="00CD2B22">
        <w:rPr>
          <w:rFonts w:cs="Arial"/>
        </w:rPr>
        <w:t xml:space="preserve">, pursuant to 5 </w:t>
      </w:r>
      <w:r w:rsidR="00CD2B22">
        <w:rPr>
          <w:rFonts w:cs="Arial"/>
          <w:i/>
        </w:rPr>
        <w:t xml:space="preserve">CCR </w:t>
      </w:r>
      <w:r w:rsidR="00CD2B22">
        <w:rPr>
          <w:rFonts w:cs="Arial"/>
        </w:rPr>
        <w:t>Section 11963.4(a)</w:t>
      </w:r>
      <w:r w:rsidR="0019312F">
        <w:rPr>
          <w:rFonts w:cs="Arial"/>
        </w:rPr>
        <w:t>. Details of the school’s expenditures and PTR are provided in Attachment 1.</w:t>
      </w:r>
    </w:p>
    <w:p w14:paraId="27FC8BDE" w14:textId="388DAD61" w:rsidR="00CA200D" w:rsidRDefault="00CA200D" w:rsidP="00456605">
      <w:pPr>
        <w:rPr>
          <w:bCs/>
        </w:rPr>
      </w:pPr>
      <w:r w:rsidRPr="00C16B46">
        <w:rPr>
          <w:bCs/>
        </w:rPr>
        <w:lastRenderedPageBreak/>
        <w:t xml:space="preserve">Therefore, the CDE proposes to recommend that the SBE </w:t>
      </w:r>
      <w:r w:rsidR="0043383E">
        <w:rPr>
          <w:bCs/>
        </w:rPr>
        <w:t>approve the</w:t>
      </w:r>
      <w:r w:rsidRPr="00C16B46">
        <w:rPr>
          <w:bCs/>
        </w:rPr>
        <w:t xml:space="preserve"> </w:t>
      </w:r>
      <w:r w:rsidR="0019312F">
        <w:rPr>
          <w:bCs/>
        </w:rPr>
        <w:t xml:space="preserve">school’s </w:t>
      </w:r>
      <w:r w:rsidRPr="00C16B46">
        <w:rPr>
          <w:bCs/>
        </w:rPr>
        <w:t xml:space="preserve">determination of funding request </w:t>
      </w:r>
      <w:r w:rsidR="00456605">
        <w:rPr>
          <w:bCs/>
        </w:rPr>
        <w:t xml:space="preserve">at </w:t>
      </w:r>
      <w:r w:rsidR="00B51C0C">
        <w:rPr>
          <w:bCs/>
        </w:rPr>
        <w:t>100 percent</w:t>
      </w:r>
      <w:r w:rsidR="00456605">
        <w:rPr>
          <w:bCs/>
        </w:rPr>
        <w:t xml:space="preserve"> </w:t>
      </w:r>
      <w:r w:rsidR="00CD2B22">
        <w:rPr>
          <w:bCs/>
        </w:rPr>
        <w:t>for the time period specified in Attachment 1.</w:t>
      </w:r>
    </w:p>
    <w:bookmarkEnd w:id="2"/>
    <w:bookmarkEnd w:id="3"/>
    <w:p w14:paraId="7F4E3621" w14:textId="54D37258" w:rsidR="008F7BC4" w:rsidRPr="001B3958" w:rsidRDefault="00BC41D2" w:rsidP="00E94E5E">
      <w:pPr>
        <w:pStyle w:val="Heading2"/>
      </w:pPr>
      <w:r>
        <w:t>Attachment</w:t>
      </w:r>
      <w:r w:rsidR="007B271A">
        <w:t>s</w:t>
      </w:r>
    </w:p>
    <w:p w14:paraId="767F9CED" w14:textId="37A602AA" w:rsidR="008F7BC4" w:rsidRPr="00A65D63" w:rsidRDefault="008F7BC4" w:rsidP="005878F1">
      <w:pPr>
        <w:pStyle w:val="ListParagraph"/>
        <w:numPr>
          <w:ilvl w:val="0"/>
          <w:numId w:val="12"/>
        </w:numPr>
        <w:spacing w:before="0"/>
      </w:pPr>
      <w:r w:rsidRPr="00A65D63">
        <w:rPr>
          <w:b/>
        </w:rPr>
        <w:t>Attachment 1:</w:t>
      </w:r>
      <w:r w:rsidRPr="00A65D63">
        <w:t xml:space="preserve"> Proposed </w:t>
      </w:r>
      <w:r w:rsidR="000E3F5A" w:rsidRPr="00A65D63">
        <w:t xml:space="preserve">Recommendation for </w:t>
      </w:r>
      <w:r w:rsidR="00645F48">
        <w:t xml:space="preserve">a </w:t>
      </w:r>
      <w:r w:rsidR="000E3F5A" w:rsidRPr="00A65D63">
        <w:t>Nonclassroom-Based Determination of Funding</w:t>
      </w:r>
      <w:r w:rsidR="00510736" w:rsidRPr="00A65D63">
        <w:t xml:space="preserve"> </w:t>
      </w:r>
      <w:r w:rsidRPr="00D36624">
        <w:t>(</w:t>
      </w:r>
      <w:r w:rsidR="001D1372">
        <w:t>1</w:t>
      </w:r>
      <w:r w:rsidRPr="00D36624">
        <w:t xml:space="preserve"> </w:t>
      </w:r>
      <w:r w:rsidR="00620DC0">
        <w:t>Page</w:t>
      </w:r>
      <w:r w:rsidRPr="00D36624">
        <w:t>)</w:t>
      </w:r>
    </w:p>
    <w:p w14:paraId="7B3ADA41" w14:textId="5A1A380E" w:rsidR="005B054C" w:rsidRPr="005B054C" w:rsidRDefault="005B054C" w:rsidP="0043383E">
      <w:pPr>
        <w:pStyle w:val="ListParagraph"/>
        <w:numPr>
          <w:ilvl w:val="0"/>
          <w:numId w:val="12"/>
        </w:numPr>
        <w:spacing w:before="0"/>
      </w:pPr>
      <w:r w:rsidRPr="003D6C81">
        <w:rPr>
          <w:b/>
        </w:rPr>
        <w:t xml:space="preserve">Attachment </w:t>
      </w:r>
      <w:r w:rsidR="00B51C0C">
        <w:rPr>
          <w:b/>
        </w:rPr>
        <w:t>2</w:t>
      </w:r>
      <w:r w:rsidRPr="003D6C81">
        <w:rPr>
          <w:b/>
        </w:rPr>
        <w:t>:</w:t>
      </w:r>
      <w:r w:rsidRPr="005B054C">
        <w:t xml:space="preserve"> Determination of Funding Request for </w:t>
      </w:r>
      <w:r w:rsidR="0043383E">
        <w:t>American River Charter</w:t>
      </w:r>
      <w:r w:rsidRPr="005B054C">
        <w:t>, Charter #</w:t>
      </w:r>
      <w:r w:rsidR="00234DCD">
        <w:t>1</w:t>
      </w:r>
      <w:r w:rsidR="0043383E">
        <w:t>176</w:t>
      </w:r>
      <w:r w:rsidRPr="005B054C">
        <w:t xml:space="preserve"> (9 </w:t>
      </w:r>
      <w:r w:rsidR="00620DC0">
        <w:t>Pages</w:t>
      </w:r>
      <w:r w:rsidRPr="005B054C">
        <w:t>)</w:t>
      </w:r>
    </w:p>
    <w:sectPr w:rsidR="005B054C" w:rsidRPr="005B054C" w:rsidSect="00A67F96">
      <w:headerReference w:type="default" r:id="rId9"/>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0C7EA740" w:rsidR="002D3F6F" w:rsidRDefault="002D3F6F" w:rsidP="00B51C0C">
      <w:pPr>
        <w:spacing w:before="0" w:after="0"/>
      </w:pPr>
      <w:r>
        <w:rPr>
          <w:rStyle w:val="FootnoteReference"/>
        </w:rPr>
        <w:footnoteRef/>
      </w:r>
      <w:r>
        <w:t xml:space="preserve"> The PTR criteria outlined in this table pertain only to charter schools submitting NCB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3038" w14:textId="3508F45A" w:rsidR="00ED6047" w:rsidRPr="002D6EC8" w:rsidRDefault="00ED6047" w:rsidP="00BA695B">
    <w:pPr>
      <w:spacing w:after="0"/>
      <w:jc w:val="right"/>
    </w:pPr>
    <w:r w:rsidRPr="00780B44">
      <w:rPr>
        <w:rFonts w:cs="Arial"/>
      </w:rPr>
      <w:t>accs-</w:t>
    </w:r>
    <w:r w:rsidR="0043383E">
      <w:rPr>
        <w:rFonts w:cs="Arial"/>
      </w:rPr>
      <w:t>dec</w:t>
    </w:r>
    <w:r w:rsidR="00265C3A">
      <w:rPr>
        <w:rFonts w:cs="Arial"/>
      </w:rPr>
      <w:t>23</w:t>
    </w:r>
    <w:r w:rsidRPr="00780B44">
      <w:rPr>
        <w:rFonts w:cs="Arial"/>
      </w:rPr>
      <w:t>item0</w:t>
    </w:r>
    <w:r w:rsidR="00A610C1">
      <w:rPr>
        <w:rFonts w:cs="Arial"/>
      </w:rPr>
      <w:t>1</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4"/>
  </w:num>
  <w:num w:numId="2" w16cid:durableId="1575162774">
    <w:abstractNumId w:val="13"/>
  </w:num>
  <w:num w:numId="3" w16cid:durableId="1082946243">
    <w:abstractNumId w:val="2"/>
  </w:num>
  <w:num w:numId="4" w16cid:durableId="580677715">
    <w:abstractNumId w:val="9"/>
  </w:num>
  <w:num w:numId="5" w16cid:durableId="223564931">
    <w:abstractNumId w:val="10"/>
  </w:num>
  <w:num w:numId="6" w16cid:durableId="1153178737">
    <w:abstractNumId w:val="1"/>
  </w:num>
  <w:num w:numId="7" w16cid:durableId="801383498">
    <w:abstractNumId w:val="3"/>
  </w:num>
  <w:num w:numId="8" w16cid:durableId="1875774000">
    <w:abstractNumId w:val="6"/>
  </w:num>
  <w:num w:numId="9" w16cid:durableId="789931360">
    <w:abstractNumId w:val="7"/>
  </w:num>
  <w:num w:numId="10" w16cid:durableId="457727147">
    <w:abstractNumId w:val="15"/>
  </w:num>
  <w:num w:numId="11" w16cid:durableId="2024091561">
    <w:abstractNumId w:val="0"/>
  </w:num>
  <w:num w:numId="12" w16cid:durableId="1474370986">
    <w:abstractNumId w:val="12"/>
  </w:num>
  <w:num w:numId="13" w16cid:durableId="2086367707">
    <w:abstractNumId w:val="8"/>
  </w:num>
  <w:num w:numId="14" w16cid:durableId="1028801320">
    <w:abstractNumId w:val="11"/>
  </w:num>
  <w:num w:numId="15" w16cid:durableId="1293485530">
    <w:abstractNumId w:val="14"/>
  </w:num>
  <w:num w:numId="16" w16cid:durableId="901873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16277"/>
    <w:rsid w:val="00024458"/>
    <w:rsid w:val="00024BC9"/>
    <w:rsid w:val="00025553"/>
    <w:rsid w:val="000271AE"/>
    <w:rsid w:val="000321AE"/>
    <w:rsid w:val="000322C2"/>
    <w:rsid w:val="000324AD"/>
    <w:rsid w:val="00032BFA"/>
    <w:rsid w:val="00045B9A"/>
    <w:rsid w:val="000471CA"/>
    <w:rsid w:val="00047C0E"/>
    <w:rsid w:val="00050515"/>
    <w:rsid w:val="00061D6F"/>
    <w:rsid w:val="00062D56"/>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A21F0"/>
    <w:rsid w:val="000A2291"/>
    <w:rsid w:val="000A2957"/>
    <w:rsid w:val="000A5399"/>
    <w:rsid w:val="000A67A1"/>
    <w:rsid w:val="000A69F7"/>
    <w:rsid w:val="000B5957"/>
    <w:rsid w:val="000C1BBE"/>
    <w:rsid w:val="000C5AE0"/>
    <w:rsid w:val="000D3669"/>
    <w:rsid w:val="000D5F5E"/>
    <w:rsid w:val="000D60AC"/>
    <w:rsid w:val="000E09DC"/>
    <w:rsid w:val="000E3913"/>
    <w:rsid w:val="000E3F5A"/>
    <w:rsid w:val="000E58DE"/>
    <w:rsid w:val="000F0942"/>
    <w:rsid w:val="000F2AE4"/>
    <w:rsid w:val="000F3CED"/>
    <w:rsid w:val="000F50C4"/>
    <w:rsid w:val="00100430"/>
    <w:rsid w:val="0010269E"/>
    <w:rsid w:val="00104466"/>
    <w:rsid w:val="001048F3"/>
    <w:rsid w:val="0010793A"/>
    <w:rsid w:val="0011073C"/>
    <w:rsid w:val="001112C1"/>
    <w:rsid w:val="001115F5"/>
    <w:rsid w:val="00111ABD"/>
    <w:rsid w:val="001130DE"/>
    <w:rsid w:val="0011362F"/>
    <w:rsid w:val="0011561F"/>
    <w:rsid w:val="00120906"/>
    <w:rsid w:val="00120A8E"/>
    <w:rsid w:val="00121659"/>
    <w:rsid w:val="0012261E"/>
    <w:rsid w:val="00122D52"/>
    <w:rsid w:val="00124D2D"/>
    <w:rsid w:val="00124DA1"/>
    <w:rsid w:val="0012534F"/>
    <w:rsid w:val="00130059"/>
    <w:rsid w:val="0013142F"/>
    <w:rsid w:val="00133974"/>
    <w:rsid w:val="00134328"/>
    <w:rsid w:val="001368D1"/>
    <w:rsid w:val="00143A5C"/>
    <w:rsid w:val="00144B53"/>
    <w:rsid w:val="00144EAC"/>
    <w:rsid w:val="001466ED"/>
    <w:rsid w:val="001517CB"/>
    <w:rsid w:val="00156EAB"/>
    <w:rsid w:val="0016380B"/>
    <w:rsid w:val="0016396E"/>
    <w:rsid w:val="00167DCA"/>
    <w:rsid w:val="00174C93"/>
    <w:rsid w:val="00177405"/>
    <w:rsid w:val="00180195"/>
    <w:rsid w:val="0018148D"/>
    <w:rsid w:val="0018298E"/>
    <w:rsid w:val="0018494B"/>
    <w:rsid w:val="00186990"/>
    <w:rsid w:val="00186DCB"/>
    <w:rsid w:val="00187317"/>
    <w:rsid w:val="00187A59"/>
    <w:rsid w:val="001920AE"/>
    <w:rsid w:val="0019312F"/>
    <w:rsid w:val="001947B1"/>
    <w:rsid w:val="00194FFD"/>
    <w:rsid w:val="001A0AEA"/>
    <w:rsid w:val="001A0CA5"/>
    <w:rsid w:val="001A1352"/>
    <w:rsid w:val="001A240A"/>
    <w:rsid w:val="001A492E"/>
    <w:rsid w:val="001B127C"/>
    <w:rsid w:val="001B1A02"/>
    <w:rsid w:val="001B2D79"/>
    <w:rsid w:val="001B3958"/>
    <w:rsid w:val="001B4D30"/>
    <w:rsid w:val="001C20F2"/>
    <w:rsid w:val="001C3D3B"/>
    <w:rsid w:val="001C723E"/>
    <w:rsid w:val="001D1372"/>
    <w:rsid w:val="001D4978"/>
    <w:rsid w:val="001D7FAC"/>
    <w:rsid w:val="001E0FE8"/>
    <w:rsid w:val="001E1929"/>
    <w:rsid w:val="001E2A2F"/>
    <w:rsid w:val="001E3B8E"/>
    <w:rsid w:val="001E5813"/>
    <w:rsid w:val="001E68EA"/>
    <w:rsid w:val="001F1ACD"/>
    <w:rsid w:val="001F1FD5"/>
    <w:rsid w:val="001F47AD"/>
    <w:rsid w:val="001F4C31"/>
    <w:rsid w:val="001F7D78"/>
    <w:rsid w:val="00200D9F"/>
    <w:rsid w:val="00202C44"/>
    <w:rsid w:val="00202E3D"/>
    <w:rsid w:val="00203C3F"/>
    <w:rsid w:val="002060E7"/>
    <w:rsid w:val="0021116D"/>
    <w:rsid w:val="00211328"/>
    <w:rsid w:val="00211E16"/>
    <w:rsid w:val="002174CC"/>
    <w:rsid w:val="00222F10"/>
    <w:rsid w:val="00223112"/>
    <w:rsid w:val="002240A6"/>
    <w:rsid w:val="00226AE6"/>
    <w:rsid w:val="002271A7"/>
    <w:rsid w:val="00230910"/>
    <w:rsid w:val="0023418A"/>
    <w:rsid w:val="00234DCD"/>
    <w:rsid w:val="00240622"/>
    <w:rsid w:val="00240B26"/>
    <w:rsid w:val="00241423"/>
    <w:rsid w:val="00251AE1"/>
    <w:rsid w:val="00251CDA"/>
    <w:rsid w:val="0025231A"/>
    <w:rsid w:val="00252C96"/>
    <w:rsid w:val="00257538"/>
    <w:rsid w:val="00261B72"/>
    <w:rsid w:val="002631D5"/>
    <w:rsid w:val="00263A48"/>
    <w:rsid w:val="00265C3A"/>
    <w:rsid w:val="00270D4D"/>
    <w:rsid w:val="00272B4F"/>
    <w:rsid w:val="00272FFD"/>
    <w:rsid w:val="00285BE7"/>
    <w:rsid w:val="00291AB7"/>
    <w:rsid w:val="0029513D"/>
    <w:rsid w:val="00296058"/>
    <w:rsid w:val="002A09AA"/>
    <w:rsid w:val="002A263F"/>
    <w:rsid w:val="002A35EB"/>
    <w:rsid w:val="002A772A"/>
    <w:rsid w:val="002B2176"/>
    <w:rsid w:val="002B30C9"/>
    <w:rsid w:val="002B48DD"/>
    <w:rsid w:val="002B4B14"/>
    <w:rsid w:val="002C407A"/>
    <w:rsid w:val="002C71F2"/>
    <w:rsid w:val="002C7705"/>
    <w:rsid w:val="002D1A82"/>
    <w:rsid w:val="002D3F6F"/>
    <w:rsid w:val="002D49FB"/>
    <w:rsid w:val="002D6EC8"/>
    <w:rsid w:val="002E216A"/>
    <w:rsid w:val="002E4CB5"/>
    <w:rsid w:val="002E52C1"/>
    <w:rsid w:val="002E6FCA"/>
    <w:rsid w:val="002F279B"/>
    <w:rsid w:val="002F7D01"/>
    <w:rsid w:val="003005BC"/>
    <w:rsid w:val="00312309"/>
    <w:rsid w:val="00315131"/>
    <w:rsid w:val="003156E5"/>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1B8D"/>
    <w:rsid w:val="003533D1"/>
    <w:rsid w:val="0035416F"/>
    <w:rsid w:val="003546A4"/>
    <w:rsid w:val="00357857"/>
    <w:rsid w:val="003623A8"/>
    <w:rsid w:val="00363520"/>
    <w:rsid w:val="00364CB8"/>
    <w:rsid w:val="003705FC"/>
    <w:rsid w:val="00371992"/>
    <w:rsid w:val="00374D3F"/>
    <w:rsid w:val="00375DEA"/>
    <w:rsid w:val="003772A9"/>
    <w:rsid w:val="00377DB5"/>
    <w:rsid w:val="00380371"/>
    <w:rsid w:val="00380AAB"/>
    <w:rsid w:val="00384ACF"/>
    <w:rsid w:val="00385EEA"/>
    <w:rsid w:val="003875EB"/>
    <w:rsid w:val="0039031C"/>
    <w:rsid w:val="00390A50"/>
    <w:rsid w:val="00391ED6"/>
    <w:rsid w:val="00397AC2"/>
    <w:rsid w:val="003A4D7D"/>
    <w:rsid w:val="003B0477"/>
    <w:rsid w:val="003B2F22"/>
    <w:rsid w:val="003B307B"/>
    <w:rsid w:val="003B32AD"/>
    <w:rsid w:val="003B5617"/>
    <w:rsid w:val="003B5B8E"/>
    <w:rsid w:val="003B6BCE"/>
    <w:rsid w:val="003C103C"/>
    <w:rsid w:val="003C299C"/>
    <w:rsid w:val="003D1ECD"/>
    <w:rsid w:val="003D481B"/>
    <w:rsid w:val="003D6C81"/>
    <w:rsid w:val="003D6DB2"/>
    <w:rsid w:val="003E1E8D"/>
    <w:rsid w:val="003E1F44"/>
    <w:rsid w:val="003E4DF7"/>
    <w:rsid w:val="003E53AD"/>
    <w:rsid w:val="003E581D"/>
    <w:rsid w:val="003E6800"/>
    <w:rsid w:val="003F61DE"/>
    <w:rsid w:val="003F6F98"/>
    <w:rsid w:val="004041BC"/>
    <w:rsid w:val="00406F50"/>
    <w:rsid w:val="00407926"/>
    <w:rsid w:val="00407AA4"/>
    <w:rsid w:val="00407E9B"/>
    <w:rsid w:val="00411671"/>
    <w:rsid w:val="00413525"/>
    <w:rsid w:val="0041467B"/>
    <w:rsid w:val="00417CF6"/>
    <w:rsid w:val="004203BC"/>
    <w:rsid w:val="004248D0"/>
    <w:rsid w:val="0042654E"/>
    <w:rsid w:val="00430094"/>
    <w:rsid w:val="00432357"/>
    <w:rsid w:val="00433796"/>
    <w:rsid w:val="0043383E"/>
    <w:rsid w:val="00440D88"/>
    <w:rsid w:val="00443642"/>
    <w:rsid w:val="0044368B"/>
    <w:rsid w:val="00443B1F"/>
    <w:rsid w:val="0044659F"/>
    <w:rsid w:val="0044670C"/>
    <w:rsid w:val="00450C7F"/>
    <w:rsid w:val="00450E5F"/>
    <w:rsid w:val="00455640"/>
    <w:rsid w:val="00456605"/>
    <w:rsid w:val="00462A53"/>
    <w:rsid w:val="00463CAE"/>
    <w:rsid w:val="0046519F"/>
    <w:rsid w:val="0047534A"/>
    <w:rsid w:val="004778BB"/>
    <w:rsid w:val="004868FF"/>
    <w:rsid w:val="004903FA"/>
    <w:rsid w:val="00492F24"/>
    <w:rsid w:val="004947BC"/>
    <w:rsid w:val="004A64B5"/>
    <w:rsid w:val="004B3907"/>
    <w:rsid w:val="004B605A"/>
    <w:rsid w:val="004C1016"/>
    <w:rsid w:val="004D1B6B"/>
    <w:rsid w:val="004D7581"/>
    <w:rsid w:val="004D77E0"/>
    <w:rsid w:val="004D7E48"/>
    <w:rsid w:val="004E029B"/>
    <w:rsid w:val="004E2ADC"/>
    <w:rsid w:val="004E3ACE"/>
    <w:rsid w:val="004F03D0"/>
    <w:rsid w:val="004F1692"/>
    <w:rsid w:val="004F1B26"/>
    <w:rsid w:val="004F2971"/>
    <w:rsid w:val="004F4157"/>
    <w:rsid w:val="004F63BC"/>
    <w:rsid w:val="0050238C"/>
    <w:rsid w:val="00510736"/>
    <w:rsid w:val="00512D1B"/>
    <w:rsid w:val="005156AF"/>
    <w:rsid w:val="00517C00"/>
    <w:rsid w:val="00521C00"/>
    <w:rsid w:val="00522DD1"/>
    <w:rsid w:val="00525A90"/>
    <w:rsid w:val="0052741C"/>
    <w:rsid w:val="00527B0E"/>
    <w:rsid w:val="005321D5"/>
    <w:rsid w:val="00532DAA"/>
    <w:rsid w:val="00532E0A"/>
    <w:rsid w:val="005350B0"/>
    <w:rsid w:val="00536715"/>
    <w:rsid w:val="00536910"/>
    <w:rsid w:val="0054059F"/>
    <w:rsid w:val="00541BEE"/>
    <w:rsid w:val="00543170"/>
    <w:rsid w:val="00544066"/>
    <w:rsid w:val="005444B7"/>
    <w:rsid w:val="00546DFA"/>
    <w:rsid w:val="00546FCF"/>
    <w:rsid w:val="00550A90"/>
    <w:rsid w:val="00551D51"/>
    <w:rsid w:val="0055266E"/>
    <w:rsid w:val="00553E11"/>
    <w:rsid w:val="00553EA1"/>
    <w:rsid w:val="0055453B"/>
    <w:rsid w:val="005606EE"/>
    <w:rsid w:val="005623C2"/>
    <w:rsid w:val="00565B94"/>
    <w:rsid w:val="00570BF9"/>
    <w:rsid w:val="005713E5"/>
    <w:rsid w:val="00573D57"/>
    <w:rsid w:val="00577182"/>
    <w:rsid w:val="00584A4C"/>
    <w:rsid w:val="005878F1"/>
    <w:rsid w:val="00595E73"/>
    <w:rsid w:val="0059761A"/>
    <w:rsid w:val="005A2FEC"/>
    <w:rsid w:val="005A3BE4"/>
    <w:rsid w:val="005A7073"/>
    <w:rsid w:val="005A78D1"/>
    <w:rsid w:val="005B054C"/>
    <w:rsid w:val="005B226A"/>
    <w:rsid w:val="005B3376"/>
    <w:rsid w:val="005B3F41"/>
    <w:rsid w:val="005C364F"/>
    <w:rsid w:val="005C5755"/>
    <w:rsid w:val="005C66DD"/>
    <w:rsid w:val="005D026E"/>
    <w:rsid w:val="005D15C4"/>
    <w:rsid w:val="005D2360"/>
    <w:rsid w:val="005D2491"/>
    <w:rsid w:val="005D316B"/>
    <w:rsid w:val="005D4001"/>
    <w:rsid w:val="005D401E"/>
    <w:rsid w:val="005D630D"/>
    <w:rsid w:val="005E55D3"/>
    <w:rsid w:val="005E703F"/>
    <w:rsid w:val="005F0AAC"/>
    <w:rsid w:val="005F5512"/>
    <w:rsid w:val="005F5A8D"/>
    <w:rsid w:val="005F798C"/>
    <w:rsid w:val="00600FDE"/>
    <w:rsid w:val="00601159"/>
    <w:rsid w:val="006039F9"/>
    <w:rsid w:val="00604A25"/>
    <w:rsid w:val="0060666A"/>
    <w:rsid w:val="00607345"/>
    <w:rsid w:val="00611E7A"/>
    <w:rsid w:val="00613E5A"/>
    <w:rsid w:val="00613E69"/>
    <w:rsid w:val="00615654"/>
    <w:rsid w:val="00616AB5"/>
    <w:rsid w:val="00616F04"/>
    <w:rsid w:val="00620DC0"/>
    <w:rsid w:val="0062121B"/>
    <w:rsid w:val="00622569"/>
    <w:rsid w:val="00624CCA"/>
    <w:rsid w:val="00626545"/>
    <w:rsid w:val="00630A9D"/>
    <w:rsid w:val="0063396B"/>
    <w:rsid w:val="0063493C"/>
    <w:rsid w:val="00635042"/>
    <w:rsid w:val="00641BD8"/>
    <w:rsid w:val="0064329F"/>
    <w:rsid w:val="0064373F"/>
    <w:rsid w:val="00645F48"/>
    <w:rsid w:val="006508E0"/>
    <w:rsid w:val="00653939"/>
    <w:rsid w:val="00653F15"/>
    <w:rsid w:val="00655299"/>
    <w:rsid w:val="006552B5"/>
    <w:rsid w:val="00656222"/>
    <w:rsid w:val="006576AD"/>
    <w:rsid w:val="0066196C"/>
    <w:rsid w:val="006738BA"/>
    <w:rsid w:val="00674E6D"/>
    <w:rsid w:val="0067669D"/>
    <w:rsid w:val="00676B70"/>
    <w:rsid w:val="006860C8"/>
    <w:rsid w:val="00687809"/>
    <w:rsid w:val="00690FD1"/>
    <w:rsid w:val="00692300"/>
    <w:rsid w:val="00693519"/>
    <w:rsid w:val="006938F3"/>
    <w:rsid w:val="00693951"/>
    <w:rsid w:val="006A1DB0"/>
    <w:rsid w:val="006A2812"/>
    <w:rsid w:val="006A5802"/>
    <w:rsid w:val="006A63C6"/>
    <w:rsid w:val="006A662A"/>
    <w:rsid w:val="006B1750"/>
    <w:rsid w:val="006B18B4"/>
    <w:rsid w:val="006B2111"/>
    <w:rsid w:val="006B2149"/>
    <w:rsid w:val="006B68B0"/>
    <w:rsid w:val="006C4282"/>
    <w:rsid w:val="006D0223"/>
    <w:rsid w:val="006D1229"/>
    <w:rsid w:val="006D1849"/>
    <w:rsid w:val="006D41C6"/>
    <w:rsid w:val="006D4288"/>
    <w:rsid w:val="006D6FC6"/>
    <w:rsid w:val="006E06C6"/>
    <w:rsid w:val="006E43D0"/>
    <w:rsid w:val="006E547B"/>
    <w:rsid w:val="006F1AB1"/>
    <w:rsid w:val="006F740B"/>
    <w:rsid w:val="006F797A"/>
    <w:rsid w:val="00700676"/>
    <w:rsid w:val="00702AB1"/>
    <w:rsid w:val="007048C7"/>
    <w:rsid w:val="00704D3D"/>
    <w:rsid w:val="00710C96"/>
    <w:rsid w:val="00711399"/>
    <w:rsid w:val="00711FAC"/>
    <w:rsid w:val="00713E5C"/>
    <w:rsid w:val="007224CC"/>
    <w:rsid w:val="00726EDA"/>
    <w:rsid w:val="0072734E"/>
    <w:rsid w:val="007313A3"/>
    <w:rsid w:val="00732F3F"/>
    <w:rsid w:val="00733945"/>
    <w:rsid w:val="00733C67"/>
    <w:rsid w:val="007400CB"/>
    <w:rsid w:val="007428B8"/>
    <w:rsid w:val="00746164"/>
    <w:rsid w:val="00746CDB"/>
    <w:rsid w:val="00746ED5"/>
    <w:rsid w:val="007478FF"/>
    <w:rsid w:val="007514ED"/>
    <w:rsid w:val="0075333A"/>
    <w:rsid w:val="00755493"/>
    <w:rsid w:val="007617EF"/>
    <w:rsid w:val="00762830"/>
    <w:rsid w:val="00764AEB"/>
    <w:rsid w:val="007651B6"/>
    <w:rsid w:val="00771394"/>
    <w:rsid w:val="00771552"/>
    <w:rsid w:val="00772605"/>
    <w:rsid w:val="007747DA"/>
    <w:rsid w:val="00774DAC"/>
    <w:rsid w:val="00775131"/>
    <w:rsid w:val="00780B44"/>
    <w:rsid w:val="00780BB6"/>
    <w:rsid w:val="00781383"/>
    <w:rsid w:val="007913E7"/>
    <w:rsid w:val="007934A1"/>
    <w:rsid w:val="007937C5"/>
    <w:rsid w:val="007A0536"/>
    <w:rsid w:val="007A1DA6"/>
    <w:rsid w:val="007A2A8F"/>
    <w:rsid w:val="007A5826"/>
    <w:rsid w:val="007A7F71"/>
    <w:rsid w:val="007B271A"/>
    <w:rsid w:val="007B7957"/>
    <w:rsid w:val="007C090C"/>
    <w:rsid w:val="007C5697"/>
    <w:rsid w:val="007C6264"/>
    <w:rsid w:val="007D1330"/>
    <w:rsid w:val="007D4E8A"/>
    <w:rsid w:val="007D56F4"/>
    <w:rsid w:val="007D5B7A"/>
    <w:rsid w:val="007D5DE7"/>
    <w:rsid w:val="007D6A8F"/>
    <w:rsid w:val="007E2CBB"/>
    <w:rsid w:val="007E7B84"/>
    <w:rsid w:val="007F2757"/>
    <w:rsid w:val="00801C86"/>
    <w:rsid w:val="0080230E"/>
    <w:rsid w:val="008026B6"/>
    <w:rsid w:val="00802885"/>
    <w:rsid w:val="0080433D"/>
    <w:rsid w:val="00806E78"/>
    <w:rsid w:val="00806F09"/>
    <w:rsid w:val="008143CC"/>
    <w:rsid w:val="008150A1"/>
    <w:rsid w:val="00815144"/>
    <w:rsid w:val="008156A7"/>
    <w:rsid w:val="008157EE"/>
    <w:rsid w:val="008223B1"/>
    <w:rsid w:val="00822709"/>
    <w:rsid w:val="00823DCC"/>
    <w:rsid w:val="00831752"/>
    <w:rsid w:val="0083409B"/>
    <w:rsid w:val="0083556E"/>
    <w:rsid w:val="008370CC"/>
    <w:rsid w:val="00844CC0"/>
    <w:rsid w:val="008455A1"/>
    <w:rsid w:val="00846CA4"/>
    <w:rsid w:val="008515E6"/>
    <w:rsid w:val="008536D2"/>
    <w:rsid w:val="00854DB4"/>
    <w:rsid w:val="0086465D"/>
    <w:rsid w:val="008655E1"/>
    <w:rsid w:val="00865F72"/>
    <w:rsid w:val="0087026E"/>
    <w:rsid w:val="00874E17"/>
    <w:rsid w:val="00875C6D"/>
    <w:rsid w:val="00876B82"/>
    <w:rsid w:val="00876BAD"/>
    <w:rsid w:val="00882FC1"/>
    <w:rsid w:val="00884716"/>
    <w:rsid w:val="00887343"/>
    <w:rsid w:val="008909EE"/>
    <w:rsid w:val="00891054"/>
    <w:rsid w:val="00893F0E"/>
    <w:rsid w:val="00895488"/>
    <w:rsid w:val="008A3108"/>
    <w:rsid w:val="008A5EF9"/>
    <w:rsid w:val="008B299F"/>
    <w:rsid w:val="008B4D1D"/>
    <w:rsid w:val="008B4D5C"/>
    <w:rsid w:val="008B659F"/>
    <w:rsid w:val="008C0805"/>
    <w:rsid w:val="008C26CE"/>
    <w:rsid w:val="008C3025"/>
    <w:rsid w:val="008C37D4"/>
    <w:rsid w:val="008D3311"/>
    <w:rsid w:val="008D3AB8"/>
    <w:rsid w:val="008D6FBC"/>
    <w:rsid w:val="008E233F"/>
    <w:rsid w:val="008E2F92"/>
    <w:rsid w:val="008E51BB"/>
    <w:rsid w:val="008F426F"/>
    <w:rsid w:val="008F5714"/>
    <w:rsid w:val="008F759E"/>
    <w:rsid w:val="008F75E6"/>
    <w:rsid w:val="008F7BC4"/>
    <w:rsid w:val="00900358"/>
    <w:rsid w:val="00903A43"/>
    <w:rsid w:val="00906D8D"/>
    <w:rsid w:val="009073F5"/>
    <w:rsid w:val="0091117B"/>
    <w:rsid w:val="00914EE4"/>
    <w:rsid w:val="00920525"/>
    <w:rsid w:val="00921421"/>
    <w:rsid w:val="0092172A"/>
    <w:rsid w:val="00924290"/>
    <w:rsid w:val="0092696A"/>
    <w:rsid w:val="009270BF"/>
    <w:rsid w:val="009302B6"/>
    <w:rsid w:val="00931B4D"/>
    <w:rsid w:val="00932529"/>
    <w:rsid w:val="0093709E"/>
    <w:rsid w:val="009411A5"/>
    <w:rsid w:val="0094608C"/>
    <w:rsid w:val="00947BC4"/>
    <w:rsid w:val="00951A2B"/>
    <w:rsid w:val="009624BB"/>
    <w:rsid w:val="0096561A"/>
    <w:rsid w:val="00970EC0"/>
    <w:rsid w:val="00972D85"/>
    <w:rsid w:val="00973C53"/>
    <w:rsid w:val="00974218"/>
    <w:rsid w:val="009748A2"/>
    <w:rsid w:val="00976DEF"/>
    <w:rsid w:val="009803BA"/>
    <w:rsid w:val="00980457"/>
    <w:rsid w:val="00980D04"/>
    <w:rsid w:val="009876A4"/>
    <w:rsid w:val="00990393"/>
    <w:rsid w:val="00990AF8"/>
    <w:rsid w:val="009949EE"/>
    <w:rsid w:val="0099535D"/>
    <w:rsid w:val="009A046B"/>
    <w:rsid w:val="009A0F9C"/>
    <w:rsid w:val="009A105B"/>
    <w:rsid w:val="009B04E1"/>
    <w:rsid w:val="009B0E75"/>
    <w:rsid w:val="009B2C9D"/>
    <w:rsid w:val="009B3F32"/>
    <w:rsid w:val="009B61BF"/>
    <w:rsid w:val="009B626D"/>
    <w:rsid w:val="009B6BA1"/>
    <w:rsid w:val="009C6089"/>
    <w:rsid w:val="009D305E"/>
    <w:rsid w:val="009D42BD"/>
    <w:rsid w:val="009D5028"/>
    <w:rsid w:val="009D69DA"/>
    <w:rsid w:val="009D79FE"/>
    <w:rsid w:val="009E1BA2"/>
    <w:rsid w:val="009F1DB2"/>
    <w:rsid w:val="009F3F8E"/>
    <w:rsid w:val="009F3F9D"/>
    <w:rsid w:val="009F7F09"/>
    <w:rsid w:val="00A00545"/>
    <w:rsid w:val="00A00C7D"/>
    <w:rsid w:val="00A02108"/>
    <w:rsid w:val="00A02239"/>
    <w:rsid w:val="00A0367C"/>
    <w:rsid w:val="00A03777"/>
    <w:rsid w:val="00A050CD"/>
    <w:rsid w:val="00A056E5"/>
    <w:rsid w:val="00A0798C"/>
    <w:rsid w:val="00A07F42"/>
    <w:rsid w:val="00A1275D"/>
    <w:rsid w:val="00A148BF"/>
    <w:rsid w:val="00A14F7A"/>
    <w:rsid w:val="00A15C39"/>
    <w:rsid w:val="00A16315"/>
    <w:rsid w:val="00A174A2"/>
    <w:rsid w:val="00A221DC"/>
    <w:rsid w:val="00A25C46"/>
    <w:rsid w:val="00A25D56"/>
    <w:rsid w:val="00A30B3C"/>
    <w:rsid w:val="00A32E17"/>
    <w:rsid w:val="00A3335C"/>
    <w:rsid w:val="00A34A51"/>
    <w:rsid w:val="00A35FCD"/>
    <w:rsid w:val="00A4553C"/>
    <w:rsid w:val="00A51E6F"/>
    <w:rsid w:val="00A523D1"/>
    <w:rsid w:val="00A538C9"/>
    <w:rsid w:val="00A552D0"/>
    <w:rsid w:val="00A55FA6"/>
    <w:rsid w:val="00A60392"/>
    <w:rsid w:val="00A610C1"/>
    <w:rsid w:val="00A63C59"/>
    <w:rsid w:val="00A65D63"/>
    <w:rsid w:val="00A67820"/>
    <w:rsid w:val="00A67EDA"/>
    <w:rsid w:val="00A67F96"/>
    <w:rsid w:val="00A7011F"/>
    <w:rsid w:val="00A7039F"/>
    <w:rsid w:val="00A71AAC"/>
    <w:rsid w:val="00A74797"/>
    <w:rsid w:val="00A7489B"/>
    <w:rsid w:val="00A7590A"/>
    <w:rsid w:val="00A80ABE"/>
    <w:rsid w:val="00A81CC6"/>
    <w:rsid w:val="00A84839"/>
    <w:rsid w:val="00A86F94"/>
    <w:rsid w:val="00A87AE1"/>
    <w:rsid w:val="00AA171D"/>
    <w:rsid w:val="00AA2A6D"/>
    <w:rsid w:val="00AB31FB"/>
    <w:rsid w:val="00AB3E00"/>
    <w:rsid w:val="00AB6C6B"/>
    <w:rsid w:val="00AB7362"/>
    <w:rsid w:val="00AC0A98"/>
    <w:rsid w:val="00AC0F7B"/>
    <w:rsid w:val="00AC2F3E"/>
    <w:rsid w:val="00AC335E"/>
    <w:rsid w:val="00AC3695"/>
    <w:rsid w:val="00AC4A29"/>
    <w:rsid w:val="00AC7B4B"/>
    <w:rsid w:val="00AD0ECC"/>
    <w:rsid w:val="00AE5495"/>
    <w:rsid w:val="00AE6AC7"/>
    <w:rsid w:val="00AE6E20"/>
    <w:rsid w:val="00AF2248"/>
    <w:rsid w:val="00AF563B"/>
    <w:rsid w:val="00AF6963"/>
    <w:rsid w:val="00AF7515"/>
    <w:rsid w:val="00B03F83"/>
    <w:rsid w:val="00B10167"/>
    <w:rsid w:val="00B10593"/>
    <w:rsid w:val="00B13859"/>
    <w:rsid w:val="00B15EB3"/>
    <w:rsid w:val="00B171A5"/>
    <w:rsid w:val="00B20401"/>
    <w:rsid w:val="00B2173C"/>
    <w:rsid w:val="00B30148"/>
    <w:rsid w:val="00B30CE8"/>
    <w:rsid w:val="00B32155"/>
    <w:rsid w:val="00B40590"/>
    <w:rsid w:val="00B40C0D"/>
    <w:rsid w:val="00B51C0C"/>
    <w:rsid w:val="00B5245F"/>
    <w:rsid w:val="00B52A34"/>
    <w:rsid w:val="00B53772"/>
    <w:rsid w:val="00B571E0"/>
    <w:rsid w:val="00B5724B"/>
    <w:rsid w:val="00B61629"/>
    <w:rsid w:val="00B63731"/>
    <w:rsid w:val="00B63A96"/>
    <w:rsid w:val="00B65DF5"/>
    <w:rsid w:val="00B723BE"/>
    <w:rsid w:val="00B72477"/>
    <w:rsid w:val="00B74566"/>
    <w:rsid w:val="00B80220"/>
    <w:rsid w:val="00B81FE2"/>
    <w:rsid w:val="00B82705"/>
    <w:rsid w:val="00B85187"/>
    <w:rsid w:val="00B85536"/>
    <w:rsid w:val="00B86263"/>
    <w:rsid w:val="00B87D99"/>
    <w:rsid w:val="00B93BC7"/>
    <w:rsid w:val="00B940F3"/>
    <w:rsid w:val="00B95C61"/>
    <w:rsid w:val="00B97B40"/>
    <w:rsid w:val="00BA2160"/>
    <w:rsid w:val="00BA257A"/>
    <w:rsid w:val="00BA3889"/>
    <w:rsid w:val="00BA3E1A"/>
    <w:rsid w:val="00BA3E40"/>
    <w:rsid w:val="00BA695B"/>
    <w:rsid w:val="00BB0C27"/>
    <w:rsid w:val="00BB2084"/>
    <w:rsid w:val="00BB2AA1"/>
    <w:rsid w:val="00BB558D"/>
    <w:rsid w:val="00BC0932"/>
    <w:rsid w:val="00BC11EE"/>
    <w:rsid w:val="00BC2EA2"/>
    <w:rsid w:val="00BC41D2"/>
    <w:rsid w:val="00BC47B7"/>
    <w:rsid w:val="00BC4CB0"/>
    <w:rsid w:val="00BD08AA"/>
    <w:rsid w:val="00BD0A6E"/>
    <w:rsid w:val="00BD1E33"/>
    <w:rsid w:val="00BD2F63"/>
    <w:rsid w:val="00BD5503"/>
    <w:rsid w:val="00BD69BF"/>
    <w:rsid w:val="00BD7272"/>
    <w:rsid w:val="00BE28F6"/>
    <w:rsid w:val="00BE33AD"/>
    <w:rsid w:val="00BE376D"/>
    <w:rsid w:val="00BE5EC9"/>
    <w:rsid w:val="00BF2DEF"/>
    <w:rsid w:val="00BF2F73"/>
    <w:rsid w:val="00BF3594"/>
    <w:rsid w:val="00BF4981"/>
    <w:rsid w:val="00BF6947"/>
    <w:rsid w:val="00C0028F"/>
    <w:rsid w:val="00C03809"/>
    <w:rsid w:val="00C04E43"/>
    <w:rsid w:val="00C076D2"/>
    <w:rsid w:val="00C07B90"/>
    <w:rsid w:val="00C123C5"/>
    <w:rsid w:val="00C124EE"/>
    <w:rsid w:val="00C136FE"/>
    <w:rsid w:val="00C22E87"/>
    <w:rsid w:val="00C23591"/>
    <w:rsid w:val="00C27D57"/>
    <w:rsid w:val="00C32324"/>
    <w:rsid w:val="00C33D77"/>
    <w:rsid w:val="00C34DD3"/>
    <w:rsid w:val="00C34E8A"/>
    <w:rsid w:val="00C356B9"/>
    <w:rsid w:val="00C43F4C"/>
    <w:rsid w:val="00C45768"/>
    <w:rsid w:val="00C51EB2"/>
    <w:rsid w:val="00C51F21"/>
    <w:rsid w:val="00C51F95"/>
    <w:rsid w:val="00C52649"/>
    <w:rsid w:val="00C5306B"/>
    <w:rsid w:val="00C556D9"/>
    <w:rsid w:val="00C6467A"/>
    <w:rsid w:val="00C678A7"/>
    <w:rsid w:val="00C7036D"/>
    <w:rsid w:val="00C731F4"/>
    <w:rsid w:val="00C73A68"/>
    <w:rsid w:val="00C80AF2"/>
    <w:rsid w:val="00C81DDA"/>
    <w:rsid w:val="00C81E39"/>
    <w:rsid w:val="00C82CBA"/>
    <w:rsid w:val="00C90DE2"/>
    <w:rsid w:val="00C91464"/>
    <w:rsid w:val="00C92917"/>
    <w:rsid w:val="00C9454F"/>
    <w:rsid w:val="00C952CD"/>
    <w:rsid w:val="00CA200D"/>
    <w:rsid w:val="00CA279C"/>
    <w:rsid w:val="00CA403F"/>
    <w:rsid w:val="00CA6628"/>
    <w:rsid w:val="00CA69F3"/>
    <w:rsid w:val="00CA7B2E"/>
    <w:rsid w:val="00CB1157"/>
    <w:rsid w:val="00CB1F2B"/>
    <w:rsid w:val="00CB5B55"/>
    <w:rsid w:val="00CB76D3"/>
    <w:rsid w:val="00CC64F3"/>
    <w:rsid w:val="00CC762F"/>
    <w:rsid w:val="00CD041A"/>
    <w:rsid w:val="00CD2B22"/>
    <w:rsid w:val="00CD4190"/>
    <w:rsid w:val="00CD5621"/>
    <w:rsid w:val="00CE1C84"/>
    <w:rsid w:val="00CE37C1"/>
    <w:rsid w:val="00CF005B"/>
    <w:rsid w:val="00CF0C4F"/>
    <w:rsid w:val="00CF1C86"/>
    <w:rsid w:val="00CF3878"/>
    <w:rsid w:val="00D01A4B"/>
    <w:rsid w:val="00D04218"/>
    <w:rsid w:val="00D04F26"/>
    <w:rsid w:val="00D05D82"/>
    <w:rsid w:val="00D063E8"/>
    <w:rsid w:val="00D24358"/>
    <w:rsid w:val="00D266A5"/>
    <w:rsid w:val="00D30FA5"/>
    <w:rsid w:val="00D321A0"/>
    <w:rsid w:val="00D341B6"/>
    <w:rsid w:val="00D36624"/>
    <w:rsid w:val="00D41AFB"/>
    <w:rsid w:val="00D43DC5"/>
    <w:rsid w:val="00D44713"/>
    <w:rsid w:val="00D46F9E"/>
    <w:rsid w:val="00D47DAB"/>
    <w:rsid w:val="00D5115F"/>
    <w:rsid w:val="00D549A5"/>
    <w:rsid w:val="00D57030"/>
    <w:rsid w:val="00D63392"/>
    <w:rsid w:val="00D743CB"/>
    <w:rsid w:val="00D747A7"/>
    <w:rsid w:val="00D7709D"/>
    <w:rsid w:val="00D80890"/>
    <w:rsid w:val="00D8166B"/>
    <w:rsid w:val="00D81C0F"/>
    <w:rsid w:val="00D821EF"/>
    <w:rsid w:val="00D83B47"/>
    <w:rsid w:val="00D840D9"/>
    <w:rsid w:val="00D8667C"/>
    <w:rsid w:val="00D86AB9"/>
    <w:rsid w:val="00D87D83"/>
    <w:rsid w:val="00D92D26"/>
    <w:rsid w:val="00DA0371"/>
    <w:rsid w:val="00DA33DB"/>
    <w:rsid w:val="00DA596B"/>
    <w:rsid w:val="00DA5BD6"/>
    <w:rsid w:val="00DA7309"/>
    <w:rsid w:val="00DB0530"/>
    <w:rsid w:val="00DB3898"/>
    <w:rsid w:val="00DB6378"/>
    <w:rsid w:val="00DC2346"/>
    <w:rsid w:val="00DC2D10"/>
    <w:rsid w:val="00DC325F"/>
    <w:rsid w:val="00DC3647"/>
    <w:rsid w:val="00DC5D44"/>
    <w:rsid w:val="00DC7140"/>
    <w:rsid w:val="00DD3CAA"/>
    <w:rsid w:val="00DD4351"/>
    <w:rsid w:val="00DE4A46"/>
    <w:rsid w:val="00DE5F87"/>
    <w:rsid w:val="00DE5FC0"/>
    <w:rsid w:val="00DF4180"/>
    <w:rsid w:val="00DF4E1C"/>
    <w:rsid w:val="00DF6F8B"/>
    <w:rsid w:val="00E05555"/>
    <w:rsid w:val="00E06196"/>
    <w:rsid w:val="00E068A8"/>
    <w:rsid w:val="00E13D2C"/>
    <w:rsid w:val="00E2077F"/>
    <w:rsid w:val="00E26EF7"/>
    <w:rsid w:val="00E32434"/>
    <w:rsid w:val="00E327CC"/>
    <w:rsid w:val="00E40DAF"/>
    <w:rsid w:val="00E47ED1"/>
    <w:rsid w:val="00E50408"/>
    <w:rsid w:val="00E50D0E"/>
    <w:rsid w:val="00E552D2"/>
    <w:rsid w:val="00E60AC3"/>
    <w:rsid w:val="00E617D5"/>
    <w:rsid w:val="00E64E5A"/>
    <w:rsid w:val="00E7119A"/>
    <w:rsid w:val="00E76BDB"/>
    <w:rsid w:val="00E8263A"/>
    <w:rsid w:val="00E84BFE"/>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504C"/>
    <w:rsid w:val="00EC6441"/>
    <w:rsid w:val="00EC68B5"/>
    <w:rsid w:val="00ED3384"/>
    <w:rsid w:val="00ED3BB7"/>
    <w:rsid w:val="00ED44CA"/>
    <w:rsid w:val="00ED6047"/>
    <w:rsid w:val="00ED64A6"/>
    <w:rsid w:val="00ED652A"/>
    <w:rsid w:val="00ED7F90"/>
    <w:rsid w:val="00EE0C5F"/>
    <w:rsid w:val="00EE111F"/>
    <w:rsid w:val="00EE1E2E"/>
    <w:rsid w:val="00EE2239"/>
    <w:rsid w:val="00EF40AD"/>
    <w:rsid w:val="00EF48D3"/>
    <w:rsid w:val="00EF738A"/>
    <w:rsid w:val="00F02268"/>
    <w:rsid w:val="00F063D4"/>
    <w:rsid w:val="00F1381E"/>
    <w:rsid w:val="00F1557B"/>
    <w:rsid w:val="00F171E7"/>
    <w:rsid w:val="00F22078"/>
    <w:rsid w:val="00F302C6"/>
    <w:rsid w:val="00F326A8"/>
    <w:rsid w:val="00F33F56"/>
    <w:rsid w:val="00F35930"/>
    <w:rsid w:val="00F36AB5"/>
    <w:rsid w:val="00F36C89"/>
    <w:rsid w:val="00F37D5F"/>
    <w:rsid w:val="00F40510"/>
    <w:rsid w:val="00F408AD"/>
    <w:rsid w:val="00F412CB"/>
    <w:rsid w:val="00F4184C"/>
    <w:rsid w:val="00F46D87"/>
    <w:rsid w:val="00F51380"/>
    <w:rsid w:val="00F53B4A"/>
    <w:rsid w:val="00F6376E"/>
    <w:rsid w:val="00F70DEB"/>
    <w:rsid w:val="00F71A65"/>
    <w:rsid w:val="00F75C30"/>
    <w:rsid w:val="00F76AD7"/>
    <w:rsid w:val="00F76BB3"/>
    <w:rsid w:val="00F77C0B"/>
    <w:rsid w:val="00F90654"/>
    <w:rsid w:val="00F94597"/>
    <w:rsid w:val="00F974F0"/>
    <w:rsid w:val="00FA0E0B"/>
    <w:rsid w:val="00FA1AB6"/>
    <w:rsid w:val="00FA2014"/>
    <w:rsid w:val="00FA35C6"/>
    <w:rsid w:val="00FA4439"/>
    <w:rsid w:val="00FB0E66"/>
    <w:rsid w:val="00FB12FA"/>
    <w:rsid w:val="00FB216E"/>
    <w:rsid w:val="00FB3113"/>
    <w:rsid w:val="00FB778F"/>
    <w:rsid w:val="00FC1FCE"/>
    <w:rsid w:val="00FC4859"/>
    <w:rsid w:val="00FC5CEE"/>
    <w:rsid w:val="00FC6426"/>
    <w:rsid w:val="00FD24A0"/>
    <w:rsid w:val="00FD5AE4"/>
    <w:rsid w:val="00FD7A33"/>
    <w:rsid w:val="00FE0D78"/>
    <w:rsid w:val="00FE1B0F"/>
    <w:rsid w:val="00FE2473"/>
    <w:rsid w:val="00FE3007"/>
    <w:rsid w:val="00FE4927"/>
    <w:rsid w:val="00FE4BD6"/>
    <w:rsid w:val="00FE75F5"/>
    <w:rsid w:val="00FF0480"/>
    <w:rsid w:val="00FF1AD2"/>
    <w:rsid w:val="00FF277C"/>
    <w:rsid w:val="00FF2E75"/>
    <w:rsid w:val="00FF4478"/>
    <w:rsid w:val="00FF66F0"/>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0C"/>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45660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45660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8D3311"/>
    <w:pPr>
      <w:spacing w:before="0"/>
    </w:pPr>
    <w:rPr>
      <w:b/>
    </w:rPr>
  </w:style>
  <w:style w:type="character" w:customStyle="1" w:styleId="TableHeaderChar">
    <w:name w:val="Table Header Char"/>
    <w:basedOn w:val="DefaultParagraphFont"/>
    <w:link w:val="TableHeader"/>
    <w:rsid w:val="008D3311"/>
    <w:rPr>
      <w:rFonts w:ascii="Arial" w:eastAsia="Times New Roman" w:hAnsi="Arial" w:cs="Times New Roman"/>
      <w:b/>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23/agenda202307.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2023 ACCS Agenda Item 01 - Advisory Commission on Charter Schools (CA State Board of Education)</dc:title>
  <dc:subject>Consideration of a Request for Determination of Funding as Required for Nonclassroom-Based Charter Schools.</dc:subject>
  <dc:creator/>
  <cp:keywords/>
  <dc:description/>
  <cp:lastModifiedBy/>
  <cp:revision>1</cp:revision>
  <dcterms:created xsi:type="dcterms:W3CDTF">2023-11-06T23:41:00Z</dcterms:created>
  <dcterms:modified xsi:type="dcterms:W3CDTF">2023-11-16T15:36:00Z</dcterms:modified>
</cp:coreProperties>
</file>