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E7DB" w14:textId="540A2D34" w:rsidR="00EF48D3" w:rsidRPr="00780B44" w:rsidRDefault="002D6EC8" w:rsidP="00BC7C90">
      <w:pPr>
        <w:spacing w:before="0"/>
        <w:jc w:val="right"/>
        <w:rPr>
          <w:rFonts w:cs="Arial"/>
        </w:rPr>
      </w:pPr>
      <w:r w:rsidRPr="002D6EC8">
        <w:rPr>
          <w:rFonts w:cs="Arial"/>
        </w:rPr>
        <w:t>California Department of Education</w:t>
      </w:r>
      <w:r w:rsidR="002A09AA">
        <w:rPr>
          <w:rFonts w:cs="Arial"/>
        </w:rPr>
        <w:br/>
      </w:r>
      <w:r w:rsidRPr="002D6EC8">
        <w:rPr>
          <w:rFonts w:cs="Arial"/>
        </w:rPr>
        <w:t>Charter Schools Division</w:t>
      </w:r>
      <w:r w:rsidR="002A09AA">
        <w:rPr>
          <w:rFonts w:cs="Arial"/>
        </w:rPr>
        <w:br/>
      </w:r>
      <w:r w:rsidR="00F77C0B" w:rsidRPr="00780B44">
        <w:rPr>
          <w:rFonts w:cs="Arial"/>
        </w:rPr>
        <w:t xml:space="preserve">Revised </w:t>
      </w:r>
      <w:r w:rsidR="0042654E" w:rsidRPr="00780B44">
        <w:rPr>
          <w:rFonts w:cs="Arial"/>
        </w:rPr>
        <w:t>5</w:t>
      </w:r>
      <w:r w:rsidR="00443B1F" w:rsidRPr="00780B44">
        <w:rPr>
          <w:rFonts w:cs="Arial"/>
        </w:rPr>
        <w:t>/2018</w:t>
      </w:r>
      <w:r w:rsidR="002A09AA">
        <w:rPr>
          <w:rFonts w:cs="Arial"/>
        </w:rPr>
        <w:br/>
      </w:r>
      <w:r w:rsidR="0055266E" w:rsidRPr="00780B44">
        <w:rPr>
          <w:rFonts w:cs="Arial"/>
        </w:rPr>
        <w:t>a</w:t>
      </w:r>
      <w:r w:rsidRPr="00780B44">
        <w:rPr>
          <w:rFonts w:cs="Arial"/>
        </w:rPr>
        <w:t>ccs-</w:t>
      </w:r>
      <w:r w:rsidR="00FD0218">
        <w:rPr>
          <w:rFonts w:cs="Arial"/>
        </w:rPr>
        <w:t>dec</w:t>
      </w:r>
      <w:r w:rsidR="00F10AEF">
        <w:rPr>
          <w:rFonts w:cs="Arial"/>
        </w:rPr>
        <w:t>2</w:t>
      </w:r>
      <w:r w:rsidR="00EC4DD5">
        <w:rPr>
          <w:rFonts w:cs="Arial"/>
        </w:rPr>
        <w:t>5</w:t>
      </w:r>
      <w:r w:rsidR="008F7BC4" w:rsidRPr="00780B44">
        <w:rPr>
          <w:rFonts w:cs="Arial"/>
        </w:rPr>
        <w:t>item0</w:t>
      </w:r>
      <w:r w:rsidR="00C04C79">
        <w:rPr>
          <w:rFonts w:cs="Arial"/>
        </w:rPr>
        <w:t>2</w:t>
      </w:r>
    </w:p>
    <w:p w14:paraId="4F987488" w14:textId="77777777" w:rsidR="00050515" w:rsidRPr="00780B44" w:rsidRDefault="00050515" w:rsidP="00456605">
      <w:pPr>
        <w:pStyle w:val="NoSpacing"/>
        <w:spacing w:before="240"/>
        <w:jc w:val="center"/>
        <w:rPr>
          <w:b/>
          <w:sz w:val="32"/>
          <w:szCs w:val="32"/>
        </w:rPr>
      </w:pPr>
      <w:r w:rsidRPr="00780B44">
        <w:rPr>
          <w:b/>
          <w:sz w:val="32"/>
          <w:szCs w:val="32"/>
        </w:rPr>
        <w:t>ADVISORY COMMISSION ON CHARTER SCHOOLS</w:t>
      </w:r>
    </w:p>
    <w:p w14:paraId="26BB5330" w14:textId="77777777" w:rsidR="00050515" w:rsidRPr="00780B44" w:rsidRDefault="00050515" w:rsidP="00456605">
      <w:pPr>
        <w:spacing w:before="0" w:after="0"/>
        <w:jc w:val="center"/>
      </w:pPr>
      <w:r w:rsidRPr="00780B44">
        <w:t>AN ADVISORY BODY TO THE STATE BOARD OF EDUCATION</w:t>
      </w:r>
    </w:p>
    <w:p w14:paraId="7B731161" w14:textId="16058BC9" w:rsidR="00050515" w:rsidRDefault="00FD0218" w:rsidP="00B807EB">
      <w:pPr>
        <w:pStyle w:val="Heading1"/>
      </w:pPr>
      <w:r>
        <w:t>December</w:t>
      </w:r>
      <w:r w:rsidR="00F10AEF">
        <w:t xml:space="preserve"> 202</w:t>
      </w:r>
      <w:r w:rsidR="00EC4DD5">
        <w:t>5</w:t>
      </w:r>
      <w:r w:rsidR="00050515" w:rsidRPr="00780B44">
        <w:t xml:space="preserve"> Agenda</w:t>
      </w:r>
      <w:r w:rsidR="00510736">
        <w:br/>
      </w:r>
      <w:r w:rsidR="00050515" w:rsidRPr="00780B44">
        <w:t>Item #</w:t>
      </w:r>
      <w:r w:rsidR="008F7BC4" w:rsidRPr="00780B44">
        <w:t>0</w:t>
      </w:r>
      <w:r w:rsidR="00C04C79">
        <w:t>2</w:t>
      </w:r>
    </w:p>
    <w:p w14:paraId="086EB83E" w14:textId="77777777" w:rsidR="00FC1FCE" w:rsidRPr="001B3958" w:rsidRDefault="00FC1FCE" w:rsidP="00163564">
      <w:pPr>
        <w:pStyle w:val="Heading2"/>
      </w:pPr>
      <w:r w:rsidRPr="001B3958">
        <w:t>Subject</w:t>
      </w:r>
    </w:p>
    <w:p w14:paraId="1D9905DA" w14:textId="7F970988" w:rsidR="004F5298" w:rsidRPr="0064766D" w:rsidRDefault="004F5298" w:rsidP="005F0AAC">
      <w:r>
        <w:t>Rec</w:t>
      </w:r>
      <w:r w:rsidRPr="00F10AEF">
        <w:t xml:space="preserve">onsideration of </w:t>
      </w:r>
      <w:r>
        <w:t xml:space="preserve">a </w:t>
      </w:r>
      <w:r w:rsidR="00E80855">
        <w:t xml:space="preserve">Nonclassroom-Based </w:t>
      </w:r>
      <w:r w:rsidR="00A53EEA">
        <w:t>Funding Determination</w:t>
      </w:r>
      <w:r w:rsidRPr="00F10AEF">
        <w:t xml:space="preserve"> </w:t>
      </w:r>
      <w:r w:rsidR="00E80855">
        <w:t>for a Charter School</w:t>
      </w:r>
      <w:r w:rsidRPr="00F10AEF">
        <w:t xml:space="preserve"> Pursuant to California</w:t>
      </w:r>
      <w:r w:rsidRPr="00F10AEF">
        <w:rPr>
          <w:i/>
        </w:rPr>
        <w:t xml:space="preserve"> Education Code </w:t>
      </w:r>
      <w:r>
        <w:t>S</w:t>
      </w:r>
      <w:r w:rsidRPr="00F10AEF">
        <w:t xml:space="preserve">ections 47612.5 and 47634.2, and Associated </w:t>
      </w:r>
      <w:r w:rsidRPr="00F10AEF">
        <w:rPr>
          <w:i/>
        </w:rPr>
        <w:t>California Code of Regulations</w:t>
      </w:r>
      <w:r w:rsidRPr="00F10AEF">
        <w:t>, Title 5.</w:t>
      </w:r>
    </w:p>
    <w:p w14:paraId="5B5F05D7" w14:textId="77777777" w:rsidR="00FC1FCE" w:rsidRPr="001B3958" w:rsidRDefault="00FC1FCE" w:rsidP="00163564">
      <w:pPr>
        <w:pStyle w:val="Heading2"/>
      </w:pPr>
      <w:r w:rsidRPr="001B3958">
        <w:t>Type of Action</w:t>
      </w:r>
    </w:p>
    <w:p w14:paraId="67700290" w14:textId="77777777" w:rsidR="008F7BC4" w:rsidRPr="0055124C" w:rsidRDefault="008F7BC4" w:rsidP="008F7BC4">
      <w:r w:rsidRPr="0055124C">
        <w:t>Action, Information</w:t>
      </w:r>
    </w:p>
    <w:p w14:paraId="4F1F3903" w14:textId="77777777" w:rsidR="008F7BC4" w:rsidRPr="001B3958" w:rsidRDefault="008F7BC4" w:rsidP="00163564">
      <w:pPr>
        <w:pStyle w:val="Heading2"/>
      </w:pPr>
      <w:r>
        <w:t>Summary of the Issue</w:t>
      </w:r>
    </w:p>
    <w:p w14:paraId="442BF7C8" w14:textId="30228C63" w:rsidR="00F748D4" w:rsidRDefault="004C1016" w:rsidP="00F10AEF">
      <w:pPr>
        <w:rPr>
          <w:rFonts w:cs="Arial"/>
        </w:rPr>
      </w:pPr>
      <w:r w:rsidRPr="008306A7">
        <w:rPr>
          <w:rFonts w:cs="Arial"/>
        </w:rPr>
        <w:t>California</w:t>
      </w:r>
      <w:r>
        <w:rPr>
          <w:rFonts w:cs="Arial"/>
          <w:i/>
        </w:rPr>
        <w:t xml:space="preserve"> </w:t>
      </w:r>
      <w:r w:rsidRPr="003639BA">
        <w:rPr>
          <w:rFonts w:cs="Arial"/>
          <w:i/>
        </w:rPr>
        <w:t>E</w:t>
      </w:r>
      <w:r>
        <w:rPr>
          <w:rFonts w:cs="Arial"/>
          <w:i/>
        </w:rPr>
        <w:t>ducation Code</w:t>
      </w:r>
      <w:r w:rsidR="003B0477">
        <w:rPr>
          <w:rFonts w:cs="Arial"/>
          <w:i/>
        </w:rPr>
        <w:t xml:space="preserve"> </w:t>
      </w:r>
      <w:r w:rsidR="003B0477">
        <w:rPr>
          <w:rFonts w:cs="Arial"/>
        </w:rPr>
        <w:t>(</w:t>
      </w:r>
      <w:r w:rsidR="003B0477" w:rsidRPr="003B0477">
        <w:rPr>
          <w:rFonts w:cs="Arial"/>
          <w:i/>
        </w:rPr>
        <w:t>EC</w:t>
      </w:r>
      <w:r w:rsidR="003B0477">
        <w:rPr>
          <w:rFonts w:cs="Arial"/>
        </w:rPr>
        <w:t>)</w:t>
      </w:r>
      <w:r w:rsidR="002271A7">
        <w:rPr>
          <w:rFonts w:cs="Arial"/>
          <w:i/>
        </w:rPr>
        <w:t xml:space="preserve"> </w:t>
      </w:r>
      <w:r w:rsidRPr="00BE376D">
        <w:rPr>
          <w:rFonts w:cs="Arial"/>
        </w:rPr>
        <w:t>sections</w:t>
      </w:r>
      <w:r>
        <w:rPr>
          <w:rFonts w:cs="Arial"/>
        </w:rPr>
        <w:t xml:space="preserve"> 47612.5 and 47634.2 establish the eligibility requirements for apportionment funding for charter schools that offer nonclassroom-based (NCB) instruction. The statutes specify that a charter school</w:t>
      </w:r>
      <w:r w:rsidR="00546DFA">
        <w:rPr>
          <w:rFonts w:cs="Arial"/>
        </w:rPr>
        <w:t xml:space="preserve"> that offers NCB instruction </w:t>
      </w:r>
      <w:proofErr w:type="gramStart"/>
      <w:r w:rsidR="004D7E48">
        <w:rPr>
          <w:rFonts w:cs="Arial"/>
        </w:rPr>
        <w:t>in excess of</w:t>
      </w:r>
      <w:proofErr w:type="gramEnd"/>
      <w:r w:rsidR="004D7E48">
        <w:rPr>
          <w:rFonts w:cs="Arial"/>
        </w:rPr>
        <w:t xml:space="preserve"> the amount authorized by </w:t>
      </w:r>
      <w:r w:rsidR="00546DFA">
        <w:rPr>
          <w:rFonts w:cs="Arial"/>
          <w:i/>
        </w:rPr>
        <w:t>EC</w:t>
      </w:r>
      <w:r w:rsidR="00546DFA">
        <w:rPr>
          <w:rFonts w:cs="Arial"/>
        </w:rPr>
        <w:t xml:space="preserve"> Section 47612.5(e)</w:t>
      </w:r>
      <w:r w:rsidR="004D7E48">
        <w:rPr>
          <w:rFonts w:cs="Arial"/>
        </w:rPr>
        <w:t xml:space="preserve">(1) </w:t>
      </w:r>
      <w:r>
        <w:rPr>
          <w:rFonts w:cs="Arial"/>
        </w:rPr>
        <w:t xml:space="preserve">may receive apportionment funding for NCB instruction only if a determination of funding is made by the </w:t>
      </w:r>
      <w:r w:rsidR="008F426F">
        <w:rPr>
          <w:rFonts w:cs="Arial"/>
        </w:rPr>
        <w:t xml:space="preserve">California </w:t>
      </w:r>
      <w:r>
        <w:rPr>
          <w:rFonts w:cs="Arial"/>
        </w:rPr>
        <w:t>State Board of Education (SBE).</w:t>
      </w:r>
    </w:p>
    <w:p w14:paraId="73BAD541" w14:textId="4D852AC5" w:rsidR="00A86D77" w:rsidRDefault="00A52A45" w:rsidP="00F10AEF">
      <w:pPr>
        <w:rPr>
          <w:rFonts w:cs="Arial"/>
        </w:rPr>
      </w:pPr>
      <w:bookmarkStart w:id="0" w:name="_Hlk166655057"/>
      <w:r>
        <w:rPr>
          <w:rFonts w:cs="Arial"/>
        </w:rPr>
        <w:t xml:space="preserve">Pursuant to </w:t>
      </w:r>
      <w:r w:rsidRPr="00106930">
        <w:rPr>
          <w:rFonts w:cs="Arial"/>
          <w:i/>
        </w:rPr>
        <w:t>California Code of Regulations</w:t>
      </w:r>
      <w:r>
        <w:rPr>
          <w:rFonts w:cs="Arial"/>
        </w:rPr>
        <w:t>,</w:t>
      </w:r>
      <w:r w:rsidRPr="006726C9">
        <w:rPr>
          <w:rFonts w:cs="Arial"/>
        </w:rPr>
        <w:t xml:space="preserve"> Title 5 (5 </w:t>
      </w:r>
      <w:r w:rsidRPr="006726C9">
        <w:rPr>
          <w:rFonts w:cs="Arial"/>
          <w:i/>
        </w:rPr>
        <w:t>CCR</w:t>
      </w:r>
      <w:r w:rsidRPr="006726C9">
        <w:rPr>
          <w:rFonts w:cs="Arial"/>
        </w:rPr>
        <w:t>)</w:t>
      </w:r>
      <w:r>
        <w:rPr>
          <w:rFonts w:cs="Arial"/>
        </w:rPr>
        <w:t>, t</w:t>
      </w:r>
      <w:r w:rsidR="004C1016">
        <w:rPr>
          <w:rFonts w:cs="Arial"/>
        </w:rPr>
        <w:t xml:space="preserve">he California Department of Education (CDE) reviews a charter school’s determination of funding </w:t>
      </w:r>
      <w:proofErr w:type="gramStart"/>
      <w:r w:rsidR="00210C97">
        <w:rPr>
          <w:rFonts w:cs="Arial"/>
        </w:rPr>
        <w:t>request</w:t>
      </w:r>
      <w:proofErr w:type="gramEnd"/>
      <w:r w:rsidR="00210C97">
        <w:rPr>
          <w:rFonts w:cs="Arial"/>
        </w:rPr>
        <w:t xml:space="preserve"> </w:t>
      </w:r>
      <w:r w:rsidR="004C1016">
        <w:rPr>
          <w:rFonts w:cs="Arial"/>
        </w:rPr>
        <w:t xml:space="preserve">and presents it for consideration </w:t>
      </w:r>
      <w:r w:rsidR="00210C97">
        <w:rPr>
          <w:rFonts w:cs="Arial"/>
        </w:rPr>
        <w:t>to</w:t>
      </w:r>
      <w:r w:rsidR="004C1016">
        <w:rPr>
          <w:rFonts w:cs="Arial"/>
        </w:rPr>
        <w:t xml:space="preserve"> the Advisory Commission on Charter Schools</w:t>
      </w:r>
      <w:r w:rsidR="00A0798C">
        <w:rPr>
          <w:rFonts w:cs="Arial"/>
        </w:rPr>
        <w:t xml:space="preserve"> (ACCS)</w:t>
      </w:r>
      <w:bookmarkStart w:id="1" w:name="_Hlk37434151"/>
      <w:r>
        <w:rPr>
          <w:rFonts w:cs="Arial"/>
        </w:rPr>
        <w:t>.</w:t>
      </w:r>
      <w:r w:rsidR="00A86D77">
        <w:rPr>
          <w:rFonts w:cs="Arial"/>
        </w:rPr>
        <w:t xml:space="preserve"> </w:t>
      </w:r>
      <w:r w:rsidR="00A86D77" w:rsidRPr="004B6C45">
        <w:rPr>
          <w:rFonts w:cs="Arial"/>
        </w:rPr>
        <w:t>The ACCS shall develop a recommendation to the SBE</w:t>
      </w:r>
      <w:bookmarkEnd w:id="0"/>
      <w:r w:rsidR="00A86D77" w:rsidRPr="004B6C45">
        <w:rPr>
          <w:rFonts w:cs="Arial"/>
        </w:rPr>
        <w:t>, and the CDE shall present that recommendation to the SBE.</w:t>
      </w:r>
    </w:p>
    <w:p w14:paraId="507EB14F" w14:textId="26F86EBC" w:rsidR="00CA611C" w:rsidRPr="00DA1569" w:rsidRDefault="00CA611C" w:rsidP="00CA611C">
      <w:r>
        <w:t xml:space="preserve">Pursuant to 5 </w:t>
      </w:r>
      <w:r>
        <w:rPr>
          <w:i/>
        </w:rPr>
        <w:t>CCR</w:t>
      </w:r>
      <w:r>
        <w:t xml:space="preserve"> Section 11963.6(g), </w:t>
      </w:r>
      <w:r w:rsidRPr="00CD7A10">
        <w:t xml:space="preserve">if during </w:t>
      </w:r>
      <w:r>
        <w:t xml:space="preserve">the effective period of </w:t>
      </w:r>
      <w:r w:rsidRPr="00CD7A10">
        <w:t>an approved determination</w:t>
      </w:r>
      <w:r>
        <w:t xml:space="preserve">, </w:t>
      </w:r>
      <w:r w:rsidRPr="00CD7A10">
        <w:t>a charter school wishes to seek a higher or lower determination of funding, it shall do so by the filing of a new determination of funding request for consideration by the SBE</w:t>
      </w:r>
      <w:r>
        <w:t xml:space="preserve">. The CDE refers to </w:t>
      </w:r>
      <w:r w:rsidR="00E80855">
        <w:t xml:space="preserve">such </w:t>
      </w:r>
      <w:r w:rsidR="00505819">
        <w:t xml:space="preserve">determination of funding </w:t>
      </w:r>
      <w:r>
        <w:t>requests as “reconsideration</w:t>
      </w:r>
      <w:r w:rsidR="00505819">
        <w:t>”</w:t>
      </w:r>
      <w:r>
        <w:t xml:space="preserve"> requests.</w:t>
      </w:r>
    </w:p>
    <w:p w14:paraId="4FEDE774" w14:textId="103096BE" w:rsidR="00F17D70" w:rsidRDefault="00CA611C" w:rsidP="00CA611C">
      <w:pPr>
        <w:rPr>
          <w:rFonts w:cs="Arial"/>
        </w:rPr>
      </w:pPr>
      <w:r>
        <w:t>This item presents a reconsideration request from Santa Rosa Academy (</w:t>
      </w:r>
      <w:r w:rsidR="002C7B8C">
        <w:t>c</w:t>
      </w:r>
      <w:r>
        <w:t xml:space="preserve">harter </w:t>
      </w:r>
      <w:r w:rsidR="004B535B">
        <w:t xml:space="preserve">number </w:t>
      </w:r>
      <w:r>
        <w:t>0730).</w:t>
      </w:r>
    </w:p>
    <w:bookmarkEnd w:id="1"/>
    <w:p w14:paraId="19EBEFE6" w14:textId="77777777" w:rsidR="008F7BC4" w:rsidRPr="00F40510" w:rsidRDefault="008F7BC4" w:rsidP="00163564">
      <w:pPr>
        <w:pStyle w:val="Heading2"/>
      </w:pPr>
      <w:r w:rsidRPr="00EF48D3">
        <w:lastRenderedPageBreak/>
        <w:t>Proposed</w:t>
      </w:r>
      <w:r>
        <w:t xml:space="preserve"> Recommendation</w:t>
      </w:r>
    </w:p>
    <w:p w14:paraId="2A7D4BBD" w14:textId="079189FE" w:rsidR="00CB0ECF" w:rsidRDefault="00102B36" w:rsidP="00FD0218">
      <w:pPr>
        <w:rPr>
          <w:bCs/>
        </w:rPr>
      </w:pPr>
      <w:r w:rsidRPr="00F31409">
        <w:rPr>
          <w:rFonts w:cs="Arial"/>
        </w:rPr>
        <w:t xml:space="preserve">The </w:t>
      </w:r>
      <w:r w:rsidRPr="00F31409">
        <w:rPr>
          <w:bCs/>
        </w:rPr>
        <w:t>CDE proposes to recommend that the SBE</w:t>
      </w:r>
      <w:r w:rsidR="00F17D70" w:rsidRPr="00F31409">
        <w:rPr>
          <w:bCs/>
        </w:rPr>
        <w:t xml:space="preserve"> </w:t>
      </w:r>
      <w:r w:rsidR="00FD0218">
        <w:rPr>
          <w:bCs/>
        </w:rPr>
        <w:t>a</w:t>
      </w:r>
      <w:r w:rsidRPr="00F31409">
        <w:rPr>
          <w:bCs/>
        </w:rPr>
        <w:t>pprove</w:t>
      </w:r>
      <w:r w:rsidR="00CA611C">
        <w:rPr>
          <w:bCs/>
        </w:rPr>
        <w:t xml:space="preserve"> Santa Rosa Academy’s reconsideration request </w:t>
      </w:r>
      <w:r w:rsidR="008A3C2F">
        <w:rPr>
          <w:bCs/>
        </w:rPr>
        <w:t>to</w:t>
      </w:r>
      <w:r w:rsidR="00CA611C" w:rsidRPr="00CA611C">
        <w:rPr>
          <w:bCs/>
        </w:rPr>
        <w:t xml:space="preserve"> increase </w:t>
      </w:r>
      <w:r w:rsidR="00CB0ECF">
        <w:rPr>
          <w:rFonts w:cs="Arial"/>
          <w:bCs/>
        </w:rPr>
        <w:t>the charter school’s current funding determination from</w:t>
      </w:r>
      <w:r w:rsidR="00CB0ECF">
        <w:rPr>
          <w:bCs/>
        </w:rPr>
        <w:t xml:space="preserve"> </w:t>
      </w:r>
      <w:r w:rsidR="00CA611C">
        <w:rPr>
          <w:bCs/>
        </w:rPr>
        <w:t>70</w:t>
      </w:r>
      <w:r w:rsidR="00CA611C" w:rsidRPr="00CA611C">
        <w:rPr>
          <w:bCs/>
        </w:rPr>
        <w:t xml:space="preserve"> percent to 100 percent </w:t>
      </w:r>
      <w:r w:rsidR="002F42F6">
        <w:rPr>
          <w:rFonts w:cs="Arial"/>
          <w:bCs/>
        </w:rPr>
        <w:t>for the period of FY 2024–25 through 2025–26</w:t>
      </w:r>
      <w:r w:rsidR="00CA0CAE">
        <w:rPr>
          <w:bCs/>
        </w:rPr>
        <w:t>, as</w:t>
      </w:r>
      <w:r w:rsidR="00CA611C">
        <w:rPr>
          <w:bCs/>
        </w:rPr>
        <w:t xml:space="preserve"> </w:t>
      </w:r>
      <w:r w:rsidR="00CA611C" w:rsidRPr="00CA611C">
        <w:rPr>
          <w:bCs/>
        </w:rPr>
        <w:t>specified in Attachment 1.</w:t>
      </w:r>
    </w:p>
    <w:p w14:paraId="3BE4F265" w14:textId="675AA8BA" w:rsidR="00124DA1" w:rsidRDefault="00546FCF" w:rsidP="00163564">
      <w:pPr>
        <w:pStyle w:val="Heading2"/>
      </w:pPr>
      <w:r>
        <w:t>Funding Determination Criteria</w:t>
      </w:r>
    </w:p>
    <w:p w14:paraId="549F3C85" w14:textId="51346A68" w:rsidR="00D8166B" w:rsidRPr="00A0798C" w:rsidRDefault="00D8166B" w:rsidP="00D8166B">
      <w:pPr>
        <w:spacing w:before="0"/>
      </w:pPr>
      <w:bookmarkStart w:id="2" w:name="_Hlk106108130"/>
      <w:r w:rsidRPr="00A0798C">
        <w:rPr>
          <w:i/>
        </w:rPr>
        <w:t xml:space="preserve">EC </w:t>
      </w:r>
      <w:r w:rsidRPr="00A0798C">
        <w:t>Section 47634.2(a)(1) provides the following:</w:t>
      </w:r>
    </w:p>
    <w:p w14:paraId="7BE1902E" w14:textId="77777777" w:rsidR="00D8166B" w:rsidRPr="00A0798C" w:rsidRDefault="00D8166B" w:rsidP="00F424AF">
      <w:pPr>
        <w:spacing w:before="0"/>
        <w:ind w:left="720"/>
        <w:jc w:val="both"/>
      </w:pPr>
      <w:r w:rsidRPr="00A0798C">
        <w:t xml:space="preserve">Notwithstanding any other provision of law, the amount of funding to be allocated to a charter school </w:t>
      </w:r>
      <w:proofErr w:type="gramStart"/>
      <w:r w:rsidRPr="00A0798C">
        <w:t>on the basis of</w:t>
      </w:r>
      <w:proofErr w:type="gramEnd"/>
      <w:r w:rsidRPr="00A0798C">
        <w:t xml:space="preserve"> average daily attendance that is generated by pupils engaged in nonclassroom-based instruction…shall be adjusted by the State Board of Education. The State Board of Education shall adopt regulations setting forth criteria for the determination of funding for nonclassroom-based instruction, at a minimum the regulation shall specify that the nonclassroom-based instruction is conducted for the instructional benefit of the pupil and substantially dedicated to that function. In developing these criteria and determining the amount of funding to be allocated to a charter school pursuant to this section, the State Board of Education shall consider, among other factors it deems appropriate, the amount of the charter school’s total budget expended on certificated employee salaries and benefits and on </w:t>
      </w:r>
      <w:proofErr w:type="spellStart"/>
      <w:r w:rsidRPr="00A0798C">
        <w:t>schoolsites</w:t>
      </w:r>
      <w:proofErr w:type="spellEnd"/>
      <w:r w:rsidRPr="00A0798C">
        <w:t>, as defined in paragraph (3) of subdivision (d) of Section 47612.5, and the teacher-to-pupil ratio in the school.</w:t>
      </w:r>
    </w:p>
    <w:p w14:paraId="17653B0F" w14:textId="77777777" w:rsidR="00D8166B" w:rsidRPr="00A0798C" w:rsidRDefault="00D8166B" w:rsidP="00D8166B">
      <w:pPr>
        <w:spacing w:before="0"/>
      </w:pPr>
      <w:r w:rsidRPr="00A0798C">
        <w:rPr>
          <w:i/>
        </w:rPr>
        <w:t xml:space="preserve">EC </w:t>
      </w:r>
      <w:r w:rsidRPr="00A0798C">
        <w:t>Section 47634.2(a)(4) further states:</w:t>
      </w:r>
    </w:p>
    <w:p w14:paraId="21977C27" w14:textId="77777777" w:rsidR="00D8166B" w:rsidRPr="00A0798C" w:rsidRDefault="00D8166B" w:rsidP="00F424AF">
      <w:pPr>
        <w:spacing w:before="0"/>
        <w:ind w:left="720"/>
        <w:jc w:val="both"/>
      </w:pPr>
      <w:r w:rsidRPr="00A0798C">
        <w:t>For the 2003–04 fiscal year and each fiscal year thereafter, the amount of funding determined by the State Board of Education pursuant to this section shall not be more than 70 percent of the unadjusted amount to which a charter school would otherwise be entitled, unless the State Board of Education determines that a greater or lesser amount is appropriate based on the criteria specified in paragraph (1) of subdivision (a).</w:t>
      </w:r>
    </w:p>
    <w:p w14:paraId="08F76156" w14:textId="14341FF7" w:rsidR="00546FCF" w:rsidRDefault="00546FCF" w:rsidP="00546FCF">
      <w:r>
        <w:t xml:space="preserve">Pursuant to </w:t>
      </w:r>
      <w:r>
        <w:rPr>
          <w:rFonts w:cs="Arial"/>
          <w:i/>
        </w:rPr>
        <w:t xml:space="preserve">EC </w:t>
      </w:r>
      <w:r>
        <w:rPr>
          <w:rFonts w:cs="Arial"/>
        </w:rPr>
        <w:t>Section 47634.2</w:t>
      </w:r>
      <w:r>
        <w:t xml:space="preserve"> and SBE-adopted regulations, a</w:t>
      </w:r>
      <w:r w:rsidRPr="00A0798C">
        <w:t xml:space="preserve"> charter school may qualify for 70 percent, 85 percent, or 100 percent funding, or may be denied </w:t>
      </w:r>
      <w:r>
        <w:t xml:space="preserve">funding </w:t>
      </w:r>
      <w:r w:rsidRPr="00A0798C">
        <w:t>(i.e., 0 percent)</w:t>
      </w:r>
      <w:r>
        <w:t xml:space="preserve"> for its NCB instruction.</w:t>
      </w:r>
    </w:p>
    <w:p w14:paraId="49A5EA22" w14:textId="358981C4" w:rsidR="00D8166B" w:rsidRPr="00D44713" w:rsidRDefault="00D8166B" w:rsidP="00546FCF">
      <w:pPr>
        <w:rPr>
          <w:rFonts w:cs="Arial"/>
        </w:rPr>
      </w:pPr>
      <w:r w:rsidRPr="00D8166B">
        <w:rPr>
          <w:rFonts w:cs="Arial"/>
        </w:rPr>
        <w:t>To qualify for a recommendation of 100 percent funding, a</w:t>
      </w:r>
      <w:r w:rsidR="00F302C6">
        <w:rPr>
          <w:rFonts w:cs="Arial"/>
        </w:rPr>
        <w:t xml:space="preserve"> </w:t>
      </w:r>
      <w:r w:rsidRPr="00D8166B">
        <w:rPr>
          <w:rFonts w:cs="Arial"/>
        </w:rPr>
        <w:t>charter</w:t>
      </w:r>
      <w:r w:rsidRPr="00D44713">
        <w:rPr>
          <w:rFonts w:cs="Arial"/>
        </w:rPr>
        <w:t xml:space="preserve"> school must meet the following criteria</w:t>
      </w:r>
      <w:r w:rsidR="00F748D4">
        <w:rPr>
          <w:rFonts w:cs="Arial"/>
        </w:rPr>
        <w:t xml:space="preserve"> as outlined in 5 </w:t>
      </w:r>
      <w:r w:rsidR="00F748D4">
        <w:rPr>
          <w:rFonts w:cs="Arial"/>
          <w:i/>
          <w:iCs/>
        </w:rPr>
        <w:t xml:space="preserve">CCR </w:t>
      </w:r>
      <w:r w:rsidR="00F748D4">
        <w:rPr>
          <w:rFonts w:cs="Arial"/>
        </w:rPr>
        <w:t>Section 11963.4(a)(3)</w:t>
      </w:r>
      <w:r w:rsidRPr="00D44713">
        <w:rPr>
          <w:rFonts w:cs="Arial"/>
        </w:rPr>
        <w:t>:</w:t>
      </w:r>
      <w:bookmarkEnd w:id="2"/>
    </w:p>
    <w:p w14:paraId="7D13E4C1" w14:textId="68F6BC89" w:rsidR="00D8166B" w:rsidRPr="00814258" w:rsidRDefault="00D8166B" w:rsidP="00D8166B">
      <w:pPr>
        <w:numPr>
          <w:ilvl w:val="0"/>
          <w:numId w:val="11"/>
        </w:numPr>
        <w:rPr>
          <w:rFonts w:cs="Arial"/>
        </w:rPr>
      </w:pPr>
      <w:r w:rsidRPr="00D44713">
        <w:rPr>
          <w:rFonts w:cs="Arial"/>
        </w:rPr>
        <w:t xml:space="preserve">Spend at least </w:t>
      </w:r>
      <w:r>
        <w:rPr>
          <w:rFonts w:cs="Arial"/>
        </w:rPr>
        <w:t>40</w:t>
      </w:r>
      <w:r w:rsidRPr="00D44713">
        <w:rPr>
          <w:rFonts w:cs="Arial"/>
        </w:rPr>
        <w:t xml:space="preserve"> percent of the </w:t>
      </w:r>
      <w:r w:rsidR="00F424AF">
        <w:rPr>
          <w:rFonts w:cs="Arial"/>
        </w:rPr>
        <w:t xml:space="preserve">charter </w:t>
      </w:r>
      <w:r w:rsidRPr="00D44713">
        <w:rPr>
          <w:rFonts w:cs="Arial"/>
        </w:rPr>
        <w:t xml:space="preserve">school’s public revenues on salaries and </w:t>
      </w:r>
      <w:r w:rsidRPr="00814258">
        <w:rPr>
          <w:rFonts w:cs="Arial"/>
        </w:rPr>
        <w:t>benefits for all employees who possess a valid teaching certificate</w:t>
      </w:r>
      <w:r w:rsidR="00236034" w:rsidRPr="005D79E7">
        <w:rPr>
          <w:rFonts w:cs="Arial"/>
        </w:rPr>
        <w:t>, permit, or other document equivalent to that which a teacher in other public schools would be required to hold issued by the Commission on Teacher Credentialing and who work in the charter school in a position required to provide direct instruction or direct instructional support to students</w:t>
      </w:r>
    </w:p>
    <w:p w14:paraId="7F3BA81C" w14:textId="6BF88D9B" w:rsidR="00D8166B" w:rsidRPr="00814258" w:rsidRDefault="00D8166B" w:rsidP="00D8166B">
      <w:pPr>
        <w:numPr>
          <w:ilvl w:val="0"/>
          <w:numId w:val="11"/>
        </w:numPr>
        <w:rPr>
          <w:rFonts w:cs="Arial"/>
        </w:rPr>
      </w:pPr>
      <w:r w:rsidRPr="00814258">
        <w:rPr>
          <w:rFonts w:cs="Arial"/>
        </w:rPr>
        <w:lastRenderedPageBreak/>
        <w:t xml:space="preserve">Spend at least 80 percent of </w:t>
      </w:r>
      <w:r w:rsidR="00F424AF">
        <w:rPr>
          <w:rFonts w:cs="Arial"/>
        </w:rPr>
        <w:t xml:space="preserve">the charter school’s </w:t>
      </w:r>
      <w:r w:rsidR="00236034" w:rsidRPr="00814258">
        <w:rPr>
          <w:rFonts w:cs="Arial"/>
        </w:rPr>
        <w:t>total</w:t>
      </w:r>
      <w:r w:rsidRPr="00814258">
        <w:rPr>
          <w:rFonts w:cs="Arial"/>
        </w:rPr>
        <w:t xml:space="preserve"> revenues on instruction and related services</w:t>
      </w:r>
    </w:p>
    <w:p w14:paraId="2EAD3EDF" w14:textId="10A3954F" w:rsidR="00D8166B" w:rsidRPr="00167DCA" w:rsidRDefault="00D8166B" w:rsidP="00D8166B">
      <w:pPr>
        <w:numPr>
          <w:ilvl w:val="0"/>
          <w:numId w:val="11"/>
        </w:numPr>
        <w:spacing w:before="100" w:beforeAutospacing="1"/>
        <w:rPr>
          <w:rFonts w:cs="Arial"/>
        </w:rPr>
      </w:pPr>
      <w:r w:rsidRPr="00814258">
        <w:rPr>
          <w:rFonts w:cs="Arial"/>
        </w:rPr>
        <w:t xml:space="preserve">Maintain a ratio of </w:t>
      </w:r>
      <w:r w:rsidR="000271AE" w:rsidRPr="00814258">
        <w:rPr>
          <w:rFonts w:cs="Arial"/>
        </w:rPr>
        <w:t>average daily attendance (</w:t>
      </w:r>
      <w:r w:rsidRPr="00814258">
        <w:rPr>
          <w:rFonts w:cs="Arial"/>
        </w:rPr>
        <w:t>ADA</w:t>
      </w:r>
      <w:r w:rsidR="000271AE" w:rsidRPr="00814258">
        <w:rPr>
          <w:rFonts w:cs="Arial"/>
        </w:rPr>
        <w:t>)</w:t>
      </w:r>
      <w:r w:rsidRPr="00814258">
        <w:rPr>
          <w:rFonts w:cs="Arial"/>
        </w:rPr>
        <w:t xml:space="preserve"> for independent study pupils to full-time certificated employees</w:t>
      </w:r>
      <w:r w:rsidR="00236034" w:rsidRPr="00814258">
        <w:rPr>
          <w:rFonts w:cs="Arial"/>
        </w:rPr>
        <w:t xml:space="preserve"> </w:t>
      </w:r>
      <w:r w:rsidR="00236034" w:rsidRPr="005D79E7">
        <w:rPr>
          <w:rFonts w:cs="Arial"/>
        </w:rPr>
        <w:t>responsible for independent study</w:t>
      </w:r>
      <w:r w:rsidRPr="00814258">
        <w:rPr>
          <w:rFonts w:cs="Arial"/>
        </w:rPr>
        <w:t xml:space="preserve"> that does</w:t>
      </w:r>
      <w:r w:rsidRPr="00C02C2C">
        <w:rPr>
          <w:rFonts w:cs="Arial"/>
        </w:rPr>
        <w:t xml:space="preserve"> not exceed a pupil-teacher ratio</w:t>
      </w:r>
      <w:r>
        <w:rPr>
          <w:rFonts w:cs="Arial"/>
        </w:rPr>
        <w:t xml:space="preserve"> (PTR)</w:t>
      </w:r>
      <w:r w:rsidRPr="00C02C2C">
        <w:rPr>
          <w:rFonts w:cs="Arial"/>
        </w:rPr>
        <w:t xml:space="preserve"> of 25:1 or the </w:t>
      </w:r>
      <w:r>
        <w:rPr>
          <w:rFonts w:cs="Arial"/>
        </w:rPr>
        <w:t>PTR</w:t>
      </w:r>
      <w:r w:rsidRPr="00C02C2C">
        <w:rPr>
          <w:rFonts w:cs="Arial"/>
        </w:rPr>
        <w:t xml:space="preserve"> of the largest unified school district in the county or counties in which the charter </w:t>
      </w:r>
      <w:r w:rsidRPr="00167DCA">
        <w:rPr>
          <w:rFonts w:cs="Arial"/>
        </w:rPr>
        <w:t>school operates</w:t>
      </w:r>
    </w:p>
    <w:p w14:paraId="7CEE8D9A" w14:textId="1534E7A3" w:rsidR="00B51C0C" w:rsidRDefault="00546FCF" w:rsidP="00DA7309">
      <w:bookmarkStart w:id="3" w:name="_Hlk106108198"/>
      <w:bookmarkStart w:id="4" w:name="_Hlk38636967"/>
      <w:r w:rsidRPr="00A0798C">
        <w:t xml:space="preserve">The expenditure and PTR criteria for </w:t>
      </w:r>
      <w:r>
        <w:t>all</w:t>
      </w:r>
      <w:r w:rsidRPr="00A0798C">
        <w:t xml:space="preserve"> funding levels </w:t>
      </w:r>
      <w:r>
        <w:t xml:space="preserve">for which a charter school may qualify to receive </w:t>
      </w:r>
      <w:r w:rsidRPr="00A0798C">
        <w:t>for</w:t>
      </w:r>
      <w:r>
        <w:t xml:space="preserve"> its</w:t>
      </w:r>
      <w:r w:rsidRPr="00A0798C">
        <w:t xml:space="preserve"> NCB instruction </w:t>
      </w:r>
      <w:r>
        <w:t>are</w:t>
      </w:r>
      <w:r w:rsidRPr="00A0798C">
        <w:t xml:space="preserve"> </w:t>
      </w:r>
      <w:r>
        <w:t xml:space="preserve">specified in 5 </w:t>
      </w:r>
      <w:r w:rsidRPr="00546FCF">
        <w:rPr>
          <w:i/>
        </w:rPr>
        <w:t>CCR</w:t>
      </w:r>
      <w:r w:rsidRPr="007031CC">
        <w:t xml:space="preserve"> </w:t>
      </w:r>
      <w:r>
        <w:t xml:space="preserve">Section 11963.4(a). A summary of the criteria is provided in the </w:t>
      </w:r>
      <w:r w:rsidRPr="00A0798C">
        <w:t>table below</w:t>
      </w:r>
      <w:r>
        <w:t>:</w:t>
      </w:r>
    </w:p>
    <w:p w14:paraId="7DD81005" w14:textId="710F6B35" w:rsidR="005A72A8" w:rsidRPr="005A4CAF" w:rsidRDefault="002D3F6F" w:rsidP="00CA611C">
      <w:pPr>
        <w:pStyle w:val="Caption"/>
      </w:pPr>
      <w:bookmarkStart w:id="5" w:name="_Hlk130466142"/>
      <w:bookmarkStart w:id="6" w:name="_Hlk130466789"/>
      <w:r w:rsidRPr="005A72A8">
        <w:t>Nonclassroom-Based Instruction Funding Levels</w:t>
      </w:r>
    </w:p>
    <w:tbl>
      <w:tblPr>
        <w:tblStyle w:val="TableGrid1"/>
        <w:tblW w:w="9360" w:type="dxa"/>
        <w:tblLook w:val="04A0" w:firstRow="1" w:lastRow="0" w:firstColumn="1" w:lastColumn="0" w:noHBand="0" w:noVBand="1"/>
        <w:tblDescription w:val="Nonclassroom-Based Instruction Funding Levels"/>
      </w:tblPr>
      <w:tblGrid>
        <w:gridCol w:w="1800"/>
        <w:gridCol w:w="2880"/>
        <w:gridCol w:w="2880"/>
        <w:gridCol w:w="1800"/>
      </w:tblGrid>
      <w:tr w:rsidR="002D3F6F" w:rsidRPr="002D3F6F" w14:paraId="71ACD581" w14:textId="77777777" w:rsidTr="00062FBA">
        <w:trPr>
          <w:cantSplit/>
          <w:tblHeader/>
        </w:trPr>
        <w:tc>
          <w:tcPr>
            <w:tcW w:w="1800" w:type="dxa"/>
            <w:shd w:val="clear" w:color="auto" w:fill="D9D9D9" w:themeFill="background1" w:themeFillShade="D9"/>
            <w:vAlign w:val="center"/>
          </w:tcPr>
          <w:p w14:paraId="46B97423" w14:textId="77777777" w:rsidR="002D3F6F" w:rsidRPr="002D3F6F" w:rsidRDefault="002D3F6F" w:rsidP="002D3F6F">
            <w:pPr>
              <w:spacing w:before="0" w:after="0"/>
              <w:jc w:val="center"/>
              <w:rPr>
                <w:b/>
              </w:rPr>
            </w:pPr>
            <w:r w:rsidRPr="002D3F6F">
              <w:rPr>
                <w:b/>
              </w:rPr>
              <w:t>Funding Level</w:t>
            </w:r>
          </w:p>
        </w:tc>
        <w:tc>
          <w:tcPr>
            <w:tcW w:w="2880" w:type="dxa"/>
            <w:shd w:val="clear" w:color="auto" w:fill="D9D9D9" w:themeFill="background1" w:themeFillShade="D9"/>
            <w:vAlign w:val="center"/>
          </w:tcPr>
          <w:p w14:paraId="53A93AC1" w14:textId="4A4F6314" w:rsidR="002D3F6F" w:rsidRPr="002D3F6F" w:rsidRDefault="002D3F6F" w:rsidP="002D3F6F">
            <w:pPr>
              <w:spacing w:before="0" w:after="0"/>
              <w:jc w:val="center"/>
              <w:rPr>
                <w:b/>
              </w:rPr>
            </w:pPr>
            <w:r w:rsidRPr="002D3F6F">
              <w:rPr>
                <w:b/>
              </w:rPr>
              <w:t xml:space="preserve">Percentage </w:t>
            </w:r>
            <w:r w:rsidR="00EE1F52">
              <w:rPr>
                <w:b/>
              </w:rPr>
              <w:t xml:space="preserve">of Public Revenues </w:t>
            </w:r>
            <w:r w:rsidRPr="002D3F6F">
              <w:rPr>
                <w:b/>
              </w:rPr>
              <w:t xml:space="preserve">Spent on </w:t>
            </w:r>
            <w:r w:rsidR="006B64E7">
              <w:rPr>
                <w:b/>
              </w:rPr>
              <w:t xml:space="preserve">Instructional </w:t>
            </w:r>
            <w:r w:rsidRPr="002D3F6F">
              <w:rPr>
                <w:b/>
              </w:rPr>
              <w:t>Certificated Salaries and Benefits</w:t>
            </w:r>
          </w:p>
        </w:tc>
        <w:tc>
          <w:tcPr>
            <w:tcW w:w="2880" w:type="dxa"/>
            <w:shd w:val="clear" w:color="auto" w:fill="D9D9D9" w:themeFill="background1" w:themeFillShade="D9"/>
            <w:vAlign w:val="center"/>
          </w:tcPr>
          <w:p w14:paraId="1E3FE85D" w14:textId="1DEC4D27" w:rsidR="002D3F6F" w:rsidRPr="002D3F6F" w:rsidRDefault="002D3F6F" w:rsidP="002D3F6F">
            <w:pPr>
              <w:spacing w:before="0" w:after="0"/>
              <w:jc w:val="center"/>
              <w:rPr>
                <w:b/>
              </w:rPr>
            </w:pPr>
            <w:r w:rsidRPr="002D3F6F">
              <w:rPr>
                <w:b/>
              </w:rPr>
              <w:t xml:space="preserve">Percentage </w:t>
            </w:r>
            <w:r w:rsidR="00EE1F52">
              <w:rPr>
                <w:b/>
              </w:rPr>
              <w:t xml:space="preserve">of Total Revenues </w:t>
            </w:r>
            <w:r w:rsidRPr="002D3F6F">
              <w:rPr>
                <w:b/>
              </w:rPr>
              <w:t>Spent on Instruction and Related Services</w:t>
            </w:r>
          </w:p>
        </w:tc>
        <w:tc>
          <w:tcPr>
            <w:tcW w:w="1800" w:type="dxa"/>
            <w:shd w:val="clear" w:color="auto" w:fill="D9D9D9" w:themeFill="background1" w:themeFillShade="D9"/>
            <w:vAlign w:val="center"/>
          </w:tcPr>
          <w:p w14:paraId="14C200FE" w14:textId="77777777" w:rsidR="002D3F6F" w:rsidRPr="002D3F6F" w:rsidRDefault="002D3F6F" w:rsidP="002D3F6F">
            <w:pPr>
              <w:spacing w:before="0" w:after="0"/>
              <w:jc w:val="center"/>
              <w:rPr>
                <w:b/>
              </w:rPr>
            </w:pPr>
            <w:r w:rsidRPr="002D3F6F">
              <w:rPr>
                <w:b/>
              </w:rPr>
              <w:t>PTR</w:t>
            </w:r>
            <w:r w:rsidRPr="002D3F6F">
              <w:rPr>
                <w:b/>
                <w:vertAlign w:val="superscript"/>
              </w:rPr>
              <w:footnoteReference w:id="1"/>
            </w:r>
          </w:p>
        </w:tc>
      </w:tr>
      <w:tr w:rsidR="002D3F6F" w:rsidRPr="002D3F6F" w14:paraId="50866EDC" w14:textId="77777777" w:rsidTr="00062FBA">
        <w:trPr>
          <w:cantSplit/>
        </w:trPr>
        <w:tc>
          <w:tcPr>
            <w:tcW w:w="1800" w:type="dxa"/>
            <w:vAlign w:val="center"/>
          </w:tcPr>
          <w:p w14:paraId="0E87AFC6" w14:textId="77777777" w:rsidR="002D3F6F" w:rsidRPr="002D3F6F" w:rsidRDefault="002D3F6F" w:rsidP="002D3F6F">
            <w:pPr>
              <w:spacing w:before="0" w:after="0"/>
              <w:jc w:val="center"/>
              <w:rPr>
                <w:b/>
              </w:rPr>
            </w:pPr>
            <w:r w:rsidRPr="002D3F6F">
              <w:rPr>
                <w:b/>
              </w:rPr>
              <w:t>100%</w:t>
            </w:r>
          </w:p>
        </w:tc>
        <w:tc>
          <w:tcPr>
            <w:tcW w:w="2880" w:type="dxa"/>
            <w:vAlign w:val="center"/>
          </w:tcPr>
          <w:p w14:paraId="066F06CA" w14:textId="77777777" w:rsidR="002D3F6F" w:rsidRPr="002D3F6F" w:rsidRDefault="002D3F6F" w:rsidP="002D3F6F">
            <w:pPr>
              <w:spacing w:before="0" w:after="0"/>
              <w:jc w:val="center"/>
              <w:rPr>
                <w:b/>
              </w:rPr>
            </w:pPr>
            <w:r w:rsidRPr="002D3F6F">
              <w:rPr>
                <w:rFonts w:cs="Arial"/>
              </w:rPr>
              <w:t>≥ 40</w:t>
            </w:r>
          </w:p>
        </w:tc>
        <w:tc>
          <w:tcPr>
            <w:tcW w:w="2880" w:type="dxa"/>
            <w:vAlign w:val="center"/>
          </w:tcPr>
          <w:p w14:paraId="6C642E46" w14:textId="77777777" w:rsidR="002D3F6F" w:rsidRPr="002D3F6F" w:rsidRDefault="002D3F6F" w:rsidP="002D3F6F">
            <w:pPr>
              <w:spacing w:before="0" w:after="0"/>
              <w:jc w:val="center"/>
              <w:rPr>
                <w:b/>
              </w:rPr>
            </w:pPr>
            <w:r w:rsidRPr="002D3F6F">
              <w:rPr>
                <w:rFonts w:cs="Arial"/>
              </w:rPr>
              <w:t>≥ 80</w:t>
            </w:r>
          </w:p>
        </w:tc>
        <w:tc>
          <w:tcPr>
            <w:tcW w:w="1800" w:type="dxa"/>
            <w:vAlign w:val="center"/>
          </w:tcPr>
          <w:p w14:paraId="5A502ACA" w14:textId="77777777" w:rsidR="002D3F6F" w:rsidRPr="002D3F6F" w:rsidRDefault="002D3F6F" w:rsidP="002D3F6F">
            <w:pPr>
              <w:spacing w:before="0" w:after="0"/>
              <w:jc w:val="center"/>
            </w:pPr>
            <w:r w:rsidRPr="002D3F6F">
              <w:rPr>
                <w:rFonts w:cs="Arial"/>
              </w:rPr>
              <w:t>≤</w:t>
            </w:r>
            <w:r w:rsidRPr="002D3F6F">
              <w:t xml:space="preserve"> 25 to 1</w:t>
            </w:r>
          </w:p>
        </w:tc>
      </w:tr>
      <w:tr w:rsidR="002D3F6F" w:rsidRPr="002D3F6F" w14:paraId="1F9B63C0" w14:textId="77777777" w:rsidTr="00062FBA">
        <w:trPr>
          <w:cantSplit/>
        </w:trPr>
        <w:tc>
          <w:tcPr>
            <w:tcW w:w="1800" w:type="dxa"/>
            <w:vAlign w:val="center"/>
          </w:tcPr>
          <w:p w14:paraId="5057C1D7" w14:textId="77777777" w:rsidR="002D3F6F" w:rsidRPr="002D3F6F" w:rsidRDefault="002D3F6F" w:rsidP="002D3F6F">
            <w:pPr>
              <w:spacing w:before="0" w:after="0"/>
              <w:jc w:val="center"/>
              <w:rPr>
                <w:b/>
              </w:rPr>
            </w:pPr>
            <w:r w:rsidRPr="002D3F6F">
              <w:rPr>
                <w:b/>
              </w:rPr>
              <w:t>85%</w:t>
            </w:r>
          </w:p>
        </w:tc>
        <w:tc>
          <w:tcPr>
            <w:tcW w:w="2880" w:type="dxa"/>
            <w:vAlign w:val="center"/>
          </w:tcPr>
          <w:p w14:paraId="51B43FBA" w14:textId="77777777" w:rsidR="002D3F6F" w:rsidRPr="002D3F6F" w:rsidRDefault="002D3F6F" w:rsidP="002D3F6F">
            <w:pPr>
              <w:spacing w:before="0" w:after="0"/>
              <w:jc w:val="center"/>
            </w:pPr>
            <w:r w:rsidRPr="002D3F6F">
              <w:rPr>
                <w:rFonts w:cs="Arial"/>
              </w:rPr>
              <w:t>≥ 40</w:t>
            </w:r>
          </w:p>
        </w:tc>
        <w:tc>
          <w:tcPr>
            <w:tcW w:w="2880" w:type="dxa"/>
            <w:vAlign w:val="center"/>
          </w:tcPr>
          <w:p w14:paraId="0AFDAE9F" w14:textId="77777777" w:rsidR="002D3F6F" w:rsidRPr="002D3F6F" w:rsidRDefault="002D3F6F" w:rsidP="002D3F6F">
            <w:pPr>
              <w:spacing w:before="0" w:after="0"/>
              <w:jc w:val="center"/>
            </w:pPr>
            <w:r w:rsidRPr="002D3F6F">
              <w:rPr>
                <w:rFonts w:cs="Arial"/>
              </w:rPr>
              <w:t>≥ 70</w:t>
            </w:r>
          </w:p>
        </w:tc>
        <w:tc>
          <w:tcPr>
            <w:tcW w:w="1800" w:type="dxa"/>
            <w:vAlign w:val="center"/>
          </w:tcPr>
          <w:p w14:paraId="4120BA64" w14:textId="3F0E01D3" w:rsidR="002D3F6F" w:rsidRPr="002D3F6F" w:rsidRDefault="005A4CAF" w:rsidP="002D3F6F">
            <w:pPr>
              <w:spacing w:before="0" w:after="0"/>
              <w:jc w:val="center"/>
            </w:pPr>
            <w:r>
              <w:t>Not Applicable</w:t>
            </w:r>
          </w:p>
        </w:tc>
      </w:tr>
      <w:tr w:rsidR="002D3F6F" w:rsidRPr="002D3F6F" w14:paraId="49638D55" w14:textId="77777777" w:rsidTr="00062FBA">
        <w:trPr>
          <w:cantSplit/>
        </w:trPr>
        <w:tc>
          <w:tcPr>
            <w:tcW w:w="1800" w:type="dxa"/>
            <w:vAlign w:val="center"/>
          </w:tcPr>
          <w:p w14:paraId="274E72ED" w14:textId="77777777" w:rsidR="002D3F6F" w:rsidRPr="002D3F6F" w:rsidRDefault="002D3F6F" w:rsidP="002D3F6F">
            <w:pPr>
              <w:spacing w:before="0" w:after="0"/>
              <w:jc w:val="center"/>
              <w:rPr>
                <w:b/>
              </w:rPr>
            </w:pPr>
            <w:r w:rsidRPr="002D3F6F">
              <w:rPr>
                <w:b/>
              </w:rPr>
              <w:t>70%</w:t>
            </w:r>
          </w:p>
        </w:tc>
        <w:tc>
          <w:tcPr>
            <w:tcW w:w="2880" w:type="dxa"/>
            <w:vAlign w:val="center"/>
          </w:tcPr>
          <w:p w14:paraId="079BAE17" w14:textId="77777777" w:rsidR="002D3F6F" w:rsidRPr="002D3F6F" w:rsidRDefault="002D3F6F" w:rsidP="002D3F6F">
            <w:pPr>
              <w:spacing w:before="0" w:after="0"/>
              <w:jc w:val="center"/>
            </w:pPr>
            <w:r w:rsidRPr="002D3F6F">
              <w:rPr>
                <w:rFonts w:cs="Arial"/>
              </w:rPr>
              <w:t>≥ 35</w:t>
            </w:r>
          </w:p>
        </w:tc>
        <w:tc>
          <w:tcPr>
            <w:tcW w:w="2880" w:type="dxa"/>
            <w:vAlign w:val="center"/>
          </w:tcPr>
          <w:p w14:paraId="7A726079" w14:textId="77777777" w:rsidR="002D3F6F" w:rsidRPr="002D3F6F" w:rsidRDefault="002D3F6F" w:rsidP="002D3F6F">
            <w:pPr>
              <w:spacing w:before="0" w:after="0"/>
              <w:jc w:val="center"/>
            </w:pPr>
            <w:r w:rsidRPr="002D3F6F">
              <w:rPr>
                <w:rFonts w:cs="Arial"/>
              </w:rPr>
              <w:t>≥ 60</w:t>
            </w:r>
          </w:p>
        </w:tc>
        <w:tc>
          <w:tcPr>
            <w:tcW w:w="1800" w:type="dxa"/>
            <w:vAlign w:val="center"/>
          </w:tcPr>
          <w:p w14:paraId="10EC0409" w14:textId="342B52F0" w:rsidR="002D3F6F" w:rsidRPr="002D3F6F" w:rsidRDefault="005A4CAF" w:rsidP="002D3F6F">
            <w:pPr>
              <w:spacing w:before="0" w:after="0"/>
              <w:jc w:val="center"/>
            </w:pPr>
            <w:r>
              <w:t>Not Applicable</w:t>
            </w:r>
          </w:p>
        </w:tc>
      </w:tr>
      <w:tr w:rsidR="002D3F6F" w:rsidRPr="002D3F6F" w14:paraId="64F4521C" w14:textId="77777777" w:rsidTr="00062FBA">
        <w:trPr>
          <w:cantSplit/>
        </w:trPr>
        <w:tc>
          <w:tcPr>
            <w:tcW w:w="1800" w:type="dxa"/>
            <w:vAlign w:val="center"/>
          </w:tcPr>
          <w:p w14:paraId="0B31DB56" w14:textId="77777777" w:rsidR="002D3F6F" w:rsidRPr="002D3F6F" w:rsidRDefault="002D3F6F" w:rsidP="002D3F6F">
            <w:pPr>
              <w:spacing w:before="0" w:after="0"/>
              <w:jc w:val="center"/>
              <w:rPr>
                <w:b/>
              </w:rPr>
            </w:pPr>
            <w:r w:rsidRPr="002D3F6F">
              <w:rPr>
                <w:b/>
              </w:rPr>
              <w:t>0%</w:t>
            </w:r>
          </w:p>
        </w:tc>
        <w:tc>
          <w:tcPr>
            <w:tcW w:w="2880" w:type="dxa"/>
            <w:vAlign w:val="center"/>
          </w:tcPr>
          <w:p w14:paraId="12B82379" w14:textId="77777777" w:rsidR="002D3F6F" w:rsidRPr="002D3F6F" w:rsidRDefault="002D3F6F" w:rsidP="002D3F6F">
            <w:pPr>
              <w:spacing w:before="0" w:after="0"/>
              <w:jc w:val="center"/>
            </w:pPr>
            <w:r w:rsidRPr="002D3F6F">
              <w:rPr>
                <w:rFonts w:cs="Arial"/>
              </w:rPr>
              <w:t>&lt;</w:t>
            </w:r>
            <w:r w:rsidRPr="002D3F6F">
              <w:t xml:space="preserve"> 35</w:t>
            </w:r>
          </w:p>
        </w:tc>
        <w:tc>
          <w:tcPr>
            <w:tcW w:w="2880" w:type="dxa"/>
            <w:vAlign w:val="center"/>
          </w:tcPr>
          <w:p w14:paraId="3D359965" w14:textId="77777777" w:rsidR="002D3F6F" w:rsidRPr="002D3F6F" w:rsidRDefault="002D3F6F" w:rsidP="002D3F6F">
            <w:pPr>
              <w:spacing w:before="0" w:after="0"/>
              <w:jc w:val="center"/>
            </w:pPr>
            <w:r w:rsidRPr="002D3F6F">
              <w:rPr>
                <w:rFonts w:cs="Arial"/>
              </w:rPr>
              <w:t>&lt; 60</w:t>
            </w:r>
          </w:p>
        </w:tc>
        <w:tc>
          <w:tcPr>
            <w:tcW w:w="1800" w:type="dxa"/>
            <w:vAlign w:val="center"/>
          </w:tcPr>
          <w:p w14:paraId="4C4A999F" w14:textId="2DEFFA4E" w:rsidR="002D3F6F" w:rsidRPr="002D3F6F" w:rsidRDefault="005A4CAF" w:rsidP="002D3F6F">
            <w:pPr>
              <w:spacing w:before="0" w:after="0"/>
              <w:jc w:val="center"/>
            </w:pPr>
            <w:r>
              <w:t>Not Applicable</w:t>
            </w:r>
          </w:p>
        </w:tc>
      </w:tr>
    </w:tbl>
    <w:bookmarkEnd w:id="5"/>
    <w:bookmarkEnd w:id="6"/>
    <w:p w14:paraId="3FC92F6B" w14:textId="77777777" w:rsidR="00CA611C" w:rsidRPr="00CA611C" w:rsidRDefault="00CA611C" w:rsidP="00CA611C">
      <w:pPr>
        <w:pStyle w:val="Heading2"/>
      </w:pPr>
      <w:r w:rsidRPr="00CA611C">
        <w:t>Reconsideration of a Funding Determination</w:t>
      </w:r>
    </w:p>
    <w:p w14:paraId="242CE1A2" w14:textId="0B1D2C03" w:rsidR="00CA611C" w:rsidRPr="00CA611C" w:rsidRDefault="00CA611C" w:rsidP="00CA611C">
      <w:pPr>
        <w:rPr>
          <w:rFonts w:cs="Arial"/>
        </w:rPr>
      </w:pPr>
      <w:r w:rsidRPr="00CA611C">
        <w:rPr>
          <w:rFonts w:cs="Arial"/>
        </w:rPr>
        <w:t xml:space="preserve">Pursuant to </w:t>
      </w:r>
      <w:r w:rsidRPr="00CA611C">
        <w:rPr>
          <w:rFonts w:cs="Arial"/>
          <w:i/>
        </w:rPr>
        <w:t>5 CCR</w:t>
      </w:r>
      <w:r w:rsidRPr="00CA611C">
        <w:rPr>
          <w:rFonts w:cs="Arial"/>
        </w:rPr>
        <w:t xml:space="preserve"> Section 11963.6(g), if, during the effective period of its funding determination, a charter school wishes to seek a higher or lower determination of funding, it shall do so by the filing of a new determination of funding request for consideration by the SBE. A charter school may only submit one reconsideration request per fiscal year. If approved by the SBE, the reconsideration request would replace the determination of funding then in effect. A charter school may not request a change to the number of years that the funding determination is active, only the amount of funding received. A denial of a charter school’s reconsideration request would mean that the charter school’s current </w:t>
      </w:r>
      <w:r>
        <w:rPr>
          <w:rFonts w:cs="Arial"/>
        </w:rPr>
        <w:t>funding determination</w:t>
      </w:r>
      <w:r w:rsidRPr="00CA611C">
        <w:rPr>
          <w:rFonts w:cs="Arial"/>
        </w:rPr>
        <w:t xml:space="preserve"> remains in effect with no change.</w:t>
      </w:r>
    </w:p>
    <w:p w14:paraId="664219FB" w14:textId="0114186F" w:rsidR="00A65D63" w:rsidRDefault="005127CE" w:rsidP="00163564">
      <w:pPr>
        <w:pStyle w:val="Heading2"/>
      </w:pPr>
      <w:r w:rsidRPr="00163564">
        <w:lastRenderedPageBreak/>
        <w:t xml:space="preserve">Review </w:t>
      </w:r>
      <w:r w:rsidR="00DA7309" w:rsidRPr="00163564">
        <w:t>of</w:t>
      </w:r>
      <w:r w:rsidR="00A65D63" w:rsidRPr="00163564">
        <w:t xml:space="preserve"> </w:t>
      </w:r>
      <w:r w:rsidR="00546FCF" w:rsidRPr="00163564">
        <w:t>Funding Determination Request</w:t>
      </w:r>
    </w:p>
    <w:p w14:paraId="4E93AF35" w14:textId="1FA66EC4" w:rsidR="00505819" w:rsidRPr="00505819" w:rsidRDefault="00A25823" w:rsidP="00505819">
      <w:pPr>
        <w:pStyle w:val="Heading3"/>
      </w:pPr>
      <w:r>
        <w:t>Santa Rosa Academy</w:t>
      </w:r>
      <w:r w:rsidR="00505819" w:rsidRPr="00505819">
        <w:t xml:space="preserve"> (Charter </w:t>
      </w:r>
      <w:r w:rsidR="004B535B">
        <w:t xml:space="preserve">Number </w:t>
      </w:r>
      <w:r w:rsidR="00505819" w:rsidRPr="00505819">
        <w:t>0</w:t>
      </w:r>
      <w:r>
        <w:t>730</w:t>
      </w:r>
      <w:r w:rsidR="00505819" w:rsidRPr="00505819">
        <w:t>)</w:t>
      </w:r>
    </w:p>
    <w:p w14:paraId="12B56584" w14:textId="1BE978F5" w:rsidR="00505819" w:rsidRPr="00505819" w:rsidRDefault="00505819" w:rsidP="00505819">
      <w:pPr>
        <w:pStyle w:val="Heading4"/>
      </w:pPr>
      <w:r w:rsidRPr="00505819">
        <w:t>Previous Request</w:t>
      </w:r>
    </w:p>
    <w:p w14:paraId="54042396" w14:textId="130F683B" w:rsidR="00505819" w:rsidRDefault="00505819" w:rsidP="00505819">
      <w:pPr>
        <w:rPr>
          <w:rFonts w:cs="Arial"/>
        </w:rPr>
      </w:pPr>
      <w:r w:rsidRPr="00505819">
        <w:rPr>
          <w:rFonts w:cs="Arial"/>
        </w:rPr>
        <w:t xml:space="preserve">At its May 2024 meeting, the SBE approved a </w:t>
      </w:r>
      <w:r w:rsidR="00FC7F3C">
        <w:rPr>
          <w:rFonts w:cs="Arial"/>
        </w:rPr>
        <w:t>determination of funding request from</w:t>
      </w:r>
      <w:r w:rsidRPr="00505819">
        <w:rPr>
          <w:rFonts w:cs="Arial"/>
        </w:rPr>
        <w:t xml:space="preserve"> </w:t>
      </w:r>
      <w:r w:rsidR="00BC0849">
        <w:rPr>
          <w:rFonts w:cs="Arial"/>
        </w:rPr>
        <w:t>Santa Rosa Academy</w:t>
      </w:r>
      <w:r w:rsidRPr="00505819">
        <w:rPr>
          <w:rFonts w:cs="Arial"/>
        </w:rPr>
        <w:t xml:space="preserve"> </w:t>
      </w:r>
      <w:r w:rsidR="00A30C55">
        <w:rPr>
          <w:rFonts w:cs="Arial"/>
        </w:rPr>
        <w:t>for</w:t>
      </w:r>
      <w:r w:rsidR="00E639F0">
        <w:rPr>
          <w:rFonts w:cs="Arial"/>
        </w:rPr>
        <w:t xml:space="preserve"> its requested funding level of</w:t>
      </w:r>
      <w:r w:rsidRPr="00505819">
        <w:rPr>
          <w:rFonts w:cs="Arial"/>
        </w:rPr>
        <w:t xml:space="preserve"> </w:t>
      </w:r>
      <w:r w:rsidR="00E23C44">
        <w:rPr>
          <w:rFonts w:cs="Arial"/>
        </w:rPr>
        <w:t>70</w:t>
      </w:r>
      <w:r w:rsidRPr="00505819">
        <w:rPr>
          <w:rFonts w:cs="Arial"/>
        </w:rPr>
        <w:t xml:space="preserve"> percent for FY 2024‒25 through FY 2025‒26, as the charter school’s reported FY 2022–23 financial data demonstrated that it met the requirements for </w:t>
      </w:r>
      <w:r w:rsidR="00E23C44">
        <w:rPr>
          <w:rFonts w:cs="Arial"/>
        </w:rPr>
        <w:t>70</w:t>
      </w:r>
      <w:r w:rsidRPr="00505819">
        <w:rPr>
          <w:rFonts w:cs="Arial"/>
        </w:rPr>
        <w:t xml:space="preserve"> percent funding for its NCB instruction.</w:t>
      </w:r>
    </w:p>
    <w:p w14:paraId="31DE8E6F" w14:textId="79C79067" w:rsidR="002E5985" w:rsidRPr="00505819" w:rsidRDefault="002E5985" w:rsidP="002E5985">
      <w:pPr>
        <w:pStyle w:val="Caption"/>
      </w:pPr>
      <w:r>
        <w:t>Santa Rosa Academy</w:t>
      </w:r>
      <w:r w:rsidRPr="00505819">
        <w:t xml:space="preserve"> Nonclassroom-Based Instruction Funding Qualification</w:t>
      </w:r>
      <w:r>
        <w:t xml:space="preserve"> for Previous Request</w:t>
      </w:r>
    </w:p>
    <w:tbl>
      <w:tblPr>
        <w:tblStyle w:val="TableGrid"/>
        <w:tblW w:w="9288" w:type="dxa"/>
        <w:tblLook w:val="04A0" w:firstRow="1" w:lastRow="0" w:firstColumn="1" w:lastColumn="0" w:noHBand="0" w:noVBand="1"/>
        <w:tblDescription w:val="Santa Rosa Academy Nonclassroom-Based Instruction Funding Qualification for Previous Request"/>
      </w:tblPr>
      <w:tblGrid>
        <w:gridCol w:w="2155"/>
        <w:gridCol w:w="2700"/>
        <w:gridCol w:w="2610"/>
        <w:gridCol w:w="1823"/>
      </w:tblGrid>
      <w:tr w:rsidR="00166D94" w:rsidRPr="00505819" w14:paraId="7A583558" w14:textId="77777777" w:rsidTr="00575133">
        <w:trPr>
          <w:cantSplit/>
          <w:tblHeader/>
        </w:trPr>
        <w:tc>
          <w:tcPr>
            <w:tcW w:w="2155" w:type="dxa"/>
            <w:shd w:val="clear" w:color="auto" w:fill="D9D9D9" w:themeFill="background1" w:themeFillShade="D9"/>
            <w:vAlign w:val="center"/>
          </w:tcPr>
          <w:p w14:paraId="66E5453A" w14:textId="77777777" w:rsidR="00166D94" w:rsidRPr="00505819" w:rsidRDefault="00166D94" w:rsidP="00575133">
            <w:pPr>
              <w:spacing w:before="0" w:after="0"/>
              <w:jc w:val="center"/>
              <w:rPr>
                <w:rFonts w:cs="Arial"/>
                <w:b/>
              </w:rPr>
            </w:pPr>
            <w:r w:rsidRPr="00505819">
              <w:rPr>
                <w:rFonts w:cs="Arial"/>
                <w:b/>
              </w:rPr>
              <w:t>Criteria</w:t>
            </w:r>
          </w:p>
        </w:tc>
        <w:tc>
          <w:tcPr>
            <w:tcW w:w="2700" w:type="dxa"/>
            <w:shd w:val="clear" w:color="auto" w:fill="D9D9D9" w:themeFill="background1" w:themeFillShade="D9"/>
            <w:vAlign w:val="center"/>
          </w:tcPr>
          <w:p w14:paraId="049DC1AD" w14:textId="1315DB1A" w:rsidR="00166D94" w:rsidRPr="00505819" w:rsidRDefault="006B64E7" w:rsidP="00575133">
            <w:pPr>
              <w:spacing w:before="0" w:after="0"/>
              <w:jc w:val="center"/>
              <w:rPr>
                <w:rFonts w:cs="Arial"/>
                <w:b/>
              </w:rPr>
            </w:pPr>
            <w:r w:rsidRPr="002D3F6F">
              <w:rPr>
                <w:b/>
              </w:rPr>
              <w:t xml:space="preserve">Percentage </w:t>
            </w:r>
            <w:r>
              <w:rPr>
                <w:b/>
              </w:rPr>
              <w:t xml:space="preserve">of Public Revenues </w:t>
            </w:r>
            <w:r w:rsidRPr="002D3F6F">
              <w:rPr>
                <w:b/>
              </w:rPr>
              <w:t xml:space="preserve">Spent on </w:t>
            </w:r>
            <w:r>
              <w:rPr>
                <w:b/>
              </w:rPr>
              <w:t xml:space="preserve">Instructional </w:t>
            </w:r>
            <w:r w:rsidRPr="002D3F6F">
              <w:rPr>
                <w:b/>
              </w:rPr>
              <w:t>Certificated Salaries and Benefits</w:t>
            </w:r>
          </w:p>
        </w:tc>
        <w:tc>
          <w:tcPr>
            <w:tcW w:w="2610" w:type="dxa"/>
            <w:shd w:val="clear" w:color="auto" w:fill="D9D9D9" w:themeFill="background1" w:themeFillShade="D9"/>
            <w:vAlign w:val="center"/>
          </w:tcPr>
          <w:p w14:paraId="331BCA23" w14:textId="36F64B6A" w:rsidR="00166D94" w:rsidRPr="00505819" w:rsidRDefault="00166D94" w:rsidP="00575133">
            <w:pPr>
              <w:spacing w:before="0" w:after="0"/>
              <w:jc w:val="center"/>
              <w:rPr>
                <w:rFonts w:cs="Arial"/>
                <w:b/>
              </w:rPr>
            </w:pPr>
            <w:r w:rsidRPr="00505819">
              <w:rPr>
                <w:rFonts w:cs="Arial"/>
                <w:b/>
              </w:rPr>
              <w:t>Percentage</w:t>
            </w:r>
            <w:r w:rsidR="006B64E7">
              <w:rPr>
                <w:rFonts w:cs="Arial"/>
                <w:b/>
              </w:rPr>
              <w:t xml:space="preserve"> of Total Revenues</w:t>
            </w:r>
            <w:r w:rsidRPr="00505819">
              <w:rPr>
                <w:rFonts w:cs="Arial"/>
                <w:b/>
              </w:rPr>
              <w:t xml:space="preserve"> Spent on Instruction and Related Services</w:t>
            </w:r>
          </w:p>
        </w:tc>
        <w:tc>
          <w:tcPr>
            <w:tcW w:w="1823" w:type="dxa"/>
            <w:shd w:val="clear" w:color="auto" w:fill="D9D9D9" w:themeFill="background1" w:themeFillShade="D9"/>
            <w:vAlign w:val="center"/>
          </w:tcPr>
          <w:p w14:paraId="4C2674B6" w14:textId="77777777" w:rsidR="00166D94" w:rsidRPr="00505819" w:rsidRDefault="00166D94" w:rsidP="00575133">
            <w:pPr>
              <w:spacing w:before="0" w:after="0"/>
              <w:jc w:val="center"/>
              <w:rPr>
                <w:rFonts w:cs="Arial"/>
                <w:b/>
              </w:rPr>
            </w:pPr>
            <w:r w:rsidRPr="00505819">
              <w:rPr>
                <w:rFonts w:cs="Arial"/>
                <w:b/>
              </w:rPr>
              <w:t>PTR</w:t>
            </w:r>
          </w:p>
        </w:tc>
      </w:tr>
      <w:tr w:rsidR="00166D94" w:rsidRPr="00505819" w14:paraId="35E82445" w14:textId="77777777" w:rsidTr="00575133">
        <w:trPr>
          <w:cantSplit/>
        </w:trPr>
        <w:tc>
          <w:tcPr>
            <w:tcW w:w="2155" w:type="dxa"/>
            <w:vAlign w:val="center"/>
          </w:tcPr>
          <w:p w14:paraId="250358E5" w14:textId="77777777" w:rsidR="00166D94" w:rsidRPr="00505819" w:rsidRDefault="00166D94" w:rsidP="00575133">
            <w:pPr>
              <w:spacing w:before="0" w:after="0"/>
              <w:rPr>
                <w:rFonts w:cs="Arial"/>
                <w:b/>
              </w:rPr>
            </w:pPr>
            <w:r w:rsidRPr="00505819">
              <w:rPr>
                <w:rFonts w:cs="Arial"/>
                <w:b/>
              </w:rPr>
              <w:t>100 Percent</w:t>
            </w:r>
          </w:p>
        </w:tc>
        <w:tc>
          <w:tcPr>
            <w:tcW w:w="2700" w:type="dxa"/>
            <w:vAlign w:val="center"/>
          </w:tcPr>
          <w:p w14:paraId="0C7620A3" w14:textId="77777777" w:rsidR="00166D94" w:rsidRPr="00505819" w:rsidRDefault="00166D94" w:rsidP="00575133">
            <w:pPr>
              <w:spacing w:before="0" w:after="0"/>
              <w:jc w:val="center"/>
              <w:rPr>
                <w:rFonts w:cs="Arial"/>
              </w:rPr>
            </w:pPr>
            <w:r w:rsidRPr="00505819">
              <w:rPr>
                <w:rFonts w:cs="Arial"/>
              </w:rPr>
              <w:t>≥ 40</w:t>
            </w:r>
          </w:p>
        </w:tc>
        <w:tc>
          <w:tcPr>
            <w:tcW w:w="2610" w:type="dxa"/>
            <w:vAlign w:val="center"/>
          </w:tcPr>
          <w:p w14:paraId="2ACEBFB8" w14:textId="77777777" w:rsidR="00166D94" w:rsidRPr="00505819" w:rsidRDefault="00166D94" w:rsidP="00575133">
            <w:pPr>
              <w:spacing w:before="0" w:after="0"/>
              <w:jc w:val="center"/>
              <w:rPr>
                <w:rFonts w:cs="Arial"/>
              </w:rPr>
            </w:pPr>
            <w:r w:rsidRPr="00505819">
              <w:rPr>
                <w:rFonts w:cs="Arial"/>
              </w:rPr>
              <w:t>≥ 80</w:t>
            </w:r>
          </w:p>
        </w:tc>
        <w:tc>
          <w:tcPr>
            <w:tcW w:w="1823" w:type="dxa"/>
            <w:vAlign w:val="center"/>
          </w:tcPr>
          <w:p w14:paraId="589DB9A7" w14:textId="77777777" w:rsidR="00166D94" w:rsidRPr="00505819" w:rsidRDefault="00166D94" w:rsidP="00575133">
            <w:pPr>
              <w:spacing w:before="0" w:after="0"/>
              <w:jc w:val="center"/>
              <w:rPr>
                <w:rFonts w:cs="Arial"/>
              </w:rPr>
            </w:pPr>
            <w:r w:rsidRPr="00505819">
              <w:rPr>
                <w:rFonts w:cs="Arial"/>
              </w:rPr>
              <w:t>≤ 25 to 1</w:t>
            </w:r>
          </w:p>
        </w:tc>
      </w:tr>
      <w:tr w:rsidR="00166D94" w:rsidRPr="00505819" w14:paraId="0C13B2CD" w14:textId="77777777" w:rsidTr="00575133">
        <w:trPr>
          <w:cantSplit/>
        </w:trPr>
        <w:tc>
          <w:tcPr>
            <w:tcW w:w="2155" w:type="dxa"/>
            <w:vAlign w:val="center"/>
          </w:tcPr>
          <w:p w14:paraId="25C4346C" w14:textId="77777777" w:rsidR="00166D94" w:rsidRPr="00505819" w:rsidRDefault="00166D94" w:rsidP="00575133">
            <w:pPr>
              <w:spacing w:before="0" w:after="0"/>
              <w:rPr>
                <w:rFonts w:cs="Arial"/>
                <w:b/>
              </w:rPr>
            </w:pPr>
            <w:r w:rsidRPr="00505819">
              <w:rPr>
                <w:rFonts w:cs="Arial"/>
                <w:b/>
              </w:rPr>
              <w:t>85 Percent</w:t>
            </w:r>
          </w:p>
        </w:tc>
        <w:tc>
          <w:tcPr>
            <w:tcW w:w="2700" w:type="dxa"/>
            <w:vAlign w:val="center"/>
          </w:tcPr>
          <w:p w14:paraId="731BE667" w14:textId="77777777" w:rsidR="00166D94" w:rsidRPr="00505819" w:rsidRDefault="00166D94" w:rsidP="00575133">
            <w:pPr>
              <w:spacing w:before="0" w:after="0"/>
              <w:jc w:val="center"/>
              <w:rPr>
                <w:rFonts w:cs="Arial"/>
              </w:rPr>
            </w:pPr>
            <w:r w:rsidRPr="00505819">
              <w:rPr>
                <w:rFonts w:cs="Arial"/>
              </w:rPr>
              <w:t>≥ 40</w:t>
            </w:r>
          </w:p>
        </w:tc>
        <w:tc>
          <w:tcPr>
            <w:tcW w:w="2610" w:type="dxa"/>
            <w:vAlign w:val="center"/>
          </w:tcPr>
          <w:p w14:paraId="1062EF16" w14:textId="77777777" w:rsidR="00166D94" w:rsidRPr="00505819" w:rsidRDefault="00166D94" w:rsidP="00575133">
            <w:pPr>
              <w:spacing w:before="0" w:after="0"/>
              <w:jc w:val="center"/>
              <w:rPr>
                <w:rFonts w:cs="Arial"/>
              </w:rPr>
            </w:pPr>
            <w:r w:rsidRPr="00505819">
              <w:rPr>
                <w:rFonts w:cs="Arial"/>
              </w:rPr>
              <w:t>≥ 70</w:t>
            </w:r>
          </w:p>
        </w:tc>
        <w:tc>
          <w:tcPr>
            <w:tcW w:w="1823" w:type="dxa"/>
            <w:vAlign w:val="center"/>
          </w:tcPr>
          <w:p w14:paraId="3E7AE799" w14:textId="77777777" w:rsidR="00166D94" w:rsidRPr="00505819" w:rsidRDefault="00166D94" w:rsidP="00575133">
            <w:pPr>
              <w:spacing w:before="0" w:after="0"/>
              <w:jc w:val="center"/>
              <w:rPr>
                <w:rFonts w:cs="Arial"/>
              </w:rPr>
            </w:pPr>
            <w:r w:rsidRPr="00505819">
              <w:rPr>
                <w:rFonts w:cs="Arial"/>
              </w:rPr>
              <w:t>Not Applicable</w:t>
            </w:r>
          </w:p>
        </w:tc>
      </w:tr>
      <w:tr w:rsidR="00166D94" w:rsidRPr="00505819" w14:paraId="1E06C186" w14:textId="77777777" w:rsidTr="00575133">
        <w:trPr>
          <w:cantSplit/>
        </w:trPr>
        <w:tc>
          <w:tcPr>
            <w:tcW w:w="2155" w:type="dxa"/>
            <w:vAlign w:val="center"/>
          </w:tcPr>
          <w:p w14:paraId="6ABF0A42" w14:textId="77777777" w:rsidR="00166D94" w:rsidRPr="00505819" w:rsidRDefault="00166D94" w:rsidP="00575133">
            <w:pPr>
              <w:spacing w:before="0" w:after="0"/>
              <w:rPr>
                <w:rFonts w:cs="Arial"/>
                <w:b/>
              </w:rPr>
            </w:pPr>
            <w:r w:rsidRPr="00505819">
              <w:rPr>
                <w:rFonts w:cs="Arial"/>
                <w:b/>
              </w:rPr>
              <w:t>70 Percent</w:t>
            </w:r>
          </w:p>
        </w:tc>
        <w:tc>
          <w:tcPr>
            <w:tcW w:w="2700" w:type="dxa"/>
            <w:vAlign w:val="center"/>
          </w:tcPr>
          <w:p w14:paraId="3DF97120" w14:textId="77777777" w:rsidR="00166D94" w:rsidRPr="00505819" w:rsidRDefault="00166D94" w:rsidP="00575133">
            <w:pPr>
              <w:spacing w:before="0" w:after="0"/>
              <w:jc w:val="center"/>
              <w:rPr>
                <w:rFonts w:cs="Arial"/>
              </w:rPr>
            </w:pPr>
            <w:r w:rsidRPr="00505819">
              <w:rPr>
                <w:rFonts w:cs="Arial"/>
              </w:rPr>
              <w:t>≥ 35</w:t>
            </w:r>
          </w:p>
        </w:tc>
        <w:tc>
          <w:tcPr>
            <w:tcW w:w="2610" w:type="dxa"/>
            <w:vAlign w:val="center"/>
          </w:tcPr>
          <w:p w14:paraId="2575A8BA" w14:textId="77777777" w:rsidR="00166D94" w:rsidRPr="00505819" w:rsidRDefault="00166D94" w:rsidP="00575133">
            <w:pPr>
              <w:spacing w:before="0" w:after="0"/>
              <w:jc w:val="center"/>
              <w:rPr>
                <w:rFonts w:cs="Arial"/>
              </w:rPr>
            </w:pPr>
            <w:r w:rsidRPr="00505819">
              <w:rPr>
                <w:rFonts w:cs="Arial"/>
              </w:rPr>
              <w:t>≥ 60</w:t>
            </w:r>
          </w:p>
        </w:tc>
        <w:tc>
          <w:tcPr>
            <w:tcW w:w="1823" w:type="dxa"/>
            <w:vAlign w:val="center"/>
          </w:tcPr>
          <w:p w14:paraId="2DD6A1B7" w14:textId="77777777" w:rsidR="00166D94" w:rsidRPr="00505819" w:rsidRDefault="00166D94" w:rsidP="00575133">
            <w:pPr>
              <w:spacing w:before="0" w:after="0"/>
              <w:jc w:val="center"/>
              <w:rPr>
                <w:rFonts w:cs="Arial"/>
              </w:rPr>
            </w:pPr>
            <w:r w:rsidRPr="00505819">
              <w:rPr>
                <w:rFonts w:cs="Arial"/>
              </w:rPr>
              <w:t>Not Applicable</w:t>
            </w:r>
          </w:p>
        </w:tc>
      </w:tr>
      <w:tr w:rsidR="00166D94" w:rsidRPr="00505819" w14:paraId="6B34BA29" w14:textId="77777777" w:rsidTr="00575133">
        <w:trPr>
          <w:cantSplit/>
        </w:trPr>
        <w:tc>
          <w:tcPr>
            <w:tcW w:w="2155" w:type="dxa"/>
            <w:vAlign w:val="center"/>
          </w:tcPr>
          <w:p w14:paraId="043AF592" w14:textId="77777777" w:rsidR="00166D94" w:rsidRPr="00505819" w:rsidRDefault="00166D94" w:rsidP="00575133">
            <w:pPr>
              <w:spacing w:before="0" w:after="0"/>
              <w:rPr>
                <w:rFonts w:cs="Arial"/>
                <w:b/>
              </w:rPr>
            </w:pPr>
            <w:r w:rsidRPr="00505819">
              <w:rPr>
                <w:rFonts w:cs="Arial"/>
                <w:b/>
              </w:rPr>
              <w:t>Charter School</w:t>
            </w:r>
          </w:p>
        </w:tc>
        <w:tc>
          <w:tcPr>
            <w:tcW w:w="2700" w:type="dxa"/>
            <w:vAlign w:val="center"/>
          </w:tcPr>
          <w:p w14:paraId="64EB84E1" w14:textId="77B523D4" w:rsidR="00166D94" w:rsidRPr="00505819" w:rsidRDefault="00166D94" w:rsidP="00575133">
            <w:pPr>
              <w:spacing w:before="0" w:after="0"/>
              <w:jc w:val="center"/>
              <w:rPr>
                <w:rFonts w:cs="Arial"/>
              </w:rPr>
            </w:pPr>
            <w:r w:rsidRPr="00505819">
              <w:rPr>
                <w:rFonts w:cs="Arial"/>
              </w:rPr>
              <w:t>4</w:t>
            </w:r>
            <w:r w:rsidR="006F39B7">
              <w:rPr>
                <w:rFonts w:cs="Arial"/>
              </w:rPr>
              <w:t>2.01</w:t>
            </w:r>
          </w:p>
        </w:tc>
        <w:tc>
          <w:tcPr>
            <w:tcW w:w="2610" w:type="dxa"/>
            <w:vAlign w:val="center"/>
          </w:tcPr>
          <w:p w14:paraId="3A559756" w14:textId="1EC52F26" w:rsidR="00166D94" w:rsidRPr="00505819" w:rsidRDefault="006F39B7" w:rsidP="00575133">
            <w:pPr>
              <w:spacing w:before="0" w:after="0"/>
              <w:jc w:val="center"/>
              <w:rPr>
                <w:rFonts w:cs="Arial"/>
              </w:rPr>
            </w:pPr>
            <w:r>
              <w:rPr>
                <w:rFonts w:cs="Arial"/>
              </w:rPr>
              <w:t>66.22</w:t>
            </w:r>
          </w:p>
        </w:tc>
        <w:tc>
          <w:tcPr>
            <w:tcW w:w="1823" w:type="dxa"/>
            <w:vAlign w:val="center"/>
          </w:tcPr>
          <w:p w14:paraId="009B91CB" w14:textId="77777777" w:rsidR="00166D94" w:rsidRPr="00505819" w:rsidRDefault="00166D94" w:rsidP="00575133">
            <w:pPr>
              <w:spacing w:before="0" w:after="0"/>
              <w:jc w:val="center"/>
              <w:rPr>
                <w:rFonts w:cs="Arial"/>
              </w:rPr>
            </w:pPr>
            <w:r>
              <w:rPr>
                <w:rFonts w:cs="Arial"/>
              </w:rPr>
              <w:t>22.09</w:t>
            </w:r>
            <w:r w:rsidRPr="00505819">
              <w:rPr>
                <w:rFonts w:cs="Arial"/>
              </w:rPr>
              <w:t xml:space="preserve"> to 1</w:t>
            </w:r>
          </w:p>
        </w:tc>
      </w:tr>
    </w:tbl>
    <w:p w14:paraId="4186E9EA" w14:textId="1B6168CF" w:rsidR="00A06B81" w:rsidRDefault="00505819" w:rsidP="00505819">
      <w:pPr>
        <w:rPr>
          <w:rFonts w:cs="Arial"/>
        </w:rPr>
      </w:pPr>
      <w:bookmarkStart w:id="7" w:name="_Hlk131517735"/>
      <w:r w:rsidRPr="00505819">
        <w:rPr>
          <w:rFonts w:cs="Arial"/>
        </w:rPr>
        <w:t xml:space="preserve">Detailed information regarding the previous </w:t>
      </w:r>
      <w:r w:rsidR="00FC7F3C">
        <w:rPr>
          <w:rFonts w:cs="Arial"/>
        </w:rPr>
        <w:t xml:space="preserve">determination of funding </w:t>
      </w:r>
      <w:r w:rsidRPr="00505819">
        <w:rPr>
          <w:rFonts w:cs="Arial"/>
        </w:rPr>
        <w:t>request is provided in Item 0</w:t>
      </w:r>
      <w:r w:rsidR="00E639F0">
        <w:rPr>
          <w:rFonts w:cs="Arial"/>
        </w:rPr>
        <w:t>7</w:t>
      </w:r>
      <w:r w:rsidRPr="00505819">
        <w:rPr>
          <w:rFonts w:cs="Arial"/>
        </w:rPr>
        <w:t xml:space="preserve"> of the SBE Agenda for </w:t>
      </w:r>
      <w:bookmarkEnd w:id="7"/>
      <w:r w:rsidRPr="00505819">
        <w:rPr>
          <w:rFonts w:cs="Arial"/>
        </w:rPr>
        <w:t xml:space="preserve">May 2024 web page, which is available at </w:t>
      </w:r>
      <w:hyperlink r:id="rId8" w:tooltip="SBE Agenda for May 2024 web page" w:history="1">
        <w:r w:rsidRPr="00505819">
          <w:rPr>
            <w:rFonts w:cs="Arial"/>
            <w:color w:val="0563C1"/>
            <w:u w:val="single"/>
          </w:rPr>
          <w:t>https://www.cde.ca.gov/be/ag/ag/yr24/agenda202405.asp</w:t>
        </w:r>
      </w:hyperlink>
      <w:r w:rsidRPr="00505819">
        <w:rPr>
          <w:rFonts w:cs="Arial"/>
        </w:rPr>
        <w:t>.</w:t>
      </w:r>
      <w:r w:rsidR="00A06B81">
        <w:rPr>
          <w:rFonts w:cs="Arial"/>
        </w:rPr>
        <w:t xml:space="preserve"> Direct links to the charter school’s previous request and an additional attachment are provided below:</w:t>
      </w:r>
    </w:p>
    <w:p w14:paraId="6C3990F5" w14:textId="757B6EF7" w:rsidR="00505819" w:rsidRDefault="00A06B81" w:rsidP="00A06B81">
      <w:pPr>
        <w:pStyle w:val="ListParagraph"/>
        <w:numPr>
          <w:ilvl w:val="0"/>
          <w:numId w:val="11"/>
        </w:numPr>
        <w:rPr>
          <w:rFonts w:cs="Arial"/>
        </w:rPr>
      </w:pPr>
      <w:hyperlink r:id="rId9" w:tooltip="ACCS April 2024 Item 1 Attachment 78" w:history="1">
        <w:r w:rsidRPr="004432E3">
          <w:rPr>
            <w:rStyle w:val="Hyperlink"/>
            <w:rFonts w:cs="Arial"/>
          </w:rPr>
          <w:t>https://www.cde.ca.gov/be/cc/cs/documents/accs-apr24item01a78.docx</w:t>
        </w:r>
      </w:hyperlink>
    </w:p>
    <w:p w14:paraId="6052F52C" w14:textId="22F0DE10" w:rsidR="00A06B81" w:rsidRPr="00A06B81" w:rsidRDefault="00A06B81" w:rsidP="00A06B81">
      <w:pPr>
        <w:pStyle w:val="ListParagraph"/>
        <w:numPr>
          <w:ilvl w:val="0"/>
          <w:numId w:val="11"/>
        </w:numPr>
        <w:rPr>
          <w:rFonts w:cs="Arial"/>
        </w:rPr>
      </w:pPr>
      <w:hyperlink r:id="rId10" w:tooltip="ACCS April 2024 Item 1 Attachment 79" w:history="1">
        <w:r w:rsidRPr="004432E3">
          <w:rPr>
            <w:rStyle w:val="Hyperlink"/>
            <w:rFonts w:cs="Arial"/>
          </w:rPr>
          <w:t>https://www.cde.ca.gov/be/cc/cs/documents/accs-apr24item01a79.pdf</w:t>
        </w:r>
      </w:hyperlink>
    </w:p>
    <w:p w14:paraId="777B07F4" w14:textId="347A0C1C" w:rsidR="00505819" w:rsidRPr="00505819" w:rsidRDefault="00505819" w:rsidP="00505819">
      <w:pPr>
        <w:pStyle w:val="Heading4"/>
      </w:pPr>
      <w:r w:rsidRPr="00505819">
        <w:t>Reconsideration Request</w:t>
      </w:r>
    </w:p>
    <w:p w14:paraId="35C2300A" w14:textId="048BAD53" w:rsidR="00A06B81" w:rsidRDefault="00BC0849" w:rsidP="00505819">
      <w:pPr>
        <w:rPr>
          <w:rFonts w:cs="Arial"/>
        </w:rPr>
      </w:pPr>
      <w:bookmarkStart w:id="8" w:name="_Hlk129354177"/>
      <w:r>
        <w:rPr>
          <w:rFonts w:cs="Arial"/>
        </w:rPr>
        <w:t>Santa Rosa Academy</w:t>
      </w:r>
      <w:r w:rsidR="00A06B81">
        <w:rPr>
          <w:rFonts w:cs="Arial"/>
        </w:rPr>
        <w:t xml:space="preserve"> submitted a new determination of funding request pursuant to 5 </w:t>
      </w:r>
      <w:r w:rsidR="00A06B81" w:rsidRPr="00A06B81">
        <w:rPr>
          <w:rFonts w:cs="Arial"/>
          <w:i/>
          <w:iCs/>
        </w:rPr>
        <w:t>CCR</w:t>
      </w:r>
      <w:r w:rsidR="00A06B81">
        <w:rPr>
          <w:rFonts w:cs="Arial"/>
        </w:rPr>
        <w:t xml:space="preserve"> Section 11963.6(g) to seek a higher determination of funding. </w:t>
      </w:r>
      <w:r>
        <w:rPr>
          <w:rFonts w:cs="Arial"/>
        </w:rPr>
        <w:t>Santa Rosa Academy</w:t>
      </w:r>
      <w:r w:rsidRPr="00505819">
        <w:rPr>
          <w:rFonts w:cs="Arial"/>
        </w:rPr>
        <w:t xml:space="preserve"> </w:t>
      </w:r>
      <w:r w:rsidR="00505819" w:rsidRPr="00505819">
        <w:rPr>
          <w:rFonts w:cs="Arial"/>
        </w:rPr>
        <w:t xml:space="preserve">is requesting that its current funding determination of </w:t>
      </w:r>
      <w:r w:rsidR="00E639F0">
        <w:rPr>
          <w:rFonts w:cs="Arial"/>
        </w:rPr>
        <w:t>70</w:t>
      </w:r>
      <w:r w:rsidR="00505819" w:rsidRPr="00505819">
        <w:rPr>
          <w:rFonts w:cs="Arial"/>
        </w:rPr>
        <w:t xml:space="preserve"> percent be increased to 100 percent for FY 2024–25 through FY 2025–26.</w:t>
      </w:r>
    </w:p>
    <w:p w14:paraId="320D5957" w14:textId="5661554A" w:rsidR="008159C6" w:rsidRDefault="00505819" w:rsidP="00505819">
      <w:pPr>
        <w:rPr>
          <w:rFonts w:cs="Arial"/>
          <w:bCs/>
        </w:rPr>
      </w:pPr>
      <w:r w:rsidRPr="00505819">
        <w:rPr>
          <w:rFonts w:cs="Arial"/>
          <w:bCs/>
        </w:rPr>
        <w:t>The following table provides the regulatory criteria for funding levels and the charter school’s expenditures percentage calculations and PTR as reported in its determination of funding request.</w:t>
      </w:r>
    </w:p>
    <w:p w14:paraId="6F11E6B3" w14:textId="77777777" w:rsidR="008159C6" w:rsidRDefault="008159C6">
      <w:pPr>
        <w:spacing w:before="0" w:after="160" w:line="259" w:lineRule="auto"/>
        <w:rPr>
          <w:rFonts w:cs="Arial"/>
          <w:bCs/>
        </w:rPr>
      </w:pPr>
      <w:r>
        <w:rPr>
          <w:rFonts w:cs="Arial"/>
          <w:bCs/>
        </w:rPr>
        <w:br w:type="page"/>
      </w:r>
    </w:p>
    <w:p w14:paraId="4529336D" w14:textId="492F5474" w:rsidR="00505819" w:rsidRPr="00505819" w:rsidRDefault="00BF1851" w:rsidP="00505819">
      <w:pPr>
        <w:pStyle w:val="Caption"/>
      </w:pPr>
      <w:r>
        <w:lastRenderedPageBreak/>
        <w:t>Santa Rosa Academy</w:t>
      </w:r>
      <w:r w:rsidR="00505819" w:rsidRPr="00505819">
        <w:t xml:space="preserve"> Nonclassroom-Based Instruction Funding Qualification</w:t>
      </w:r>
      <w:r w:rsidR="002E5985">
        <w:t xml:space="preserve"> for Reconsideration Request</w:t>
      </w:r>
    </w:p>
    <w:tbl>
      <w:tblPr>
        <w:tblStyle w:val="TableGrid"/>
        <w:tblW w:w="9288" w:type="dxa"/>
        <w:tblLook w:val="04A0" w:firstRow="1" w:lastRow="0" w:firstColumn="1" w:lastColumn="0" w:noHBand="0" w:noVBand="1"/>
        <w:tblDescription w:val="Santa Rosa Academy Nonclassroom-Based Instruction Funding Qualification for Reconsideration Request"/>
      </w:tblPr>
      <w:tblGrid>
        <w:gridCol w:w="2155"/>
        <w:gridCol w:w="2700"/>
        <w:gridCol w:w="2610"/>
        <w:gridCol w:w="1823"/>
      </w:tblGrid>
      <w:tr w:rsidR="00505819" w:rsidRPr="00505819" w14:paraId="06B16BD1" w14:textId="77777777" w:rsidTr="00D0776A">
        <w:trPr>
          <w:cantSplit/>
          <w:tblHeader/>
        </w:trPr>
        <w:tc>
          <w:tcPr>
            <w:tcW w:w="2155" w:type="dxa"/>
            <w:shd w:val="clear" w:color="auto" w:fill="D9D9D9" w:themeFill="background1" w:themeFillShade="D9"/>
            <w:vAlign w:val="center"/>
          </w:tcPr>
          <w:p w14:paraId="58A6A7C0" w14:textId="77777777" w:rsidR="00505819" w:rsidRPr="00505819" w:rsidRDefault="00505819" w:rsidP="00505819">
            <w:pPr>
              <w:spacing w:before="0" w:after="0"/>
              <w:jc w:val="center"/>
              <w:rPr>
                <w:rFonts w:cs="Arial"/>
                <w:b/>
              </w:rPr>
            </w:pPr>
            <w:r w:rsidRPr="00505819">
              <w:rPr>
                <w:rFonts w:cs="Arial"/>
                <w:b/>
              </w:rPr>
              <w:t>Criteria</w:t>
            </w:r>
          </w:p>
        </w:tc>
        <w:tc>
          <w:tcPr>
            <w:tcW w:w="2700" w:type="dxa"/>
            <w:shd w:val="clear" w:color="auto" w:fill="D9D9D9" w:themeFill="background1" w:themeFillShade="D9"/>
            <w:vAlign w:val="center"/>
          </w:tcPr>
          <w:p w14:paraId="0C7E51B6" w14:textId="0CF84DD6" w:rsidR="00505819" w:rsidRPr="00505819" w:rsidRDefault="00837D30" w:rsidP="00505819">
            <w:pPr>
              <w:spacing w:before="0" w:after="0"/>
              <w:jc w:val="center"/>
              <w:rPr>
                <w:rFonts w:cs="Arial"/>
                <w:b/>
              </w:rPr>
            </w:pPr>
            <w:r w:rsidRPr="002D3F6F">
              <w:rPr>
                <w:b/>
              </w:rPr>
              <w:t xml:space="preserve">Percentage </w:t>
            </w:r>
            <w:r>
              <w:rPr>
                <w:b/>
              </w:rPr>
              <w:t xml:space="preserve">of Public Revenues </w:t>
            </w:r>
            <w:r w:rsidRPr="002D3F6F">
              <w:rPr>
                <w:b/>
              </w:rPr>
              <w:t xml:space="preserve">Spent on </w:t>
            </w:r>
            <w:r>
              <w:rPr>
                <w:b/>
              </w:rPr>
              <w:t xml:space="preserve">Instructional </w:t>
            </w:r>
            <w:r w:rsidRPr="002D3F6F">
              <w:rPr>
                <w:b/>
              </w:rPr>
              <w:t>Certificated Salaries and Benefits</w:t>
            </w:r>
          </w:p>
        </w:tc>
        <w:tc>
          <w:tcPr>
            <w:tcW w:w="2610" w:type="dxa"/>
            <w:shd w:val="clear" w:color="auto" w:fill="D9D9D9" w:themeFill="background1" w:themeFillShade="D9"/>
            <w:vAlign w:val="center"/>
          </w:tcPr>
          <w:p w14:paraId="6511683D" w14:textId="19AEAA8D" w:rsidR="00505819" w:rsidRPr="00505819" w:rsidRDefault="00505819" w:rsidP="00505819">
            <w:pPr>
              <w:spacing w:before="0" w:after="0"/>
              <w:jc w:val="center"/>
              <w:rPr>
                <w:rFonts w:cs="Arial"/>
                <w:b/>
              </w:rPr>
            </w:pPr>
            <w:r w:rsidRPr="00505819">
              <w:rPr>
                <w:rFonts w:cs="Arial"/>
                <w:b/>
              </w:rPr>
              <w:t>Percentage</w:t>
            </w:r>
            <w:r w:rsidR="00837D30">
              <w:rPr>
                <w:rFonts w:cs="Arial"/>
                <w:b/>
              </w:rPr>
              <w:t xml:space="preserve"> of Total Revenues</w:t>
            </w:r>
            <w:r w:rsidRPr="00505819">
              <w:rPr>
                <w:rFonts w:cs="Arial"/>
                <w:b/>
              </w:rPr>
              <w:t xml:space="preserve"> Spent on Instruction and Related Services</w:t>
            </w:r>
          </w:p>
        </w:tc>
        <w:tc>
          <w:tcPr>
            <w:tcW w:w="1823" w:type="dxa"/>
            <w:shd w:val="clear" w:color="auto" w:fill="D9D9D9" w:themeFill="background1" w:themeFillShade="D9"/>
            <w:vAlign w:val="center"/>
          </w:tcPr>
          <w:p w14:paraId="67D8E40B" w14:textId="77777777" w:rsidR="00505819" w:rsidRPr="00505819" w:rsidRDefault="00505819" w:rsidP="00505819">
            <w:pPr>
              <w:spacing w:before="0" w:after="0"/>
              <w:jc w:val="center"/>
              <w:rPr>
                <w:rFonts w:cs="Arial"/>
                <w:b/>
              </w:rPr>
            </w:pPr>
            <w:r w:rsidRPr="00505819">
              <w:rPr>
                <w:rFonts w:cs="Arial"/>
                <w:b/>
              </w:rPr>
              <w:t>PTR</w:t>
            </w:r>
          </w:p>
        </w:tc>
      </w:tr>
      <w:tr w:rsidR="00505819" w:rsidRPr="00505819" w14:paraId="1A5F5C2F" w14:textId="77777777" w:rsidTr="00D0776A">
        <w:trPr>
          <w:cantSplit/>
        </w:trPr>
        <w:tc>
          <w:tcPr>
            <w:tcW w:w="2155" w:type="dxa"/>
            <w:vAlign w:val="center"/>
          </w:tcPr>
          <w:p w14:paraId="5F81E107" w14:textId="77777777" w:rsidR="00505819" w:rsidRPr="00505819" w:rsidRDefault="00505819" w:rsidP="00505819">
            <w:pPr>
              <w:spacing w:before="0" w:after="0"/>
              <w:rPr>
                <w:rFonts w:cs="Arial"/>
                <w:b/>
              </w:rPr>
            </w:pPr>
            <w:r w:rsidRPr="00505819">
              <w:rPr>
                <w:rFonts w:cs="Arial"/>
                <w:b/>
              </w:rPr>
              <w:t>100 Percent</w:t>
            </w:r>
          </w:p>
        </w:tc>
        <w:tc>
          <w:tcPr>
            <w:tcW w:w="2700" w:type="dxa"/>
            <w:vAlign w:val="center"/>
          </w:tcPr>
          <w:p w14:paraId="14A2BAEA" w14:textId="77777777" w:rsidR="00505819" w:rsidRPr="00505819" w:rsidRDefault="00505819" w:rsidP="00505819">
            <w:pPr>
              <w:spacing w:before="0" w:after="0"/>
              <w:jc w:val="center"/>
              <w:rPr>
                <w:rFonts w:cs="Arial"/>
              </w:rPr>
            </w:pPr>
            <w:r w:rsidRPr="00505819">
              <w:rPr>
                <w:rFonts w:cs="Arial"/>
              </w:rPr>
              <w:t>≥ 40</w:t>
            </w:r>
          </w:p>
        </w:tc>
        <w:tc>
          <w:tcPr>
            <w:tcW w:w="2610" w:type="dxa"/>
            <w:vAlign w:val="center"/>
          </w:tcPr>
          <w:p w14:paraId="41E94FAA" w14:textId="77777777" w:rsidR="00505819" w:rsidRPr="00505819" w:rsidRDefault="00505819" w:rsidP="00505819">
            <w:pPr>
              <w:spacing w:before="0" w:after="0"/>
              <w:jc w:val="center"/>
              <w:rPr>
                <w:rFonts w:cs="Arial"/>
              </w:rPr>
            </w:pPr>
            <w:r w:rsidRPr="00505819">
              <w:rPr>
                <w:rFonts w:cs="Arial"/>
              </w:rPr>
              <w:t>≥ 80</w:t>
            </w:r>
          </w:p>
        </w:tc>
        <w:tc>
          <w:tcPr>
            <w:tcW w:w="1823" w:type="dxa"/>
            <w:vAlign w:val="center"/>
          </w:tcPr>
          <w:p w14:paraId="2EA2107D" w14:textId="77777777" w:rsidR="00505819" w:rsidRPr="00505819" w:rsidRDefault="00505819" w:rsidP="00505819">
            <w:pPr>
              <w:spacing w:before="0" w:after="0"/>
              <w:jc w:val="center"/>
              <w:rPr>
                <w:rFonts w:cs="Arial"/>
              </w:rPr>
            </w:pPr>
            <w:r w:rsidRPr="00505819">
              <w:rPr>
                <w:rFonts w:cs="Arial"/>
              </w:rPr>
              <w:t>≤ 25 to 1</w:t>
            </w:r>
          </w:p>
        </w:tc>
      </w:tr>
      <w:tr w:rsidR="00505819" w:rsidRPr="00505819" w14:paraId="2F321194" w14:textId="77777777" w:rsidTr="00D0776A">
        <w:trPr>
          <w:cantSplit/>
        </w:trPr>
        <w:tc>
          <w:tcPr>
            <w:tcW w:w="2155" w:type="dxa"/>
            <w:vAlign w:val="center"/>
          </w:tcPr>
          <w:p w14:paraId="57604992" w14:textId="77777777" w:rsidR="00505819" w:rsidRPr="00505819" w:rsidRDefault="00505819" w:rsidP="00505819">
            <w:pPr>
              <w:spacing w:before="0" w:after="0"/>
              <w:rPr>
                <w:rFonts w:cs="Arial"/>
                <w:b/>
              </w:rPr>
            </w:pPr>
            <w:r w:rsidRPr="00505819">
              <w:rPr>
                <w:rFonts w:cs="Arial"/>
                <w:b/>
              </w:rPr>
              <w:t>85 Percent</w:t>
            </w:r>
          </w:p>
        </w:tc>
        <w:tc>
          <w:tcPr>
            <w:tcW w:w="2700" w:type="dxa"/>
            <w:vAlign w:val="center"/>
          </w:tcPr>
          <w:p w14:paraId="23F33F5B" w14:textId="77777777" w:rsidR="00505819" w:rsidRPr="00505819" w:rsidRDefault="00505819" w:rsidP="00505819">
            <w:pPr>
              <w:spacing w:before="0" w:after="0"/>
              <w:jc w:val="center"/>
              <w:rPr>
                <w:rFonts w:cs="Arial"/>
              </w:rPr>
            </w:pPr>
            <w:r w:rsidRPr="00505819">
              <w:rPr>
                <w:rFonts w:cs="Arial"/>
              </w:rPr>
              <w:t>≥ 40</w:t>
            </w:r>
          </w:p>
        </w:tc>
        <w:tc>
          <w:tcPr>
            <w:tcW w:w="2610" w:type="dxa"/>
            <w:vAlign w:val="center"/>
          </w:tcPr>
          <w:p w14:paraId="45D24D51" w14:textId="77777777" w:rsidR="00505819" w:rsidRPr="00505819" w:rsidRDefault="00505819" w:rsidP="00505819">
            <w:pPr>
              <w:spacing w:before="0" w:after="0"/>
              <w:jc w:val="center"/>
              <w:rPr>
                <w:rFonts w:cs="Arial"/>
              </w:rPr>
            </w:pPr>
            <w:r w:rsidRPr="00505819">
              <w:rPr>
                <w:rFonts w:cs="Arial"/>
              </w:rPr>
              <w:t>≥ 70</w:t>
            </w:r>
          </w:p>
        </w:tc>
        <w:tc>
          <w:tcPr>
            <w:tcW w:w="1823" w:type="dxa"/>
            <w:vAlign w:val="center"/>
          </w:tcPr>
          <w:p w14:paraId="2FECEC4D" w14:textId="77777777" w:rsidR="00505819" w:rsidRPr="00505819" w:rsidRDefault="00505819" w:rsidP="00505819">
            <w:pPr>
              <w:spacing w:before="0" w:after="0"/>
              <w:jc w:val="center"/>
              <w:rPr>
                <w:rFonts w:cs="Arial"/>
              </w:rPr>
            </w:pPr>
            <w:r w:rsidRPr="00505819">
              <w:rPr>
                <w:rFonts w:cs="Arial"/>
              </w:rPr>
              <w:t>Not Applicable</w:t>
            </w:r>
          </w:p>
        </w:tc>
      </w:tr>
      <w:tr w:rsidR="00505819" w:rsidRPr="00505819" w14:paraId="119A806C" w14:textId="77777777" w:rsidTr="00D0776A">
        <w:trPr>
          <w:cantSplit/>
        </w:trPr>
        <w:tc>
          <w:tcPr>
            <w:tcW w:w="2155" w:type="dxa"/>
            <w:vAlign w:val="center"/>
          </w:tcPr>
          <w:p w14:paraId="2ED918CF" w14:textId="77777777" w:rsidR="00505819" w:rsidRPr="00505819" w:rsidRDefault="00505819" w:rsidP="00505819">
            <w:pPr>
              <w:spacing w:before="0" w:after="0"/>
              <w:rPr>
                <w:rFonts w:cs="Arial"/>
                <w:b/>
              </w:rPr>
            </w:pPr>
            <w:r w:rsidRPr="00505819">
              <w:rPr>
                <w:rFonts w:cs="Arial"/>
                <w:b/>
              </w:rPr>
              <w:t>70 Percent</w:t>
            </w:r>
          </w:p>
        </w:tc>
        <w:tc>
          <w:tcPr>
            <w:tcW w:w="2700" w:type="dxa"/>
            <w:vAlign w:val="center"/>
          </w:tcPr>
          <w:p w14:paraId="59997FF6" w14:textId="77777777" w:rsidR="00505819" w:rsidRPr="00505819" w:rsidRDefault="00505819" w:rsidP="00505819">
            <w:pPr>
              <w:spacing w:before="0" w:after="0"/>
              <w:jc w:val="center"/>
              <w:rPr>
                <w:rFonts w:cs="Arial"/>
              </w:rPr>
            </w:pPr>
            <w:r w:rsidRPr="00505819">
              <w:rPr>
                <w:rFonts w:cs="Arial"/>
              </w:rPr>
              <w:t>≥ 35</w:t>
            </w:r>
          </w:p>
        </w:tc>
        <w:tc>
          <w:tcPr>
            <w:tcW w:w="2610" w:type="dxa"/>
            <w:vAlign w:val="center"/>
          </w:tcPr>
          <w:p w14:paraId="70CED422" w14:textId="77777777" w:rsidR="00505819" w:rsidRPr="00505819" w:rsidRDefault="00505819" w:rsidP="00505819">
            <w:pPr>
              <w:spacing w:before="0" w:after="0"/>
              <w:jc w:val="center"/>
              <w:rPr>
                <w:rFonts w:cs="Arial"/>
              </w:rPr>
            </w:pPr>
            <w:r w:rsidRPr="00505819">
              <w:rPr>
                <w:rFonts w:cs="Arial"/>
              </w:rPr>
              <w:t>≥ 60</w:t>
            </w:r>
          </w:p>
        </w:tc>
        <w:tc>
          <w:tcPr>
            <w:tcW w:w="1823" w:type="dxa"/>
            <w:vAlign w:val="center"/>
          </w:tcPr>
          <w:p w14:paraId="49AD1F67" w14:textId="77777777" w:rsidR="00505819" w:rsidRPr="00505819" w:rsidRDefault="00505819" w:rsidP="00505819">
            <w:pPr>
              <w:spacing w:before="0" w:after="0"/>
              <w:jc w:val="center"/>
              <w:rPr>
                <w:rFonts w:cs="Arial"/>
              </w:rPr>
            </w:pPr>
            <w:r w:rsidRPr="00505819">
              <w:rPr>
                <w:rFonts w:cs="Arial"/>
              </w:rPr>
              <w:t>Not Applicable</w:t>
            </w:r>
          </w:p>
        </w:tc>
      </w:tr>
      <w:tr w:rsidR="00505819" w:rsidRPr="00505819" w14:paraId="7E7564C7" w14:textId="77777777" w:rsidTr="00D0776A">
        <w:trPr>
          <w:cantSplit/>
        </w:trPr>
        <w:tc>
          <w:tcPr>
            <w:tcW w:w="2155" w:type="dxa"/>
            <w:vAlign w:val="center"/>
          </w:tcPr>
          <w:p w14:paraId="6F3D6614" w14:textId="77777777" w:rsidR="00505819" w:rsidRPr="00505819" w:rsidRDefault="00505819" w:rsidP="00505819">
            <w:pPr>
              <w:spacing w:before="0" w:after="0"/>
              <w:rPr>
                <w:rFonts w:cs="Arial"/>
                <w:b/>
              </w:rPr>
            </w:pPr>
            <w:r w:rsidRPr="00505819">
              <w:rPr>
                <w:rFonts w:cs="Arial"/>
                <w:b/>
              </w:rPr>
              <w:t>Charter School</w:t>
            </w:r>
          </w:p>
        </w:tc>
        <w:tc>
          <w:tcPr>
            <w:tcW w:w="2700" w:type="dxa"/>
            <w:vAlign w:val="center"/>
          </w:tcPr>
          <w:p w14:paraId="21820BF9" w14:textId="4785AED3" w:rsidR="00505819" w:rsidRPr="00505819" w:rsidRDefault="00505819" w:rsidP="00505819">
            <w:pPr>
              <w:spacing w:before="0" w:after="0"/>
              <w:jc w:val="center"/>
              <w:rPr>
                <w:rFonts w:cs="Arial"/>
              </w:rPr>
            </w:pPr>
            <w:r w:rsidRPr="00505819">
              <w:rPr>
                <w:rFonts w:cs="Arial"/>
              </w:rPr>
              <w:t>4</w:t>
            </w:r>
            <w:r w:rsidR="00CA5750">
              <w:rPr>
                <w:rFonts w:cs="Arial"/>
              </w:rPr>
              <w:t>7.20</w:t>
            </w:r>
          </w:p>
        </w:tc>
        <w:tc>
          <w:tcPr>
            <w:tcW w:w="2610" w:type="dxa"/>
            <w:vAlign w:val="center"/>
          </w:tcPr>
          <w:p w14:paraId="151208EE" w14:textId="1208BD1E" w:rsidR="00505819" w:rsidRPr="00505819" w:rsidRDefault="00CA5750" w:rsidP="00505819">
            <w:pPr>
              <w:spacing w:before="0" w:after="0"/>
              <w:jc w:val="center"/>
              <w:rPr>
                <w:rFonts w:cs="Arial"/>
              </w:rPr>
            </w:pPr>
            <w:r>
              <w:rPr>
                <w:rFonts w:cs="Arial"/>
              </w:rPr>
              <w:t>80.3</w:t>
            </w:r>
            <w:r w:rsidR="00BF1851">
              <w:rPr>
                <w:rFonts w:cs="Arial"/>
              </w:rPr>
              <w:t>2</w:t>
            </w:r>
          </w:p>
        </w:tc>
        <w:tc>
          <w:tcPr>
            <w:tcW w:w="1823" w:type="dxa"/>
            <w:vAlign w:val="center"/>
          </w:tcPr>
          <w:p w14:paraId="6FED5226" w14:textId="1F5DB65E" w:rsidR="00505819" w:rsidRPr="00505819" w:rsidRDefault="00BF1851" w:rsidP="00505819">
            <w:pPr>
              <w:spacing w:before="0" w:after="0"/>
              <w:jc w:val="center"/>
              <w:rPr>
                <w:rFonts w:cs="Arial"/>
              </w:rPr>
            </w:pPr>
            <w:r>
              <w:rPr>
                <w:rFonts w:cs="Arial"/>
              </w:rPr>
              <w:t>22.09</w:t>
            </w:r>
            <w:r w:rsidR="00505819" w:rsidRPr="00505819">
              <w:rPr>
                <w:rFonts w:cs="Arial"/>
              </w:rPr>
              <w:t xml:space="preserve"> to 1</w:t>
            </w:r>
          </w:p>
        </w:tc>
      </w:tr>
    </w:tbl>
    <w:bookmarkEnd w:id="8"/>
    <w:p w14:paraId="0E1100CD" w14:textId="3F49E5DC" w:rsidR="00E4212E" w:rsidRDefault="00E4212E" w:rsidP="00E4212E">
      <w:pPr>
        <w:rPr>
          <w:rFonts w:cs="Arial"/>
        </w:rPr>
      </w:pPr>
      <w:r w:rsidRPr="00E4212E">
        <w:rPr>
          <w:rFonts w:cs="Arial"/>
          <w:bCs/>
        </w:rPr>
        <w:t xml:space="preserve">The </w:t>
      </w:r>
      <w:r>
        <w:rPr>
          <w:rFonts w:cs="Arial"/>
          <w:bCs/>
        </w:rPr>
        <w:t xml:space="preserve">charter </w:t>
      </w:r>
      <w:r w:rsidRPr="00E4212E">
        <w:rPr>
          <w:rFonts w:cs="Arial"/>
          <w:bCs/>
        </w:rPr>
        <w:t xml:space="preserve">school’s </w:t>
      </w:r>
      <w:r w:rsidR="005F75D8">
        <w:rPr>
          <w:rFonts w:cs="Arial"/>
          <w:bCs/>
        </w:rPr>
        <w:t>reconsideration</w:t>
      </w:r>
      <w:r w:rsidRPr="00E4212E">
        <w:rPr>
          <w:rFonts w:cs="Arial"/>
          <w:bCs/>
        </w:rPr>
        <w:t xml:space="preserve"> request is </w:t>
      </w:r>
      <w:r>
        <w:rPr>
          <w:rFonts w:cs="Arial"/>
          <w:bCs/>
        </w:rPr>
        <w:t>available</w:t>
      </w:r>
      <w:r w:rsidRPr="00E4212E">
        <w:rPr>
          <w:rFonts w:cs="Arial"/>
          <w:bCs/>
        </w:rPr>
        <w:t xml:space="preserve"> on the </w:t>
      </w:r>
      <w:r>
        <w:rPr>
          <w:rFonts w:cs="Arial"/>
          <w:bCs/>
        </w:rPr>
        <w:t>December 2025</w:t>
      </w:r>
      <w:r w:rsidRPr="00E4212E">
        <w:rPr>
          <w:rFonts w:cs="Arial"/>
          <w:bCs/>
        </w:rPr>
        <w:t xml:space="preserve"> ACCS Meeting Agenda web page at </w:t>
      </w:r>
      <w:hyperlink r:id="rId11" w:tooltip="December 2025 ACCS Agenda web page" w:history="1">
        <w:r>
          <w:rPr>
            <w:rFonts w:cs="Arial"/>
            <w:color w:val="0563C1"/>
            <w:u w:val="single"/>
          </w:rPr>
          <w:t>https://www.cde.ca.gov/be/cc/cs/accsnotice120925.asp</w:t>
        </w:r>
      </w:hyperlink>
      <w:r>
        <w:t>.</w:t>
      </w:r>
      <w:r w:rsidR="005F75D8">
        <w:t xml:space="preserve"> </w:t>
      </w:r>
      <w:r>
        <w:rPr>
          <w:rFonts w:cs="Arial"/>
        </w:rPr>
        <w:t xml:space="preserve">Direct links to the charter school’s </w:t>
      </w:r>
      <w:r w:rsidR="005F75D8">
        <w:rPr>
          <w:rFonts w:cs="Arial"/>
        </w:rPr>
        <w:t>reconsideration</w:t>
      </w:r>
      <w:r>
        <w:rPr>
          <w:rFonts w:cs="Arial"/>
        </w:rPr>
        <w:t xml:space="preserve"> request</w:t>
      </w:r>
      <w:r w:rsidR="0092382E">
        <w:rPr>
          <w:rFonts w:cs="Arial"/>
        </w:rPr>
        <w:t xml:space="preserve"> and two additional attachments</w:t>
      </w:r>
      <w:r>
        <w:rPr>
          <w:rFonts w:cs="Arial"/>
        </w:rPr>
        <w:t xml:space="preserve"> are provided below:</w:t>
      </w:r>
    </w:p>
    <w:p w14:paraId="071B2BD1" w14:textId="4D0F644F" w:rsidR="00E4212E" w:rsidRPr="00E4212E" w:rsidRDefault="00E4212E" w:rsidP="00E4212E">
      <w:pPr>
        <w:pStyle w:val="ListParagraph"/>
        <w:numPr>
          <w:ilvl w:val="0"/>
          <w:numId w:val="11"/>
        </w:numPr>
        <w:rPr>
          <w:rFonts w:cs="Arial"/>
        </w:rPr>
      </w:pPr>
      <w:hyperlink r:id="rId12" w:tooltip="ACCS December 2025 Item 2 Attachment 2" w:history="1">
        <w:r w:rsidRPr="00E4212E">
          <w:rPr>
            <w:rStyle w:val="Hyperlink"/>
            <w:rFonts w:cs="Arial"/>
            <w:bCs/>
          </w:rPr>
          <w:t>https://www.cde.ca.gov/be/cc/cs/documents/accs-dec25item02a2.docx</w:t>
        </w:r>
      </w:hyperlink>
    </w:p>
    <w:p w14:paraId="3E769D7C" w14:textId="1E293BF6" w:rsidR="00B30242" w:rsidRPr="00092FB4" w:rsidRDefault="00B30242" w:rsidP="00B30242">
      <w:pPr>
        <w:pStyle w:val="ListParagraph"/>
        <w:numPr>
          <w:ilvl w:val="0"/>
          <w:numId w:val="11"/>
        </w:numPr>
        <w:rPr>
          <w:rFonts w:cs="Arial"/>
        </w:rPr>
      </w:pPr>
      <w:hyperlink r:id="rId13" w:tooltip="ACCS December 2025 Item 2 Attachment 3" w:history="1">
        <w:r w:rsidRPr="00092FB4">
          <w:rPr>
            <w:rStyle w:val="Hyperlink"/>
            <w:rFonts w:cs="Arial"/>
            <w:bCs/>
          </w:rPr>
          <w:t>https://www.cde.ca.gov/be/cc/cs/documents/accs-dec25item02a3.pdf</w:t>
        </w:r>
      </w:hyperlink>
    </w:p>
    <w:p w14:paraId="15126218" w14:textId="6BCF5671" w:rsidR="00B30242" w:rsidRPr="00092FB4" w:rsidRDefault="00B30242" w:rsidP="00B30242">
      <w:pPr>
        <w:pStyle w:val="ListParagraph"/>
        <w:numPr>
          <w:ilvl w:val="0"/>
          <w:numId w:val="11"/>
        </w:numPr>
        <w:rPr>
          <w:rFonts w:cs="Arial"/>
        </w:rPr>
      </w:pPr>
      <w:hyperlink r:id="rId14" w:tooltip="ACCS December 2025 Item 2 Attachment 4" w:history="1">
        <w:r w:rsidRPr="00092FB4">
          <w:rPr>
            <w:rStyle w:val="Hyperlink"/>
            <w:rFonts w:cs="Arial"/>
            <w:bCs/>
          </w:rPr>
          <w:t>https://www.cde.ca.gov/be/cc/cs/documents/accs-dec25item02a4.pdf</w:t>
        </w:r>
      </w:hyperlink>
    </w:p>
    <w:p w14:paraId="572B7BC7" w14:textId="316DD488" w:rsidR="00A06B81" w:rsidRDefault="00166D94" w:rsidP="00166D94">
      <w:pPr>
        <w:rPr>
          <w:rFonts w:cs="Arial"/>
        </w:rPr>
      </w:pPr>
      <w:r w:rsidRPr="00166D94">
        <w:rPr>
          <w:rFonts w:cs="Arial"/>
        </w:rPr>
        <w:t xml:space="preserve">Based on reported fiscal data, </w:t>
      </w:r>
      <w:r w:rsidR="00BC0849">
        <w:rPr>
          <w:rFonts w:cs="Arial"/>
        </w:rPr>
        <w:t>Santa Rosa Academy</w:t>
      </w:r>
      <w:r w:rsidR="00BC0849" w:rsidRPr="00166D94">
        <w:rPr>
          <w:rFonts w:cs="Arial"/>
        </w:rPr>
        <w:t xml:space="preserve"> </w:t>
      </w:r>
      <w:r w:rsidRPr="00166D94">
        <w:rPr>
          <w:rFonts w:cs="Arial"/>
        </w:rPr>
        <w:t xml:space="preserve">meets the regulatory criteria </w:t>
      </w:r>
      <w:r w:rsidRPr="003D4304">
        <w:rPr>
          <w:rFonts w:cs="Arial"/>
        </w:rPr>
        <w:t xml:space="preserve">to qualify for </w:t>
      </w:r>
      <w:r>
        <w:rPr>
          <w:rFonts w:cs="Arial"/>
        </w:rPr>
        <w:t>its</w:t>
      </w:r>
      <w:r w:rsidRPr="003D4304">
        <w:rPr>
          <w:rFonts w:cs="Arial"/>
        </w:rPr>
        <w:t xml:space="preserve"> requested level of funding for </w:t>
      </w:r>
      <w:r>
        <w:rPr>
          <w:rFonts w:cs="Arial"/>
        </w:rPr>
        <w:t>its</w:t>
      </w:r>
      <w:r w:rsidRPr="003D4304">
        <w:rPr>
          <w:rFonts w:cs="Arial"/>
        </w:rPr>
        <w:t xml:space="preserve"> NCB instruction</w:t>
      </w:r>
      <w:r w:rsidRPr="00166D94">
        <w:rPr>
          <w:rFonts w:cs="Arial"/>
        </w:rPr>
        <w:t>.</w:t>
      </w:r>
    </w:p>
    <w:p w14:paraId="6116E751" w14:textId="58CEA3F5" w:rsidR="00A06B81" w:rsidRDefault="00FC7F3C" w:rsidP="00AF16D8">
      <w:pPr>
        <w:rPr>
          <w:rFonts w:cs="Arial"/>
        </w:rPr>
      </w:pPr>
      <w:r>
        <w:rPr>
          <w:rFonts w:cs="Arial"/>
        </w:rPr>
        <w:t>The reconsideration request</w:t>
      </w:r>
      <w:r w:rsidR="00AF16D8">
        <w:rPr>
          <w:rFonts w:cs="Arial"/>
        </w:rPr>
        <w:t>, like the previous request,</w:t>
      </w:r>
      <w:r>
        <w:rPr>
          <w:rFonts w:cs="Arial"/>
        </w:rPr>
        <w:t xml:space="preserve"> is based on </w:t>
      </w:r>
      <w:r w:rsidR="00AF16D8">
        <w:rPr>
          <w:rFonts w:cs="Arial"/>
        </w:rPr>
        <w:t>FY 2022–23 audited data.</w:t>
      </w:r>
      <w:r w:rsidR="00B5382B">
        <w:rPr>
          <w:rFonts w:cs="Arial"/>
        </w:rPr>
        <w:t xml:space="preserve"> </w:t>
      </w:r>
      <w:r w:rsidR="00B30242">
        <w:rPr>
          <w:rFonts w:cs="Arial"/>
        </w:rPr>
        <w:t>D</w:t>
      </w:r>
      <w:r w:rsidR="00A06B81">
        <w:rPr>
          <w:rFonts w:cs="Arial"/>
        </w:rPr>
        <w:t xml:space="preserve">ifferences from the previous </w:t>
      </w:r>
      <w:r w:rsidR="00F354AD">
        <w:rPr>
          <w:rFonts w:cs="Arial"/>
        </w:rPr>
        <w:t xml:space="preserve">request include an increase </w:t>
      </w:r>
      <w:r w:rsidR="00F66E7C">
        <w:rPr>
          <w:rFonts w:cs="Arial"/>
        </w:rPr>
        <w:t>in</w:t>
      </w:r>
      <w:r w:rsidR="00F354AD">
        <w:rPr>
          <w:rFonts w:cs="Arial"/>
        </w:rPr>
        <w:t xml:space="preserve"> reported instruction-related staffing expenses, an increase </w:t>
      </w:r>
      <w:r w:rsidR="00F66E7C">
        <w:rPr>
          <w:rFonts w:cs="Arial"/>
        </w:rPr>
        <w:t>in</w:t>
      </w:r>
      <w:r w:rsidR="00A22748">
        <w:rPr>
          <w:rFonts w:cs="Arial"/>
        </w:rPr>
        <w:t xml:space="preserve"> </w:t>
      </w:r>
      <w:r w:rsidR="00F354AD">
        <w:rPr>
          <w:rFonts w:cs="Arial"/>
        </w:rPr>
        <w:t xml:space="preserve">the reported hours for NCB pupils in attendance at a school site, and a decrease </w:t>
      </w:r>
      <w:r w:rsidR="00F66E7C">
        <w:rPr>
          <w:rFonts w:cs="Arial"/>
        </w:rPr>
        <w:t>in</w:t>
      </w:r>
      <w:r w:rsidR="00F354AD">
        <w:rPr>
          <w:rFonts w:cs="Arial"/>
        </w:rPr>
        <w:t xml:space="preserve"> reported administration expenses.</w:t>
      </w:r>
      <w:r w:rsidR="00851690">
        <w:rPr>
          <w:rFonts w:cs="Arial"/>
        </w:rPr>
        <w:t xml:space="preserve"> T</w:t>
      </w:r>
      <w:r w:rsidR="00461129">
        <w:rPr>
          <w:rFonts w:cs="Arial"/>
        </w:rPr>
        <w:t>otal revenues and total expenditures are unchanged compared to the previous request</w:t>
      </w:r>
      <w:r w:rsidR="00A22748">
        <w:rPr>
          <w:rFonts w:cs="Arial"/>
        </w:rPr>
        <w:t>.</w:t>
      </w:r>
    </w:p>
    <w:p w14:paraId="7F09EAF7" w14:textId="46C84037" w:rsidR="006B64E7" w:rsidRDefault="000362FA" w:rsidP="006B64E7">
      <w:pPr>
        <w:rPr>
          <w:rFonts w:cs="Arial"/>
        </w:rPr>
      </w:pPr>
      <w:r>
        <w:rPr>
          <w:rFonts w:cs="Arial"/>
        </w:rPr>
        <w:t xml:space="preserve">The CDE asked the charter school for clarification regarding </w:t>
      </w:r>
      <w:r w:rsidR="00DD0371">
        <w:rPr>
          <w:rFonts w:cs="Arial"/>
        </w:rPr>
        <w:t>the differences between the previous request and the reconsideration request. T</w:t>
      </w:r>
      <w:r w:rsidR="00461129">
        <w:rPr>
          <w:rFonts w:cs="Arial"/>
        </w:rPr>
        <w:t xml:space="preserve">he </w:t>
      </w:r>
      <w:r w:rsidR="000A5C9A">
        <w:rPr>
          <w:rFonts w:cs="Arial"/>
        </w:rPr>
        <w:t xml:space="preserve">charter </w:t>
      </w:r>
      <w:r w:rsidR="00461129">
        <w:rPr>
          <w:rFonts w:cs="Arial"/>
        </w:rPr>
        <w:t>school state</w:t>
      </w:r>
      <w:r w:rsidR="006B64E7">
        <w:rPr>
          <w:rFonts w:cs="Arial"/>
        </w:rPr>
        <w:t>d</w:t>
      </w:r>
      <w:r w:rsidR="000A5C9A">
        <w:rPr>
          <w:rFonts w:cs="Arial"/>
        </w:rPr>
        <w:t xml:space="preserve"> the following</w:t>
      </w:r>
      <w:r w:rsidR="006B64E7">
        <w:rPr>
          <w:rFonts w:cs="Arial"/>
        </w:rPr>
        <w:t xml:space="preserve"> in an email on July 23, 2025:</w:t>
      </w:r>
    </w:p>
    <w:p w14:paraId="56A2B405" w14:textId="77777777" w:rsidR="006B64E7" w:rsidRPr="006B64E7" w:rsidRDefault="006B64E7" w:rsidP="006B64E7">
      <w:pPr>
        <w:ind w:left="720"/>
        <w:jc w:val="both"/>
        <w:rPr>
          <w:rFonts w:cs="Arial"/>
        </w:rPr>
      </w:pPr>
      <w:r w:rsidRPr="006B64E7">
        <w:rPr>
          <w:rFonts w:cs="Arial"/>
        </w:rPr>
        <w:t>Even though both submissions use the FY 2022–23 audit as the source, the reconsideration request reflects updated interpretations, improved methodology, and incorporates external feedback that ensures a closer alignment with financial reporting expectations. The original figures are considered inaccurate due to errors in categorization, inclusion of inappropriate data, and misinterpretation of reporting standards.</w:t>
      </w:r>
    </w:p>
    <w:p w14:paraId="04A92F11" w14:textId="645EE951" w:rsidR="00461129" w:rsidRDefault="00461129" w:rsidP="00166D94">
      <w:pPr>
        <w:rPr>
          <w:rFonts w:cs="Arial"/>
        </w:rPr>
      </w:pPr>
      <w:r>
        <w:rPr>
          <w:rFonts w:cs="Arial"/>
        </w:rPr>
        <w:t xml:space="preserve">The CDE </w:t>
      </w:r>
      <w:r w:rsidR="00851690">
        <w:rPr>
          <w:rFonts w:cs="Arial"/>
        </w:rPr>
        <w:t>requested</w:t>
      </w:r>
      <w:r>
        <w:rPr>
          <w:rFonts w:cs="Arial"/>
        </w:rPr>
        <w:t xml:space="preserve"> the charter school </w:t>
      </w:r>
      <w:r w:rsidR="00290AE6">
        <w:rPr>
          <w:rFonts w:cs="Arial"/>
        </w:rPr>
        <w:t xml:space="preserve">to </w:t>
      </w:r>
      <w:r>
        <w:rPr>
          <w:rFonts w:cs="Arial"/>
        </w:rPr>
        <w:t xml:space="preserve">provide written documentation from the charter school’s </w:t>
      </w:r>
      <w:r w:rsidR="00BA47AD">
        <w:rPr>
          <w:rFonts w:cs="Arial"/>
        </w:rPr>
        <w:t xml:space="preserve">independent </w:t>
      </w:r>
      <w:r>
        <w:rPr>
          <w:rFonts w:cs="Arial"/>
        </w:rPr>
        <w:t>auditor confirming the accuracy of the revised figures</w:t>
      </w:r>
      <w:r w:rsidR="00290AE6">
        <w:rPr>
          <w:rFonts w:cs="Arial"/>
        </w:rPr>
        <w:t xml:space="preserve"> reported in the reconsideration request</w:t>
      </w:r>
      <w:r>
        <w:rPr>
          <w:rFonts w:cs="Arial"/>
        </w:rPr>
        <w:t>.</w:t>
      </w:r>
      <w:r w:rsidR="00CB0ECF">
        <w:rPr>
          <w:rFonts w:cs="Arial"/>
        </w:rPr>
        <w:t xml:space="preserve"> The charter school provided a letter from the auditor</w:t>
      </w:r>
      <w:r w:rsidR="00290AE6">
        <w:rPr>
          <w:rFonts w:cs="Arial"/>
        </w:rPr>
        <w:t xml:space="preserve">, which states that the auditor </w:t>
      </w:r>
      <w:r w:rsidRPr="00461129">
        <w:rPr>
          <w:rFonts w:cs="Arial"/>
        </w:rPr>
        <w:t>concur</w:t>
      </w:r>
      <w:r w:rsidR="00CB0ECF">
        <w:rPr>
          <w:rFonts w:cs="Arial"/>
        </w:rPr>
        <w:t>s</w:t>
      </w:r>
      <w:r w:rsidRPr="00461129">
        <w:rPr>
          <w:rFonts w:cs="Arial"/>
        </w:rPr>
        <w:t xml:space="preserve"> the </w:t>
      </w:r>
      <w:r w:rsidR="00290AE6">
        <w:rPr>
          <w:rFonts w:cs="Arial"/>
        </w:rPr>
        <w:t xml:space="preserve">revenues and expenditures used for </w:t>
      </w:r>
      <w:r w:rsidR="00290AE6">
        <w:rPr>
          <w:rFonts w:cs="Arial"/>
        </w:rPr>
        <w:lastRenderedPageBreak/>
        <w:t xml:space="preserve">the reconsideration request </w:t>
      </w:r>
      <w:r w:rsidRPr="00461129">
        <w:rPr>
          <w:rFonts w:cs="Arial"/>
        </w:rPr>
        <w:t xml:space="preserve">are “correctly supported in the general ledger and agree in total with the audited </w:t>
      </w:r>
      <w:r w:rsidRPr="005C6626">
        <w:rPr>
          <w:rFonts w:cs="Arial"/>
        </w:rPr>
        <w:t xml:space="preserve">2022–23 financial statements” (Attachment </w:t>
      </w:r>
      <w:r w:rsidR="00D05A83" w:rsidRPr="005C6626">
        <w:rPr>
          <w:rFonts w:cs="Arial"/>
        </w:rPr>
        <w:t>4</w:t>
      </w:r>
      <w:r w:rsidRPr="005C6626">
        <w:rPr>
          <w:rFonts w:cs="Arial"/>
        </w:rPr>
        <w:t>).</w:t>
      </w:r>
    </w:p>
    <w:p w14:paraId="74BDF587" w14:textId="1A44D7E6" w:rsidR="00CB0ECF" w:rsidRPr="00CB0ECF" w:rsidRDefault="00166D94" w:rsidP="00505819">
      <w:pPr>
        <w:rPr>
          <w:rFonts w:cs="Arial"/>
          <w:bCs/>
        </w:rPr>
      </w:pPr>
      <w:r w:rsidRPr="00166D94">
        <w:rPr>
          <w:rFonts w:cs="Arial"/>
        </w:rPr>
        <w:t xml:space="preserve">The </w:t>
      </w:r>
      <w:r w:rsidRPr="00166D94">
        <w:rPr>
          <w:rFonts w:cs="Arial"/>
          <w:bCs/>
        </w:rPr>
        <w:t xml:space="preserve">CDE therefore proposes to recommend that the SBE </w:t>
      </w:r>
      <w:r w:rsidR="00CB0ECF">
        <w:rPr>
          <w:bCs/>
        </w:rPr>
        <w:t>a</w:t>
      </w:r>
      <w:r w:rsidR="00CB0ECF" w:rsidRPr="00F31409">
        <w:rPr>
          <w:bCs/>
        </w:rPr>
        <w:t>pprove</w:t>
      </w:r>
      <w:r w:rsidR="00CB0ECF">
        <w:rPr>
          <w:bCs/>
        </w:rPr>
        <w:t xml:space="preserve"> Santa Rosa Academy’s reconsideration request </w:t>
      </w:r>
      <w:r w:rsidR="008A3C2F">
        <w:rPr>
          <w:rFonts w:cs="Arial"/>
          <w:bCs/>
        </w:rPr>
        <w:t>to</w:t>
      </w:r>
      <w:r w:rsidR="00D05A83">
        <w:rPr>
          <w:rFonts w:cs="Arial"/>
          <w:bCs/>
        </w:rPr>
        <w:t xml:space="preserve"> increase the charter school’s </w:t>
      </w:r>
      <w:r w:rsidR="00CB0ECF">
        <w:rPr>
          <w:rFonts w:cs="Arial"/>
          <w:bCs/>
        </w:rPr>
        <w:t xml:space="preserve">current </w:t>
      </w:r>
      <w:r w:rsidR="00D05A83">
        <w:rPr>
          <w:rFonts w:cs="Arial"/>
          <w:bCs/>
        </w:rPr>
        <w:t xml:space="preserve">funding </w:t>
      </w:r>
      <w:r w:rsidR="00CB0ECF">
        <w:rPr>
          <w:rFonts w:cs="Arial"/>
          <w:bCs/>
        </w:rPr>
        <w:t xml:space="preserve">determination </w:t>
      </w:r>
      <w:r w:rsidR="00D05A83">
        <w:rPr>
          <w:rFonts w:cs="Arial"/>
          <w:bCs/>
        </w:rPr>
        <w:t>from 70 percent to 100 percent for the period of FY 2024–25 through 2025–26</w:t>
      </w:r>
      <w:r w:rsidRPr="00166D94">
        <w:rPr>
          <w:rFonts w:cs="Arial"/>
          <w:bCs/>
        </w:rPr>
        <w:t>, as specified in Attachment 1.</w:t>
      </w:r>
    </w:p>
    <w:bookmarkEnd w:id="3"/>
    <w:bookmarkEnd w:id="4"/>
    <w:p w14:paraId="7F4E3621" w14:textId="57F6DF52" w:rsidR="008F7BC4" w:rsidRPr="00163564" w:rsidRDefault="00BC41D2" w:rsidP="00163564">
      <w:pPr>
        <w:pStyle w:val="Heading2"/>
      </w:pPr>
      <w:r w:rsidRPr="00163564">
        <w:t>Attachment</w:t>
      </w:r>
      <w:r w:rsidR="007B271A" w:rsidRPr="00163564">
        <w:t>s</w:t>
      </w:r>
    </w:p>
    <w:p w14:paraId="72DB9EC0" w14:textId="261B8E56" w:rsidR="00553771" w:rsidRPr="00163564" w:rsidRDefault="008F7BC4" w:rsidP="00553771">
      <w:pPr>
        <w:pStyle w:val="ListParagraph"/>
        <w:numPr>
          <w:ilvl w:val="0"/>
          <w:numId w:val="12"/>
        </w:numPr>
        <w:spacing w:before="0"/>
      </w:pPr>
      <w:r w:rsidRPr="00163564">
        <w:rPr>
          <w:b/>
        </w:rPr>
        <w:t>Attachment 1:</w:t>
      </w:r>
      <w:r w:rsidRPr="00163564">
        <w:t xml:space="preserve"> Proposed </w:t>
      </w:r>
      <w:r w:rsidR="000E3F5A" w:rsidRPr="00163564">
        <w:t>Recommendation</w:t>
      </w:r>
      <w:r w:rsidR="00505819">
        <w:t xml:space="preserve"> for Reconsideration of </w:t>
      </w:r>
      <w:r w:rsidR="00A9406D">
        <w:t xml:space="preserve">a </w:t>
      </w:r>
      <w:r w:rsidR="000E3F5A" w:rsidRPr="00163564">
        <w:t>Nonclassroom-Based Funding</w:t>
      </w:r>
      <w:r w:rsidR="00995617" w:rsidRPr="00163564">
        <w:t xml:space="preserve"> </w:t>
      </w:r>
      <w:r w:rsidR="00A53EEA">
        <w:t xml:space="preserve">Determination </w:t>
      </w:r>
      <w:r w:rsidR="00E8119F" w:rsidRPr="00072FF2">
        <w:t>(</w:t>
      </w:r>
      <w:r w:rsidR="004567FB">
        <w:t>1</w:t>
      </w:r>
      <w:r w:rsidR="00E8119F" w:rsidRPr="00072FF2">
        <w:t xml:space="preserve"> Page)</w:t>
      </w:r>
    </w:p>
    <w:p w14:paraId="78814122" w14:textId="7081ACF1" w:rsidR="002E261D" w:rsidRDefault="002E261D" w:rsidP="00131A3C">
      <w:pPr>
        <w:pStyle w:val="ListParagraph"/>
        <w:numPr>
          <w:ilvl w:val="0"/>
          <w:numId w:val="12"/>
        </w:numPr>
        <w:spacing w:before="0"/>
      </w:pPr>
      <w:r w:rsidRPr="00A9406D">
        <w:rPr>
          <w:b/>
        </w:rPr>
        <w:t>Attachment 2:</w:t>
      </w:r>
      <w:r w:rsidRPr="00163564">
        <w:t xml:space="preserve"> </w:t>
      </w:r>
      <w:r w:rsidR="00591A65" w:rsidRPr="00163564">
        <w:t xml:space="preserve">Determination of Funding </w:t>
      </w:r>
      <w:r w:rsidR="004473C6" w:rsidRPr="00163564">
        <w:t>Request from</w:t>
      </w:r>
      <w:r w:rsidR="00591A65" w:rsidRPr="00163564">
        <w:t xml:space="preserve"> </w:t>
      </w:r>
      <w:r w:rsidR="00505819">
        <w:t>Santa Rosa Academy</w:t>
      </w:r>
      <w:r w:rsidR="0086715B" w:rsidRPr="0086715B">
        <w:t xml:space="preserve"> (Charter #</w:t>
      </w:r>
      <w:r w:rsidR="00505819">
        <w:t>0730</w:t>
      </w:r>
      <w:r w:rsidR="0086715B" w:rsidRPr="0086715B">
        <w:t>)</w:t>
      </w:r>
      <w:r w:rsidR="00E8119F">
        <w:t xml:space="preserve"> (</w:t>
      </w:r>
      <w:r w:rsidR="003F6270">
        <w:t>1</w:t>
      </w:r>
      <w:r w:rsidR="005B1685">
        <w:t>3</w:t>
      </w:r>
      <w:r w:rsidR="00E8119F">
        <w:t xml:space="preserve"> Pages)</w:t>
      </w:r>
    </w:p>
    <w:p w14:paraId="6396C9CC" w14:textId="4890A496" w:rsidR="00505819" w:rsidRPr="00851690" w:rsidRDefault="00851690" w:rsidP="00131A3C">
      <w:pPr>
        <w:pStyle w:val="ListParagraph"/>
        <w:numPr>
          <w:ilvl w:val="0"/>
          <w:numId w:val="12"/>
        </w:numPr>
        <w:spacing w:before="0"/>
      </w:pPr>
      <w:r w:rsidRPr="00A9406D">
        <w:rPr>
          <w:b/>
        </w:rPr>
        <w:t xml:space="preserve">Attachment </w:t>
      </w:r>
      <w:r>
        <w:rPr>
          <w:b/>
        </w:rPr>
        <w:t>3</w:t>
      </w:r>
      <w:r w:rsidRPr="00A9406D">
        <w:rPr>
          <w:b/>
        </w:rPr>
        <w:t>:</w:t>
      </w:r>
      <w:r w:rsidRPr="00851690">
        <w:rPr>
          <w:bCs/>
        </w:rPr>
        <w:t xml:space="preserve"> </w:t>
      </w:r>
      <w:r w:rsidR="00092FB4" w:rsidRPr="00092FB4">
        <w:rPr>
          <w:bCs/>
        </w:rPr>
        <w:t>Additional Attachment from Santa Rosa Academy (Charter #0730)</w:t>
      </w:r>
      <w:r w:rsidR="00092FB4">
        <w:rPr>
          <w:bCs/>
        </w:rPr>
        <w:t xml:space="preserve">: </w:t>
      </w:r>
      <w:r w:rsidR="00092FB4" w:rsidRPr="00092FB4">
        <w:rPr>
          <w:bCs/>
        </w:rPr>
        <w:t>Entities and Contracts</w:t>
      </w:r>
      <w:r w:rsidR="00092FB4">
        <w:rPr>
          <w:bCs/>
        </w:rPr>
        <w:t xml:space="preserve"> (2 Pages)</w:t>
      </w:r>
    </w:p>
    <w:p w14:paraId="3551FD18" w14:textId="38FB2F48" w:rsidR="00851690" w:rsidRPr="00163564" w:rsidRDefault="00851690" w:rsidP="00131A3C">
      <w:pPr>
        <w:pStyle w:val="ListParagraph"/>
        <w:numPr>
          <w:ilvl w:val="0"/>
          <w:numId w:val="12"/>
        </w:numPr>
        <w:spacing w:before="0"/>
      </w:pPr>
      <w:r w:rsidRPr="00A9406D">
        <w:rPr>
          <w:b/>
        </w:rPr>
        <w:t xml:space="preserve">Attachment </w:t>
      </w:r>
      <w:r>
        <w:rPr>
          <w:b/>
        </w:rPr>
        <w:t>4</w:t>
      </w:r>
      <w:r w:rsidRPr="00A9406D">
        <w:rPr>
          <w:b/>
        </w:rPr>
        <w:t>:</w:t>
      </w:r>
      <w:r w:rsidRPr="00851690">
        <w:rPr>
          <w:bCs/>
        </w:rPr>
        <w:t xml:space="preserve"> </w:t>
      </w:r>
      <w:r w:rsidR="00092FB4" w:rsidRPr="00092FB4">
        <w:rPr>
          <w:bCs/>
        </w:rPr>
        <w:t>Additional Attachment from Santa Rosa Academy (Charter #0730)</w:t>
      </w:r>
      <w:r w:rsidR="00092FB4">
        <w:rPr>
          <w:bCs/>
        </w:rPr>
        <w:t>:</w:t>
      </w:r>
      <w:r w:rsidR="00092FB4" w:rsidRPr="00092FB4">
        <w:rPr>
          <w:bCs/>
        </w:rPr>
        <w:t xml:space="preserve"> Letter from Auditor</w:t>
      </w:r>
      <w:r w:rsidR="00092FB4">
        <w:rPr>
          <w:bCs/>
        </w:rPr>
        <w:t xml:space="preserve"> (2 Pages)</w:t>
      </w:r>
    </w:p>
    <w:sectPr w:rsidR="00851690" w:rsidRPr="00163564" w:rsidSect="00A67F96">
      <w:headerReference w:type="default" r:id="rId15"/>
      <w:type w:val="continuous"/>
      <w:pgSz w:w="12240" w:h="15840"/>
      <w:pgMar w:top="72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541B" w14:textId="77777777" w:rsidR="002C50B6" w:rsidRDefault="002C50B6" w:rsidP="000E09DC">
      <w:r>
        <w:separator/>
      </w:r>
    </w:p>
  </w:endnote>
  <w:endnote w:type="continuationSeparator" w:id="0">
    <w:p w14:paraId="7A9E738A" w14:textId="77777777" w:rsidR="002C50B6" w:rsidRDefault="002C50B6"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2BC0" w14:textId="77777777" w:rsidR="002C50B6" w:rsidRDefault="002C50B6" w:rsidP="000E09DC">
      <w:r>
        <w:separator/>
      </w:r>
    </w:p>
  </w:footnote>
  <w:footnote w:type="continuationSeparator" w:id="0">
    <w:p w14:paraId="0021855A" w14:textId="77777777" w:rsidR="002C50B6" w:rsidRDefault="002C50B6" w:rsidP="000E09DC">
      <w:r>
        <w:continuationSeparator/>
      </w:r>
    </w:p>
  </w:footnote>
  <w:footnote w:id="1">
    <w:p w14:paraId="4C9E2928" w14:textId="2946CED9" w:rsidR="002D3F6F" w:rsidRDefault="002D3F6F" w:rsidP="00B51C0C">
      <w:pPr>
        <w:spacing w:before="0" w:after="0"/>
      </w:pPr>
      <w:r>
        <w:rPr>
          <w:rStyle w:val="FootnoteReference"/>
        </w:rPr>
        <w:footnoteRef/>
      </w:r>
      <w:r>
        <w:t xml:space="preserve"> The PTR criteria outlined in this table pertain only to charter schools submitting funding determination requests for their NCB instruction. All charter schools offering independent study are required to comply with the ADA</w:t>
      </w:r>
      <w:r w:rsidR="00DA7309">
        <w:t xml:space="preserve"> </w:t>
      </w:r>
      <w:r>
        <w:t xml:space="preserve">to certificated-employee ratios outlined in </w:t>
      </w:r>
      <w:r>
        <w:rPr>
          <w:i/>
        </w:rPr>
        <w:t xml:space="preserve">EC </w:t>
      </w:r>
      <w:r>
        <w:t>Section 51745.6.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038" w14:textId="2493FC5A" w:rsidR="00ED6047" w:rsidRPr="002D6EC8" w:rsidRDefault="00ED6047" w:rsidP="00BA695B">
    <w:pPr>
      <w:spacing w:after="0"/>
      <w:jc w:val="right"/>
    </w:pPr>
    <w:r w:rsidRPr="00780B44">
      <w:rPr>
        <w:rFonts w:cs="Arial"/>
      </w:rPr>
      <w:t>accs-</w:t>
    </w:r>
    <w:r w:rsidR="00767368">
      <w:rPr>
        <w:rFonts w:cs="Arial"/>
      </w:rPr>
      <w:t>dec</w:t>
    </w:r>
    <w:r w:rsidR="0077626A">
      <w:rPr>
        <w:rFonts w:cs="Arial"/>
      </w:rPr>
      <w:t>25</w:t>
    </w:r>
    <w:r w:rsidRPr="00780B44">
      <w:rPr>
        <w:rFonts w:cs="Arial"/>
      </w:rPr>
      <w:t>item0</w:t>
    </w:r>
    <w:r w:rsidR="00C04C79">
      <w:rPr>
        <w:rFonts w:cs="Arial"/>
      </w:rPr>
      <w:t>2</w:t>
    </w:r>
  </w:p>
  <w:p w14:paraId="75409F1F" w14:textId="14DD17C8" w:rsidR="00ED6047" w:rsidRDefault="00ED6047" w:rsidP="00BA695B">
    <w:pPr>
      <w:pStyle w:val="Header"/>
      <w:spacing w:before="0"/>
      <w:jc w:val="right"/>
      <w:rPr>
        <w:rFonts w:cs="Arial"/>
        <w:bCs/>
      </w:rPr>
    </w:pPr>
    <w:r w:rsidRPr="00635042">
      <w:rPr>
        <w:rFonts w:cs="Arial"/>
      </w:rPr>
      <w:t xml:space="preserve">Page </w:t>
    </w:r>
    <w:r w:rsidRPr="00635042">
      <w:rPr>
        <w:rFonts w:cs="Arial"/>
        <w:bCs/>
      </w:rPr>
      <w:fldChar w:fldCharType="begin"/>
    </w:r>
    <w:r w:rsidRPr="00635042">
      <w:rPr>
        <w:rFonts w:cs="Arial"/>
        <w:bCs/>
      </w:rPr>
      <w:instrText xml:space="preserve"> PAGE  \* Arabic  \* MERGEFORMAT </w:instrText>
    </w:r>
    <w:r w:rsidRPr="00635042">
      <w:rPr>
        <w:rFonts w:cs="Arial"/>
        <w:bCs/>
      </w:rPr>
      <w:fldChar w:fldCharType="separate"/>
    </w:r>
    <w:r w:rsidR="0083556E">
      <w:rPr>
        <w:rFonts w:cs="Arial"/>
        <w:bCs/>
        <w:noProof/>
      </w:rPr>
      <w:t>8</w:t>
    </w:r>
    <w:r w:rsidRPr="00635042">
      <w:rPr>
        <w:rFonts w:cs="Arial"/>
        <w:bCs/>
      </w:rPr>
      <w:fldChar w:fldCharType="end"/>
    </w:r>
    <w:r w:rsidRPr="00635042">
      <w:rPr>
        <w:rFonts w:cs="Arial"/>
      </w:rPr>
      <w:t xml:space="preserve"> of </w:t>
    </w:r>
    <w:r w:rsidRPr="00635042">
      <w:rPr>
        <w:rFonts w:cs="Arial"/>
        <w:bCs/>
      </w:rPr>
      <w:fldChar w:fldCharType="begin"/>
    </w:r>
    <w:r w:rsidRPr="00635042">
      <w:rPr>
        <w:rFonts w:cs="Arial"/>
        <w:bCs/>
      </w:rPr>
      <w:instrText xml:space="preserve"> NUMPAGES  \* Arabic  \* MERGEFORMAT </w:instrText>
    </w:r>
    <w:r w:rsidRPr="00635042">
      <w:rPr>
        <w:rFonts w:cs="Arial"/>
        <w:bCs/>
      </w:rPr>
      <w:fldChar w:fldCharType="separate"/>
    </w:r>
    <w:r w:rsidR="0083556E">
      <w:rPr>
        <w:rFonts w:cs="Arial"/>
        <w:bCs/>
        <w:noProof/>
      </w:rPr>
      <w:t>22</w:t>
    </w:r>
    <w:r w:rsidRPr="00635042">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458"/>
    <w:multiLevelType w:val="hybridMultilevel"/>
    <w:tmpl w:val="9316303E"/>
    <w:lvl w:ilvl="0" w:tplc="2312B8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B88BB4E">
      <w:start w:val="1"/>
      <w:numFmt w:val="bullet"/>
      <w:lvlText w:val=""/>
      <w:lvlJc w:val="left"/>
      <w:pPr>
        <w:tabs>
          <w:tab w:val="num" w:pos="1800"/>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2D13"/>
    <w:multiLevelType w:val="hybridMultilevel"/>
    <w:tmpl w:val="6E76FCC8"/>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E751F"/>
    <w:multiLevelType w:val="hybridMultilevel"/>
    <w:tmpl w:val="10DAE4C4"/>
    <w:lvl w:ilvl="0" w:tplc="FA38F25E">
      <w:start w:val="1"/>
      <w:numFmt w:val="decimal"/>
      <w:lvlText w:val="%1."/>
      <w:lvlJc w:val="left"/>
      <w:pPr>
        <w:ind w:left="720" w:hanging="360"/>
      </w:pPr>
      <w:rPr>
        <w:rFonts w:ascii="Arial" w:eastAsia="Times New Roman"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67A71"/>
    <w:multiLevelType w:val="hybridMultilevel"/>
    <w:tmpl w:val="38ACB1BE"/>
    <w:lvl w:ilvl="0" w:tplc="618A784A">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127BB3"/>
    <w:multiLevelType w:val="hybridMultilevel"/>
    <w:tmpl w:val="D0109102"/>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9" w15:restartNumberingAfterBreak="0">
    <w:nsid w:val="384866F6"/>
    <w:multiLevelType w:val="hybridMultilevel"/>
    <w:tmpl w:val="ACC23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E0988"/>
    <w:multiLevelType w:val="hybridMultilevel"/>
    <w:tmpl w:val="7C566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C572B"/>
    <w:multiLevelType w:val="hybridMultilevel"/>
    <w:tmpl w:val="B4A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F113F"/>
    <w:multiLevelType w:val="hybridMultilevel"/>
    <w:tmpl w:val="F48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427159"/>
    <w:multiLevelType w:val="hybridMultilevel"/>
    <w:tmpl w:val="5DEEF5CC"/>
    <w:lvl w:ilvl="0" w:tplc="04090001">
      <w:start w:val="1"/>
      <w:numFmt w:val="bullet"/>
      <w:lvlText w:val=""/>
      <w:lvlJc w:val="left"/>
      <w:pPr>
        <w:ind w:left="720" w:hanging="360"/>
      </w:pPr>
      <w:rPr>
        <w:rFonts w:ascii="Symbol" w:hAnsi="Symbol" w:hint="default"/>
      </w:rPr>
    </w:lvl>
    <w:lvl w:ilvl="1" w:tplc="280EF16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E03895"/>
    <w:multiLevelType w:val="hybridMultilevel"/>
    <w:tmpl w:val="F9CA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139D6"/>
    <w:multiLevelType w:val="hybridMultilevel"/>
    <w:tmpl w:val="0CAE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324768"/>
    <w:multiLevelType w:val="hybridMultilevel"/>
    <w:tmpl w:val="2B1C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A6D6A"/>
    <w:multiLevelType w:val="hybridMultilevel"/>
    <w:tmpl w:val="92A6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84A0A"/>
    <w:multiLevelType w:val="hybridMultilevel"/>
    <w:tmpl w:val="637AB7DC"/>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200886">
    <w:abstractNumId w:val="7"/>
  </w:num>
  <w:num w:numId="2" w16cid:durableId="1575162774">
    <w:abstractNumId w:val="18"/>
  </w:num>
  <w:num w:numId="3" w16cid:durableId="1082946243">
    <w:abstractNumId w:val="4"/>
  </w:num>
  <w:num w:numId="4" w16cid:durableId="580677715">
    <w:abstractNumId w:val="14"/>
  </w:num>
  <w:num w:numId="5" w16cid:durableId="223564931">
    <w:abstractNumId w:val="15"/>
  </w:num>
  <w:num w:numId="6" w16cid:durableId="1153178737">
    <w:abstractNumId w:val="1"/>
  </w:num>
  <w:num w:numId="7" w16cid:durableId="801383498">
    <w:abstractNumId w:val="5"/>
  </w:num>
  <w:num w:numId="8" w16cid:durableId="1875774000">
    <w:abstractNumId w:val="11"/>
  </w:num>
  <w:num w:numId="9" w16cid:durableId="789931360">
    <w:abstractNumId w:val="12"/>
  </w:num>
  <w:num w:numId="10" w16cid:durableId="457727147">
    <w:abstractNumId w:val="20"/>
  </w:num>
  <w:num w:numId="11" w16cid:durableId="2024091561">
    <w:abstractNumId w:val="0"/>
  </w:num>
  <w:num w:numId="12" w16cid:durableId="1474370986">
    <w:abstractNumId w:val="17"/>
  </w:num>
  <w:num w:numId="13" w16cid:durableId="2086367707">
    <w:abstractNumId w:val="13"/>
  </w:num>
  <w:num w:numId="14" w16cid:durableId="1028801320">
    <w:abstractNumId w:val="16"/>
  </w:num>
  <w:num w:numId="15" w16cid:durableId="1293485530">
    <w:abstractNumId w:val="19"/>
  </w:num>
  <w:num w:numId="16" w16cid:durableId="901873243">
    <w:abstractNumId w:val="10"/>
  </w:num>
  <w:num w:numId="17" w16cid:durableId="1918710025">
    <w:abstractNumId w:val="6"/>
  </w:num>
  <w:num w:numId="18" w16cid:durableId="1503886947">
    <w:abstractNumId w:val="8"/>
  </w:num>
  <w:num w:numId="19" w16cid:durableId="511603527">
    <w:abstractNumId w:val="2"/>
  </w:num>
  <w:num w:numId="20" w16cid:durableId="1738212051">
    <w:abstractNumId w:val="21"/>
  </w:num>
  <w:num w:numId="21" w16cid:durableId="1091703620">
    <w:abstractNumId w:val="9"/>
  </w:num>
  <w:num w:numId="22" w16cid:durableId="138966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A4"/>
    <w:rsid w:val="000040D5"/>
    <w:rsid w:val="00005E7A"/>
    <w:rsid w:val="00007168"/>
    <w:rsid w:val="000078D8"/>
    <w:rsid w:val="00007A95"/>
    <w:rsid w:val="000134A9"/>
    <w:rsid w:val="000158DF"/>
    <w:rsid w:val="00015BB5"/>
    <w:rsid w:val="00016277"/>
    <w:rsid w:val="0002167C"/>
    <w:rsid w:val="00022C31"/>
    <w:rsid w:val="00024458"/>
    <w:rsid w:val="00024BC9"/>
    <w:rsid w:val="000250AA"/>
    <w:rsid w:val="00025553"/>
    <w:rsid w:val="00026939"/>
    <w:rsid w:val="000270E5"/>
    <w:rsid w:val="000271AE"/>
    <w:rsid w:val="0003052B"/>
    <w:rsid w:val="000321AE"/>
    <w:rsid w:val="000322C2"/>
    <w:rsid w:val="000324AD"/>
    <w:rsid w:val="00032BFA"/>
    <w:rsid w:val="00032E97"/>
    <w:rsid w:val="000362FA"/>
    <w:rsid w:val="00045566"/>
    <w:rsid w:val="00045B9A"/>
    <w:rsid w:val="00046E4D"/>
    <w:rsid w:val="000471CA"/>
    <w:rsid w:val="00047C0E"/>
    <w:rsid w:val="00050515"/>
    <w:rsid w:val="00052C32"/>
    <w:rsid w:val="00056B48"/>
    <w:rsid w:val="00061D6F"/>
    <w:rsid w:val="00062D56"/>
    <w:rsid w:val="00067935"/>
    <w:rsid w:val="00072FF2"/>
    <w:rsid w:val="000739CA"/>
    <w:rsid w:val="00073CF7"/>
    <w:rsid w:val="0007597D"/>
    <w:rsid w:val="00076054"/>
    <w:rsid w:val="000802E2"/>
    <w:rsid w:val="0008146C"/>
    <w:rsid w:val="00081E94"/>
    <w:rsid w:val="00082A65"/>
    <w:rsid w:val="000877BE"/>
    <w:rsid w:val="00087A22"/>
    <w:rsid w:val="0009137E"/>
    <w:rsid w:val="00091CDC"/>
    <w:rsid w:val="000928B7"/>
    <w:rsid w:val="00092FB4"/>
    <w:rsid w:val="00092FF8"/>
    <w:rsid w:val="000951F6"/>
    <w:rsid w:val="00096A45"/>
    <w:rsid w:val="00096E2A"/>
    <w:rsid w:val="000A0F33"/>
    <w:rsid w:val="000A21F0"/>
    <w:rsid w:val="000A2291"/>
    <w:rsid w:val="000A2957"/>
    <w:rsid w:val="000A50E0"/>
    <w:rsid w:val="000A5399"/>
    <w:rsid w:val="000A5C9A"/>
    <w:rsid w:val="000A67A1"/>
    <w:rsid w:val="000A69F7"/>
    <w:rsid w:val="000B1178"/>
    <w:rsid w:val="000B16D7"/>
    <w:rsid w:val="000B1EA8"/>
    <w:rsid w:val="000B5957"/>
    <w:rsid w:val="000B782A"/>
    <w:rsid w:val="000B786B"/>
    <w:rsid w:val="000C1BBE"/>
    <w:rsid w:val="000C2BC0"/>
    <w:rsid w:val="000C4FFF"/>
    <w:rsid w:val="000C5AE0"/>
    <w:rsid w:val="000C6695"/>
    <w:rsid w:val="000D2826"/>
    <w:rsid w:val="000D3669"/>
    <w:rsid w:val="000D5F5E"/>
    <w:rsid w:val="000D60AC"/>
    <w:rsid w:val="000D69A7"/>
    <w:rsid w:val="000D6A33"/>
    <w:rsid w:val="000D791F"/>
    <w:rsid w:val="000E09DC"/>
    <w:rsid w:val="000E2B68"/>
    <w:rsid w:val="000E3457"/>
    <w:rsid w:val="000E3913"/>
    <w:rsid w:val="000E3F5A"/>
    <w:rsid w:val="000E58DE"/>
    <w:rsid w:val="000E7007"/>
    <w:rsid w:val="000F0942"/>
    <w:rsid w:val="000F19E4"/>
    <w:rsid w:val="000F2AE4"/>
    <w:rsid w:val="000F2BEA"/>
    <w:rsid w:val="000F3CED"/>
    <w:rsid w:val="000F50C4"/>
    <w:rsid w:val="000F64AB"/>
    <w:rsid w:val="00100430"/>
    <w:rsid w:val="0010269E"/>
    <w:rsid w:val="00102B36"/>
    <w:rsid w:val="00103AD4"/>
    <w:rsid w:val="00104466"/>
    <w:rsid w:val="001048F3"/>
    <w:rsid w:val="0010793A"/>
    <w:rsid w:val="0011073C"/>
    <w:rsid w:val="001112C1"/>
    <w:rsid w:val="001115F5"/>
    <w:rsid w:val="00111ABD"/>
    <w:rsid w:val="001125BF"/>
    <w:rsid w:val="001130DE"/>
    <w:rsid w:val="00113265"/>
    <w:rsid w:val="0011362F"/>
    <w:rsid w:val="0011561F"/>
    <w:rsid w:val="00120906"/>
    <w:rsid w:val="00120A8E"/>
    <w:rsid w:val="00121659"/>
    <w:rsid w:val="0012261E"/>
    <w:rsid w:val="00122D52"/>
    <w:rsid w:val="001231C4"/>
    <w:rsid w:val="00124D2D"/>
    <w:rsid w:val="00124DA1"/>
    <w:rsid w:val="0012534F"/>
    <w:rsid w:val="00130059"/>
    <w:rsid w:val="0013142F"/>
    <w:rsid w:val="0013171B"/>
    <w:rsid w:val="001318A9"/>
    <w:rsid w:val="00132D56"/>
    <w:rsid w:val="00133974"/>
    <w:rsid w:val="00134328"/>
    <w:rsid w:val="00134606"/>
    <w:rsid w:val="001368D1"/>
    <w:rsid w:val="00143A5C"/>
    <w:rsid w:val="00144B53"/>
    <w:rsid w:val="00144EAC"/>
    <w:rsid w:val="001466ED"/>
    <w:rsid w:val="00150C21"/>
    <w:rsid w:val="001517CB"/>
    <w:rsid w:val="00151C09"/>
    <w:rsid w:val="00155917"/>
    <w:rsid w:val="00156EAB"/>
    <w:rsid w:val="00161F58"/>
    <w:rsid w:val="00162515"/>
    <w:rsid w:val="00163564"/>
    <w:rsid w:val="0016380B"/>
    <w:rsid w:val="0016396E"/>
    <w:rsid w:val="001649DA"/>
    <w:rsid w:val="00166D94"/>
    <w:rsid w:val="00167DCA"/>
    <w:rsid w:val="00171875"/>
    <w:rsid w:val="001739CD"/>
    <w:rsid w:val="00174C93"/>
    <w:rsid w:val="00177405"/>
    <w:rsid w:val="00180195"/>
    <w:rsid w:val="0018148D"/>
    <w:rsid w:val="0018298E"/>
    <w:rsid w:val="0018494B"/>
    <w:rsid w:val="00186178"/>
    <w:rsid w:val="00186990"/>
    <w:rsid w:val="00186DCB"/>
    <w:rsid w:val="00187317"/>
    <w:rsid w:val="00187A59"/>
    <w:rsid w:val="001920AE"/>
    <w:rsid w:val="0019312F"/>
    <w:rsid w:val="0019341A"/>
    <w:rsid w:val="001947B1"/>
    <w:rsid w:val="00194FFD"/>
    <w:rsid w:val="0019758E"/>
    <w:rsid w:val="001A0AEA"/>
    <w:rsid w:val="001A0CA5"/>
    <w:rsid w:val="001A1352"/>
    <w:rsid w:val="001A1F3E"/>
    <w:rsid w:val="001A240A"/>
    <w:rsid w:val="001A492E"/>
    <w:rsid w:val="001B127C"/>
    <w:rsid w:val="001B13A7"/>
    <w:rsid w:val="001B1A02"/>
    <w:rsid w:val="001B2D79"/>
    <w:rsid w:val="001B3958"/>
    <w:rsid w:val="001B4D30"/>
    <w:rsid w:val="001C0A8F"/>
    <w:rsid w:val="001C20F2"/>
    <w:rsid w:val="001C3D3B"/>
    <w:rsid w:val="001C48D4"/>
    <w:rsid w:val="001C5154"/>
    <w:rsid w:val="001C723E"/>
    <w:rsid w:val="001D091B"/>
    <w:rsid w:val="001D1372"/>
    <w:rsid w:val="001D4472"/>
    <w:rsid w:val="001D4978"/>
    <w:rsid w:val="001D7FAC"/>
    <w:rsid w:val="001E0268"/>
    <w:rsid w:val="001E0FE8"/>
    <w:rsid w:val="001E1929"/>
    <w:rsid w:val="001E2A2F"/>
    <w:rsid w:val="001E3B8E"/>
    <w:rsid w:val="001E5813"/>
    <w:rsid w:val="001E68EA"/>
    <w:rsid w:val="001F02BE"/>
    <w:rsid w:val="001F0829"/>
    <w:rsid w:val="001F1ACD"/>
    <w:rsid w:val="001F1FD5"/>
    <w:rsid w:val="001F47AD"/>
    <w:rsid w:val="001F4C31"/>
    <w:rsid w:val="001F7D78"/>
    <w:rsid w:val="00200D9F"/>
    <w:rsid w:val="00200DC8"/>
    <w:rsid w:val="0020119D"/>
    <w:rsid w:val="00202C44"/>
    <w:rsid w:val="00202E3D"/>
    <w:rsid w:val="00202FEC"/>
    <w:rsid w:val="00203AD7"/>
    <w:rsid w:val="00203C3F"/>
    <w:rsid w:val="002060E7"/>
    <w:rsid w:val="00206C14"/>
    <w:rsid w:val="00210C97"/>
    <w:rsid w:val="0021116D"/>
    <w:rsid w:val="00211328"/>
    <w:rsid w:val="00211E16"/>
    <w:rsid w:val="0021584F"/>
    <w:rsid w:val="002174CC"/>
    <w:rsid w:val="00222F10"/>
    <w:rsid w:val="00223112"/>
    <w:rsid w:val="002240A6"/>
    <w:rsid w:val="00225301"/>
    <w:rsid w:val="00226983"/>
    <w:rsid w:val="00226AE6"/>
    <w:rsid w:val="002271A7"/>
    <w:rsid w:val="00230265"/>
    <w:rsid w:val="00230910"/>
    <w:rsid w:val="00231399"/>
    <w:rsid w:val="0023418A"/>
    <w:rsid w:val="00234DCD"/>
    <w:rsid w:val="00236034"/>
    <w:rsid w:val="00240622"/>
    <w:rsid w:val="00240B26"/>
    <w:rsid w:val="00241423"/>
    <w:rsid w:val="0024710C"/>
    <w:rsid w:val="00251AE1"/>
    <w:rsid w:val="00251C9D"/>
    <w:rsid w:val="00251CDA"/>
    <w:rsid w:val="0025231A"/>
    <w:rsid w:val="00252C96"/>
    <w:rsid w:val="00256310"/>
    <w:rsid w:val="00256B7F"/>
    <w:rsid w:val="00257538"/>
    <w:rsid w:val="00257DD2"/>
    <w:rsid w:val="00257EE2"/>
    <w:rsid w:val="00260F54"/>
    <w:rsid w:val="00261B72"/>
    <w:rsid w:val="00262912"/>
    <w:rsid w:val="002631D5"/>
    <w:rsid w:val="00263A48"/>
    <w:rsid w:val="00263CBB"/>
    <w:rsid w:val="00265C3A"/>
    <w:rsid w:val="00267AD8"/>
    <w:rsid w:val="00270D4D"/>
    <w:rsid w:val="00272B4F"/>
    <w:rsid w:val="00272FFD"/>
    <w:rsid w:val="00273931"/>
    <w:rsid w:val="0028056A"/>
    <w:rsid w:val="00282EB4"/>
    <w:rsid w:val="00284D03"/>
    <w:rsid w:val="00285BE7"/>
    <w:rsid w:val="002860DF"/>
    <w:rsid w:val="00290AE6"/>
    <w:rsid w:val="00291AB7"/>
    <w:rsid w:val="0029513D"/>
    <w:rsid w:val="00295DCA"/>
    <w:rsid w:val="00296058"/>
    <w:rsid w:val="002A09AA"/>
    <w:rsid w:val="002A1893"/>
    <w:rsid w:val="002A1ABA"/>
    <w:rsid w:val="002A263F"/>
    <w:rsid w:val="002A2F26"/>
    <w:rsid w:val="002A35EB"/>
    <w:rsid w:val="002A772A"/>
    <w:rsid w:val="002B0C15"/>
    <w:rsid w:val="002B2176"/>
    <w:rsid w:val="002B30C9"/>
    <w:rsid w:val="002B3373"/>
    <w:rsid w:val="002B3395"/>
    <w:rsid w:val="002B48DD"/>
    <w:rsid w:val="002B4B14"/>
    <w:rsid w:val="002B76CC"/>
    <w:rsid w:val="002C404D"/>
    <w:rsid w:val="002C407A"/>
    <w:rsid w:val="002C50B6"/>
    <w:rsid w:val="002C6265"/>
    <w:rsid w:val="002C71F2"/>
    <w:rsid w:val="002C7705"/>
    <w:rsid w:val="002C7B8C"/>
    <w:rsid w:val="002D03C1"/>
    <w:rsid w:val="002D1A82"/>
    <w:rsid w:val="002D3F6F"/>
    <w:rsid w:val="002D49FB"/>
    <w:rsid w:val="002D6310"/>
    <w:rsid w:val="002D6A30"/>
    <w:rsid w:val="002D6EC8"/>
    <w:rsid w:val="002E216A"/>
    <w:rsid w:val="002E261D"/>
    <w:rsid w:val="002E4CB5"/>
    <w:rsid w:val="002E52C1"/>
    <w:rsid w:val="002E5985"/>
    <w:rsid w:val="002E657C"/>
    <w:rsid w:val="002E6FCA"/>
    <w:rsid w:val="002F07AE"/>
    <w:rsid w:val="002F0E0D"/>
    <w:rsid w:val="002F279B"/>
    <w:rsid w:val="002F42F6"/>
    <w:rsid w:val="002F658E"/>
    <w:rsid w:val="002F7D01"/>
    <w:rsid w:val="003005BC"/>
    <w:rsid w:val="00300999"/>
    <w:rsid w:val="003038F1"/>
    <w:rsid w:val="00306B75"/>
    <w:rsid w:val="00310477"/>
    <w:rsid w:val="00312309"/>
    <w:rsid w:val="00314632"/>
    <w:rsid w:val="00315131"/>
    <w:rsid w:val="003156E5"/>
    <w:rsid w:val="00315987"/>
    <w:rsid w:val="003167D5"/>
    <w:rsid w:val="003170EF"/>
    <w:rsid w:val="0031775D"/>
    <w:rsid w:val="00317B34"/>
    <w:rsid w:val="00320FA9"/>
    <w:rsid w:val="00321613"/>
    <w:rsid w:val="0032296D"/>
    <w:rsid w:val="00323F65"/>
    <w:rsid w:val="00326F80"/>
    <w:rsid w:val="0032779B"/>
    <w:rsid w:val="0033614B"/>
    <w:rsid w:val="00337321"/>
    <w:rsid w:val="003420FC"/>
    <w:rsid w:val="00342F6A"/>
    <w:rsid w:val="003445D1"/>
    <w:rsid w:val="003453FB"/>
    <w:rsid w:val="0035057A"/>
    <w:rsid w:val="00351B8D"/>
    <w:rsid w:val="00351C71"/>
    <w:rsid w:val="003533D1"/>
    <w:rsid w:val="0035416F"/>
    <w:rsid w:val="003546A4"/>
    <w:rsid w:val="00357857"/>
    <w:rsid w:val="00357D80"/>
    <w:rsid w:val="003623A8"/>
    <w:rsid w:val="00363520"/>
    <w:rsid w:val="00364CB8"/>
    <w:rsid w:val="00364D3C"/>
    <w:rsid w:val="003705FC"/>
    <w:rsid w:val="00370665"/>
    <w:rsid w:val="0037113F"/>
    <w:rsid w:val="003717E0"/>
    <w:rsid w:val="00371992"/>
    <w:rsid w:val="00373BBB"/>
    <w:rsid w:val="00374D3F"/>
    <w:rsid w:val="00375DEA"/>
    <w:rsid w:val="003772A9"/>
    <w:rsid w:val="003777B2"/>
    <w:rsid w:val="00377DB5"/>
    <w:rsid w:val="00380371"/>
    <w:rsid w:val="00380AAB"/>
    <w:rsid w:val="00382A4D"/>
    <w:rsid w:val="00384ACF"/>
    <w:rsid w:val="00385EEA"/>
    <w:rsid w:val="003875EB"/>
    <w:rsid w:val="0039031C"/>
    <w:rsid w:val="00390A50"/>
    <w:rsid w:val="00391DDA"/>
    <w:rsid w:val="00391ED6"/>
    <w:rsid w:val="003930C9"/>
    <w:rsid w:val="00397AC2"/>
    <w:rsid w:val="003A3785"/>
    <w:rsid w:val="003A4D7D"/>
    <w:rsid w:val="003A71E9"/>
    <w:rsid w:val="003B0477"/>
    <w:rsid w:val="003B0728"/>
    <w:rsid w:val="003B0BAC"/>
    <w:rsid w:val="003B2F22"/>
    <w:rsid w:val="003B307B"/>
    <w:rsid w:val="003B32AD"/>
    <w:rsid w:val="003B5617"/>
    <w:rsid w:val="003B5B8E"/>
    <w:rsid w:val="003B6BCE"/>
    <w:rsid w:val="003C103C"/>
    <w:rsid w:val="003C1094"/>
    <w:rsid w:val="003C1708"/>
    <w:rsid w:val="003C299C"/>
    <w:rsid w:val="003D1ECD"/>
    <w:rsid w:val="003D29F0"/>
    <w:rsid w:val="003D4304"/>
    <w:rsid w:val="003D481B"/>
    <w:rsid w:val="003D6C81"/>
    <w:rsid w:val="003D6DB2"/>
    <w:rsid w:val="003E0888"/>
    <w:rsid w:val="003E1E8D"/>
    <w:rsid w:val="003E1F44"/>
    <w:rsid w:val="003E4DF7"/>
    <w:rsid w:val="003E53AD"/>
    <w:rsid w:val="003E581D"/>
    <w:rsid w:val="003E5E78"/>
    <w:rsid w:val="003E6800"/>
    <w:rsid w:val="003F0F47"/>
    <w:rsid w:val="003F61DE"/>
    <w:rsid w:val="003F6270"/>
    <w:rsid w:val="003F6F98"/>
    <w:rsid w:val="003F70C2"/>
    <w:rsid w:val="0040231F"/>
    <w:rsid w:val="004041BC"/>
    <w:rsid w:val="00406F50"/>
    <w:rsid w:val="00407327"/>
    <w:rsid w:val="00407926"/>
    <w:rsid w:val="00407AA4"/>
    <w:rsid w:val="00407E9B"/>
    <w:rsid w:val="00407F82"/>
    <w:rsid w:val="00410BC6"/>
    <w:rsid w:val="00411671"/>
    <w:rsid w:val="00413525"/>
    <w:rsid w:val="004140B6"/>
    <w:rsid w:val="0041467B"/>
    <w:rsid w:val="00415285"/>
    <w:rsid w:val="0041581E"/>
    <w:rsid w:val="00417B7E"/>
    <w:rsid w:val="00417CF6"/>
    <w:rsid w:val="00420235"/>
    <w:rsid w:val="004203BC"/>
    <w:rsid w:val="00422226"/>
    <w:rsid w:val="004229C3"/>
    <w:rsid w:val="004248D0"/>
    <w:rsid w:val="00426106"/>
    <w:rsid w:val="0042654E"/>
    <w:rsid w:val="00430094"/>
    <w:rsid w:val="00431E96"/>
    <w:rsid w:val="00432357"/>
    <w:rsid w:val="00433796"/>
    <w:rsid w:val="0043383E"/>
    <w:rsid w:val="00440D88"/>
    <w:rsid w:val="00443642"/>
    <w:rsid w:val="0044368B"/>
    <w:rsid w:val="00443B1F"/>
    <w:rsid w:val="00444038"/>
    <w:rsid w:val="004461BE"/>
    <w:rsid w:val="0044659F"/>
    <w:rsid w:val="0044670C"/>
    <w:rsid w:val="004473C6"/>
    <w:rsid w:val="00450C7F"/>
    <w:rsid w:val="00450E5F"/>
    <w:rsid w:val="00455640"/>
    <w:rsid w:val="00456605"/>
    <w:rsid w:val="004567FB"/>
    <w:rsid w:val="00461129"/>
    <w:rsid w:val="00462613"/>
    <w:rsid w:val="00462A53"/>
    <w:rsid w:val="00463CAE"/>
    <w:rsid w:val="0046519F"/>
    <w:rsid w:val="00465344"/>
    <w:rsid w:val="00465E42"/>
    <w:rsid w:val="00466B67"/>
    <w:rsid w:val="00467ECE"/>
    <w:rsid w:val="004731D4"/>
    <w:rsid w:val="00474706"/>
    <w:rsid w:val="0047534A"/>
    <w:rsid w:val="0047536C"/>
    <w:rsid w:val="00477636"/>
    <w:rsid w:val="004778BB"/>
    <w:rsid w:val="00484D20"/>
    <w:rsid w:val="004868FF"/>
    <w:rsid w:val="00490093"/>
    <w:rsid w:val="004903FA"/>
    <w:rsid w:val="00492F24"/>
    <w:rsid w:val="00493663"/>
    <w:rsid w:val="00494003"/>
    <w:rsid w:val="004947BC"/>
    <w:rsid w:val="00494B89"/>
    <w:rsid w:val="004A12C2"/>
    <w:rsid w:val="004A184E"/>
    <w:rsid w:val="004A497F"/>
    <w:rsid w:val="004A5744"/>
    <w:rsid w:val="004A64B5"/>
    <w:rsid w:val="004A7EFB"/>
    <w:rsid w:val="004B3907"/>
    <w:rsid w:val="004B535B"/>
    <w:rsid w:val="004B5A71"/>
    <w:rsid w:val="004B605A"/>
    <w:rsid w:val="004B6C45"/>
    <w:rsid w:val="004C1016"/>
    <w:rsid w:val="004C22C3"/>
    <w:rsid w:val="004C2967"/>
    <w:rsid w:val="004C51DD"/>
    <w:rsid w:val="004C7D67"/>
    <w:rsid w:val="004D1B6B"/>
    <w:rsid w:val="004D44F1"/>
    <w:rsid w:val="004D7581"/>
    <w:rsid w:val="004D77E0"/>
    <w:rsid w:val="004D7E48"/>
    <w:rsid w:val="004E029B"/>
    <w:rsid w:val="004E2ADC"/>
    <w:rsid w:val="004E3ACE"/>
    <w:rsid w:val="004F03D0"/>
    <w:rsid w:val="004F117F"/>
    <w:rsid w:val="004F1692"/>
    <w:rsid w:val="004F1B26"/>
    <w:rsid w:val="004F2971"/>
    <w:rsid w:val="004F2C98"/>
    <w:rsid w:val="004F4157"/>
    <w:rsid w:val="004F527A"/>
    <w:rsid w:val="004F5298"/>
    <w:rsid w:val="004F60E9"/>
    <w:rsid w:val="004F63BC"/>
    <w:rsid w:val="0050238C"/>
    <w:rsid w:val="0050246D"/>
    <w:rsid w:val="00503711"/>
    <w:rsid w:val="00505819"/>
    <w:rsid w:val="0050644B"/>
    <w:rsid w:val="00507D87"/>
    <w:rsid w:val="00510736"/>
    <w:rsid w:val="00511788"/>
    <w:rsid w:val="005127CE"/>
    <w:rsid w:val="00512D1B"/>
    <w:rsid w:val="005135C7"/>
    <w:rsid w:val="0051536A"/>
    <w:rsid w:val="005153A3"/>
    <w:rsid w:val="005156AF"/>
    <w:rsid w:val="00517C00"/>
    <w:rsid w:val="00520DE0"/>
    <w:rsid w:val="00521C00"/>
    <w:rsid w:val="00522DD1"/>
    <w:rsid w:val="00524407"/>
    <w:rsid w:val="005245A8"/>
    <w:rsid w:val="00525A90"/>
    <w:rsid w:val="0052741C"/>
    <w:rsid w:val="00527B0E"/>
    <w:rsid w:val="005321D5"/>
    <w:rsid w:val="00532DAA"/>
    <w:rsid w:val="00532E0A"/>
    <w:rsid w:val="005350B0"/>
    <w:rsid w:val="00536715"/>
    <w:rsid w:val="00536910"/>
    <w:rsid w:val="00537460"/>
    <w:rsid w:val="0054059F"/>
    <w:rsid w:val="00541BEE"/>
    <w:rsid w:val="00543170"/>
    <w:rsid w:val="00544066"/>
    <w:rsid w:val="005444B7"/>
    <w:rsid w:val="00546C27"/>
    <w:rsid w:val="00546DFA"/>
    <w:rsid w:val="00546FCF"/>
    <w:rsid w:val="00550A90"/>
    <w:rsid w:val="00551D51"/>
    <w:rsid w:val="0055266E"/>
    <w:rsid w:val="00552F87"/>
    <w:rsid w:val="00553771"/>
    <w:rsid w:val="00553E11"/>
    <w:rsid w:val="00553EA1"/>
    <w:rsid w:val="0055423A"/>
    <w:rsid w:val="0055453B"/>
    <w:rsid w:val="00557D27"/>
    <w:rsid w:val="005606EE"/>
    <w:rsid w:val="00561A1A"/>
    <w:rsid w:val="005623C2"/>
    <w:rsid w:val="00562583"/>
    <w:rsid w:val="005627F9"/>
    <w:rsid w:val="00565B94"/>
    <w:rsid w:val="00570BF9"/>
    <w:rsid w:val="00570EBF"/>
    <w:rsid w:val="005713E5"/>
    <w:rsid w:val="0057149E"/>
    <w:rsid w:val="00573073"/>
    <w:rsid w:val="00573D57"/>
    <w:rsid w:val="005759A9"/>
    <w:rsid w:val="00577182"/>
    <w:rsid w:val="00584A4C"/>
    <w:rsid w:val="005878F1"/>
    <w:rsid w:val="00591A65"/>
    <w:rsid w:val="00595E73"/>
    <w:rsid w:val="00596260"/>
    <w:rsid w:val="0059761A"/>
    <w:rsid w:val="005A2FEC"/>
    <w:rsid w:val="005A3A88"/>
    <w:rsid w:val="005A3BE4"/>
    <w:rsid w:val="005A4CAF"/>
    <w:rsid w:val="005A560F"/>
    <w:rsid w:val="005A68CB"/>
    <w:rsid w:val="005A7073"/>
    <w:rsid w:val="005A72A8"/>
    <w:rsid w:val="005A78D1"/>
    <w:rsid w:val="005A7EAB"/>
    <w:rsid w:val="005B054C"/>
    <w:rsid w:val="005B1685"/>
    <w:rsid w:val="005B226A"/>
    <w:rsid w:val="005B3376"/>
    <w:rsid w:val="005B3F41"/>
    <w:rsid w:val="005B5A60"/>
    <w:rsid w:val="005C1989"/>
    <w:rsid w:val="005C364F"/>
    <w:rsid w:val="005C5755"/>
    <w:rsid w:val="005C6626"/>
    <w:rsid w:val="005C66DD"/>
    <w:rsid w:val="005D026E"/>
    <w:rsid w:val="005D136D"/>
    <w:rsid w:val="005D15C4"/>
    <w:rsid w:val="005D2360"/>
    <w:rsid w:val="005D2491"/>
    <w:rsid w:val="005D316B"/>
    <w:rsid w:val="005D4001"/>
    <w:rsid w:val="005D401E"/>
    <w:rsid w:val="005D49A4"/>
    <w:rsid w:val="005D49BA"/>
    <w:rsid w:val="005D630D"/>
    <w:rsid w:val="005D79E7"/>
    <w:rsid w:val="005E1957"/>
    <w:rsid w:val="005E55D3"/>
    <w:rsid w:val="005E703F"/>
    <w:rsid w:val="005E7911"/>
    <w:rsid w:val="005F0AAC"/>
    <w:rsid w:val="005F2054"/>
    <w:rsid w:val="005F3F07"/>
    <w:rsid w:val="005F5512"/>
    <w:rsid w:val="005F5A8D"/>
    <w:rsid w:val="005F685B"/>
    <w:rsid w:val="005F75D8"/>
    <w:rsid w:val="005F798C"/>
    <w:rsid w:val="00600FDE"/>
    <w:rsid w:val="00601159"/>
    <w:rsid w:val="006039F9"/>
    <w:rsid w:val="00604484"/>
    <w:rsid w:val="00604A25"/>
    <w:rsid w:val="0060519B"/>
    <w:rsid w:val="0060666A"/>
    <w:rsid w:val="00607345"/>
    <w:rsid w:val="006116D5"/>
    <w:rsid w:val="00611E7A"/>
    <w:rsid w:val="006134F7"/>
    <w:rsid w:val="00613E5A"/>
    <w:rsid w:val="00613E69"/>
    <w:rsid w:val="00615420"/>
    <w:rsid w:val="00615654"/>
    <w:rsid w:val="00616AB5"/>
    <w:rsid w:val="00616F04"/>
    <w:rsid w:val="00617C07"/>
    <w:rsid w:val="00620DC0"/>
    <w:rsid w:val="0062121B"/>
    <w:rsid w:val="00621659"/>
    <w:rsid w:val="00621C1D"/>
    <w:rsid w:val="00622569"/>
    <w:rsid w:val="00623D58"/>
    <w:rsid w:val="00624CCA"/>
    <w:rsid w:val="00626545"/>
    <w:rsid w:val="00627A4C"/>
    <w:rsid w:val="00630A9D"/>
    <w:rsid w:val="00632F7F"/>
    <w:rsid w:val="0063396B"/>
    <w:rsid w:val="0063493C"/>
    <w:rsid w:val="00635042"/>
    <w:rsid w:val="00637475"/>
    <w:rsid w:val="00640F56"/>
    <w:rsid w:val="00641BD8"/>
    <w:rsid w:val="00642448"/>
    <w:rsid w:val="006428FC"/>
    <w:rsid w:val="0064329F"/>
    <w:rsid w:val="0064373F"/>
    <w:rsid w:val="00643907"/>
    <w:rsid w:val="00643B7F"/>
    <w:rsid w:val="00643E34"/>
    <w:rsid w:val="00645F48"/>
    <w:rsid w:val="006508E0"/>
    <w:rsid w:val="0065340D"/>
    <w:rsid w:val="00653939"/>
    <w:rsid w:val="00653F15"/>
    <w:rsid w:val="006549D9"/>
    <w:rsid w:val="00655299"/>
    <w:rsid w:val="006552B5"/>
    <w:rsid w:val="00656222"/>
    <w:rsid w:val="00657561"/>
    <w:rsid w:val="006576AD"/>
    <w:rsid w:val="0066196C"/>
    <w:rsid w:val="0066777D"/>
    <w:rsid w:val="006738BA"/>
    <w:rsid w:val="00674E6D"/>
    <w:rsid w:val="0067669D"/>
    <w:rsid w:val="00676B70"/>
    <w:rsid w:val="00683A08"/>
    <w:rsid w:val="00684785"/>
    <w:rsid w:val="006860C8"/>
    <w:rsid w:val="00686576"/>
    <w:rsid w:val="00687809"/>
    <w:rsid w:val="00690FD1"/>
    <w:rsid w:val="006915AC"/>
    <w:rsid w:val="00692300"/>
    <w:rsid w:val="00693519"/>
    <w:rsid w:val="006938F3"/>
    <w:rsid w:val="00693951"/>
    <w:rsid w:val="006A1DB0"/>
    <w:rsid w:val="006A2812"/>
    <w:rsid w:val="006A4CD0"/>
    <w:rsid w:val="006A5802"/>
    <w:rsid w:val="006A602C"/>
    <w:rsid w:val="006A63C6"/>
    <w:rsid w:val="006A662A"/>
    <w:rsid w:val="006A75AC"/>
    <w:rsid w:val="006B1750"/>
    <w:rsid w:val="006B18B4"/>
    <w:rsid w:val="006B2111"/>
    <w:rsid w:val="006B2149"/>
    <w:rsid w:val="006B3785"/>
    <w:rsid w:val="006B64E7"/>
    <w:rsid w:val="006B68B0"/>
    <w:rsid w:val="006B7903"/>
    <w:rsid w:val="006C18DE"/>
    <w:rsid w:val="006C200B"/>
    <w:rsid w:val="006C2C71"/>
    <w:rsid w:val="006C4282"/>
    <w:rsid w:val="006C48C3"/>
    <w:rsid w:val="006C5172"/>
    <w:rsid w:val="006D0223"/>
    <w:rsid w:val="006D1229"/>
    <w:rsid w:val="006D1849"/>
    <w:rsid w:val="006D18B5"/>
    <w:rsid w:val="006D41C6"/>
    <w:rsid w:val="006D4288"/>
    <w:rsid w:val="006D6FC6"/>
    <w:rsid w:val="006E06C6"/>
    <w:rsid w:val="006E43D0"/>
    <w:rsid w:val="006E547B"/>
    <w:rsid w:val="006E6394"/>
    <w:rsid w:val="006E6E81"/>
    <w:rsid w:val="006F0696"/>
    <w:rsid w:val="006F1AB1"/>
    <w:rsid w:val="006F39B7"/>
    <w:rsid w:val="006F51A2"/>
    <w:rsid w:val="006F740B"/>
    <w:rsid w:val="006F797A"/>
    <w:rsid w:val="00700676"/>
    <w:rsid w:val="00702AB1"/>
    <w:rsid w:val="00703A53"/>
    <w:rsid w:val="007048C7"/>
    <w:rsid w:val="00704D3D"/>
    <w:rsid w:val="00710C96"/>
    <w:rsid w:val="00711399"/>
    <w:rsid w:val="00711FAC"/>
    <w:rsid w:val="00712081"/>
    <w:rsid w:val="00713E5C"/>
    <w:rsid w:val="007169F3"/>
    <w:rsid w:val="007178B7"/>
    <w:rsid w:val="007224CC"/>
    <w:rsid w:val="00726EDA"/>
    <w:rsid w:val="0072734E"/>
    <w:rsid w:val="007313A3"/>
    <w:rsid w:val="007317F0"/>
    <w:rsid w:val="00732F3F"/>
    <w:rsid w:val="00733945"/>
    <w:rsid w:val="00733C67"/>
    <w:rsid w:val="007400CB"/>
    <w:rsid w:val="007428B8"/>
    <w:rsid w:val="00743FCC"/>
    <w:rsid w:val="00744C16"/>
    <w:rsid w:val="00745856"/>
    <w:rsid w:val="00746164"/>
    <w:rsid w:val="00746CDB"/>
    <w:rsid w:val="00746ED5"/>
    <w:rsid w:val="00747694"/>
    <w:rsid w:val="007478FF"/>
    <w:rsid w:val="0075003E"/>
    <w:rsid w:val="007514ED"/>
    <w:rsid w:val="0075333A"/>
    <w:rsid w:val="00755493"/>
    <w:rsid w:val="00756D17"/>
    <w:rsid w:val="007603C5"/>
    <w:rsid w:val="00760C98"/>
    <w:rsid w:val="007617EF"/>
    <w:rsid w:val="00762830"/>
    <w:rsid w:val="00762F11"/>
    <w:rsid w:val="00764AEB"/>
    <w:rsid w:val="007651B6"/>
    <w:rsid w:val="00767368"/>
    <w:rsid w:val="00767A00"/>
    <w:rsid w:val="00771394"/>
    <w:rsid w:val="00771552"/>
    <w:rsid w:val="00772605"/>
    <w:rsid w:val="0077334B"/>
    <w:rsid w:val="007747DA"/>
    <w:rsid w:val="00774DAC"/>
    <w:rsid w:val="00775131"/>
    <w:rsid w:val="0077626A"/>
    <w:rsid w:val="00780B44"/>
    <w:rsid w:val="00780BB6"/>
    <w:rsid w:val="00781383"/>
    <w:rsid w:val="007839FB"/>
    <w:rsid w:val="0078476A"/>
    <w:rsid w:val="00786DA3"/>
    <w:rsid w:val="007913E7"/>
    <w:rsid w:val="007923E0"/>
    <w:rsid w:val="007934A1"/>
    <w:rsid w:val="007937C5"/>
    <w:rsid w:val="0079665E"/>
    <w:rsid w:val="007A0536"/>
    <w:rsid w:val="007A1DA6"/>
    <w:rsid w:val="007A2A8F"/>
    <w:rsid w:val="007A38E7"/>
    <w:rsid w:val="007A5826"/>
    <w:rsid w:val="007A6731"/>
    <w:rsid w:val="007A7F71"/>
    <w:rsid w:val="007B1C10"/>
    <w:rsid w:val="007B271A"/>
    <w:rsid w:val="007B7957"/>
    <w:rsid w:val="007C015A"/>
    <w:rsid w:val="007C090C"/>
    <w:rsid w:val="007C5697"/>
    <w:rsid w:val="007C6264"/>
    <w:rsid w:val="007D11F0"/>
    <w:rsid w:val="007D1330"/>
    <w:rsid w:val="007D2B86"/>
    <w:rsid w:val="007D4E8A"/>
    <w:rsid w:val="007D56F4"/>
    <w:rsid w:val="007D5B7A"/>
    <w:rsid w:val="007D5DE7"/>
    <w:rsid w:val="007D6A8F"/>
    <w:rsid w:val="007E2CBB"/>
    <w:rsid w:val="007E7B84"/>
    <w:rsid w:val="007F1EBE"/>
    <w:rsid w:val="007F2757"/>
    <w:rsid w:val="007F7C1B"/>
    <w:rsid w:val="00801C86"/>
    <w:rsid w:val="0080230E"/>
    <w:rsid w:val="0080243E"/>
    <w:rsid w:val="008026B6"/>
    <w:rsid w:val="00802885"/>
    <w:rsid w:val="00803D56"/>
    <w:rsid w:val="0080433D"/>
    <w:rsid w:val="0080480C"/>
    <w:rsid w:val="008052A2"/>
    <w:rsid w:val="008061AA"/>
    <w:rsid w:val="00806E78"/>
    <w:rsid w:val="00806F09"/>
    <w:rsid w:val="00811B52"/>
    <w:rsid w:val="00813543"/>
    <w:rsid w:val="00813C8D"/>
    <w:rsid w:val="00813F62"/>
    <w:rsid w:val="00814258"/>
    <w:rsid w:val="008143CC"/>
    <w:rsid w:val="008150A1"/>
    <w:rsid w:val="00815144"/>
    <w:rsid w:val="008156A7"/>
    <w:rsid w:val="008157EE"/>
    <w:rsid w:val="008159C6"/>
    <w:rsid w:val="0081650E"/>
    <w:rsid w:val="00817375"/>
    <w:rsid w:val="008223B1"/>
    <w:rsid w:val="00822709"/>
    <w:rsid w:val="00823A69"/>
    <w:rsid w:val="00823DCC"/>
    <w:rsid w:val="008263CF"/>
    <w:rsid w:val="00827FCB"/>
    <w:rsid w:val="00831752"/>
    <w:rsid w:val="00832C3C"/>
    <w:rsid w:val="0083409B"/>
    <w:rsid w:val="0083556E"/>
    <w:rsid w:val="008370CC"/>
    <w:rsid w:val="00837D30"/>
    <w:rsid w:val="008405CC"/>
    <w:rsid w:val="00844CC0"/>
    <w:rsid w:val="008455A1"/>
    <w:rsid w:val="0084684B"/>
    <w:rsid w:val="00846CA4"/>
    <w:rsid w:val="00847BEC"/>
    <w:rsid w:val="008515E6"/>
    <w:rsid w:val="00851690"/>
    <w:rsid w:val="008536D2"/>
    <w:rsid w:val="00854DB4"/>
    <w:rsid w:val="0086465D"/>
    <w:rsid w:val="00864F40"/>
    <w:rsid w:val="008655E1"/>
    <w:rsid w:val="00865627"/>
    <w:rsid w:val="00865F72"/>
    <w:rsid w:val="0086715B"/>
    <w:rsid w:val="008679C7"/>
    <w:rsid w:val="0087026E"/>
    <w:rsid w:val="00874E17"/>
    <w:rsid w:val="00875C6D"/>
    <w:rsid w:val="00876646"/>
    <w:rsid w:val="00876B82"/>
    <w:rsid w:val="00876BAD"/>
    <w:rsid w:val="00882FC1"/>
    <w:rsid w:val="00884716"/>
    <w:rsid w:val="00887343"/>
    <w:rsid w:val="008876DE"/>
    <w:rsid w:val="00890107"/>
    <w:rsid w:val="008909EE"/>
    <w:rsid w:val="00891054"/>
    <w:rsid w:val="0089341A"/>
    <w:rsid w:val="00893962"/>
    <w:rsid w:val="00893F0E"/>
    <w:rsid w:val="00895488"/>
    <w:rsid w:val="00895A82"/>
    <w:rsid w:val="00897124"/>
    <w:rsid w:val="00897679"/>
    <w:rsid w:val="008A104D"/>
    <w:rsid w:val="008A3108"/>
    <w:rsid w:val="008A3C2F"/>
    <w:rsid w:val="008A5EF9"/>
    <w:rsid w:val="008B0B3B"/>
    <w:rsid w:val="008B2218"/>
    <w:rsid w:val="008B299F"/>
    <w:rsid w:val="008B4D1D"/>
    <w:rsid w:val="008B4D5C"/>
    <w:rsid w:val="008B53FF"/>
    <w:rsid w:val="008B659F"/>
    <w:rsid w:val="008C0805"/>
    <w:rsid w:val="008C26CE"/>
    <w:rsid w:val="008C3025"/>
    <w:rsid w:val="008C37D4"/>
    <w:rsid w:val="008C3866"/>
    <w:rsid w:val="008C6244"/>
    <w:rsid w:val="008C78A9"/>
    <w:rsid w:val="008D3311"/>
    <w:rsid w:val="008D3AB8"/>
    <w:rsid w:val="008D6517"/>
    <w:rsid w:val="008D6FBC"/>
    <w:rsid w:val="008E1A7D"/>
    <w:rsid w:val="008E233F"/>
    <w:rsid w:val="008E2F92"/>
    <w:rsid w:val="008E51BB"/>
    <w:rsid w:val="008E5E8E"/>
    <w:rsid w:val="008F27D5"/>
    <w:rsid w:val="008F426F"/>
    <w:rsid w:val="008F5714"/>
    <w:rsid w:val="008F61E7"/>
    <w:rsid w:val="008F759E"/>
    <w:rsid w:val="008F75E6"/>
    <w:rsid w:val="008F7BC4"/>
    <w:rsid w:val="00900358"/>
    <w:rsid w:val="00900FFF"/>
    <w:rsid w:val="00901189"/>
    <w:rsid w:val="00901607"/>
    <w:rsid w:val="00903A43"/>
    <w:rsid w:val="00906D8D"/>
    <w:rsid w:val="009073F5"/>
    <w:rsid w:val="0091117B"/>
    <w:rsid w:val="00914EE4"/>
    <w:rsid w:val="00920525"/>
    <w:rsid w:val="00920835"/>
    <w:rsid w:val="00920B80"/>
    <w:rsid w:val="00921421"/>
    <w:rsid w:val="0092172A"/>
    <w:rsid w:val="0092199C"/>
    <w:rsid w:val="0092382E"/>
    <w:rsid w:val="00924290"/>
    <w:rsid w:val="00924A2D"/>
    <w:rsid w:val="0092696A"/>
    <w:rsid w:val="00926C56"/>
    <w:rsid w:val="009270A3"/>
    <w:rsid w:val="009270BF"/>
    <w:rsid w:val="009302B6"/>
    <w:rsid w:val="00931622"/>
    <w:rsid w:val="00931B4D"/>
    <w:rsid w:val="00932529"/>
    <w:rsid w:val="009329F4"/>
    <w:rsid w:val="00933FEF"/>
    <w:rsid w:val="009350D6"/>
    <w:rsid w:val="0093709E"/>
    <w:rsid w:val="009403BE"/>
    <w:rsid w:val="009411A5"/>
    <w:rsid w:val="0094426D"/>
    <w:rsid w:val="0094608C"/>
    <w:rsid w:val="0094761A"/>
    <w:rsid w:val="00947BC4"/>
    <w:rsid w:val="00951A2B"/>
    <w:rsid w:val="009520A1"/>
    <w:rsid w:val="00957226"/>
    <w:rsid w:val="009624BB"/>
    <w:rsid w:val="00963EA4"/>
    <w:rsid w:val="0096561A"/>
    <w:rsid w:val="00967FC4"/>
    <w:rsid w:val="00970EC0"/>
    <w:rsid w:val="00971C3D"/>
    <w:rsid w:val="00972D85"/>
    <w:rsid w:val="00973194"/>
    <w:rsid w:val="00973C53"/>
    <w:rsid w:val="00974218"/>
    <w:rsid w:val="009748A2"/>
    <w:rsid w:val="00975F58"/>
    <w:rsid w:val="00976C54"/>
    <w:rsid w:val="00976DEF"/>
    <w:rsid w:val="009803BA"/>
    <w:rsid w:val="00980457"/>
    <w:rsid w:val="00980D04"/>
    <w:rsid w:val="0098599D"/>
    <w:rsid w:val="009876A4"/>
    <w:rsid w:val="00987EC1"/>
    <w:rsid w:val="00990393"/>
    <w:rsid w:val="00990AF8"/>
    <w:rsid w:val="00991936"/>
    <w:rsid w:val="009927FA"/>
    <w:rsid w:val="00992AE1"/>
    <w:rsid w:val="009949EE"/>
    <w:rsid w:val="0099535D"/>
    <w:rsid w:val="00995617"/>
    <w:rsid w:val="00996348"/>
    <w:rsid w:val="00997B3E"/>
    <w:rsid w:val="009A046B"/>
    <w:rsid w:val="009A0F9C"/>
    <w:rsid w:val="009A105B"/>
    <w:rsid w:val="009B04E1"/>
    <w:rsid w:val="009B0E75"/>
    <w:rsid w:val="009B2C9D"/>
    <w:rsid w:val="009B3F32"/>
    <w:rsid w:val="009B4F95"/>
    <w:rsid w:val="009B61BF"/>
    <w:rsid w:val="009B626D"/>
    <w:rsid w:val="009B6BA1"/>
    <w:rsid w:val="009C0FB5"/>
    <w:rsid w:val="009C1039"/>
    <w:rsid w:val="009C4C9B"/>
    <w:rsid w:val="009C5A8D"/>
    <w:rsid w:val="009C5FF7"/>
    <w:rsid w:val="009C6089"/>
    <w:rsid w:val="009D305E"/>
    <w:rsid w:val="009D42BD"/>
    <w:rsid w:val="009D5028"/>
    <w:rsid w:val="009D635A"/>
    <w:rsid w:val="009D65C0"/>
    <w:rsid w:val="009D69DA"/>
    <w:rsid w:val="009D6A27"/>
    <w:rsid w:val="009D79FE"/>
    <w:rsid w:val="009E101C"/>
    <w:rsid w:val="009E1BA2"/>
    <w:rsid w:val="009F01E3"/>
    <w:rsid w:val="009F1DB2"/>
    <w:rsid w:val="009F3F8E"/>
    <w:rsid w:val="009F3F9D"/>
    <w:rsid w:val="009F4C62"/>
    <w:rsid w:val="009F58EE"/>
    <w:rsid w:val="009F7C4B"/>
    <w:rsid w:val="009F7F09"/>
    <w:rsid w:val="00A00545"/>
    <w:rsid w:val="00A0074E"/>
    <w:rsid w:val="00A00C7D"/>
    <w:rsid w:val="00A02108"/>
    <w:rsid w:val="00A02239"/>
    <w:rsid w:val="00A0367C"/>
    <w:rsid w:val="00A03777"/>
    <w:rsid w:val="00A038E6"/>
    <w:rsid w:val="00A050CD"/>
    <w:rsid w:val="00A056E5"/>
    <w:rsid w:val="00A06B81"/>
    <w:rsid w:val="00A0798C"/>
    <w:rsid w:val="00A07F42"/>
    <w:rsid w:val="00A110BD"/>
    <w:rsid w:val="00A121AB"/>
    <w:rsid w:val="00A1275D"/>
    <w:rsid w:val="00A148BF"/>
    <w:rsid w:val="00A14915"/>
    <w:rsid w:val="00A14F7A"/>
    <w:rsid w:val="00A15882"/>
    <w:rsid w:val="00A15C39"/>
    <w:rsid w:val="00A16315"/>
    <w:rsid w:val="00A174A2"/>
    <w:rsid w:val="00A17E0B"/>
    <w:rsid w:val="00A2070D"/>
    <w:rsid w:val="00A21D56"/>
    <w:rsid w:val="00A221DC"/>
    <w:rsid w:val="00A22748"/>
    <w:rsid w:val="00A25823"/>
    <w:rsid w:val="00A25C46"/>
    <w:rsid w:val="00A25D56"/>
    <w:rsid w:val="00A30B3C"/>
    <w:rsid w:val="00A30C55"/>
    <w:rsid w:val="00A32E17"/>
    <w:rsid w:val="00A3335C"/>
    <w:rsid w:val="00A34A51"/>
    <w:rsid w:val="00A3512B"/>
    <w:rsid w:val="00A35FCD"/>
    <w:rsid w:val="00A36044"/>
    <w:rsid w:val="00A40BF2"/>
    <w:rsid w:val="00A42D75"/>
    <w:rsid w:val="00A4490F"/>
    <w:rsid w:val="00A4553C"/>
    <w:rsid w:val="00A47393"/>
    <w:rsid w:val="00A47B5F"/>
    <w:rsid w:val="00A51787"/>
    <w:rsid w:val="00A5191D"/>
    <w:rsid w:val="00A51E6F"/>
    <w:rsid w:val="00A523D1"/>
    <w:rsid w:val="00A52A45"/>
    <w:rsid w:val="00A538C9"/>
    <w:rsid w:val="00A53EEA"/>
    <w:rsid w:val="00A54D5A"/>
    <w:rsid w:val="00A54FF2"/>
    <w:rsid w:val="00A552D0"/>
    <w:rsid w:val="00A55FA6"/>
    <w:rsid w:val="00A56FF7"/>
    <w:rsid w:val="00A60392"/>
    <w:rsid w:val="00A610C1"/>
    <w:rsid w:val="00A61117"/>
    <w:rsid w:val="00A636E6"/>
    <w:rsid w:val="00A63C59"/>
    <w:rsid w:val="00A65D63"/>
    <w:rsid w:val="00A66DE3"/>
    <w:rsid w:val="00A67820"/>
    <w:rsid w:val="00A67EDA"/>
    <w:rsid w:val="00A67F96"/>
    <w:rsid w:val="00A7011F"/>
    <w:rsid w:val="00A7039F"/>
    <w:rsid w:val="00A704AC"/>
    <w:rsid w:val="00A71AAC"/>
    <w:rsid w:val="00A72EE1"/>
    <w:rsid w:val="00A74797"/>
    <w:rsid w:val="00A7489B"/>
    <w:rsid w:val="00A7590A"/>
    <w:rsid w:val="00A7614C"/>
    <w:rsid w:val="00A76D19"/>
    <w:rsid w:val="00A771C8"/>
    <w:rsid w:val="00A80ABE"/>
    <w:rsid w:val="00A81CC6"/>
    <w:rsid w:val="00A82669"/>
    <w:rsid w:val="00A84839"/>
    <w:rsid w:val="00A863BC"/>
    <w:rsid w:val="00A86D77"/>
    <w:rsid w:val="00A86F94"/>
    <w:rsid w:val="00A87AE1"/>
    <w:rsid w:val="00A87D2C"/>
    <w:rsid w:val="00A9406D"/>
    <w:rsid w:val="00A97555"/>
    <w:rsid w:val="00A97E65"/>
    <w:rsid w:val="00AA171D"/>
    <w:rsid w:val="00AA1A0D"/>
    <w:rsid w:val="00AA22EA"/>
    <w:rsid w:val="00AA2A6D"/>
    <w:rsid w:val="00AA3001"/>
    <w:rsid w:val="00AA496B"/>
    <w:rsid w:val="00AA5890"/>
    <w:rsid w:val="00AA6C35"/>
    <w:rsid w:val="00AA7C81"/>
    <w:rsid w:val="00AB31FB"/>
    <w:rsid w:val="00AB3E00"/>
    <w:rsid w:val="00AB4614"/>
    <w:rsid w:val="00AB6C6B"/>
    <w:rsid w:val="00AB7362"/>
    <w:rsid w:val="00AB7982"/>
    <w:rsid w:val="00AC0A98"/>
    <w:rsid w:val="00AC0F7B"/>
    <w:rsid w:val="00AC2C9D"/>
    <w:rsid w:val="00AC2F3E"/>
    <w:rsid w:val="00AC30F9"/>
    <w:rsid w:val="00AC335E"/>
    <w:rsid w:val="00AC3695"/>
    <w:rsid w:val="00AC4A29"/>
    <w:rsid w:val="00AC78B4"/>
    <w:rsid w:val="00AC7B4B"/>
    <w:rsid w:val="00AD0ECC"/>
    <w:rsid w:val="00AD2102"/>
    <w:rsid w:val="00AD599D"/>
    <w:rsid w:val="00AD5B76"/>
    <w:rsid w:val="00AD6EFB"/>
    <w:rsid w:val="00AE17B0"/>
    <w:rsid w:val="00AE5495"/>
    <w:rsid w:val="00AE6AC7"/>
    <w:rsid w:val="00AE6E20"/>
    <w:rsid w:val="00AF1017"/>
    <w:rsid w:val="00AF16D8"/>
    <w:rsid w:val="00AF194B"/>
    <w:rsid w:val="00AF2248"/>
    <w:rsid w:val="00AF3DCE"/>
    <w:rsid w:val="00AF43A6"/>
    <w:rsid w:val="00AF563B"/>
    <w:rsid w:val="00AF67A5"/>
    <w:rsid w:val="00AF6963"/>
    <w:rsid w:val="00AF7515"/>
    <w:rsid w:val="00B02678"/>
    <w:rsid w:val="00B02D09"/>
    <w:rsid w:val="00B03F83"/>
    <w:rsid w:val="00B04B33"/>
    <w:rsid w:val="00B10167"/>
    <w:rsid w:val="00B10593"/>
    <w:rsid w:val="00B13859"/>
    <w:rsid w:val="00B15EB3"/>
    <w:rsid w:val="00B171A5"/>
    <w:rsid w:val="00B177E5"/>
    <w:rsid w:val="00B20401"/>
    <w:rsid w:val="00B2173C"/>
    <w:rsid w:val="00B22794"/>
    <w:rsid w:val="00B25747"/>
    <w:rsid w:val="00B27CE3"/>
    <w:rsid w:val="00B30148"/>
    <w:rsid w:val="00B30242"/>
    <w:rsid w:val="00B30CE8"/>
    <w:rsid w:val="00B3131D"/>
    <w:rsid w:val="00B32155"/>
    <w:rsid w:val="00B3337B"/>
    <w:rsid w:val="00B33A60"/>
    <w:rsid w:val="00B40590"/>
    <w:rsid w:val="00B40C0D"/>
    <w:rsid w:val="00B41456"/>
    <w:rsid w:val="00B4540E"/>
    <w:rsid w:val="00B45D54"/>
    <w:rsid w:val="00B51C0C"/>
    <w:rsid w:val="00B5245F"/>
    <w:rsid w:val="00B528A3"/>
    <w:rsid w:val="00B52A34"/>
    <w:rsid w:val="00B53772"/>
    <w:rsid w:val="00B5382B"/>
    <w:rsid w:val="00B571E0"/>
    <w:rsid w:val="00B5724B"/>
    <w:rsid w:val="00B573AD"/>
    <w:rsid w:val="00B60F34"/>
    <w:rsid w:val="00B61629"/>
    <w:rsid w:val="00B63731"/>
    <w:rsid w:val="00B63A96"/>
    <w:rsid w:val="00B654F5"/>
    <w:rsid w:val="00B65DF5"/>
    <w:rsid w:val="00B71877"/>
    <w:rsid w:val="00B723BE"/>
    <w:rsid w:val="00B72477"/>
    <w:rsid w:val="00B73891"/>
    <w:rsid w:val="00B74533"/>
    <w:rsid w:val="00B74566"/>
    <w:rsid w:val="00B77D97"/>
    <w:rsid w:val="00B80220"/>
    <w:rsid w:val="00B807EB"/>
    <w:rsid w:val="00B80AB8"/>
    <w:rsid w:val="00B81FE2"/>
    <w:rsid w:val="00B82705"/>
    <w:rsid w:val="00B85187"/>
    <w:rsid w:val="00B85536"/>
    <w:rsid w:val="00B86263"/>
    <w:rsid w:val="00B86C3D"/>
    <w:rsid w:val="00B87D99"/>
    <w:rsid w:val="00B906A3"/>
    <w:rsid w:val="00B90CC5"/>
    <w:rsid w:val="00B93889"/>
    <w:rsid w:val="00B93BC7"/>
    <w:rsid w:val="00B940F3"/>
    <w:rsid w:val="00B94F6B"/>
    <w:rsid w:val="00B95C61"/>
    <w:rsid w:val="00B97632"/>
    <w:rsid w:val="00B97B40"/>
    <w:rsid w:val="00BA2160"/>
    <w:rsid w:val="00BA257A"/>
    <w:rsid w:val="00BA3889"/>
    <w:rsid w:val="00BA3E1A"/>
    <w:rsid w:val="00BA3E40"/>
    <w:rsid w:val="00BA47AD"/>
    <w:rsid w:val="00BA5DFC"/>
    <w:rsid w:val="00BA695B"/>
    <w:rsid w:val="00BA75BC"/>
    <w:rsid w:val="00BB0C27"/>
    <w:rsid w:val="00BB2084"/>
    <w:rsid w:val="00BB2AA1"/>
    <w:rsid w:val="00BB558D"/>
    <w:rsid w:val="00BB6650"/>
    <w:rsid w:val="00BC0849"/>
    <w:rsid w:val="00BC0932"/>
    <w:rsid w:val="00BC11EE"/>
    <w:rsid w:val="00BC159E"/>
    <w:rsid w:val="00BC2EA2"/>
    <w:rsid w:val="00BC3ED1"/>
    <w:rsid w:val="00BC41D2"/>
    <w:rsid w:val="00BC47B7"/>
    <w:rsid w:val="00BC4CB0"/>
    <w:rsid w:val="00BC7C90"/>
    <w:rsid w:val="00BD02B7"/>
    <w:rsid w:val="00BD08AA"/>
    <w:rsid w:val="00BD0A6E"/>
    <w:rsid w:val="00BD1E33"/>
    <w:rsid w:val="00BD2F63"/>
    <w:rsid w:val="00BD373E"/>
    <w:rsid w:val="00BD5503"/>
    <w:rsid w:val="00BD639B"/>
    <w:rsid w:val="00BD6923"/>
    <w:rsid w:val="00BD69BF"/>
    <w:rsid w:val="00BD7272"/>
    <w:rsid w:val="00BD7424"/>
    <w:rsid w:val="00BD7DA3"/>
    <w:rsid w:val="00BE199B"/>
    <w:rsid w:val="00BE2886"/>
    <w:rsid w:val="00BE28F6"/>
    <w:rsid w:val="00BE33AD"/>
    <w:rsid w:val="00BE376D"/>
    <w:rsid w:val="00BE48DA"/>
    <w:rsid w:val="00BE5080"/>
    <w:rsid w:val="00BE5EC9"/>
    <w:rsid w:val="00BE6F44"/>
    <w:rsid w:val="00BF1851"/>
    <w:rsid w:val="00BF2DEF"/>
    <w:rsid w:val="00BF2F73"/>
    <w:rsid w:val="00BF3594"/>
    <w:rsid w:val="00BF4981"/>
    <w:rsid w:val="00BF6947"/>
    <w:rsid w:val="00C0028F"/>
    <w:rsid w:val="00C03809"/>
    <w:rsid w:val="00C041F4"/>
    <w:rsid w:val="00C04C79"/>
    <w:rsid w:val="00C04E43"/>
    <w:rsid w:val="00C05EAF"/>
    <w:rsid w:val="00C076D2"/>
    <w:rsid w:val="00C07B90"/>
    <w:rsid w:val="00C123C5"/>
    <w:rsid w:val="00C124EE"/>
    <w:rsid w:val="00C136FE"/>
    <w:rsid w:val="00C1523A"/>
    <w:rsid w:val="00C17962"/>
    <w:rsid w:val="00C21978"/>
    <w:rsid w:val="00C22E87"/>
    <w:rsid w:val="00C23591"/>
    <w:rsid w:val="00C27D57"/>
    <w:rsid w:val="00C32324"/>
    <w:rsid w:val="00C32C0D"/>
    <w:rsid w:val="00C33D77"/>
    <w:rsid w:val="00C34DD3"/>
    <w:rsid w:val="00C34E8A"/>
    <w:rsid w:val="00C356B9"/>
    <w:rsid w:val="00C40D8E"/>
    <w:rsid w:val="00C43F4C"/>
    <w:rsid w:val="00C45768"/>
    <w:rsid w:val="00C46367"/>
    <w:rsid w:val="00C47C76"/>
    <w:rsid w:val="00C50376"/>
    <w:rsid w:val="00C50B77"/>
    <w:rsid w:val="00C514F8"/>
    <w:rsid w:val="00C51EB2"/>
    <w:rsid w:val="00C51F21"/>
    <w:rsid w:val="00C51F95"/>
    <w:rsid w:val="00C52649"/>
    <w:rsid w:val="00C5306B"/>
    <w:rsid w:val="00C53A81"/>
    <w:rsid w:val="00C556D9"/>
    <w:rsid w:val="00C5616B"/>
    <w:rsid w:val="00C6467A"/>
    <w:rsid w:val="00C65667"/>
    <w:rsid w:val="00C65A6C"/>
    <w:rsid w:val="00C678A7"/>
    <w:rsid w:val="00C7036D"/>
    <w:rsid w:val="00C71DE0"/>
    <w:rsid w:val="00C731F4"/>
    <w:rsid w:val="00C73A68"/>
    <w:rsid w:val="00C74525"/>
    <w:rsid w:val="00C80AF2"/>
    <w:rsid w:val="00C81CA7"/>
    <w:rsid w:val="00C81DDA"/>
    <w:rsid w:val="00C81E39"/>
    <w:rsid w:val="00C82CBA"/>
    <w:rsid w:val="00C83629"/>
    <w:rsid w:val="00C86956"/>
    <w:rsid w:val="00C90DE2"/>
    <w:rsid w:val="00C91464"/>
    <w:rsid w:val="00C92917"/>
    <w:rsid w:val="00C93F11"/>
    <w:rsid w:val="00C9454F"/>
    <w:rsid w:val="00C95087"/>
    <w:rsid w:val="00C952CD"/>
    <w:rsid w:val="00C96DDD"/>
    <w:rsid w:val="00CA0CAE"/>
    <w:rsid w:val="00CA200D"/>
    <w:rsid w:val="00CA279C"/>
    <w:rsid w:val="00CA3E03"/>
    <w:rsid w:val="00CA403F"/>
    <w:rsid w:val="00CA4485"/>
    <w:rsid w:val="00CA5750"/>
    <w:rsid w:val="00CA611C"/>
    <w:rsid w:val="00CA6628"/>
    <w:rsid w:val="00CA69F3"/>
    <w:rsid w:val="00CA7B2E"/>
    <w:rsid w:val="00CB0ECF"/>
    <w:rsid w:val="00CB1157"/>
    <w:rsid w:val="00CB1F2B"/>
    <w:rsid w:val="00CB5B55"/>
    <w:rsid w:val="00CB7080"/>
    <w:rsid w:val="00CB76D3"/>
    <w:rsid w:val="00CC5C17"/>
    <w:rsid w:val="00CC64F3"/>
    <w:rsid w:val="00CC762F"/>
    <w:rsid w:val="00CD041A"/>
    <w:rsid w:val="00CD09EE"/>
    <w:rsid w:val="00CD18D5"/>
    <w:rsid w:val="00CD2B22"/>
    <w:rsid w:val="00CD4190"/>
    <w:rsid w:val="00CD4555"/>
    <w:rsid w:val="00CD4A47"/>
    <w:rsid w:val="00CD5621"/>
    <w:rsid w:val="00CD5D2E"/>
    <w:rsid w:val="00CE05F9"/>
    <w:rsid w:val="00CE1841"/>
    <w:rsid w:val="00CE1C84"/>
    <w:rsid w:val="00CE3288"/>
    <w:rsid w:val="00CE37C1"/>
    <w:rsid w:val="00CE544A"/>
    <w:rsid w:val="00CF005B"/>
    <w:rsid w:val="00CF0C4F"/>
    <w:rsid w:val="00CF1C3B"/>
    <w:rsid w:val="00CF1C86"/>
    <w:rsid w:val="00CF3878"/>
    <w:rsid w:val="00CF7F04"/>
    <w:rsid w:val="00D01A4B"/>
    <w:rsid w:val="00D02D28"/>
    <w:rsid w:val="00D04218"/>
    <w:rsid w:val="00D04365"/>
    <w:rsid w:val="00D04F26"/>
    <w:rsid w:val="00D05A83"/>
    <w:rsid w:val="00D05D82"/>
    <w:rsid w:val="00D063E8"/>
    <w:rsid w:val="00D10D32"/>
    <w:rsid w:val="00D11F84"/>
    <w:rsid w:val="00D23324"/>
    <w:rsid w:val="00D24358"/>
    <w:rsid w:val="00D266A5"/>
    <w:rsid w:val="00D27BF2"/>
    <w:rsid w:val="00D30000"/>
    <w:rsid w:val="00D30FA5"/>
    <w:rsid w:val="00D321A0"/>
    <w:rsid w:val="00D32E71"/>
    <w:rsid w:val="00D331C7"/>
    <w:rsid w:val="00D341B6"/>
    <w:rsid w:val="00D36624"/>
    <w:rsid w:val="00D37021"/>
    <w:rsid w:val="00D41AA6"/>
    <w:rsid w:val="00D41AFB"/>
    <w:rsid w:val="00D43DC5"/>
    <w:rsid w:val="00D44713"/>
    <w:rsid w:val="00D4687F"/>
    <w:rsid w:val="00D46D0E"/>
    <w:rsid w:val="00D46F9E"/>
    <w:rsid w:val="00D47DAB"/>
    <w:rsid w:val="00D5115F"/>
    <w:rsid w:val="00D528D3"/>
    <w:rsid w:val="00D549A5"/>
    <w:rsid w:val="00D55083"/>
    <w:rsid w:val="00D57030"/>
    <w:rsid w:val="00D60EB1"/>
    <w:rsid w:val="00D63392"/>
    <w:rsid w:val="00D63CC0"/>
    <w:rsid w:val="00D64D74"/>
    <w:rsid w:val="00D65E33"/>
    <w:rsid w:val="00D66B86"/>
    <w:rsid w:val="00D71F9A"/>
    <w:rsid w:val="00D743CB"/>
    <w:rsid w:val="00D747A7"/>
    <w:rsid w:val="00D7709D"/>
    <w:rsid w:val="00D80033"/>
    <w:rsid w:val="00D80890"/>
    <w:rsid w:val="00D8166B"/>
    <w:rsid w:val="00D81C0F"/>
    <w:rsid w:val="00D821EF"/>
    <w:rsid w:val="00D83B47"/>
    <w:rsid w:val="00D83DAC"/>
    <w:rsid w:val="00D840D9"/>
    <w:rsid w:val="00D8667C"/>
    <w:rsid w:val="00D86AB9"/>
    <w:rsid w:val="00D86D64"/>
    <w:rsid w:val="00D87D83"/>
    <w:rsid w:val="00D908FE"/>
    <w:rsid w:val="00D92D26"/>
    <w:rsid w:val="00D92FA4"/>
    <w:rsid w:val="00D94C2C"/>
    <w:rsid w:val="00D97F8E"/>
    <w:rsid w:val="00DA0371"/>
    <w:rsid w:val="00DA30F2"/>
    <w:rsid w:val="00DA33DB"/>
    <w:rsid w:val="00DA3BA1"/>
    <w:rsid w:val="00DA596B"/>
    <w:rsid w:val="00DA5BD6"/>
    <w:rsid w:val="00DA7309"/>
    <w:rsid w:val="00DA77F8"/>
    <w:rsid w:val="00DB04E4"/>
    <w:rsid w:val="00DB0530"/>
    <w:rsid w:val="00DB29DE"/>
    <w:rsid w:val="00DB3898"/>
    <w:rsid w:val="00DB6378"/>
    <w:rsid w:val="00DB6C40"/>
    <w:rsid w:val="00DC0A2B"/>
    <w:rsid w:val="00DC2346"/>
    <w:rsid w:val="00DC2D10"/>
    <w:rsid w:val="00DC325F"/>
    <w:rsid w:val="00DC3647"/>
    <w:rsid w:val="00DC4FD7"/>
    <w:rsid w:val="00DC5D44"/>
    <w:rsid w:val="00DC7140"/>
    <w:rsid w:val="00DD0371"/>
    <w:rsid w:val="00DD0BD2"/>
    <w:rsid w:val="00DD35EE"/>
    <w:rsid w:val="00DD3CAA"/>
    <w:rsid w:val="00DD4351"/>
    <w:rsid w:val="00DD7152"/>
    <w:rsid w:val="00DE1BE0"/>
    <w:rsid w:val="00DE4A46"/>
    <w:rsid w:val="00DE5F87"/>
    <w:rsid w:val="00DE5FC0"/>
    <w:rsid w:val="00DF4180"/>
    <w:rsid w:val="00DF4E1C"/>
    <w:rsid w:val="00DF6F8B"/>
    <w:rsid w:val="00DF7359"/>
    <w:rsid w:val="00E000A4"/>
    <w:rsid w:val="00E03B95"/>
    <w:rsid w:val="00E05555"/>
    <w:rsid w:val="00E05767"/>
    <w:rsid w:val="00E06196"/>
    <w:rsid w:val="00E06409"/>
    <w:rsid w:val="00E068A8"/>
    <w:rsid w:val="00E1084D"/>
    <w:rsid w:val="00E1380B"/>
    <w:rsid w:val="00E13D2C"/>
    <w:rsid w:val="00E2077F"/>
    <w:rsid w:val="00E23C44"/>
    <w:rsid w:val="00E258C5"/>
    <w:rsid w:val="00E26EF7"/>
    <w:rsid w:val="00E32264"/>
    <w:rsid w:val="00E323F3"/>
    <w:rsid w:val="00E32434"/>
    <w:rsid w:val="00E3256B"/>
    <w:rsid w:val="00E325CD"/>
    <w:rsid w:val="00E327CC"/>
    <w:rsid w:val="00E35C75"/>
    <w:rsid w:val="00E37B84"/>
    <w:rsid w:val="00E40DAF"/>
    <w:rsid w:val="00E4212E"/>
    <w:rsid w:val="00E4405F"/>
    <w:rsid w:val="00E47687"/>
    <w:rsid w:val="00E47ED1"/>
    <w:rsid w:val="00E50408"/>
    <w:rsid w:val="00E50D0E"/>
    <w:rsid w:val="00E54373"/>
    <w:rsid w:val="00E54C26"/>
    <w:rsid w:val="00E552D2"/>
    <w:rsid w:val="00E56896"/>
    <w:rsid w:val="00E56C98"/>
    <w:rsid w:val="00E57B8B"/>
    <w:rsid w:val="00E60AC3"/>
    <w:rsid w:val="00E617D5"/>
    <w:rsid w:val="00E639F0"/>
    <w:rsid w:val="00E64E5A"/>
    <w:rsid w:val="00E654BC"/>
    <w:rsid w:val="00E662D0"/>
    <w:rsid w:val="00E7119A"/>
    <w:rsid w:val="00E7567E"/>
    <w:rsid w:val="00E76BDB"/>
    <w:rsid w:val="00E803D7"/>
    <w:rsid w:val="00E80855"/>
    <w:rsid w:val="00E8119F"/>
    <w:rsid w:val="00E8263A"/>
    <w:rsid w:val="00E84BFE"/>
    <w:rsid w:val="00E91B78"/>
    <w:rsid w:val="00E91C37"/>
    <w:rsid w:val="00E93645"/>
    <w:rsid w:val="00E94E5E"/>
    <w:rsid w:val="00E95F8E"/>
    <w:rsid w:val="00E972C7"/>
    <w:rsid w:val="00EA09AC"/>
    <w:rsid w:val="00EA1CFC"/>
    <w:rsid w:val="00EA4366"/>
    <w:rsid w:val="00EA449E"/>
    <w:rsid w:val="00EA4682"/>
    <w:rsid w:val="00EA5072"/>
    <w:rsid w:val="00EA7D4F"/>
    <w:rsid w:val="00EB1175"/>
    <w:rsid w:val="00EB161B"/>
    <w:rsid w:val="00EB16F7"/>
    <w:rsid w:val="00EB1C35"/>
    <w:rsid w:val="00EB3474"/>
    <w:rsid w:val="00EB45AE"/>
    <w:rsid w:val="00EB58A5"/>
    <w:rsid w:val="00EB60E7"/>
    <w:rsid w:val="00EB6E5F"/>
    <w:rsid w:val="00EC2618"/>
    <w:rsid w:val="00EC2A07"/>
    <w:rsid w:val="00EC3308"/>
    <w:rsid w:val="00EC4DD5"/>
    <w:rsid w:val="00EC504C"/>
    <w:rsid w:val="00EC6441"/>
    <w:rsid w:val="00EC66A2"/>
    <w:rsid w:val="00EC68B5"/>
    <w:rsid w:val="00ED262F"/>
    <w:rsid w:val="00ED3384"/>
    <w:rsid w:val="00ED33F4"/>
    <w:rsid w:val="00ED3BB7"/>
    <w:rsid w:val="00ED44CA"/>
    <w:rsid w:val="00ED6047"/>
    <w:rsid w:val="00ED64A6"/>
    <w:rsid w:val="00ED652A"/>
    <w:rsid w:val="00ED7F90"/>
    <w:rsid w:val="00EE0C5F"/>
    <w:rsid w:val="00EE111F"/>
    <w:rsid w:val="00EE1E2E"/>
    <w:rsid w:val="00EE1F52"/>
    <w:rsid w:val="00EE2239"/>
    <w:rsid w:val="00EE464D"/>
    <w:rsid w:val="00EE69F1"/>
    <w:rsid w:val="00EE6F9D"/>
    <w:rsid w:val="00EF1C0A"/>
    <w:rsid w:val="00EF256C"/>
    <w:rsid w:val="00EF267F"/>
    <w:rsid w:val="00EF2809"/>
    <w:rsid w:val="00EF40AD"/>
    <w:rsid w:val="00EF48D3"/>
    <w:rsid w:val="00EF738A"/>
    <w:rsid w:val="00F00173"/>
    <w:rsid w:val="00F02268"/>
    <w:rsid w:val="00F04735"/>
    <w:rsid w:val="00F063D4"/>
    <w:rsid w:val="00F10AEF"/>
    <w:rsid w:val="00F1148A"/>
    <w:rsid w:val="00F12907"/>
    <w:rsid w:val="00F1381E"/>
    <w:rsid w:val="00F139E2"/>
    <w:rsid w:val="00F1557B"/>
    <w:rsid w:val="00F171E7"/>
    <w:rsid w:val="00F17D70"/>
    <w:rsid w:val="00F22078"/>
    <w:rsid w:val="00F24DFF"/>
    <w:rsid w:val="00F263B8"/>
    <w:rsid w:val="00F302C6"/>
    <w:rsid w:val="00F30C46"/>
    <w:rsid w:val="00F31409"/>
    <w:rsid w:val="00F326A8"/>
    <w:rsid w:val="00F33F56"/>
    <w:rsid w:val="00F343B7"/>
    <w:rsid w:val="00F354AD"/>
    <w:rsid w:val="00F35930"/>
    <w:rsid w:val="00F36AB5"/>
    <w:rsid w:val="00F36C89"/>
    <w:rsid w:val="00F37D5F"/>
    <w:rsid w:val="00F40510"/>
    <w:rsid w:val="00F408AD"/>
    <w:rsid w:val="00F412CB"/>
    <w:rsid w:val="00F4184C"/>
    <w:rsid w:val="00F424AF"/>
    <w:rsid w:val="00F435E6"/>
    <w:rsid w:val="00F46D87"/>
    <w:rsid w:val="00F51380"/>
    <w:rsid w:val="00F53B4A"/>
    <w:rsid w:val="00F556F5"/>
    <w:rsid w:val="00F55986"/>
    <w:rsid w:val="00F56E2B"/>
    <w:rsid w:val="00F62C04"/>
    <w:rsid w:val="00F6376E"/>
    <w:rsid w:val="00F65B65"/>
    <w:rsid w:val="00F66E7C"/>
    <w:rsid w:val="00F7061D"/>
    <w:rsid w:val="00F70DEB"/>
    <w:rsid w:val="00F71A65"/>
    <w:rsid w:val="00F740AD"/>
    <w:rsid w:val="00F748D4"/>
    <w:rsid w:val="00F75C30"/>
    <w:rsid w:val="00F760DE"/>
    <w:rsid w:val="00F76AD7"/>
    <w:rsid w:val="00F76BB3"/>
    <w:rsid w:val="00F77C0B"/>
    <w:rsid w:val="00F81F15"/>
    <w:rsid w:val="00F83684"/>
    <w:rsid w:val="00F83769"/>
    <w:rsid w:val="00F90654"/>
    <w:rsid w:val="00F94597"/>
    <w:rsid w:val="00F953CA"/>
    <w:rsid w:val="00F95D07"/>
    <w:rsid w:val="00F974F0"/>
    <w:rsid w:val="00FA0E0B"/>
    <w:rsid w:val="00FA179F"/>
    <w:rsid w:val="00FA1AB6"/>
    <w:rsid w:val="00FA2014"/>
    <w:rsid w:val="00FA21CF"/>
    <w:rsid w:val="00FA35C6"/>
    <w:rsid w:val="00FA4439"/>
    <w:rsid w:val="00FB0E66"/>
    <w:rsid w:val="00FB12FA"/>
    <w:rsid w:val="00FB1ABB"/>
    <w:rsid w:val="00FB216E"/>
    <w:rsid w:val="00FB3113"/>
    <w:rsid w:val="00FB4153"/>
    <w:rsid w:val="00FB43D7"/>
    <w:rsid w:val="00FB511A"/>
    <w:rsid w:val="00FB778F"/>
    <w:rsid w:val="00FC1FCE"/>
    <w:rsid w:val="00FC3628"/>
    <w:rsid w:val="00FC4859"/>
    <w:rsid w:val="00FC5CEE"/>
    <w:rsid w:val="00FC6426"/>
    <w:rsid w:val="00FC74F0"/>
    <w:rsid w:val="00FC7F3C"/>
    <w:rsid w:val="00FD0218"/>
    <w:rsid w:val="00FD1B68"/>
    <w:rsid w:val="00FD24A0"/>
    <w:rsid w:val="00FD5AE4"/>
    <w:rsid w:val="00FD7A33"/>
    <w:rsid w:val="00FE0D78"/>
    <w:rsid w:val="00FE1B0F"/>
    <w:rsid w:val="00FE2473"/>
    <w:rsid w:val="00FE3007"/>
    <w:rsid w:val="00FE444B"/>
    <w:rsid w:val="00FE4927"/>
    <w:rsid w:val="00FE4BD6"/>
    <w:rsid w:val="00FE544B"/>
    <w:rsid w:val="00FE75F5"/>
    <w:rsid w:val="00FF0480"/>
    <w:rsid w:val="00FF1AD2"/>
    <w:rsid w:val="00FF277C"/>
    <w:rsid w:val="00FF2E75"/>
    <w:rsid w:val="00FF3E11"/>
    <w:rsid w:val="00FF4478"/>
    <w:rsid w:val="00FF66F0"/>
    <w:rsid w:val="00FF756A"/>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4B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68"/>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B807EB"/>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163564"/>
    <w:pPr>
      <w:keepNext/>
      <w:keepLines/>
      <w:outlineLvl w:val="1"/>
    </w:pPr>
    <w:rPr>
      <w:rFonts w:eastAsiaTheme="majorEastAsia" w:cstheme="majorBidi"/>
      <w:b/>
      <w:sz w:val="36"/>
      <w:szCs w:val="36"/>
    </w:rPr>
  </w:style>
  <w:style w:type="paragraph" w:styleId="Heading3">
    <w:name w:val="heading 3"/>
    <w:basedOn w:val="Normal"/>
    <w:next w:val="Normal"/>
    <w:link w:val="Heading3Char"/>
    <w:autoRedefine/>
    <w:uiPriority w:val="9"/>
    <w:unhideWhenUsed/>
    <w:qFormat/>
    <w:rsid w:val="006116D5"/>
    <w:pPr>
      <w:keepNext/>
      <w:keepLines/>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263CBB"/>
    <w:pPr>
      <w:keepNext/>
      <w:keepLines/>
      <w:outlineLvl w:val="3"/>
    </w:pPr>
    <w:rPr>
      <w:rFonts w:eastAsiaTheme="majorEastAsia" w:cstheme="majorBidi"/>
      <w:b/>
      <w:iCs/>
      <w:sz w:val="28"/>
      <w:szCs w:val="28"/>
    </w:rPr>
  </w:style>
  <w:style w:type="paragraph" w:styleId="Heading5">
    <w:name w:val="heading 5"/>
    <w:basedOn w:val="Normal"/>
    <w:next w:val="Normal"/>
    <w:link w:val="Heading5Char"/>
    <w:autoRedefine/>
    <w:uiPriority w:val="9"/>
    <w:unhideWhenUsed/>
    <w:qFormat/>
    <w:rsid w:val="00C04E43"/>
    <w:pPr>
      <w:keepNext/>
      <w:keepLines/>
      <w:outlineLvl w:val="4"/>
    </w:pPr>
    <w:rPr>
      <w:rFonts w:eastAsiaTheme="majorEastAsia" w:cstheme="majorBidi"/>
      <w:b/>
      <w:i/>
    </w:rPr>
  </w:style>
  <w:style w:type="paragraph" w:styleId="Heading6">
    <w:name w:val="heading 6"/>
    <w:basedOn w:val="Normal"/>
    <w:next w:val="Normal"/>
    <w:link w:val="Heading6Char"/>
    <w:autoRedefine/>
    <w:uiPriority w:val="9"/>
    <w:unhideWhenUsed/>
    <w:qFormat/>
    <w:rsid w:val="00C04E43"/>
    <w:pPr>
      <w:keepNext/>
      <w:keepLines/>
      <w:outlineLvl w:val="5"/>
    </w:pPr>
    <w:rPr>
      <w:rFonts w:eastAsiaTheme="majorEastAsia" w:cstheme="majorBidi"/>
      <w:b/>
    </w:rPr>
  </w:style>
  <w:style w:type="paragraph" w:styleId="Heading7">
    <w:name w:val="heading 7"/>
    <w:basedOn w:val="Normal"/>
    <w:next w:val="Normal"/>
    <w:link w:val="Heading7Char"/>
    <w:autoRedefine/>
    <w:uiPriority w:val="9"/>
    <w:semiHidden/>
    <w:unhideWhenUsed/>
    <w:qFormat/>
    <w:rsid w:val="00443B1F"/>
    <w:pPr>
      <w:keepNext/>
      <w:keepLines/>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EB"/>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163564"/>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6116D5"/>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263CBB"/>
    <w:rPr>
      <w:rFonts w:ascii="Arial" w:eastAsiaTheme="majorEastAsia" w:hAnsi="Arial" w:cstheme="majorBidi"/>
      <w:b/>
      <w:iCs/>
      <w:sz w:val="28"/>
      <w:szCs w:val="28"/>
    </w:rPr>
  </w:style>
  <w:style w:type="paragraph" w:styleId="Title">
    <w:name w:val="Title"/>
    <w:basedOn w:val="Normal"/>
    <w:next w:val="Normal"/>
    <w:link w:val="TitleChar"/>
    <w:uiPriority w:val="10"/>
    <w:qFormat/>
    <w:rsid w:val="007428B8"/>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04E43"/>
    <w:rPr>
      <w:rFonts w:ascii="Arial" w:eastAsiaTheme="majorEastAsia" w:hAnsi="Arial" w:cstheme="majorBidi"/>
      <w:b/>
      <w:i/>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C04E43"/>
    <w:rPr>
      <w:rFonts w:ascii="Arial" w:eastAsiaTheme="majorEastAsia" w:hAnsi="Arial" w:cstheme="majorBidi"/>
      <w:b/>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443B1F"/>
    <w:rPr>
      <w:rFonts w:ascii="Arial" w:eastAsiaTheme="majorEastAsia" w:hAnsi="Arial" w:cstheme="majorBidi"/>
      <w:i/>
      <w:iCs/>
      <w:color w:val="1F4D78" w:themeColor="accent1" w:themeShade="7F"/>
      <w:sz w:val="24"/>
      <w:szCs w:val="24"/>
    </w:rPr>
  </w:style>
  <w:style w:type="character" w:styleId="Hyperlink">
    <w:name w:val="Hyperlink"/>
    <w:rsid w:val="009624BB"/>
    <w:rPr>
      <w:color w:val="0563C1"/>
      <w:u w:val="single"/>
    </w:rPr>
  </w:style>
  <w:style w:type="paragraph" w:styleId="ListParagraph">
    <w:name w:val="List Paragraph"/>
    <w:basedOn w:val="Normal"/>
    <w:uiPriority w:val="99"/>
    <w:qFormat/>
    <w:rsid w:val="00406F50"/>
    <w:pPr>
      <w:ind w:left="720"/>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customStyle="1" w:styleId="Default">
    <w:name w:val="Default"/>
    <w:rsid w:val="00733C6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1561F"/>
    <w:rPr>
      <w:sz w:val="16"/>
      <w:szCs w:val="16"/>
    </w:rPr>
  </w:style>
  <w:style w:type="paragraph" w:styleId="CommentText">
    <w:name w:val="annotation text"/>
    <w:basedOn w:val="Normal"/>
    <w:link w:val="CommentTextChar"/>
    <w:uiPriority w:val="99"/>
    <w:unhideWhenUsed/>
    <w:rsid w:val="0011561F"/>
    <w:rPr>
      <w:sz w:val="20"/>
      <w:szCs w:val="20"/>
    </w:rPr>
  </w:style>
  <w:style w:type="character" w:customStyle="1" w:styleId="CommentTextChar">
    <w:name w:val="Comment Text Char"/>
    <w:basedOn w:val="DefaultParagraphFont"/>
    <w:link w:val="CommentText"/>
    <w:uiPriority w:val="99"/>
    <w:rsid w:val="001156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1561F"/>
    <w:rPr>
      <w:b/>
      <w:bCs/>
    </w:rPr>
  </w:style>
  <w:style w:type="character" w:customStyle="1" w:styleId="CommentSubjectChar">
    <w:name w:val="Comment Subject Char"/>
    <w:basedOn w:val="CommentTextChar"/>
    <w:link w:val="CommentSubject"/>
    <w:uiPriority w:val="99"/>
    <w:semiHidden/>
    <w:rsid w:val="0011561F"/>
    <w:rPr>
      <w:rFonts w:ascii="Arial" w:eastAsia="Times New Roman" w:hAnsi="Arial" w:cs="Times New Roman"/>
      <w:b/>
      <w:bCs/>
      <w:sz w:val="20"/>
      <w:szCs w:val="20"/>
    </w:rPr>
  </w:style>
  <w:style w:type="paragraph" w:styleId="Revision">
    <w:name w:val="Revision"/>
    <w:hidden/>
    <w:uiPriority w:val="99"/>
    <w:semiHidden/>
    <w:rsid w:val="00D44713"/>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903A43"/>
    <w:rPr>
      <w:color w:val="605E5C"/>
      <w:shd w:val="clear" w:color="auto" w:fill="E1DFDD"/>
    </w:rPr>
  </w:style>
  <w:style w:type="character" w:styleId="FollowedHyperlink">
    <w:name w:val="FollowedHyperlink"/>
    <w:basedOn w:val="DefaultParagraphFont"/>
    <w:uiPriority w:val="99"/>
    <w:semiHidden/>
    <w:unhideWhenUsed/>
    <w:rsid w:val="00891054"/>
    <w:rPr>
      <w:color w:val="954F72" w:themeColor="followedHyperlink"/>
      <w:u w:val="single"/>
    </w:rPr>
  </w:style>
  <w:style w:type="paragraph" w:styleId="FootnoteText">
    <w:name w:val="footnote text"/>
    <w:basedOn w:val="Normal"/>
    <w:link w:val="FootnoteTextChar"/>
    <w:uiPriority w:val="99"/>
    <w:unhideWhenUsed/>
    <w:rsid w:val="00990393"/>
    <w:pPr>
      <w:spacing w:before="0" w:after="0"/>
    </w:pPr>
    <w:rPr>
      <w:szCs w:val="20"/>
    </w:rPr>
  </w:style>
  <w:style w:type="character" w:customStyle="1" w:styleId="FootnoteTextChar">
    <w:name w:val="Footnote Text Char"/>
    <w:basedOn w:val="DefaultParagraphFont"/>
    <w:link w:val="FootnoteText"/>
    <w:uiPriority w:val="99"/>
    <w:rsid w:val="00990393"/>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B53772"/>
    <w:rPr>
      <w:vertAlign w:val="superscript"/>
    </w:rPr>
  </w:style>
  <w:style w:type="table" w:styleId="TableGrid">
    <w:name w:val="Table Grid"/>
    <w:basedOn w:val="TableNormal"/>
    <w:uiPriority w:val="39"/>
    <w:rsid w:val="00D81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qFormat/>
    <w:rsid w:val="005A560F"/>
    <w:rPr>
      <w:i/>
    </w:rPr>
  </w:style>
  <w:style w:type="character" w:customStyle="1" w:styleId="TableHeaderChar">
    <w:name w:val="Table Header Char"/>
    <w:basedOn w:val="DefaultParagraphFont"/>
    <w:link w:val="TableHeader"/>
    <w:rsid w:val="005A560F"/>
    <w:rPr>
      <w:rFonts w:ascii="Arial" w:eastAsia="Times New Roman" w:hAnsi="Arial" w:cs="Times New Roman"/>
      <w:i/>
      <w:sz w:val="24"/>
      <w:szCs w:val="24"/>
    </w:rPr>
  </w:style>
  <w:style w:type="table" w:customStyle="1" w:styleId="TableGrid1">
    <w:name w:val="Table Grid1"/>
    <w:basedOn w:val="TableNormal"/>
    <w:next w:val="TableGrid"/>
    <w:uiPriority w:val="39"/>
    <w:rsid w:val="002D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74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4D5A"/>
  </w:style>
  <w:style w:type="paragraph" w:styleId="Caption">
    <w:name w:val="caption"/>
    <w:basedOn w:val="Normal"/>
    <w:next w:val="Normal"/>
    <w:uiPriority w:val="35"/>
    <w:unhideWhenUsed/>
    <w:qFormat/>
    <w:rsid w:val="00767368"/>
    <w:pPr>
      <w:spacing w:before="0" w:after="200"/>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8585">
      <w:bodyDiv w:val="1"/>
      <w:marLeft w:val="0"/>
      <w:marRight w:val="0"/>
      <w:marTop w:val="0"/>
      <w:marBottom w:val="0"/>
      <w:divBdr>
        <w:top w:val="none" w:sz="0" w:space="0" w:color="auto"/>
        <w:left w:val="none" w:sz="0" w:space="0" w:color="auto"/>
        <w:bottom w:val="none" w:sz="0" w:space="0" w:color="auto"/>
        <w:right w:val="none" w:sz="0" w:space="0" w:color="auto"/>
      </w:divBdr>
    </w:div>
    <w:div w:id="112865125">
      <w:bodyDiv w:val="1"/>
      <w:marLeft w:val="0"/>
      <w:marRight w:val="0"/>
      <w:marTop w:val="0"/>
      <w:marBottom w:val="0"/>
      <w:divBdr>
        <w:top w:val="none" w:sz="0" w:space="0" w:color="auto"/>
        <w:left w:val="none" w:sz="0" w:space="0" w:color="auto"/>
        <w:bottom w:val="none" w:sz="0" w:space="0" w:color="auto"/>
        <w:right w:val="none" w:sz="0" w:space="0" w:color="auto"/>
      </w:divBdr>
    </w:div>
    <w:div w:id="141655219">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648366385">
      <w:bodyDiv w:val="1"/>
      <w:marLeft w:val="0"/>
      <w:marRight w:val="0"/>
      <w:marTop w:val="0"/>
      <w:marBottom w:val="0"/>
      <w:divBdr>
        <w:top w:val="none" w:sz="0" w:space="0" w:color="auto"/>
        <w:left w:val="none" w:sz="0" w:space="0" w:color="auto"/>
        <w:bottom w:val="none" w:sz="0" w:space="0" w:color="auto"/>
        <w:right w:val="none" w:sz="0" w:space="0" w:color="auto"/>
      </w:divBdr>
    </w:div>
    <w:div w:id="681473041">
      <w:bodyDiv w:val="1"/>
      <w:marLeft w:val="0"/>
      <w:marRight w:val="0"/>
      <w:marTop w:val="0"/>
      <w:marBottom w:val="0"/>
      <w:divBdr>
        <w:top w:val="none" w:sz="0" w:space="0" w:color="auto"/>
        <w:left w:val="none" w:sz="0" w:space="0" w:color="auto"/>
        <w:bottom w:val="none" w:sz="0" w:space="0" w:color="auto"/>
        <w:right w:val="none" w:sz="0" w:space="0" w:color="auto"/>
      </w:divBdr>
    </w:div>
    <w:div w:id="726874738">
      <w:bodyDiv w:val="1"/>
      <w:marLeft w:val="0"/>
      <w:marRight w:val="0"/>
      <w:marTop w:val="0"/>
      <w:marBottom w:val="0"/>
      <w:divBdr>
        <w:top w:val="none" w:sz="0" w:space="0" w:color="auto"/>
        <w:left w:val="none" w:sz="0" w:space="0" w:color="auto"/>
        <w:bottom w:val="none" w:sz="0" w:space="0" w:color="auto"/>
        <w:right w:val="none" w:sz="0" w:space="0" w:color="auto"/>
      </w:divBdr>
    </w:div>
    <w:div w:id="812601178">
      <w:bodyDiv w:val="1"/>
      <w:marLeft w:val="0"/>
      <w:marRight w:val="0"/>
      <w:marTop w:val="0"/>
      <w:marBottom w:val="0"/>
      <w:divBdr>
        <w:top w:val="none" w:sz="0" w:space="0" w:color="auto"/>
        <w:left w:val="none" w:sz="0" w:space="0" w:color="auto"/>
        <w:bottom w:val="none" w:sz="0" w:space="0" w:color="auto"/>
        <w:right w:val="none" w:sz="0" w:space="0" w:color="auto"/>
      </w:divBdr>
    </w:div>
    <w:div w:id="922959690">
      <w:bodyDiv w:val="1"/>
      <w:marLeft w:val="0"/>
      <w:marRight w:val="0"/>
      <w:marTop w:val="0"/>
      <w:marBottom w:val="0"/>
      <w:divBdr>
        <w:top w:val="none" w:sz="0" w:space="0" w:color="auto"/>
        <w:left w:val="none" w:sz="0" w:space="0" w:color="auto"/>
        <w:bottom w:val="none" w:sz="0" w:space="0" w:color="auto"/>
        <w:right w:val="none" w:sz="0" w:space="0" w:color="auto"/>
      </w:divBdr>
    </w:div>
    <w:div w:id="1123184741">
      <w:bodyDiv w:val="1"/>
      <w:marLeft w:val="0"/>
      <w:marRight w:val="0"/>
      <w:marTop w:val="0"/>
      <w:marBottom w:val="0"/>
      <w:divBdr>
        <w:top w:val="none" w:sz="0" w:space="0" w:color="auto"/>
        <w:left w:val="none" w:sz="0" w:space="0" w:color="auto"/>
        <w:bottom w:val="none" w:sz="0" w:space="0" w:color="auto"/>
        <w:right w:val="none" w:sz="0" w:space="0" w:color="auto"/>
      </w:divBdr>
    </w:div>
    <w:div w:id="1198665964">
      <w:bodyDiv w:val="1"/>
      <w:marLeft w:val="0"/>
      <w:marRight w:val="0"/>
      <w:marTop w:val="0"/>
      <w:marBottom w:val="0"/>
      <w:divBdr>
        <w:top w:val="none" w:sz="0" w:space="0" w:color="auto"/>
        <w:left w:val="none" w:sz="0" w:space="0" w:color="auto"/>
        <w:bottom w:val="none" w:sz="0" w:space="0" w:color="auto"/>
        <w:right w:val="none" w:sz="0" w:space="0" w:color="auto"/>
      </w:divBdr>
    </w:div>
    <w:div w:id="1373995001">
      <w:bodyDiv w:val="1"/>
      <w:marLeft w:val="0"/>
      <w:marRight w:val="0"/>
      <w:marTop w:val="0"/>
      <w:marBottom w:val="0"/>
      <w:divBdr>
        <w:top w:val="none" w:sz="0" w:space="0" w:color="auto"/>
        <w:left w:val="none" w:sz="0" w:space="0" w:color="auto"/>
        <w:bottom w:val="none" w:sz="0" w:space="0" w:color="auto"/>
        <w:right w:val="none" w:sz="0" w:space="0" w:color="auto"/>
      </w:divBdr>
    </w:div>
    <w:div w:id="1531841352">
      <w:bodyDiv w:val="1"/>
      <w:marLeft w:val="0"/>
      <w:marRight w:val="0"/>
      <w:marTop w:val="0"/>
      <w:marBottom w:val="0"/>
      <w:divBdr>
        <w:top w:val="none" w:sz="0" w:space="0" w:color="auto"/>
        <w:left w:val="none" w:sz="0" w:space="0" w:color="auto"/>
        <w:bottom w:val="none" w:sz="0" w:space="0" w:color="auto"/>
        <w:right w:val="none" w:sz="0" w:space="0" w:color="auto"/>
      </w:divBdr>
    </w:div>
    <w:div w:id="1542815258">
      <w:bodyDiv w:val="1"/>
      <w:marLeft w:val="0"/>
      <w:marRight w:val="0"/>
      <w:marTop w:val="0"/>
      <w:marBottom w:val="0"/>
      <w:divBdr>
        <w:top w:val="none" w:sz="0" w:space="0" w:color="auto"/>
        <w:left w:val="none" w:sz="0" w:space="0" w:color="auto"/>
        <w:bottom w:val="none" w:sz="0" w:space="0" w:color="auto"/>
        <w:right w:val="none" w:sz="0" w:space="0" w:color="auto"/>
      </w:divBdr>
    </w:div>
    <w:div w:id="17327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be/ag/ag/yr24/agenda202405.asp" TargetMode="External"/><Relationship Id="rId13" Type="http://schemas.openxmlformats.org/officeDocument/2006/relationships/hyperlink" Target="https://www.cde.ca.gov/be/cc/cs/documents/accs-dec25item02a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be/cc/cs/documents/accs-dec25item02a2.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be/cc/cs/accsnotice120925.a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de.ca.gov/be/cc/cs/documents/accs-apr24item01a79.pdf" TargetMode="External"/><Relationship Id="rId4" Type="http://schemas.openxmlformats.org/officeDocument/2006/relationships/settings" Target="settings.xml"/><Relationship Id="rId9" Type="http://schemas.openxmlformats.org/officeDocument/2006/relationships/hyperlink" Target="https://www.cde.ca.gov/be/cc/cs/documents/accs-apr24item01a78.docx" TargetMode="External"/><Relationship Id="rId14" Type="http://schemas.openxmlformats.org/officeDocument/2006/relationships/hyperlink" Target="https://www.cde.ca.gov/be/cc/cs/documents/accs-dec25item02a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B8A2-9B7B-4D75-B735-1A4952AB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1798</Words>
  <Characters>10415</Characters>
  <Application>Microsoft Office Word</Application>
  <DocSecurity>0</DocSecurity>
  <Lines>260</Lines>
  <Paragraphs>145</Paragraphs>
  <ScaleCrop>false</ScaleCrop>
  <HeadingPairs>
    <vt:vector size="2" baseType="variant">
      <vt:variant>
        <vt:lpstr>Title</vt:lpstr>
      </vt:variant>
      <vt:variant>
        <vt:i4>1</vt:i4>
      </vt:variant>
    </vt:vector>
  </HeadingPairs>
  <TitlesOfParts>
    <vt:vector size="1" baseType="lpstr">
      <vt:lpstr>December 2025 ACCS Agenda Item 02 - Advisory Commission on Charter Schools (CA State Board of Education)</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2025 ACCS Agenda Item 02 - Advisory Commission on Charter Schools (CA State Board of Education)</dc:title>
  <dc:subject>Reconsideration of a Nonclassroom-Based Funding Determination for a Charter School.</dc:subject>
  <dc:creator/>
  <cp:keywords/>
  <dc:description/>
  <cp:lastModifiedBy/>
  <cp:revision>1</cp:revision>
  <dcterms:created xsi:type="dcterms:W3CDTF">2025-05-15T21:29:00Z</dcterms:created>
  <dcterms:modified xsi:type="dcterms:W3CDTF">2025-11-21T21:25:00Z</dcterms:modified>
</cp:coreProperties>
</file>