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97DF" w14:textId="77777777" w:rsidR="002D6EC8" w:rsidRPr="002D6EC8" w:rsidRDefault="002D6EC8" w:rsidP="008F7BC4">
      <w:pPr>
        <w:spacing w:line="240" w:lineRule="auto"/>
        <w:rPr>
          <w:rFonts w:cs="Arial"/>
        </w:rPr>
      </w:pPr>
      <w:r w:rsidRPr="002D6EC8">
        <w:rPr>
          <w:rFonts w:cs="Arial"/>
        </w:rPr>
        <w:t>California Department of Education</w:t>
      </w:r>
    </w:p>
    <w:p w14:paraId="66372B8A" w14:textId="77777777" w:rsidR="002D6EC8" w:rsidRPr="002D6EC8" w:rsidRDefault="002D6EC8" w:rsidP="008F7BC4">
      <w:pPr>
        <w:spacing w:line="240" w:lineRule="auto"/>
        <w:rPr>
          <w:rFonts w:cs="Arial"/>
        </w:rPr>
      </w:pPr>
      <w:r w:rsidRPr="002D6EC8">
        <w:rPr>
          <w:rFonts w:cs="Arial"/>
        </w:rPr>
        <w:t>Charter Schools Division</w:t>
      </w:r>
    </w:p>
    <w:p w14:paraId="6D8E2BC4" w14:textId="77777777" w:rsidR="002D6EC8" w:rsidRPr="00780B44" w:rsidRDefault="00F77C0B" w:rsidP="008F7BC4">
      <w:pPr>
        <w:spacing w:line="240" w:lineRule="auto"/>
        <w:rPr>
          <w:rFonts w:cs="Arial"/>
        </w:rPr>
      </w:pPr>
      <w:r w:rsidRPr="00780B44">
        <w:rPr>
          <w:rFonts w:cs="Arial"/>
        </w:rPr>
        <w:t xml:space="preserve">Revised </w:t>
      </w:r>
      <w:r w:rsidR="0042654E" w:rsidRPr="00780B44">
        <w:rPr>
          <w:rFonts w:cs="Arial"/>
        </w:rPr>
        <w:t>5</w:t>
      </w:r>
      <w:r w:rsidR="00443B1F" w:rsidRPr="00780B44">
        <w:rPr>
          <w:rFonts w:cs="Arial"/>
        </w:rPr>
        <w:t>/2018</w:t>
      </w:r>
    </w:p>
    <w:p w14:paraId="0231E7DB" w14:textId="79425CC8" w:rsidR="00EF48D3" w:rsidRPr="00780B44" w:rsidRDefault="0055266E" w:rsidP="008F7BC4">
      <w:pPr>
        <w:spacing w:after="240" w:line="240" w:lineRule="auto"/>
        <w:rPr>
          <w:rFonts w:cs="Arial"/>
        </w:rPr>
      </w:pPr>
      <w:r w:rsidRPr="00780B44">
        <w:rPr>
          <w:rFonts w:cs="Arial"/>
        </w:rPr>
        <w:t>a</w:t>
      </w:r>
      <w:r w:rsidR="002D6EC8" w:rsidRPr="00780B44">
        <w:rPr>
          <w:rFonts w:cs="Arial"/>
        </w:rPr>
        <w:t>ccs-</w:t>
      </w:r>
      <w:r w:rsidR="00DB6378">
        <w:rPr>
          <w:rFonts w:cs="Arial"/>
        </w:rPr>
        <w:t>feb</w:t>
      </w:r>
      <w:r w:rsidR="004F4157">
        <w:rPr>
          <w:rFonts w:cs="Arial"/>
        </w:rPr>
        <w:t>2</w:t>
      </w:r>
      <w:r w:rsidR="00DB6378">
        <w:rPr>
          <w:rFonts w:cs="Arial"/>
        </w:rPr>
        <w:t>1</w:t>
      </w:r>
      <w:r w:rsidR="008F7BC4" w:rsidRPr="00780B44">
        <w:rPr>
          <w:rFonts w:cs="Arial"/>
        </w:rPr>
        <w:t>item0</w:t>
      </w:r>
      <w:r w:rsidR="00ED64A6">
        <w:rPr>
          <w:rFonts w:cs="Arial"/>
        </w:rPr>
        <w:t>2</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2ED73DBE" w:rsidR="00050515" w:rsidRDefault="00DB6378" w:rsidP="008F7BC4">
      <w:pPr>
        <w:pStyle w:val="Heading1"/>
        <w:spacing w:line="240" w:lineRule="auto"/>
      </w:pPr>
      <w:r>
        <w:t>February</w:t>
      </w:r>
      <w:r w:rsidR="00604A25" w:rsidRPr="00780B44">
        <w:t xml:space="preserve"> 202</w:t>
      </w:r>
      <w:r>
        <w:t>1</w:t>
      </w:r>
      <w:r w:rsidR="00050515" w:rsidRPr="00780B44">
        <w:t xml:space="preserve"> Agenda</w:t>
      </w:r>
      <w:r w:rsidR="00510736">
        <w:br/>
      </w:r>
      <w:r w:rsidR="00050515" w:rsidRPr="00780B44">
        <w:t>Item #</w:t>
      </w:r>
      <w:r w:rsidR="008F7BC4" w:rsidRPr="00780B44">
        <w:t>0</w:t>
      </w:r>
      <w:r w:rsidR="00ED64A6">
        <w:t>2</w:t>
      </w:r>
    </w:p>
    <w:p w14:paraId="086EB83E" w14:textId="77777777" w:rsidR="00FC1FCE" w:rsidRPr="001B3958" w:rsidRDefault="00FC1FCE" w:rsidP="00E94E5E">
      <w:pPr>
        <w:pStyle w:val="Heading2"/>
      </w:pPr>
      <w:r w:rsidRPr="001B3958">
        <w:t>Subject</w:t>
      </w:r>
    </w:p>
    <w:p w14:paraId="1A9EDBB2" w14:textId="5021FD49" w:rsidR="008F7BC4" w:rsidRPr="0064766D" w:rsidRDefault="008F7BC4" w:rsidP="008F7BC4">
      <w:pPr>
        <w:spacing w:line="240" w:lineRule="auto"/>
      </w:pPr>
      <w:bookmarkStart w:id="0" w:name="_GoBack"/>
      <w:r w:rsidRPr="00D13ED8">
        <w:t xml:space="preserve">Consideration of </w:t>
      </w:r>
      <w:r w:rsidR="00CB76D3">
        <w:t xml:space="preserve">a </w:t>
      </w:r>
      <w:r w:rsidR="006B18B4">
        <w:t xml:space="preserve">Retroactive </w:t>
      </w:r>
      <w:r>
        <w:t xml:space="preserve">Request for Determination of Funding </w:t>
      </w:r>
      <w:r w:rsidR="00C9454F">
        <w:t>as Required for</w:t>
      </w:r>
      <w:r>
        <w:t xml:space="preserve"> Nonclassroom-</w:t>
      </w:r>
      <w:r w:rsidR="007617EF">
        <w:t>B</w:t>
      </w:r>
      <w:r>
        <w:t>ased Charter School</w:t>
      </w:r>
      <w:r w:rsidR="00C9454F">
        <w:t>s</w:t>
      </w:r>
      <w:r>
        <w:t xml:space="preserve"> Pursuant to </w:t>
      </w:r>
      <w:r w:rsidRPr="008306A7">
        <w:rPr>
          <w:rFonts w:cs="Arial"/>
        </w:rPr>
        <w:t>California</w:t>
      </w:r>
      <w:r>
        <w:rPr>
          <w:rFonts w:cs="Arial"/>
          <w:i/>
        </w:rPr>
        <w:t xml:space="preserve"> </w:t>
      </w:r>
      <w:r w:rsidRPr="003639BA">
        <w:rPr>
          <w:rFonts w:cs="Arial"/>
          <w:i/>
        </w:rPr>
        <w:t>E</w:t>
      </w:r>
      <w:r>
        <w:rPr>
          <w:rFonts w:cs="Arial"/>
          <w:i/>
        </w:rPr>
        <w:t xml:space="preserve">ducation Code </w:t>
      </w:r>
      <w:r>
        <w:rPr>
          <w:rFonts w:cs="Arial"/>
        </w:rPr>
        <w:t xml:space="preserve">sections 47612.5 and 47634.2, and Associated </w:t>
      </w:r>
      <w:r w:rsidRPr="0015561B">
        <w:rPr>
          <w:rFonts w:cs="Arial"/>
          <w:i/>
        </w:rPr>
        <w:t>California Code of Regulations</w:t>
      </w:r>
      <w:r>
        <w:rPr>
          <w:rFonts w:cs="Arial"/>
        </w:rPr>
        <w:t>, Title 5.</w:t>
      </w:r>
    </w:p>
    <w:bookmarkEnd w:id="0"/>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22BEC612"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2271A7">
        <w:rPr>
          <w:rFonts w:cs="Arial"/>
          <w:i/>
        </w:rPr>
        <w:t xml:space="preserve"> </w:t>
      </w:r>
      <w:r>
        <w:rPr>
          <w:rFonts w:cs="Arial"/>
        </w:rPr>
        <w:t>sections 47612.5 and 47634.2 established the eligibility requirements for apportionment funding for charter schools that offer nonclassroom-based (NCB) instruction. The statutes specify that a charter school may receive apportionment funding for NCB instruction only if a determination of funding is made by the State Board of Education (SBE). The California Department of Education (CDE) reviews a charter school’s determination of funding request and presents it for consideration by the Advisory Commission on Charter Schools</w:t>
      </w:r>
      <w:r w:rsidR="00211E16">
        <w:rPr>
          <w:rFonts w:cs="Arial"/>
        </w:rPr>
        <w:t xml:space="preserve"> (ACCS)</w:t>
      </w:r>
      <w:r>
        <w:rPr>
          <w:rFonts w:cs="Arial"/>
        </w:rPr>
        <w:t xml:space="preserve">, 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p>
    <w:bookmarkEnd w:id="1"/>
    <w:p w14:paraId="6210342C" w14:textId="128ABDC1" w:rsidR="000F3CED" w:rsidRDefault="000F3CED" w:rsidP="000F3CED">
      <w:pPr>
        <w:spacing w:before="240" w:after="240" w:line="240" w:lineRule="auto"/>
        <w:contextualSpacing w:val="0"/>
        <w:rPr>
          <w:rFonts w:cs="Arial"/>
        </w:rPr>
      </w:pPr>
      <w:r w:rsidRPr="00BE214F">
        <w:rPr>
          <w:rFonts w:cs="Arial"/>
        </w:rPr>
        <w:t xml:space="preserve">Pursuant to 5 </w:t>
      </w:r>
      <w:r w:rsidRPr="00BE214F">
        <w:rPr>
          <w:rFonts w:cs="Arial"/>
          <w:i/>
        </w:rPr>
        <w:t>CCR</w:t>
      </w:r>
      <w:r w:rsidRPr="00BE214F">
        <w:rPr>
          <w:rFonts w:cs="Arial"/>
        </w:rPr>
        <w:t xml:space="preserve"> Section 11963.6(c), any determination of funding request approved by the SBE for an existing NCB charter school must be submitted by February 1 and be prospective (i.e., submitted during the fiscal year [FY] prior to the year the funding determination will be effective). Retroactive determination of funding requests </w:t>
      </w:r>
      <w:proofErr w:type="gramStart"/>
      <w:r>
        <w:rPr>
          <w:rFonts w:cs="Arial"/>
        </w:rPr>
        <w:t>refer</w:t>
      </w:r>
      <w:proofErr w:type="gramEnd"/>
      <w:r>
        <w:rPr>
          <w:rFonts w:cs="Arial"/>
        </w:rPr>
        <w:t xml:space="preserve"> to</w:t>
      </w:r>
      <w:r w:rsidRPr="00BE214F">
        <w:rPr>
          <w:rFonts w:cs="Arial"/>
        </w:rPr>
        <w:t xml:space="preserve"> requests </w:t>
      </w:r>
      <w:r>
        <w:rPr>
          <w:rFonts w:cs="Arial"/>
        </w:rPr>
        <w:t xml:space="preserve">that are </w:t>
      </w:r>
      <w:r w:rsidRPr="00BE214F">
        <w:rPr>
          <w:rFonts w:cs="Arial"/>
        </w:rPr>
        <w:t xml:space="preserve">submitted after the regulatory deadline and that require an approved SBE waiver to waive the aforementioned sections of 5 </w:t>
      </w:r>
      <w:r w:rsidRPr="00BE214F">
        <w:rPr>
          <w:rFonts w:cs="Arial"/>
          <w:i/>
        </w:rPr>
        <w:t>CCR</w:t>
      </w:r>
      <w:r w:rsidRPr="00BE214F">
        <w:rPr>
          <w:rFonts w:cs="Arial"/>
        </w:rPr>
        <w:t>.</w:t>
      </w:r>
    </w:p>
    <w:p w14:paraId="698497AA" w14:textId="6886ED61" w:rsidR="00ED3BB7" w:rsidRDefault="00B2173C" w:rsidP="00ED3BB7">
      <w:pPr>
        <w:spacing w:before="240" w:after="240" w:line="240" w:lineRule="auto"/>
        <w:contextualSpacing w:val="0"/>
        <w:rPr>
          <w:rFonts w:cs="Arial"/>
        </w:rPr>
      </w:pPr>
      <w:r>
        <w:rPr>
          <w:rFonts w:cs="Arial"/>
        </w:rPr>
        <w:t xml:space="preserve">Whitmore Union Elementary School District </w:t>
      </w:r>
      <w:r w:rsidR="00174C93">
        <w:rPr>
          <w:rFonts w:cs="Arial"/>
        </w:rPr>
        <w:t xml:space="preserve">submitted a waiver (waiver number 5-9-2020) to the SBE </w:t>
      </w:r>
      <w:r w:rsidR="00DB6378">
        <w:rPr>
          <w:rFonts w:cs="Arial"/>
        </w:rPr>
        <w:t xml:space="preserve">on behalf of New Day Academy (charter #1920) </w:t>
      </w:r>
      <w:r w:rsidR="000F3CED" w:rsidRPr="00BE214F">
        <w:rPr>
          <w:rFonts w:cs="Arial"/>
        </w:rPr>
        <w:t xml:space="preserve">requesting approval </w:t>
      </w:r>
      <w:r w:rsidR="00ED3BB7">
        <w:rPr>
          <w:rFonts w:cs="Arial"/>
        </w:rPr>
        <w:t xml:space="preserve">to submit </w:t>
      </w:r>
      <w:r w:rsidR="000F3CED" w:rsidRPr="00BE214F">
        <w:rPr>
          <w:rFonts w:cs="Arial"/>
        </w:rPr>
        <w:t>a retroactive funding determination</w:t>
      </w:r>
      <w:r w:rsidR="00ED3BB7">
        <w:rPr>
          <w:rFonts w:cs="Arial"/>
        </w:rPr>
        <w:t xml:space="preserve"> request</w:t>
      </w:r>
      <w:r w:rsidR="00174C93">
        <w:rPr>
          <w:rFonts w:cs="Arial"/>
        </w:rPr>
        <w:t xml:space="preserve">. </w:t>
      </w:r>
      <w:r w:rsidR="00D821EF">
        <w:rPr>
          <w:rFonts w:cs="Arial"/>
        </w:rPr>
        <w:t>The</w:t>
      </w:r>
      <w:r w:rsidR="00174C93">
        <w:rPr>
          <w:rFonts w:cs="Arial"/>
        </w:rPr>
        <w:t xml:space="preserve"> waiver</w:t>
      </w:r>
      <w:r w:rsidR="000F3CED" w:rsidRPr="00BE214F">
        <w:rPr>
          <w:rFonts w:cs="Arial"/>
        </w:rPr>
        <w:t xml:space="preserve"> </w:t>
      </w:r>
      <w:r w:rsidR="00174C93">
        <w:rPr>
          <w:rFonts w:cs="Arial"/>
        </w:rPr>
        <w:t xml:space="preserve">was initially scheduled to be heard by the SBE at its January 13–14, 2021, meeting; however, </w:t>
      </w:r>
      <w:r w:rsidR="00ED3BB7">
        <w:rPr>
          <w:rFonts w:cs="Arial"/>
        </w:rPr>
        <w:t>it</w:t>
      </w:r>
      <w:r w:rsidR="00174C93">
        <w:rPr>
          <w:rFonts w:cs="Arial"/>
        </w:rPr>
        <w:t xml:space="preserve"> was pulled from the agenda as additional clarifying information </w:t>
      </w:r>
      <w:r w:rsidR="0011561F">
        <w:rPr>
          <w:rFonts w:cs="Arial"/>
        </w:rPr>
        <w:t>was needed from the</w:t>
      </w:r>
      <w:r w:rsidR="00174C93">
        <w:rPr>
          <w:rFonts w:cs="Arial"/>
        </w:rPr>
        <w:t xml:space="preserve"> district regarding </w:t>
      </w:r>
      <w:r w:rsidR="00ED3BB7">
        <w:rPr>
          <w:rFonts w:cs="Arial"/>
        </w:rPr>
        <w:t>the</w:t>
      </w:r>
      <w:r w:rsidR="00174C93">
        <w:rPr>
          <w:rFonts w:cs="Arial"/>
        </w:rPr>
        <w:t xml:space="preserve"> waiver. The CDE has received all clarifying information and </w:t>
      </w:r>
      <w:r w:rsidR="00ED3BB7">
        <w:rPr>
          <w:rFonts w:cs="Arial"/>
        </w:rPr>
        <w:t>plans to present</w:t>
      </w:r>
      <w:r w:rsidR="00174C93">
        <w:rPr>
          <w:rFonts w:cs="Arial"/>
        </w:rPr>
        <w:t xml:space="preserve"> </w:t>
      </w:r>
      <w:r w:rsidR="00D821EF">
        <w:rPr>
          <w:rFonts w:cs="Arial"/>
        </w:rPr>
        <w:t>the</w:t>
      </w:r>
      <w:r w:rsidR="00174C93">
        <w:rPr>
          <w:rFonts w:cs="Arial"/>
        </w:rPr>
        <w:t xml:space="preserve"> waiver </w:t>
      </w:r>
      <w:r w:rsidR="00ED3BB7">
        <w:rPr>
          <w:rFonts w:cs="Arial"/>
        </w:rPr>
        <w:t xml:space="preserve">to </w:t>
      </w:r>
      <w:r w:rsidR="00DB6378">
        <w:rPr>
          <w:rFonts w:cs="Arial"/>
        </w:rPr>
        <w:t xml:space="preserve">the </w:t>
      </w:r>
      <w:r w:rsidR="000F3CED" w:rsidRPr="00BE214F">
        <w:rPr>
          <w:rFonts w:cs="Arial"/>
        </w:rPr>
        <w:t xml:space="preserve">SBE at its </w:t>
      </w:r>
      <w:r w:rsidR="00DB6378">
        <w:rPr>
          <w:rFonts w:cs="Arial"/>
        </w:rPr>
        <w:t>March 1</w:t>
      </w:r>
      <w:r w:rsidR="00ED3BB7">
        <w:rPr>
          <w:rFonts w:cs="Arial"/>
        </w:rPr>
        <w:t>7</w:t>
      </w:r>
      <w:r w:rsidR="00DB6378">
        <w:rPr>
          <w:rFonts w:cs="Arial"/>
        </w:rPr>
        <w:t>–1</w:t>
      </w:r>
      <w:r w:rsidR="00ED3BB7">
        <w:rPr>
          <w:rFonts w:cs="Arial"/>
        </w:rPr>
        <w:t>8</w:t>
      </w:r>
      <w:r w:rsidR="000F3CED" w:rsidRPr="00BE214F">
        <w:rPr>
          <w:rFonts w:cs="Arial"/>
        </w:rPr>
        <w:t>, 202</w:t>
      </w:r>
      <w:r w:rsidR="00DB6378">
        <w:rPr>
          <w:rFonts w:cs="Arial"/>
        </w:rPr>
        <w:t>1</w:t>
      </w:r>
      <w:r w:rsidR="000F3CED" w:rsidRPr="00BE214F">
        <w:rPr>
          <w:rFonts w:cs="Arial"/>
        </w:rPr>
        <w:t xml:space="preserve">, meeting. </w:t>
      </w:r>
      <w:r w:rsidR="0011561F">
        <w:rPr>
          <w:rFonts w:cs="Arial"/>
        </w:rPr>
        <w:t>The</w:t>
      </w:r>
      <w:r w:rsidR="00ED3BB7">
        <w:rPr>
          <w:rFonts w:cs="Arial"/>
        </w:rPr>
        <w:t xml:space="preserve"> school’s funding </w:t>
      </w:r>
      <w:r w:rsidR="00ED3BB7">
        <w:rPr>
          <w:rFonts w:cs="Arial"/>
        </w:rPr>
        <w:lastRenderedPageBreak/>
        <w:t>determination request</w:t>
      </w:r>
      <w:r w:rsidR="0011561F">
        <w:rPr>
          <w:rFonts w:cs="Arial"/>
        </w:rPr>
        <w:t xml:space="preserve"> may be acted on</w:t>
      </w:r>
      <w:r w:rsidR="00104466">
        <w:rPr>
          <w:rFonts w:cs="Arial"/>
        </w:rPr>
        <w:t xml:space="preserve"> by the SBE</w:t>
      </w:r>
      <w:r w:rsidR="0011561F">
        <w:rPr>
          <w:rFonts w:cs="Arial"/>
        </w:rPr>
        <w:t xml:space="preserve"> if the SBE</w:t>
      </w:r>
      <w:r w:rsidR="007C090C">
        <w:rPr>
          <w:rFonts w:cs="Arial"/>
        </w:rPr>
        <w:t xml:space="preserve"> first</w:t>
      </w:r>
      <w:r w:rsidR="0011561F">
        <w:rPr>
          <w:rFonts w:cs="Arial"/>
        </w:rPr>
        <w:t xml:space="preserve"> approves the waiver</w:t>
      </w:r>
      <w:r w:rsidR="007C090C">
        <w:rPr>
          <w:rFonts w:cs="Arial"/>
        </w:rPr>
        <w:t xml:space="preserve"> at the same meeting</w:t>
      </w:r>
      <w:r w:rsidR="00ED3BB7">
        <w:rPr>
          <w:rFonts w:cs="Arial"/>
        </w:rPr>
        <w:t>.</w:t>
      </w:r>
    </w:p>
    <w:p w14:paraId="19EBEFE6" w14:textId="77777777" w:rsidR="008F7BC4" w:rsidRPr="00F40510" w:rsidRDefault="008F7BC4" w:rsidP="00E94E5E">
      <w:pPr>
        <w:pStyle w:val="Heading2"/>
      </w:pPr>
      <w:r w:rsidRPr="00EF48D3">
        <w:t>Proposed</w:t>
      </w:r>
      <w:r>
        <w:t xml:space="preserve"> Recommendation</w:t>
      </w:r>
    </w:p>
    <w:p w14:paraId="0B5EFA23" w14:textId="1F0002FE" w:rsidR="00BD0A6E" w:rsidRDefault="00BD0A6E" w:rsidP="00510736">
      <w:pPr>
        <w:spacing w:before="100" w:beforeAutospacing="1" w:after="100" w:afterAutospacing="1" w:line="240" w:lineRule="auto"/>
        <w:contextualSpacing w:val="0"/>
        <w:rPr>
          <w:rFonts w:cs="Arial"/>
        </w:rPr>
      </w:pPr>
      <w:r>
        <w:rPr>
          <w:rFonts w:cs="Arial"/>
        </w:rPr>
        <w:t xml:space="preserve">The CDE </w:t>
      </w:r>
      <w:r w:rsidRPr="00E068A8">
        <w:rPr>
          <w:rFonts w:cs="Arial"/>
        </w:rPr>
        <w:t>proposes to recommend that the SBE approve the determination of funding request at the percentage and</w:t>
      </w:r>
      <w:r w:rsidR="00144B53" w:rsidRPr="00E068A8">
        <w:rPr>
          <w:rFonts w:cs="Arial"/>
        </w:rPr>
        <w:t xml:space="preserve"> for the</w:t>
      </w:r>
      <w:r w:rsidRPr="00E068A8">
        <w:rPr>
          <w:rFonts w:cs="Arial"/>
        </w:rPr>
        <w:t xml:space="preserve"> time period specified for </w:t>
      </w:r>
      <w:r w:rsidR="00C51F21">
        <w:rPr>
          <w:rFonts w:cs="Arial"/>
        </w:rPr>
        <w:t>New Day Academy</w:t>
      </w:r>
      <w:r w:rsidR="006A1DB0" w:rsidRPr="00BE214F">
        <w:rPr>
          <w:rFonts w:cs="Arial"/>
        </w:rPr>
        <w:t xml:space="preserve"> </w:t>
      </w:r>
      <w:r w:rsidRPr="00E068A8">
        <w:rPr>
          <w:rFonts w:cs="Arial"/>
        </w:rPr>
        <w:t>as provided in Attachment 1.</w:t>
      </w:r>
    </w:p>
    <w:p w14:paraId="6D063907" w14:textId="00792C59" w:rsidR="00203C3F" w:rsidRPr="00203C3F" w:rsidRDefault="00203C3F" w:rsidP="00203C3F">
      <w:pPr>
        <w:spacing w:before="100" w:beforeAutospacing="1" w:after="100" w:afterAutospacing="1" w:line="240" w:lineRule="auto"/>
        <w:contextualSpacing w:val="0"/>
        <w:rPr>
          <w:rFonts w:cs="Arial"/>
        </w:rPr>
      </w:pPr>
      <w:r w:rsidRPr="00203C3F">
        <w:rPr>
          <w:rFonts w:cs="Arial"/>
        </w:rPr>
        <w:t xml:space="preserve">The CDE notes that </w:t>
      </w:r>
      <w:r>
        <w:rPr>
          <w:rFonts w:cs="Arial"/>
        </w:rPr>
        <w:t>its</w:t>
      </w:r>
      <w:r w:rsidRPr="00203C3F">
        <w:rPr>
          <w:rFonts w:cs="Arial"/>
        </w:rPr>
        <w:t xml:space="preserve"> funding determination recommendation</w:t>
      </w:r>
      <w:r w:rsidR="00ED3BB7">
        <w:rPr>
          <w:rFonts w:cs="Arial"/>
        </w:rPr>
        <w:t xml:space="preserve"> as well as the recommendation moved by the ACCS</w:t>
      </w:r>
      <w:r w:rsidRPr="00203C3F">
        <w:rPr>
          <w:rFonts w:cs="Arial"/>
        </w:rPr>
        <w:t xml:space="preserve"> </w:t>
      </w:r>
      <w:r w:rsidR="00ED3BB7">
        <w:rPr>
          <w:rFonts w:cs="Arial"/>
        </w:rPr>
        <w:t>are</w:t>
      </w:r>
      <w:r w:rsidRPr="00203C3F">
        <w:rPr>
          <w:rFonts w:cs="Arial"/>
        </w:rPr>
        <w:t xml:space="preserve"> contingent upon the SBE approving waiver number 5-9-2020 at its March 17–18</w:t>
      </w:r>
      <w:r w:rsidR="00ED3BB7">
        <w:rPr>
          <w:rFonts w:cs="Arial"/>
        </w:rPr>
        <w:t>, 2021,</w:t>
      </w:r>
      <w:r w:rsidRPr="00203C3F">
        <w:rPr>
          <w:rFonts w:cs="Arial"/>
        </w:rPr>
        <w:t xml:space="preserve"> meeting.</w:t>
      </w:r>
    </w:p>
    <w:p w14:paraId="55AED14D" w14:textId="77777777" w:rsidR="008F7BC4" w:rsidRPr="00F40510" w:rsidRDefault="008F7BC4" w:rsidP="00E94E5E">
      <w:pPr>
        <w:pStyle w:val="Heading2"/>
      </w:pPr>
      <w:r>
        <w:t>Brief Analysis of the Issue</w:t>
      </w:r>
    </w:p>
    <w:p w14:paraId="3F428EB0" w14:textId="77777777" w:rsidR="004C1016" w:rsidRDefault="004C1016" w:rsidP="004C1016">
      <w:pPr>
        <w:spacing w:before="100" w:beforeAutospacing="1" w:after="100" w:afterAutospacing="1" w:line="240" w:lineRule="auto"/>
        <w:contextualSpacing w:val="0"/>
      </w:pPr>
      <w:r w:rsidRPr="00B03278">
        <w:t xml:space="preserve">NCB charter schools must request to obtain a determination of funding by the SBE to establish eligibility to receive apportionment funding. Pursuant to 5 </w:t>
      </w:r>
      <w:r w:rsidRPr="00B03278">
        <w:rPr>
          <w:i/>
        </w:rPr>
        <w:t>CCR</w:t>
      </w:r>
      <w:r w:rsidRPr="00B03278">
        <w:t xml:space="preserve"> Section 11963.4(a), an NCB charter school may qualify for either 70 percent, 85 percent, or 100 percent full funding, or may be denied. To qualify for a proposed recommendation of 100 percent funding, an NCB charter school must meet the following criteria:</w:t>
      </w:r>
    </w:p>
    <w:p w14:paraId="7768CC1A" w14:textId="52DD246E" w:rsidR="004C1016" w:rsidRPr="00C02C2C" w:rsidRDefault="00C51F21" w:rsidP="004C1016">
      <w:pPr>
        <w:numPr>
          <w:ilvl w:val="0"/>
          <w:numId w:val="11"/>
        </w:numPr>
        <w:spacing w:before="240" w:after="240" w:line="240" w:lineRule="auto"/>
        <w:contextualSpacing w:val="0"/>
        <w:rPr>
          <w:rFonts w:cs="Arial"/>
        </w:rPr>
      </w:pPr>
      <w:r>
        <w:rPr>
          <w:rFonts w:cs="Arial"/>
        </w:rPr>
        <w:t>Spend a</w:t>
      </w:r>
      <w:r w:rsidR="004C1016" w:rsidRPr="00C02C2C">
        <w:rPr>
          <w:rFonts w:cs="Arial"/>
        </w:rPr>
        <w:t>t least 40 percent of the school’s public revenues on salaries and benefits for all employees who possess a valid teaching certificate.</w:t>
      </w:r>
    </w:p>
    <w:p w14:paraId="0A6AFD4E" w14:textId="00EC707A" w:rsidR="004C1016" w:rsidRPr="00C02C2C" w:rsidRDefault="00C51F21" w:rsidP="004C1016">
      <w:pPr>
        <w:numPr>
          <w:ilvl w:val="0"/>
          <w:numId w:val="11"/>
        </w:numPr>
        <w:spacing w:before="100" w:beforeAutospacing="1" w:after="240" w:line="240" w:lineRule="auto"/>
        <w:contextualSpacing w:val="0"/>
        <w:rPr>
          <w:rFonts w:cs="Arial"/>
        </w:rPr>
      </w:pPr>
      <w:r>
        <w:rPr>
          <w:rFonts w:cs="Arial"/>
        </w:rPr>
        <w:t>Spend a</w:t>
      </w:r>
      <w:r w:rsidR="004C1016" w:rsidRPr="00C02C2C">
        <w:rPr>
          <w:rFonts w:cs="Arial"/>
        </w:rPr>
        <w:t xml:space="preserve">t least 80 percent of all revenues on instruction </w:t>
      </w:r>
      <w:r>
        <w:rPr>
          <w:rFonts w:cs="Arial"/>
        </w:rPr>
        <w:t xml:space="preserve">and </w:t>
      </w:r>
      <w:r w:rsidR="004C1016" w:rsidRPr="00C02C2C">
        <w:rPr>
          <w:rFonts w:cs="Arial"/>
        </w:rPr>
        <w:t>related services.</w:t>
      </w:r>
    </w:p>
    <w:p w14:paraId="4584568D" w14:textId="04B8455B" w:rsidR="004C1016" w:rsidRDefault="00C51F21" w:rsidP="004C1016">
      <w:pPr>
        <w:numPr>
          <w:ilvl w:val="0"/>
          <w:numId w:val="11"/>
        </w:numPr>
        <w:spacing w:before="100" w:beforeAutospacing="1" w:after="240" w:line="240" w:lineRule="auto"/>
        <w:contextualSpacing w:val="0"/>
        <w:rPr>
          <w:rFonts w:cs="Arial"/>
        </w:rPr>
      </w:pPr>
      <w:r>
        <w:rPr>
          <w:rFonts w:cs="Arial"/>
        </w:rPr>
        <w:t xml:space="preserve">Maintain a </w:t>
      </w:r>
      <w:r w:rsidR="004C1016" w:rsidRPr="00C02C2C">
        <w:rPr>
          <w:rFonts w:cs="Arial"/>
        </w:rPr>
        <w:t>ratio of average daily attendance</w:t>
      </w:r>
      <w:r w:rsidR="004C1016">
        <w:rPr>
          <w:rFonts w:cs="Arial"/>
        </w:rPr>
        <w:t xml:space="preserve"> </w:t>
      </w:r>
      <w:r w:rsidR="004C1016" w:rsidRPr="00C02C2C">
        <w:rPr>
          <w:rFonts w:cs="Arial"/>
        </w:rPr>
        <w:t xml:space="preserve">for independent study pupils to full-time certificated employees </w:t>
      </w:r>
      <w:r>
        <w:rPr>
          <w:rFonts w:cs="Arial"/>
        </w:rPr>
        <w:t xml:space="preserve">that </w:t>
      </w:r>
      <w:r w:rsidR="004C1016" w:rsidRPr="00C02C2C">
        <w:rPr>
          <w:rFonts w:cs="Arial"/>
        </w:rPr>
        <w:t>does not exceed a pupil-teacher ratio</w:t>
      </w:r>
      <w:r>
        <w:rPr>
          <w:rFonts w:cs="Arial"/>
        </w:rPr>
        <w:t xml:space="preserve"> (PTR)</w:t>
      </w:r>
      <w:r w:rsidR="004C1016" w:rsidRPr="00C02C2C">
        <w:rPr>
          <w:rFonts w:cs="Arial"/>
        </w:rPr>
        <w:t xml:space="preserve"> of 25:1 or the </w:t>
      </w:r>
      <w:r>
        <w:rPr>
          <w:rFonts w:cs="Arial"/>
        </w:rPr>
        <w:t>PTR</w:t>
      </w:r>
      <w:r w:rsidR="004C1016" w:rsidRPr="00C02C2C">
        <w:rPr>
          <w:rFonts w:cs="Arial"/>
        </w:rPr>
        <w:t xml:space="preserve"> of the largest unified school district in the county or counties in which the charter school operates.</w:t>
      </w:r>
    </w:p>
    <w:p w14:paraId="49F5F606" w14:textId="4DA4ED2B" w:rsidR="004C1016" w:rsidRPr="004C1016" w:rsidRDefault="004C1016" w:rsidP="004C1016">
      <w:pPr>
        <w:spacing w:before="100" w:beforeAutospacing="1" w:after="100" w:afterAutospacing="1" w:line="240" w:lineRule="auto"/>
        <w:contextualSpacing w:val="0"/>
        <w:rPr>
          <w:rFonts w:cs="Arial"/>
        </w:rPr>
      </w:pPr>
      <w:r w:rsidRPr="004C1016">
        <w:rPr>
          <w:rFonts w:cs="Arial"/>
        </w:rPr>
        <w:t xml:space="preserve">Pursuant to 5 </w:t>
      </w:r>
      <w:r w:rsidRPr="004C1016">
        <w:rPr>
          <w:rFonts w:cs="Arial"/>
          <w:i/>
          <w:iCs/>
        </w:rPr>
        <w:t>CCR</w:t>
      </w:r>
      <w:r w:rsidRPr="004C1016">
        <w:rPr>
          <w:rFonts w:cs="Arial"/>
        </w:rPr>
        <w:t xml:space="preserve"> Section 11963.6(c), any determination of funding request approved by the SBE for an existing NCB charter school must be prospective (not for the current year) and submitted by February 1. The CDE received a completed determination of </w:t>
      </w:r>
      <w:r w:rsidRPr="00543170">
        <w:rPr>
          <w:rFonts w:cs="Arial"/>
        </w:rPr>
        <w:t xml:space="preserve">funding request from </w:t>
      </w:r>
      <w:r w:rsidR="00C51F21">
        <w:rPr>
          <w:rFonts w:cs="Arial"/>
        </w:rPr>
        <w:t>New Day Academy</w:t>
      </w:r>
      <w:r w:rsidRPr="00543170">
        <w:rPr>
          <w:rFonts w:cs="Arial"/>
        </w:rPr>
        <w:t xml:space="preserve"> after the required</w:t>
      </w:r>
      <w:r w:rsidRPr="004C1016">
        <w:rPr>
          <w:rFonts w:cs="Arial"/>
        </w:rPr>
        <w:t xml:space="preserve"> February 1, 2020, deadline, thereby making the request retroactive, not prospective. Since the school did not submit a completed request by the regulatory filing deadline, it </w:t>
      </w:r>
      <w:r w:rsidR="00C51F21">
        <w:rPr>
          <w:rFonts w:cs="Arial"/>
        </w:rPr>
        <w:t>is</w:t>
      </w:r>
      <w:r w:rsidRPr="004C1016">
        <w:rPr>
          <w:rFonts w:cs="Arial"/>
        </w:rPr>
        <w:t xml:space="preserve"> required to request a waiver for SBE approval to allow the school to request a funding determination after the deadline.</w:t>
      </w:r>
      <w:r w:rsidR="009F7F09">
        <w:rPr>
          <w:rFonts w:cs="Arial"/>
        </w:rPr>
        <w:t xml:space="preserve"> </w:t>
      </w:r>
      <w:r w:rsidR="00C51F21">
        <w:rPr>
          <w:rFonts w:cs="Arial"/>
        </w:rPr>
        <w:t xml:space="preserve">The waiver request is anticipated to be heard by the </w:t>
      </w:r>
      <w:r w:rsidR="00C51F21" w:rsidRPr="00BE214F">
        <w:rPr>
          <w:rFonts w:cs="Arial"/>
        </w:rPr>
        <w:t xml:space="preserve">SBE at its </w:t>
      </w:r>
      <w:r w:rsidR="00C51F21">
        <w:rPr>
          <w:rFonts w:cs="Arial"/>
        </w:rPr>
        <w:t>March 1</w:t>
      </w:r>
      <w:r w:rsidR="000F2AE4">
        <w:rPr>
          <w:rFonts w:cs="Arial"/>
        </w:rPr>
        <w:t>7</w:t>
      </w:r>
      <w:r w:rsidR="00C51F21">
        <w:rPr>
          <w:rFonts w:cs="Arial"/>
        </w:rPr>
        <w:t>–1</w:t>
      </w:r>
      <w:r w:rsidR="000F2AE4">
        <w:rPr>
          <w:rFonts w:cs="Arial"/>
        </w:rPr>
        <w:t>8</w:t>
      </w:r>
      <w:r w:rsidR="00C51F21" w:rsidRPr="00BE214F">
        <w:rPr>
          <w:rFonts w:cs="Arial"/>
        </w:rPr>
        <w:t>, 202</w:t>
      </w:r>
      <w:r w:rsidR="00C51F21">
        <w:rPr>
          <w:rFonts w:cs="Arial"/>
        </w:rPr>
        <w:t>1</w:t>
      </w:r>
      <w:r w:rsidR="00C51F21" w:rsidRPr="00BE214F">
        <w:rPr>
          <w:rFonts w:cs="Arial"/>
        </w:rPr>
        <w:t xml:space="preserve">, meeting. </w:t>
      </w:r>
      <w:r w:rsidR="00C51F21">
        <w:rPr>
          <w:rFonts w:cs="Arial"/>
        </w:rPr>
        <w:t xml:space="preserve">Should the SBE approve the waiver, </w:t>
      </w:r>
      <w:r w:rsidR="004E2ADC">
        <w:rPr>
          <w:rFonts w:cs="Arial"/>
        </w:rPr>
        <w:t>the SBE</w:t>
      </w:r>
      <w:r w:rsidR="00C51F21">
        <w:rPr>
          <w:rFonts w:cs="Arial"/>
        </w:rPr>
        <w:t xml:space="preserve"> may then act on the school’s funding determination request</w:t>
      </w:r>
      <w:r w:rsidR="004E2ADC">
        <w:rPr>
          <w:rFonts w:cs="Arial"/>
        </w:rPr>
        <w:t>.</w:t>
      </w:r>
    </w:p>
    <w:p w14:paraId="73971641" w14:textId="0CE4022B" w:rsidR="000F3CED" w:rsidRDefault="000F3CED" w:rsidP="005D2491">
      <w:pPr>
        <w:spacing w:before="100" w:beforeAutospacing="1" w:after="100" w:afterAutospacing="1" w:line="240" w:lineRule="auto"/>
        <w:contextualSpacing w:val="0"/>
        <w:rPr>
          <w:rFonts w:cs="Arial"/>
        </w:rPr>
      </w:pPr>
      <w:bookmarkStart w:id="2" w:name="_Hlk38636967"/>
      <w:r w:rsidRPr="00BE214F">
        <w:rPr>
          <w:rFonts w:cs="Arial"/>
        </w:rPr>
        <w:t>For an existing NCB charter school, 5</w:t>
      </w:r>
      <w:r w:rsidRPr="00BE214F">
        <w:rPr>
          <w:rFonts w:cs="Arial"/>
          <w:i/>
        </w:rPr>
        <w:t xml:space="preserve"> CCR</w:t>
      </w:r>
      <w:r w:rsidRPr="00BE214F">
        <w:rPr>
          <w:rFonts w:cs="Arial"/>
        </w:rPr>
        <w:t xml:space="preserve"> Section 11963.6(c) specifies that a determination of funding shall be for a minimum time period of two years and a </w:t>
      </w:r>
      <w:r w:rsidRPr="00BE214F">
        <w:rPr>
          <w:rFonts w:cs="Arial"/>
        </w:rPr>
        <w:lastRenderedPageBreak/>
        <w:t>maximum time period of five years. It is the CDE’s current practice to recommend that an existing NCB charter school submitting a first-time renewal request of its funding determination be approved for a period of three FYs.</w:t>
      </w:r>
    </w:p>
    <w:bookmarkEnd w:id="2"/>
    <w:p w14:paraId="7F4E3621" w14:textId="54D37258" w:rsidR="008F7BC4" w:rsidRPr="001B3958" w:rsidRDefault="00BC41D2" w:rsidP="00E94E5E">
      <w:pPr>
        <w:pStyle w:val="Heading2"/>
      </w:pPr>
      <w:r>
        <w:t>Attachment</w:t>
      </w:r>
      <w:r w:rsidR="007B271A">
        <w:t>s</w:t>
      </w:r>
    </w:p>
    <w:p w14:paraId="767F9CED" w14:textId="574439AF" w:rsidR="008F7BC4" w:rsidRPr="00EA09AC" w:rsidRDefault="008F7BC4" w:rsidP="005878F1">
      <w:pPr>
        <w:pStyle w:val="ListParagraph"/>
        <w:numPr>
          <w:ilvl w:val="0"/>
          <w:numId w:val="12"/>
        </w:numPr>
        <w:spacing w:before="0" w:after="240" w:line="240" w:lineRule="auto"/>
        <w:contextualSpacing w:val="0"/>
      </w:pPr>
      <w:r w:rsidRPr="00E81F6E">
        <w:rPr>
          <w:b/>
        </w:rPr>
        <w:t>Attachment 1:</w:t>
      </w:r>
      <w:r w:rsidRPr="006E28C7">
        <w:t xml:space="preserve"> Proposed Determination of Funding Recommendation</w:t>
      </w:r>
      <w:r w:rsidR="00510736">
        <w:t xml:space="preserve"> for</w:t>
      </w:r>
      <w:r w:rsidR="00710C96">
        <w:t xml:space="preserve"> </w:t>
      </w:r>
      <w:r w:rsidR="0052741C">
        <w:t xml:space="preserve">a </w:t>
      </w:r>
      <w:r w:rsidRPr="00EA09AC">
        <w:t>Nonclassroom-</w:t>
      </w:r>
      <w:r w:rsidR="00DC2D10" w:rsidRPr="00EA09AC">
        <w:t>B</w:t>
      </w:r>
      <w:r w:rsidRPr="00EA09AC">
        <w:t>ased Charter School (</w:t>
      </w:r>
      <w:r w:rsidR="0052741C" w:rsidRPr="00EA09AC">
        <w:t>1</w:t>
      </w:r>
      <w:r w:rsidRPr="00EA09AC">
        <w:t xml:space="preserve"> Page)</w:t>
      </w:r>
    </w:p>
    <w:p w14:paraId="25BF49EB" w14:textId="141106C0" w:rsidR="00755493" w:rsidRPr="00EA09AC" w:rsidRDefault="008515E6" w:rsidP="004E2ADC">
      <w:pPr>
        <w:pStyle w:val="ListParagraph"/>
        <w:numPr>
          <w:ilvl w:val="0"/>
          <w:numId w:val="12"/>
        </w:numPr>
        <w:spacing w:before="0" w:after="240" w:line="240" w:lineRule="auto"/>
        <w:contextualSpacing w:val="0"/>
      </w:pPr>
      <w:r w:rsidRPr="00EA09AC">
        <w:rPr>
          <w:b/>
        </w:rPr>
        <w:t>Attachment 2:</w:t>
      </w:r>
      <w:r w:rsidRPr="00EA09AC">
        <w:t xml:space="preserve"> Determination of Funding Request for </w:t>
      </w:r>
      <w:r w:rsidR="004E2ADC">
        <w:t>New Day Academy</w:t>
      </w:r>
      <w:r w:rsidRPr="00EA09AC">
        <w:t xml:space="preserve">, </w:t>
      </w:r>
      <w:r w:rsidR="00F51380" w:rsidRPr="00EA09AC">
        <w:t>C</w:t>
      </w:r>
      <w:r w:rsidRPr="00EA09AC">
        <w:t>harter #</w:t>
      </w:r>
      <w:r w:rsidR="004E2ADC">
        <w:t>1920</w:t>
      </w:r>
      <w:r w:rsidRPr="00EA09AC">
        <w:t xml:space="preserve"> (9 Pages)</w:t>
      </w:r>
    </w:p>
    <w:sectPr w:rsidR="00755493" w:rsidRPr="00EA09AC" w:rsidSect="00FF0480">
      <w:headerReference w:type="default" r:id="rId7"/>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49A" w14:textId="77777777" w:rsidR="00ED7F90" w:rsidRDefault="00ED7F90" w:rsidP="000E09DC">
      <w:r>
        <w:separator/>
      </w:r>
    </w:p>
  </w:endnote>
  <w:endnote w:type="continuationSeparator" w:id="0">
    <w:p w14:paraId="6A0BC64A" w14:textId="77777777" w:rsidR="00ED7F90" w:rsidRDefault="00ED7F9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CBD5" w14:textId="77777777" w:rsidR="00ED7F90" w:rsidRDefault="00ED7F90" w:rsidP="000E09DC">
      <w:r>
        <w:separator/>
      </w:r>
    </w:p>
  </w:footnote>
  <w:footnote w:type="continuationSeparator" w:id="0">
    <w:p w14:paraId="00D8F92B" w14:textId="77777777" w:rsidR="00ED7F90" w:rsidRDefault="00ED7F9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2763D235" w:rsidR="00ED6047" w:rsidRPr="002D6EC8" w:rsidRDefault="00ED6047" w:rsidP="00BA695B">
    <w:pPr>
      <w:spacing w:after="0"/>
      <w:contextualSpacing w:val="0"/>
      <w:jc w:val="right"/>
    </w:pPr>
    <w:r w:rsidRPr="00780B44">
      <w:rPr>
        <w:rFonts w:cs="Arial"/>
      </w:rPr>
      <w:t>accs-</w:t>
    </w:r>
    <w:r w:rsidR="004E2ADC">
      <w:rPr>
        <w:rFonts w:cs="Arial"/>
      </w:rPr>
      <w:t>feb21</w:t>
    </w:r>
    <w:r w:rsidRPr="00780B44">
      <w:rPr>
        <w:rFonts w:cs="Arial"/>
      </w:rPr>
      <w:t>item0</w:t>
    </w:r>
    <w:r w:rsidR="00ED64A6">
      <w:rPr>
        <w:rFonts w:cs="Arial"/>
      </w:rPr>
      <w:t>2</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9"/>
  </w:num>
  <w:num w:numId="6">
    <w:abstractNumId w:val="1"/>
  </w:num>
  <w:num w:numId="7">
    <w:abstractNumId w:val="3"/>
  </w:num>
  <w:num w:numId="8">
    <w:abstractNumId w:val="5"/>
  </w:num>
  <w:num w:numId="9">
    <w:abstractNumId w:val="6"/>
  </w:num>
  <w:num w:numId="10">
    <w:abstractNumId w:val="14"/>
  </w:num>
  <w:num w:numId="11">
    <w:abstractNumId w:val="0"/>
  </w:num>
  <w:num w:numId="12">
    <w:abstractNumId w:val="11"/>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24458"/>
    <w:rsid w:val="00025553"/>
    <w:rsid w:val="000321AE"/>
    <w:rsid w:val="000324AD"/>
    <w:rsid w:val="00050515"/>
    <w:rsid w:val="00062D56"/>
    <w:rsid w:val="000739CA"/>
    <w:rsid w:val="00073CF7"/>
    <w:rsid w:val="00081E94"/>
    <w:rsid w:val="000877BE"/>
    <w:rsid w:val="00087A22"/>
    <w:rsid w:val="00091CDC"/>
    <w:rsid w:val="000928B7"/>
    <w:rsid w:val="00092FF8"/>
    <w:rsid w:val="000951F6"/>
    <w:rsid w:val="000A21F0"/>
    <w:rsid w:val="000A5399"/>
    <w:rsid w:val="000B5957"/>
    <w:rsid w:val="000C5AE0"/>
    <w:rsid w:val="000D5F5E"/>
    <w:rsid w:val="000E09DC"/>
    <w:rsid w:val="000E3913"/>
    <w:rsid w:val="000F0942"/>
    <w:rsid w:val="000F2AE4"/>
    <w:rsid w:val="000F3CED"/>
    <w:rsid w:val="00100430"/>
    <w:rsid w:val="0010269E"/>
    <w:rsid w:val="00104466"/>
    <w:rsid w:val="001048F3"/>
    <w:rsid w:val="0010793A"/>
    <w:rsid w:val="0011073C"/>
    <w:rsid w:val="001115F5"/>
    <w:rsid w:val="00111ABD"/>
    <w:rsid w:val="001130DE"/>
    <w:rsid w:val="0011561F"/>
    <w:rsid w:val="00120906"/>
    <w:rsid w:val="00121659"/>
    <w:rsid w:val="0012261E"/>
    <w:rsid w:val="00124D2D"/>
    <w:rsid w:val="0012534F"/>
    <w:rsid w:val="00130059"/>
    <w:rsid w:val="0013142F"/>
    <w:rsid w:val="00134328"/>
    <w:rsid w:val="00144B53"/>
    <w:rsid w:val="001466ED"/>
    <w:rsid w:val="001517CB"/>
    <w:rsid w:val="0016380B"/>
    <w:rsid w:val="00174C93"/>
    <w:rsid w:val="00177405"/>
    <w:rsid w:val="0018148D"/>
    <w:rsid w:val="0018298E"/>
    <w:rsid w:val="00186990"/>
    <w:rsid w:val="00186DCB"/>
    <w:rsid w:val="00187317"/>
    <w:rsid w:val="001947B1"/>
    <w:rsid w:val="001A0AEA"/>
    <w:rsid w:val="001A0CA5"/>
    <w:rsid w:val="001A1352"/>
    <w:rsid w:val="001A492E"/>
    <w:rsid w:val="001B127C"/>
    <w:rsid w:val="001B1A02"/>
    <w:rsid w:val="001B3958"/>
    <w:rsid w:val="001C723E"/>
    <w:rsid w:val="001D4978"/>
    <w:rsid w:val="001D7FAC"/>
    <w:rsid w:val="001E0FE8"/>
    <w:rsid w:val="001E1929"/>
    <w:rsid w:val="001E2A2F"/>
    <w:rsid w:val="001E3B8E"/>
    <w:rsid w:val="001E5813"/>
    <w:rsid w:val="001F1ACD"/>
    <w:rsid w:val="001F4C31"/>
    <w:rsid w:val="001F7D78"/>
    <w:rsid w:val="00200D9F"/>
    <w:rsid w:val="00202C44"/>
    <w:rsid w:val="00203C3F"/>
    <w:rsid w:val="002060E7"/>
    <w:rsid w:val="00211E16"/>
    <w:rsid w:val="002174CC"/>
    <w:rsid w:val="00223112"/>
    <w:rsid w:val="002271A7"/>
    <w:rsid w:val="00230910"/>
    <w:rsid w:val="00240622"/>
    <w:rsid w:val="00240B26"/>
    <w:rsid w:val="00251CDA"/>
    <w:rsid w:val="00252C96"/>
    <w:rsid w:val="00261B72"/>
    <w:rsid w:val="002631D5"/>
    <w:rsid w:val="00270D4D"/>
    <w:rsid w:val="00272B4F"/>
    <w:rsid w:val="00285BE7"/>
    <w:rsid w:val="00291AB7"/>
    <w:rsid w:val="0029513D"/>
    <w:rsid w:val="002A263F"/>
    <w:rsid w:val="002A35EB"/>
    <w:rsid w:val="002B2176"/>
    <w:rsid w:val="002B4B14"/>
    <w:rsid w:val="002C71F2"/>
    <w:rsid w:val="002C7705"/>
    <w:rsid w:val="002D1A82"/>
    <w:rsid w:val="002D49FB"/>
    <w:rsid w:val="002D6EC8"/>
    <w:rsid w:val="002E4CB5"/>
    <w:rsid w:val="002E52C1"/>
    <w:rsid w:val="002E6FCA"/>
    <w:rsid w:val="002F279B"/>
    <w:rsid w:val="002F7D01"/>
    <w:rsid w:val="003005BC"/>
    <w:rsid w:val="00312309"/>
    <w:rsid w:val="00315131"/>
    <w:rsid w:val="0031775D"/>
    <w:rsid w:val="00317B34"/>
    <w:rsid w:val="00320FA9"/>
    <w:rsid w:val="00321613"/>
    <w:rsid w:val="0032296D"/>
    <w:rsid w:val="00323F65"/>
    <w:rsid w:val="00337321"/>
    <w:rsid w:val="003453FB"/>
    <w:rsid w:val="003533D1"/>
    <w:rsid w:val="003546A4"/>
    <w:rsid w:val="00363520"/>
    <w:rsid w:val="00364CB8"/>
    <w:rsid w:val="003705FC"/>
    <w:rsid w:val="00371992"/>
    <w:rsid w:val="00374D3F"/>
    <w:rsid w:val="003772A9"/>
    <w:rsid w:val="00380371"/>
    <w:rsid w:val="00384ACF"/>
    <w:rsid w:val="00397AC2"/>
    <w:rsid w:val="003A4D7D"/>
    <w:rsid w:val="003B2F22"/>
    <w:rsid w:val="003B307B"/>
    <w:rsid w:val="003B5617"/>
    <w:rsid w:val="003B5B8E"/>
    <w:rsid w:val="003C103C"/>
    <w:rsid w:val="003D1ECD"/>
    <w:rsid w:val="003D6DB2"/>
    <w:rsid w:val="003E1E8D"/>
    <w:rsid w:val="003E1F44"/>
    <w:rsid w:val="003E4DF7"/>
    <w:rsid w:val="003E53AD"/>
    <w:rsid w:val="003E581D"/>
    <w:rsid w:val="003E6800"/>
    <w:rsid w:val="003F61DE"/>
    <w:rsid w:val="004041BC"/>
    <w:rsid w:val="00406F50"/>
    <w:rsid w:val="00407AA4"/>
    <w:rsid w:val="00407E9B"/>
    <w:rsid w:val="00413525"/>
    <w:rsid w:val="0041467B"/>
    <w:rsid w:val="00417CF6"/>
    <w:rsid w:val="004203BC"/>
    <w:rsid w:val="004248D0"/>
    <w:rsid w:val="0042654E"/>
    <w:rsid w:val="00430094"/>
    <w:rsid w:val="00432357"/>
    <w:rsid w:val="0044368B"/>
    <w:rsid w:val="00443B1F"/>
    <w:rsid w:val="0044659F"/>
    <w:rsid w:val="0044670C"/>
    <w:rsid w:val="00450C7F"/>
    <w:rsid w:val="00462A53"/>
    <w:rsid w:val="00463CAE"/>
    <w:rsid w:val="0046519F"/>
    <w:rsid w:val="0047534A"/>
    <w:rsid w:val="004778BB"/>
    <w:rsid w:val="004903FA"/>
    <w:rsid w:val="00492F24"/>
    <w:rsid w:val="004947BC"/>
    <w:rsid w:val="004B605A"/>
    <w:rsid w:val="004C1016"/>
    <w:rsid w:val="004D1B6B"/>
    <w:rsid w:val="004D77E0"/>
    <w:rsid w:val="004E029B"/>
    <w:rsid w:val="004E2ADC"/>
    <w:rsid w:val="004F03D0"/>
    <w:rsid w:val="004F1692"/>
    <w:rsid w:val="004F4157"/>
    <w:rsid w:val="004F63BC"/>
    <w:rsid w:val="00510736"/>
    <w:rsid w:val="00512D1B"/>
    <w:rsid w:val="005156AF"/>
    <w:rsid w:val="00517C00"/>
    <w:rsid w:val="00525A90"/>
    <w:rsid w:val="0052741C"/>
    <w:rsid w:val="00527B0E"/>
    <w:rsid w:val="00532DAA"/>
    <w:rsid w:val="005350B0"/>
    <w:rsid w:val="00536715"/>
    <w:rsid w:val="00536910"/>
    <w:rsid w:val="0054059F"/>
    <w:rsid w:val="00543170"/>
    <w:rsid w:val="00550A90"/>
    <w:rsid w:val="0055266E"/>
    <w:rsid w:val="00553EA1"/>
    <w:rsid w:val="0055453B"/>
    <w:rsid w:val="005623C2"/>
    <w:rsid w:val="00570BF9"/>
    <w:rsid w:val="00573D57"/>
    <w:rsid w:val="00577182"/>
    <w:rsid w:val="005878F1"/>
    <w:rsid w:val="005A2FEC"/>
    <w:rsid w:val="005C5755"/>
    <w:rsid w:val="005C66DD"/>
    <w:rsid w:val="005D026E"/>
    <w:rsid w:val="005D15C4"/>
    <w:rsid w:val="005D2491"/>
    <w:rsid w:val="005D316B"/>
    <w:rsid w:val="005D4001"/>
    <w:rsid w:val="005D401E"/>
    <w:rsid w:val="005D630D"/>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329F"/>
    <w:rsid w:val="0064373F"/>
    <w:rsid w:val="00653939"/>
    <w:rsid w:val="00653F15"/>
    <w:rsid w:val="00655299"/>
    <w:rsid w:val="00656222"/>
    <w:rsid w:val="006576AD"/>
    <w:rsid w:val="006738BA"/>
    <w:rsid w:val="00676B70"/>
    <w:rsid w:val="006860C8"/>
    <w:rsid w:val="00687809"/>
    <w:rsid w:val="00690FD1"/>
    <w:rsid w:val="00692300"/>
    <w:rsid w:val="00693519"/>
    <w:rsid w:val="00693951"/>
    <w:rsid w:val="006A1DB0"/>
    <w:rsid w:val="006A2812"/>
    <w:rsid w:val="006A63C6"/>
    <w:rsid w:val="006B1750"/>
    <w:rsid w:val="006B18B4"/>
    <w:rsid w:val="006B2111"/>
    <w:rsid w:val="006B2149"/>
    <w:rsid w:val="006B68B0"/>
    <w:rsid w:val="006C4282"/>
    <w:rsid w:val="006D0223"/>
    <w:rsid w:val="006D1849"/>
    <w:rsid w:val="006D41C6"/>
    <w:rsid w:val="006D6FC6"/>
    <w:rsid w:val="006E06C6"/>
    <w:rsid w:val="006E547B"/>
    <w:rsid w:val="006F1AB1"/>
    <w:rsid w:val="006F740B"/>
    <w:rsid w:val="006F797A"/>
    <w:rsid w:val="00700676"/>
    <w:rsid w:val="00710C96"/>
    <w:rsid w:val="00713E5C"/>
    <w:rsid w:val="007224CC"/>
    <w:rsid w:val="00726EDA"/>
    <w:rsid w:val="0072734E"/>
    <w:rsid w:val="007313A3"/>
    <w:rsid w:val="00732F3F"/>
    <w:rsid w:val="00733C67"/>
    <w:rsid w:val="007400CB"/>
    <w:rsid w:val="007428B8"/>
    <w:rsid w:val="00746164"/>
    <w:rsid w:val="00746ED5"/>
    <w:rsid w:val="007478FF"/>
    <w:rsid w:val="007514ED"/>
    <w:rsid w:val="0075333A"/>
    <w:rsid w:val="00755493"/>
    <w:rsid w:val="007617EF"/>
    <w:rsid w:val="00764AEB"/>
    <w:rsid w:val="007651B6"/>
    <w:rsid w:val="00772605"/>
    <w:rsid w:val="007747DA"/>
    <w:rsid w:val="00775131"/>
    <w:rsid w:val="00780B44"/>
    <w:rsid w:val="00780BB6"/>
    <w:rsid w:val="007913E7"/>
    <w:rsid w:val="007937C5"/>
    <w:rsid w:val="007A0536"/>
    <w:rsid w:val="007A2A8F"/>
    <w:rsid w:val="007A7F71"/>
    <w:rsid w:val="007B271A"/>
    <w:rsid w:val="007B7957"/>
    <w:rsid w:val="007C090C"/>
    <w:rsid w:val="007C5697"/>
    <w:rsid w:val="007D5DE7"/>
    <w:rsid w:val="007D6A8F"/>
    <w:rsid w:val="007E7B84"/>
    <w:rsid w:val="00801C86"/>
    <w:rsid w:val="008026B6"/>
    <w:rsid w:val="0080433D"/>
    <w:rsid w:val="00806E78"/>
    <w:rsid w:val="00806F09"/>
    <w:rsid w:val="008150A1"/>
    <w:rsid w:val="008223B1"/>
    <w:rsid w:val="00822709"/>
    <w:rsid w:val="00823DCC"/>
    <w:rsid w:val="0083556E"/>
    <w:rsid w:val="00846CA4"/>
    <w:rsid w:val="008515E6"/>
    <w:rsid w:val="008536D2"/>
    <w:rsid w:val="00854DB4"/>
    <w:rsid w:val="0086465D"/>
    <w:rsid w:val="00865F72"/>
    <w:rsid w:val="00875C6D"/>
    <w:rsid w:val="00876B82"/>
    <w:rsid w:val="00882FC1"/>
    <w:rsid w:val="00884716"/>
    <w:rsid w:val="008909EE"/>
    <w:rsid w:val="00893F0E"/>
    <w:rsid w:val="00895488"/>
    <w:rsid w:val="008A5EF9"/>
    <w:rsid w:val="008B4D5C"/>
    <w:rsid w:val="008C0805"/>
    <w:rsid w:val="008C3025"/>
    <w:rsid w:val="008D6FBC"/>
    <w:rsid w:val="008E233F"/>
    <w:rsid w:val="008E2F92"/>
    <w:rsid w:val="008E51BB"/>
    <w:rsid w:val="008F75E6"/>
    <w:rsid w:val="008F7BC4"/>
    <w:rsid w:val="00900358"/>
    <w:rsid w:val="00906D8D"/>
    <w:rsid w:val="009073F5"/>
    <w:rsid w:val="0091117B"/>
    <w:rsid w:val="00920525"/>
    <w:rsid w:val="00921421"/>
    <w:rsid w:val="0092696A"/>
    <w:rsid w:val="009270BF"/>
    <w:rsid w:val="009302B6"/>
    <w:rsid w:val="00931B4D"/>
    <w:rsid w:val="00932529"/>
    <w:rsid w:val="0094608C"/>
    <w:rsid w:val="00973C53"/>
    <w:rsid w:val="009748A2"/>
    <w:rsid w:val="00980457"/>
    <w:rsid w:val="00980D04"/>
    <w:rsid w:val="009876A4"/>
    <w:rsid w:val="00990AF8"/>
    <w:rsid w:val="0099535D"/>
    <w:rsid w:val="009A0F9C"/>
    <w:rsid w:val="009A105B"/>
    <w:rsid w:val="009B04E1"/>
    <w:rsid w:val="009D5028"/>
    <w:rsid w:val="009E1BA2"/>
    <w:rsid w:val="009F3F9D"/>
    <w:rsid w:val="009F7F09"/>
    <w:rsid w:val="00A00545"/>
    <w:rsid w:val="00A03777"/>
    <w:rsid w:val="00A050CD"/>
    <w:rsid w:val="00A056E5"/>
    <w:rsid w:val="00A07F42"/>
    <w:rsid w:val="00A148BF"/>
    <w:rsid w:val="00A14F7A"/>
    <w:rsid w:val="00A16315"/>
    <w:rsid w:val="00A30B3C"/>
    <w:rsid w:val="00A34A51"/>
    <w:rsid w:val="00A35FCD"/>
    <w:rsid w:val="00A4553C"/>
    <w:rsid w:val="00A51E6F"/>
    <w:rsid w:val="00A538C9"/>
    <w:rsid w:val="00A552D0"/>
    <w:rsid w:val="00A55FA6"/>
    <w:rsid w:val="00A60392"/>
    <w:rsid w:val="00A63C59"/>
    <w:rsid w:val="00A67820"/>
    <w:rsid w:val="00A7011F"/>
    <w:rsid w:val="00A7039F"/>
    <w:rsid w:val="00A74797"/>
    <w:rsid w:val="00A7590A"/>
    <w:rsid w:val="00A81CC6"/>
    <w:rsid w:val="00A87AE1"/>
    <w:rsid w:val="00AA171D"/>
    <w:rsid w:val="00AB3E00"/>
    <w:rsid w:val="00AB7362"/>
    <w:rsid w:val="00AC0F7B"/>
    <w:rsid w:val="00AC2F3E"/>
    <w:rsid w:val="00AC335E"/>
    <w:rsid w:val="00AC3695"/>
    <w:rsid w:val="00AC4A29"/>
    <w:rsid w:val="00AC7B4B"/>
    <w:rsid w:val="00AD0ECC"/>
    <w:rsid w:val="00AE6AC7"/>
    <w:rsid w:val="00AF2248"/>
    <w:rsid w:val="00AF563B"/>
    <w:rsid w:val="00AF6963"/>
    <w:rsid w:val="00B10167"/>
    <w:rsid w:val="00B13859"/>
    <w:rsid w:val="00B15EB3"/>
    <w:rsid w:val="00B171A5"/>
    <w:rsid w:val="00B20401"/>
    <w:rsid w:val="00B2173C"/>
    <w:rsid w:val="00B30CE8"/>
    <w:rsid w:val="00B32155"/>
    <w:rsid w:val="00B40C0D"/>
    <w:rsid w:val="00B5724B"/>
    <w:rsid w:val="00B61629"/>
    <w:rsid w:val="00B723BE"/>
    <w:rsid w:val="00B72477"/>
    <w:rsid w:val="00B82705"/>
    <w:rsid w:val="00B85536"/>
    <w:rsid w:val="00B86263"/>
    <w:rsid w:val="00B87D99"/>
    <w:rsid w:val="00B93BC7"/>
    <w:rsid w:val="00B940F3"/>
    <w:rsid w:val="00B97B40"/>
    <w:rsid w:val="00BA2160"/>
    <w:rsid w:val="00BA257A"/>
    <w:rsid w:val="00BA3E40"/>
    <w:rsid w:val="00BA695B"/>
    <w:rsid w:val="00BB0C27"/>
    <w:rsid w:val="00BB2084"/>
    <w:rsid w:val="00BB2AA1"/>
    <w:rsid w:val="00BC2EA2"/>
    <w:rsid w:val="00BC41D2"/>
    <w:rsid w:val="00BD0A6E"/>
    <w:rsid w:val="00BE28F6"/>
    <w:rsid w:val="00BE33AD"/>
    <w:rsid w:val="00BE5EC9"/>
    <w:rsid w:val="00BF2DEF"/>
    <w:rsid w:val="00BF2F73"/>
    <w:rsid w:val="00BF4981"/>
    <w:rsid w:val="00BF6947"/>
    <w:rsid w:val="00C03809"/>
    <w:rsid w:val="00C04E43"/>
    <w:rsid w:val="00C123C5"/>
    <w:rsid w:val="00C124EE"/>
    <w:rsid w:val="00C136FE"/>
    <w:rsid w:val="00C22E87"/>
    <w:rsid w:val="00C27D57"/>
    <w:rsid w:val="00C32324"/>
    <w:rsid w:val="00C33D77"/>
    <w:rsid w:val="00C45768"/>
    <w:rsid w:val="00C51EB2"/>
    <w:rsid w:val="00C51F21"/>
    <w:rsid w:val="00C52649"/>
    <w:rsid w:val="00C5306B"/>
    <w:rsid w:val="00C556D9"/>
    <w:rsid w:val="00C6467A"/>
    <w:rsid w:val="00C80AF2"/>
    <w:rsid w:val="00C81DDA"/>
    <w:rsid w:val="00C82CBA"/>
    <w:rsid w:val="00C91464"/>
    <w:rsid w:val="00C9454F"/>
    <w:rsid w:val="00C952CD"/>
    <w:rsid w:val="00CA279C"/>
    <w:rsid w:val="00CA403F"/>
    <w:rsid w:val="00CA7B2E"/>
    <w:rsid w:val="00CB1157"/>
    <w:rsid w:val="00CB1F2B"/>
    <w:rsid w:val="00CB5B55"/>
    <w:rsid w:val="00CB76D3"/>
    <w:rsid w:val="00CC64F3"/>
    <w:rsid w:val="00CC762F"/>
    <w:rsid w:val="00CD4190"/>
    <w:rsid w:val="00CE1C84"/>
    <w:rsid w:val="00CF005B"/>
    <w:rsid w:val="00CF1C86"/>
    <w:rsid w:val="00D01A4B"/>
    <w:rsid w:val="00D04218"/>
    <w:rsid w:val="00D04F26"/>
    <w:rsid w:val="00D063E8"/>
    <w:rsid w:val="00D24358"/>
    <w:rsid w:val="00D321A0"/>
    <w:rsid w:val="00D41AFB"/>
    <w:rsid w:val="00D46F9E"/>
    <w:rsid w:val="00D47DAB"/>
    <w:rsid w:val="00D5115F"/>
    <w:rsid w:val="00D549A5"/>
    <w:rsid w:val="00D743CB"/>
    <w:rsid w:val="00D7709D"/>
    <w:rsid w:val="00D821EF"/>
    <w:rsid w:val="00D840D9"/>
    <w:rsid w:val="00D8667C"/>
    <w:rsid w:val="00D86AB9"/>
    <w:rsid w:val="00DA0371"/>
    <w:rsid w:val="00DA33DB"/>
    <w:rsid w:val="00DA596B"/>
    <w:rsid w:val="00DA5BD6"/>
    <w:rsid w:val="00DB0530"/>
    <w:rsid w:val="00DB3898"/>
    <w:rsid w:val="00DB6378"/>
    <w:rsid w:val="00DC2D10"/>
    <w:rsid w:val="00DC3647"/>
    <w:rsid w:val="00DC5D44"/>
    <w:rsid w:val="00DC7140"/>
    <w:rsid w:val="00DD3CAA"/>
    <w:rsid w:val="00DE4A46"/>
    <w:rsid w:val="00DE5F87"/>
    <w:rsid w:val="00DF4180"/>
    <w:rsid w:val="00DF6F8B"/>
    <w:rsid w:val="00E05555"/>
    <w:rsid w:val="00E06196"/>
    <w:rsid w:val="00E068A8"/>
    <w:rsid w:val="00E26EF7"/>
    <w:rsid w:val="00E32434"/>
    <w:rsid w:val="00E327CC"/>
    <w:rsid w:val="00E40DAF"/>
    <w:rsid w:val="00E47ED1"/>
    <w:rsid w:val="00E60AC3"/>
    <w:rsid w:val="00E617D5"/>
    <w:rsid w:val="00E64E5A"/>
    <w:rsid w:val="00E7119A"/>
    <w:rsid w:val="00E93645"/>
    <w:rsid w:val="00E94E5E"/>
    <w:rsid w:val="00E95F8E"/>
    <w:rsid w:val="00EA09AC"/>
    <w:rsid w:val="00EA1CFC"/>
    <w:rsid w:val="00EA4366"/>
    <w:rsid w:val="00EA449E"/>
    <w:rsid w:val="00EA5072"/>
    <w:rsid w:val="00EA7D4F"/>
    <w:rsid w:val="00EB161B"/>
    <w:rsid w:val="00EB16F7"/>
    <w:rsid w:val="00EB3474"/>
    <w:rsid w:val="00EB45AE"/>
    <w:rsid w:val="00EB58A5"/>
    <w:rsid w:val="00EC504C"/>
    <w:rsid w:val="00EC6441"/>
    <w:rsid w:val="00ED3384"/>
    <w:rsid w:val="00ED3BB7"/>
    <w:rsid w:val="00ED44CA"/>
    <w:rsid w:val="00ED6047"/>
    <w:rsid w:val="00ED64A6"/>
    <w:rsid w:val="00ED7F90"/>
    <w:rsid w:val="00EE0C5F"/>
    <w:rsid w:val="00EE111F"/>
    <w:rsid w:val="00EE1E2E"/>
    <w:rsid w:val="00EE2239"/>
    <w:rsid w:val="00EF48D3"/>
    <w:rsid w:val="00EF738A"/>
    <w:rsid w:val="00F1381E"/>
    <w:rsid w:val="00F22078"/>
    <w:rsid w:val="00F33F56"/>
    <w:rsid w:val="00F36C89"/>
    <w:rsid w:val="00F37D5F"/>
    <w:rsid w:val="00F40510"/>
    <w:rsid w:val="00F408AD"/>
    <w:rsid w:val="00F4184C"/>
    <w:rsid w:val="00F46D87"/>
    <w:rsid w:val="00F51380"/>
    <w:rsid w:val="00F53B4A"/>
    <w:rsid w:val="00F6376E"/>
    <w:rsid w:val="00F70DEB"/>
    <w:rsid w:val="00F71A65"/>
    <w:rsid w:val="00F75C30"/>
    <w:rsid w:val="00F77C0B"/>
    <w:rsid w:val="00F90654"/>
    <w:rsid w:val="00FA1AB6"/>
    <w:rsid w:val="00FA2014"/>
    <w:rsid w:val="00FA35C6"/>
    <w:rsid w:val="00FA4439"/>
    <w:rsid w:val="00FB12FA"/>
    <w:rsid w:val="00FB3113"/>
    <w:rsid w:val="00FB778F"/>
    <w:rsid w:val="00FC1FCE"/>
    <w:rsid w:val="00FC5CEE"/>
    <w:rsid w:val="00FD5AE4"/>
    <w:rsid w:val="00FE1B0F"/>
    <w:rsid w:val="00FE3007"/>
    <w:rsid w:val="00FE4927"/>
    <w:rsid w:val="00FE4BD6"/>
    <w:rsid w:val="00FE75F5"/>
    <w:rsid w:val="00FF0480"/>
    <w:rsid w:val="00FF1AD2"/>
    <w:rsid w:val="00FF277C"/>
    <w:rsid w:val="00FF2E75"/>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650</Words>
  <Characters>4446</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Februrary 2021 ACCS Agenda Item 02 - Advisory Commission on Charter Schools (CA State Board of Education)</vt:lpstr>
    </vt:vector>
  </TitlesOfParts>
  <Company>CA Department of Education</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Februrary 2021 ACCS Agenda Item 02 - Advisory Commission on Charter Schools (CA State Board of Education)</dc:title>
  <dc:subject>Consideration of a Retroactive Request for Determination of Funding as Required for Nonclassroom-Based Charter Schools Pursuant to California Education Code and Associated California Code of Regulations.</dc:subject>
  <dc:creator>Windows User</dc:creator>
  <cp:keywords/>
  <dc:description/>
  <cp:lastModifiedBy>Shauna Rodriguez</cp:lastModifiedBy>
  <cp:revision>4</cp:revision>
  <cp:lastPrinted>2020-03-16T21:00:00Z</cp:lastPrinted>
  <dcterms:created xsi:type="dcterms:W3CDTF">2021-01-21T22:05:00Z</dcterms:created>
  <dcterms:modified xsi:type="dcterms:W3CDTF">2021-02-01T19:55:00Z</dcterms:modified>
</cp:coreProperties>
</file>