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E6C1E" w14:textId="77777777" w:rsidR="00EF48D3" w:rsidRPr="008D4BCC" w:rsidRDefault="002D6EC8" w:rsidP="002F6D3D">
      <w:pPr>
        <w:spacing w:before="0" w:after="0"/>
        <w:rPr>
          <w:rFonts w:cs="Arial"/>
        </w:rPr>
      </w:pPr>
      <w:r w:rsidRPr="008D4BCC">
        <w:rPr>
          <w:rFonts w:cs="Arial"/>
        </w:rPr>
        <w:t>California Department of Education</w:t>
      </w:r>
      <w:r w:rsidR="00147394" w:rsidRPr="008D4BCC">
        <w:rPr>
          <w:rFonts w:cs="Arial"/>
        </w:rPr>
        <w:br/>
      </w:r>
      <w:r w:rsidRPr="008D4BCC">
        <w:rPr>
          <w:rFonts w:cs="Arial"/>
        </w:rPr>
        <w:t>Charter Schools Division</w:t>
      </w:r>
      <w:r w:rsidR="00147394" w:rsidRPr="008D4BCC">
        <w:rPr>
          <w:rFonts w:cs="Arial"/>
        </w:rPr>
        <w:br/>
      </w:r>
      <w:r w:rsidR="00F77C0B" w:rsidRPr="008D4BCC">
        <w:rPr>
          <w:rFonts w:cs="Arial"/>
        </w:rPr>
        <w:t xml:space="preserve">Revised </w:t>
      </w:r>
      <w:r w:rsidR="00770060" w:rsidRPr="008D4BCC">
        <w:rPr>
          <w:rFonts w:cs="Arial"/>
        </w:rPr>
        <w:t>05</w:t>
      </w:r>
      <w:r w:rsidR="00443B1F" w:rsidRPr="008D4BCC">
        <w:rPr>
          <w:rFonts w:cs="Arial"/>
        </w:rPr>
        <w:t>/20</w:t>
      </w:r>
      <w:r w:rsidR="00770060" w:rsidRPr="008D4BCC">
        <w:rPr>
          <w:rFonts w:cs="Arial"/>
        </w:rPr>
        <w:t>20</w:t>
      </w:r>
      <w:r w:rsidR="00147394" w:rsidRPr="008D4BCC">
        <w:rPr>
          <w:rFonts w:cs="Arial"/>
        </w:rPr>
        <w:br/>
      </w:r>
      <w:r w:rsidR="0055266E" w:rsidRPr="008D4BCC">
        <w:rPr>
          <w:rFonts w:cs="Arial"/>
        </w:rPr>
        <w:t>a</w:t>
      </w:r>
      <w:r w:rsidRPr="008D4BCC">
        <w:rPr>
          <w:rFonts w:cs="Arial"/>
        </w:rPr>
        <w:t>ccs-</w:t>
      </w:r>
      <w:r w:rsidR="00E5519D" w:rsidRPr="008D4BCC">
        <w:rPr>
          <w:rFonts w:cs="Arial"/>
        </w:rPr>
        <w:t>feb22</w:t>
      </w:r>
      <w:r w:rsidRPr="008D4BCC">
        <w:rPr>
          <w:rFonts w:cs="Arial"/>
        </w:rPr>
        <w:t>item</w:t>
      </w:r>
      <w:r w:rsidR="00E5519D" w:rsidRPr="008D4BCC">
        <w:rPr>
          <w:rFonts w:cs="Arial"/>
        </w:rPr>
        <w:t>01</w:t>
      </w:r>
    </w:p>
    <w:p w14:paraId="45C6745E" w14:textId="77777777" w:rsidR="00050515" w:rsidRPr="008D4BCC" w:rsidRDefault="00050515" w:rsidP="00DC278A">
      <w:pPr>
        <w:pStyle w:val="NoSpacing"/>
        <w:spacing w:before="480"/>
        <w:jc w:val="center"/>
        <w:rPr>
          <w:b/>
          <w:sz w:val="32"/>
          <w:szCs w:val="32"/>
        </w:rPr>
      </w:pPr>
      <w:r w:rsidRPr="008D4BCC">
        <w:rPr>
          <w:b/>
          <w:sz w:val="32"/>
          <w:szCs w:val="32"/>
        </w:rPr>
        <w:t>ADVISORY COMMISSION ON CHARTER SCHOOLS</w:t>
      </w:r>
    </w:p>
    <w:p w14:paraId="696B2033" w14:textId="77777777" w:rsidR="00050515" w:rsidRPr="008D4BCC" w:rsidRDefault="00050515" w:rsidP="00BA695B">
      <w:pPr>
        <w:spacing w:before="0"/>
        <w:jc w:val="center"/>
      </w:pPr>
      <w:r w:rsidRPr="008D4BCC">
        <w:t>AN ADVISORY BODY TO THE STATE BOARD OF EDUCATION</w:t>
      </w:r>
    </w:p>
    <w:p w14:paraId="4DBF2D80" w14:textId="4EFA3B58" w:rsidR="00050515" w:rsidRPr="008D4BCC" w:rsidRDefault="00E5519D" w:rsidP="00147394">
      <w:pPr>
        <w:pStyle w:val="Heading1"/>
      </w:pPr>
      <w:r w:rsidRPr="008D4BCC">
        <w:t>February 2022</w:t>
      </w:r>
      <w:r w:rsidR="00050515" w:rsidRPr="008D4BCC">
        <w:t xml:space="preserve"> Agenda</w:t>
      </w:r>
      <w:r w:rsidR="00147394" w:rsidRPr="008D4BCC">
        <w:br/>
      </w:r>
      <w:r w:rsidR="00050515" w:rsidRPr="008D4BCC">
        <w:t>Item #</w:t>
      </w:r>
      <w:r w:rsidR="00611E7A" w:rsidRPr="008D4BCC">
        <w:t>0</w:t>
      </w:r>
      <w:r w:rsidRPr="008D4BCC">
        <w:t>1</w:t>
      </w:r>
    </w:p>
    <w:p w14:paraId="3A4173B2" w14:textId="77777777" w:rsidR="00FC1FCE" w:rsidRPr="008D4BCC" w:rsidRDefault="00FC1FCE" w:rsidP="000E5E40">
      <w:pPr>
        <w:pStyle w:val="Heading2"/>
      </w:pPr>
      <w:r w:rsidRPr="008D4BCC">
        <w:t>Subject</w:t>
      </w:r>
    </w:p>
    <w:p w14:paraId="7C005897" w14:textId="4502E62F" w:rsidR="00E5519D" w:rsidRPr="008D4BCC" w:rsidRDefault="00E5519D" w:rsidP="00E5519D">
      <w:pPr>
        <w:rPr>
          <w:rFonts w:ascii="Calibri" w:hAnsi="Calibri"/>
          <w:sz w:val="22"/>
          <w:szCs w:val="22"/>
        </w:rPr>
      </w:pPr>
      <w:r w:rsidRPr="008D4BCC">
        <w:rPr>
          <w:rFonts w:cs="Arial"/>
        </w:rPr>
        <w:t>Eagle Collegiate Academy</w:t>
      </w:r>
      <w:r w:rsidRPr="008D4BCC">
        <w:t xml:space="preserve">: Consider Evidence Regarding a Notice of Violation Issued by the California State Board of Education, pursuant to California </w:t>
      </w:r>
      <w:r w:rsidRPr="008D4BCC">
        <w:rPr>
          <w:i/>
        </w:rPr>
        <w:t xml:space="preserve">Education Code </w:t>
      </w:r>
      <w:r w:rsidRPr="008D4BCC">
        <w:t>Section 47607(g)</w:t>
      </w:r>
      <w:r w:rsidR="00463432" w:rsidRPr="008D4BCC">
        <w:t xml:space="preserve">, and </w:t>
      </w:r>
      <w:r w:rsidR="00B8146E" w:rsidRPr="008D4BCC">
        <w:t>Propos</w:t>
      </w:r>
      <w:r w:rsidR="00463432" w:rsidRPr="008D4BCC">
        <w:t>e</w:t>
      </w:r>
      <w:r w:rsidR="00B8146E" w:rsidRPr="008D4BCC">
        <w:t xml:space="preserve"> that the California State Board of Education Issue a Notice of Intent to Revoke with Notice of Facts, pursuant to California </w:t>
      </w:r>
      <w:r w:rsidR="00B8146E" w:rsidRPr="008D4BCC">
        <w:rPr>
          <w:i/>
        </w:rPr>
        <w:t>Education Code</w:t>
      </w:r>
      <w:r w:rsidR="00B8146E" w:rsidRPr="008D4BCC">
        <w:t xml:space="preserve"> Section 47607(h)</w:t>
      </w:r>
      <w:r w:rsidR="003B0BC3">
        <w:t>.</w:t>
      </w:r>
    </w:p>
    <w:p w14:paraId="34538C65" w14:textId="4037DCF9" w:rsidR="00FC1FCE" w:rsidRPr="008D4BCC" w:rsidRDefault="00FC1FCE" w:rsidP="000E5E40">
      <w:pPr>
        <w:pStyle w:val="Heading2"/>
      </w:pPr>
      <w:bookmarkStart w:id="0" w:name="_GoBack"/>
      <w:bookmarkEnd w:id="0"/>
      <w:r w:rsidRPr="008D4BCC">
        <w:t>Type of Action</w:t>
      </w:r>
    </w:p>
    <w:p w14:paraId="043DDC22" w14:textId="77777777" w:rsidR="0091117B" w:rsidRPr="008D4BCC" w:rsidRDefault="008909EE" w:rsidP="00025553">
      <w:r w:rsidRPr="008D4BCC">
        <w:t>Action, Information</w:t>
      </w:r>
    </w:p>
    <w:p w14:paraId="5432A4DF" w14:textId="77777777" w:rsidR="00FC1FCE" w:rsidRPr="008D4BCC" w:rsidRDefault="00443B1F" w:rsidP="000E5E40">
      <w:pPr>
        <w:pStyle w:val="Heading2"/>
      </w:pPr>
      <w:r w:rsidRPr="008D4BCC">
        <w:t>Summary of the Issue</w:t>
      </w:r>
    </w:p>
    <w:p w14:paraId="35EBD268" w14:textId="07E721F8" w:rsidR="00063DAB" w:rsidRPr="008D4BCC" w:rsidRDefault="00063DAB" w:rsidP="00063DAB">
      <w:pPr>
        <w:rPr>
          <w:rFonts w:cs="Arial"/>
        </w:rPr>
      </w:pPr>
      <w:r w:rsidRPr="008D4BCC">
        <w:rPr>
          <w:rFonts w:cs="Arial"/>
        </w:rPr>
        <w:t xml:space="preserve">California </w:t>
      </w:r>
      <w:r w:rsidRPr="008D4BCC">
        <w:rPr>
          <w:rFonts w:cs="Arial"/>
          <w:i/>
        </w:rPr>
        <w:t xml:space="preserve">Education Code </w:t>
      </w:r>
      <w:r w:rsidRPr="008D4BCC">
        <w:rPr>
          <w:rFonts w:cs="Arial"/>
        </w:rPr>
        <w:t>(</w:t>
      </w:r>
      <w:r w:rsidRPr="008D4BCC">
        <w:rPr>
          <w:rFonts w:cs="Arial"/>
          <w:i/>
        </w:rPr>
        <w:t>EC</w:t>
      </w:r>
      <w:r w:rsidRPr="008D4BCC">
        <w:rPr>
          <w:rFonts w:cs="Arial"/>
        </w:rPr>
        <w:t xml:space="preserve">) Section 47607(f) states that a charter may be revoked </w:t>
      </w:r>
      <w:r w:rsidR="00DB541A" w:rsidRPr="008D4BCC">
        <w:rPr>
          <w:rFonts w:cs="Arial"/>
        </w:rPr>
        <w:t>b</w:t>
      </w:r>
      <w:r w:rsidRPr="008D4BCC">
        <w:rPr>
          <w:rFonts w:cs="Arial"/>
        </w:rPr>
        <w:t>y the authority that granted the charter if the authority finds, through a showing of substantial evidence, that the charter school did any of the following:</w:t>
      </w:r>
    </w:p>
    <w:p w14:paraId="32F3BFFE" w14:textId="77777777" w:rsidR="00063DAB" w:rsidRPr="008D4BCC" w:rsidRDefault="00063DAB" w:rsidP="00063DAB">
      <w:pPr>
        <w:pStyle w:val="ListParagraph"/>
        <w:numPr>
          <w:ilvl w:val="0"/>
          <w:numId w:val="14"/>
        </w:numPr>
        <w:spacing w:before="0"/>
        <w:rPr>
          <w:rFonts w:cs="Arial"/>
        </w:rPr>
      </w:pPr>
      <w:r w:rsidRPr="008D4BCC">
        <w:rPr>
          <w:rFonts w:cs="Arial"/>
        </w:rPr>
        <w:t>Committed a material violation of any of the conditions, standards, or procedures set forth in the charter.</w:t>
      </w:r>
    </w:p>
    <w:p w14:paraId="4C192F71" w14:textId="77777777" w:rsidR="00063DAB" w:rsidRPr="008D4BCC" w:rsidRDefault="00063DAB" w:rsidP="00063DAB">
      <w:pPr>
        <w:pStyle w:val="ListParagraph"/>
        <w:numPr>
          <w:ilvl w:val="0"/>
          <w:numId w:val="14"/>
        </w:numPr>
        <w:spacing w:before="0"/>
        <w:rPr>
          <w:rFonts w:cs="Arial"/>
        </w:rPr>
      </w:pPr>
      <w:r w:rsidRPr="008D4BCC">
        <w:rPr>
          <w:rFonts w:cs="Arial"/>
        </w:rPr>
        <w:t>Failed to meet or pursue any of the pupil outcomes identified in the charter.</w:t>
      </w:r>
    </w:p>
    <w:p w14:paraId="7D3DD66B" w14:textId="77777777" w:rsidR="00063DAB" w:rsidRPr="008D4BCC" w:rsidRDefault="00063DAB" w:rsidP="00063DAB">
      <w:pPr>
        <w:numPr>
          <w:ilvl w:val="0"/>
          <w:numId w:val="14"/>
        </w:numPr>
        <w:spacing w:before="0"/>
        <w:rPr>
          <w:rFonts w:cs="Arial"/>
        </w:rPr>
      </w:pPr>
      <w:r w:rsidRPr="008D4BCC">
        <w:rPr>
          <w:rFonts w:cs="Arial"/>
        </w:rPr>
        <w:t>Failed to meet generally accepted accounting principles, or engaged in fiscal mismanagement.</w:t>
      </w:r>
    </w:p>
    <w:p w14:paraId="4857B4F1" w14:textId="77777777" w:rsidR="00063DAB" w:rsidRPr="008D4BCC" w:rsidRDefault="00063DAB" w:rsidP="00063DAB">
      <w:pPr>
        <w:numPr>
          <w:ilvl w:val="0"/>
          <w:numId w:val="14"/>
        </w:numPr>
        <w:spacing w:before="0"/>
        <w:rPr>
          <w:rFonts w:cs="Arial"/>
        </w:rPr>
      </w:pPr>
      <w:r w:rsidRPr="008D4BCC">
        <w:rPr>
          <w:rFonts w:cs="Arial"/>
        </w:rPr>
        <w:t>Violated any provision of the law.</w:t>
      </w:r>
    </w:p>
    <w:p w14:paraId="67C554F2" w14:textId="7424164B" w:rsidR="000E5E40" w:rsidRPr="008D4BCC" w:rsidRDefault="000E5E40" w:rsidP="00793E1F">
      <w:pPr>
        <w:spacing w:before="0"/>
        <w:rPr>
          <w:rFonts w:cs="Arial"/>
        </w:rPr>
      </w:pPr>
      <w:r w:rsidRPr="008D4BCC">
        <w:rPr>
          <w:rFonts w:cs="Arial"/>
        </w:rPr>
        <w:t xml:space="preserve">The California Department of Education (CDE) believes that there is substantial evidence that Eagle Collegiate Academy (ECA), a California State Board of Education (SBE)-authorized charter school, engaged in fiscal mismanagement, committed material violations of the ECA charter, and committed violations of law, pursuant to </w:t>
      </w:r>
      <w:r w:rsidRPr="008D4BCC">
        <w:rPr>
          <w:rFonts w:cs="Arial"/>
          <w:i/>
        </w:rPr>
        <w:t xml:space="preserve">EC </w:t>
      </w:r>
      <w:r w:rsidRPr="008D4BCC">
        <w:rPr>
          <w:rFonts w:cs="Arial"/>
        </w:rPr>
        <w:t>Section 47607(f).</w:t>
      </w:r>
    </w:p>
    <w:p w14:paraId="1858A820" w14:textId="446457B6" w:rsidR="00E5519D" w:rsidRPr="008D4BCC" w:rsidRDefault="00063DAB" w:rsidP="00E5519D">
      <w:pPr>
        <w:rPr>
          <w:rFonts w:cs="Arial"/>
        </w:rPr>
      </w:pPr>
      <w:r w:rsidRPr="008D4BCC">
        <w:rPr>
          <w:rFonts w:cs="Arial"/>
        </w:rPr>
        <w:lastRenderedPageBreak/>
        <w:t xml:space="preserve">Pursuant to </w:t>
      </w:r>
      <w:r w:rsidRPr="008D4BCC">
        <w:rPr>
          <w:rFonts w:cs="Arial"/>
          <w:i/>
        </w:rPr>
        <w:t>EC</w:t>
      </w:r>
      <w:r w:rsidRPr="008D4BCC">
        <w:rPr>
          <w:rFonts w:cs="Arial"/>
        </w:rPr>
        <w:t xml:space="preserve"> Section 47607(g), the authority that granted the charter petition shall notify the charter school of any violation and provide the school a reasonable opportunity to remedy the violation. </w:t>
      </w:r>
      <w:r w:rsidR="00E5519D" w:rsidRPr="008D4BCC">
        <w:rPr>
          <w:rFonts w:cs="Arial"/>
        </w:rPr>
        <w:t>On January 1</w:t>
      </w:r>
      <w:r w:rsidR="00CB322A" w:rsidRPr="008D4BCC">
        <w:rPr>
          <w:rFonts w:cs="Arial"/>
        </w:rPr>
        <w:t>2</w:t>
      </w:r>
      <w:r w:rsidR="00E5519D" w:rsidRPr="008D4BCC">
        <w:rPr>
          <w:rFonts w:cs="Arial"/>
        </w:rPr>
        <w:t xml:space="preserve">, 2022, the SBE </w:t>
      </w:r>
      <w:r w:rsidR="006064B9" w:rsidRPr="008D4BCC">
        <w:rPr>
          <w:rFonts w:cs="Arial"/>
        </w:rPr>
        <w:t>issued a Notice of Violation</w:t>
      </w:r>
      <w:r w:rsidR="000D6CF6" w:rsidRPr="008D4BCC">
        <w:rPr>
          <w:rFonts w:cs="Arial"/>
        </w:rPr>
        <w:t xml:space="preserve"> (Attachment </w:t>
      </w:r>
      <w:r w:rsidR="00820144" w:rsidRPr="008D4BCC">
        <w:rPr>
          <w:rFonts w:cs="Arial"/>
        </w:rPr>
        <w:t>1</w:t>
      </w:r>
      <w:r w:rsidR="000D6CF6" w:rsidRPr="008D4BCC">
        <w:rPr>
          <w:rFonts w:cs="Arial"/>
        </w:rPr>
        <w:t xml:space="preserve">) </w:t>
      </w:r>
      <w:r w:rsidR="006064B9" w:rsidRPr="008D4BCC">
        <w:rPr>
          <w:rFonts w:cs="Arial"/>
        </w:rPr>
        <w:t xml:space="preserve">to ECA </w:t>
      </w:r>
      <w:r w:rsidR="00E5519D" w:rsidRPr="008D4BCC">
        <w:rPr>
          <w:rFonts w:cs="Arial"/>
        </w:rPr>
        <w:t xml:space="preserve">and provided the school a reasonable opportunity to remedy the violation, pursuant to </w:t>
      </w:r>
      <w:r w:rsidR="00E5519D" w:rsidRPr="008D4BCC">
        <w:rPr>
          <w:rFonts w:cs="Arial"/>
          <w:i/>
        </w:rPr>
        <w:t xml:space="preserve">EC </w:t>
      </w:r>
      <w:r w:rsidR="00E5519D" w:rsidRPr="008D4BCC">
        <w:rPr>
          <w:rFonts w:cs="Arial"/>
        </w:rPr>
        <w:t>Section 47607(g).</w:t>
      </w:r>
      <w:r w:rsidR="006064B9" w:rsidRPr="008D4BCC">
        <w:rPr>
          <w:rFonts w:cs="Arial"/>
        </w:rPr>
        <w:t xml:space="preserve"> ECA was required to provide a written response and supporting evidence that addressed all violations outlined in the notice by </w:t>
      </w:r>
      <w:r w:rsidR="00820144" w:rsidRPr="008D4BCC">
        <w:rPr>
          <w:rFonts w:cs="Arial"/>
        </w:rPr>
        <w:t>January 26</w:t>
      </w:r>
      <w:r w:rsidR="006064B9" w:rsidRPr="008D4BCC">
        <w:rPr>
          <w:rFonts w:cs="Arial"/>
        </w:rPr>
        <w:t>, 2022.</w:t>
      </w:r>
    </w:p>
    <w:p w14:paraId="1C368FCC" w14:textId="44461CD4" w:rsidR="006064B9" w:rsidRPr="008D4BCC" w:rsidRDefault="006064B9" w:rsidP="00E5519D">
      <w:pPr>
        <w:rPr>
          <w:rFonts w:cs="Arial"/>
        </w:rPr>
      </w:pPr>
      <w:r w:rsidRPr="008D4BCC">
        <w:rPr>
          <w:rFonts w:cs="Arial"/>
        </w:rPr>
        <w:t xml:space="preserve">On </w:t>
      </w:r>
      <w:r w:rsidR="008304AA" w:rsidRPr="008D4BCC">
        <w:rPr>
          <w:rFonts w:cs="Arial"/>
        </w:rPr>
        <w:t>January 26</w:t>
      </w:r>
      <w:r w:rsidRPr="008D4BCC">
        <w:rPr>
          <w:rFonts w:cs="Arial"/>
        </w:rPr>
        <w:t xml:space="preserve">, 2022, the CDE received a response to the Notice of Violation </w:t>
      </w:r>
      <w:r w:rsidR="00063DAB" w:rsidRPr="008D4BCC">
        <w:rPr>
          <w:rFonts w:cs="Arial"/>
        </w:rPr>
        <w:t xml:space="preserve">(Attachment </w:t>
      </w:r>
      <w:r w:rsidR="00F56DD2" w:rsidRPr="008D4BCC">
        <w:rPr>
          <w:rFonts w:cs="Arial"/>
        </w:rPr>
        <w:t>2</w:t>
      </w:r>
      <w:r w:rsidR="00063DAB" w:rsidRPr="008D4BCC">
        <w:rPr>
          <w:rFonts w:cs="Arial"/>
        </w:rPr>
        <w:t xml:space="preserve">) </w:t>
      </w:r>
      <w:r w:rsidRPr="008D4BCC">
        <w:rPr>
          <w:rFonts w:cs="Arial"/>
        </w:rPr>
        <w:t xml:space="preserve">from ECA, pursuant to </w:t>
      </w:r>
      <w:r w:rsidRPr="008D4BCC">
        <w:rPr>
          <w:rFonts w:cs="Arial"/>
          <w:i/>
        </w:rPr>
        <w:t xml:space="preserve">EC </w:t>
      </w:r>
      <w:r w:rsidRPr="008D4BCC">
        <w:rPr>
          <w:rFonts w:cs="Arial"/>
        </w:rPr>
        <w:t>Section 47607(g).</w:t>
      </w:r>
      <w:r w:rsidR="00AA089B">
        <w:rPr>
          <w:rFonts w:cs="Arial"/>
        </w:rPr>
        <w:t xml:space="preserve"> The CDE’s analysis of ECA’s response to the Notice of Violation is provided as Attachment 3.</w:t>
      </w:r>
    </w:p>
    <w:p w14:paraId="7437331D" w14:textId="2761AC13" w:rsidR="003E4DF7" w:rsidRPr="008D4BCC" w:rsidRDefault="002D6EC8" w:rsidP="00793E1F">
      <w:pPr>
        <w:pStyle w:val="Heading2"/>
      </w:pPr>
      <w:r w:rsidRPr="008D4BCC">
        <w:t xml:space="preserve">Proposed </w:t>
      </w:r>
      <w:r w:rsidR="003E4DF7" w:rsidRPr="008D4BCC">
        <w:t>Recommendation</w:t>
      </w:r>
    </w:p>
    <w:p w14:paraId="04B0CD9C" w14:textId="172AA52E" w:rsidR="00E5519D" w:rsidRPr="008D4BCC" w:rsidRDefault="00E107AA" w:rsidP="00E5519D">
      <w:pPr>
        <w:rPr>
          <w:rFonts w:cs="Arial"/>
        </w:rPr>
      </w:pPr>
      <w:r w:rsidRPr="00345DB2">
        <w:rPr>
          <w:rFonts w:cs="Arial"/>
        </w:rPr>
        <w:t xml:space="preserve">As ECA has failed to </w:t>
      </w:r>
      <w:r w:rsidR="00345DB2">
        <w:rPr>
          <w:rFonts w:cs="Arial"/>
        </w:rPr>
        <w:t xml:space="preserve">adequately </w:t>
      </w:r>
      <w:r w:rsidRPr="00345DB2">
        <w:rPr>
          <w:rFonts w:cs="Arial"/>
        </w:rPr>
        <w:t>refute, remedy, or propose to remedy the violations described in the Notice of Violation,</w:t>
      </w:r>
      <w:r w:rsidRPr="008D4BCC">
        <w:rPr>
          <w:rFonts w:cs="Arial"/>
        </w:rPr>
        <w:t xml:space="preserve"> t</w:t>
      </w:r>
      <w:r w:rsidR="00E5519D" w:rsidRPr="008D4BCC">
        <w:rPr>
          <w:rFonts w:cs="Arial"/>
        </w:rPr>
        <w:t xml:space="preserve">he CDE </w:t>
      </w:r>
      <w:r w:rsidR="000D6CF6" w:rsidRPr="008D4BCC">
        <w:rPr>
          <w:rFonts w:cs="Arial"/>
        </w:rPr>
        <w:t>proposes to recommend that the SBE</w:t>
      </w:r>
      <w:r w:rsidRPr="008D4BCC">
        <w:rPr>
          <w:rFonts w:cs="Arial"/>
        </w:rPr>
        <w:t xml:space="preserve"> </w:t>
      </w:r>
      <w:r w:rsidR="000D6CF6" w:rsidRPr="008D4BCC">
        <w:rPr>
          <w:rFonts w:cs="Arial"/>
        </w:rPr>
        <w:t xml:space="preserve">issue </w:t>
      </w:r>
      <w:r w:rsidR="00E5519D" w:rsidRPr="008D4BCC">
        <w:rPr>
          <w:rFonts w:cs="Arial"/>
        </w:rPr>
        <w:t>a Notice of Intent to Revoke with Notice of Facts to ECA</w:t>
      </w:r>
      <w:r w:rsidR="00845874">
        <w:rPr>
          <w:rFonts w:cs="Arial"/>
        </w:rPr>
        <w:t>,</w:t>
      </w:r>
      <w:r w:rsidR="00E5519D" w:rsidRPr="008D4BCC">
        <w:rPr>
          <w:rFonts w:cs="Arial"/>
        </w:rPr>
        <w:t xml:space="preserve"> pursuant to </w:t>
      </w:r>
      <w:r w:rsidR="00E5519D" w:rsidRPr="008D4BCC">
        <w:rPr>
          <w:rFonts w:cs="Arial"/>
          <w:i/>
        </w:rPr>
        <w:t xml:space="preserve">EC </w:t>
      </w:r>
      <w:r w:rsidR="00E5519D" w:rsidRPr="008D4BCC">
        <w:rPr>
          <w:rFonts w:cs="Arial"/>
        </w:rPr>
        <w:t>Section 47607(</w:t>
      </w:r>
      <w:r w:rsidR="006064B9" w:rsidRPr="008D4BCC">
        <w:rPr>
          <w:rFonts w:cs="Arial"/>
        </w:rPr>
        <w:t>h</w:t>
      </w:r>
      <w:r w:rsidR="00E5519D" w:rsidRPr="008D4BCC">
        <w:rPr>
          <w:rFonts w:cs="Arial"/>
        </w:rPr>
        <w:t>)</w:t>
      </w:r>
      <w:r w:rsidRPr="008D4BCC">
        <w:rPr>
          <w:rFonts w:cs="Arial"/>
        </w:rPr>
        <w:t>, at its March 9–10, 2022</w:t>
      </w:r>
      <w:r w:rsidR="00E57406" w:rsidRPr="008D4BCC">
        <w:rPr>
          <w:rFonts w:cs="Arial"/>
        </w:rPr>
        <w:t>,</w:t>
      </w:r>
      <w:r w:rsidRPr="008D4BCC">
        <w:rPr>
          <w:rFonts w:cs="Arial"/>
        </w:rPr>
        <w:t xml:space="preserve"> meeting</w:t>
      </w:r>
      <w:r w:rsidR="00E5519D" w:rsidRPr="008D4BCC">
        <w:rPr>
          <w:rFonts w:cs="Arial"/>
        </w:rPr>
        <w:t xml:space="preserve">. </w:t>
      </w:r>
      <w:r w:rsidRPr="008D4BCC">
        <w:rPr>
          <w:rFonts w:cs="Arial"/>
        </w:rPr>
        <w:t xml:space="preserve">The CDE provides substantial evidence that </w:t>
      </w:r>
      <w:r w:rsidR="00E5519D" w:rsidRPr="008D4BCC">
        <w:rPr>
          <w:rFonts w:cs="Arial"/>
        </w:rPr>
        <w:t>ECA has committed the following:</w:t>
      </w:r>
    </w:p>
    <w:p w14:paraId="0DCC86B5" w14:textId="77777777" w:rsidR="00E5519D" w:rsidRPr="008D4BCC" w:rsidRDefault="00E5519D" w:rsidP="00E5519D">
      <w:pPr>
        <w:pStyle w:val="ListParagraph"/>
        <w:numPr>
          <w:ilvl w:val="0"/>
          <w:numId w:val="12"/>
        </w:numPr>
        <w:rPr>
          <w:rFonts w:cs="Arial"/>
        </w:rPr>
      </w:pPr>
      <w:r w:rsidRPr="008D4BCC">
        <w:rPr>
          <w:rFonts w:cs="Arial"/>
        </w:rPr>
        <w:t>Fiscal mismanagement (</w:t>
      </w:r>
      <w:r w:rsidRPr="008D4BCC">
        <w:rPr>
          <w:rFonts w:cs="Arial"/>
          <w:i/>
        </w:rPr>
        <w:t>EC</w:t>
      </w:r>
      <w:r w:rsidRPr="008D4BCC">
        <w:rPr>
          <w:rFonts w:cs="Arial"/>
        </w:rPr>
        <w:t xml:space="preserve"> Section 47607[f][3]),</w:t>
      </w:r>
    </w:p>
    <w:p w14:paraId="7A588798" w14:textId="16AB8450" w:rsidR="00E5519D" w:rsidRPr="008D4BCC" w:rsidRDefault="00E5519D" w:rsidP="00E5519D">
      <w:pPr>
        <w:pStyle w:val="ListParagraph"/>
        <w:numPr>
          <w:ilvl w:val="0"/>
          <w:numId w:val="12"/>
        </w:numPr>
        <w:rPr>
          <w:rFonts w:cs="Arial"/>
        </w:rPr>
      </w:pPr>
      <w:r w:rsidRPr="008D4BCC">
        <w:rPr>
          <w:rFonts w:cs="Arial"/>
        </w:rPr>
        <w:t>Violation of several conditions, standards, or procedures set forth in the charter (</w:t>
      </w:r>
      <w:r w:rsidRPr="008D4BCC">
        <w:rPr>
          <w:rFonts w:cs="Arial"/>
          <w:i/>
        </w:rPr>
        <w:t>EC</w:t>
      </w:r>
      <w:r w:rsidRPr="008D4BCC">
        <w:rPr>
          <w:rFonts w:cs="Arial"/>
        </w:rPr>
        <w:t xml:space="preserve"> Section 47607[f][1]), and</w:t>
      </w:r>
    </w:p>
    <w:p w14:paraId="3156DB1D" w14:textId="77777777" w:rsidR="00E5519D" w:rsidRPr="008D4BCC" w:rsidRDefault="00E5519D" w:rsidP="00E5519D">
      <w:pPr>
        <w:pStyle w:val="ListParagraph"/>
        <w:numPr>
          <w:ilvl w:val="0"/>
          <w:numId w:val="12"/>
        </w:numPr>
        <w:rPr>
          <w:rFonts w:cs="Arial"/>
        </w:rPr>
      </w:pPr>
      <w:r w:rsidRPr="008D4BCC">
        <w:rPr>
          <w:rFonts w:cs="Arial"/>
        </w:rPr>
        <w:t>Violation of provisions of law (</w:t>
      </w:r>
      <w:r w:rsidRPr="008D4BCC">
        <w:rPr>
          <w:rFonts w:cs="Arial"/>
          <w:i/>
        </w:rPr>
        <w:t>EC</w:t>
      </w:r>
      <w:r w:rsidRPr="008D4BCC">
        <w:rPr>
          <w:rFonts w:cs="Arial"/>
        </w:rPr>
        <w:t xml:space="preserve"> Section 47607[f][4]).</w:t>
      </w:r>
    </w:p>
    <w:p w14:paraId="6C20BBFA" w14:textId="570693A1" w:rsidR="00E5519D" w:rsidRPr="008D4BCC" w:rsidRDefault="000C6A63" w:rsidP="000E5E40">
      <w:pPr>
        <w:pStyle w:val="Heading2"/>
      </w:pPr>
      <w:r>
        <w:t>School Information</w:t>
      </w:r>
    </w:p>
    <w:p w14:paraId="3ED85ADC" w14:textId="6D678521" w:rsidR="00E5519D" w:rsidRPr="008D4BCC" w:rsidRDefault="00E5519D" w:rsidP="00E5519D">
      <w:r w:rsidRPr="008D4BCC">
        <w:t xml:space="preserve">At its July 8–9, 2020, meeting, the SBE approved the ECA charter </w:t>
      </w:r>
      <w:r w:rsidR="00D94FCB">
        <w:t xml:space="preserve">petition </w:t>
      </w:r>
      <w:r w:rsidR="000412D3" w:rsidRPr="008D4BCC">
        <w:t xml:space="preserve">with conditions </w:t>
      </w:r>
      <w:r w:rsidRPr="008D4BCC">
        <w:t xml:space="preserve">to establish a new school within the boundaries of the Acton-Agua Dulce Unified School District (AADUSD) with a scheduled opening date in 2021–22. The charter approved by the SBE </w:t>
      </w:r>
      <w:r w:rsidR="000412D3" w:rsidRPr="008D4BCC">
        <w:t>outlined</w:t>
      </w:r>
      <w:r w:rsidRPr="008D4BCC">
        <w:t xml:space="preserve"> a classroom-based International Baccalaureate program</w:t>
      </w:r>
      <w:r w:rsidR="000412D3" w:rsidRPr="008D4BCC">
        <w:t xml:space="preserve"> as well as </w:t>
      </w:r>
      <w:r w:rsidRPr="008D4BCC">
        <w:t>its intention to serve 168 students in transitional kindergarten (TK)/kindergarten (K) through grade three in its first year of operation and grow to serve 438 pupils in TK/K through grade eight in 2024–25.</w:t>
      </w:r>
    </w:p>
    <w:p w14:paraId="0D227946" w14:textId="76BC0D93" w:rsidR="00E5519D" w:rsidRPr="008D4BCC" w:rsidRDefault="00E5519D" w:rsidP="00793E1F">
      <w:pPr>
        <w:pStyle w:val="Heading2"/>
        <w:rPr>
          <w:rFonts w:eastAsia="Arial" w:cs="Arial"/>
          <w:color w:val="000000"/>
        </w:rPr>
      </w:pPr>
      <w:r w:rsidRPr="008D4BCC">
        <w:rPr>
          <w:lang w:eastAsia="ja-JP"/>
        </w:rPr>
        <w:t>Instances of Violation</w:t>
      </w:r>
    </w:p>
    <w:p w14:paraId="7E93339D" w14:textId="401E61B7" w:rsidR="00E5519D" w:rsidRPr="008D4BCC" w:rsidRDefault="00E5519D" w:rsidP="000412D3">
      <w:pPr>
        <w:pStyle w:val="Heading3"/>
      </w:pPr>
      <w:r w:rsidRPr="008D4BCC">
        <w:t>The ECA Board engaged in fiscal mismanagement (</w:t>
      </w:r>
      <w:r w:rsidRPr="008D4BCC">
        <w:rPr>
          <w:i/>
        </w:rPr>
        <w:t>EC</w:t>
      </w:r>
      <w:r w:rsidRPr="008D4BCC">
        <w:t xml:space="preserve"> Section </w:t>
      </w:r>
      <w:bookmarkStart w:id="1" w:name="_Hlk90045661"/>
      <w:r w:rsidRPr="008D4BCC">
        <w:t>47607[f][3]).</w:t>
      </w:r>
      <w:bookmarkEnd w:id="1"/>
    </w:p>
    <w:p w14:paraId="70300F49" w14:textId="77777777" w:rsidR="00E5519D" w:rsidRPr="008D4BCC" w:rsidRDefault="00E5519D" w:rsidP="000412D3">
      <w:pPr>
        <w:pStyle w:val="Heading4"/>
      </w:pPr>
      <w:r w:rsidRPr="008D4BCC">
        <w:t>Budget Based on Unrealistic Enrollment</w:t>
      </w:r>
    </w:p>
    <w:p w14:paraId="7EC74A18" w14:textId="5AAC2845" w:rsidR="00E5519D" w:rsidRPr="008D4BCC" w:rsidRDefault="00FA2976" w:rsidP="00BD3844">
      <w:pPr>
        <w:pStyle w:val="NoSpacing"/>
        <w:spacing w:after="240"/>
        <w:rPr>
          <w:szCs w:val="24"/>
        </w:rPr>
      </w:pPr>
      <w:r w:rsidRPr="008D4BCC">
        <w:rPr>
          <w:szCs w:val="24"/>
        </w:rPr>
        <w:t xml:space="preserve">As stated in the Notice of Violation that was issued by the SBE </w:t>
      </w:r>
      <w:r w:rsidR="004C1C0A" w:rsidRPr="008D4BCC">
        <w:rPr>
          <w:szCs w:val="24"/>
        </w:rPr>
        <w:t xml:space="preserve">to ECA </w:t>
      </w:r>
      <w:r w:rsidRPr="008D4BCC">
        <w:rPr>
          <w:szCs w:val="24"/>
        </w:rPr>
        <w:t>on January 1</w:t>
      </w:r>
      <w:r w:rsidR="00A02046" w:rsidRPr="008D4BCC">
        <w:rPr>
          <w:szCs w:val="24"/>
        </w:rPr>
        <w:t>2</w:t>
      </w:r>
      <w:r w:rsidRPr="008D4BCC">
        <w:rPr>
          <w:szCs w:val="24"/>
        </w:rPr>
        <w:t xml:space="preserve">, 2022, </w:t>
      </w:r>
      <w:r w:rsidR="00E5519D" w:rsidRPr="008D4BCC">
        <w:rPr>
          <w:szCs w:val="24"/>
        </w:rPr>
        <w:t xml:space="preserve">ECA has based and continues to base its budget on unrealistic enrollment, creating a large anticipated deficit in its first year of operation. ECA’s charter petition </w:t>
      </w:r>
      <w:r w:rsidR="00E5519D" w:rsidRPr="008D4BCC">
        <w:rPr>
          <w:szCs w:val="24"/>
        </w:rPr>
        <w:lastRenderedPageBreak/>
        <w:t xml:space="preserve">included a prospective enrollment of 168 students. A timeline of ECA’s attendance reporting </w:t>
      </w:r>
      <w:r w:rsidR="000C6A63">
        <w:rPr>
          <w:szCs w:val="24"/>
        </w:rPr>
        <w:t xml:space="preserve">and CDE communication </w:t>
      </w:r>
      <w:r w:rsidR="00E5519D" w:rsidRPr="008D4BCC">
        <w:rPr>
          <w:szCs w:val="24"/>
        </w:rPr>
        <w:t>is provided below:</w:t>
      </w:r>
    </w:p>
    <w:p w14:paraId="3E726E2F" w14:textId="146B62DA" w:rsidR="00E5519D" w:rsidRPr="008D4BCC" w:rsidRDefault="00E5519D" w:rsidP="00B8146E">
      <w:pPr>
        <w:pStyle w:val="NoSpacing"/>
        <w:numPr>
          <w:ilvl w:val="0"/>
          <w:numId w:val="25"/>
        </w:numPr>
        <w:spacing w:after="240"/>
        <w:rPr>
          <w:szCs w:val="24"/>
        </w:rPr>
      </w:pPr>
      <w:r w:rsidRPr="008D4BCC">
        <w:rPr>
          <w:b/>
          <w:szCs w:val="24"/>
        </w:rPr>
        <w:t>May 28, 2021:</w:t>
      </w:r>
      <w:r w:rsidRPr="008D4BCC">
        <w:rPr>
          <w:szCs w:val="24"/>
        </w:rPr>
        <w:t xml:space="preserve"> ECA informed the CDE that its prospective enrollment had decreased to 131 students.</w:t>
      </w:r>
    </w:p>
    <w:p w14:paraId="46F9D777" w14:textId="523CD3A9" w:rsidR="00E5519D" w:rsidRPr="008D4BCC" w:rsidRDefault="00E5519D" w:rsidP="00B8146E">
      <w:pPr>
        <w:pStyle w:val="NoSpacing"/>
        <w:numPr>
          <w:ilvl w:val="0"/>
          <w:numId w:val="25"/>
        </w:numPr>
        <w:spacing w:after="240"/>
        <w:rPr>
          <w:szCs w:val="24"/>
        </w:rPr>
      </w:pPr>
      <w:r w:rsidRPr="008D4BCC">
        <w:rPr>
          <w:b/>
          <w:szCs w:val="24"/>
        </w:rPr>
        <w:t>July 13, 2021:</w:t>
      </w:r>
      <w:r w:rsidRPr="008D4BCC">
        <w:rPr>
          <w:szCs w:val="24"/>
        </w:rPr>
        <w:t xml:space="preserve"> ECA submitted the Pupil Estimates for New or Significantly Expanding Charters (PENSEC) with an estimated October enrollment of 168 students and Average Daily Attendance (ADA) of 159.6.</w:t>
      </w:r>
    </w:p>
    <w:p w14:paraId="79CBDAA0" w14:textId="7EE029BD" w:rsidR="00E5519D" w:rsidRPr="008D4BCC" w:rsidRDefault="00E5519D" w:rsidP="00B8146E">
      <w:pPr>
        <w:pStyle w:val="NoSpacing"/>
        <w:numPr>
          <w:ilvl w:val="0"/>
          <w:numId w:val="25"/>
        </w:numPr>
        <w:spacing w:after="240"/>
        <w:rPr>
          <w:szCs w:val="24"/>
        </w:rPr>
      </w:pPr>
      <w:r w:rsidRPr="008D4BCC">
        <w:rPr>
          <w:b/>
          <w:szCs w:val="24"/>
        </w:rPr>
        <w:t>September 30, 2021:</w:t>
      </w:r>
      <w:r w:rsidRPr="008D4BCC">
        <w:rPr>
          <w:szCs w:val="24"/>
        </w:rPr>
        <w:t xml:space="preserve"> In its monthly oversight call with the CDE, ECA reported that school began on September 7, 2021, with an enrollment of 131 students.</w:t>
      </w:r>
    </w:p>
    <w:p w14:paraId="1C8F29A2" w14:textId="2013031E" w:rsidR="00E5519D" w:rsidRPr="008D4BCC" w:rsidRDefault="00E5519D" w:rsidP="00B8146E">
      <w:pPr>
        <w:pStyle w:val="NoSpacing"/>
        <w:numPr>
          <w:ilvl w:val="0"/>
          <w:numId w:val="25"/>
        </w:numPr>
        <w:spacing w:after="240"/>
        <w:rPr>
          <w:szCs w:val="24"/>
        </w:rPr>
      </w:pPr>
      <w:r w:rsidRPr="008D4BCC">
        <w:rPr>
          <w:b/>
          <w:szCs w:val="24"/>
        </w:rPr>
        <w:t>October 2021:</w:t>
      </w:r>
      <w:r w:rsidRPr="008D4BCC">
        <w:rPr>
          <w:szCs w:val="24"/>
        </w:rPr>
        <w:t xml:space="preserve"> ECA received a charter school special advance payment of $611,729 based on the PENSEC report</w:t>
      </w:r>
      <w:r w:rsidR="00EC3358">
        <w:rPr>
          <w:szCs w:val="24"/>
        </w:rPr>
        <w:t>.</w:t>
      </w:r>
    </w:p>
    <w:p w14:paraId="3B3CE8EB" w14:textId="1905FE24" w:rsidR="00E5519D" w:rsidRDefault="00E5519D" w:rsidP="00B8146E">
      <w:pPr>
        <w:pStyle w:val="NoSpacing"/>
        <w:numPr>
          <w:ilvl w:val="0"/>
          <w:numId w:val="25"/>
        </w:numPr>
        <w:spacing w:after="240"/>
        <w:rPr>
          <w:szCs w:val="24"/>
        </w:rPr>
      </w:pPr>
      <w:r w:rsidRPr="008D4BCC">
        <w:rPr>
          <w:b/>
          <w:szCs w:val="24"/>
        </w:rPr>
        <w:t>November 1, 2021:</w:t>
      </w:r>
      <w:r w:rsidRPr="008D4BCC">
        <w:rPr>
          <w:szCs w:val="24"/>
        </w:rPr>
        <w:t xml:space="preserve"> ECA reported to the CDE a total enrollment count of 12 students in its Charter School 20-Day Attendance Report</w:t>
      </w:r>
      <w:r w:rsidR="00656CB6" w:rsidRPr="008D4BCC">
        <w:rPr>
          <w:szCs w:val="24"/>
        </w:rPr>
        <w:t>.</w:t>
      </w:r>
    </w:p>
    <w:p w14:paraId="15F36214" w14:textId="46EBD190" w:rsidR="000C6A63" w:rsidRPr="00E414F2" w:rsidRDefault="000C6A63" w:rsidP="00B8146E">
      <w:pPr>
        <w:pStyle w:val="NoSpacing"/>
        <w:numPr>
          <w:ilvl w:val="0"/>
          <w:numId w:val="25"/>
        </w:numPr>
        <w:spacing w:after="240"/>
        <w:rPr>
          <w:szCs w:val="24"/>
        </w:rPr>
      </w:pPr>
      <w:r>
        <w:rPr>
          <w:b/>
          <w:szCs w:val="24"/>
        </w:rPr>
        <w:t xml:space="preserve">November 12, 2021: </w:t>
      </w:r>
      <w:r w:rsidR="00E414F2">
        <w:rPr>
          <w:szCs w:val="24"/>
        </w:rPr>
        <w:t xml:space="preserve">The CDE sent a Letter of Concern to ECA regarding </w:t>
      </w:r>
      <w:r w:rsidR="00F714E1">
        <w:rPr>
          <w:szCs w:val="24"/>
        </w:rPr>
        <w:t xml:space="preserve">ECA’s </w:t>
      </w:r>
      <w:r w:rsidR="00E414F2">
        <w:rPr>
          <w:szCs w:val="24"/>
        </w:rPr>
        <w:t>unanticipated and drastic decline in enrollment</w:t>
      </w:r>
      <w:r w:rsidR="00BB212B">
        <w:rPr>
          <w:szCs w:val="24"/>
        </w:rPr>
        <w:t>, and requested that ECA provide a Fiscal Corrective Action Plan that included a revised multi-year budget and cash flow statements for the current fiscal year (FY) 2021–22 and two subsequent FYs (2022–23 and 2023–24) as well as written detailed assumptions that reflect</w:t>
      </w:r>
      <w:r w:rsidR="00A569D3">
        <w:rPr>
          <w:szCs w:val="24"/>
        </w:rPr>
        <w:t>ed</w:t>
      </w:r>
      <w:r w:rsidR="00BB212B">
        <w:rPr>
          <w:szCs w:val="24"/>
        </w:rPr>
        <w:t xml:space="preserve"> ECA’s resolution on addressing its unanticipated enrollment decline.</w:t>
      </w:r>
    </w:p>
    <w:p w14:paraId="13593992" w14:textId="0002C831" w:rsidR="00E414F2" w:rsidRPr="00E414F2" w:rsidRDefault="00E414F2" w:rsidP="00B8146E">
      <w:pPr>
        <w:pStyle w:val="NoSpacing"/>
        <w:numPr>
          <w:ilvl w:val="0"/>
          <w:numId w:val="25"/>
        </w:numPr>
        <w:spacing w:after="240"/>
        <w:rPr>
          <w:b/>
          <w:szCs w:val="24"/>
        </w:rPr>
      </w:pPr>
      <w:r w:rsidRPr="00E414F2">
        <w:rPr>
          <w:b/>
          <w:szCs w:val="24"/>
        </w:rPr>
        <w:t>December 6, 2021:</w:t>
      </w:r>
      <w:r>
        <w:rPr>
          <w:b/>
          <w:szCs w:val="24"/>
        </w:rPr>
        <w:t xml:space="preserve"> </w:t>
      </w:r>
      <w:r>
        <w:rPr>
          <w:szCs w:val="24"/>
        </w:rPr>
        <w:t xml:space="preserve">ECA </w:t>
      </w:r>
      <w:r w:rsidR="00BB212B">
        <w:rPr>
          <w:szCs w:val="24"/>
        </w:rPr>
        <w:t>responded to the CDE’s Letter of Concern and included</w:t>
      </w:r>
      <w:r>
        <w:rPr>
          <w:szCs w:val="24"/>
        </w:rPr>
        <w:t xml:space="preserve"> </w:t>
      </w:r>
      <w:r w:rsidR="00F714E1">
        <w:rPr>
          <w:szCs w:val="24"/>
        </w:rPr>
        <w:t xml:space="preserve">in its response </w:t>
      </w:r>
      <w:r>
        <w:rPr>
          <w:szCs w:val="24"/>
        </w:rPr>
        <w:t xml:space="preserve">a </w:t>
      </w:r>
      <w:r w:rsidR="00BB212B">
        <w:rPr>
          <w:szCs w:val="24"/>
        </w:rPr>
        <w:t>Fiscal Corrective Action Plan and other requested documentation.</w:t>
      </w:r>
    </w:p>
    <w:p w14:paraId="2AC05AA3" w14:textId="35C5208F" w:rsidR="00E5519D" w:rsidRPr="008D4BCC" w:rsidRDefault="00E5519D" w:rsidP="00B8146E">
      <w:pPr>
        <w:pStyle w:val="NoSpacing"/>
        <w:numPr>
          <w:ilvl w:val="0"/>
          <w:numId w:val="25"/>
        </w:numPr>
        <w:spacing w:after="240"/>
        <w:rPr>
          <w:szCs w:val="24"/>
        </w:rPr>
      </w:pPr>
      <w:r w:rsidRPr="008D4BCC">
        <w:rPr>
          <w:b/>
          <w:szCs w:val="24"/>
        </w:rPr>
        <w:t>December 17, 2021:</w:t>
      </w:r>
      <w:r w:rsidRPr="008D4BCC">
        <w:rPr>
          <w:szCs w:val="24"/>
        </w:rPr>
        <w:t xml:space="preserve"> The CDE requested a summary of ECA’s fall attendance. ECA provided the following:</w:t>
      </w:r>
    </w:p>
    <w:p w14:paraId="3061DBD5" w14:textId="17B9A905" w:rsidR="00E5519D" w:rsidRPr="008D4BCC" w:rsidRDefault="00E5519D" w:rsidP="00B8146E">
      <w:pPr>
        <w:pStyle w:val="NoSpacing"/>
        <w:numPr>
          <w:ilvl w:val="1"/>
          <w:numId w:val="25"/>
        </w:numPr>
        <w:spacing w:after="240"/>
        <w:contextualSpacing/>
        <w:rPr>
          <w:szCs w:val="24"/>
        </w:rPr>
      </w:pPr>
      <w:r w:rsidRPr="008D4BCC">
        <w:rPr>
          <w:b/>
          <w:szCs w:val="24"/>
        </w:rPr>
        <w:t xml:space="preserve">September: </w:t>
      </w:r>
      <w:r w:rsidRPr="008D4BCC">
        <w:rPr>
          <w:szCs w:val="24"/>
        </w:rPr>
        <w:t>13 students</w:t>
      </w:r>
    </w:p>
    <w:p w14:paraId="353B5232" w14:textId="2BBBB034" w:rsidR="00E5519D" w:rsidRPr="008D4BCC" w:rsidRDefault="00E5519D" w:rsidP="00B8146E">
      <w:pPr>
        <w:pStyle w:val="NoSpacing"/>
        <w:numPr>
          <w:ilvl w:val="1"/>
          <w:numId w:val="25"/>
        </w:numPr>
        <w:spacing w:after="240"/>
        <w:contextualSpacing/>
        <w:rPr>
          <w:szCs w:val="24"/>
        </w:rPr>
      </w:pPr>
      <w:r w:rsidRPr="008D4BCC">
        <w:rPr>
          <w:b/>
          <w:szCs w:val="24"/>
        </w:rPr>
        <w:t>October:</w:t>
      </w:r>
      <w:r w:rsidRPr="008D4BCC">
        <w:rPr>
          <w:szCs w:val="24"/>
        </w:rPr>
        <w:t xml:space="preserve"> 14 students</w:t>
      </w:r>
    </w:p>
    <w:p w14:paraId="3FCD1D82" w14:textId="04F7DCE0" w:rsidR="008473B0" w:rsidRPr="008D4BCC" w:rsidRDefault="00E5519D" w:rsidP="00B8146E">
      <w:pPr>
        <w:pStyle w:val="NoSpacing"/>
        <w:numPr>
          <w:ilvl w:val="1"/>
          <w:numId w:val="25"/>
        </w:numPr>
        <w:spacing w:after="240"/>
        <w:contextualSpacing/>
        <w:rPr>
          <w:szCs w:val="24"/>
        </w:rPr>
      </w:pPr>
      <w:r w:rsidRPr="008D4BCC">
        <w:rPr>
          <w:b/>
          <w:szCs w:val="24"/>
        </w:rPr>
        <w:t>November:</w:t>
      </w:r>
      <w:r w:rsidRPr="008D4BCC">
        <w:rPr>
          <w:szCs w:val="24"/>
        </w:rPr>
        <w:t xml:space="preserve"> 12 students</w:t>
      </w:r>
    </w:p>
    <w:p w14:paraId="3AF1D9CC" w14:textId="0F6623E1" w:rsidR="00E5519D" w:rsidRPr="008D4BCC" w:rsidRDefault="00E5519D" w:rsidP="00B8146E">
      <w:pPr>
        <w:pStyle w:val="NoSpacing"/>
        <w:numPr>
          <w:ilvl w:val="1"/>
          <w:numId w:val="25"/>
        </w:numPr>
        <w:spacing w:after="240"/>
        <w:rPr>
          <w:szCs w:val="24"/>
        </w:rPr>
      </w:pPr>
      <w:r w:rsidRPr="008D4BCC">
        <w:rPr>
          <w:b/>
          <w:szCs w:val="24"/>
        </w:rPr>
        <w:t>December</w:t>
      </w:r>
      <w:r w:rsidRPr="00F11200">
        <w:rPr>
          <w:b/>
          <w:szCs w:val="24"/>
        </w:rPr>
        <w:t>:</w:t>
      </w:r>
      <w:r w:rsidRPr="008D4BCC">
        <w:rPr>
          <w:szCs w:val="24"/>
        </w:rPr>
        <w:t xml:space="preserve"> 12 students</w:t>
      </w:r>
    </w:p>
    <w:p w14:paraId="3B50E356" w14:textId="016D3C5D" w:rsidR="0083279C" w:rsidRPr="008D4BCC" w:rsidRDefault="00B748F9" w:rsidP="00BD3844">
      <w:pPr>
        <w:pStyle w:val="NoSpacing"/>
        <w:spacing w:after="240"/>
        <w:rPr>
          <w:rFonts w:eastAsia="Calibri" w:cs="Arial"/>
          <w:szCs w:val="24"/>
        </w:rPr>
      </w:pPr>
      <w:r>
        <w:rPr>
          <w:rFonts w:eastAsia="Calibri" w:cs="Arial"/>
          <w:szCs w:val="24"/>
        </w:rPr>
        <w:t xml:space="preserve">In July 2021, </w:t>
      </w:r>
      <w:r w:rsidR="00E5519D" w:rsidRPr="008D4BCC">
        <w:rPr>
          <w:rFonts w:eastAsia="Calibri" w:cs="Arial"/>
          <w:szCs w:val="24"/>
        </w:rPr>
        <w:t xml:space="preserve">ECA </w:t>
      </w:r>
      <w:r w:rsidR="00E750DD" w:rsidRPr="008D4BCC">
        <w:rPr>
          <w:rFonts w:eastAsia="Calibri" w:cs="Arial"/>
          <w:szCs w:val="24"/>
        </w:rPr>
        <w:t>reported</w:t>
      </w:r>
      <w:r w:rsidR="00E5519D" w:rsidRPr="008D4BCC">
        <w:rPr>
          <w:rFonts w:eastAsia="Calibri" w:cs="Arial"/>
          <w:szCs w:val="24"/>
        </w:rPr>
        <w:t xml:space="preserve"> </w:t>
      </w:r>
      <w:r w:rsidR="0083279C" w:rsidRPr="008D4BCC">
        <w:rPr>
          <w:rFonts w:eastAsia="Calibri" w:cs="Arial"/>
          <w:szCs w:val="24"/>
        </w:rPr>
        <w:t>an ADA</w:t>
      </w:r>
      <w:r w:rsidR="003B0BC3">
        <w:rPr>
          <w:rFonts w:eastAsia="Calibri" w:cs="Arial"/>
          <w:szCs w:val="24"/>
        </w:rPr>
        <w:t xml:space="preserve"> </w:t>
      </w:r>
      <w:r w:rsidR="0083279C" w:rsidRPr="008D4BCC">
        <w:rPr>
          <w:rFonts w:eastAsia="Calibri" w:cs="Arial"/>
          <w:szCs w:val="24"/>
        </w:rPr>
        <w:t xml:space="preserve">of </w:t>
      </w:r>
      <w:r w:rsidR="00E5519D" w:rsidRPr="008D4BCC">
        <w:rPr>
          <w:rFonts w:eastAsia="Calibri" w:cs="Arial"/>
          <w:szCs w:val="24"/>
        </w:rPr>
        <w:t>159.6 on its PENSEC report</w:t>
      </w:r>
      <w:r w:rsidR="0083279C" w:rsidRPr="008D4BCC">
        <w:rPr>
          <w:rFonts w:eastAsia="Calibri" w:cs="Arial"/>
          <w:szCs w:val="24"/>
        </w:rPr>
        <w:t>, which is a report used to provide state aid</w:t>
      </w:r>
      <w:r w:rsidR="00E750DD" w:rsidRPr="008D4BCC">
        <w:rPr>
          <w:rFonts w:eastAsia="Calibri" w:cs="Arial"/>
          <w:szCs w:val="24"/>
        </w:rPr>
        <w:t xml:space="preserve"> advance to</w:t>
      </w:r>
      <w:r w:rsidR="0083279C" w:rsidRPr="008D4BCC">
        <w:rPr>
          <w:rFonts w:eastAsia="Calibri" w:cs="Arial"/>
          <w:szCs w:val="24"/>
        </w:rPr>
        <w:t xml:space="preserve"> newly operational and expanding charter schools. </w:t>
      </w:r>
      <w:r w:rsidR="00876699" w:rsidRPr="008D4BCC">
        <w:rPr>
          <w:rFonts w:eastAsia="Calibri" w:cs="Arial"/>
          <w:szCs w:val="24"/>
        </w:rPr>
        <w:t xml:space="preserve">As a result of the information it reported in its PENSEC, ECA </w:t>
      </w:r>
      <w:r w:rsidR="00E5519D" w:rsidRPr="008D4BCC">
        <w:rPr>
          <w:rFonts w:eastAsia="Calibri" w:cs="Arial"/>
          <w:szCs w:val="24"/>
        </w:rPr>
        <w:t>received an apportionment of $611,729 in the First Special Advance Apportionment for Charter Schools.</w:t>
      </w:r>
    </w:p>
    <w:p w14:paraId="24AFE175" w14:textId="01645714" w:rsidR="00646632" w:rsidRPr="008D4BCC" w:rsidRDefault="0083279C" w:rsidP="00BD3844">
      <w:pPr>
        <w:pStyle w:val="NoSpacing"/>
        <w:spacing w:after="240"/>
        <w:rPr>
          <w:rFonts w:eastAsia="Calibri" w:cs="Arial"/>
          <w:szCs w:val="24"/>
        </w:rPr>
      </w:pPr>
      <w:r w:rsidRPr="008D4BCC">
        <w:rPr>
          <w:rFonts w:eastAsia="Calibri" w:cs="Arial"/>
          <w:szCs w:val="24"/>
        </w:rPr>
        <w:t>However, in its</w:t>
      </w:r>
      <w:r w:rsidR="00B748F9">
        <w:rPr>
          <w:rFonts w:eastAsia="Calibri" w:cs="Arial"/>
          <w:szCs w:val="24"/>
        </w:rPr>
        <w:t xml:space="preserve"> November 2021</w:t>
      </w:r>
      <w:r w:rsidR="00E5519D" w:rsidRPr="008D4BCC">
        <w:rPr>
          <w:rFonts w:eastAsia="Calibri" w:cs="Arial"/>
          <w:szCs w:val="24"/>
        </w:rPr>
        <w:t xml:space="preserve"> Charter School 20-Day Attendance Report,</w:t>
      </w:r>
      <w:r w:rsidRPr="008D4BCC">
        <w:rPr>
          <w:rFonts w:eastAsia="Calibri" w:cs="Arial"/>
          <w:szCs w:val="24"/>
        </w:rPr>
        <w:t xml:space="preserve"> a report of actual ADA and other pupil counts for charter schools,</w:t>
      </w:r>
      <w:r w:rsidR="00E5519D" w:rsidRPr="008D4BCC">
        <w:rPr>
          <w:rFonts w:eastAsia="Calibri" w:cs="Arial"/>
          <w:szCs w:val="24"/>
        </w:rPr>
        <w:t xml:space="preserve"> </w:t>
      </w:r>
      <w:r w:rsidRPr="008D4BCC">
        <w:rPr>
          <w:rFonts w:eastAsia="Calibri" w:cs="Arial"/>
          <w:szCs w:val="24"/>
        </w:rPr>
        <w:t xml:space="preserve">ECA reported only 12 ADA thus </w:t>
      </w:r>
      <w:r w:rsidR="00E5519D" w:rsidRPr="008D4BCC">
        <w:rPr>
          <w:rFonts w:eastAsia="Calibri" w:cs="Arial"/>
          <w:szCs w:val="24"/>
        </w:rPr>
        <w:t xml:space="preserve">reducing the charter school’s estimated state aid for FY 2021–22 to $119,333. Therefore, </w:t>
      </w:r>
      <w:bookmarkStart w:id="2" w:name="_Hlk94594300"/>
      <w:r w:rsidR="00E5519D" w:rsidRPr="008D4BCC">
        <w:rPr>
          <w:rFonts w:eastAsia="Calibri" w:cs="Arial"/>
          <w:szCs w:val="24"/>
        </w:rPr>
        <w:t>as of the Second Special Advance Apportionment, ECA has been grossly overpaid in Local Control Funding Formula (LCFF) funds by an estimated $492,396</w:t>
      </w:r>
      <w:r w:rsidR="008A0E0C" w:rsidRPr="008D4BCC">
        <w:rPr>
          <w:rFonts w:eastAsia="Calibri" w:cs="Arial"/>
          <w:szCs w:val="24"/>
        </w:rPr>
        <w:t>.</w:t>
      </w:r>
      <w:r w:rsidR="000F44B6" w:rsidRPr="008D4BCC">
        <w:rPr>
          <w:rFonts w:eastAsia="Calibri" w:cs="Arial"/>
          <w:szCs w:val="24"/>
        </w:rPr>
        <w:t xml:space="preserve"> </w:t>
      </w:r>
      <w:r w:rsidR="000F44B6" w:rsidRPr="008D4BCC">
        <w:rPr>
          <w:rFonts w:eastAsia="Calibri" w:cs="Arial"/>
          <w:szCs w:val="24"/>
        </w:rPr>
        <w:lastRenderedPageBreak/>
        <w:t>These</w:t>
      </w:r>
      <w:r w:rsidR="00E5519D" w:rsidRPr="008D4BCC">
        <w:rPr>
          <w:rFonts w:eastAsia="Calibri" w:cs="Arial"/>
          <w:szCs w:val="24"/>
        </w:rPr>
        <w:t xml:space="preserve"> funds will be due back to the state, which the CDE will collect through an invoice. Additionally, due to this overpayment, the charter school will not receive any additional Principal Apportionment </w:t>
      </w:r>
      <w:r w:rsidR="007B661E" w:rsidRPr="008D4BCC">
        <w:rPr>
          <w:rFonts w:eastAsia="Calibri" w:cs="Arial"/>
          <w:szCs w:val="24"/>
        </w:rPr>
        <w:t xml:space="preserve">funds </w:t>
      </w:r>
      <w:r w:rsidR="000F44B6" w:rsidRPr="008D4BCC">
        <w:rPr>
          <w:rFonts w:eastAsia="Calibri" w:cs="Arial"/>
          <w:szCs w:val="24"/>
        </w:rPr>
        <w:t>until the state has recovered the full amount of the LCFF overpayment</w:t>
      </w:r>
      <w:r w:rsidR="00DC1DDD" w:rsidRPr="008D4BCC">
        <w:rPr>
          <w:rFonts w:eastAsia="Calibri" w:cs="Arial"/>
          <w:szCs w:val="24"/>
        </w:rPr>
        <w:t>.</w:t>
      </w:r>
      <w:bookmarkEnd w:id="2"/>
    </w:p>
    <w:p w14:paraId="1B9424A9" w14:textId="4878AB6F" w:rsidR="00E57406" w:rsidRPr="008D4BCC" w:rsidRDefault="00E57406" w:rsidP="0010507B">
      <w:pPr>
        <w:pStyle w:val="Heading4"/>
        <w:rPr>
          <w:rFonts w:eastAsia="Calibri"/>
        </w:rPr>
      </w:pPr>
      <w:r w:rsidRPr="008D4BCC">
        <w:rPr>
          <w:rFonts w:eastAsia="Calibri"/>
        </w:rPr>
        <w:t>ECA’s Response to Budget Based on Unrealistic Enrollment</w:t>
      </w:r>
    </w:p>
    <w:p w14:paraId="3A51DAAF" w14:textId="7642F2AA" w:rsidR="00E57406" w:rsidRPr="008D4BCC" w:rsidRDefault="008473B0" w:rsidP="00E57406">
      <w:pPr>
        <w:pStyle w:val="NoSpacing"/>
        <w:tabs>
          <w:tab w:val="left" w:pos="720"/>
        </w:tabs>
        <w:spacing w:after="240"/>
        <w:contextualSpacing/>
      </w:pPr>
      <w:bookmarkStart w:id="3" w:name="_Hlk94266830"/>
      <w:r w:rsidRPr="008D4BCC">
        <w:t>According to ECA</w:t>
      </w:r>
      <w:r w:rsidR="006C7FEB">
        <w:t>’s</w:t>
      </w:r>
      <w:r w:rsidRPr="008D4BCC">
        <w:t xml:space="preserve"> response to the Notice of Violation issued by the SBE, dated January </w:t>
      </w:r>
      <w:r w:rsidR="001A5CD3" w:rsidRPr="008D4BCC">
        <w:t>26</w:t>
      </w:r>
      <w:r w:rsidRPr="008D4BCC">
        <w:t xml:space="preserve">, 2022, </w:t>
      </w:r>
      <w:bookmarkEnd w:id="3"/>
      <w:r w:rsidR="00721C5A" w:rsidRPr="008D4BCC">
        <w:t>ECA has revised its budget,</w:t>
      </w:r>
      <w:r w:rsidR="00810814" w:rsidRPr="008D4BCC">
        <w:t xml:space="preserve"> which anticipates </w:t>
      </w:r>
      <w:r w:rsidR="00721C5A" w:rsidRPr="008D4BCC">
        <w:t>the enrollment of 45 new students in addition</w:t>
      </w:r>
      <w:r w:rsidR="003001D3" w:rsidRPr="008D4BCC">
        <w:t xml:space="preserve"> to</w:t>
      </w:r>
      <w:r w:rsidR="00721C5A" w:rsidRPr="008D4BCC">
        <w:t xml:space="preserve"> the 12 students currently enrolled, for a total enrollment of 57 students by April 29, 2022, the </w:t>
      </w:r>
      <w:r w:rsidR="009B39B1" w:rsidRPr="008D4BCC">
        <w:t>Second Principal Apportionment (</w:t>
      </w:r>
      <w:r w:rsidR="00721C5A" w:rsidRPr="008D4BCC">
        <w:t>P</w:t>
      </w:r>
      <w:r w:rsidR="00E57406" w:rsidRPr="008D4BCC">
        <w:t>-</w:t>
      </w:r>
      <w:r w:rsidR="00721C5A" w:rsidRPr="008D4BCC">
        <w:t>2</w:t>
      </w:r>
      <w:r w:rsidR="009B39B1" w:rsidRPr="008D4BCC">
        <w:t>)</w:t>
      </w:r>
      <w:r w:rsidR="00721C5A" w:rsidRPr="008D4BCC">
        <w:t xml:space="preserve"> </w:t>
      </w:r>
      <w:r w:rsidR="009B39B1" w:rsidRPr="008D4BCC">
        <w:t>a</w:t>
      </w:r>
      <w:r w:rsidR="00721C5A" w:rsidRPr="008D4BCC">
        <w:t>ttendance report date. ECA expects the 45 new students will enroll once ECA has a facility approved</w:t>
      </w:r>
      <w:r w:rsidR="003001D3" w:rsidRPr="008D4BCC">
        <w:t xml:space="preserve"> by the CDE</w:t>
      </w:r>
      <w:r w:rsidR="00721C5A" w:rsidRPr="008D4BCC">
        <w:t xml:space="preserve"> for use with students. With 57 students enrolled by the P</w:t>
      </w:r>
      <w:r w:rsidR="00E57406" w:rsidRPr="008D4BCC">
        <w:t>-</w:t>
      </w:r>
      <w:r w:rsidR="00721C5A" w:rsidRPr="008D4BCC">
        <w:t xml:space="preserve">2 </w:t>
      </w:r>
      <w:r w:rsidR="009B39B1" w:rsidRPr="008D4BCC">
        <w:t xml:space="preserve">attendance </w:t>
      </w:r>
      <w:r w:rsidR="00721C5A" w:rsidRPr="008D4BCC">
        <w:t>report</w:t>
      </w:r>
      <w:r w:rsidR="009B39B1" w:rsidRPr="008D4BCC">
        <w:t xml:space="preserve"> date</w:t>
      </w:r>
      <w:r w:rsidR="00721C5A" w:rsidRPr="008D4BCC">
        <w:t xml:space="preserve">, ECA anticipates </w:t>
      </w:r>
      <w:r w:rsidR="004864B4" w:rsidRPr="008D4BCC">
        <w:t xml:space="preserve">having </w:t>
      </w:r>
      <w:r w:rsidR="00721C5A" w:rsidRPr="008D4BCC">
        <w:t>an ADA of 27.53</w:t>
      </w:r>
      <w:r w:rsidR="009B39B1" w:rsidRPr="008D4BCC">
        <w:t>,</w:t>
      </w:r>
      <w:r w:rsidR="00721C5A" w:rsidRPr="008D4BCC">
        <w:t xml:space="preserve"> which reduces </w:t>
      </w:r>
      <w:r w:rsidR="00E57406" w:rsidRPr="008D4BCC">
        <w:t xml:space="preserve">its </w:t>
      </w:r>
      <w:r w:rsidR="00721C5A" w:rsidRPr="008D4BCC">
        <w:t xml:space="preserve">LCFF overpayment </w:t>
      </w:r>
      <w:r w:rsidR="009176B3" w:rsidRPr="008D4BCC">
        <w:t xml:space="preserve">from $492,396 </w:t>
      </w:r>
      <w:r w:rsidR="00721C5A" w:rsidRPr="008D4BCC">
        <w:t>to $329,452 for FY 2021</w:t>
      </w:r>
      <w:r w:rsidR="00E57406" w:rsidRPr="008D4BCC">
        <w:t>–</w:t>
      </w:r>
      <w:r w:rsidR="00721C5A" w:rsidRPr="008D4BCC">
        <w:t>22.</w:t>
      </w:r>
      <w:bookmarkStart w:id="4" w:name="_Hlk93398431"/>
    </w:p>
    <w:p w14:paraId="426A4628" w14:textId="045F67C5" w:rsidR="00E57406" w:rsidRPr="008D4BCC" w:rsidRDefault="00E57406" w:rsidP="0010507B">
      <w:pPr>
        <w:pStyle w:val="Heading4"/>
      </w:pPr>
      <w:r w:rsidRPr="008D4BCC">
        <w:t>CDE’s Analysis of ECA’s Response to Budget Based on Unrealistic Enrollment</w:t>
      </w:r>
    </w:p>
    <w:p w14:paraId="46C333BF" w14:textId="05C6A44B" w:rsidR="003B7F2A" w:rsidRPr="008D4BCC" w:rsidRDefault="004F727F" w:rsidP="00721C5A">
      <w:pPr>
        <w:pStyle w:val="NoSpacing"/>
        <w:tabs>
          <w:tab w:val="left" w:pos="720"/>
        </w:tabs>
        <w:spacing w:after="240"/>
        <w:rPr>
          <w:rFonts w:eastAsia="Calibri" w:cs="Arial"/>
        </w:rPr>
      </w:pPr>
      <w:r w:rsidRPr="004F727F">
        <w:rPr>
          <w:rFonts w:cs="Arial"/>
          <w:color w:val="242424"/>
          <w:szCs w:val="24"/>
          <w:shd w:val="clear" w:color="auto" w:fill="FFFFFF"/>
        </w:rPr>
        <w:t>The CDE’s fiscal analysis of ECA’s revised budget indicates that ECA is not fiscally sustainable. ECA based its revised budget on an overestimated and unrealistic enrollment of 57 students and ADA of 27.53 in FY 2021–22 instead of its most recently reported enrollment of 12 students. Although its enrollment of 57 students is an increase in projected enrollment from its reported count of 12 students on January 24,</w:t>
      </w:r>
      <w:r w:rsidR="00F714E1">
        <w:rPr>
          <w:rFonts w:cs="Arial"/>
          <w:color w:val="242424"/>
          <w:szCs w:val="24"/>
          <w:shd w:val="clear" w:color="auto" w:fill="FFFFFF"/>
        </w:rPr>
        <w:t xml:space="preserve"> </w:t>
      </w:r>
      <w:r w:rsidR="00721C5A" w:rsidRPr="008D4BCC">
        <w:rPr>
          <w:rFonts w:eastAsia="Calibri" w:cs="Arial"/>
        </w:rPr>
        <w:t>2022, this is significantly short of the projected 168 students in ECA’s charter petition that was approved by the SBE</w:t>
      </w:r>
      <w:r w:rsidR="00E414F2">
        <w:rPr>
          <w:rFonts w:eastAsia="Calibri" w:cs="Arial"/>
        </w:rPr>
        <w:t xml:space="preserve">. </w:t>
      </w:r>
      <w:r w:rsidR="00D94FCB">
        <w:rPr>
          <w:rFonts w:eastAsia="Calibri" w:cs="Arial"/>
        </w:rPr>
        <w:t xml:space="preserve">Additionally, </w:t>
      </w:r>
      <w:r w:rsidR="0031611E" w:rsidRPr="008D4BCC">
        <w:rPr>
          <w:rFonts w:eastAsia="Calibri" w:cs="Arial"/>
        </w:rPr>
        <w:t>ECA has not provided</w:t>
      </w:r>
      <w:r w:rsidR="00B748F9">
        <w:rPr>
          <w:rFonts w:eastAsia="Calibri" w:cs="Arial"/>
        </w:rPr>
        <w:t xml:space="preserve"> any intent to enroll forms as</w:t>
      </w:r>
      <w:r w:rsidR="0031611E" w:rsidRPr="008D4BCC">
        <w:rPr>
          <w:rFonts w:eastAsia="Calibri" w:cs="Arial"/>
        </w:rPr>
        <w:t xml:space="preserve"> evidence of its claim that 45 new students are committed to enroll</w:t>
      </w:r>
      <w:r w:rsidR="00721C5A" w:rsidRPr="008D4BCC">
        <w:rPr>
          <w:rFonts w:eastAsia="Calibri" w:cs="Arial"/>
        </w:rPr>
        <w:t xml:space="preserve">. ECA also projected an enrollment of 168 and 216 students in FY 2022–23 and FY 2023–24, </w:t>
      </w:r>
      <w:r w:rsidR="008E6DB9" w:rsidRPr="008D4BCC">
        <w:rPr>
          <w:rFonts w:eastAsia="Calibri" w:cs="Arial"/>
        </w:rPr>
        <w:t xml:space="preserve">respectively, </w:t>
      </w:r>
      <w:r w:rsidR="00721C5A" w:rsidRPr="008D4BCC">
        <w:rPr>
          <w:rFonts w:eastAsia="Calibri" w:cs="Arial"/>
        </w:rPr>
        <w:t xml:space="preserve">which is </w:t>
      </w:r>
      <w:r w:rsidR="009B39B1" w:rsidRPr="008D4BCC">
        <w:rPr>
          <w:rFonts w:eastAsia="Calibri" w:cs="Arial"/>
        </w:rPr>
        <w:t xml:space="preserve">unrealistic and </w:t>
      </w:r>
      <w:r w:rsidR="003001D3" w:rsidRPr="008D4BCC">
        <w:t>inconsistent with growth patterns in other charter schools</w:t>
      </w:r>
      <w:r w:rsidR="00721C5A" w:rsidRPr="008D4BCC">
        <w:rPr>
          <w:rFonts w:eastAsia="Calibri" w:cs="Arial"/>
        </w:rPr>
        <w:t>.</w:t>
      </w:r>
    </w:p>
    <w:p w14:paraId="161787D0" w14:textId="17D0B300" w:rsidR="007D4577" w:rsidRPr="00F11200" w:rsidRDefault="007D4577" w:rsidP="00E42E6F">
      <w:pPr>
        <w:pStyle w:val="NoSpacing"/>
        <w:tabs>
          <w:tab w:val="left" w:pos="720"/>
        </w:tabs>
        <w:spacing w:after="240"/>
        <w:contextualSpacing/>
        <w:rPr>
          <w:color w:val="000000" w:themeColor="text1"/>
        </w:rPr>
      </w:pPr>
      <w:r w:rsidRPr="008D4BCC">
        <w:rPr>
          <w:color w:val="000000" w:themeColor="text1"/>
        </w:rPr>
        <w:t xml:space="preserve">Based on </w:t>
      </w:r>
      <w:r w:rsidRPr="00F11200">
        <w:rPr>
          <w:color w:val="000000" w:themeColor="text1"/>
        </w:rPr>
        <w:t>the CDE's analysis of ECA's response to the Notice of Violation, the CDE finds that ECA has not refuted, remedied, or proposed to remedy this violation.</w:t>
      </w:r>
    </w:p>
    <w:bookmarkEnd w:id="4"/>
    <w:p w14:paraId="30242114" w14:textId="77777777" w:rsidR="00E5519D" w:rsidRPr="00F11200" w:rsidRDefault="00E5519D" w:rsidP="000412D3">
      <w:pPr>
        <w:pStyle w:val="Heading4"/>
      </w:pPr>
      <w:r w:rsidRPr="00F11200">
        <w:t>Projected Fiscal Insolvency</w:t>
      </w:r>
    </w:p>
    <w:p w14:paraId="593E4653" w14:textId="6EA9CB34" w:rsidR="00876699" w:rsidRPr="00F11200" w:rsidRDefault="004C1C0A" w:rsidP="00FA2976">
      <w:pPr>
        <w:rPr>
          <w:rFonts w:eastAsia="Arial"/>
        </w:rPr>
      </w:pPr>
      <w:r w:rsidRPr="00F11200">
        <w:rPr>
          <w:rFonts w:eastAsia="Arial"/>
        </w:rPr>
        <w:t>As stated in the Notice of Violation that was issued by the SBE to ECA on January 12, 2022</w:t>
      </w:r>
      <w:r w:rsidR="00D50F1A" w:rsidRPr="00F11200">
        <w:rPr>
          <w:rFonts w:eastAsia="Arial"/>
        </w:rPr>
        <w:t>, the CDE finds that ECA is not fiscally sustainable. ECA continues to base its fiscal solvency on unrealistic and overestimated enrollment</w:t>
      </w:r>
      <w:r w:rsidR="00876699" w:rsidRPr="00F11200">
        <w:rPr>
          <w:rFonts w:eastAsia="Arial"/>
        </w:rPr>
        <w:t xml:space="preserve">. In </w:t>
      </w:r>
      <w:r w:rsidR="004C175E" w:rsidRPr="00F11200">
        <w:rPr>
          <w:rFonts w:eastAsia="Arial"/>
        </w:rPr>
        <w:t>the</w:t>
      </w:r>
      <w:r w:rsidR="00876699" w:rsidRPr="00F11200">
        <w:rPr>
          <w:rFonts w:eastAsia="Arial"/>
        </w:rPr>
        <w:t xml:space="preserve"> revised budget</w:t>
      </w:r>
      <w:r w:rsidR="00F714E1">
        <w:rPr>
          <w:rFonts w:eastAsia="Arial"/>
        </w:rPr>
        <w:t>, which is based</w:t>
      </w:r>
      <w:r w:rsidR="00F714E1" w:rsidRPr="00F11200">
        <w:rPr>
          <w:rFonts w:eastAsia="Arial"/>
        </w:rPr>
        <w:t xml:space="preserve"> on an overinflated enrollment,</w:t>
      </w:r>
      <w:r w:rsidR="004C175E" w:rsidRPr="00F11200">
        <w:rPr>
          <w:rFonts w:eastAsia="Arial"/>
        </w:rPr>
        <w:t xml:space="preserve"> that ECA submitted to the CDE </w:t>
      </w:r>
      <w:r w:rsidR="00F714E1">
        <w:rPr>
          <w:rFonts w:eastAsia="Arial"/>
        </w:rPr>
        <w:t>in December 2021 in response to its Letter of Concern</w:t>
      </w:r>
      <w:r w:rsidR="00876699" w:rsidRPr="00F11200">
        <w:rPr>
          <w:rFonts w:eastAsia="Arial"/>
        </w:rPr>
        <w:t>, ECA maintains a negative ending fund balance. Specifically, for FY 2021–22, ECA projects a negative ending fund balance of $302,298.</w:t>
      </w:r>
    </w:p>
    <w:p w14:paraId="2810304B" w14:textId="1E8939B0" w:rsidR="00190BDD" w:rsidRPr="00F11200" w:rsidRDefault="00876699" w:rsidP="00FA2976">
      <w:pPr>
        <w:rPr>
          <w:rFonts w:eastAsia="Calibri" w:cs="Arial"/>
        </w:rPr>
      </w:pPr>
      <w:r w:rsidRPr="00F11200">
        <w:rPr>
          <w:rFonts w:eastAsia="Arial"/>
        </w:rPr>
        <w:t xml:space="preserve">Also, in their </w:t>
      </w:r>
      <w:r w:rsidR="004C175E" w:rsidRPr="00F11200">
        <w:rPr>
          <w:rFonts w:eastAsia="Arial"/>
        </w:rPr>
        <w:t xml:space="preserve">December </w:t>
      </w:r>
      <w:r w:rsidR="00E414F2" w:rsidRPr="00F11200">
        <w:rPr>
          <w:rFonts w:eastAsia="Arial"/>
        </w:rPr>
        <w:t xml:space="preserve">response to the </w:t>
      </w:r>
      <w:r w:rsidR="00BB212B" w:rsidRPr="00F11200">
        <w:rPr>
          <w:rFonts w:eastAsia="Arial"/>
        </w:rPr>
        <w:t>CDE’s Letter of Concern</w:t>
      </w:r>
      <w:r w:rsidR="00E414F2" w:rsidRPr="00F11200">
        <w:rPr>
          <w:rFonts w:eastAsia="Arial"/>
        </w:rPr>
        <w:t>,</w:t>
      </w:r>
      <w:r w:rsidRPr="00F11200">
        <w:rPr>
          <w:rFonts w:eastAsia="Arial"/>
        </w:rPr>
        <w:t xml:space="preserve"> ECA included $1 million in fundraising to cover staff compensation</w:t>
      </w:r>
      <w:r w:rsidR="0083279C" w:rsidRPr="00F11200">
        <w:rPr>
          <w:rFonts w:eastAsia="Arial"/>
        </w:rPr>
        <w:t>, including salaries and benefits</w:t>
      </w:r>
      <w:r w:rsidRPr="00F11200">
        <w:rPr>
          <w:rFonts w:eastAsia="Arial"/>
        </w:rPr>
        <w:t xml:space="preserve">. </w:t>
      </w:r>
      <w:r w:rsidR="0083279C" w:rsidRPr="00F11200">
        <w:rPr>
          <w:rFonts w:eastAsia="Arial"/>
        </w:rPr>
        <w:t>F</w:t>
      </w:r>
      <w:r w:rsidRPr="00F11200">
        <w:rPr>
          <w:rFonts w:eastAsia="Calibri"/>
        </w:rPr>
        <w:t xml:space="preserve">undraising, or </w:t>
      </w:r>
      <w:r w:rsidRPr="00F11200">
        <w:rPr>
          <w:rFonts w:eastAsia="Calibri" w:cs="Arial"/>
        </w:rPr>
        <w:t>donation, is soft funding</w:t>
      </w:r>
      <w:r w:rsidR="006578F5" w:rsidRPr="00F11200">
        <w:rPr>
          <w:rFonts w:eastAsia="Calibri" w:cs="Arial"/>
        </w:rPr>
        <w:t xml:space="preserve"> and </w:t>
      </w:r>
      <w:r w:rsidR="0083279C" w:rsidRPr="00F11200">
        <w:rPr>
          <w:rFonts w:eastAsia="Calibri" w:cs="Arial"/>
        </w:rPr>
        <w:t xml:space="preserve">is not guaranteed. Additionally, ECA provided no </w:t>
      </w:r>
      <w:r w:rsidRPr="00F11200">
        <w:rPr>
          <w:rFonts w:eastAsia="Calibri" w:cs="Arial"/>
        </w:rPr>
        <w:t xml:space="preserve">documentation </w:t>
      </w:r>
      <w:r w:rsidR="0083279C" w:rsidRPr="00F11200">
        <w:rPr>
          <w:rFonts w:eastAsia="Calibri" w:cs="Arial"/>
        </w:rPr>
        <w:t xml:space="preserve">to support its </w:t>
      </w:r>
      <w:r w:rsidRPr="00F11200">
        <w:rPr>
          <w:rFonts w:eastAsia="Calibri" w:cs="Arial"/>
        </w:rPr>
        <w:t>fundraising</w:t>
      </w:r>
      <w:r w:rsidR="0083279C" w:rsidRPr="00F11200">
        <w:rPr>
          <w:rFonts w:eastAsia="Calibri" w:cs="Arial"/>
        </w:rPr>
        <w:t xml:space="preserve"> efforts.</w:t>
      </w:r>
      <w:r w:rsidR="004D4FC8" w:rsidRPr="004D4FC8">
        <w:rPr>
          <w:rFonts w:eastAsia="Calibri" w:cs="Arial"/>
        </w:rPr>
        <w:t xml:space="preserve"> </w:t>
      </w:r>
      <w:r w:rsidR="004D4FC8" w:rsidRPr="00F11200">
        <w:rPr>
          <w:rFonts w:eastAsia="Calibri" w:cs="Arial"/>
        </w:rPr>
        <w:t>ECA’s cash flow statement reflects that all cash will be exhausted by May 2022.</w:t>
      </w:r>
    </w:p>
    <w:p w14:paraId="125D83F8" w14:textId="3443AC8F" w:rsidR="00876699" w:rsidRPr="00F11200" w:rsidRDefault="00876699" w:rsidP="00876699">
      <w:pPr>
        <w:rPr>
          <w:rFonts w:eastAsia="Calibri" w:cs="Arial"/>
        </w:rPr>
      </w:pPr>
      <w:r w:rsidRPr="00F11200">
        <w:rPr>
          <w:rFonts w:eastAsia="Calibri" w:cs="Arial"/>
        </w:rPr>
        <w:lastRenderedPageBreak/>
        <w:t xml:space="preserve">Additionally, in their </w:t>
      </w:r>
      <w:r w:rsidR="004C175E" w:rsidRPr="00F11200">
        <w:rPr>
          <w:rFonts w:eastAsia="Calibri" w:cs="Arial"/>
        </w:rPr>
        <w:t xml:space="preserve">December </w:t>
      </w:r>
      <w:r w:rsidRPr="00F11200">
        <w:rPr>
          <w:rFonts w:eastAsia="Calibri" w:cs="Arial"/>
        </w:rPr>
        <w:t xml:space="preserve">revised budget, ECA included $300,000 of </w:t>
      </w:r>
      <w:r w:rsidR="00F1596B" w:rsidRPr="00F11200">
        <w:rPr>
          <w:rFonts w:eastAsia="Calibri" w:cs="Arial"/>
        </w:rPr>
        <w:t>Public Charter School Grant Program (</w:t>
      </w:r>
      <w:r w:rsidR="00D94FCB" w:rsidRPr="00F11200">
        <w:rPr>
          <w:rFonts w:eastAsia="Calibri" w:cs="Arial"/>
        </w:rPr>
        <w:t>PCSGP</w:t>
      </w:r>
      <w:r w:rsidR="00F1596B" w:rsidRPr="00F11200">
        <w:rPr>
          <w:rFonts w:eastAsia="Calibri" w:cs="Arial"/>
        </w:rPr>
        <w:t>)</w:t>
      </w:r>
      <w:r w:rsidRPr="00F11200">
        <w:rPr>
          <w:rFonts w:eastAsia="Calibri" w:cs="Arial"/>
        </w:rPr>
        <w:t xml:space="preserve"> implementation funds in their cash flow statement. Due to their failure to meet the minimum enrollment requirement for their first year of implementation as required by the federal grant, ECA is not eligible to receive PCSGP funds. On December 28, 2021, the CDE informed ECA that its PCSGP Start-Up Sub-Grant had been placed on hold.</w:t>
      </w:r>
    </w:p>
    <w:p w14:paraId="7B3B0274" w14:textId="1D21777C" w:rsidR="0053552C" w:rsidRPr="00F11200" w:rsidRDefault="00876699" w:rsidP="00876699">
      <w:pPr>
        <w:rPr>
          <w:rStyle w:val="Hyperlink"/>
          <w:rFonts w:eastAsiaTheme="majorEastAsia" w:cs="Arial"/>
          <w:u w:val="none"/>
        </w:rPr>
      </w:pPr>
      <w:r w:rsidRPr="00F11200">
        <w:rPr>
          <w:rFonts w:cs="Arial"/>
        </w:rPr>
        <w:t xml:space="preserve">Furthermore, </w:t>
      </w:r>
      <w:r w:rsidR="004C175E" w:rsidRPr="00F11200">
        <w:rPr>
          <w:rFonts w:cs="Arial"/>
        </w:rPr>
        <w:t xml:space="preserve">in its December revised budget, </w:t>
      </w:r>
      <w:r w:rsidRPr="00F11200">
        <w:rPr>
          <w:rFonts w:cs="Arial"/>
        </w:rPr>
        <w:t>ECA understated its LCFF repayment by $435,594. Due to its overstated ADA and incorrect PCSGP projections, ECA may have an estimated negative ending cash balance of $932,620 by June 2022.</w:t>
      </w:r>
      <w:r w:rsidRPr="00F11200">
        <w:rPr>
          <w:rStyle w:val="FootnoteReference"/>
          <w:rFonts w:cs="Arial"/>
        </w:rPr>
        <w:footnoteReference w:id="1"/>
      </w:r>
    </w:p>
    <w:p w14:paraId="6430F33A" w14:textId="3779A32F" w:rsidR="003B7F2A" w:rsidRPr="00F11200" w:rsidRDefault="003B7F2A" w:rsidP="003B7F2A">
      <w:pPr>
        <w:pStyle w:val="Heading4"/>
      </w:pPr>
      <w:r w:rsidRPr="00F11200">
        <w:t>ECA’s Response to Projected Fiscal Insolvency</w:t>
      </w:r>
    </w:p>
    <w:p w14:paraId="1EF7CE1E" w14:textId="65367C14" w:rsidR="0052030B" w:rsidRPr="00F11200" w:rsidRDefault="00604382" w:rsidP="00604382">
      <w:pPr>
        <w:rPr>
          <w:rFonts w:eastAsia="Calibri" w:cs="Arial"/>
        </w:rPr>
      </w:pPr>
      <w:r w:rsidRPr="00F11200">
        <w:rPr>
          <w:rFonts w:eastAsia="Calibri" w:cs="Arial"/>
        </w:rPr>
        <w:t>According to ECA</w:t>
      </w:r>
      <w:r w:rsidR="00E750DD" w:rsidRPr="00F11200">
        <w:rPr>
          <w:rFonts w:eastAsia="Calibri" w:cs="Arial"/>
        </w:rPr>
        <w:t>’s</w:t>
      </w:r>
      <w:r w:rsidRPr="00F11200">
        <w:rPr>
          <w:rFonts w:eastAsia="Calibri" w:cs="Arial"/>
        </w:rPr>
        <w:t xml:space="preserve"> response to the Notice of Violation issued by the SBE, dated January 26, 2022, ECA submitted</w:t>
      </w:r>
      <w:r w:rsidR="004C175E" w:rsidRPr="00F11200">
        <w:rPr>
          <w:rFonts w:eastAsia="Calibri" w:cs="Arial"/>
        </w:rPr>
        <w:t xml:space="preserve"> </w:t>
      </w:r>
      <w:r w:rsidR="004F727F" w:rsidRPr="00F11200">
        <w:rPr>
          <w:rFonts w:eastAsia="Calibri" w:cs="Arial"/>
        </w:rPr>
        <w:t>a new revised budget</w:t>
      </w:r>
      <w:r w:rsidR="00746F53" w:rsidRPr="00F11200">
        <w:rPr>
          <w:rFonts w:eastAsia="Calibri" w:cs="Arial"/>
        </w:rPr>
        <w:t xml:space="preserve">, which included an </w:t>
      </w:r>
      <w:r w:rsidRPr="00F11200">
        <w:rPr>
          <w:rFonts w:eastAsia="Calibri" w:cs="Arial"/>
        </w:rPr>
        <w:t>ADA of 27.53 for FY 2021</w:t>
      </w:r>
      <w:r w:rsidR="003B7F2A" w:rsidRPr="00F11200">
        <w:rPr>
          <w:rFonts w:eastAsia="Calibri" w:cs="Arial"/>
        </w:rPr>
        <w:t>–</w:t>
      </w:r>
      <w:r w:rsidRPr="00F11200">
        <w:rPr>
          <w:rFonts w:eastAsia="Calibri" w:cs="Arial"/>
        </w:rPr>
        <w:t>22 and decreased enrollment project</w:t>
      </w:r>
      <w:r w:rsidR="00746F53" w:rsidRPr="00F11200">
        <w:rPr>
          <w:rFonts w:eastAsia="Calibri" w:cs="Arial"/>
        </w:rPr>
        <w:t xml:space="preserve">ions </w:t>
      </w:r>
      <w:r w:rsidR="0074261B" w:rsidRPr="00F11200">
        <w:rPr>
          <w:rFonts w:eastAsia="Calibri" w:cs="Arial"/>
        </w:rPr>
        <w:t>from 240 students to</w:t>
      </w:r>
      <w:r w:rsidR="00746F53" w:rsidRPr="00F11200">
        <w:rPr>
          <w:rFonts w:eastAsia="Calibri" w:cs="Arial"/>
        </w:rPr>
        <w:t xml:space="preserve"> </w:t>
      </w:r>
      <w:r w:rsidRPr="00F11200">
        <w:rPr>
          <w:rFonts w:eastAsia="Calibri" w:cs="Arial"/>
        </w:rPr>
        <w:t>168 students for FY 2022</w:t>
      </w:r>
      <w:r w:rsidR="003B7F2A" w:rsidRPr="00F11200">
        <w:rPr>
          <w:rFonts w:eastAsia="Calibri" w:cs="Arial"/>
        </w:rPr>
        <w:t>–</w:t>
      </w:r>
      <w:r w:rsidRPr="00F11200">
        <w:rPr>
          <w:rFonts w:eastAsia="Calibri" w:cs="Arial"/>
        </w:rPr>
        <w:t>2</w:t>
      </w:r>
      <w:r w:rsidR="0074261B" w:rsidRPr="00F11200">
        <w:rPr>
          <w:rFonts w:eastAsia="Calibri" w:cs="Arial"/>
        </w:rPr>
        <w:t>3</w:t>
      </w:r>
      <w:r w:rsidRPr="00F11200">
        <w:rPr>
          <w:rFonts w:eastAsia="Calibri" w:cs="Arial"/>
        </w:rPr>
        <w:t xml:space="preserve"> and </w:t>
      </w:r>
      <w:r w:rsidR="0074261B" w:rsidRPr="00F11200">
        <w:rPr>
          <w:rFonts w:eastAsia="Calibri" w:cs="Arial"/>
        </w:rPr>
        <w:t>from 313 student</w:t>
      </w:r>
      <w:r w:rsidR="003B0BC3" w:rsidRPr="00F11200">
        <w:rPr>
          <w:rFonts w:eastAsia="Calibri" w:cs="Arial"/>
        </w:rPr>
        <w:t>s</w:t>
      </w:r>
      <w:r w:rsidR="0074261B" w:rsidRPr="00F11200">
        <w:rPr>
          <w:rFonts w:eastAsia="Calibri" w:cs="Arial"/>
        </w:rPr>
        <w:t xml:space="preserve"> to </w:t>
      </w:r>
      <w:r w:rsidRPr="00F11200">
        <w:rPr>
          <w:rFonts w:eastAsia="Calibri" w:cs="Arial"/>
        </w:rPr>
        <w:t xml:space="preserve">216 </w:t>
      </w:r>
      <w:r w:rsidR="00746F53" w:rsidRPr="00F11200">
        <w:rPr>
          <w:rFonts w:eastAsia="Calibri" w:cs="Arial"/>
        </w:rPr>
        <w:t xml:space="preserve">students </w:t>
      </w:r>
      <w:r w:rsidRPr="00F11200">
        <w:rPr>
          <w:rFonts w:eastAsia="Calibri" w:cs="Arial"/>
        </w:rPr>
        <w:t>for FY 2023</w:t>
      </w:r>
      <w:r w:rsidR="003B7F2A" w:rsidRPr="00F11200">
        <w:rPr>
          <w:rFonts w:eastAsia="Calibri" w:cs="Arial"/>
        </w:rPr>
        <w:t>–</w:t>
      </w:r>
      <w:r w:rsidRPr="00F11200">
        <w:rPr>
          <w:rFonts w:eastAsia="Calibri" w:cs="Arial"/>
        </w:rPr>
        <w:t xml:space="preserve">24. ECA </w:t>
      </w:r>
      <w:r w:rsidR="00D258B6" w:rsidRPr="00F11200">
        <w:rPr>
          <w:rFonts w:eastAsia="Calibri" w:cs="Arial"/>
        </w:rPr>
        <w:t xml:space="preserve">stated </w:t>
      </w:r>
      <w:r w:rsidRPr="00F11200">
        <w:rPr>
          <w:rFonts w:eastAsia="Calibri" w:cs="Arial"/>
        </w:rPr>
        <w:t>that no fundraising has been included in its budget. ECA removed the $300,000 PCSGP funding from its FY 2021</w:t>
      </w:r>
      <w:r w:rsidR="003B7F2A" w:rsidRPr="00F11200">
        <w:rPr>
          <w:rFonts w:eastAsia="Calibri" w:cs="Arial"/>
        </w:rPr>
        <w:t>–</w:t>
      </w:r>
      <w:r w:rsidRPr="00F11200">
        <w:rPr>
          <w:rFonts w:eastAsia="Calibri" w:cs="Arial"/>
        </w:rPr>
        <w:t>22 but included it for subsequent years as they expect to meet the program</w:t>
      </w:r>
      <w:r w:rsidR="00333209" w:rsidRPr="00F11200">
        <w:rPr>
          <w:rFonts w:eastAsia="Calibri" w:cs="Arial"/>
        </w:rPr>
        <w:t>’</w:t>
      </w:r>
      <w:r w:rsidRPr="00F11200">
        <w:rPr>
          <w:rFonts w:eastAsia="Calibri" w:cs="Arial"/>
        </w:rPr>
        <w:t xml:space="preserve">s enrollment requirements by June 30, 2022. </w:t>
      </w:r>
      <w:r w:rsidR="00FA5462" w:rsidRPr="00F11200">
        <w:t xml:space="preserve">ECA’s </w:t>
      </w:r>
      <w:r w:rsidR="004C175E" w:rsidRPr="00F11200">
        <w:t>January</w:t>
      </w:r>
      <w:r w:rsidR="00F11200" w:rsidRPr="00F11200">
        <w:t xml:space="preserve"> revised</w:t>
      </w:r>
      <w:r w:rsidR="004C175E" w:rsidRPr="00F11200">
        <w:t xml:space="preserve"> </w:t>
      </w:r>
      <w:r w:rsidR="00FA5462" w:rsidRPr="00F11200">
        <w:t>budget estimates its LCFF overpayment at $329,452. To resolve the LCFF overpayment, ECA proposes to repay $164,726 in June 2023 and $164,726 in June 2024.</w:t>
      </w:r>
      <w:r w:rsidR="00FA5462" w:rsidRPr="00F11200">
        <w:rPr>
          <w:rFonts w:eastAsia="Calibri" w:cs="Arial"/>
        </w:rPr>
        <w:t xml:space="preserve"> </w:t>
      </w:r>
      <w:r w:rsidRPr="00F11200">
        <w:rPr>
          <w:rFonts w:eastAsia="Calibri" w:cs="Arial"/>
        </w:rPr>
        <w:t xml:space="preserve">With </w:t>
      </w:r>
      <w:r w:rsidR="004C175E" w:rsidRPr="00F11200">
        <w:rPr>
          <w:rFonts w:eastAsia="Calibri" w:cs="Arial"/>
        </w:rPr>
        <w:t xml:space="preserve">its </w:t>
      </w:r>
      <w:r w:rsidRPr="00F11200">
        <w:rPr>
          <w:rFonts w:eastAsia="Calibri" w:cs="Arial"/>
        </w:rPr>
        <w:t>revised budget projections, ECA projects an ending cash balance of $4,043 for FY 2021</w:t>
      </w:r>
      <w:r w:rsidR="003B7F2A" w:rsidRPr="00F11200">
        <w:rPr>
          <w:rFonts w:eastAsia="Calibri" w:cs="Arial"/>
        </w:rPr>
        <w:t>–</w:t>
      </w:r>
      <w:r w:rsidRPr="00F11200">
        <w:rPr>
          <w:rFonts w:eastAsia="Calibri" w:cs="Arial"/>
        </w:rPr>
        <w:t>22.</w:t>
      </w:r>
    </w:p>
    <w:p w14:paraId="3ABC2289" w14:textId="76962538" w:rsidR="003B7F2A" w:rsidRPr="00F11200" w:rsidRDefault="003B7F2A" w:rsidP="003B7F2A">
      <w:pPr>
        <w:pStyle w:val="Heading4"/>
      </w:pPr>
      <w:r w:rsidRPr="00F11200">
        <w:rPr>
          <w:rFonts w:eastAsia="Calibri" w:cs="Arial"/>
        </w:rPr>
        <w:t xml:space="preserve">CDE’s Analysis of </w:t>
      </w:r>
      <w:r w:rsidRPr="00F11200">
        <w:t>ECA’s Response to Projected Fiscal Insolvency</w:t>
      </w:r>
    </w:p>
    <w:p w14:paraId="38D6FF48" w14:textId="75385691" w:rsidR="005F4590" w:rsidRPr="008D4BCC" w:rsidRDefault="00604382" w:rsidP="00604382">
      <w:pPr>
        <w:rPr>
          <w:rFonts w:eastAsia="Calibri" w:cs="Arial"/>
          <w:b/>
        </w:rPr>
      </w:pPr>
      <w:r w:rsidRPr="00F11200">
        <w:rPr>
          <w:rFonts w:eastAsia="Calibri" w:cs="Arial"/>
        </w:rPr>
        <w:t xml:space="preserve">Even with its overestimated enrollment, ECA’s </w:t>
      </w:r>
      <w:r w:rsidR="004C175E" w:rsidRPr="00F11200">
        <w:rPr>
          <w:rFonts w:eastAsia="Calibri" w:cs="Arial"/>
        </w:rPr>
        <w:t>January</w:t>
      </w:r>
      <w:r w:rsidRPr="00F11200">
        <w:rPr>
          <w:rFonts w:eastAsia="Calibri" w:cs="Arial"/>
        </w:rPr>
        <w:t xml:space="preserve"> revised budget includes a deficit of $282,497 and negative ending fund balance of $302,842</w:t>
      </w:r>
      <w:r w:rsidRPr="008D4BCC">
        <w:rPr>
          <w:rFonts w:eastAsia="Calibri" w:cs="Arial"/>
        </w:rPr>
        <w:t xml:space="preserve"> in FY 2021–22.</w:t>
      </w:r>
      <w:r w:rsidRPr="008D4BCC">
        <w:rPr>
          <w:rFonts w:eastAsia="Calibri" w:cs="Arial"/>
          <w:b/>
        </w:rPr>
        <w:t xml:space="preserve"> </w:t>
      </w:r>
      <w:r w:rsidR="00F46AC8" w:rsidRPr="008D4BCC">
        <w:rPr>
          <w:rFonts w:eastAsia="Calibri" w:cs="Arial"/>
        </w:rPr>
        <w:t xml:space="preserve">As </w:t>
      </w:r>
      <w:r w:rsidR="00876699" w:rsidRPr="008D4BCC">
        <w:rPr>
          <w:rFonts w:eastAsia="Calibri" w:cs="Arial"/>
        </w:rPr>
        <w:t xml:space="preserve">of </w:t>
      </w:r>
      <w:r w:rsidR="003B0BC3">
        <w:rPr>
          <w:rFonts w:eastAsia="Calibri" w:cs="Arial"/>
        </w:rPr>
        <w:br/>
      </w:r>
      <w:r w:rsidR="00F46AC8" w:rsidRPr="008D4BCC">
        <w:rPr>
          <w:rFonts w:eastAsia="Calibri" w:cs="Arial"/>
        </w:rPr>
        <w:t xml:space="preserve">January 24, 2022, despite its negative net position, ECA employed </w:t>
      </w:r>
      <w:r w:rsidR="006B2B40" w:rsidRPr="008D4BCC">
        <w:rPr>
          <w:rFonts w:eastAsia="Calibri" w:cs="Arial"/>
        </w:rPr>
        <w:t>six</w:t>
      </w:r>
      <w:r w:rsidR="00F46AC8" w:rsidRPr="008D4BCC">
        <w:rPr>
          <w:rFonts w:eastAsia="Calibri" w:cs="Arial"/>
        </w:rPr>
        <w:t xml:space="preserve"> teachers</w:t>
      </w:r>
      <w:r w:rsidR="00D97A26" w:rsidRPr="008D4BCC">
        <w:rPr>
          <w:rFonts w:eastAsia="Calibri" w:cs="Arial"/>
        </w:rPr>
        <w:t xml:space="preserve"> and </w:t>
      </w:r>
      <w:r w:rsidR="006B2B40" w:rsidRPr="008D4BCC">
        <w:rPr>
          <w:rFonts w:eastAsia="Calibri" w:cs="Arial"/>
        </w:rPr>
        <w:t>one</w:t>
      </w:r>
      <w:r w:rsidR="00D97A26" w:rsidRPr="008D4BCC">
        <w:rPr>
          <w:rFonts w:eastAsia="Calibri" w:cs="Arial"/>
        </w:rPr>
        <w:t xml:space="preserve"> administrator</w:t>
      </w:r>
      <w:r w:rsidR="00F46AC8" w:rsidRPr="008D4BCC">
        <w:rPr>
          <w:rFonts w:eastAsia="Calibri" w:cs="Arial"/>
        </w:rPr>
        <w:t xml:space="preserve"> for 12 students. </w:t>
      </w:r>
      <w:r w:rsidR="00CD148C" w:rsidRPr="008D4BCC">
        <w:rPr>
          <w:rFonts w:eastAsia="Calibri" w:cs="Arial"/>
        </w:rPr>
        <w:t xml:space="preserve">ECA has failed </w:t>
      </w:r>
      <w:r w:rsidR="005F4590" w:rsidRPr="008D4BCC">
        <w:rPr>
          <w:rFonts w:eastAsia="Calibri" w:cs="Arial"/>
        </w:rPr>
        <w:t>to take appropriate steps to balance its budget by reducing</w:t>
      </w:r>
      <w:r w:rsidR="00E17F59" w:rsidRPr="008D4BCC">
        <w:rPr>
          <w:rFonts w:eastAsia="Calibri" w:cs="Arial"/>
        </w:rPr>
        <w:t xml:space="preserve"> expenditures</w:t>
      </w:r>
      <w:r w:rsidR="00DD11B7" w:rsidRPr="008D4BCC">
        <w:rPr>
          <w:rFonts w:eastAsia="Calibri" w:cs="Arial"/>
        </w:rPr>
        <w:t>,</w:t>
      </w:r>
      <w:r w:rsidR="005F4590" w:rsidRPr="008D4BCC">
        <w:rPr>
          <w:rFonts w:eastAsia="Calibri" w:cs="Arial"/>
        </w:rPr>
        <w:t xml:space="preserve"> such as adjusting staffing to a reasonable student-to-teacher ratio or reducing administrator salaries.</w:t>
      </w:r>
    </w:p>
    <w:p w14:paraId="61AF0DA6" w14:textId="78FCA900" w:rsidR="0052030B" w:rsidRPr="008D4BCC" w:rsidRDefault="0052030B" w:rsidP="0052030B">
      <w:pPr>
        <w:pStyle w:val="NoSpacing"/>
        <w:tabs>
          <w:tab w:val="left" w:pos="720"/>
        </w:tabs>
        <w:contextualSpacing/>
        <w:rPr>
          <w:rFonts w:eastAsia="Calibri" w:cs="Arial"/>
        </w:rPr>
      </w:pPr>
      <w:r w:rsidRPr="008D4BCC">
        <w:rPr>
          <w:rFonts w:eastAsia="Calibri" w:cs="Arial"/>
        </w:rPr>
        <w:t>Furthermore, a charter school cannot dictate a repayment plan for an overpayment</w:t>
      </w:r>
      <w:r w:rsidR="00DF1FA1">
        <w:rPr>
          <w:rFonts w:eastAsia="Calibri" w:cs="Arial"/>
        </w:rPr>
        <w:t xml:space="preserve"> of apportionment</w:t>
      </w:r>
      <w:r w:rsidR="004657C3" w:rsidRPr="008D4BCC">
        <w:rPr>
          <w:rFonts w:eastAsia="Calibri" w:cs="Arial"/>
        </w:rPr>
        <w:t>,</w:t>
      </w:r>
      <w:r w:rsidRPr="008D4BCC">
        <w:rPr>
          <w:rFonts w:eastAsia="Calibri" w:cs="Arial"/>
        </w:rPr>
        <w:t xml:space="preserve"> and the CDE does not have the authority to grant a repayment plan for charter school overpayments. The CDE’s only methods of recovering an overpayment are invoicing the charter school for the full amount or offsetting future apportionments. If the charter school were to remit </w:t>
      </w:r>
      <w:r w:rsidR="00333211" w:rsidRPr="008D4BCC">
        <w:rPr>
          <w:rFonts w:eastAsia="Calibri" w:cs="Arial"/>
        </w:rPr>
        <w:t xml:space="preserve">less than </w:t>
      </w:r>
      <w:r w:rsidRPr="008D4BCC">
        <w:rPr>
          <w:rFonts w:eastAsia="Calibri" w:cs="Arial"/>
        </w:rPr>
        <w:t>the full payment against an invoice, their apportionments would continue to be offset until the full amount is repaid.</w:t>
      </w:r>
    </w:p>
    <w:p w14:paraId="44FFFE49" w14:textId="6B2D5D95" w:rsidR="00FF2782" w:rsidRPr="00D425B4" w:rsidRDefault="00604382" w:rsidP="00604382">
      <w:pPr>
        <w:rPr>
          <w:rFonts w:eastAsia="Calibri" w:cs="Arial"/>
        </w:rPr>
      </w:pPr>
      <w:r w:rsidRPr="008D4BCC">
        <w:rPr>
          <w:rFonts w:eastAsia="Calibri" w:cs="Arial"/>
        </w:rPr>
        <w:lastRenderedPageBreak/>
        <w:t xml:space="preserve">ECA’s projected ending cash balance </w:t>
      </w:r>
      <w:r w:rsidR="0080240B" w:rsidRPr="008D4BCC">
        <w:rPr>
          <w:rFonts w:eastAsia="Calibri" w:cs="Arial"/>
        </w:rPr>
        <w:t>fail</w:t>
      </w:r>
      <w:r w:rsidR="003B0BC3">
        <w:rPr>
          <w:rFonts w:eastAsia="Calibri" w:cs="Arial"/>
        </w:rPr>
        <w:t>s</w:t>
      </w:r>
      <w:r w:rsidR="0080240B" w:rsidRPr="008D4BCC">
        <w:rPr>
          <w:rFonts w:eastAsia="Calibri" w:cs="Arial"/>
        </w:rPr>
        <w:t xml:space="preserve"> to</w:t>
      </w:r>
      <w:r w:rsidRPr="008D4BCC">
        <w:rPr>
          <w:rFonts w:eastAsia="Calibri" w:cs="Arial"/>
        </w:rPr>
        <w:t xml:space="preserve"> include</w:t>
      </w:r>
      <w:r w:rsidR="00917B20" w:rsidRPr="008D4BCC">
        <w:rPr>
          <w:rFonts w:eastAsia="Calibri" w:cs="Arial"/>
        </w:rPr>
        <w:t xml:space="preserve"> any of</w:t>
      </w:r>
      <w:r w:rsidRPr="008D4BCC">
        <w:rPr>
          <w:rFonts w:eastAsia="Calibri" w:cs="Arial"/>
        </w:rPr>
        <w:t xml:space="preserve"> </w:t>
      </w:r>
      <w:r w:rsidR="00746F53" w:rsidRPr="008D4BCC">
        <w:rPr>
          <w:rFonts w:eastAsia="Calibri" w:cs="Arial"/>
        </w:rPr>
        <w:t xml:space="preserve">its </w:t>
      </w:r>
      <w:r w:rsidRPr="008D4BCC">
        <w:rPr>
          <w:rFonts w:eastAsia="Calibri" w:cs="Arial"/>
        </w:rPr>
        <w:t>LCFF repayment</w:t>
      </w:r>
      <w:r w:rsidR="002D73B1" w:rsidRPr="008D4BCC">
        <w:rPr>
          <w:rFonts w:eastAsia="Calibri" w:cs="Arial"/>
        </w:rPr>
        <w:t xml:space="preserve">, which the CDE estimates at </w:t>
      </w:r>
      <w:r w:rsidRPr="008D4BCC">
        <w:rPr>
          <w:rFonts w:eastAsia="Calibri" w:cs="Arial"/>
        </w:rPr>
        <w:t xml:space="preserve">$492,396. Therefore, by June 2022, ECA may have an estimated </w:t>
      </w:r>
      <w:r w:rsidRPr="00D425B4">
        <w:rPr>
          <w:rFonts w:eastAsia="Calibri" w:cs="Arial"/>
        </w:rPr>
        <w:t>negative ending cash balance of $488,353</w:t>
      </w:r>
      <w:r w:rsidR="007A786B" w:rsidRPr="00D425B4">
        <w:rPr>
          <w:rFonts w:eastAsia="Calibri" w:cs="Arial"/>
        </w:rPr>
        <w:t>.</w:t>
      </w:r>
    </w:p>
    <w:p w14:paraId="65E32556" w14:textId="52769AD0" w:rsidR="00644140" w:rsidRPr="003B0BC3" w:rsidRDefault="00FF2782" w:rsidP="00604382">
      <w:pPr>
        <w:rPr>
          <w:rFonts w:eastAsia="Calibri" w:cs="Arial"/>
        </w:rPr>
      </w:pPr>
      <w:r w:rsidRPr="00D425B4">
        <w:rPr>
          <w:rFonts w:eastAsia="Calibri" w:cs="Arial"/>
        </w:rPr>
        <w:t>As previously state</w:t>
      </w:r>
      <w:r w:rsidR="00DA4464" w:rsidRPr="00D425B4">
        <w:rPr>
          <w:rFonts w:eastAsia="Calibri" w:cs="Arial"/>
        </w:rPr>
        <w:t>d</w:t>
      </w:r>
      <w:r w:rsidRPr="00D425B4">
        <w:rPr>
          <w:rFonts w:eastAsia="Calibri" w:cs="Arial"/>
        </w:rPr>
        <w:t>, if ECA fails to repay its LCFF overpayment, ECA’s principal apportionments for FY 2022</w:t>
      </w:r>
      <w:r w:rsidR="008F6066" w:rsidRPr="00D425B4">
        <w:rPr>
          <w:rFonts w:eastAsia="Calibri" w:cs="Arial"/>
        </w:rPr>
        <w:t>–</w:t>
      </w:r>
      <w:r w:rsidRPr="00D425B4">
        <w:rPr>
          <w:rFonts w:eastAsia="Calibri" w:cs="Arial"/>
        </w:rPr>
        <w:t xml:space="preserve">23 will be offset in order to recover the LCFF overpayment. </w:t>
      </w:r>
      <w:r w:rsidR="009B1E8E" w:rsidRPr="00D425B4">
        <w:rPr>
          <w:rFonts w:eastAsia="Calibri" w:cs="Arial"/>
        </w:rPr>
        <w:t>Based on the CDE’s most recent analysis of ECA’s financial documents, ECA will fail to meet its financial obligations, including but not limited to staff salaries</w:t>
      </w:r>
      <w:r w:rsidR="00DF1FA1">
        <w:rPr>
          <w:rFonts w:eastAsia="Calibri" w:cs="Arial"/>
        </w:rPr>
        <w:t xml:space="preserve">, pension </w:t>
      </w:r>
      <w:r w:rsidR="000471DF">
        <w:rPr>
          <w:rFonts w:eastAsia="Calibri" w:cs="Arial"/>
        </w:rPr>
        <w:t>obligations,</w:t>
      </w:r>
      <w:r w:rsidR="000471DF" w:rsidRPr="00D425B4">
        <w:rPr>
          <w:rFonts w:eastAsia="Calibri" w:cs="Arial"/>
        </w:rPr>
        <w:t xml:space="preserve"> and</w:t>
      </w:r>
      <w:r w:rsidR="009B1E8E" w:rsidRPr="00D425B4">
        <w:rPr>
          <w:rFonts w:eastAsia="Calibri" w:cs="Arial"/>
        </w:rPr>
        <w:t xml:space="preserve"> benefits by May 2022.</w:t>
      </w:r>
    </w:p>
    <w:p w14:paraId="14E7CA14" w14:textId="6BC46B66" w:rsidR="007D4577" w:rsidRPr="008D4BCC" w:rsidRDefault="007D4577" w:rsidP="00604382">
      <w:pPr>
        <w:rPr>
          <w:rFonts w:eastAsia="Calibri" w:cs="Arial"/>
          <w:color w:val="000000" w:themeColor="text1"/>
        </w:rPr>
      </w:pPr>
      <w:bookmarkStart w:id="5" w:name="_Hlk94702978"/>
      <w:r w:rsidRPr="008D4BCC">
        <w:rPr>
          <w:rFonts w:eastAsia="Calibri" w:cs="Arial"/>
          <w:color w:val="000000" w:themeColor="text1"/>
        </w:rPr>
        <w:t>Based on the CDE's analysis of ECA's response to the Notice of Violation, the CDE finds that ECA has not refuted, remedied, or proposed to remedy this violation.</w:t>
      </w:r>
    </w:p>
    <w:bookmarkEnd w:id="5"/>
    <w:p w14:paraId="0DD5710C" w14:textId="77777777" w:rsidR="00E5519D" w:rsidRPr="008D4BCC" w:rsidRDefault="00E5519D" w:rsidP="000412D3">
      <w:pPr>
        <w:pStyle w:val="Heading3"/>
      </w:pPr>
      <w:r w:rsidRPr="008D4BCC">
        <w:t>The ECA Board committed a material violation of the conditions, standards, or procedures set forth in the charter (</w:t>
      </w:r>
      <w:r w:rsidRPr="008D4BCC">
        <w:rPr>
          <w:i/>
        </w:rPr>
        <w:t>EC</w:t>
      </w:r>
      <w:r w:rsidRPr="008D4BCC">
        <w:t xml:space="preserve"> Section 47607[f][1]).</w:t>
      </w:r>
    </w:p>
    <w:p w14:paraId="505E887D" w14:textId="77777777" w:rsidR="00E5519D" w:rsidRPr="008D4BCC" w:rsidRDefault="00E5519D" w:rsidP="000412D3">
      <w:pPr>
        <w:pStyle w:val="Heading4"/>
      </w:pPr>
      <w:r w:rsidRPr="008D4BCC">
        <w:t>Failure to Acquire Appropriate Facilities Prior to the Start of FY 2021–22</w:t>
      </w:r>
    </w:p>
    <w:p w14:paraId="55A706EA" w14:textId="7F1D3D47" w:rsidR="00E5519D" w:rsidRPr="008D4BCC" w:rsidRDefault="004C1C0A" w:rsidP="00E5519D">
      <w:pPr>
        <w:ind w:right="14"/>
        <w:rPr>
          <w:rFonts w:eastAsia="Arial" w:cs="Arial"/>
          <w:color w:val="000000"/>
        </w:rPr>
      </w:pPr>
      <w:r w:rsidRPr="008D4BCC">
        <w:rPr>
          <w:rFonts w:eastAsia="Arial" w:cs="Arial"/>
          <w:color w:val="000000"/>
        </w:rPr>
        <w:t>As stated in the Notice of Violation that was issued by the SBE to ECA on January 12, 2022</w:t>
      </w:r>
      <w:r w:rsidR="00876699" w:rsidRPr="008D4BCC">
        <w:rPr>
          <w:rFonts w:eastAsia="Arial" w:cs="Arial"/>
          <w:color w:val="000000"/>
        </w:rPr>
        <w:t>, a</w:t>
      </w:r>
      <w:r w:rsidR="00E5519D" w:rsidRPr="008D4BCC">
        <w:rPr>
          <w:rFonts w:eastAsia="Arial" w:cs="Arial"/>
          <w:color w:val="000000"/>
        </w:rPr>
        <w:t xml:space="preserve">ccording to Section 4.2 of the </w:t>
      </w:r>
      <w:r w:rsidR="00220188">
        <w:rPr>
          <w:rFonts w:eastAsia="Arial" w:cs="Arial"/>
          <w:color w:val="000000"/>
        </w:rPr>
        <w:t>Memorandum of Understanding (</w:t>
      </w:r>
      <w:r w:rsidR="00E5519D" w:rsidRPr="008D4BCC">
        <w:rPr>
          <w:rFonts w:eastAsia="Arial" w:cs="Arial"/>
          <w:color w:val="000000"/>
        </w:rPr>
        <w:t>MOU</w:t>
      </w:r>
      <w:r w:rsidR="00220188">
        <w:rPr>
          <w:rFonts w:eastAsia="Arial" w:cs="Arial"/>
          <w:color w:val="000000"/>
        </w:rPr>
        <w:t>)</w:t>
      </w:r>
      <w:r w:rsidR="00E5519D" w:rsidRPr="008D4BCC">
        <w:rPr>
          <w:rFonts w:eastAsia="Arial" w:cs="Arial"/>
          <w:color w:val="000000"/>
        </w:rPr>
        <w:t xml:space="preserve"> between the SBE and ECA, changes to the charter petition deemed to be material revisions may not be made without SBE approval. Amendments to the charter petition considered to be material changes include, but are not limited to, "any action taken on the part of the School which will result in a significant shift in pupil population to or from a site.”</w:t>
      </w:r>
    </w:p>
    <w:p w14:paraId="03C1213E" w14:textId="651E8FE9" w:rsidR="00E5519D" w:rsidRPr="008D4BCC" w:rsidRDefault="00E5519D" w:rsidP="00E5519D">
      <w:pPr>
        <w:ind w:right="14"/>
        <w:rPr>
          <w:rFonts w:eastAsia="Arial" w:cs="Arial"/>
          <w:color w:val="000000"/>
        </w:rPr>
      </w:pPr>
      <w:r w:rsidRPr="008D4BCC">
        <w:rPr>
          <w:rFonts w:eastAsia="Arial" w:cs="Arial"/>
          <w:color w:val="000000"/>
        </w:rPr>
        <w:t>The fourth condition of approval by the SBE of ECA’s charter required ECA’s school facilities to be “completed and ready for the CDE inspection on or before May 28, 2021</w:t>
      </w:r>
      <w:r w:rsidR="003B0BC3">
        <w:rPr>
          <w:rFonts w:eastAsia="Arial" w:cs="Arial"/>
          <w:color w:val="000000"/>
        </w:rPr>
        <w:t>.</w:t>
      </w:r>
      <w:r w:rsidRPr="008D4BCC">
        <w:rPr>
          <w:rFonts w:eastAsia="Arial" w:cs="Arial"/>
          <w:color w:val="000000"/>
        </w:rPr>
        <w:t>” Based on ECA’s reporting to the CDE, ECA has failed to open a facility as a classroom-based charter school by the SBE-approved date or before the start of the 2021–22 school year on September 7, 2021, and in accordance with the charter approved by the SBE.</w:t>
      </w:r>
    </w:p>
    <w:p w14:paraId="23250005" w14:textId="77777777" w:rsidR="00E5519D" w:rsidRPr="008D4BCC" w:rsidRDefault="00E5519D" w:rsidP="00E5519D">
      <w:pPr>
        <w:autoSpaceDE w:val="0"/>
        <w:autoSpaceDN w:val="0"/>
        <w:adjustRightInd w:val="0"/>
        <w:rPr>
          <w:rFonts w:cs="Arial"/>
          <w:color w:val="000000"/>
        </w:rPr>
      </w:pPr>
      <w:r w:rsidRPr="008D4BCC">
        <w:rPr>
          <w:rFonts w:cs="Arial"/>
          <w:color w:val="000000"/>
        </w:rPr>
        <w:t>On December 6, 2021, ECA informed the CDE that the school had obtained a short-term lease at a temporary facility. Per Section 4.3 of the MOU, ECA may not commence operations in the facility without written approval from the CDE</w:t>
      </w:r>
      <w:r w:rsidR="00AA46E3" w:rsidRPr="008D4BCC">
        <w:rPr>
          <w:rFonts w:cs="Arial"/>
          <w:color w:val="000000"/>
        </w:rPr>
        <w:t xml:space="preserve">. </w:t>
      </w:r>
      <w:r w:rsidRPr="008D4BCC">
        <w:rPr>
          <w:rFonts w:cs="Arial"/>
          <w:color w:val="000000"/>
        </w:rPr>
        <w:t>The CDE visited and inspected the facility on December 16, 2021, to ensure that it is safe for occupancy and meets all pertinent regulations. Upon its completion of the site visit, the CDE found the facility noncompliant based on the following findings:</w:t>
      </w:r>
    </w:p>
    <w:p w14:paraId="5D7E9801" w14:textId="77777777" w:rsidR="00E5519D" w:rsidRPr="008D4BCC" w:rsidRDefault="00E5519D" w:rsidP="00E5519D">
      <w:pPr>
        <w:numPr>
          <w:ilvl w:val="0"/>
          <w:numId w:val="17"/>
        </w:numPr>
        <w:autoSpaceDE w:val="0"/>
        <w:autoSpaceDN w:val="0"/>
        <w:adjustRightInd w:val="0"/>
        <w:spacing w:before="0"/>
        <w:rPr>
          <w:rFonts w:cs="Arial"/>
          <w:color w:val="000000"/>
        </w:rPr>
      </w:pPr>
      <w:r w:rsidRPr="008D4BCC">
        <w:rPr>
          <w:rFonts w:cs="Arial"/>
          <w:color w:val="000000"/>
        </w:rPr>
        <w:t>The facility currently has a person who is renting a room and residing on the property.</w:t>
      </w:r>
    </w:p>
    <w:p w14:paraId="5C9A568C" w14:textId="77777777" w:rsidR="00E5519D" w:rsidRPr="008D4BCC" w:rsidRDefault="00E5519D" w:rsidP="00E5519D">
      <w:pPr>
        <w:numPr>
          <w:ilvl w:val="0"/>
          <w:numId w:val="17"/>
        </w:numPr>
        <w:autoSpaceDE w:val="0"/>
        <w:autoSpaceDN w:val="0"/>
        <w:adjustRightInd w:val="0"/>
        <w:spacing w:before="0"/>
        <w:rPr>
          <w:rFonts w:cs="Arial"/>
          <w:color w:val="000000"/>
        </w:rPr>
      </w:pPr>
      <w:r w:rsidRPr="008D4BCC">
        <w:rPr>
          <w:rFonts w:cs="Arial"/>
          <w:color w:val="000000"/>
        </w:rPr>
        <w:t>The facility lacks a fire marshal inspection.</w:t>
      </w:r>
    </w:p>
    <w:p w14:paraId="27F72030" w14:textId="77777777" w:rsidR="00E5519D" w:rsidRPr="008D4BCC" w:rsidRDefault="00E5519D" w:rsidP="00E5519D">
      <w:pPr>
        <w:numPr>
          <w:ilvl w:val="0"/>
          <w:numId w:val="17"/>
        </w:numPr>
        <w:autoSpaceDE w:val="0"/>
        <w:autoSpaceDN w:val="0"/>
        <w:adjustRightInd w:val="0"/>
        <w:spacing w:before="0"/>
        <w:rPr>
          <w:rFonts w:cs="Arial"/>
          <w:color w:val="000000"/>
        </w:rPr>
      </w:pPr>
      <w:r w:rsidRPr="008D4BCC">
        <w:rPr>
          <w:rFonts w:cs="Arial"/>
          <w:color w:val="000000"/>
        </w:rPr>
        <w:t>The facility lacks an Educational Group E occupancy permit, as required by the MOU and the State Fire Marshal.</w:t>
      </w:r>
    </w:p>
    <w:p w14:paraId="4E9A976C" w14:textId="77777777" w:rsidR="00E5519D" w:rsidRPr="008D4BCC" w:rsidRDefault="00E5519D" w:rsidP="00E5519D">
      <w:pPr>
        <w:numPr>
          <w:ilvl w:val="0"/>
          <w:numId w:val="17"/>
        </w:numPr>
        <w:autoSpaceDE w:val="0"/>
        <w:autoSpaceDN w:val="0"/>
        <w:adjustRightInd w:val="0"/>
        <w:spacing w:before="0"/>
        <w:rPr>
          <w:rFonts w:cs="Arial"/>
          <w:color w:val="000000"/>
        </w:rPr>
      </w:pPr>
      <w:r w:rsidRPr="008D4BCC">
        <w:rPr>
          <w:rFonts w:cs="Arial"/>
          <w:color w:val="000000"/>
        </w:rPr>
        <w:t>The facility is not compliant with the Americans with Disabilities Act Standards for Accessible Design.</w:t>
      </w:r>
    </w:p>
    <w:p w14:paraId="43CDD598" w14:textId="10DE0F7C" w:rsidR="009820C8" w:rsidRPr="008D4BCC" w:rsidRDefault="00E5519D" w:rsidP="009820C8">
      <w:pPr>
        <w:pStyle w:val="ListParagraph"/>
        <w:numPr>
          <w:ilvl w:val="0"/>
          <w:numId w:val="17"/>
        </w:numPr>
        <w:spacing w:before="0" w:after="0"/>
        <w:contextualSpacing/>
      </w:pPr>
      <w:r w:rsidRPr="008D4BCC">
        <w:lastRenderedPageBreak/>
        <w:t>Several other findings listed on the Pre-Opening Site Inspection Checklist</w:t>
      </w:r>
      <w:r w:rsidR="009820C8" w:rsidRPr="008D4BCC">
        <w:t>.</w:t>
      </w:r>
    </w:p>
    <w:p w14:paraId="7BFA3E62" w14:textId="77777777" w:rsidR="009B39B1" w:rsidRPr="008D4BCC" w:rsidRDefault="009B39B1" w:rsidP="009B39B1">
      <w:pPr>
        <w:pStyle w:val="Heading4"/>
      </w:pPr>
      <w:r w:rsidRPr="008D4BCC">
        <w:t>ECA’s Response to Failure to Acquire Appropriate Facilities Prior to the Start of FY 2021–22</w:t>
      </w:r>
    </w:p>
    <w:p w14:paraId="15C03377" w14:textId="1152C45C" w:rsidR="00D0277C" w:rsidRPr="008D4BCC" w:rsidRDefault="007E1029" w:rsidP="00D0277C">
      <w:pPr>
        <w:rPr>
          <w:rFonts w:eastAsia="Calibri"/>
        </w:rPr>
      </w:pPr>
      <w:r w:rsidRPr="008D4BCC">
        <w:rPr>
          <w:rFonts w:eastAsia="Calibri"/>
        </w:rPr>
        <w:t>According to ECA</w:t>
      </w:r>
      <w:r w:rsidR="006C7FEB">
        <w:rPr>
          <w:rFonts w:eastAsia="Calibri"/>
        </w:rPr>
        <w:t>’s</w:t>
      </w:r>
      <w:r w:rsidRPr="008D4BCC">
        <w:rPr>
          <w:rFonts w:eastAsia="Calibri"/>
        </w:rPr>
        <w:t xml:space="preserve"> response to the Notice of Violation issued by the SBE, dated </w:t>
      </w:r>
      <w:r w:rsidRPr="00893113">
        <w:rPr>
          <w:rFonts w:eastAsia="Calibri"/>
        </w:rPr>
        <w:t xml:space="preserve">January 26, 2022, ECA asserts that </w:t>
      </w:r>
      <w:r w:rsidR="00F66181" w:rsidRPr="00893113">
        <w:rPr>
          <w:rFonts w:eastAsia="Calibri"/>
        </w:rPr>
        <w:t>it</w:t>
      </w:r>
      <w:r w:rsidRPr="00893113">
        <w:rPr>
          <w:rFonts w:eastAsia="Calibri"/>
        </w:rPr>
        <w:t xml:space="preserve"> has not </w:t>
      </w:r>
      <w:r w:rsidR="007C1F1A" w:rsidRPr="00893113">
        <w:rPr>
          <w:rFonts w:eastAsia="Calibri"/>
        </w:rPr>
        <w:t xml:space="preserve">materially revised the charter petition since it has not </w:t>
      </w:r>
      <w:r w:rsidRPr="00893113">
        <w:rPr>
          <w:rFonts w:eastAsia="Calibri"/>
        </w:rPr>
        <w:t xml:space="preserve">conducted any actions that have resulted in a shift in pupil population to or from a site </w:t>
      </w:r>
      <w:r w:rsidR="00521F29" w:rsidRPr="00893113">
        <w:rPr>
          <w:rFonts w:eastAsia="Calibri"/>
        </w:rPr>
        <w:t>and</w:t>
      </w:r>
      <w:r w:rsidRPr="00893113">
        <w:rPr>
          <w:rFonts w:eastAsia="Calibri"/>
        </w:rPr>
        <w:t xml:space="preserve"> the school</w:t>
      </w:r>
      <w:r w:rsidRPr="008D4BCC">
        <w:rPr>
          <w:rFonts w:eastAsia="Calibri"/>
        </w:rPr>
        <w:t xml:space="preserve"> has not yet had a school site. ECA has experienced difficulty in securing and preparing a facility suitable for instruction of students and claims local agencies have intentionally obstructed ECA’s efforts. ECA claims that all areas of facility noncompliance found in the CDE’s facility inspection report either have been remedied, were already compliant when </w:t>
      </w:r>
      <w:r w:rsidR="00220188">
        <w:rPr>
          <w:rFonts w:eastAsia="Calibri"/>
        </w:rPr>
        <w:t xml:space="preserve">the </w:t>
      </w:r>
      <w:r w:rsidRPr="008D4BCC">
        <w:rPr>
          <w:rFonts w:eastAsia="Calibri"/>
        </w:rPr>
        <w:t>CDE inspected</w:t>
      </w:r>
      <w:r w:rsidR="00220188">
        <w:rPr>
          <w:rFonts w:eastAsia="Calibri"/>
        </w:rPr>
        <w:t xml:space="preserve"> the facility</w:t>
      </w:r>
      <w:r w:rsidRPr="008D4BCC">
        <w:rPr>
          <w:rFonts w:eastAsia="Calibri"/>
        </w:rPr>
        <w:t xml:space="preserve">, or no longer apply </w:t>
      </w:r>
      <w:r w:rsidR="00981ADC" w:rsidRPr="008D4BCC">
        <w:rPr>
          <w:rFonts w:eastAsia="Calibri"/>
        </w:rPr>
        <w:t xml:space="preserve">because ECA now proposes to hold class in </w:t>
      </w:r>
      <w:r w:rsidR="00F1596B">
        <w:rPr>
          <w:rFonts w:eastAsia="Calibri"/>
        </w:rPr>
        <w:t xml:space="preserve">the church sanctuary, which is a different building </w:t>
      </w:r>
      <w:r w:rsidR="007C1F1A">
        <w:rPr>
          <w:rFonts w:eastAsia="Calibri"/>
        </w:rPr>
        <w:t xml:space="preserve">located on the same property </w:t>
      </w:r>
      <w:r w:rsidR="00F1596B">
        <w:rPr>
          <w:rFonts w:eastAsia="Calibri"/>
        </w:rPr>
        <w:t>of the leased site</w:t>
      </w:r>
      <w:r w:rsidR="00981ADC" w:rsidRPr="008D4BCC">
        <w:rPr>
          <w:rFonts w:eastAsia="Calibri"/>
        </w:rPr>
        <w:t>.</w:t>
      </w:r>
    </w:p>
    <w:p w14:paraId="68022257" w14:textId="77777777" w:rsidR="009B39B1" w:rsidRPr="008D4BCC" w:rsidRDefault="009B39B1" w:rsidP="009B39B1">
      <w:pPr>
        <w:pStyle w:val="Heading4"/>
      </w:pPr>
      <w:r w:rsidRPr="008D4BCC">
        <w:t>CDE’s Response to ECA’s Response to Failure to Acquire Appropriate Facilities Prior to the Start of FY 2021–22</w:t>
      </w:r>
    </w:p>
    <w:p w14:paraId="6164AA59" w14:textId="09AEF7B2" w:rsidR="007E1029" w:rsidRPr="008D4BCC" w:rsidRDefault="003001D3" w:rsidP="007E1029">
      <w:pPr>
        <w:rPr>
          <w:rFonts w:eastAsia="Calibri" w:cs="Arial"/>
        </w:rPr>
      </w:pPr>
      <w:r w:rsidRPr="008D4BCC">
        <w:rPr>
          <w:rFonts w:eastAsia="Calibri" w:cs="Arial"/>
        </w:rPr>
        <w:t>ECA fail</w:t>
      </w:r>
      <w:r w:rsidR="004A4E8A" w:rsidRPr="008D4BCC">
        <w:rPr>
          <w:rFonts w:eastAsia="Calibri" w:cs="Arial"/>
        </w:rPr>
        <w:t>ed</w:t>
      </w:r>
      <w:r w:rsidRPr="008D4BCC">
        <w:rPr>
          <w:rFonts w:eastAsia="Calibri" w:cs="Arial"/>
        </w:rPr>
        <w:t xml:space="preserve"> to obtain a suitable school site</w:t>
      </w:r>
      <w:r w:rsidR="00A30C32" w:rsidRPr="008D4BCC">
        <w:rPr>
          <w:rFonts w:eastAsia="Calibri" w:cs="Arial"/>
        </w:rPr>
        <w:t xml:space="preserve"> </w:t>
      </w:r>
      <w:r w:rsidR="004A4E8A" w:rsidRPr="008D4BCC">
        <w:rPr>
          <w:rFonts w:eastAsia="Calibri" w:cs="Arial"/>
        </w:rPr>
        <w:t xml:space="preserve">as </w:t>
      </w:r>
      <w:r w:rsidRPr="008D4BCC">
        <w:rPr>
          <w:rFonts w:eastAsia="Calibri" w:cs="Arial"/>
        </w:rPr>
        <w:t xml:space="preserve">proposed in its charter as approved by the SBE. </w:t>
      </w:r>
      <w:r w:rsidR="00D0277C" w:rsidRPr="008D4BCC">
        <w:rPr>
          <w:rFonts w:eastAsia="Calibri" w:cs="Arial"/>
        </w:rPr>
        <w:t xml:space="preserve">The </w:t>
      </w:r>
      <w:r w:rsidR="007E1029" w:rsidRPr="008D4BCC">
        <w:rPr>
          <w:rFonts w:eastAsia="Calibri" w:cs="Arial"/>
        </w:rPr>
        <w:t>CDE acknowledges ECA’s difficulties and efforts in obtaining a facility. However, ECA’s charter was approved by SBE on July 8, 2020</w:t>
      </w:r>
      <w:r w:rsidR="007C1F1A">
        <w:rPr>
          <w:rFonts w:eastAsia="Calibri" w:cs="Arial"/>
        </w:rPr>
        <w:t>, with a delayed opening until</w:t>
      </w:r>
      <w:r w:rsidR="007E1029" w:rsidRPr="008D4BCC">
        <w:rPr>
          <w:rFonts w:eastAsia="Calibri" w:cs="Arial"/>
        </w:rPr>
        <w:t xml:space="preserve"> September 2021</w:t>
      </w:r>
      <w:r w:rsidR="00E002E9">
        <w:rPr>
          <w:rFonts w:eastAsia="Calibri" w:cs="Arial"/>
        </w:rPr>
        <w:t xml:space="preserve"> as an acknowledgement that additional time would be helpful during the pandemic</w:t>
      </w:r>
      <w:r w:rsidR="007E1029" w:rsidRPr="008D4BCC">
        <w:rPr>
          <w:rFonts w:eastAsia="Calibri" w:cs="Arial"/>
        </w:rPr>
        <w:t xml:space="preserve">. </w:t>
      </w:r>
      <w:r w:rsidR="00E002E9">
        <w:rPr>
          <w:rFonts w:eastAsia="Calibri" w:cs="Arial"/>
        </w:rPr>
        <w:t xml:space="preserve">Therefore, </w:t>
      </w:r>
      <w:r w:rsidR="007E1029" w:rsidRPr="008D4BCC">
        <w:rPr>
          <w:rFonts w:eastAsia="Calibri" w:cs="Arial"/>
        </w:rPr>
        <w:t>ECA had 14 months to resolve any facility issues. Additionally, ECA’s timeline in Exhibit C of ECA’s response to the Notice of Violation includes a large gap from July 8, 2020, to February 5, 2021, during which time ECA’s response does not report any action taken toward obtaining a facility.</w:t>
      </w:r>
    </w:p>
    <w:p w14:paraId="4B6B7069" w14:textId="1D87DA92" w:rsidR="00220188" w:rsidRDefault="00BD1384">
      <w:r w:rsidRPr="008D4BCC">
        <w:t xml:space="preserve">Even though some </w:t>
      </w:r>
      <w:r w:rsidR="00D0277C" w:rsidRPr="008D4BCC">
        <w:rPr>
          <w:rFonts w:eastAsia="Calibri" w:cs="Arial"/>
        </w:rPr>
        <w:t xml:space="preserve">of the </w:t>
      </w:r>
      <w:r w:rsidR="007E1029" w:rsidRPr="008D4BCC">
        <w:rPr>
          <w:rFonts w:eastAsia="Calibri" w:cs="Arial"/>
        </w:rPr>
        <w:t>CDE</w:t>
      </w:r>
      <w:r w:rsidR="00D0277C" w:rsidRPr="008D4BCC">
        <w:rPr>
          <w:rFonts w:eastAsia="Calibri" w:cs="Arial"/>
        </w:rPr>
        <w:t>’s</w:t>
      </w:r>
      <w:r w:rsidR="007E1029" w:rsidRPr="008D4BCC">
        <w:rPr>
          <w:rFonts w:eastAsia="Calibri" w:cs="Arial"/>
        </w:rPr>
        <w:t xml:space="preserve"> findings from the facility inspection on December 16, 202</w:t>
      </w:r>
      <w:r w:rsidR="004A4E8A" w:rsidRPr="008D4BCC">
        <w:rPr>
          <w:rFonts w:eastAsia="Calibri" w:cs="Arial"/>
        </w:rPr>
        <w:t>1</w:t>
      </w:r>
      <w:r w:rsidR="007E1029" w:rsidRPr="008D4BCC">
        <w:rPr>
          <w:rFonts w:eastAsia="Calibri" w:cs="Arial"/>
        </w:rPr>
        <w:t xml:space="preserve">, no longer apply </w:t>
      </w:r>
      <w:r w:rsidRPr="008D4BCC">
        <w:t xml:space="preserve">due to ECA amending its lease to locate the school in </w:t>
      </w:r>
      <w:r w:rsidR="00A14877">
        <w:t xml:space="preserve">a </w:t>
      </w:r>
      <w:r w:rsidRPr="008D4BCC">
        <w:t xml:space="preserve">different building </w:t>
      </w:r>
      <w:r w:rsidR="00E002E9">
        <w:t xml:space="preserve">on </w:t>
      </w:r>
      <w:r w:rsidRPr="008D4BCC">
        <w:t xml:space="preserve">the leased site, the CDE still has concerns with the proposed site. </w:t>
      </w:r>
      <w:r w:rsidR="00D11A1D" w:rsidRPr="00E47911">
        <w:rPr>
          <w:rFonts w:eastAsia="Calibri" w:cs="Arial"/>
        </w:rPr>
        <w:t>E</w:t>
      </w:r>
      <w:r w:rsidRPr="008D4BCC">
        <w:rPr>
          <w:rFonts w:eastAsia="Calibri"/>
        </w:rPr>
        <w:t xml:space="preserve">CA’s </w:t>
      </w:r>
      <w:r w:rsidR="00CB6738">
        <w:rPr>
          <w:rFonts w:eastAsia="Calibri"/>
        </w:rPr>
        <w:t>occupation of a</w:t>
      </w:r>
      <w:r w:rsidR="00E002E9">
        <w:rPr>
          <w:rFonts w:eastAsia="Calibri"/>
        </w:rPr>
        <w:t xml:space="preserve"> different </w:t>
      </w:r>
      <w:r w:rsidRPr="008D4BCC">
        <w:rPr>
          <w:rFonts w:eastAsia="Calibri"/>
        </w:rPr>
        <w:t>building on the same property</w:t>
      </w:r>
      <w:r w:rsidRPr="008D4BCC" w:rsidDel="00A5680C">
        <w:rPr>
          <w:rFonts w:eastAsia="Calibri"/>
        </w:rPr>
        <w:t xml:space="preserve"> </w:t>
      </w:r>
      <w:r w:rsidRPr="008D4BCC">
        <w:rPr>
          <w:rFonts w:eastAsia="Calibri"/>
        </w:rPr>
        <w:t xml:space="preserve">does not remedy </w:t>
      </w:r>
      <w:r w:rsidR="00220188">
        <w:rPr>
          <w:rFonts w:eastAsia="Calibri"/>
        </w:rPr>
        <w:t xml:space="preserve">the </w:t>
      </w:r>
      <w:r w:rsidRPr="008D4BCC">
        <w:rPr>
          <w:rFonts w:eastAsia="Calibri"/>
        </w:rPr>
        <w:t>CDE’s findings of noncompliance regarding the resident at the facility, inadequate access from and dispersal to roads, inadequate parking, and inadequate space for safe student drop-off and pickup.</w:t>
      </w:r>
      <w:r w:rsidRPr="008D4BCC">
        <w:t xml:space="preserve"> </w:t>
      </w:r>
      <w:r w:rsidR="00E47911">
        <w:t xml:space="preserve">As the </w:t>
      </w:r>
      <w:r w:rsidRPr="008D4BCC">
        <w:t>CDE was informed of the proposed changes via email on January 24, 2022</w:t>
      </w:r>
      <w:r w:rsidR="00E47911">
        <w:t xml:space="preserve">, the </w:t>
      </w:r>
      <w:r w:rsidRPr="008D4BCC">
        <w:t xml:space="preserve">CDE </w:t>
      </w:r>
      <w:r w:rsidR="00212CCC">
        <w:t xml:space="preserve">expedited </w:t>
      </w:r>
      <w:r w:rsidRPr="008D4BCC">
        <w:t xml:space="preserve">a second </w:t>
      </w:r>
      <w:r w:rsidR="00F1596B">
        <w:t xml:space="preserve">visit to inspect the newly-proposed facility </w:t>
      </w:r>
      <w:r w:rsidRPr="008D4BCC">
        <w:t>on</w:t>
      </w:r>
      <w:r w:rsidR="00E32266" w:rsidRPr="008D4BCC">
        <w:t xml:space="preserve"> February 10, 2022.</w:t>
      </w:r>
      <w:r w:rsidR="00212CCC">
        <w:t xml:space="preserve"> </w:t>
      </w:r>
    </w:p>
    <w:p w14:paraId="37BD637C" w14:textId="58518BC2" w:rsidR="00E47911" w:rsidRDefault="004B3F25">
      <w:pPr>
        <w:rPr>
          <w:rFonts w:eastAsia="Calibri"/>
        </w:rPr>
      </w:pPr>
      <w:r w:rsidRPr="008D4BCC">
        <w:rPr>
          <w:rFonts w:eastAsia="Calibri"/>
        </w:rPr>
        <w:t>Based on the CDE's analysis of ECA's response to the Notice of Violation, the CDE finds that ECA has not refuted, remedied, or proposed to remedy this violation.</w:t>
      </w:r>
    </w:p>
    <w:p w14:paraId="4A5983A7" w14:textId="47BFAAC3" w:rsidR="00E5519D" w:rsidRPr="008D4BCC" w:rsidRDefault="00E5519D" w:rsidP="000412D3">
      <w:pPr>
        <w:pStyle w:val="Heading4"/>
      </w:pPr>
      <w:bookmarkStart w:id="6" w:name="_Hlk91050830"/>
      <w:r w:rsidRPr="008D4BCC">
        <w:t>Change to Nonclassroom-Based Educational Program</w:t>
      </w:r>
    </w:p>
    <w:p w14:paraId="671C745C" w14:textId="5AFD7007" w:rsidR="00E5519D" w:rsidRPr="008D4BCC" w:rsidRDefault="004C1C0A" w:rsidP="00E5519D">
      <w:pPr>
        <w:autoSpaceDE w:val="0"/>
        <w:autoSpaceDN w:val="0"/>
        <w:adjustRightInd w:val="0"/>
        <w:rPr>
          <w:rFonts w:cs="Arial"/>
          <w:color w:val="000000"/>
        </w:rPr>
      </w:pPr>
      <w:bookmarkStart w:id="7" w:name="_Hlk90902031"/>
      <w:bookmarkEnd w:id="6"/>
      <w:r w:rsidRPr="008D4BCC">
        <w:rPr>
          <w:rFonts w:eastAsia="Arial" w:cs="Arial"/>
          <w:color w:val="000000"/>
        </w:rPr>
        <w:t xml:space="preserve">As stated in the Notice of Violation that was issued by the SBE to ECA on January 12, 2022, </w:t>
      </w:r>
      <w:r w:rsidRPr="008D4BCC">
        <w:rPr>
          <w:rFonts w:cs="Arial"/>
          <w:color w:val="000000"/>
        </w:rPr>
        <w:t>p</w:t>
      </w:r>
      <w:r w:rsidR="00E5519D" w:rsidRPr="008D4BCC">
        <w:rPr>
          <w:rFonts w:cs="Arial"/>
          <w:color w:val="000000"/>
        </w:rPr>
        <w:t>er Section 4.2 of the MOU between the SBE and ECA, changes to the charter petition deemed to be material revisions may not be made without SBE approval. Amendments to the charter petition considered to be material changes include, but are not limited to, “substantial changes to the educational program including the addition or deletion of an educational program, mission, or vision.”</w:t>
      </w:r>
    </w:p>
    <w:p w14:paraId="49A8CD54" w14:textId="32BE45A6" w:rsidR="00E5519D" w:rsidRPr="008D4BCC" w:rsidRDefault="00E5519D" w:rsidP="00E5519D">
      <w:pPr>
        <w:ind w:right="14"/>
        <w:rPr>
          <w:rFonts w:eastAsia="Arial" w:cs="Arial"/>
          <w:color w:val="000000"/>
        </w:rPr>
      </w:pPr>
      <w:r w:rsidRPr="008D4BCC">
        <w:rPr>
          <w:rFonts w:eastAsia="Arial" w:cs="Arial"/>
          <w:color w:val="000000"/>
        </w:rPr>
        <w:lastRenderedPageBreak/>
        <w:t>ECA’s charter petition, as approved by the SBE, outlines a classroom-based International Baccalaureate educational program; it does not include a 100 percent nonclassroom-based program. ECA has reported to the CDE that its students are receiving online instruction only</w:t>
      </w:r>
      <w:r w:rsidR="00E002E9">
        <w:rPr>
          <w:rFonts w:eastAsia="Arial" w:cs="Arial"/>
          <w:color w:val="000000"/>
        </w:rPr>
        <w:t xml:space="preserve"> via independent study</w:t>
      </w:r>
      <w:r w:rsidRPr="008D4BCC">
        <w:rPr>
          <w:rFonts w:eastAsia="Arial" w:cs="Arial"/>
          <w:color w:val="000000"/>
        </w:rPr>
        <w:t xml:space="preserve">. The approved charter petition does not outline an educational program consisting solely of </w:t>
      </w:r>
      <w:r w:rsidR="00E002E9">
        <w:rPr>
          <w:rFonts w:eastAsia="Arial" w:cs="Arial"/>
          <w:color w:val="000000"/>
        </w:rPr>
        <w:t>independent study</w:t>
      </w:r>
      <w:r w:rsidR="00CB6738">
        <w:rPr>
          <w:rFonts w:eastAsia="Arial" w:cs="Arial"/>
          <w:color w:val="000000"/>
        </w:rPr>
        <w:t>.</w:t>
      </w:r>
    </w:p>
    <w:p w14:paraId="62FA7495" w14:textId="4882BF9B" w:rsidR="00B02150" w:rsidRPr="008D4BCC" w:rsidRDefault="00C44931" w:rsidP="00B02150">
      <w:pPr>
        <w:pStyle w:val="Heading4"/>
        <w:rPr>
          <w:rFonts w:eastAsia="Arial"/>
        </w:rPr>
      </w:pPr>
      <w:r w:rsidRPr="008D4BCC">
        <w:rPr>
          <w:rFonts w:eastAsia="Arial"/>
        </w:rPr>
        <w:t>ECA’s Response to Change to Nonclassroom-Based Educational Program</w:t>
      </w:r>
    </w:p>
    <w:p w14:paraId="13FB3F86" w14:textId="428299AD" w:rsidR="00A2541C" w:rsidRDefault="00590F72" w:rsidP="00590F72">
      <w:pPr>
        <w:ind w:right="14"/>
        <w:rPr>
          <w:rFonts w:eastAsia="Calibri" w:cs="Arial"/>
        </w:rPr>
      </w:pPr>
      <w:r w:rsidRPr="008D4BCC">
        <w:rPr>
          <w:rFonts w:eastAsia="Calibri" w:cs="Arial"/>
        </w:rPr>
        <w:t>According to ECA</w:t>
      </w:r>
      <w:r w:rsidR="00CB666C" w:rsidRPr="008D4BCC">
        <w:rPr>
          <w:rFonts w:eastAsia="Calibri" w:cs="Arial"/>
        </w:rPr>
        <w:t>’s</w:t>
      </w:r>
      <w:r w:rsidRPr="008D4BCC">
        <w:rPr>
          <w:rFonts w:eastAsia="Calibri" w:cs="Arial"/>
        </w:rPr>
        <w:t xml:space="preserve"> response to the Notice of Violation issued by the SBE, dated January 26, 2022, ECA’s curriculum has not changed </w:t>
      </w:r>
      <w:r w:rsidR="00746F53" w:rsidRPr="008D4BCC">
        <w:rPr>
          <w:rFonts w:eastAsia="Calibri" w:cs="Arial"/>
        </w:rPr>
        <w:t xml:space="preserve">since its approval by the SBE </w:t>
      </w:r>
      <w:r w:rsidRPr="008D4BCC">
        <w:rPr>
          <w:rFonts w:eastAsia="Calibri" w:cs="Arial"/>
        </w:rPr>
        <w:t xml:space="preserve">and satisfies all requirements of the International Baccalaureate program. </w:t>
      </w:r>
      <w:r w:rsidR="00746F53" w:rsidRPr="008D4BCC">
        <w:rPr>
          <w:rFonts w:eastAsia="Calibri" w:cs="Arial"/>
        </w:rPr>
        <w:t xml:space="preserve">In its response, ECA stated that it has </w:t>
      </w:r>
      <w:r w:rsidRPr="008D4BCC">
        <w:rPr>
          <w:rFonts w:eastAsia="Calibri" w:cs="Arial"/>
        </w:rPr>
        <w:t>been forced to conduct instruction virtually due to the challenges in obtaining a facility.</w:t>
      </w:r>
    </w:p>
    <w:p w14:paraId="7EB11C91" w14:textId="274E6B0C" w:rsidR="00B02150" w:rsidRPr="008D4BCC" w:rsidRDefault="00C44931" w:rsidP="00B02150">
      <w:pPr>
        <w:pStyle w:val="Heading4"/>
        <w:rPr>
          <w:rFonts w:eastAsia="Arial"/>
        </w:rPr>
      </w:pPr>
      <w:r w:rsidRPr="008D4BCC">
        <w:rPr>
          <w:rFonts w:eastAsia="Calibri" w:cs="Arial"/>
        </w:rPr>
        <w:t xml:space="preserve">CDE’s Response to </w:t>
      </w:r>
      <w:r w:rsidRPr="008D4BCC">
        <w:rPr>
          <w:rFonts w:eastAsia="Arial"/>
        </w:rPr>
        <w:t>ECA’s Response to Change to Nonclassroom-Based Educational Program</w:t>
      </w:r>
    </w:p>
    <w:p w14:paraId="22136F1E" w14:textId="08D3DAEE" w:rsidR="00277C39" w:rsidRDefault="00F533CE" w:rsidP="00F533CE">
      <w:pPr>
        <w:rPr>
          <w:rFonts w:eastAsia="Calibri" w:cs="Arial"/>
        </w:rPr>
      </w:pPr>
      <w:r w:rsidRPr="008D4BCC">
        <w:rPr>
          <w:rFonts w:eastAsia="Calibri" w:cs="Arial"/>
        </w:rPr>
        <w:t>While ECA claims to deliver virtual educational content that is identical to the content ECA would be delivering in person, the fact remains that ECA is delivering a virtual education</w:t>
      </w:r>
      <w:r w:rsidR="00703B6D">
        <w:rPr>
          <w:rFonts w:eastAsia="Calibri" w:cs="Arial"/>
        </w:rPr>
        <w:t>/independent study</w:t>
      </w:r>
      <w:r w:rsidRPr="008D4BCC">
        <w:rPr>
          <w:rFonts w:eastAsia="Calibri" w:cs="Arial"/>
        </w:rPr>
        <w:t xml:space="preserve"> program rather than the </w:t>
      </w:r>
      <w:r w:rsidR="00E31350" w:rsidRPr="008D4BCC">
        <w:rPr>
          <w:rFonts w:eastAsia="Calibri" w:cs="Arial"/>
        </w:rPr>
        <w:t>classroom-based</w:t>
      </w:r>
      <w:r w:rsidRPr="008D4BCC">
        <w:rPr>
          <w:rFonts w:eastAsia="Calibri" w:cs="Arial"/>
        </w:rPr>
        <w:t xml:space="preserve"> educational program approved in its charter. ECA will not be able to deliver the educational program approved in its charter without an appropriate facility.</w:t>
      </w:r>
    </w:p>
    <w:p w14:paraId="5AEA6C49" w14:textId="6E491242" w:rsidR="007D4577" w:rsidRPr="008D4BCC" w:rsidRDefault="007D4577" w:rsidP="00D01890">
      <w:pPr>
        <w:ind w:right="14"/>
        <w:rPr>
          <w:rFonts w:eastAsia="Calibri" w:cs="Arial"/>
        </w:rPr>
      </w:pPr>
      <w:r w:rsidRPr="008D4BCC">
        <w:rPr>
          <w:rFonts w:eastAsia="Calibri" w:cs="Arial"/>
          <w:color w:val="000000" w:themeColor="text1"/>
        </w:rPr>
        <w:t>Based on the CDE's analysis of ECA's response to the Notice of Violation, the CDE finds that ECA has not refuted, remedied, or proposed to remedy this violation.</w:t>
      </w:r>
    </w:p>
    <w:p w14:paraId="0D83D87C" w14:textId="77777777" w:rsidR="00E5519D" w:rsidRPr="008D4BCC" w:rsidRDefault="00E5519D" w:rsidP="000412D3">
      <w:pPr>
        <w:pStyle w:val="Heading4"/>
      </w:pPr>
      <w:r w:rsidRPr="008D4BCC">
        <w:t>Failure to Maintain Adequate Budget Reserves</w:t>
      </w:r>
    </w:p>
    <w:p w14:paraId="1614D608" w14:textId="139BB046" w:rsidR="00E02871" w:rsidRPr="008D4BCC" w:rsidRDefault="004C1C0A" w:rsidP="00E5519D">
      <w:r w:rsidRPr="008D4BCC">
        <w:rPr>
          <w:rFonts w:eastAsia="Arial" w:cs="Arial"/>
          <w:color w:val="000000"/>
        </w:rPr>
        <w:t>As stated in the Notice of Violation that was issued by the SBE to ECA on January 12, 2022</w:t>
      </w:r>
      <w:r w:rsidR="00876699" w:rsidRPr="008D4BCC">
        <w:rPr>
          <w:rFonts w:eastAsia="Arial" w:cs="Arial"/>
          <w:color w:val="000000"/>
        </w:rPr>
        <w:t xml:space="preserve">, </w:t>
      </w:r>
      <w:r w:rsidR="00876699" w:rsidRPr="008D4BCC">
        <w:t>p</w:t>
      </w:r>
      <w:r w:rsidR="00E5519D" w:rsidRPr="008D4BCC">
        <w:t xml:space="preserve">er Section 3.5 of </w:t>
      </w:r>
      <w:bookmarkStart w:id="8" w:name="_Hlk93586163"/>
      <w:r w:rsidR="00E5519D" w:rsidRPr="008D4BCC">
        <w:t>the MOU between the SBE and ECA</w:t>
      </w:r>
      <w:bookmarkEnd w:id="8"/>
      <w:r w:rsidR="00E5519D" w:rsidRPr="008D4BCC">
        <w:t>, ECA is expected to maintain reserves at 5 percent of expenditures or $71,000</w:t>
      </w:r>
      <w:r w:rsidR="00E02871" w:rsidRPr="008D4BCC">
        <w:t>.</w:t>
      </w:r>
    </w:p>
    <w:p w14:paraId="3863A13C" w14:textId="0FF1FC4C" w:rsidR="00E5519D" w:rsidRPr="008D4BCC" w:rsidRDefault="00E5519D" w:rsidP="00E5519D">
      <w:r w:rsidRPr="008D4BCC">
        <w:t>Due to the LCFF repayment and the discontinuance of PCSGP funding, the CDE projects ECA to have a negative ending fund balance of $1.2 million by June 2022.</w:t>
      </w:r>
      <w:bookmarkEnd w:id="7"/>
    </w:p>
    <w:p w14:paraId="2B35FA72" w14:textId="0138ABA7" w:rsidR="00D0277C" w:rsidRPr="008D4BCC" w:rsidRDefault="00C44931" w:rsidP="00D0277C">
      <w:pPr>
        <w:pStyle w:val="Heading4"/>
      </w:pPr>
      <w:r w:rsidRPr="008D4BCC">
        <w:t>ECA’s Response to Failure to Maintain Adequate Budget Reserves</w:t>
      </w:r>
    </w:p>
    <w:p w14:paraId="612D5AB4" w14:textId="45E1F72A" w:rsidR="00150DF8" w:rsidRPr="008D4BCC" w:rsidRDefault="008F6C82" w:rsidP="00E5519D">
      <w:pPr>
        <w:rPr>
          <w:rFonts w:eastAsia="Calibri" w:cs="Arial"/>
          <w:color w:val="000000" w:themeColor="text1"/>
        </w:rPr>
      </w:pPr>
      <w:r w:rsidRPr="008D4BCC">
        <w:rPr>
          <w:rFonts w:eastAsia="Calibri" w:cs="Arial"/>
          <w:color w:val="000000" w:themeColor="text1"/>
        </w:rPr>
        <w:t xml:space="preserve">According </w:t>
      </w:r>
      <w:r w:rsidR="00687338">
        <w:rPr>
          <w:rFonts w:eastAsia="Calibri" w:cs="Arial"/>
          <w:color w:val="000000" w:themeColor="text1"/>
        </w:rPr>
        <w:t xml:space="preserve">to </w:t>
      </w:r>
      <w:r w:rsidRPr="008D4BCC">
        <w:rPr>
          <w:rFonts w:eastAsia="Calibri" w:cs="Arial"/>
          <w:color w:val="000000" w:themeColor="text1"/>
        </w:rPr>
        <w:t>ECA</w:t>
      </w:r>
      <w:r w:rsidR="0066786E" w:rsidRPr="008D4BCC">
        <w:rPr>
          <w:rFonts w:eastAsia="Calibri" w:cs="Arial"/>
          <w:color w:val="000000" w:themeColor="text1"/>
        </w:rPr>
        <w:t>’s</w:t>
      </w:r>
      <w:r w:rsidRPr="008D4BCC">
        <w:rPr>
          <w:rFonts w:eastAsia="Calibri" w:cs="Arial"/>
          <w:color w:val="000000" w:themeColor="text1"/>
        </w:rPr>
        <w:t xml:space="preserve"> response to the Notice of Violation issued by the SBE, dated January 26, 2022, ECA’s revised budget now projects a negative ending fund balance of $302,842 for FY 2021</w:t>
      </w:r>
      <w:r w:rsidR="0010507B" w:rsidRPr="008D4BCC">
        <w:rPr>
          <w:rFonts w:eastAsia="Calibri" w:cs="Arial"/>
          <w:color w:val="000000" w:themeColor="text1"/>
        </w:rPr>
        <w:t>–</w:t>
      </w:r>
      <w:r w:rsidRPr="008D4BCC">
        <w:rPr>
          <w:rFonts w:eastAsia="Calibri" w:cs="Arial"/>
          <w:color w:val="000000" w:themeColor="text1"/>
        </w:rPr>
        <w:t>22 and a positive ending fund balance of $197,496 for FY 2022</w:t>
      </w:r>
      <w:r w:rsidR="0010507B" w:rsidRPr="008D4BCC">
        <w:rPr>
          <w:rFonts w:eastAsia="Calibri" w:cs="Arial"/>
          <w:color w:val="000000" w:themeColor="text1"/>
        </w:rPr>
        <w:t>–</w:t>
      </w:r>
      <w:r w:rsidRPr="008D4BCC">
        <w:rPr>
          <w:rFonts w:eastAsia="Calibri" w:cs="Arial"/>
          <w:color w:val="000000" w:themeColor="text1"/>
        </w:rPr>
        <w:t>23</w:t>
      </w:r>
      <w:r w:rsidR="0010507B" w:rsidRPr="008D4BCC">
        <w:rPr>
          <w:rFonts w:eastAsia="Calibri" w:cs="Arial"/>
          <w:color w:val="000000" w:themeColor="text1"/>
        </w:rPr>
        <w:t>.</w:t>
      </w:r>
    </w:p>
    <w:p w14:paraId="3F4171C0" w14:textId="6FF2F6CD" w:rsidR="00C44931" w:rsidRPr="008D4BCC" w:rsidRDefault="00C44931" w:rsidP="00C44931">
      <w:pPr>
        <w:pStyle w:val="Heading4"/>
      </w:pPr>
      <w:r w:rsidRPr="008D4BCC">
        <w:rPr>
          <w:rFonts w:eastAsia="Calibri" w:cs="Arial"/>
          <w:color w:val="000000" w:themeColor="text1"/>
        </w:rPr>
        <w:t xml:space="preserve">CDE’s Response to </w:t>
      </w:r>
      <w:r w:rsidRPr="008D4BCC">
        <w:t>ECA’s Response to Failure to Maintain Adequate Budget Reserves</w:t>
      </w:r>
    </w:p>
    <w:p w14:paraId="23FD986A" w14:textId="540DD4A2" w:rsidR="00E5519D" w:rsidRPr="008D4BCC" w:rsidRDefault="008F6C82" w:rsidP="00E5519D">
      <w:pPr>
        <w:rPr>
          <w:rFonts w:eastAsia="Calibri" w:cs="Arial"/>
          <w:color w:val="000000" w:themeColor="text1"/>
        </w:rPr>
      </w:pPr>
      <w:r w:rsidRPr="008D4BCC">
        <w:rPr>
          <w:rFonts w:eastAsia="Calibri" w:cs="Arial"/>
          <w:color w:val="000000" w:themeColor="text1"/>
        </w:rPr>
        <w:t xml:space="preserve">ECA’s own projections </w:t>
      </w:r>
      <w:r w:rsidR="00A37B85" w:rsidRPr="008D4BCC">
        <w:rPr>
          <w:rFonts w:eastAsia="Calibri" w:cs="Arial"/>
          <w:color w:val="000000" w:themeColor="text1"/>
        </w:rPr>
        <w:t xml:space="preserve">are </w:t>
      </w:r>
      <w:r w:rsidRPr="008D4BCC">
        <w:rPr>
          <w:rFonts w:eastAsia="Calibri" w:cs="Arial"/>
          <w:color w:val="000000" w:themeColor="text1"/>
        </w:rPr>
        <w:t xml:space="preserve">based on </w:t>
      </w:r>
      <w:r w:rsidR="00277C39">
        <w:rPr>
          <w:rFonts w:eastAsia="Calibri" w:cs="Arial"/>
          <w:color w:val="000000" w:themeColor="text1"/>
        </w:rPr>
        <w:t xml:space="preserve">an </w:t>
      </w:r>
      <w:r w:rsidRPr="008D4BCC">
        <w:rPr>
          <w:rFonts w:eastAsia="Calibri" w:cs="Arial"/>
          <w:color w:val="000000" w:themeColor="text1"/>
        </w:rPr>
        <w:t>unrealistic</w:t>
      </w:r>
      <w:r w:rsidR="00CB6738">
        <w:rPr>
          <w:rFonts w:eastAsia="Calibri" w:cs="Arial"/>
          <w:color w:val="000000" w:themeColor="text1"/>
        </w:rPr>
        <w:t>, unsubstantiated,</w:t>
      </w:r>
      <w:r w:rsidR="00277C39">
        <w:rPr>
          <w:rFonts w:eastAsia="Calibri" w:cs="Arial"/>
          <w:color w:val="000000" w:themeColor="text1"/>
        </w:rPr>
        <w:t xml:space="preserve"> and</w:t>
      </w:r>
      <w:r w:rsidRPr="008D4BCC">
        <w:rPr>
          <w:rFonts w:eastAsia="Calibri" w:cs="Arial"/>
          <w:color w:val="000000" w:themeColor="text1"/>
        </w:rPr>
        <w:t xml:space="preserve"> inflated enrollment for FY 2021</w:t>
      </w:r>
      <w:r w:rsidR="0010507B" w:rsidRPr="008D4BCC">
        <w:rPr>
          <w:rFonts w:eastAsia="Calibri" w:cs="Arial"/>
          <w:color w:val="000000" w:themeColor="text1"/>
        </w:rPr>
        <w:t>–</w:t>
      </w:r>
      <w:r w:rsidRPr="008D4BCC">
        <w:rPr>
          <w:rFonts w:eastAsia="Calibri" w:cs="Arial"/>
          <w:color w:val="000000" w:themeColor="text1"/>
        </w:rPr>
        <w:t>22</w:t>
      </w:r>
      <w:r w:rsidR="001E7134">
        <w:rPr>
          <w:rFonts w:eastAsia="Calibri" w:cs="Arial"/>
          <w:color w:val="000000" w:themeColor="text1"/>
        </w:rPr>
        <w:t xml:space="preserve">, </w:t>
      </w:r>
      <w:r w:rsidR="00A37B85" w:rsidRPr="008D4BCC">
        <w:rPr>
          <w:rFonts w:eastAsia="Calibri" w:cs="Arial"/>
          <w:color w:val="000000" w:themeColor="text1"/>
        </w:rPr>
        <w:t>and</w:t>
      </w:r>
      <w:r w:rsidRPr="008D4BCC">
        <w:rPr>
          <w:rFonts w:eastAsia="Calibri" w:cs="Arial"/>
          <w:color w:val="000000" w:themeColor="text1"/>
        </w:rPr>
        <w:t xml:space="preserve"> end in a negative fund balance of $302,842. </w:t>
      </w:r>
      <w:r w:rsidR="0010507B" w:rsidRPr="008D4BCC">
        <w:rPr>
          <w:rFonts w:eastAsia="Calibri" w:cs="Arial"/>
          <w:color w:val="000000" w:themeColor="text1"/>
        </w:rPr>
        <w:t xml:space="preserve">The </w:t>
      </w:r>
      <w:r w:rsidRPr="008D4BCC">
        <w:rPr>
          <w:rFonts w:eastAsia="Calibri" w:cs="Arial"/>
          <w:color w:val="000000" w:themeColor="text1"/>
        </w:rPr>
        <w:t>CDE’s fiscal analysis using ECA’s actual current enrollment projects that ECA will have a negative ending fund balance of $598,225</w:t>
      </w:r>
      <w:r w:rsidR="00F23CC6" w:rsidRPr="008D4BCC">
        <w:rPr>
          <w:rFonts w:eastAsia="Calibri" w:cs="Arial"/>
          <w:color w:val="000000" w:themeColor="text1"/>
        </w:rPr>
        <w:t xml:space="preserve"> for FY 2021</w:t>
      </w:r>
      <w:r w:rsidR="00E42E6F" w:rsidRPr="008D4BCC">
        <w:rPr>
          <w:rFonts w:eastAsia="Calibri" w:cs="Arial"/>
          <w:color w:val="000000" w:themeColor="text1"/>
        </w:rPr>
        <w:t>–</w:t>
      </w:r>
      <w:r w:rsidR="00F23CC6" w:rsidRPr="008D4BCC">
        <w:rPr>
          <w:rFonts w:eastAsia="Calibri" w:cs="Arial"/>
          <w:color w:val="000000" w:themeColor="text1"/>
        </w:rPr>
        <w:t>22</w:t>
      </w:r>
      <w:r w:rsidRPr="008D4BCC">
        <w:rPr>
          <w:rFonts w:eastAsia="Calibri" w:cs="Arial"/>
          <w:color w:val="000000" w:themeColor="text1"/>
        </w:rPr>
        <w:t>.</w:t>
      </w:r>
      <w:r w:rsidR="00D730FE" w:rsidRPr="008D4BCC">
        <w:rPr>
          <w:rFonts w:eastAsia="Calibri" w:cs="Arial"/>
          <w:color w:val="000000" w:themeColor="text1"/>
        </w:rPr>
        <w:t xml:space="preserve"> </w:t>
      </w:r>
      <w:r w:rsidR="00703B6D">
        <w:rPr>
          <w:rFonts w:eastAsia="Calibri" w:cs="Arial"/>
          <w:color w:val="000000" w:themeColor="text1"/>
        </w:rPr>
        <w:t>As noted above, ECA’s</w:t>
      </w:r>
      <w:r w:rsidR="00CB6738">
        <w:rPr>
          <w:rFonts w:eastAsia="Calibri" w:cs="Arial"/>
          <w:color w:val="000000" w:themeColor="text1"/>
        </w:rPr>
        <w:t xml:space="preserve"> </w:t>
      </w:r>
      <w:r w:rsidR="00D730FE" w:rsidRPr="008D4BCC">
        <w:rPr>
          <w:rFonts w:eastAsia="Calibri" w:cs="Arial"/>
          <w:color w:val="000000" w:themeColor="text1"/>
        </w:rPr>
        <w:t xml:space="preserve">enrollment projections for FY 2022–23 </w:t>
      </w:r>
      <w:r w:rsidR="00703B6D">
        <w:rPr>
          <w:rFonts w:eastAsia="Calibri" w:cs="Arial"/>
          <w:color w:val="000000" w:themeColor="text1"/>
        </w:rPr>
        <w:t xml:space="preserve">are not reasonable </w:t>
      </w:r>
      <w:r w:rsidR="00D730FE" w:rsidRPr="008D4BCC">
        <w:rPr>
          <w:rFonts w:eastAsia="Calibri" w:cs="Arial"/>
          <w:color w:val="000000" w:themeColor="text1"/>
        </w:rPr>
        <w:t>and therefore the CDE is unable to evaluate ECA’s fiscal position for FY 2022–23.</w:t>
      </w:r>
    </w:p>
    <w:p w14:paraId="45E82103" w14:textId="75474056" w:rsidR="009C58DE" w:rsidRPr="008D4BCC" w:rsidRDefault="009C58DE" w:rsidP="00E5519D">
      <w:pPr>
        <w:rPr>
          <w:rFonts w:eastAsia="Calibri" w:cs="Arial"/>
          <w:color w:val="000000" w:themeColor="text1"/>
        </w:rPr>
      </w:pPr>
      <w:r w:rsidRPr="008D4BCC">
        <w:rPr>
          <w:rFonts w:eastAsia="Calibri" w:cs="Arial"/>
          <w:color w:val="000000" w:themeColor="text1"/>
        </w:rPr>
        <w:lastRenderedPageBreak/>
        <w:t>Based on the CDE's analysis of ECA's response to the Notice of Violation, the CDE finds that ECA has not refuted, remedied, or proposed to remedy this violation.</w:t>
      </w:r>
    </w:p>
    <w:p w14:paraId="52CCD8FF" w14:textId="77777777" w:rsidR="00E5519D" w:rsidRPr="008D4BCC" w:rsidRDefault="00E5519D" w:rsidP="000412D3">
      <w:pPr>
        <w:pStyle w:val="Heading3"/>
      </w:pPr>
      <w:r w:rsidRPr="008D4BCC">
        <w:t>The ECA Board committed a violation of law (</w:t>
      </w:r>
      <w:r w:rsidRPr="008D4BCC">
        <w:rPr>
          <w:i/>
        </w:rPr>
        <w:t>EC</w:t>
      </w:r>
      <w:r w:rsidRPr="008D4BCC">
        <w:t xml:space="preserve"> Section 47607[f][4]).</w:t>
      </w:r>
    </w:p>
    <w:p w14:paraId="17AD9B36" w14:textId="77777777" w:rsidR="00E5519D" w:rsidRPr="008D4BCC" w:rsidRDefault="00E5519D" w:rsidP="000412D3">
      <w:pPr>
        <w:pStyle w:val="Heading4"/>
      </w:pPr>
      <w:r w:rsidRPr="008D4BCC">
        <w:t>Noncompliant Independent Study Written Agreements</w:t>
      </w:r>
    </w:p>
    <w:p w14:paraId="7A2821A8" w14:textId="25C65CC7" w:rsidR="00E5519D" w:rsidRPr="008D4BCC" w:rsidRDefault="004C1C0A" w:rsidP="00E5519D">
      <w:pPr>
        <w:pStyle w:val="NoSpacing"/>
        <w:spacing w:after="240"/>
      </w:pPr>
      <w:r w:rsidRPr="008D4BCC">
        <w:rPr>
          <w:rFonts w:eastAsia="Arial" w:cs="Arial"/>
          <w:color w:val="000000"/>
        </w:rPr>
        <w:t>As stated in the Notice of Violation that was issued by the SBE to ECA on January 12, 2022</w:t>
      </w:r>
      <w:r w:rsidR="00876699" w:rsidRPr="008D4BCC">
        <w:rPr>
          <w:rFonts w:eastAsia="Arial" w:cs="Arial"/>
          <w:color w:val="000000"/>
        </w:rPr>
        <w:t xml:space="preserve">, </w:t>
      </w:r>
      <w:r w:rsidR="00E5519D" w:rsidRPr="008D4BCC">
        <w:rPr>
          <w:i/>
        </w:rPr>
        <w:t>EC</w:t>
      </w:r>
      <w:r w:rsidR="00E5519D" w:rsidRPr="008D4BCC">
        <w:t xml:space="preserve"> Section 51747(g)(1) requires independent study </w:t>
      </w:r>
      <w:r w:rsidR="00716F84">
        <w:t xml:space="preserve">(IS) </w:t>
      </w:r>
      <w:r w:rsidR="00E5519D" w:rsidRPr="008D4BCC">
        <w:t>written agreements to “include the manner, time, frequency, and place for submitting a pupil’s assignments, for reporting the pupil’s progress, and for communicating with a pupil’s parent or guardian regarding the pupil’s academic progress.”</w:t>
      </w:r>
    </w:p>
    <w:p w14:paraId="70A02F53" w14:textId="5B25EA0B" w:rsidR="00E5519D" w:rsidRPr="008D4BCC" w:rsidRDefault="00E5519D" w:rsidP="00E5519D">
      <w:pPr>
        <w:pStyle w:val="NoSpacing"/>
        <w:spacing w:after="240"/>
      </w:pPr>
      <w:r w:rsidRPr="008D4BCC">
        <w:t xml:space="preserve">The CDE notes the following areas of noncompliance in ECA’s </w:t>
      </w:r>
      <w:r w:rsidR="00220188">
        <w:t>IS</w:t>
      </w:r>
      <w:r w:rsidRPr="008D4BCC">
        <w:t xml:space="preserve"> written agreement</w:t>
      </w:r>
      <w:r w:rsidR="00687338">
        <w:t>:</w:t>
      </w:r>
    </w:p>
    <w:p w14:paraId="4C4488C0" w14:textId="4FCCC894" w:rsidR="00E5519D" w:rsidRPr="008D4BCC" w:rsidRDefault="00E5519D" w:rsidP="00E5519D">
      <w:pPr>
        <w:pStyle w:val="NoSpacing"/>
        <w:numPr>
          <w:ilvl w:val="0"/>
          <w:numId w:val="16"/>
        </w:numPr>
        <w:spacing w:after="240"/>
      </w:pPr>
      <w:r w:rsidRPr="008D4BCC">
        <w:t>The agreement lists options for</w:t>
      </w:r>
      <w:r w:rsidR="00220188">
        <w:t xml:space="preserve"> the</w:t>
      </w:r>
      <w:r w:rsidRPr="008D4BCC">
        <w:t xml:space="preserve"> manner of “reporting” and parent/guardian communication but lacks clarity and specificity as to when and under what circumstances to utilize the selected options.</w:t>
      </w:r>
    </w:p>
    <w:p w14:paraId="7C3F027E" w14:textId="5F8AF9D9" w:rsidR="00E5519D" w:rsidRPr="008D4BCC" w:rsidRDefault="00E5519D" w:rsidP="00E5519D">
      <w:pPr>
        <w:pStyle w:val="NoSpacing"/>
        <w:numPr>
          <w:ilvl w:val="0"/>
          <w:numId w:val="16"/>
        </w:numPr>
        <w:spacing w:after="240"/>
      </w:pPr>
      <w:r w:rsidRPr="008D4BCC">
        <w:t xml:space="preserve">The agreement fails to indicate </w:t>
      </w:r>
      <w:r w:rsidR="00220188">
        <w:t xml:space="preserve">the </w:t>
      </w:r>
      <w:r w:rsidRPr="008D4BCC">
        <w:t>manner of assignment submission or parent/guardian communication.</w:t>
      </w:r>
    </w:p>
    <w:p w14:paraId="184F8653" w14:textId="4828C031" w:rsidR="00E5519D" w:rsidRPr="008D4BCC" w:rsidRDefault="00E5519D" w:rsidP="00E5519D">
      <w:pPr>
        <w:pStyle w:val="NoSpacing"/>
        <w:numPr>
          <w:ilvl w:val="0"/>
          <w:numId w:val="16"/>
        </w:numPr>
        <w:spacing w:after="240"/>
      </w:pPr>
      <w:r w:rsidRPr="008D4BCC">
        <w:t xml:space="preserve">The agreement fails to indicate </w:t>
      </w:r>
      <w:r w:rsidR="00220188">
        <w:t xml:space="preserve">a </w:t>
      </w:r>
      <w:r w:rsidRPr="008D4BCC">
        <w:t>time and frequency of assignment submission, progress reporting, and parent/guardian communication.</w:t>
      </w:r>
    </w:p>
    <w:p w14:paraId="3DE0DD05" w14:textId="77777777" w:rsidR="00E5519D" w:rsidRPr="008D4BCC" w:rsidRDefault="00E5519D" w:rsidP="00E5519D">
      <w:pPr>
        <w:pStyle w:val="NoSpacing"/>
        <w:numPr>
          <w:ilvl w:val="0"/>
          <w:numId w:val="16"/>
        </w:numPr>
        <w:spacing w:after="240"/>
      </w:pPr>
      <w:r w:rsidRPr="008D4BCC">
        <w:t xml:space="preserve">The agreement lacks clarity as to the </w:t>
      </w:r>
      <w:r w:rsidRPr="008D4BCC">
        <w:rPr>
          <w:iCs/>
        </w:rPr>
        <w:t>place</w:t>
      </w:r>
      <w:r w:rsidRPr="008D4BCC">
        <w:t xml:space="preserve"> for assignment submission, progress reporting, and parent/guardian communication, stating that it may be virtual or in-person.</w:t>
      </w:r>
    </w:p>
    <w:p w14:paraId="768BCB80" w14:textId="5748FAB2" w:rsidR="00E5519D" w:rsidRPr="008D4BCC" w:rsidRDefault="00E5519D" w:rsidP="00E5519D">
      <w:pPr>
        <w:pStyle w:val="NoSpacing"/>
        <w:spacing w:after="240"/>
      </w:pPr>
      <w:r w:rsidRPr="008D4BCC">
        <w:rPr>
          <w:i/>
          <w:iCs/>
        </w:rPr>
        <w:t xml:space="preserve">EC </w:t>
      </w:r>
      <w:r w:rsidRPr="008D4BCC">
        <w:rPr>
          <w:iCs/>
        </w:rPr>
        <w:t xml:space="preserve">Section </w:t>
      </w:r>
      <w:r w:rsidRPr="008D4BCC">
        <w:t xml:space="preserve">51747(g)(4) provides that the </w:t>
      </w:r>
      <w:r w:rsidR="00716F84">
        <w:t>IS</w:t>
      </w:r>
      <w:r w:rsidRPr="008D4BCC">
        <w:t xml:space="preserve"> agreement shall include, in part, </w:t>
      </w:r>
      <w:r w:rsidRPr="008D4BCC">
        <w:rPr>
          <w:lang w:val="en"/>
        </w:rPr>
        <w:t xml:space="preserve">the number of missed assignments allowed before an evaluation of whether or not the pupil should be allowed to continue in independent study. This evaluation shall align with </w:t>
      </w:r>
      <w:r w:rsidRPr="008D4BCC">
        <w:rPr>
          <w:i/>
          <w:iCs/>
          <w:lang w:val="en"/>
        </w:rPr>
        <w:t xml:space="preserve">EC </w:t>
      </w:r>
      <w:r w:rsidRPr="008D4BCC">
        <w:rPr>
          <w:iCs/>
          <w:lang w:val="en"/>
        </w:rPr>
        <w:t xml:space="preserve">Section </w:t>
      </w:r>
      <w:r w:rsidRPr="008D4BCC">
        <w:rPr>
          <w:lang w:val="en"/>
        </w:rPr>
        <w:t>51747(d) pertaining to tiered reengagement strategies for all pupils not generating attendance (i.e., missed assignments for traditional independent study). This section requires initiation of these strategies when pupils are not generating attendance for three school days or 60 percent of the instructional days in a school week, or 10 percent of required minimum instructional time over four continuous weeks of a local educational agency’s (LEA’s) approved instructional calendar, pupils found not participatory pursuant to Section 51747.5 for more than the greater of three school days or 60 percent of the scheduled days of synchronous instruction in a school month as applicable by grade span, or pupils who are in violation of the written agreement.</w:t>
      </w:r>
    </w:p>
    <w:p w14:paraId="6C0AE0AA" w14:textId="0C3C4630" w:rsidR="00E5519D" w:rsidRPr="008D4BCC" w:rsidRDefault="00E5519D" w:rsidP="00E5519D">
      <w:pPr>
        <w:pStyle w:val="NoSpacing"/>
        <w:spacing w:after="240"/>
      </w:pPr>
      <w:r w:rsidRPr="008D4BCC">
        <w:t xml:space="preserve">ECA’s written </w:t>
      </w:r>
      <w:r w:rsidR="00716F84">
        <w:t>IS</w:t>
      </w:r>
      <w:r w:rsidRPr="008D4BCC">
        <w:t xml:space="preserve"> agreement fails to mention and/or otherwise include the provision for tiered reengagement strategies, including the participation/non-participation in synchronous instruction and live interaction, which directly relate to the requirement for an evaluation to determine if the pupil should remain in independent study. Additionally, its agreement lacks clarity as to whether the board policy stated in the agreement regarding failing to complete “5 assignments during any period of 5 school days” is equivalent to the requirements set forth in statute as stated hereinabove.</w:t>
      </w:r>
    </w:p>
    <w:p w14:paraId="7859BAA3" w14:textId="3C95BB8E" w:rsidR="00E5519D" w:rsidRPr="008D4BCC" w:rsidRDefault="00E5519D" w:rsidP="00E5519D">
      <w:pPr>
        <w:pStyle w:val="NoSpacing"/>
        <w:spacing w:after="240"/>
      </w:pPr>
      <w:r w:rsidRPr="008D4BCC">
        <w:rPr>
          <w:i/>
          <w:iCs/>
        </w:rPr>
        <w:lastRenderedPageBreak/>
        <w:t xml:space="preserve">EC </w:t>
      </w:r>
      <w:r w:rsidRPr="008D4BCC">
        <w:rPr>
          <w:iCs/>
        </w:rPr>
        <w:t xml:space="preserve">Section </w:t>
      </w:r>
      <w:r w:rsidRPr="008D4BCC">
        <w:t xml:space="preserve">51747(g)(5) states that the </w:t>
      </w:r>
      <w:r w:rsidR="00716F84">
        <w:t>IS</w:t>
      </w:r>
      <w:r w:rsidRPr="008D4BCC">
        <w:t xml:space="preserve"> written agreement shall include the duration of the agreement, including the beginning and ending dates for the pupil’s participation in independent study. Independent study shall not exceed a period longer than one school year.</w:t>
      </w:r>
    </w:p>
    <w:p w14:paraId="2559FA2D" w14:textId="266E6A04" w:rsidR="00E5519D" w:rsidRPr="008D4BCC" w:rsidRDefault="00E5519D" w:rsidP="00E5519D">
      <w:pPr>
        <w:pStyle w:val="NoSpacing"/>
        <w:spacing w:after="240"/>
      </w:pPr>
      <w:r w:rsidRPr="008D4BCC">
        <w:t xml:space="preserve">ECA’s written </w:t>
      </w:r>
      <w:r w:rsidR="00716F84">
        <w:t>IS</w:t>
      </w:r>
      <w:r w:rsidRPr="008D4BCC">
        <w:t xml:space="preserve"> agreements, as executed, fail to include end dates for the agreement. Given the lack of compliance, it is unclear if ECA is eligible to receive apportionments for students participating in independent study.</w:t>
      </w:r>
    </w:p>
    <w:p w14:paraId="32512E8B" w14:textId="77777777" w:rsidR="00C44931" w:rsidRPr="008D4BCC" w:rsidRDefault="00C44931" w:rsidP="00C44931">
      <w:pPr>
        <w:pStyle w:val="Heading4"/>
      </w:pPr>
      <w:r w:rsidRPr="008D4BCC">
        <w:t>ECA’s Response to Noncompliant Independent Study Written Agreements</w:t>
      </w:r>
    </w:p>
    <w:p w14:paraId="7A8CE94D" w14:textId="4A461AEB" w:rsidR="00703435" w:rsidRDefault="00227190" w:rsidP="00687338">
      <w:pPr>
        <w:rPr>
          <w:rFonts w:eastAsia="Calibri"/>
        </w:rPr>
      </w:pPr>
      <w:r w:rsidRPr="008D4BCC">
        <w:rPr>
          <w:rFonts w:eastAsia="Calibri"/>
        </w:rPr>
        <w:t>According to ECA</w:t>
      </w:r>
      <w:r w:rsidR="00687338">
        <w:rPr>
          <w:rFonts w:eastAsia="Calibri"/>
        </w:rPr>
        <w:t>’s</w:t>
      </w:r>
      <w:r w:rsidRPr="008D4BCC">
        <w:rPr>
          <w:rFonts w:eastAsia="Calibri"/>
        </w:rPr>
        <w:t xml:space="preserve"> response to the Notice of Violation issued by the SBE, dated January 26, 2022, </w:t>
      </w:r>
      <w:r w:rsidR="00703435" w:rsidRPr="008D4BCC">
        <w:rPr>
          <w:rFonts w:eastAsia="Calibri"/>
        </w:rPr>
        <w:t xml:space="preserve">ECA asserts that </w:t>
      </w:r>
      <w:r w:rsidR="00703B6D">
        <w:rPr>
          <w:rFonts w:eastAsia="Calibri"/>
        </w:rPr>
        <w:t>the</w:t>
      </w:r>
      <w:r w:rsidR="00703435" w:rsidRPr="008D4BCC">
        <w:rPr>
          <w:rFonts w:eastAsia="Calibri"/>
        </w:rPr>
        <w:t xml:space="preserve"> </w:t>
      </w:r>
      <w:r w:rsidR="00716F84">
        <w:rPr>
          <w:rFonts w:eastAsia="Calibri"/>
        </w:rPr>
        <w:t>IS</w:t>
      </w:r>
      <w:r w:rsidR="00703435" w:rsidRPr="008D4BCC">
        <w:rPr>
          <w:rFonts w:eastAsia="Calibri"/>
        </w:rPr>
        <w:t xml:space="preserve"> written agreements are compliant with applicable law and that the information was clearly communicated to families.</w:t>
      </w:r>
    </w:p>
    <w:p w14:paraId="38A9F9B0" w14:textId="4DB94819" w:rsidR="00A71246" w:rsidRPr="008D4BCC" w:rsidRDefault="00703435" w:rsidP="00687338">
      <w:pPr>
        <w:rPr>
          <w:rFonts w:eastAsia="Calibri"/>
        </w:rPr>
      </w:pPr>
      <w:r w:rsidRPr="008D4BCC">
        <w:rPr>
          <w:rFonts w:eastAsia="Calibri"/>
        </w:rPr>
        <w:t xml:space="preserve">ECA claims </w:t>
      </w:r>
      <w:r w:rsidR="00703B6D">
        <w:rPr>
          <w:rFonts w:eastAsia="Calibri"/>
        </w:rPr>
        <w:t>the</w:t>
      </w:r>
      <w:r w:rsidR="00703B6D" w:rsidRPr="008D4BCC">
        <w:rPr>
          <w:rFonts w:eastAsia="Calibri"/>
        </w:rPr>
        <w:t xml:space="preserve"> </w:t>
      </w:r>
      <w:r w:rsidRPr="008D4BCC">
        <w:rPr>
          <w:rFonts w:eastAsia="Calibri"/>
        </w:rPr>
        <w:t>IS written agreements are compliant in the agreements’ indication that the manner of reporting student progress and parent/guardian communication would be during “one-on-one” or “small group” meetings.</w:t>
      </w:r>
      <w:r w:rsidR="00F1010B" w:rsidRPr="008D4BCC">
        <w:rPr>
          <w:rFonts w:eastAsia="Calibri"/>
        </w:rPr>
        <w:t xml:space="preserve"> </w:t>
      </w:r>
      <w:r w:rsidRPr="008D4BCC">
        <w:rPr>
          <w:rFonts w:eastAsia="Calibri"/>
        </w:rPr>
        <w:t xml:space="preserve">ECA claims </w:t>
      </w:r>
      <w:r w:rsidR="00703B6D">
        <w:rPr>
          <w:rFonts w:eastAsia="Calibri"/>
        </w:rPr>
        <w:t xml:space="preserve">the </w:t>
      </w:r>
      <w:r w:rsidRPr="008D4BCC">
        <w:rPr>
          <w:rFonts w:eastAsia="Calibri"/>
        </w:rPr>
        <w:t>IS written agreements are compliant in the agreements’ indication that time and frequency of assignment submission, progress reporting, and parent/guardian communication would be “varied.”</w:t>
      </w:r>
      <w:r w:rsidR="00F1010B" w:rsidRPr="008D4BCC">
        <w:rPr>
          <w:rFonts w:eastAsia="Calibri"/>
        </w:rPr>
        <w:t xml:space="preserve"> </w:t>
      </w:r>
      <w:r w:rsidRPr="008D4BCC">
        <w:rPr>
          <w:rFonts w:eastAsia="Calibri"/>
        </w:rPr>
        <w:t xml:space="preserve">ECA notes that ECA’s Board-approved </w:t>
      </w:r>
      <w:r w:rsidR="00687338">
        <w:rPr>
          <w:rFonts w:eastAsia="Calibri"/>
        </w:rPr>
        <w:t>IS</w:t>
      </w:r>
      <w:r w:rsidRPr="008D4BCC">
        <w:rPr>
          <w:rFonts w:eastAsia="Calibri"/>
        </w:rPr>
        <w:t xml:space="preserve"> policy includes provisions for tiered re-engagement strategies, and those strategies are outlined in ECA’s response.</w:t>
      </w:r>
      <w:r w:rsidR="00F1010B" w:rsidRPr="008D4BCC">
        <w:rPr>
          <w:rFonts w:eastAsia="Calibri"/>
        </w:rPr>
        <w:t xml:space="preserve"> </w:t>
      </w:r>
      <w:r w:rsidRPr="008D4BCC">
        <w:rPr>
          <w:rFonts w:eastAsia="Calibri"/>
        </w:rPr>
        <w:t xml:space="preserve">ECA claims </w:t>
      </w:r>
      <w:r w:rsidR="00CB6738">
        <w:rPr>
          <w:rFonts w:eastAsia="Calibri"/>
        </w:rPr>
        <w:t>the</w:t>
      </w:r>
      <w:r w:rsidRPr="008D4BCC">
        <w:rPr>
          <w:rFonts w:eastAsia="Calibri"/>
        </w:rPr>
        <w:t xml:space="preserve"> IS written agreements are compliant even though the agreements do not state an end date</w:t>
      </w:r>
      <w:r w:rsidR="00687338">
        <w:rPr>
          <w:rFonts w:eastAsia="Calibri"/>
        </w:rPr>
        <w:t>.</w:t>
      </w:r>
      <w:r w:rsidRPr="008D4BCC">
        <w:rPr>
          <w:rFonts w:eastAsia="Calibri"/>
        </w:rPr>
        <w:t xml:space="preserve"> ECA cites the uncertainty surrounding ECA’s facilities as the reason.</w:t>
      </w:r>
    </w:p>
    <w:p w14:paraId="781237C2" w14:textId="77777777" w:rsidR="00C44931" w:rsidRPr="008D4BCC" w:rsidRDefault="00C44931" w:rsidP="00C44931">
      <w:pPr>
        <w:pStyle w:val="Heading4"/>
      </w:pPr>
      <w:r w:rsidRPr="008D4BCC">
        <w:t>CDE’s Response to ECA’s Response to Noncompliant Independent Study Written Agreements</w:t>
      </w:r>
    </w:p>
    <w:p w14:paraId="0853CC78" w14:textId="6EA6F1DA" w:rsidR="00576C77" w:rsidRPr="008D4BCC" w:rsidRDefault="00576C77" w:rsidP="00AA089B">
      <w:pPr>
        <w:rPr>
          <w:rFonts w:eastAsia="Calibri"/>
          <w:i/>
          <w:iCs/>
        </w:rPr>
      </w:pPr>
      <w:r w:rsidRPr="008D4BCC">
        <w:rPr>
          <w:rFonts w:eastAsia="Calibri"/>
        </w:rPr>
        <w:t xml:space="preserve">ECA’s IS written agreements list options for </w:t>
      </w:r>
      <w:r w:rsidR="00716F84">
        <w:rPr>
          <w:rFonts w:eastAsia="Calibri"/>
        </w:rPr>
        <w:t xml:space="preserve">the </w:t>
      </w:r>
      <w:r w:rsidRPr="008D4BCC">
        <w:rPr>
          <w:rFonts w:eastAsia="Calibri"/>
        </w:rPr>
        <w:t xml:space="preserve">manner of reporting student progress and parent/guardian communication but lack specificity and clarity as to when and under what circumstances to utilize the checked options. ECA’s IS written agreements state that </w:t>
      </w:r>
      <w:r w:rsidR="00A509A8">
        <w:rPr>
          <w:rFonts w:eastAsia="Calibri"/>
        </w:rPr>
        <w:t xml:space="preserve">the </w:t>
      </w:r>
      <w:r w:rsidRPr="008D4BCC">
        <w:rPr>
          <w:rFonts w:eastAsia="Calibri"/>
        </w:rPr>
        <w:t>time and frequency of educational activities “varies,” which is insufficient due to its lack of specificity and clarity</w:t>
      </w:r>
      <w:r w:rsidRPr="004D590D">
        <w:rPr>
          <w:rFonts w:eastAsia="Calibri"/>
        </w:rPr>
        <w:t xml:space="preserve">. ECA’s IS written agreements fail to indicate </w:t>
      </w:r>
      <w:r w:rsidR="00716F84" w:rsidRPr="004D590D">
        <w:rPr>
          <w:rFonts w:eastAsia="Calibri"/>
        </w:rPr>
        <w:t xml:space="preserve">the </w:t>
      </w:r>
      <w:r w:rsidRPr="004D590D">
        <w:rPr>
          <w:rFonts w:eastAsia="Calibri"/>
        </w:rPr>
        <w:t xml:space="preserve">manner of assignment submission and lack clarity as to the place for assignment submission, progress reporting, and parent/guardian communication, stating that it may be </w:t>
      </w:r>
      <w:r w:rsidR="004D590D" w:rsidRPr="004D590D">
        <w:rPr>
          <w:rFonts w:eastAsia="Calibri"/>
        </w:rPr>
        <w:t>“</w:t>
      </w:r>
      <w:r w:rsidRPr="004D590D">
        <w:rPr>
          <w:rFonts w:eastAsia="Calibri"/>
        </w:rPr>
        <w:t xml:space="preserve">virtual </w:t>
      </w:r>
      <w:r w:rsidR="004D590D" w:rsidRPr="004D590D">
        <w:rPr>
          <w:rFonts w:eastAsia="Calibri"/>
        </w:rPr>
        <w:t>and</w:t>
      </w:r>
      <w:r w:rsidRPr="004D590D">
        <w:rPr>
          <w:rFonts w:eastAsia="Calibri"/>
        </w:rPr>
        <w:t xml:space="preserve"> in</w:t>
      </w:r>
      <w:r w:rsidR="00A509A8" w:rsidRPr="004D590D">
        <w:rPr>
          <w:rFonts w:eastAsia="Calibri"/>
        </w:rPr>
        <w:t xml:space="preserve"> </w:t>
      </w:r>
      <w:r w:rsidRPr="004D590D">
        <w:rPr>
          <w:rFonts w:eastAsia="Calibri"/>
        </w:rPr>
        <w:t>person.</w:t>
      </w:r>
      <w:r w:rsidR="004D590D" w:rsidRPr="004D590D">
        <w:rPr>
          <w:rFonts w:eastAsia="Calibri"/>
        </w:rPr>
        <w:t>”</w:t>
      </w:r>
      <w:r w:rsidRPr="008D4BCC">
        <w:rPr>
          <w:rFonts w:eastAsia="Calibri"/>
        </w:rPr>
        <w:t xml:space="preserve"> ECA’s response clarified that tiered re-engagement strategies required by </w:t>
      </w:r>
      <w:r w:rsidRPr="00220188">
        <w:rPr>
          <w:rFonts w:eastAsia="Calibri"/>
          <w:i/>
        </w:rPr>
        <w:t>EC</w:t>
      </w:r>
      <w:r w:rsidRPr="00716F84">
        <w:rPr>
          <w:rFonts w:eastAsia="Calibri"/>
        </w:rPr>
        <w:t xml:space="preserve"> </w:t>
      </w:r>
      <w:r w:rsidRPr="008D4BCC">
        <w:rPr>
          <w:rFonts w:eastAsia="Calibri"/>
        </w:rPr>
        <w:t xml:space="preserve">Section 51747 are included in ECA’s board-approved </w:t>
      </w:r>
      <w:r w:rsidR="00716F84">
        <w:rPr>
          <w:rFonts w:eastAsia="Calibri"/>
        </w:rPr>
        <w:t>IS</w:t>
      </w:r>
      <w:r w:rsidRPr="008D4BCC">
        <w:rPr>
          <w:rFonts w:eastAsia="Calibri"/>
        </w:rPr>
        <w:t xml:space="preserve"> policy.</w:t>
      </w:r>
    </w:p>
    <w:p w14:paraId="37BF5CE3" w14:textId="719FDD8F" w:rsidR="009C58DE" w:rsidRPr="008D4BCC" w:rsidRDefault="00576C77" w:rsidP="00EC3358">
      <w:pPr>
        <w:pStyle w:val="NoSpacing"/>
        <w:spacing w:after="240"/>
        <w:rPr>
          <w:rFonts w:eastAsia="Calibri" w:cs="Arial"/>
          <w:color w:val="000000" w:themeColor="text1"/>
          <w:szCs w:val="24"/>
        </w:rPr>
      </w:pPr>
      <w:r w:rsidRPr="008D4BCC">
        <w:rPr>
          <w:rFonts w:eastAsia="Calibri" w:cs="Arial"/>
          <w:color w:val="000000" w:themeColor="text1"/>
        </w:rPr>
        <w:t xml:space="preserve">ECA’s response acknowledges that ECA’s IS written agreements fail to include ending dates for the agreement. ECA’s response states that “ECA communicated to families that independent study could extend until such time as ECA could acquire facilities for in-person instruction.” This is a date that is uncertain and does not meet the requirements under </w:t>
      </w:r>
      <w:r w:rsidRPr="00A509A8">
        <w:rPr>
          <w:rFonts w:eastAsia="Calibri" w:cs="Arial"/>
          <w:i/>
          <w:color w:val="000000" w:themeColor="text1"/>
        </w:rPr>
        <w:t>EC</w:t>
      </w:r>
      <w:r w:rsidRPr="008D4BCC">
        <w:rPr>
          <w:rFonts w:eastAsia="Calibri" w:cs="Arial"/>
          <w:color w:val="000000" w:themeColor="text1"/>
        </w:rPr>
        <w:t xml:space="preserve"> Section 51747(g)(5).</w:t>
      </w:r>
    </w:p>
    <w:p w14:paraId="1F27908E" w14:textId="4BE15AB9" w:rsidR="009C58DE" w:rsidRPr="008D4BCC" w:rsidRDefault="009C58DE" w:rsidP="00A71246">
      <w:pPr>
        <w:pStyle w:val="NoSpacing"/>
        <w:rPr>
          <w:rFonts w:eastAsia="Calibri" w:cs="Arial"/>
          <w:color w:val="000000" w:themeColor="text1"/>
          <w:szCs w:val="24"/>
        </w:rPr>
      </w:pPr>
      <w:r w:rsidRPr="008D4BCC">
        <w:rPr>
          <w:rFonts w:eastAsia="Calibri" w:cs="Arial"/>
          <w:color w:val="000000" w:themeColor="text1"/>
        </w:rPr>
        <w:t>Based on the CDE's analysis of ECA's response to the Notice of Violation, the CDE finds that ECA has not refuted, remedied, or proposed to remedy this violation.</w:t>
      </w:r>
    </w:p>
    <w:p w14:paraId="32C34E6D" w14:textId="77777777" w:rsidR="00E5519D" w:rsidRPr="008D4BCC" w:rsidRDefault="00E5519D" w:rsidP="000412D3">
      <w:pPr>
        <w:pStyle w:val="Heading4"/>
      </w:pPr>
      <w:r w:rsidRPr="008D4BCC">
        <w:lastRenderedPageBreak/>
        <w:t>Inadequate Budget Reserves</w:t>
      </w:r>
    </w:p>
    <w:p w14:paraId="09A48B23" w14:textId="3320516E" w:rsidR="00D566D4" w:rsidRPr="008D4BCC" w:rsidRDefault="004C1C0A" w:rsidP="00621FE6">
      <w:bookmarkStart w:id="9" w:name="_Hlk91166169"/>
      <w:r w:rsidRPr="008D4BCC">
        <w:rPr>
          <w:rFonts w:eastAsia="Arial" w:cs="Arial"/>
          <w:color w:val="000000"/>
        </w:rPr>
        <w:t>As stated in the Notice of Violation that was issued by the SBE to ECA on January 12, 2022</w:t>
      </w:r>
      <w:r w:rsidR="00876699" w:rsidRPr="008D4BCC">
        <w:rPr>
          <w:rFonts w:eastAsia="Arial" w:cs="Arial"/>
          <w:color w:val="000000"/>
        </w:rPr>
        <w:t xml:space="preserve">, </w:t>
      </w:r>
      <w:r w:rsidR="00876699" w:rsidRPr="008D4BCC">
        <w:t>in</w:t>
      </w:r>
      <w:r w:rsidR="00E5519D" w:rsidRPr="008D4BCC">
        <w:t xml:space="preserve"> addition to being a material violation of the conditions, standards, or procedures of the charter </w:t>
      </w:r>
      <w:r w:rsidR="00A509A8">
        <w:t xml:space="preserve">petition </w:t>
      </w:r>
      <w:r w:rsidR="00E5519D" w:rsidRPr="008D4BCC">
        <w:t xml:space="preserve">and the MOU between the SBE and ECA, ECA’s inadequate budget reserves is also a violation of law. Pursuant to </w:t>
      </w:r>
      <w:r w:rsidR="00A509A8" w:rsidRPr="00A509A8">
        <w:rPr>
          <w:i/>
        </w:rPr>
        <w:t>California Code of Regulations</w:t>
      </w:r>
      <w:r w:rsidR="00A509A8">
        <w:t>, Title 5 (</w:t>
      </w:r>
      <w:r w:rsidR="00E5519D" w:rsidRPr="008D4BCC">
        <w:t xml:space="preserve">5 </w:t>
      </w:r>
      <w:r w:rsidR="00E5519D" w:rsidRPr="008D4BCC">
        <w:rPr>
          <w:i/>
        </w:rPr>
        <w:t>CCR</w:t>
      </w:r>
      <w:r w:rsidR="00A509A8">
        <w:t>)</w:t>
      </w:r>
      <w:r w:rsidR="00E5519D" w:rsidRPr="008D4BCC">
        <w:rPr>
          <w:i/>
        </w:rPr>
        <w:t xml:space="preserve"> </w:t>
      </w:r>
      <w:r w:rsidR="00E5519D" w:rsidRPr="008D4BCC">
        <w:t xml:space="preserve">Section 15450, ECA is expected to maintain reserves at 5 percent of expenditures or $71,000. However, as previously stated, due to the LCFF repayment and the discontinuance of PCSGP funding, </w:t>
      </w:r>
      <w:r w:rsidR="00A509A8">
        <w:t xml:space="preserve">the </w:t>
      </w:r>
      <w:r w:rsidR="00E5519D" w:rsidRPr="008D4BCC">
        <w:t>CDE projects ECA to have a negative ending fund balance of $1.2 million by June 2022.</w:t>
      </w:r>
    </w:p>
    <w:p w14:paraId="510B2084" w14:textId="116270D2" w:rsidR="00C44931" w:rsidRPr="008D4BCC" w:rsidRDefault="00C44931" w:rsidP="00C44931">
      <w:pPr>
        <w:pStyle w:val="Heading4"/>
      </w:pPr>
      <w:r w:rsidRPr="008D4BCC">
        <w:t>ECA’s Response to Inadequate Budget Reserves</w:t>
      </w:r>
    </w:p>
    <w:p w14:paraId="087A6189" w14:textId="05CA0B4E" w:rsidR="00150DF8" w:rsidRPr="008D4BCC" w:rsidRDefault="00F5123C" w:rsidP="00E5519D">
      <w:pPr>
        <w:rPr>
          <w:rFonts w:eastAsia="Calibri" w:cs="Arial"/>
          <w:color w:val="000000" w:themeColor="text1"/>
        </w:rPr>
      </w:pPr>
      <w:r>
        <w:rPr>
          <w:rFonts w:eastAsia="Calibri" w:cs="Arial"/>
          <w:color w:val="000000" w:themeColor="text1"/>
        </w:rPr>
        <w:t>According to</w:t>
      </w:r>
      <w:r w:rsidR="001A31DC" w:rsidRPr="008D4BCC">
        <w:rPr>
          <w:rFonts w:eastAsia="Calibri" w:cs="Arial"/>
          <w:color w:val="000000" w:themeColor="text1"/>
        </w:rPr>
        <w:t xml:space="preserve"> ECA’s response to the Notice of Violation issued by the SBE, dated January 26, 2022, ECA again states that its revised budget now projects a negative ending fund balance of $302,842 for FY 2021</w:t>
      </w:r>
      <w:r w:rsidR="00A37B85" w:rsidRPr="008D4BCC">
        <w:rPr>
          <w:rFonts w:eastAsia="Calibri" w:cs="Arial"/>
          <w:color w:val="000000" w:themeColor="text1"/>
        </w:rPr>
        <w:t>–</w:t>
      </w:r>
      <w:r w:rsidR="001A31DC" w:rsidRPr="008D4BCC">
        <w:rPr>
          <w:rFonts w:eastAsia="Calibri" w:cs="Arial"/>
          <w:color w:val="000000" w:themeColor="text1"/>
        </w:rPr>
        <w:t>22 and a positive ending fund balance of $197,496 for FY 2022</w:t>
      </w:r>
      <w:r w:rsidR="00A37B85" w:rsidRPr="008D4BCC">
        <w:rPr>
          <w:rFonts w:eastAsia="Calibri" w:cs="Arial"/>
          <w:color w:val="000000" w:themeColor="text1"/>
        </w:rPr>
        <w:t>–</w:t>
      </w:r>
      <w:r w:rsidR="001A31DC" w:rsidRPr="008D4BCC">
        <w:rPr>
          <w:rFonts w:eastAsia="Calibri" w:cs="Arial"/>
          <w:color w:val="000000" w:themeColor="text1"/>
        </w:rPr>
        <w:t>23.</w:t>
      </w:r>
    </w:p>
    <w:p w14:paraId="5D034341" w14:textId="1057F2E4" w:rsidR="00C44931" w:rsidRPr="008D4BCC" w:rsidRDefault="00C44931" w:rsidP="00C44931">
      <w:pPr>
        <w:pStyle w:val="Heading4"/>
        <w:rPr>
          <w:rFonts w:eastAsia="Times New Roman" w:cs="Times New Roman"/>
        </w:rPr>
      </w:pPr>
      <w:r w:rsidRPr="008D4BCC">
        <w:t>CDE’s Response to ECA’s Response to Inadequate Budget Reserves</w:t>
      </w:r>
    </w:p>
    <w:p w14:paraId="59FC7180" w14:textId="03BD9911" w:rsidR="00E5519D" w:rsidRPr="008D4BCC" w:rsidRDefault="00831181" w:rsidP="00E5519D">
      <w:pPr>
        <w:rPr>
          <w:rFonts w:eastAsia="Calibri" w:cs="Arial"/>
          <w:color w:val="000000" w:themeColor="text1"/>
        </w:rPr>
      </w:pPr>
      <w:r w:rsidRPr="008D4BCC">
        <w:rPr>
          <w:rFonts w:eastAsia="Calibri" w:cs="Arial"/>
          <w:color w:val="000000" w:themeColor="text1"/>
        </w:rPr>
        <w:t>As stated previously, ECA’s own projections</w:t>
      </w:r>
      <w:r w:rsidR="00A37B85" w:rsidRPr="008D4BCC">
        <w:rPr>
          <w:rFonts w:eastAsia="Calibri" w:cs="Arial"/>
          <w:color w:val="000000" w:themeColor="text1"/>
        </w:rPr>
        <w:t xml:space="preserve"> are</w:t>
      </w:r>
      <w:r w:rsidRPr="008D4BCC">
        <w:rPr>
          <w:rFonts w:eastAsia="Calibri" w:cs="Arial"/>
          <w:color w:val="000000" w:themeColor="text1"/>
        </w:rPr>
        <w:t xml:space="preserve"> based on </w:t>
      </w:r>
      <w:r w:rsidR="00501B57">
        <w:rPr>
          <w:rFonts w:eastAsia="Calibri" w:cs="Arial"/>
          <w:color w:val="000000" w:themeColor="text1"/>
        </w:rPr>
        <w:t xml:space="preserve">an </w:t>
      </w:r>
      <w:r w:rsidRPr="008D4BCC">
        <w:rPr>
          <w:rFonts w:eastAsia="Calibri" w:cs="Arial"/>
          <w:color w:val="000000" w:themeColor="text1"/>
        </w:rPr>
        <w:t>unrealistic</w:t>
      </w:r>
      <w:r w:rsidR="00501B57">
        <w:rPr>
          <w:rFonts w:eastAsia="Calibri" w:cs="Arial"/>
          <w:color w:val="000000" w:themeColor="text1"/>
        </w:rPr>
        <w:t xml:space="preserve"> and</w:t>
      </w:r>
      <w:r w:rsidRPr="008D4BCC">
        <w:rPr>
          <w:rFonts w:eastAsia="Calibri" w:cs="Arial"/>
          <w:color w:val="000000" w:themeColor="text1"/>
        </w:rPr>
        <w:t xml:space="preserve"> inflated enrollment for FY 2021</w:t>
      </w:r>
      <w:r w:rsidR="00A509A8">
        <w:rPr>
          <w:rFonts w:eastAsia="Calibri" w:cs="Arial"/>
          <w:color w:val="000000" w:themeColor="text1"/>
        </w:rPr>
        <w:t>–</w:t>
      </w:r>
      <w:r w:rsidRPr="008D4BCC">
        <w:rPr>
          <w:rFonts w:eastAsia="Calibri" w:cs="Arial"/>
          <w:color w:val="000000" w:themeColor="text1"/>
        </w:rPr>
        <w:t>22</w:t>
      </w:r>
      <w:r w:rsidR="00501B57">
        <w:rPr>
          <w:rFonts w:eastAsia="Calibri" w:cs="Arial"/>
          <w:color w:val="000000" w:themeColor="text1"/>
        </w:rPr>
        <w:t xml:space="preserve">, and </w:t>
      </w:r>
      <w:r w:rsidRPr="008D4BCC">
        <w:rPr>
          <w:rFonts w:eastAsia="Calibri" w:cs="Arial"/>
          <w:color w:val="000000" w:themeColor="text1"/>
        </w:rPr>
        <w:t xml:space="preserve">end in a negative fund balance of $302,842. </w:t>
      </w:r>
      <w:r w:rsidR="00A37B85" w:rsidRPr="008D4BCC">
        <w:rPr>
          <w:rFonts w:eastAsia="Calibri" w:cs="Arial"/>
          <w:color w:val="000000" w:themeColor="text1"/>
        </w:rPr>
        <w:t xml:space="preserve">The </w:t>
      </w:r>
      <w:r w:rsidRPr="008D4BCC">
        <w:rPr>
          <w:rFonts w:eastAsia="Calibri" w:cs="Arial"/>
          <w:color w:val="000000" w:themeColor="text1"/>
        </w:rPr>
        <w:t>CDE’s fiscal analysis using ECA’s actual current enrollment projects that ECA will have a negative ending fund balance of $598,225</w:t>
      </w:r>
      <w:r w:rsidR="00F23CC6" w:rsidRPr="008D4BCC">
        <w:rPr>
          <w:rFonts w:eastAsia="Calibri" w:cs="Arial"/>
          <w:color w:val="000000" w:themeColor="text1"/>
        </w:rPr>
        <w:t xml:space="preserve"> for FY 2021</w:t>
      </w:r>
      <w:r w:rsidR="00E42E6F" w:rsidRPr="008D4BCC">
        <w:rPr>
          <w:rFonts w:eastAsia="Calibri" w:cs="Arial"/>
          <w:color w:val="000000" w:themeColor="text1"/>
        </w:rPr>
        <w:t>–</w:t>
      </w:r>
      <w:r w:rsidR="00F23CC6" w:rsidRPr="008D4BCC">
        <w:rPr>
          <w:rFonts w:eastAsia="Calibri" w:cs="Arial"/>
          <w:color w:val="000000" w:themeColor="text1"/>
        </w:rPr>
        <w:t>22</w:t>
      </w:r>
      <w:r w:rsidRPr="008D4BCC">
        <w:rPr>
          <w:rFonts w:eastAsia="Calibri" w:cs="Arial"/>
          <w:color w:val="000000" w:themeColor="text1"/>
        </w:rPr>
        <w:t>.</w:t>
      </w:r>
      <w:r w:rsidR="00D730FE" w:rsidRPr="008D4BCC">
        <w:rPr>
          <w:rFonts w:eastAsia="Calibri" w:cs="Arial"/>
          <w:color w:val="000000" w:themeColor="text1"/>
        </w:rPr>
        <w:t xml:space="preserve"> </w:t>
      </w:r>
      <w:r w:rsidR="00732908">
        <w:rPr>
          <w:rFonts w:eastAsia="Calibri" w:cs="Arial"/>
          <w:color w:val="000000" w:themeColor="text1"/>
        </w:rPr>
        <w:t xml:space="preserve">As previously stated, ECA’s </w:t>
      </w:r>
      <w:r w:rsidR="00732908" w:rsidRPr="008D4BCC">
        <w:rPr>
          <w:rFonts w:eastAsia="Calibri" w:cs="Arial"/>
          <w:color w:val="000000" w:themeColor="text1"/>
        </w:rPr>
        <w:t xml:space="preserve">enrollment projections for FY 2022–23 </w:t>
      </w:r>
      <w:r w:rsidR="00732908">
        <w:rPr>
          <w:rFonts w:eastAsia="Calibri" w:cs="Arial"/>
          <w:color w:val="000000" w:themeColor="text1"/>
        </w:rPr>
        <w:t xml:space="preserve">are not reasonable </w:t>
      </w:r>
      <w:r w:rsidR="00732908" w:rsidRPr="008D4BCC">
        <w:rPr>
          <w:rFonts w:eastAsia="Calibri" w:cs="Arial"/>
          <w:color w:val="000000" w:themeColor="text1"/>
        </w:rPr>
        <w:t>and therefore the CDE is unable to evaluate ECA’s fiscal position for FY 2022–23.</w:t>
      </w:r>
    </w:p>
    <w:p w14:paraId="168FBF96" w14:textId="02612DA0" w:rsidR="009C58DE" w:rsidRDefault="009C58DE" w:rsidP="00E5519D">
      <w:pPr>
        <w:rPr>
          <w:rFonts w:eastAsia="Calibri" w:cs="Arial"/>
          <w:color w:val="000000" w:themeColor="text1"/>
        </w:rPr>
      </w:pPr>
      <w:r w:rsidRPr="008D4BCC">
        <w:rPr>
          <w:rFonts w:eastAsia="Calibri" w:cs="Arial"/>
          <w:color w:val="000000" w:themeColor="text1"/>
        </w:rPr>
        <w:t>Based on the CDE's analysis of ECA's response to the Notice of Violation, the CDE finds that ECA has not refuted, remedied, or proposed to remedy this violation.</w:t>
      </w:r>
    </w:p>
    <w:bookmarkEnd w:id="9"/>
    <w:p w14:paraId="5249E669" w14:textId="1CF69316" w:rsidR="000D3BEF" w:rsidRDefault="000D3BEF" w:rsidP="000D3BEF">
      <w:pPr>
        <w:pStyle w:val="Heading2"/>
      </w:pPr>
      <w:r w:rsidRPr="000D3BEF">
        <w:rPr>
          <w:rStyle w:val="Heading2Char"/>
          <w:b/>
        </w:rPr>
        <w:t>Other</w:t>
      </w:r>
      <w:r w:rsidRPr="000D3BEF">
        <w:t xml:space="preserve"> Concerns</w:t>
      </w:r>
    </w:p>
    <w:p w14:paraId="3A757A53" w14:textId="6377D1D6" w:rsidR="008113FD" w:rsidRPr="008113FD" w:rsidRDefault="008113FD" w:rsidP="008113FD">
      <w:pPr>
        <w:pStyle w:val="Heading3"/>
      </w:pPr>
      <w:r>
        <w:t>Special Education Local Plan Area Letter of Concern</w:t>
      </w:r>
    </w:p>
    <w:p w14:paraId="676BD36B" w14:textId="4D354DBF" w:rsidR="000D3BEF" w:rsidRPr="00F93048" w:rsidRDefault="000D3BEF" w:rsidP="000D3BEF">
      <w:pPr>
        <w:pStyle w:val="NoSpacing"/>
        <w:spacing w:after="240"/>
      </w:pPr>
      <w:r w:rsidRPr="008D4BCC">
        <w:rPr>
          <w:rFonts w:eastAsia="Arial" w:cs="Arial"/>
          <w:color w:val="000000"/>
        </w:rPr>
        <w:t xml:space="preserve">As stated in the Notice of Violation that was issued by the SBE to ECA on January 12, 2022, </w:t>
      </w:r>
      <w:r w:rsidRPr="00F93048">
        <w:t>ECA’s Special Education Local Plan Area (SELPA), the El Dorado Charter SELPA, issued a formal notice of its concern about ECA’s ability to function as a</w:t>
      </w:r>
      <w:r>
        <w:t>n LEA</w:t>
      </w:r>
      <w:r w:rsidRPr="00F93048">
        <w:t xml:space="preserve">. According to the SELPA’s letter to ECA </w:t>
      </w:r>
      <w:r>
        <w:t>dated</w:t>
      </w:r>
      <w:r w:rsidRPr="00F93048">
        <w:t xml:space="preserve"> December 1, 2021, the SELPA found that </w:t>
      </w:r>
      <w:r>
        <w:t xml:space="preserve">ECA </w:t>
      </w:r>
      <w:r w:rsidRPr="00F93048">
        <w:t>had not set up a child find process. Consequently, the SELPA was concerned that students with disabilities were not receiving their due services.</w:t>
      </w:r>
    </w:p>
    <w:p w14:paraId="183E4BFD" w14:textId="77777777" w:rsidR="008113FD" w:rsidRPr="008113FD" w:rsidRDefault="008113FD" w:rsidP="008113FD">
      <w:pPr>
        <w:pStyle w:val="Heading4"/>
      </w:pPr>
      <w:r>
        <w:rPr>
          <w:rFonts w:eastAsia="Calibri"/>
        </w:rPr>
        <w:t>ECA’s Response to Special Education Local Plan Area Letter of Concern</w:t>
      </w:r>
    </w:p>
    <w:p w14:paraId="75DCDF5B" w14:textId="4351E28C" w:rsidR="000D3BEF" w:rsidRDefault="00F5123C" w:rsidP="000D3BEF">
      <w:pPr>
        <w:rPr>
          <w:rFonts w:eastAsia="Calibri"/>
        </w:rPr>
      </w:pPr>
      <w:r>
        <w:rPr>
          <w:rFonts w:eastAsia="Calibri" w:cs="Arial"/>
          <w:color w:val="000000" w:themeColor="text1"/>
        </w:rPr>
        <w:t>According to</w:t>
      </w:r>
      <w:r w:rsidR="008113FD" w:rsidRPr="008D4BCC">
        <w:rPr>
          <w:rFonts w:eastAsia="Calibri" w:cs="Arial"/>
          <w:color w:val="000000" w:themeColor="text1"/>
        </w:rPr>
        <w:t xml:space="preserve"> ECA’s response to the Notice of Violation issued by the SBE, dated </w:t>
      </w:r>
      <w:r w:rsidR="00501B57">
        <w:rPr>
          <w:rFonts w:eastAsia="Calibri" w:cs="Arial"/>
          <w:color w:val="000000" w:themeColor="text1"/>
        </w:rPr>
        <w:t>J</w:t>
      </w:r>
      <w:r w:rsidR="008113FD" w:rsidRPr="008D4BCC">
        <w:rPr>
          <w:rFonts w:eastAsia="Calibri" w:cs="Arial"/>
          <w:color w:val="000000" w:themeColor="text1"/>
        </w:rPr>
        <w:t xml:space="preserve">anuary 26, 2022, </w:t>
      </w:r>
      <w:r w:rsidR="008113FD">
        <w:rPr>
          <w:rFonts w:cs="Arial"/>
        </w:rPr>
        <w:t>ECA claims that the SELPA’s initial concerns were “unfounded and resolved” and cites an email sent from the SELPA on December 3, 2021.</w:t>
      </w:r>
    </w:p>
    <w:p w14:paraId="13BF5255" w14:textId="39FBC16C" w:rsidR="008113FD" w:rsidRPr="008113FD" w:rsidRDefault="008113FD" w:rsidP="008113FD">
      <w:pPr>
        <w:pStyle w:val="Heading4"/>
      </w:pPr>
      <w:r>
        <w:rPr>
          <w:rFonts w:eastAsia="Calibri"/>
        </w:rPr>
        <w:lastRenderedPageBreak/>
        <w:t>CDE’s Response to ECA’s Response to Special Education Local Plan Area Letter of Concern</w:t>
      </w:r>
    </w:p>
    <w:p w14:paraId="39B94600" w14:textId="7FCF6721" w:rsidR="008113FD" w:rsidRDefault="008113FD" w:rsidP="000D3BEF">
      <w:pPr>
        <w:rPr>
          <w:rFonts w:eastAsia="Calibri"/>
        </w:rPr>
      </w:pPr>
      <w:r w:rsidRPr="008113FD">
        <w:rPr>
          <w:rFonts w:eastAsia="Calibri"/>
        </w:rPr>
        <w:t xml:space="preserve">The CDE contacted </w:t>
      </w:r>
      <w:r>
        <w:rPr>
          <w:rFonts w:eastAsia="Calibri"/>
        </w:rPr>
        <w:t xml:space="preserve">the El Dorado Charter </w:t>
      </w:r>
      <w:r w:rsidRPr="008113FD">
        <w:rPr>
          <w:rFonts w:eastAsia="Calibri"/>
        </w:rPr>
        <w:t>SELPA directly</w:t>
      </w:r>
      <w:r>
        <w:rPr>
          <w:rFonts w:eastAsia="Calibri"/>
        </w:rPr>
        <w:t xml:space="preserve">. The EL Dorado Charter </w:t>
      </w:r>
      <w:r w:rsidRPr="008113FD">
        <w:rPr>
          <w:rFonts w:eastAsia="Calibri"/>
        </w:rPr>
        <w:t>SELPA confirmed that ECA has resolved the issues stated in the SELPA’s letter of concern</w:t>
      </w:r>
      <w:r>
        <w:rPr>
          <w:rFonts w:eastAsia="Calibri"/>
        </w:rPr>
        <w:t xml:space="preserve"> dated December 1, 2021</w:t>
      </w:r>
      <w:r w:rsidRPr="008113FD">
        <w:rPr>
          <w:rFonts w:eastAsia="Calibri"/>
        </w:rPr>
        <w:t>.</w:t>
      </w:r>
    </w:p>
    <w:p w14:paraId="47634D66" w14:textId="0D8EFAF6" w:rsidR="00EC3358" w:rsidRDefault="008113FD" w:rsidP="00E5519D">
      <w:pPr>
        <w:rPr>
          <w:rFonts w:eastAsia="Calibri" w:cs="Arial"/>
          <w:color w:val="000000" w:themeColor="text1"/>
        </w:rPr>
      </w:pPr>
      <w:r>
        <w:rPr>
          <w:rFonts w:eastAsia="Calibri" w:cs="Arial"/>
          <w:color w:val="000000" w:themeColor="text1"/>
        </w:rPr>
        <w:t>T</w:t>
      </w:r>
      <w:r w:rsidRPr="008D4BCC">
        <w:rPr>
          <w:rFonts w:eastAsia="Calibri" w:cs="Arial"/>
          <w:color w:val="000000" w:themeColor="text1"/>
        </w:rPr>
        <w:t xml:space="preserve">he CDE finds that ECA </w:t>
      </w:r>
      <w:r>
        <w:rPr>
          <w:rFonts w:eastAsia="Calibri" w:cs="Arial"/>
          <w:color w:val="000000" w:themeColor="text1"/>
        </w:rPr>
        <w:t xml:space="preserve">has remedied </w:t>
      </w:r>
      <w:r w:rsidRPr="008D4BCC">
        <w:rPr>
          <w:rFonts w:eastAsia="Calibri" w:cs="Arial"/>
          <w:color w:val="000000" w:themeColor="text1"/>
        </w:rPr>
        <w:t xml:space="preserve">this </w:t>
      </w:r>
      <w:r w:rsidR="006B5FE3">
        <w:rPr>
          <w:rFonts w:eastAsia="Calibri" w:cs="Arial"/>
          <w:color w:val="000000" w:themeColor="text1"/>
        </w:rPr>
        <w:t>concern</w:t>
      </w:r>
      <w:r w:rsidRPr="008D4BCC">
        <w:rPr>
          <w:rFonts w:eastAsia="Calibri" w:cs="Arial"/>
          <w:color w:val="000000" w:themeColor="text1"/>
        </w:rPr>
        <w:t>.</w:t>
      </w:r>
    </w:p>
    <w:p w14:paraId="5A4405BF" w14:textId="5ABE08C5" w:rsidR="008473B0" w:rsidRPr="008D4BCC" w:rsidRDefault="008473B0" w:rsidP="00E5519D">
      <w:pPr>
        <w:rPr>
          <w:rFonts w:eastAsia="Calibri" w:cs="Arial"/>
          <w:b/>
          <w:sz w:val="36"/>
          <w:szCs w:val="36"/>
        </w:rPr>
      </w:pPr>
      <w:r w:rsidRPr="008D4BCC">
        <w:rPr>
          <w:rFonts w:eastAsia="Calibri" w:cs="Arial"/>
          <w:b/>
          <w:sz w:val="36"/>
          <w:szCs w:val="36"/>
        </w:rPr>
        <w:t>Conclusion</w:t>
      </w:r>
    </w:p>
    <w:p w14:paraId="2B3284D3" w14:textId="44DF52ED" w:rsidR="00B86E6A" w:rsidRPr="008D4BCC" w:rsidRDefault="00A37B85" w:rsidP="00B86E6A">
      <w:pPr>
        <w:rPr>
          <w:rFonts w:cs="Arial"/>
        </w:rPr>
      </w:pPr>
      <w:r w:rsidRPr="008D4BCC">
        <w:rPr>
          <w:rFonts w:cs="Arial"/>
        </w:rPr>
        <w:t>There is</w:t>
      </w:r>
      <w:r w:rsidR="00B86E6A" w:rsidRPr="008D4BCC">
        <w:rPr>
          <w:rFonts w:cs="Arial"/>
        </w:rPr>
        <w:t xml:space="preserve"> substantial evidence that ECA has committed the following:</w:t>
      </w:r>
    </w:p>
    <w:p w14:paraId="4C1E5351" w14:textId="77777777" w:rsidR="00B86E6A" w:rsidRPr="008D4BCC" w:rsidRDefault="00B86E6A" w:rsidP="00B86E6A">
      <w:pPr>
        <w:pStyle w:val="ListParagraph"/>
        <w:numPr>
          <w:ilvl w:val="0"/>
          <w:numId w:val="12"/>
        </w:numPr>
        <w:rPr>
          <w:rFonts w:cs="Arial"/>
        </w:rPr>
      </w:pPr>
      <w:r w:rsidRPr="008D4BCC">
        <w:rPr>
          <w:rFonts w:cs="Arial"/>
        </w:rPr>
        <w:t>Fiscal mismanagement (</w:t>
      </w:r>
      <w:r w:rsidRPr="008D4BCC">
        <w:rPr>
          <w:rFonts w:cs="Arial"/>
          <w:i/>
        </w:rPr>
        <w:t>EC</w:t>
      </w:r>
      <w:r w:rsidRPr="008D4BCC">
        <w:rPr>
          <w:rFonts w:cs="Arial"/>
        </w:rPr>
        <w:t xml:space="preserve"> Section 47607[f][3]),</w:t>
      </w:r>
    </w:p>
    <w:p w14:paraId="426F1AE6" w14:textId="2E692ACC" w:rsidR="00B86E6A" w:rsidRPr="008D4BCC" w:rsidRDefault="00B86E6A" w:rsidP="00B86E6A">
      <w:pPr>
        <w:pStyle w:val="ListParagraph"/>
        <w:numPr>
          <w:ilvl w:val="0"/>
          <w:numId w:val="12"/>
        </w:numPr>
        <w:rPr>
          <w:rFonts w:cs="Arial"/>
        </w:rPr>
      </w:pPr>
      <w:r w:rsidRPr="008D4BCC">
        <w:rPr>
          <w:rFonts w:cs="Arial"/>
        </w:rPr>
        <w:t>Violation of several conditions, standards, or procedures set forth in the charter (</w:t>
      </w:r>
      <w:r w:rsidRPr="008D4BCC">
        <w:rPr>
          <w:rFonts w:cs="Arial"/>
          <w:i/>
        </w:rPr>
        <w:t>EC</w:t>
      </w:r>
      <w:r w:rsidRPr="008D4BCC">
        <w:rPr>
          <w:rFonts w:cs="Arial"/>
        </w:rPr>
        <w:t xml:space="preserve"> Section 47607[f][1]), and</w:t>
      </w:r>
    </w:p>
    <w:p w14:paraId="3B67C68B" w14:textId="77777777" w:rsidR="00B86E6A" w:rsidRPr="008D4BCC" w:rsidRDefault="00B86E6A" w:rsidP="00B86E6A">
      <w:pPr>
        <w:pStyle w:val="ListParagraph"/>
        <w:numPr>
          <w:ilvl w:val="0"/>
          <w:numId w:val="12"/>
        </w:numPr>
        <w:rPr>
          <w:rFonts w:cs="Arial"/>
        </w:rPr>
      </w:pPr>
      <w:r w:rsidRPr="008D4BCC">
        <w:rPr>
          <w:rFonts w:cs="Arial"/>
        </w:rPr>
        <w:t>Violation of provisions of law (</w:t>
      </w:r>
      <w:r w:rsidRPr="008D4BCC">
        <w:rPr>
          <w:rFonts w:cs="Arial"/>
          <w:i/>
        </w:rPr>
        <w:t>EC</w:t>
      </w:r>
      <w:r w:rsidRPr="008D4BCC">
        <w:rPr>
          <w:rFonts w:cs="Arial"/>
        </w:rPr>
        <w:t xml:space="preserve"> Section 47607[f][4]).</w:t>
      </w:r>
    </w:p>
    <w:p w14:paraId="6985C263" w14:textId="25AC65A4" w:rsidR="00857DDC" w:rsidRDefault="005C5948" w:rsidP="00E5519D">
      <w:pPr>
        <w:rPr>
          <w:rFonts w:cs="Arial"/>
        </w:rPr>
      </w:pPr>
      <w:r w:rsidRPr="008D4BCC">
        <w:rPr>
          <w:rFonts w:cs="Arial"/>
        </w:rPr>
        <w:t xml:space="preserve">The </w:t>
      </w:r>
      <w:r w:rsidR="00857DDC" w:rsidRPr="008D4BCC">
        <w:rPr>
          <w:rFonts w:cs="Arial"/>
        </w:rPr>
        <w:t xml:space="preserve">CDE has determined that ECA has not </w:t>
      </w:r>
      <w:r w:rsidR="00B561AA" w:rsidRPr="008D4BCC">
        <w:rPr>
          <w:rFonts w:cs="Arial"/>
        </w:rPr>
        <w:t xml:space="preserve">adequately </w:t>
      </w:r>
      <w:r w:rsidR="00857DDC" w:rsidRPr="008D4BCC">
        <w:rPr>
          <w:rFonts w:cs="Arial"/>
        </w:rPr>
        <w:t xml:space="preserve">refuted, remedied, or proposed a plan to remedy the violations identified in the </w:t>
      </w:r>
      <w:r w:rsidRPr="008D4BCC">
        <w:rPr>
          <w:rFonts w:cs="Arial"/>
        </w:rPr>
        <w:t>Notice of Violation</w:t>
      </w:r>
      <w:r w:rsidR="00857DDC" w:rsidRPr="008D4BCC">
        <w:rPr>
          <w:rFonts w:cs="Arial"/>
        </w:rPr>
        <w:t>.</w:t>
      </w:r>
      <w:r w:rsidR="00876699" w:rsidRPr="008D4BCC">
        <w:rPr>
          <w:rFonts w:cs="Arial"/>
        </w:rPr>
        <w:t xml:space="preserve"> </w:t>
      </w:r>
      <w:r w:rsidR="00857DDC" w:rsidRPr="008D4BCC">
        <w:rPr>
          <w:rFonts w:cs="Arial"/>
        </w:rPr>
        <w:t xml:space="preserve">Therefore, the CDE </w:t>
      </w:r>
      <w:r w:rsidRPr="008D4BCC">
        <w:rPr>
          <w:rFonts w:cs="Arial"/>
        </w:rPr>
        <w:t>proposes</w:t>
      </w:r>
      <w:r w:rsidR="00857DDC" w:rsidRPr="008D4BCC">
        <w:rPr>
          <w:rFonts w:cs="Arial"/>
        </w:rPr>
        <w:t xml:space="preserve"> to recommend that the SBE </w:t>
      </w:r>
      <w:r w:rsidRPr="008D4BCC">
        <w:rPr>
          <w:rFonts w:cs="Arial"/>
        </w:rPr>
        <w:t xml:space="preserve">issue a Notice of Intent to Revoke with Notice of Facts to ECA </w:t>
      </w:r>
      <w:r w:rsidR="00857DDC" w:rsidRPr="008D4BCC">
        <w:rPr>
          <w:rFonts w:cs="Arial"/>
        </w:rPr>
        <w:t xml:space="preserve">pursuant to </w:t>
      </w:r>
      <w:r w:rsidR="00857DDC" w:rsidRPr="008D4BCC">
        <w:rPr>
          <w:rFonts w:cs="Arial"/>
          <w:i/>
        </w:rPr>
        <w:t xml:space="preserve">EC </w:t>
      </w:r>
      <w:r w:rsidR="00857DDC" w:rsidRPr="008D4BCC">
        <w:rPr>
          <w:rFonts w:cs="Arial"/>
        </w:rPr>
        <w:t>Section</w:t>
      </w:r>
      <w:r w:rsidR="00047DD4" w:rsidRPr="008D4BCC">
        <w:rPr>
          <w:rFonts w:cs="Arial"/>
        </w:rPr>
        <w:t xml:space="preserve"> 47607(h), </w:t>
      </w:r>
      <w:r w:rsidR="00857DDC" w:rsidRPr="008D4BCC">
        <w:rPr>
          <w:rFonts w:cs="Arial"/>
        </w:rPr>
        <w:t>at its March 9</w:t>
      </w:r>
      <w:r w:rsidR="002E3B6F" w:rsidRPr="008D4BCC">
        <w:rPr>
          <w:rFonts w:cs="Arial"/>
        </w:rPr>
        <w:t>–10</w:t>
      </w:r>
      <w:r w:rsidR="00857DDC" w:rsidRPr="008D4BCC">
        <w:rPr>
          <w:rFonts w:cs="Arial"/>
        </w:rPr>
        <w:t>, 2022, meeting</w:t>
      </w:r>
      <w:r w:rsidR="002E3B6F" w:rsidRPr="008D4BCC">
        <w:rPr>
          <w:rFonts w:cs="Arial"/>
        </w:rPr>
        <w:t>.</w:t>
      </w:r>
    </w:p>
    <w:p w14:paraId="4B7F5077" w14:textId="77777777" w:rsidR="00E5519D" w:rsidRPr="008D4BCC" w:rsidRDefault="00E5519D" w:rsidP="000E5E40">
      <w:pPr>
        <w:pStyle w:val="Heading2"/>
      </w:pPr>
      <w:r w:rsidRPr="008D4BCC">
        <w:t>Previous Board Action</w:t>
      </w:r>
    </w:p>
    <w:p w14:paraId="6E3ED2C6" w14:textId="4FA563DF" w:rsidR="00E5519D" w:rsidRPr="008D4BCC" w:rsidRDefault="00E5519D" w:rsidP="00E5519D">
      <w:pPr>
        <w:rPr>
          <w:rFonts w:cs="Arial"/>
        </w:rPr>
      </w:pPr>
      <w:r w:rsidRPr="008D4BCC">
        <w:rPr>
          <w:rFonts w:cs="Arial"/>
        </w:rPr>
        <w:t>The petitioner submitted the ECA charter petition to the AADUSD governing board on September 26, 2019. On November 14, 2019, AADUSD voted to deny the ECA charter petition by a vote of five to zero.</w:t>
      </w:r>
    </w:p>
    <w:p w14:paraId="7B28E532" w14:textId="77777777" w:rsidR="00E5519D" w:rsidRPr="008D4BCC" w:rsidRDefault="00E5519D" w:rsidP="00E5519D">
      <w:pPr>
        <w:rPr>
          <w:rFonts w:cs="Arial"/>
        </w:rPr>
      </w:pPr>
      <w:r w:rsidRPr="008D4BCC">
        <w:rPr>
          <w:rFonts w:cs="Arial"/>
        </w:rPr>
        <w:t xml:space="preserve">On November 25, 2019, the petitioner submitted the ECA charter petition to the Los Angeles County Office of Education (LACOE). On January 21, 2020, LACOE voted </w:t>
      </w:r>
      <w:bookmarkStart w:id="10" w:name="_Hlk32225131"/>
      <w:r w:rsidRPr="008D4BCC">
        <w:rPr>
          <w:rFonts w:cs="Arial"/>
        </w:rPr>
        <w:t>to deny the ECA charter petition by a vote of six to zero.</w:t>
      </w:r>
    </w:p>
    <w:bookmarkEnd w:id="10"/>
    <w:p w14:paraId="6AEDA553" w14:textId="2910C069" w:rsidR="00E5519D" w:rsidRPr="008D4BCC" w:rsidRDefault="00E5519D" w:rsidP="00E5519D">
      <w:r w:rsidRPr="008D4BCC">
        <w:rPr>
          <w:rFonts w:cs="Arial"/>
        </w:rPr>
        <w:t xml:space="preserve">The ECA petitioner submitted the ECA charter petition to the SBE on January 27, 2020. </w:t>
      </w:r>
      <w:r w:rsidRPr="008D4BCC">
        <w:t xml:space="preserve">The </w:t>
      </w:r>
      <w:r w:rsidR="00463432" w:rsidRPr="008D4BCC">
        <w:t xml:space="preserve">Advisory Commission on Charter Schools (ACCS) </w:t>
      </w:r>
      <w:r w:rsidRPr="008D4BCC">
        <w:t xml:space="preserve">considered the ECA charter petition at its June 9, 2020, meeting at which it moved the CDE staff recommendation to deny the ECA charter petition by a vote of seven to one with one abstention. </w:t>
      </w:r>
      <w:r w:rsidRPr="008D4BCC">
        <w:rPr>
          <w:rFonts w:eastAsia="Calibri" w:cs="Arial"/>
        </w:rPr>
        <w:t xml:space="preserve">The notice for the June 9, 2020, </w:t>
      </w:r>
      <w:r w:rsidR="00463432" w:rsidRPr="008D4BCC">
        <w:rPr>
          <w:rFonts w:eastAsia="Calibri" w:cs="Arial"/>
        </w:rPr>
        <w:t xml:space="preserve">ACCS </w:t>
      </w:r>
      <w:r w:rsidRPr="008D4BCC">
        <w:rPr>
          <w:rFonts w:eastAsia="Calibri" w:cs="Arial"/>
        </w:rPr>
        <w:t xml:space="preserve">meeting is located on the SBE web page at </w:t>
      </w:r>
      <w:hyperlink r:id="rId11" w:tooltip="June 2020 ACCS Meeting Agenda web page" w:history="1">
        <w:r w:rsidRPr="008D4BCC">
          <w:rPr>
            <w:rStyle w:val="Hyperlink"/>
          </w:rPr>
          <w:t>https://www.cde.ca.gov/be/cc/cs/accsnotice060920.asp</w:t>
        </w:r>
      </w:hyperlink>
      <w:r w:rsidRPr="008D4BCC">
        <w:t>.</w:t>
      </w:r>
    </w:p>
    <w:p w14:paraId="39EC4C3A" w14:textId="4F42C5A6" w:rsidR="00E5519D" w:rsidRPr="008D4BCC" w:rsidRDefault="00463432" w:rsidP="00E5519D">
      <w:pPr>
        <w:rPr>
          <w:rFonts w:cs="Arial"/>
        </w:rPr>
      </w:pPr>
      <w:r w:rsidRPr="008D4BCC">
        <w:rPr>
          <w:rFonts w:cs="Arial"/>
        </w:rPr>
        <w:t xml:space="preserve">The ECA charter petition along with the ACCS and CDE’s recommendations to deny the ECA charter petition were forwarded to the SBE for its consideration. </w:t>
      </w:r>
      <w:r w:rsidR="00E5519D" w:rsidRPr="008D4BCC">
        <w:rPr>
          <w:rFonts w:cs="Arial"/>
        </w:rPr>
        <w:t xml:space="preserve">The ECA charter petition was approved by the SBE with conditions on July 9, 2020. The meeting agenda and corresponding minutes for this item (Item 17) can be found on the SBE Meeting for July 2020 web page at </w:t>
      </w:r>
      <w:hyperlink r:id="rId12" w:tooltip="SBE Meeting for July 2020 web page" w:history="1">
        <w:r w:rsidR="00E5519D" w:rsidRPr="008D4BCC">
          <w:rPr>
            <w:rStyle w:val="Hyperlink"/>
          </w:rPr>
          <w:t>https://www.cde.ca.gov/be/ag/ag/yr20/agenda202007.asp</w:t>
        </w:r>
      </w:hyperlink>
      <w:r w:rsidR="00E5519D" w:rsidRPr="008D4BCC">
        <w:rPr>
          <w:rFonts w:cs="Arial"/>
        </w:rPr>
        <w:t>.</w:t>
      </w:r>
    </w:p>
    <w:p w14:paraId="39351647" w14:textId="1EB66411" w:rsidR="00E5519D" w:rsidRPr="008D4BCC" w:rsidRDefault="00E5519D" w:rsidP="00E5519D">
      <w:pPr>
        <w:rPr>
          <w:rFonts w:cs="Arial"/>
        </w:rPr>
      </w:pPr>
      <w:r w:rsidRPr="008D4BCC">
        <w:rPr>
          <w:rFonts w:cs="Arial"/>
        </w:rPr>
        <w:lastRenderedPageBreak/>
        <w:t xml:space="preserve">Pursuant to </w:t>
      </w:r>
      <w:r w:rsidRPr="008D4BCC">
        <w:rPr>
          <w:rFonts w:cs="Arial"/>
          <w:i/>
        </w:rPr>
        <w:t>EC</w:t>
      </w:r>
      <w:r w:rsidRPr="008D4BCC">
        <w:rPr>
          <w:rFonts w:cs="Arial"/>
        </w:rPr>
        <w:t xml:space="preserve"> Section 47607(g) and 5 </w:t>
      </w:r>
      <w:r w:rsidRPr="008D4BCC">
        <w:rPr>
          <w:rFonts w:cs="Arial"/>
          <w:i/>
        </w:rPr>
        <w:t>CCR</w:t>
      </w:r>
      <w:r w:rsidRPr="008D4BCC">
        <w:rPr>
          <w:rFonts w:cs="Arial"/>
        </w:rPr>
        <w:t xml:space="preserve"> Section 11968.5.2, </w:t>
      </w:r>
      <w:r w:rsidRPr="008D4BCC">
        <w:t xml:space="preserve">the SBE voted at its January 12, 2022 meeting, to issue a </w:t>
      </w:r>
      <w:r w:rsidR="000412D3" w:rsidRPr="008D4BCC">
        <w:t>N</w:t>
      </w:r>
      <w:r w:rsidRPr="008D4BCC">
        <w:t xml:space="preserve">otice of </w:t>
      </w:r>
      <w:r w:rsidR="000412D3" w:rsidRPr="008D4BCC">
        <w:t>V</w:t>
      </w:r>
      <w:r w:rsidRPr="008D4BCC">
        <w:t xml:space="preserve">iolation to ECA. </w:t>
      </w:r>
      <w:r w:rsidRPr="008D4BCC">
        <w:rPr>
          <w:rFonts w:cs="Arial"/>
        </w:rPr>
        <w:t xml:space="preserve">The meeting agenda and corresponding minutes for this item (Item </w:t>
      </w:r>
      <w:r w:rsidR="000412D3" w:rsidRPr="008D4BCC">
        <w:rPr>
          <w:rFonts w:cs="Arial"/>
        </w:rPr>
        <w:t>12</w:t>
      </w:r>
      <w:r w:rsidRPr="008D4BCC">
        <w:rPr>
          <w:rFonts w:cs="Arial"/>
        </w:rPr>
        <w:t>) can be found on the SBE Meeting for January 12, 202</w:t>
      </w:r>
      <w:r w:rsidR="000412D3" w:rsidRPr="008D4BCC">
        <w:rPr>
          <w:rFonts w:cs="Arial"/>
        </w:rPr>
        <w:t>2,</w:t>
      </w:r>
      <w:r w:rsidRPr="008D4BCC">
        <w:rPr>
          <w:rFonts w:cs="Arial"/>
        </w:rPr>
        <w:t xml:space="preserve"> web page at </w:t>
      </w:r>
      <w:hyperlink r:id="rId13" w:tooltip="SBE Meeting for January 12, 2022, web page" w:history="1">
        <w:r w:rsidRPr="008D4BCC">
          <w:rPr>
            <w:rStyle w:val="Hyperlink"/>
            <w:rFonts w:cs="Arial"/>
          </w:rPr>
          <w:t>https://www.cde.ca.gov/be/ag/ag/main202201.asp</w:t>
        </w:r>
      </w:hyperlink>
      <w:r w:rsidR="00EC3358">
        <w:rPr>
          <w:rFonts w:cs="Arial"/>
        </w:rPr>
        <w:t>.</w:t>
      </w:r>
    </w:p>
    <w:p w14:paraId="3D33836D" w14:textId="4BB9148E" w:rsidR="00290E53" w:rsidRPr="008D4BCC" w:rsidRDefault="004C175E" w:rsidP="000E5E40">
      <w:pPr>
        <w:pStyle w:val="Heading2"/>
      </w:pPr>
      <w:bookmarkStart w:id="11" w:name="_Hlk91149395"/>
      <w:bookmarkStart w:id="12" w:name="_Hlk90454948"/>
      <w:r>
        <w:t>Documentation</w:t>
      </w:r>
      <w:r w:rsidR="00736EF7" w:rsidRPr="008D4BCC">
        <w:t xml:space="preserve"> </w:t>
      </w:r>
      <w:r w:rsidR="00290E53" w:rsidRPr="008D4BCC">
        <w:t>Reviewed by the California Department of Education</w:t>
      </w:r>
    </w:p>
    <w:p w14:paraId="26C29944" w14:textId="0B28037B" w:rsidR="00736EF7" w:rsidRPr="008D4BCC" w:rsidRDefault="00736EF7" w:rsidP="00736EF7">
      <w:pPr>
        <w:pStyle w:val="Default"/>
        <w:numPr>
          <w:ilvl w:val="0"/>
          <w:numId w:val="13"/>
        </w:numPr>
        <w:spacing w:after="240"/>
      </w:pPr>
      <w:r w:rsidRPr="008D4BCC">
        <w:t xml:space="preserve">ECA </w:t>
      </w:r>
      <w:r w:rsidR="00A509A8" w:rsidRPr="008D4BCC">
        <w:t xml:space="preserve">charter petition as approved </w:t>
      </w:r>
      <w:r w:rsidRPr="008D4BCC">
        <w:t xml:space="preserve">by the SBE on July 9, 2020, which is available on the </w:t>
      </w:r>
      <w:bookmarkStart w:id="13" w:name="_Hlk94789514"/>
      <w:r w:rsidRPr="008D4BCC">
        <w:t>SBE Meeting for January 2022 web page</w:t>
      </w:r>
      <w:bookmarkEnd w:id="13"/>
      <w:r w:rsidRPr="008D4BCC">
        <w:t xml:space="preserve"> at </w:t>
      </w:r>
      <w:hyperlink r:id="rId14" w:tooltip="SBE Meeting for January 2022 web page" w:history="1">
        <w:r w:rsidRPr="008D4BCC">
          <w:rPr>
            <w:rStyle w:val="Hyperlink"/>
          </w:rPr>
          <w:t>https://www.cde.ca.gov/be/ag/ag/yr22/documents/jan22item12a2.pdf</w:t>
        </w:r>
      </w:hyperlink>
    </w:p>
    <w:p w14:paraId="127E9AFA" w14:textId="7B65CAF5" w:rsidR="00736EF7" w:rsidRPr="008D4BCC" w:rsidRDefault="00736EF7" w:rsidP="00736EF7">
      <w:pPr>
        <w:pStyle w:val="ListParagraph"/>
        <w:numPr>
          <w:ilvl w:val="0"/>
          <w:numId w:val="13"/>
        </w:numPr>
        <w:spacing w:before="0"/>
        <w:rPr>
          <w:rFonts w:cs="Arial"/>
        </w:rPr>
      </w:pPr>
      <w:r w:rsidRPr="008D4BCC">
        <w:rPr>
          <w:rFonts w:cs="Arial"/>
        </w:rPr>
        <w:t xml:space="preserve">SBE </w:t>
      </w:r>
      <w:r w:rsidR="00A509A8" w:rsidRPr="008D4BCC">
        <w:rPr>
          <w:rFonts w:cs="Arial"/>
        </w:rPr>
        <w:t>approval letter with conditions dated</w:t>
      </w:r>
      <w:r w:rsidRPr="008D4BCC">
        <w:rPr>
          <w:rFonts w:cs="Arial"/>
        </w:rPr>
        <w:t xml:space="preserve"> August 12, 2020</w:t>
      </w:r>
      <w:r w:rsidRPr="008D4BCC">
        <w:t xml:space="preserve">, which is available on </w:t>
      </w:r>
      <w:r w:rsidRPr="008D4BCC">
        <w:rPr>
          <w:rFonts w:cs="Arial"/>
          <w:color w:val="000000"/>
        </w:rPr>
        <w:t xml:space="preserve">the SBE Meeting for January 2022 web page at </w:t>
      </w:r>
      <w:hyperlink r:id="rId15" w:tooltip="SBE Meeting for January 2022 web page" w:history="1">
        <w:r w:rsidRPr="008D4BCC">
          <w:rPr>
            <w:rStyle w:val="Hyperlink"/>
            <w:rFonts w:cs="Arial"/>
          </w:rPr>
          <w:t>https://www.cde.ca.gov/be/ag/ag/yr22/documents/jan22item12a3.docx</w:t>
        </w:r>
      </w:hyperlink>
    </w:p>
    <w:p w14:paraId="1E0C110F" w14:textId="76B43BC4" w:rsidR="00736EF7" w:rsidRPr="008D4BCC" w:rsidRDefault="00736EF7" w:rsidP="00736EF7">
      <w:pPr>
        <w:pStyle w:val="ListParagraph"/>
        <w:numPr>
          <w:ilvl w:val="0"/>
          <w:numId w:val="13"/>
        </w:numPr>
        <w:spacing w:before="0"/>
        <w:rPr>
          <w:rFonts w:cs="Arial"/>
        </w:rPr>
      </w:pPr>
      <w:r w:rsidRPr="008D4BCC">
        <w:rPr>
          <w:rFonts w:cs="Arial"/>
        </w:rPr>
        <w:t>MOU between the SBE and ECA</w:t>
      </w:r>
      <w:r w:rsidRPr="008D4BCC">
        <w:t xml:space="preserve">, which is available on </w:t>
      </w:r>
      <w:r w:rsidRPr="008D4BCC">
        <w:rPr>
          <w:rFonts w:cs="Arial"/>
          <w:color w:val="000000"/>
        </w:rPr>
        <w:t xml:space="preserve">the SBE Meeting for January 2022 web page at </w:t>
      </w:r>
      <w:hyperlink r:id="rId16" w:tooltip="SBE Meeting for January 2022 web page" w:history="1">
        <w:r w:rsidRPr="008D4BCC">
          <w:rPr>
            <w:rStyle w:val="Hyperlink"/>
            <w:rFonts w:cs="Arial"/>
          </w:rPr>
          <w:t>https://www.cde.ca.gov/be/ag/ag/yr22/documents/jan22item12a4.pdf</w:t>
        </w:r>
      </w:hyperlink>
    </w:p>
    <w:p w14:paraId="4FF734AE" w14:textId="1A3B7996" w:rsidR="00736EF7" w:rsidRPr="008D4BCC" w:rsidRDefault="00736EF7" w:rsidP="00736EF7">
      <w:pPr>
        <w:pStyle w:val="ListParagraph"/>
        <w:numPr>
          <w:ilvl w:val="0"/>
          <w:numId w:val="13"/>
        </w:numPr>
        <w:spacing w:before="0"/>
        <w:rPr>
          <w:rFonts w:cs="Arial"/>
        </w:rPr>
      </w:pPr>
      <w:r w:rsidRPr="008D4BCC">
        <w:rPr>
          <w:rFonts w:cs="Arial"/>
        </w:rPr>
        <w:t xml:space="preserve">CDE </w:t>
      </w:r>
      <w:r w:rsidR="00A509A8" w:rsidRPr="008D4BCC">
        <w:rPr>
          <w:rFonts w:cs="Arial"/>
        </w:rPr>
        <w:t xml:space="preserve">letter of concern </w:t>
      </w:r>
      <w:r w:rsidRPr="008D4BCC">
        <w:rPr>
          <w:rFonts w:cs="Arial"/>
        </w:rPr>
        <w:t xml:space="preserve">to ECA </w:t>
      </w:r>
      <w:r w:rsidR="00A509A8" w:rsidRPr="008D4BCC">
        <w:rPr>
          <w:rFonts w:cs="Arial"/>
        </w:rPr>
        <w:t>dated</w:t>
      </w:r>
      <w:r w:rsidRPr="008D4BCC">
        <w:rPr>
          <w:rFonts w:cs="Arial"/>
        </w:rPr>
        <w:t xml:space="preserve"> November 12, 2021,</w:t>
      </w:r>
      <w:r w:rsidRPr="008D4BCC">
        <w:t xml:space="preserve"> which is available on </w:t>
      </w:r>
      <w:r w:rsidRPr="008D4BCC">
        <w:rPr>
          <w:rFonts w:cs="Arial"/>
          <w:color w:val="000000"/>
        </w:rPr>
        <w:t xml:space="preserve">the SBE Meeting for January 2022 web page at </w:t>
      </w:r>
      <w:hyperlink r:id="rId17" w:tooltip="SBE Meeting for January 2022 web page" w:history="1">
        <w:r w:rsidRPr="008D4BCC">
          <w:rPr>
            <w:rStyle w:val="Hyperlink"/>
            <w:rFonts w:cs="Arial"/>
          </w:rPr>
          <w:t>https://www.cde.ca.gov/be/ag/ag/yr22/documents/jan22item12a5.docx</w:t>
        </w:r>
      </w:hyperlink>
    </w:p>
    <w:p w14:paraId="59ACD4F2" w14:textId="3C4E12FE" w:rsidR="00736EF7" w:rsidRPr="008D4BCC" w:rsidRDefault="00736EF7" w:rsidP="00736EF7">
      <w:pPr>
        <w:pStyle w:val="ListParagraph"/>
        <w:numPr>
          <w:ilvl w:val="0"/>
          <w:numId w:val="13"/>
        </w:numPr>
        <w:spacing w:before="0"/>
        <w:rPr>
          <w:rFonts w:cs="Arial"/>
        </w:rPr>
      </w:pPr>
      <w:r w:rsidRPr="008D4BCC">
        <w:rPr>
          <w:rFonts w:cs="Arial"/>
        </w:rPr>
        <w:t xml:space="preserve">ECA </w:t>
      </w:r>
      <w:r w:rsidR="00A509A8" w:rsidRPr="008D4BCC">
        <w:rPr>
          <w:rFonts w:cs="Arial"/>
        </w:rPr>
        <w:t xml:space="preserve">response to the </w:t>
      </w:r>
      <w:r w:rsidR="00F5123C">
        <w:rPr>
          <w:rFonts w:cs="Arial"/>
        </w:rPr>
        <w:t>CDE</w:t>
      </w:r>
      <w:r w:rsidR="00A509A8" w:rsidRPr="008D4BCC">
        <w:rPr>
          <w:rFonts w:cs="Arial"/>
        </w:rPr>
        <w:t xml:space="preserve"> letter of concern dated </w:t>
      </w:r>
      <w:r w:rsidRPr="008D4BCC">
        <w:rPr>
          <w:rFonts w:cs="Arial"/>
        </w:rPr>
        <w:t>November 12, 2021, including its F</w:t>
      </w:r>
      <w:r w:rsidR="00A509A8">
        <w:rPr>
          <w:rFonts w:cs="Arial"/>
        </w:rPr>
        <w:t>iscal Corrective Action Plan</w:t>
      </w:r>
      <w:r w:rsidRPr="008D4BCC">
        <w:rPr>
          <w:rFonts w:cs="Arial"/>
        </w:rPr>
        <w:t xml:space="preserve"> and </w:t>
      </w:r>
      <w:r w:rsidR="00A509A8">
        <w:rPr>
          <w:rFonts w:cs="Arial"/>
        </w:rPr>
        <w:t>IS</w:t>
      </w:r>
      <w:r w:rsidR="00A509A8" w:rsidRPr="008D4BCC">
        <w:rPr>
          <w:rFonts w:cs="Arial"/>
        </w:rPr>
        <w:t xml:space="preserve"> master agreements</w:t>
      </w:r>
      <w:r w:rsidRPr="008D4BCC">
        <w:t xml:space="preserve">, which is available on </w:t>
      </w:r>
      <w:r w:rsidRPr="008D4BCC">
        <w:rPr>
          <w:rFonts w:cs="Arial"/>
          <w:color w:val="000000"/>
        </w:rPr>
        <w:t>the SBE Meeting for January 2022 web page at</w:t>
      </w:r>
      <w:r w:rsidRPr="008D4BCC">
        <w:rPr>
          <w:rFonts w:cs="Arial"/>
        </w:rPr>
        <w:t xml:space="preserve"> </w:t>
      </w:r>
      <w:hyperlink r:id="rId18" w:tooltip="SBE Meeting for January 2022 web page" w:history="1">
        <w:r w:rsidRPr="008D4BCC">
          <w:rPr>
            <w:rStyle w:val="Hyperlink"/>
            <w:rFonts w:cs="Arial"/>
          </w:rPr>
          <w:t>https://www.cde.ca.gov/be/ag/ag/yr22/documents/jan22item12a6.pdf</w:t>
        </w:r>
      </w:hyperlink>
    </w:p>
    <w:p w14:paraId="56722AAB" w14:textId="01DAA73A" w:rsidR="00736EF7" w:rsidRPr="008D4BCC" w:rsidRDefault="00736EF7" w:rsidP="00736EF7">
      <w:pPr>
        <w:pStyle w:val="ListParagraph"/>
        <w:numPr>
          <w:ilvl w:val="0"/>
          <w:numId w:val="13"/>
        </w:numPr>
        <w:spacing w:before="0"/>
        <w:rPr>
          <w:rFonts w:cs="Arial"/>
        </w:rPr>
      </w:pPr>
      <w:r w:rsidRPr="008D4BCC">
        <w:rPr>
          <w:rFonts w:cs="Arial"/>
        </w:rPr>
        <w:t xml:space="preserve">CDE </w:t>
      </w:r>
      <w:r w:rsidR="00A509A8" w:rsidRPr="008D4BCC">
        <w:rPr>
          <w:rFonts w:cs="Arial"/>
        </w:rPr>
        <w:t xml:space="preserve">response </w:t>
      </w:r>
      <w:r w:rsidRPr="008D4BCC">
        <w:rPr>
          <w:rFonts w:cs="Arial"/>
        </w:rPr>
        <w:t xml:space="preserve">to ECA </w:t>
      </w:r>
      <w:r w:rsidR="00A509A8" w:rsidRPr="008D4BCC">
        <w:rPr>
          <w:rFonts w:cs="Arial"/>
        </w:rPr>
        <w:t xml:space="preserve">letter dated </w:t>
      </w:r>
      <w:r w:rsidRPr="008D4BCC">
        <w:rPr>
          <w:rFonts w:cs="Arial"/>
        </w:rPr>
        <w:t>December 9, 2021</w:t>
      </w:r>
      <w:r w:rsidRPr="008D4BCC">
        <w:t xml:space="preserve">, which is available on </w:t>
      </w:r>
      <w:r w:rsidRPr="008D4BCC">
        <w:rPr>
          <w:rFonts w:cs="Arial"/>
          <w:color w:val="000000"/>
        </w:rPr>
        <w:t xml:space="preserve">the SBE Meeting for January 2022 web page at </w:t>
      </w:r>
      <w:hyperlink r:id="rId19" w:tooltip="SBE Meeting for January 2022 web page" w:history="1">
        <w:r w:rsidRPr="008D4BCC">
          <w:rPr>
            <w:rStyle w:val="Hyperlink"/>
            <w:rFonts w:cs="Arial"/>
          </w:rPr>
          <w:t>https://www.cde.ca.gov/be/ag/ag/yr22/documents/jan22item12a7.docx</w:t>
        </w:r>
      </w:hyperlink>
    </w:p>
    <w:p w14:paraId="74DBCB64" w14:textId="7DA0188C" w:rsidR="00736EF7" w:rsidRPr="008D4BCC" w:rsidRDefault="00736EF7" w:rsidP="00736EF7">
      <w:pPr>
        <w:pStyle w:val="ListParagraph"/>
        <w:numPr>
          <w:ilvl w:val="0"/>
          <w:numId w:val="13"/>
        </w:numPr>
        <w:spacing w:before="0"/>
        <w:rPr>
          <w:rFonts w:cs="Arial"/>
        </w:rPr>
      </w:pPr>
      <w:r w:rsidRPr="008D4BCC">
        <w:rPr>
          <w:rFonts w:cs="Arial"/>
        </w:rPr>
        <w:t xml:space="preserve">ECA PENSEC Report and Charter School 20-Day Attendance Report may be viewed at the following link: </w:t>
      </w:r>
      <w:hyperlink r:id="rId20" w:tooltip="SBE Meeting for January 2022 web page" w:history="1">
        <w:r w:rsidRPr="008D4BCC">
          <w:rPr>
            <w:rStyle w:val="Hyperlink"/>
            <w:rFonts w:cs="Arial"/>
          </w:rPr>
          <w:t>https://www.cde.ca.gov/be/ag/ag/yr22/jan22item12a8.asp</w:t>
        </w:r>
      </w:hyperlink>
    </w:p>
    <w:p w14:paraId="2F16C366" w14:textId="24DFD4CB" w:rsidR="00736EF7" w:rsidRPr="008D4BCC" w:rsidRDefault="00736EF7" w:rsidP="00736EF7">
      <w:pPr>
        <w:pStyle w:val="Default"/>
        <w:numPr>
          <w:ilvl w:val="0"/>
          <w:numId w:val="13"/>
        </w:numPr>
        <w:spacing w:after="240"/>
      </w:pPr>
      <w:r w:rsidRPr="008D4BCC">
        <w:t xml:space="preserve">CDE </w:t>
      </w:r>
      <w:r w:rsidR="00A509A8" w:rsidRPr="008D4BCC">
        <w:t xml:space="preserve">fiscal analysis </w:t>
      </w:r>
      <w:r w:rsidRPr="008D4BCC">
        <w:t xml:space="preserve">of ECA, which is available on the SBE Meeting for January 2022 web page at </w:t>
      </w:r>
      <w:hyperlink r:id="rId21" w:tooltip="SBE Meeting for January 2022 web page" w:history="1">
        <w:r w:rsidRPr="008D4BCC">
          <w:rPr>
            <w:rStyle w:val="Hyperlink"/>
          </w:rPr>
          <w:t>https://www.cde.ca.gov/be/ag/ag/yr22/documents/jan22item12a9.docx</w:t>
        </w:r>
      </w:hyperlink>
    </w:p>
    <w:p w14:paraId="1752F480" w14:textId="0C11E08A" w:rsidR="00736EF7" w:rsidRPr="008D4BCC" w:rsidRDefault="00736EF7" w:rsidP="00736EF7">
      <w:pPr>
        <w:pStyle w:val="ListParagraph"/>
        <w:numPr>
          <w:ilvl w:val="0"/>
          <w:numId w:val="13"/>
        </w:numPr>
        <w:spacing w:before="0"/>
        <w:rPr>
          <w:rFonts w:cs="Arial"/>
        </w:rPr>
      </w:pPr>
      <w:r w:rsidRPr="008D4BCC">
        <w:rPr>
          <w:rFonts w:cs="Arial"/>
        </w:rPr>
        <w:t xml:space="preserve">CDE </w:t>
      </w:r>
      <w:r w:rsidR="00A509A8" w:rsidRPr="008D4BCC">
        <w:rPr>
          <w:rFonts w:cs="Arial"/>
        </w:rPr>
        <w:t>pre-opening site inspection checklist</w:t>
      </w:r>
      <w:r w:rsidRPr="008D4BCC">
        <w:t xml:space="preserve">, which is available on </w:t>
      </w:r>
      <w:r w:rsidRPr="008D4BCC">
        <w:rPr>
          <w:rFonts w:cs="Arial"/>
          <w:color w:val="000000"/>
        </w:rPr>
        <w:t xml:space="preserve">the SBE Meeting for January 2022 web page at </w:t>
      </w:r>
      <w:hyperlink r:id="rId22" w:tooltip="SBE Meeting for January 2022 web page" w:history="1">
        <w:r w:rsidRPr="008D4BCC">
          <w:rPr>
            <w:rStyle w:val="Hyperlink"/>
            <w:rFonts w:cs="Arial"/>
          </w:rPr>
          <w:t>https://www.cde.ca.gov/be/ag/ag/yr22/documents/jan22item12a10.docx</w:t>
        </w:r>
      </w:hyperlink>
    </w:p>
    <w:p w14:paraId="647AA12C" w14:textId="3BD59715" w:rsidR="00736EF7" w:rsidRPr="008D4BCC" w:rsidRDefault="00736EF7" w:rsidP="00736EF7">
      <w:pPr>
        <w:pStyle w:val="Default"/>
        <w:numPr>
          <w:ilvl w:val="0"/>
          <w:numId w:val="13"/>
        </w:numPr>
        <w:spacing w:after="240"/>
      </w:pPr>
      <w:r w:rsidRPr="008D4BCC">
        <w:t xml:space="preserve">Communication from the CDE, School Fiscal Services Division to ECA </w:t>
      </w:r>
      <w:r w:rsidR="00A509A8" w:rsidRPr="008D4BCC">
        <w:t>da</w:t>
      </w:r>
      <w:r w:rsidRPr="008D4BCC">
        <w:t xml:space="preserve">ted December 16, 2021, which is available on the SBE Meeting for January 2022 </w:t>
      </w:r>
      <w:r w:rsidRPr="008D4BCC">
        <w:lastRenderedPageBreak/>
        <w:t xml:space="preserve">web page at </w:t>
      </w:r>
      <w:hyperlink r:id="rId23" w:tooltip="SBE Meeting for January 2022 web page" w:history="1">
        <w:r w:rsidRPr="008D4BCC">
          <w:rPr>
            <w:rStyle w:val="Hyperlink"/>
          </w:rPr>
          <w:t>https://www.cde.ca.gov/be/ag/ag/yr22/documents/jan22item12a11.docx</w:t>
        </w:r>
      </w:hyperlink>
    </w:p>
    <w:p w14:paraId="4F860A8C" w14:textId="321A73B4" w:rsidR="00736EF7" w:rsidRPr="008D4BCC" w:rsidRDefault="00736EF7" w:rsidP="00736EF7">
      <w:pPr>
        <w:pStyle w:val="Default"/>
        <w:numPr>
          <w:ilvl w:val="0"/>
          <w:numId w:val="13"/>
        </w:numPr>
        <w:spacing w:after="240"/>
      </w:pPr>
      <w:r w:rsidRPr="008D4BCC">
        <w:t xml:space="preserve">PCSGP </w:t>
      </w:r>
      <w:r w:rsidR="00A509A8" w:rsidRPr="008D4BCC">
        <w:t xml:space="preserve">letter of concern to </w:t>
      </w:r>
      <w:r w:rsidRPr="008D4BCC">
        <w:t xml:space="preserve">ECA </w:t>
      </w:r>
      <w:r w:rsidR="00A509A8" w:rsidRPr="008D4BCC">
        <w:t>dat</w:t>
      </w:r>
      <w:r w:rsidRPr="008D4BCC">
        <w:t xml:space="preserve">ed December 28, 2021, which is available on the SBE Meeting for January 2022 web page at </w:t>
      </w:r>
      <w:hyperlink r:id="rId24" w:tooltip="SBE Meeting for January 2022 web page" w:history="1">
        <w:r w:rsidRPr="008D4BCC">
          <w:rPr>
            <w:rStyle w:val="Hyperlink"/>
          </w:rPr>
          <w:t>https://www.cde.ca.gov/be/ag/ag/yr22/documents/jan22item12a12.docx</w:t>
        </w:r>
      </w:hyperlink>
    </w:p>
    <w:p w14:paraId="644F7679" w14:textId="1B449BD1" w:rsidR="00736EF7" w:rsidRPr="008D4BCC" w:rsidRDefault="00736EF7" w:rsidP="00736EF7">
      <w:pPr>
        <w:pStyle w:val="Default"/>
        <w:numPr>
          <w:ilvl w:val="0"/>
          <w:numId w:val="13"/>
        </w:numPr>
        <w:spacing w:after="240"/>
      </w:pPr>
      <w:r w:rsidRPr="008D4BCC">
        <w:t xml:space="preserve">El Dorado County Special Education Local Plan Area Letter to Chief Executive Officer Okoye-Johnson </w:t>
      </w:r>
      <w:r w:rsidR="00A509A8" w:rsidRPr="008D4BCC">
        <w:t>d</w:t>
      </w:r>
      <w:r w:rsidRPr="008D4BCC">
        <w:t xml:space="preserve">ated December 1, 2021, which is available on the SBE Meeting for January 2022 web page at </w:t>
      </w:r>
      <w:hyperlink r:id="rId25" w:tooltip="SBE Meeting for January 2022 web page" w:history="1">
        <w:r w:rsidRPr="008D4BCC">
          <w:rPr>
            <w:rStyle w:val="Hyperlink"/>
          </w:rPr>
          <w:t>https://www.cde.ca.gov/be/ag/ag/yr22/documents/jan22item12a13.docx</w:t>
        </w:r>
      </w:hyperlink>
    </w:p>
    <w:p w14:paraId="44A46707" w14:textId="278BE741" w:rsidR="00E5519D" w:rsidRPr="008D4BCC" w:rsidRDefault="00E5519D" w:rsidP="000E5E40">
      <w:pPr>
        <w:pStyle w:val="Heading2"/>
      </w:pPr>
      <w:r w:rsidRPr="008D4BCC">
        <w:t>Attachments</w:t>
      </w:r>
    </w:p>
    <w:p w14:paraId="72114B16" w14:textId="613785E6" w:rsidR="00BE004B" w:rsidRPr="008D4BCC" w:rsidRDefault="00E5519D" w:rsidP="00BE004B">
      <w:pPr>
        <w:pStyle w:val="Default"/>
        <w:numPr>
          <w:ilvl w:val="0"/>
          <w:numId w:val="13"/>
        </w:numPr>
        <w:spacing w:after="240"/>
      </w:pPr>
      <w:bookmarkStart w:id="14" w:name="_Hlk91152495"/>
      <w:r w:rsidRPr="008D4BCC">
        <w:rPr>
          <w:b/>
        </w:rPr>
        <w:t>Attachment 1:</w:t>
      </w:r>
      <w:r w:rsidRPr="008D4BCC">
        <w:t xml:space="preserve"> </w:t>
      </w:r>
      <w:r w:rsidR="00583506" w:rsidRPr="008D4BCC">
        <w:t xml:space="preserve">Letter to Board President Higginbotham and Chief Executive Officer Okoye-Johnson Dated January 12, 2022: Notice of Violation Pursuant to California </w:t>
      </w:r>
      <w:r w:rsidR="00583506" w:rsidRPr="008D4BCC">
        <w:rPr>
          <w:i/>
        </w:rPr>
        <w:t>Education Code</w:t>
      </w:r>
      <w:r w:rsidR="00583506" w:rsidRPr="008D4BCC">
        <w:t xml:space="preserve"> Section 47607(g)</w:t>
      </w:r>
      <w:r w:rsidR="004E5BB4" w:rsidRPr="008D4BCC">
        <w:t xml:space="preserve"> (</w:t>
      </w:r>
      <w:r w:rsidR="006805E6" w:rsidRPr="008D4BCC">
        <w:t>8</w:t>
      </w:r>
      <w:r w:rsidR="004E5BB4" w:rsidRPr="008D4BCC">
        <w:t xml:space="preserve"> </w:t>
      </w:r>
      <w:r w:rsidR="00E4483A" w:rsidRPr="008D4BCC">
        <w:t>Pages</w:t>
      </w:r>
      <w:r w:rsidR="004E5BB4" w:rsidRPr="008D4BCC">
        <w:t>)</w:t>
      </w:r>
    </w:p>
    <w:p w14:paraId="1C7A7924" w14:textId="22B8DC11" w:rsidR="00BE004B" w:rsidRPr="008D4BCC" w:rsidRDefault="00BE004B" w:rsidP="00BE004B">
      <w:pPr>
        <w:pStyle w:val="Default"/>
        <w:numPr>
          <w:ilvl w:val="0"/>
          <w:numId w:val="13"/>
        </w:numPr>
        <w:spacing w:after="240"/>
      </w:pPr>
      <w:r w:rsidRPr="008D4BCC">
        <w:rPr>
          <w:b/>
        </w:rPr>
        <w:t>Attachment 2:</w:t>
      </w:r>
      <w:r w:rsidRPr="008D4BCC">
        <w:t xml:space="preserve"> Eagle Collegiate Academy Response to the California State Board of Education Notice of Violation</w:t>
      </w:r>
      <w:r w:rsidR="00583506" w:rsidRPr="008D4BCC">
        <w:t>,</w:t>
      </w:r>
      <w:r w:rsidRPr="008D4BCC">
        <w:t xml:space="preserve"> Dated January</w:t>
      </w:r>
      <w:r w:rsidR="00583506" w:rsidRPr="008D4BCC">
        <w:t xml:space="preserve"> 26, </w:t>
      </w:r>
      <w:r w:rsidRPr="008D4BCC">
        <w:t>2022 (</w:t>
      </w:r>
      <w:r w:rsidR="00417CB5">
        <w:t>95</w:t>
      </w:r>
      <w:r w:rsidRPr="008D4BCC">
        <w:t xml:space="preserve"> </w:t>
      </w:r>
      <w:r w:rsidR="00E4483A" w:rsidRPr="008D4BCC">
        <w:t>P</w:t>
      </w:r>
      <w:r w:rsidRPr="008D4BCC">
        <w:t>ages)</w:t>
      </w:r>
    </w:p>
    <w:p w14:paraId="6C003C94" w14:textId="420B78BA" w:rsidR="00D25C18" w:rsidRPr="008D4BCC" w:rsidRDefault="00BE004B" w:rsidP="0010507B">
      <w:pPr>
        <w:pStyle w:val="Default"/>
        <w:numPr>
          <w:ilvl w:val="0"/>
          <w:numId w:val="13"/>
        </w:numPr>
        <w:spacing w:after="240"/>
      </w:pPr>
      <w:r w:rsidRPr="008D4BCC">
        <w:rPr>
          <w:b/>
        </w:rPr>
        <w:t>Attachment 3:</w:t>
      </w:r>
      <w:r w:rsidRPr="008D4BCC">
        <w:t xml:space="preserve"> </w:t>
      </w:r>
      <w:bookmarkStart w:id="15" w:name="_Hlk94299272"/>
      <w:r w:rsidRPr="008D4BCC">
        <w:t>California Department of Education Analysis of</w:t>
      </w:r>
      <w:r w:rsidR="00583506" w:rsidRPr="008D4BCC">
        <w:t xml:space="preserve"> the</w:t>
      </w:r>
      <w:r w:rsidRPr="008D4BCC">
        <w:t xml:space="preserve"> Eagle Collegiate Academy </w:t>
      </w:r>
      <w:r w:rsidR="00E4483A" w:rsidRPr="008D4BCC">
        <w:t xml:space="preserve">Response </w:t>
      </w:r>
      <w:r w:rsidRPr="008D4BCC">
        <w:t xml:space="preserve">to the California State Board of Education Notice of Violation </w:t>
      </w:r>
      <w:bookmarkEnd w:id="15"/>
      <w:r w:rsidRPr="008D4BCC">
        <w:t>(</w:t>
      </w:r>
      <w:r w:rsidR="00417CB5">
        <w:t>15</w:t>
      </w:r>
      <w:r w:rsidRPr="008D4BCC">
        <w:t xml:space="preserve"> Pages)</w:t>
      </w:r>
      <w:bookmarkEnd w:id="11"/>
      <w:bookmarkEnd w:id="12"/>
      <w:bookmarkEnd w:id="14"/>
    </w:p>
    <w:sectPr w:rsidR="00D25C18" w:rsidRPr="008D4BCC" w:rsidSect="00DC278A">
      <w:headerReference w:type="default" r:id="rId26"/>
      <w:headerReference w:type="first" r:id="rId27"/>
      <w:footerReference w:type="first" r:id="rId28"/>
      <w:type w:val="continuous"/>
      <w:pgSz w:w="12240" w:h="15840"/>
      <w:pgMar w:top="720" w:right="1440" w:bottom="994" w:left="144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EB8F44" w14:textId="77777777" w:rsidR="00A35606" w:rsidRDefault="00A35606" w:rsidP="000E09DC">
      <w:r>
        <w:separator/>
      </w:r>
    </w:p>
  </w:endnote>
  <w:endnote w:type="continuationSeparator" w:id="0">
    <w:p w14:paraId="0131393E" w14:textId="77777777" w:rsidR="00A35606" w:rsidRDefault="00A35606" w:rsidP="000E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FB637" w14:textId="77777777" w:rsidR="00A37B85" w:rsidRDefault="00A37B85" w:rsidP="00DC278A">
    <w:pPr>
      <w:pStyle w:val="Footer"/>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52337" w14:textId="77777777" w:rsidR="00A35606" w:rsidRDefault="00A35606" w:rsidP="000E09DC">
      <w:r>
        <w:separator/>
      </w:r>
    </w:p>
  </w:footnote>
  <w:footnote w:type="continuationSeparator" w:id="0">
    <w:p w14:paraId="18AC6574" w14:textId="77777777" w:rsidR="00A35606" w:rsidRDefault="00A35606" w:rsidP="000E09DC">
      <w:r>
        <w:continuationSeparator/>
      </w:r>
    </w:p>
  </w:footnote>
  <w:footnote w:id="1">
    <w:p w14:paraId="18EB2BC7" w14:textId="77777777" w:rsidR="00876699" w:rsidRPr="00AF3E4F" w:rsidRDefault="00876699" w:rsidP="00876699">
      <w:pPr>
        <w:pStyle w:val="FootnoteText"/>
        <w:rPr>
          <w:rFonts w:cs="Arial"/>
        </w:rPr>
      </w:pPr>
      <w:r w:rsidRPr="00AF3E4F">
        <w:rPr>
          <w:rStyle w:val="FootnoteReference"/>
          <w:rFonts w:cs="Arial"/>
          <w:sz w:val="24"/>
        </w:rPr>
        <w:footnoteRef/>
      </w:r>
      <w:r w:rsidRPr="00AF3E4F">
        <w:rPr>
          <w:rFonts w:cs="Arial"/>
          <w:sz w:val="24"/>
        </w:rPr>
        <w:t xml:space="preserve"> Cash balance indicates the amount of cash the school has in the bank. Fund balance includes all cash assets, plus any additional assets the school holds; therefore, a school’s fund balance is not likely to equal cash balance. When a school reaches a zero cash balance, the school can no longer meet its current obligations, including staff and teacher salaries and benefits.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8CA6B" w14:textId="637E8B36" w:rsidR="00A37B85" w:rsidRPr="00E5519D" w:rsidRDefault="00A37B85" w:rsidP="00BA695B">
    <w:pPr>
      <w:spacing w:after="0"/>
      <w:jc w:val="right"/>
    </w:pPr>
    <w:r w:rsidRPr="00E5519D">
      <w:rPr>
        <w:rFonts w:cs="Arial"/>
      </w:rPr>
      <w:t>accs-feb22item01</w:t>
    </w:r>
  </w:p>
  <w:p w14:paraId="39FA5079" w14:textId="77777777" w:rsidR="00A37B85" w:rsidRDefault="00A37B85" w:rsidP="00BA695B">
    <w:pPr>
      <w:pStyle w:val="Header"/>
      <w:spacing w:before="0"/>
      <w:jc w:val="right"/>
      <w:rPr>
        <w:rFonts w:cs="Arial"/>
        <w:bCs/>
      </w:rPr>
    </w:pPr>
    <w:r w:rsidRPr="00E5519D">
      <w:rPr>
        <w:rFonts w:cs="Arial"/>
      </w:rPr>
      <w:t xml:space="preserve">Page </w:t>
    </w:r>
    <w:r w:rsidRPr="00E5519D">
      <w:rPr>
        <w:rFonts w:cs="Arial"/>
        <w:bCs/>
      </w:rPr>
      <w:fldChar w:fldCharType="begin"/>
    </w:r>
    <w:r w:rsidRPr="00E5519D">
      <w:rPr>
        <w:rFonts w:cs="Arial"/>
        <w:bCs/>
      </w:rPr>
      <w:instrText xml:space="preserve"> PAGE  \* Arabic  \* MERGEFORMAT </w:instrText>
    </w:r>
    <w:r w:rsidRPr="00E5519D">
      <w:rPr>
        <w:rFonts w:cs="Arial"/>
        <w:bCs/>
      </w:rPr>
      <w:fldChar w:fldCharType="separate"/>
    </w:r>
    <w:r w:rsidRPr="00E5519D">
      <w:rPr>
        <w:rFonts w:cs="Arial"/>
        <w:bCs/>
        <w:noProof/>
      </w:rPr>
      <w:t>3</w:t>
    </w:r>
    <w:r w:rsidRPr="00E5519D">
      <w:rPr>
        <w:rFonts w:cs="Arial"/>
        <w:bCs/>
      </w:rPr>
      <w:fldChar w:fldCharType="end"/>
    </w:r>
    <w:r w:rsidRPr="00E5519D">
      <w:rPr>
        <w:rFonts w:cs="Arial"/>
      </w:rPr>
      <w:t xml:space="preserve"> of </w:t>
    </w:r>
    <w:r w:rsidRPr="00E5519D">
      <w:rPr>
        <w:rFonts w:cs="Arial"/>
        <w:bCs/>
      </w:rPr>
      <w:fldChar w:fldCharType="begin"/>
    </w:r>
    <w:r w:rsidRPr="00E5519D">
      <w:rPr>
        <w:rFonts w:cs="Arial"/>
        <w:bCs/>
      </w:rPr>
      <w:instrText xml:space="preserve"> NUMPAGES  \* Arabic  \* MERGEFORMAT </w:instrText>
    </w:r>
    <w:r w:rsidRPr="00E5519D">
      <w:rPr>
        <w:rFonts w:cs="Arial"/>
        <w:bCs/>
      </w:rPr>
      <w:fldChar w:fldCharType="separate"/>
    </w:r>
    <w:r w:rsidRPr="00E5519D">
      <w:rPr>
        <w:rFonts w:cs="Arial"/>
        <w:bCs/>
        <w:noProof/>
      </w:rPr>
      <w:t>3</w:t>
    </w:r>
    <w:r w:rsidRPr="00E5519D">
      <w:rPr>
        <w:rFonts w:cs="Arial"/>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7CE9C" w14:textId="77777777" w:rsidR="00A37B85" w:rsidRDefault="00A37B85" w:rsidP="00DC278A">
    <w:pPr>
      <w:pStyle w:val="Heade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6F41E2"/>
    <w:multiLevelType w:val="hybridMultilevel"/>
    <w:tmpl w:val="017097B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00EC1"/>
    <w:multiLevelType w:val="hybridMultilevel"/>
    <w:tmpl w:val="CC5A5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900F3C"/>
    <w:multiLevelType w:val="hybridMultilevel"/>
    <w:tmpl w:val="98487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FF3B17"/>
    <w:multiLevelType w:val="hybridMultilevel"/>
    <w:tmpl w:val="B27E4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3109EB"/>
    <w:multiLevelType w:val="hybridMultilevel"/>
    <w:tmpl w:val="5A8AC18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EB787E"/>
    <w:multiLevelType w:val="hybridMultilevel"/>
    <w:tmpl w:val="766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CF6D20"/>
    <w:multiLevelType w:val="hybridMultilevel"/>
    <w:tmpl w:val="85CEA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7E25DD"/>
    <w:multiLevelType w:val="hybridMultilevel"/>
    <w:tmpl w:val="B55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7252A3"/>
    <w:multiLevelType w:val="hybridMultilevel"/>
    <w:tmpl w:val="F9BEB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1B1A03"/>
    <w:multiLevelType w:val="hybridMultilevel"/>
    <w:tmpl w:val="B0A89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6C4B5A"/>
    <w:multiLevelType w:val="hybridMultilevel"/>
    <w:tmpl w:val="A5289E18"/>
    <w:lvl w:ilvl="0" w:tplc="542EB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18C572B"/>
    <w:multiLevelType w:val="hybridMultilevel"/>
    <w:tmpl w:val="B4AA7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020A5B"/>
    <w:multiLevelType w:val="hybridMultilevel"/>
    <w:tmpl w:val="2884AFBE"/>
    <w:lvl w:ilvl="0" w:tplc="1BBEC3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602A4D"/>
    <w:multiLevelType w:val="hybridMultilevel"/>
    <w:tmpl w:val="51D6E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9F113F"/>
    <w:multiLevelType w:val="hybridMultilevel"/>
    <w:tmpl w:val="F4888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5A6C1F"/>
    <w:multiLevelType w:val="hybridMultilevel"/>
    <w:tmpl w:val="3F004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24392F"/>
    <w:multiLevelType w:val="hybridMultilevel"/>
    <w:tmpl w:val="33F838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F9B338C"/>
    <w:multiLevelType w:val="hybridMultilevel"/>
    <w:tmpl w:val="72F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F96AEF"/>
    <w:multiLevelType w:val="hybridMultilevel"/>
    <w:tmpl w:val="47D8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BF2AE7"/>
    <w:multiLevelType w:val="hybridMultilevel"/>
    <w:tmpl w:val="57F489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D2730D"/>
    <w:multiLevelType w:val="hybridMultilevel"/>
    <w:tmpl w:val="63D8C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B1A0839"/>
    <w:multiLevelType w:val="hybridMultilevel"/>
    <w:tmpl w:val="383E1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5A6D6A"/>
    <w:multiLevelType w:val="hybridMultilevel"/>
    <w:tmpl w:val="92A67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145112"/>
    <w:multiLevelType w:val="hybridMultilevel"/>
    <w:tmpl w:val="85906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F30A1A"/>
    <w:multiLevelType w:val="hybridMultilevel"/>
    <w:tmpl w:val="83782D34"/>
    <w:lvl w:ilvl="0" w:tplc="2C9CE1D4">
      <w:start w:val="1"/>
      <w:numFmt w:val="bullet"/>
      <w:lvlText w:val=""/>
      <w:lvlJc w:val="left"/>
      <w:pPr>
        <w:ind w:left="720" w:hanging="360"/>
      </w:pPr>
      <w:rPr>
        <w:rFonts w:ascii="Symbol" w:hAnsi="Symbol" w:hint="default"/>
        <w:u w:color="5B9BD5" w:themeColor="accen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1"/>
  </w:num>
  <w:num w:numId="3">
    <w:abstractNumId w:val="6"/>
  </w:num>
  <w:num w:numId="4">
    <w:abstractNumId w:val="18"/>
  </w:num>
  <w:num w:numId="5">
    <w:abstractNumId w:val="19"/>
  </w:num>
  <w:num w:numId="6">
    <w:abstractNumId w:val="0"/>
  </w:num>
  <w:num w:numId="7">
    <w:abstractNumId w:val="8"/>
  </w:num>
  <w:num w:numId="8">
    <w:abstractNumId w:val="12"/>
  </w:num>
  <w:num w:numId="9">
    <w:abstractNumId w:val="15"/>
  </w:num>
  <w:num w:numId="10">
    <w:abstractNumId w:val="23"/>
  </w:num>
  <w:num w:numId="11">
    <w:abstractNumId w:val="2"/>
  </w:num>
  <w:num w:numId="12">
    <w:abstractNumId w:val="7"/>
  </w:num>
  <w:num w:numId="13">
    <w:abstractNumId w:val="22"/>
  </w:num>
  <w:num w:numId="14">
    <w:abstractNumId w:val="13"/>
  </w:num>
  <w:num w:numId="15">
    <w:abstractNumId w:val="4"/>
  </w:num>
  <w:num w:numId="16">
    <w:abstractNumId w:val="25"/>
  </w:num>
  <w:num w:numId="17">
    <w:abstractNumId w:val="3"/>
  </w:num>
  <w:num w:numId="18">
    <w:abstractNumId w:val="17"/>
  </w:num>
  <w:num w:numId="19">
    <w:abstractNumId w:val="16"/>
  </w:num>
  <w:num w:numId="20">
    <w:abstractNumId w:val="5"/>
  </w:num>
  <w:num w:numId="21">
    <w:abstractNumId w:val="10"/>
  </w:num>
  <w:num w:numId="22">
    <w:abstractNumId w:val="24"/>
  </w:num>
  <w:num w:numId="23">
    <w:abstractNumId w:val="20"/>
  </w:num>
  <w:num w:numId="24">
    <w:abstractNumId w:val="14"/>
  </w:num>
  <w:num w:numId="25">
    <w:abstractNumId w:val="9"/>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19D"/>
    <w:rsid w:val="000040D5"/>
    <w:rsid w:val="000220F2"/>
    <w:rsid w:val="00024BDD"/>
    <w:rsid w:val="00025553"/>
    <w:rsid w:val="000321AE"/>
    <w:rsid w:val="000324AD"/>
    <w:rsid w:val="000412D3"/>
    <w:rsid w:val="000471DF"/>
    <w:rsid w:val="00047DD4"/>
    <w:rsid w:val="00050515"/>
    <w:rsid w:val="00054260"/>
    <w:rsid w:val="00057AE0"/>
    <w:rsid w:val="00063DAB"/>
    <w:rsid w:val="00082680"/>
    <w:rsid w:val="00087980"/>
    <w:rsid w:val="0009661F"/>
    <w:rsid w:val="0009698C"/>
    <w:rsid w:val="000971F0"/>
    <w:rsid w:val="000A2800"/>
    <w:rsid w:val="000A5399"/>
    <w:rsid w:val="000B14AF"/>
    <w:rsid w:val="000B249D"/>
    <w:rsid w:val="000C1BE6"/>
    <w:rsid w:val="000C6A63"/>
    <w:rsid w:val="000D3BEF"/>
    <w:rsid w:val="000D6CA2"/>
    <w:rsid w:val="000D6CF6"/>
    <w:rsid w:val="000E09DC"/>
    <w:rsid w:val="000E5E40"/>
    <w:rsid w:val="000F44B6"/>
    <w:rsid w:val="000F622C"/>
    <w:rsid w:val="000F6ACE"/>
    <w:rsid w:val="001048F3"/>
    <w:rsid w:val="0010507B"/>
    <w:rsid w:val="00115A37"/>
    <w:rsid w:val="0011739A"/>
    <w:rsid w:val="00130059"/>
    <w:rsid w:val="00136963"/>
    <w:rsid w:val="0013778B"/>
    <w:rsid w:val="00147394"/>
    <w:rsid w:val="00150DF8"/>
    <w:rsid w:val="00153800"/>
    <w:rsid w:val="00154B7A"/>
    <w:rsid w:val="00156F66"/>
    <w:rsid w:val="001656C6"/>
    <w:rsid w:val="00174FE7"/>
    <w:rsid w:val="0018148D"/>
    <w:rsid w:val="00190BDD"/>
    <w:rsid w:val="00192D01"/>
    <w:rsid w:val="00197B2D"/>
    <w:rsid w:val="001A0CA5"/>
    <w:rsid w:val="001A31DC"/>
    <w:rsid w:val="001A5CD3"/>
    <w:rsid w:val="001B3958"/>
    <w:rsid w:val="001C004F"/>
    <w:rsid w:val="001C7F2F"/>
    <w:rsid w:val="001D7FAC"/>
    <w:rsid w:val="001E1929"/>
    <w:rsid w:val="001E7134"/>
    <w:rsid w:val="001E7834"/>
    <w:rsid w:val="001F19FB"/>
    <w:rsid w:val="001F61CF"/>
    <w:rsid w:val="00200D9F"/>
    <w:rsid w:val="00201ADC"/>
    <w:rsid w:val="00212CCC"/>
    <w:rsid w:val="00220188"/>
    <w:rsid w:val="00223112"/>
    <w:rsid w:val="00224AE7"/>
    <w:rsid w:val="00227190"/>
    <w:rsid w:val="0023022E"/>
    <w:rsid w:val="002304A3"/>
    <w:rsid w:val="00230A03"/>
    <w:rsid w:val="00240B26"/>
    <w:rsid w:val="00252267"/>
    <w:rsid w:val="0026358A"/>
    <w:rsid w:val="00266143"/>
    <w:rsid w:val="00276BB0"/>
    <w:rsid w:val="00277C39"/>
    <w:rsid w:val="00280F10"/>
    <w:rsid w:val="00283031"/>
    <w:rsid w:val="00290E53"/>
    <w:rsid w:val="002B31F6"/>
    <w:rsid w:val="002B4B14"/>
    <w:rsid w:val="002D1A82"/>
    <w:rsid w:val="002D3CBC"/>
    <w:rsid w:val="002D58FE"/>
    <w:rsid w:val="002D6EC8"/>
    <w:rsid w:val="002D73B1"/>
    <w:rsid w:val="002E31EF"/>
    <w:rsid w:val="002E3B6F"/>
    <w:rsid w:val="002E4CB5"/>
    <w:rsid w:val="002E6FCA"/>
    <w:rsid w:val="002F279B"/>
    <w:rsid w:val="002F563A"/>
    <w:rsid w:val="002F6D3D"/>
    <w:rsid w:val="002F7D01"/>
    <w:rsid w:val="003001D3"/>
    <w:rsid w:val="00305FD8"/>
    <w:rsid w:val="00315131"/>
    <w:rsid w:val="00315E49"/>
    <w:rsid w:val="003160BF"/>
    <w:rsid w:val="0031611E"/>
    <w:rsid w:val="0032564F"/>
    <w:rsid w:val="00333209"/>
    <w:rsid w:val="00333211"/>
    <w:rsid w:val="003437AF"/>
    <w:rsid w:val="003453FB"/>
    <w:rsid w:val="00345DB2"/>
    <w:rsid w:val="00363520"/>
    <w:rsid w:val="003705FC"/>
    <w:rsid w:val="003718CC"/>
    <w:rsid w:val="00371992"/>
    <w:rsid w:val="00377E40"/>
    <w:rsid w:val="00380B4C"/>
    <w:rsid w:val="00384ACF"/>
    <w:rsid w:val="00394E45"/>
    <w:rsid w:val="003B0BC3"/>
    <w:rsid w:val="003B3111"/>
    <w:rsid w:val="003B5B8E"/>
    <w:rsid w:val="003B7F2A"/>
    <w:rsid w:val="003D1ECD"/>
    <w:rsid w:val="003E1E8D"/>
    <w:rsid w:val="003E1F44"/>
    <w:rsid w:val="003E4DF7"/>
    <w:rsid w:val="003F0D66"/>
    <w:rsid w:val="003F6EE4"/>
    <w:rsid w:val="00406F50"/>
    <w:rsid w:val="00407E9B"/>
    <w:rsid w:val="0041149B"/>
    <w:rsid w:val="00417CB5"/>
    <w:rsid w:val="00417F35"/>
    <w:rsid w:val="004203BC"/>
    <w:rsid w:val="0042654E"/>
    <w:rsid w:val="0044368B"/>
    <w:rsid w:val="00443B1F"/>
    <w:rsid w:val="0044670C"/>
    <w:rsid w:val="00447E06"/>
    <w:rsid w:val="00450D05"/>
    <w:rsid w:val="00457AD1"/>
    <w:rsid w:val="00463432"/>
    <w:rsid w:val="004657C3"/>
    <w:rsid w:val="004672C5"/>
    <w:rsid w:val="0047534A"/>
    <w:rsid w:val="004864B4"/>
    <w:rsid w:val="004973AC"/>
    <w:rsid w:val="004A4E8A"/>
    <w:rsid w:val="004B3F25"/>
    <w:rsid w:val="004B4DE4"/>
    <w:rsid w:val="004B7AB8"/>
    <w:rsid w:val="004C175E"/>
    <w:rsid w:val="004C1C0A"/>
    <w:rsid w:val="004C2B0F"/>
    <w:rsid w:val="004D4FC8"/>
    <w:rsid w:val="004D590D"/>
    <w:rsid w:val="004E029B"/>
    <w:rsid w:val="004E5BB4"/>
    <w:rsid w:val="004F727F"/>
    <w:rsid w:val="00501B57"/>
    <w:rsid w:val="005114D7"/>
    <w:rsid w:val="00517C00"/>
    <w:rsid w:val="0052030B"/>
    <w:rsid w:val="0052122A"/>
    <w:rsid w:val="00521F29"/>
    <w:rsid w:val="00522DC2"/>
    <w:rsid w:val="00527B0E"/>
    <w:rsid w:val="0053552C"/>
    <w:rsid w:val="0054777B"/>
    <w:rsid w:val="005506D4"/>
    <w:rsid w:val="0055266E"/>
    <w:rsid w:val="005669C8"/>
    <w:rsid w:val="00576C77"/>
    <w:rsid w:val="00577FA9"/>
    <w:rsid w:val="005802CE"/>
    <w:rsid w:val="005808A1"/>
    <w:rsid w:val="00583506"/>
    <w:rsid w:val="005857F4"/>
    <w:rsid w:val="00590CF9"/>
    <w:rsid w:val="00590F72"/>
    <w:rsid w:val="0059552A"/>
    <w:rsid w:val="00597C43"/>
    <w:rsid w:val="005B2CEF"/>
    <w:rsid w:val="005C5948"/>
    <w:rsid w:val="005C6C25"/>
    <w:rsid w:val="005F4590"/>
    <w:rsid w:val="00604382"/>
    <w:rsid w:val="006064B9"/>
    <w:rsid w:val="00611E7A"/>
    <w:rsid w:val="00612919"/>
    <w:rsid w:val="0061444E"/>
    <w:rsid w:val="006156AB"/>
    <w:rsid w:val="00621FE6"/>
    <w:rsid w:val="00624CCA"/>
    <w:rsid w:val="00635042"/>
    <w:rsid w:val="00644140"/>
    <w:rsid w:val="00646632"/>
    <w:rsid w:val="00656CB6"/>
    <w:rsid w:val="006578F5"/>
    <w:rsid w:val="0066786E"/>
    <w:rsid w:val="006805E6"/>
    <w:rsid w:val="00687338"/>
    <w:rsid w:val="00692300"/>
    <w:rsid w:val="00693951"/>
    <w:rsid w:val="006B2111"/>
    <w:rsid w:val="006B2B40"/>
    <w:rsid w:val="006B5FE3"/>
    <w:rsid w:val="006C3B98"/>
    <w:rsid w:val="006C7C5D"/>
    <w:rsid w:val="006C7FEB"/>
    <w:rsid w:val="006D0223"/>
    <w:rsid w:val="006E06C6"/>
    <w:rsid w:val="006E6C9D"/>
    <w:rsid w:val="006F1AB1"/>
    <w:rsid w:val="006F5CE9"/>
    <w:rsid w:val="006F66D6"/>
    <w:rsid w:val="00701089"/>
    <w:rsid w:val="00702FC9"/>
    <w:rsid w:val="00703435"/>
    <w:rsid w:val="00703B6D"/>
    <w:rsid w:val="0070603A"/>
    <w:rsid w:val="00716F84"/>
    <w:rsid w:val="00721C5A"/>
    <w:rsid w:val="0072548A"/>
    <w:rsid w:val="00726EDA"/>
    <w:rsid w:val="007313A3"/>
    <w:rsid w:val="007327E1"/>
    <w:rsid w:val="00732908"/>
    <w:rsid w:val="00736EF7"/>
    <w:rsid w:val="0074261B"/>
    <w:rsid w:val="007428B8"/>
    <w:rsid w:val="00746164"/>
    <w:rsid w:val="00746F53"/>
    <w:rsid w:val="007646C6"/>
    <w:rsid w:val="00770060"/>
    <w:rsid w:val="007741D6"/>
    <w:rsid w:val="00776FA4"/>
    <w:rsid w:val="00780279"/>
    <w:rsid w:val="00780BB6"/>
    <w:rsid w:val="00793E1F"/>
    <w:rsid w:val="007A786B"/>
    <w:rsid w:val="007B661E"/>
    <w:rsid w:val="007B7533"/>
    <w:rsid w:val="007C1F1A"/>
    <w:rsid w:val="007C5697"/>
    <w:rsid w:val="007D4577"/>
    <w:rsid w:val="007D6A8F"/>
    <w:rsid w:val="007E1029"/>
    <w:rsid w:val="007E736A"/>
    <w:rsid w:val="00800FD3"/>
    <w:rsid w:val="0080240B"/>
    <w:rsid w:val="00810814"/>
    <w:rsid w:val="008113FD"/>
    <w:rsid w:val="00815578"/>
    <w:rsid w:val="00820144"/>
    <w:rsid w:val="0082131C"/>
    <w:rsid w:val="008304AA"/>
    <w:rsid w:val="00831181"/>
    <w:rsid w:val="0083279C"/>
    <w:rsid w:val="00844FCC"/>
    <w:rsid w:val="00845874"/>
    <w:rsid w:val="008473B0"/>
    <w:rsid w:val="00853C3C"/>
    <w:rsid w:val="00857DDC"/>
    <w:rsid w:val="00857E26"/>
    <w:rsid w:val="008629B5"/>
    <w:rsid w:val="0086395B"/>
    <w:rsid w:val="008653DF"/>
    <w:rsid w:val="0087581A"/>
    <w:rsid w:val="00876699"/>
    <w:rsid w:val="00882C5F"/>
    <w:rsid w:val="00887536"/>
    <w:rsid w:val="008909EE"/>
    <w:rsid w:val="00893113"/>
    <w:rsid w:val="008964D3"/>
    <w:rsid w:val="008A0E0C"/>
    <w:rsid w:val="008A7F4E"/>
    <w:rsid w:val="008B05ED"/>
    <w:rsid w:val="008C5E4F"/>
    <w:rsid w:val="008D4BCC"/>
    <w:rsid w:val="008E6DB9"/>
    <w:rsid w:val="008F0426"/>
    <w:rsid w:val="008F50BA"/>
    <w:rsid w:val="008F6066"/>
    <w:rsid w:val="008F6C82"/>
    <w:rsid w:val="008F7E2C"/>
    <w:rsid w:val="0091117B"/>
    <w:rsid w:val="009176B3"/>
    <w:rsid w:val="00917B20"/>
    <w:rsid w:val="00920DD9"/>
    <w:rsid w:val="009232FB"/>
    <w:rsid w:val="009454FF"/>
    <w:rsid w:val="00950EEE"/>
    <w:rsid w:val="0095711B"/>
    <w:rsid w:val="0097553F"/>
    <w:rsid w:val="00981ADC"/>
    <w:rsid w:val="009820C8"/>
    <w:rsid w:val="009821EB"/>
    <w:rsid w:val="009912D8"/>
    <w:rsid w:val="009A52CF"/>
    <w:rsid w:val="009B04E1"/>
    <w:rsid w:val="009B0DB2"/>
    <w:rsid w:val="009B1E8E"/>
    <w:rsid w:val="009B39B1"/>
    <w:rsid w:val="009B5E54"/>
    <w:rsid w:val="009C58DE"/>
    <w:rsid w:val="009D5028"/>
    <w:rsid w:val="009E29DE"/>
    <w:rsid w:val="009E745A"/>
    <w:rsid w:val="009F7BC7"/>
    <w:rsid w:val="00A02046"/>
    <w:rsid w:val="00A04D47"/>
    <w:rsid w:val="00A07F42"/>
    <w:rsid w:val="00A14877"/>
    <w:rsid w:val="00A16315"/>
    <w:rsid w:val="00A2541C"/>
    <w:rsid w:val="00A30B3C"/>
    <w:rsid w:val="00A30C32"/>
    <w:rsid w:val="00A317F6"/>
    <w:rsid w:val="00A331C2"/>
    <w:rsid w:val="00A33D75"/>
    <w:rsid w:val="00A35606"/>
    <w:rsid w:val="00A37B85"/>
    <w:rsid w:val="00A505CE"/>
    <w:rsid w:val="00A509A8"/>
    <w:rsid w:val="00A5680C"/>
    <w:rsid w:val="00A569D3"/>
    <w:rsid w:val="00A71246"/>
    <w:rsid w:val="00A76623"/>
    <w:rsid w:val="00AA089B"/>
    <w:rsid w:val="00AA171D"/>
    <w:rsid w:val="00AA46E3"/>
    <w:rsid w:val="00AC4EB9"/>
    <w:rsid w:val="00AC5C65"/>
    <w:rsid w:val="00AD1709"/>
    <w:rsid w:val="00AD2360"/>
    <w:rsid w:val="00AD45A5"/>
    <w:rsid w:val="00AE1578"/>
    <w:rsid w:val="00AE2876"/>
    <w:rsid w:val="00AF68CE"/>
    <w:rsid w:val="00B02150"/>
    <w:rsid w:val="00B04399"/>
    <w:rsid w:val="00B1086C"/>
    <w:rsid w:val="00B15FB7"/>
    <w:rsid w:val="00B20E21"/>
    <w:rsid w:val="00B25833"/>
    <w:rsid w:val="00B40BC9"/>
    <w:rsid w:val="00B4278A"/>
    <w:rsid w:val="00B561AA"/>
    <w:rsid w:val="00B723BE"/>
    <w:rsid w:val="00B748F9"/>
    <w:rsid w:val="00B77D16"/>
    <w:rsid w:val="00B802FD"/>
    <w:rsid w:val="00B8146E"/>
    <w:rsid w:val="00B82705"/>
    <w:rsid w:val="00B86E6A"/>
    <w:rsid w:val="00BA695B"/>
    <w:rsid w:val="00BB212B"/>
    <w:rsid w:val="00BB4901"/>
    <w:rsid w:val="00BB49FC"/>
    <w:rsid w:val="00BC5307"/>
    <w:rsid w:val="00BC6E7E"/>
    <w:rsid w:val="00BD1384"/>
    <w:rsid w:val="00BD2C1C"/>
    <w:rsid w:val="00BD3844"/>
    <w:rsid w:val="00BE004B"/>
    <w:rsid w:val="00BF449E"/>
    <w:rsid w:val="00C02396"/>
    <w:rsid w:val="00C04E43"/>
    <w:rsid w:val="00C065B2"/>
    <w:rsid w:val="00C136FE"/>
    <w:rsid w:val="00C156B1"/>
    <w:rsid w:val="00C27D57"/>
    <w:rsid w:val="00C36F0F"/>
    <w:rsid w:val="00C44931"/>
    <w:rsid w:val="00C5367A"/>
    <w:rsid w:val="00C5484F"/>
    <w:rsid w:val="00C556D9"/>
    <w:rsid w:val="00C63992"/>
    <w:rsid w:val="00C75563"/>
    <w:rsid w:val="00C76442"/>
    <w:rsid w:val="00C82CBA"/>
    <w:rsid w:val="00C84EF7"/>
    <w:rsid w:val="00C940CC"/>
    <w:rsid w:val="00CA7B2E"/>
    <w:rsid w:val="00CB322A"/>
    <w:rsid w:val="00CB666C"/>
    <w:rsid w:val="00CB6738"/>
    <w:rsid w:val="00CC0A9C"/>
    <w:rsid w:val="00CD148C"/>
    <w:rsid w:val="00CE1C84"/>
    <w:rsid w:val="00CE64AC"/>
    <w:rsid w:val="00CF19D6"/>
    <w:rsid w:val="00CF7EE1"/>
    <w:rsid w:val="00D01890"/>
    <w:rsid w:val="00D0277C"/>
    <w:rsid w:val="00D05E66"/>
    <w:rsid w:val="00D1061A"/>
    <w:rsid w:val="00D11A1D"/>
    <w:rsid w:val="00D227CD"/>
    <w:rsid w:val="00D258B6"/>
    <w:rsid w:val="00D25C18"/>
    <w:rsid w:val="00D3521B"/>
    <w:rsid w:val="00D425B4"/>
    <w:rsid w:val="00D47DAB"/>
    <w:rsid w:val="00D50F1A"/>
    <w:rsid w:val="00D5115F"/>
    <w:rsid w:val="00D566D4"/>
    <w:rsid w:val="00D730FE"/>
    <w:rsid w:val="00D840D9"/>
    <w:rsid w:val="00D8589D"/>
    <w:rsid w:val="00D8667C"/>
    <w:rsid w:val="00D86AB9"/>
    <w:rsid w:val="00D94FCB"/>
    <w:rsid w:val="00D95663"/>
    <w:rsid w:val="00D96B03"/>
    <w:rsid w:val="00D97A26"/>
    <w:rsid w:val="00DA4464"/>
    <w:rsid w:val="00DB541A"/>
    <w:rsid w:val="00DC1DDD"/>
    <w:rsid w:val="00DC278A"/>
    <w:rsid w:val="00DD11B7"/>
    <w:rsid w:val="00DD2B6F"/>
    <w:rsid w:val="00DD6207"/>
    <w:rsid w:val="00DF0D11"/>
    <w:rsid w:val="00DF1FA1"/>
    <w:rsid w:val="00E002E9"/>
    <w:rsid w:val="00E02701"/>
    <w:rsid w:val="00E02871"/>
    <w:rsid w:val="00E02D68"/>
    <w:rsid w:val="00E048B6"/>
    <w:rsid w:val="00E107AA"/>
    <w:rsid w:val="00E12E99"/>
    <w:rsid w:val="00E17F59"/>
    <w:rsid w:val="00E31350"/>
    <w:rsid w:val="00E32266"/>
    <w:rsid w:val="00E33990"/>
    <w:rsid w:val="00E414F2"/>
    <w:rsid w:val="00E42E6F"/>
    <w:rsid w:val="00E43D0F"/>
    <w:rsid w:val="00E4483A"/>
    <w:rsid w:val="00E47911"/>
    <w:rsid w:val="00E47ED1"/>
    <w:rsid w:val="00E54F3F"/>
    <w:rsid w:val="00E5519D"/>
    <w:rsid w:val="00E57406"/>
    <w:rsid w:val="00E750DD"/>
    <w:rsid w:val="00E93645"/>
    <w:rsid w:val="00EA0DBB"/>
    <w:rsid w:val="00EA442D"/>
    <w:rsid w:val="00EA7D4F"/>
    <w:rsid w:val="00EB16F7"/>
    <w:rsid w:val="00EB1C16"/>
    <w:rsid w:val="00EB3474"/>
    <w:rsid w:val="00EC3358"/>
    <w:rsid w:val="00EC504C"/>
    <w:rsid w:val="00EE0C5F"/>
    <w:rsid w:val="00EF48D3"/>
    <w:rsid w:val="00EF5EFA"/>
    <w:rsid w:val="00F069CC"/>
    <w:rsid w:val="00F1010B"/>
    <w:rsid w:val="00F11200"/>
    <w:rsid w:val="00F13EAF"/>
    <w:rsid w:val="00F1596B"/>
    <w:rsid w:val="00F22078"/>
    <w:rsid w:val="00F23CC6"/>
    <w:rsid w:val="00F3098F"/>
    <w:rsid w:val="00F31858"/>
    <w:rsid w:val="00F31DD8"/>
    <w:rsid w:val="00F35D0F"/>
    <w:rsid w:val="00F40510"/>
    <w:rsid w:val="00F46AC8"/>
    <w:rsid w:val="00F5123C"/>
    <w:rsid w:val="00F533CE"/>
    <w:rsid w:val="00F56DD2"/>
    <w:rsid w:val="00F65425"/>
    <w:rsid w:val="00F66181"/>
    <w:rsid w:val="00F714E1"/>
    <w:rsid w:val="00F71A65"/>
    <w:rsid w:val="00F77C0B"/>
    <w:rsid w:val="00FA2976"/>
    <w:rsid w:val="00FA3BB3"/>
    <w:rsid w:val="00FA521C"/>
    <w:rsid w:val="00FA5462"/>
    <w:rsid w:val="00FA7221"/>
    <w:rsid w:val="00FB0B2D"/>
    <w:rsid w:val="00FC1FCE"/>
    <w:rsid w:val="00FE08D5"/>
    <w:rsid w:val="00FE3007"/>
    <w:rsid w:val="00FE4BD6"/>
    <w:rsid w:val="00FE75F5"/>
    <w:rsid w:val="00FF0480"/>
    <w:rsid w:val="00FF277C"/>
    <w:rsid w:val="00FF2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1BD5B"/>
  <w15:chartTrackingRefBased/>
  <w15:docId w15:val="{464386A6-A695-4B0C-A2E2-708775A68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6D3D"/>
    <w:pPr>
      <w:spacing w:before="240" w:after="240" w:line="240" w:lineRule="auto"/>
    </w:pPr>
    <w:rPr>
      <w:rFonts w:ascii="Arial" w:eastAsia="Times New Roman" w:hAnsi="Arial" w:cs="Times New Roman"/>
      <w:sz w:val="24"/>
      <w:szCs w:val="24"/>
    </w:rPr>
  </w:style>
  <w:style w:type="paragraph" w:styleId="Heading1">
    <w:name w:val="heading 1"/>
    <w:basedOn w:val="Normal"/>
    <w:next w:val="Normal"/>
    <w:link w:val="Heading1Char"/>
    <w:autoRedefine/>
    <w:uiPriority w:val="9"/>
    <w:qFormat/>
    <w:rsid w:val="00050515"/>
    <w:pPr>
      <w:keepNext/>
      <w:keepLines/>
      <w:jc w:val="center"/>
      <w:outlineLvl w:val="0"/>
    </w:pPr>
    <w:rPr>
      <w:rFonts w:eastAsiaTheme="majorEastAsia" w:cstheme="majorBidi"/>
      <w:b/>
      <w:sz w:val="40"/>
      <w:szCs w:val="32"/>
    </w:rPr>
  </w:style>
  <w:style w:type="paragraph" w:styleId="Heading2">
    <w:name w:val="heading 2"/>
    <w:basedOn w:val="Normal"/>
    <w:next w:val="Normal"/>
    <w:link w:val="Heading2Char"/>
    <w:autoRedefine/>
    <w:uiPriority w:val="9"/>
    <w:unhideWhenUsed/>
    <w:qFormat/>
    <w:rsid w:val="000D3BEF"/>
    <w:pPr>
      <w:keepNext/>
      <w:keepLines/>
      <w:spacing w:before="480"/>
      <w:outlineLvl w:val="1"/>
    </w:pPr>
    <w:rPr>
      <w:rFonts w:eastAsiaTheme="majorEastAsia" w:cstheme="majorBidi"/>
      <w:b/>
      <w:sz w:val="36"/>
      <w:szCs w:val="36"/>
    </w:rPr>
  </w:style>
  <w:style w:type="paragraph" w:styleId="Heading3">
    <w:name w:val="heading 3"/>
    <w:basedOn w:val="Normal"/>
    <w:next w:val="Normal"/>
    <w:link w:val="Heading3Char"/>
    <w:autoRedefine/>
    <w:uiPriority w:val="9"/>
    <w:unhideWhenUsed/>
    <w:qFormat/>
    <w:rsid w:val="000412D3"/>
    <w:pPr>
      <w:keepNext/>
      <w:keepLines/>
      <w:spacing w:before="0"/>
      <w:outlineLvl w:val="2"/>
    </w:pPr>
    <w:rPr>
      <w:rFonts w:eastAsia="Arial" w:cstheme="majorBidi"/>
      <w:b/>
    </w:rPr>
  </w:style>
  <w:style w:type="paragraph" w:styleId="Heading4">
    <w:name w:val="heading 4"/>
    <w:basedOn w:val="Normal"/>
    <w:next w:val="Normal"/>
    <w:link w:val="Heading4Char"/>
    <w:autoRedefine/>
    <w:uiPriority w:val="9"/>
    <w:unhideWhenUsed/>
    <w:qFormat/>
    <w:rsid w:val="000412D3"/>
    <w:pPr>
      <w:keepNext/>
      <w:keepLines/>
      <w:outlineLvl w:val="3"/>
    </w:pPr>
    <w:rPr>
      <w:rFonts w:eastAsiaTheme="majorEastAsia" w:cstheme="majorBidi"/>
      <w:i/>
      <w:iCs/>
    </w:rPr>
  </w:style>
  <w:style w:type="paragraph" w:styleId="Heading5">
    <w:name w:val="heading 5"/>
    <w:basedOn w:val="Normal"/>
    <w:next w:val="Normal"/>
    <w:link w:val="Heading5Char"/>
    <w:autoRedefine/>
    <w:uiPriority w:val="9"/>
    <w:unhideWhenUsed/>
    <w:qFormat/>
    <w:rsid w:val="00C04E43"/>
    <w:pPr>
      <w:keepNext/>
      <w:keepLines/>
      <w:outlineLvl w:val="4"/>
    </w:pPr>
    <w:rPr>
      <w:rFonts w:eastAsiaTheme="majorEastAsia" w:cstheme="majorBidi"/>
      <w:b/>
      <w:i/>
    </w:rPr>
  </w:style>
  <w:style w:type="paragraph" w:styleId="Heading6">
    <w:name w:val="heading 6"/>
    <w:basedOn w:val="Normal"/>
    <w:next w:val="Normal"/>
    <w:link w:val="Heading6Char"/>
    <w:autoRedefine/>
    <w:uiPriority w:val="9"/>
    <w:unhideWhenUsed/>
    <w:qFormat/>
    <w:rsid w:val="00C04E43"/>
    <w:pPr>
      <w:keepNext/>
      <w:keepLines/>
      <w:outlineLvl w:val="5"/>
    </w:pPr>
    <w:rPr>
      <w:rFonts w:eastAsiaTheme="majorEastAsia" w:cstheme="majorBidi"/>
      <w:b/>
    </w:rPr>
  </w:style>
  <w:style w:type="paragraph" w:styleId="Heading7">
    <w:name w:val="heading 7"/>
    <w:basedOn w:val="Normal"/>
    <w:next w:val="Normal"/>
    <w:link w:val="Heading7Char"/>
    <w:autoRedefine/>
    <w:uiPriority w:val="9"/>
    <w:semiHidden/>
    <w:unhideWhenUsed/>
    <w:qFormat/>
    <w:rsid w:val="00443B1F"/>
    <w:pPr>
      <w:keepNext/>
      <w:keepLines/>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0515"/>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0D3BEF"/>
    <w:rPr>
      <w:rFonts w:ascii="Arial" w:eastAsiaTheme="majorEastAsia" w:hAnsi="Arial" w:cstheme="majorBidi"/>
      <w:b/>
      <w:sz w:val="36"/>
      <w:szCs w:val="36"/>
    </w:rPr>
  </w:style>
  <w:style w:type="character" w:customStyle="1" w:styleId="Heading3Char">
    <w:name w:val="Heading 3 Char"/>
    <w:basedOn w:val="DefaultParagraphFont"/>
    <w:link w:val="Heading3"/>
    <w:uiPriority w:val="9"/>
    <w:rsid w:val="000412D3"/>
    <w:rPr>
      <w:rFonts w:ascii="Arial" w:eastAsia="Arial" w:hAnsi="Arial" w:cstheme="majorBidi"/>
      <w:b/>
      <w:sz w:val="24"/>
      <w:szCs w:val="24"/>
    </w:rPr>
  </w:style>
  <w:style w:type="character" w:customStyle="1" w:styleId="Heading4Char">
    <w:name w:val="Heading 4 Char"/>
    <w:basedOn w:val="DefaultParagraphFont"/>
    <w:link w:val="Heading4"/>
    <w:uiPriority w:val="9"/>
    <w:rsid w:val="000412D3"/>
    <w:rPr>
      <w:rFonts w:ascii="Arial" w:eastAsiaTheme="majorEastAsia" w:hAnsi="Arial" w:cstheme="majorBidi"/>
      <w:i/>
      <w:iCs/>
      <w:sz w:val="24"/>
      <w:szCs w:val="24"/>
    </w:rPr>
  </w:style>
  <w:style w:type="paragraph" w:styleId="Title">
    <w:name w:val="Title"/>
    <w:basedOn w:val="Normal"/>
    <w:next w:val="Normal"/>
    <w:link w:val="TitleChar"/>
    <w:uiPriority w:val="10"/>
    <w:qFormat/>
    <w:rsid w:val="007428B8"/>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04E43"/>
    <w:rPr>
      <w:rFonts w:ascii="Arial" w:eastAsiaTheme="majorEastAsia" w:hAnsi="Arial" w:cstheme="majorBidi"/>
      <w:b/>
      <w:i/>
      <w:sz w:val="24"/>
      <w:szCs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C04E43"/>
    <w:rPr>
      <w:rFonts w:ascii="Arial" w:eastAsiaTheme="majorEastAsia" w:hAnsi="Arial" w:cstheme="majorBidi"/>
      <w:b/>
      <w:sz w:val="24"/>
      <w:szCs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443B1F"/>
    <w:rPr>
      <w:rFonts w:ascii="Arial" w:eastAsiaTheme="majorEastAsia" w:hAnsi="Arial" w:cstheme="majorBidi"/>
      <w:i/>
      <w:iCs/>
      <w:color w:val="1F4D78" w:themeColor="accent1" w:themeShade="7F"/>
      <w:sz w:val="24"/>
      <w:szCs w:val="24"/>
    </w:rPr>
  </w:style>
  <w:style w:type="character" w:styleId="Hyperlink">
    <w:name w:val="Hyperlink"/>
    <w:uiPriority w:val="99"/>
    <w:rsid w:val="00FC1FCE"/>
    <w:rPr>
      <w:color w:val="0000FF"/>
      <w:u w:val="single"/>
    </w:rPr>
  </w:style>
  <w:style w:type="paragraph" w:styleId="ListParagraph">
    <w:name w:val="List Paragraph"/>
    <w:basedOn w:val="Normal"/>
    <w:uiPriority w:val="34"/>
    <w:qFormat/>
    <w:rsid w:val="00406F50"/>
    <w:pPr>
      <w:ind w:left="720"/>
    </w:pPr>
  </w:style>
  <w:style w:type="paragraph" w:styleId="Header">
    <w:name w:val="header"/>
    <w:basedOn w:val="Normal"/>
    <w:link w:val="HeaderChar"/>
    <w:unhideWhenUsed/>
    <w:rsid w:val="000E09DC"/>
    <w:pPr>
      <w:tabs>
        <w:tab w:val="center" w:pos="4680"/>
        <w:tab w:val="right" w:pos="9360"/>
      </w:tabs>
    </w:pPr>
  </w:style>
  <w:style w:type="character" w:customStyle="1" w:styleId="HeaderChar">
    <w:name w:val="Header Char"/>
    <w:basedOn w:val="DefaultParagraphFont"/>
    <w:link w:val="Header"/>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3C"/>
    <w:rPr>
      <w:rFonts w:ascii="Segoe UI" w:eastAsia="Times New Roman" w:hAnsi="Segoe UI" w:cs="Segoe UI"/>
      <w:sz w:val="18"/>
      <w:szCs w:val="18"/>
    </w:rPr>
  </w:style>
  <w:style w:type="character" w:styleId="CommentReference">
    <w:name w:val="annotation reference"/>
    <w:semiHidden/>
    <w:unhideWhenUsed/>
    <w:rsid w:val="00E5519D"/>
    <w:rPr>
      <w:sz w:val="16"/>
      <w:szCs w:val="16"/>
    </w:rPr>
  </w:style>
  <w:style w:type="paragraph" w:customStyle="1" w:styleId="Default">
    <w:name w:val="Default"/>
    <w:rsid w:val="00E5519D"/>
    <w:pPr>
      <w:autoSpaceDE w:val="0"/>
      <w:autoSpaceDN w:val="0"/>
      <w:adjustRightInd w:val="0"/>
      <w:spacing w:after="0" w:line="240" w:lineRule="auto"/>
    </w:pPr>
    <w:rPr>
      <w:rFonts w:ascii="Arial" w:eastAsia="Times New Roman" w:hAnsi="Arial" w:cs="Arial"/>
      <w:color w:val="000000"/>
      <w:sz w:val="24"/>
      <w:szCs w:val="24"/>
    </w:rPr>
  </w:style>
  <w:style w:type="paragraph" w:styleId="FootnoteText">
    <w:name w:val="footnote text"/>
    <w:basedOn w:val="Normal"/>
    <w:link w:val="FootnoteTextChar"/>
    <w:uiPriority w:val="99"/>
    <w:unhideWhenUsed/>
    <w:rsid w:val="00E5519D"/>
    <w:pPr>
      <w:spacing w:before="0" w:after="0"/>
    </w:pPr>
    <w:rPr>
      <w:sz w:val="20"/>
      <w:szCs w:val="20"/>
    </w:rPr>
  </w:style>
  <w:style w:type="character" w:customStyle="1" w:styleId="FootnoteTextChar">
    <w:name w:val="Footnote Text Char"/>
    <w:basedOn w:val="DefaultParagraphFont"/>
    <w:link w:val="FootnoteText"/>
    <w:uiPriority w:val="99"/>
    <w:rsid w:val="00E5519D"/>
    <w:rPr>
      <w:rFonts w:ascii="Arial" w:eastAsia="Times New Roman" w:hAnsi="Arial" w:cs="Times New Roman"/>
      <w:sz w:val="20"/>
      <w:szCs w:val="20"/>
    </w:rPr>
  </w:style>
  <w:style w:type="character" w:styleId="FootnoteReference">
    <w:name w:val="footnote reference"/>
    <w:basedOn w:val="DefaultParagraphFont"/>
    <w:uiPriority w:val="99"/>
    <w:unhideWhenUsed/>
    <w:rsid w:val="00E5519D"/>
    <w:rPr>
      <w:vertAlign w:val="superscript"/>
    </w:rPr>
  </w:style>
  <w:style w:type="paragraph" w:styleId="CommentText">
    <w:name w:val="annotation text"/>
    <w:basedOn w:val="Normal"/>
    <w:link w:val="CommentTextChar"/>
    <w:uiPriority w:val="99"/>
    <w:semiHidden/>
    <w:unhideWhenUsed/>
    <w:rsid w:val="00E5519D"/>
    <w:rPr>
      <w:sz w:val="20"/>
      <w:szCs w:val="20"/>
    </w:rPr>
  </w:style>
  <w:style w:type="character" w:customStyle="1" w:styleId="CommentTextChar">
    <w:name w:val="Comment Text Char"/>
    <w:basedOn w:val="DefaultParagraphFont"/>
    <w:link w:val="CommentText"/>
    <w:uiPriority w:val="99"/>
    <w:semiHidden/>
    <w:rsid w:val="00E5519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E5519D"/>
    <w:rPr>
      <w:b/>
      <w:bCs/>
    </w:rPr>
  </w:style>
  <w:style w:type="character" w:customStyle="1" w:styleId="CommentSubjectChar">
    <w:name w:val="Comment Subject Char"/>
    <w:basedOn w:val="CommentTextChar"/>
    <w:link w:val="CommentSubject"/>
    <w:uiPriority w:val="99"/>
    <w:semiHidden/>
    <w:rsid w:val="00E5519D"/>
    <w:rPr>
      <w:rFonts w:ascii="Arial" w:eastAsia="Times New Roman" w:hAnsi="Arial" w:cs="Times New Roman"/>
      <w:b/>
      <w:bCs/>
      <w:sz w:val="20"/>
      <w:szCs w:val="20"/>
    </w:rPr>
  </w:style>
  <w:style w:type="character" w:styleId="UnresolvedMention">
    <w:name w:val="Unresolved Mention"/>
    <w:basedOn w:val="DefaultParagraphFont"/>
    <w:uiPriority w:val="99"/>
    <w:semiHidden/>
    <w:unhideWhenUsed/>
    <w:rsid w:val="006064B9"/>
    <w:rPr>
      <w:color w:val="605E5C"/>
      <w:shd w:val="clear" w:color="auto" w:fill="E1DFDD"/>
    </w:rPr>
  </w:style>
  <w:style w:type="character" w:styleId="FollowedHyperlink">
    <w:name w:val="FollowedHyperlink"/>
    <w:basedOn w:val="DefaultParagraphFont"/>
    <w:uiPriority w:val="99"/>
    <w:semiHidden/>
    <w:unhideWhenUsed/>
    <w:rsid w:val="000412D3"/>
    <w:rPr>
      <w:color w:val="954F72" w:themeColor="followedHyperlink"/>
      <w:u w:val="single"/>
    </w:rPr>
  </w:style>
  <w:style w:type="paragraph" w:styleId="NormalWeb">
    <w:name w:val="Normal (Web)"/>
    <w:basedOn w:val="Normal"/>
    <w:uiPriority w:val="99"/>
    <w:unhideWhenUsed/>
    <w:rsid w:val="00AA46E3"/>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858096">
      <w:bodyDiv w:val="1"/>
      <w:marLeft w:val="0"/>
      <w:marRight w:val="0"/>
      <w:marTop w:val="0"/>
      <w:marBottom w:val="0"/>
      <w:divBdr>
        <w:top w:val="none" w:sz="0" w:space="0" w:color="auto"/>
        <w:left w:val="none" w:sz="0" w:space="0" w:color="auto"/>
        <w:bottom w:val="none" w:sz="0" w:space="0" w:color="auto"/>
        <w:right w:val="none" w:sz="0" w:space="0" w:color="auto"/>
      </w:divBdr>
    </w:div>
    <w:div w:id="337655250">
      <w:bodyDiv w:val="1"/>
      <w:marLeft w:val="0"/>
      <w:marRight w:val="0"/>
      <w:marTop w:val="0"/>
      <w:marBottom w:val="0"/>
      <w:divBdr>
        <w:top w:val="none" w:sz="0" w:space="0" w:color="auto"/>
        <w:left w:val="none" w:sz="0" w:space="0" w:color="auto"/>
        <w:bottom w:val="none" w:sz="0" w:space="0" w:color="auto"/>
        <w:right w:val="none" w:sz="0" w:space="0" w:color="auto"/>
      </w:divBdr>
    </w:div>
    <w:div w:id="386415549">
      <w:bodyDiv w:val="1"/>
      <w:marLeft w:val="0"/>
      <w:marRight w:val="0"/>
      <w:marTop w:val="0"/>
      <w:marBottom w:val="0"/>
      <w:divBdr>
        <w:top w:val="none" w:sz="0" w:space="0" w:color="auto"/>
        <w:left w:val="none" w:sz="0" w:space="0" w:color="auto"/>
        <w:bottom w:val="none" w:sz="0" w:space="0" w:color="auto"/>
        <w:right w:val="none" w:sz="0" w:space="0" w:color="auto"/>
      </w:divBdr>
    </w:div>
    <w:div w:id="403724965">
      <w:bodyDiv w:val="1"/>
      <w:marLeft w:val="0"/>
      <w:marRight w:val="0"/>
      <w:marTop w:val="0"/>
      <w:marBottom w:val="0"/>
      <w:divBdr>
        <w:top w:val="none" w:sz="0" w:space="0" w:color="auto"/>
        <w:left w:val="none" w:sz="0" w:space="0" w:color="auto"/>
        <w:bottom w:val="none" w:sz="0" w:space="0" w:color="auto"/>
        <w:right w:val="none" w:sz="0" w:space="0" w:color="auto"/>
      </w:divBdr>
    </w:div>
    <w:div w:id="521436907">
      <w:bodyDiv w:val="1"/>
      <w:marLeft w:val="0"/>
      <w:marRight w:val="0"/>
      <w:marTop w:val="0"/>
      <w:marBottom w:val="0"/>
      <w:divBdr>
        <w:top w:val="none" w:sz="0" w:space="0" w:color="auto"/>
        <w:left w:val="none" w:sz="0" w:space="0" w:color="auto"/>
        <w:bottom w:val="none" w:sz="0" w:space="0" w:color="auto"/>
        <w:right w:val="none" w:sz="0" w:space="0" w:color="auto"/>
      </w:divBdr>
    </w:div>
    <w:div w:id="546527861">
      <w:bodyDiv w:val="1"/>
      <w:marLeft w:val="0"/>
      <w:marRight w:val="0"/>
      <w:marTop w:val="0"/>
      <w:marBottom w:val="0"/>
      <w:divBdr>
        <w:top w:val="none" w:sz="0" w:space="0" w:color="auto"/>
        <w:left w:val="none" w:sz="0" w:space="0" w:color="auto"/>
        <w:bottom w:val="none" w:sz="0" w:space="0" w:color="auto"/>
        <w:right w:val="none" w:sz="0" w:space="0" w:color="auto"/>
      </w:divBdr>
    </w:div>
    <w:div w:id="649334735">
      <w:bodyDiv w:val="1"/>
      <w:marLeft w:val="0"/>
      <w:marRight w:val="0"/>
      <w:marTop w:val="0"/>
      <w:marBottom w:val="0"/>
      <w:divBdr>
        <w:top w:val="none" w:sz="0" w:space="0" w:color="auto"/>
        <w:left w:val="none" w:sz="0" w:space="0" w:color="auto"/>
        <w:bottom w:val="none" w:sz="0" w:space="0" w:color="auto"/>
        <w:right w:val="none" w:sz="0" w:space="0" w:color="auto"/>
      </w:divBdr>
    </w:div>
    <w:div w:id="779491949">
      <w:bodyDiv w:val="1"/>
      <w:marLeft w:val="0"/>
      <w:marRight w:val="0"/>
      <w:marTop w:val="0"/>
      <w:marBottom w:val="0"/>
      <w:divBdr>
        <w:top w:val="none" w:sz="0" w:space="0" w:color="auto"/>
        <w:left w:val="none" w:sz="0" w:space="0" w:color="auto"/>
        <w:bottom w:val="none" w:sz="0" w:space="0" w:color="auto"/>
        <w:right w:val="none" w:sz="0" w:space="0" w:color="auto"/>
      </w:divBdr>
    </w:div>
    <w:div w:id="1001391532">
      <w:bodyDiv w:val="1"/>
      <w:marLeft w:val="0"/>
      <w:marRight w:val="0"/>
      <w:marTop w:val="0"/>
      <w:marBottom w:val="0"/>
      <w:divBdr>
        <w:top w:val="none" w:sz="0" w:space="0" w:color="auto"/>
        <w:left w:val="none" w:sz="0" w:space="0" w:color="auto"/>
        <w:bottom w:val="none" w:sz="0" w:space="0" w:color="auto"/>
        <w:right w:val="none" w:sz="0" w:space="0" w:color="auto"/>
      </w:divBdr>
    </w:div>
    <w:div w:id="1366296902">
      <w:bodyDiv w:val="1"/>
      <w:marLeft w:val="0"/>
      <w:marRight w:val="0"/>
      <w:marTop w:val="0"/>
      <w:marBottom w:val="0"/>
      <w:divBdr>
        <w:top w:val="none" w:sz="0" w:space="0" w:color="auto"/>
        <w:left w:val="none" w:sz="0" w:space="0" w:color="auto"/>
        <w:bottom w:val="none" w:sz="0" w:space="0" w:color="auto"/>
        <w:right w:val="none" w:sz="0" w:space="0" w:color="auto"/>
      </w:divBdr>
    </w:div>
    <w:div w:id="1378972004">
      <w:bodyDiv w:val="1"/>
      <w:marLeft w:val="0"/>
      <w:marRight w:val="0"/>
      <w:marTop w:val="0"/>
      <w:marBottom w:val="0"/>
      <w:divBdr>
        <w:top w:val="none" w:sz="0" w:space="0" w:color="auto"/>
        <w:left w:val="none" w:sz="0" w:space="0" w:color="auto"/>
        <w:bottom w:val="none" w:sz="0" w:space="0" w:color="auto"/>
        <w:right w:val="none" w:sz="0" w:space="0" w:color="auto"/>
      </w:divBdr>
    </w:div>
    <w:div w:id="1565944066">
      <w:bodyDiv w:val="1"/>
      <w:marLeft w:val="0"/>
      <w:marRight w:val="0"/>
      <w:marTop w:val="0"/>
      <w:marBottom w:val="0"/>
      <w:divBdr>
        <w:top w:val="none" w:sz="0" w:space="0" w:color="auto"/>
        <w:left w:val="none" w:sz="0" w:space="0" w:color="auto"/>
        <w:bottom w:val="none" w:sz="0" w:space="0" w:color="auto"/>
        <w:right w:val="none" w:sz="0" w:space="0" w:color="auto"/>
      </w:divBdr>
    </w:div>
    <w:div w:id="1579168447">
      <w:bodyDiv w:val="1"/>
      <w:marLeft w:val="0"/>
      <w:marRight w:val="0"/>
      <w:marTop w:val="0"/>
      <w:marBottom w:val="0"/>
      <w:divBdr>
        <w:top w:val="none" w:sz="0" w:space="0" w:color="auto"/>
        <w:left w:val="none" w:sz="0" w:space="0" w:color="auto"/>
        <w:bottom w:val="none" w:sz="0" w:space="0" w:color="auto"/>
        <w:right w:val="none" w:sz="0" w:space="0" w:color="auto"/>
      </w:divBdr>
    </w:div>
    <w:div w:id="1721510676">
      <w:bodyDiv w:val="1"/>
      <w:marLeft w:val="0"/>
      <w:marRight w:val="0"/>
      <w:marTop w:val="0"/>
      <w:marBottom w:val="0"/>
      <w:divBdr>
        <w:top w:val="none" w:sz="0" w:space="0" w:color="auto"/>
        <w:left w:val="none" w:sz="0" w:space="0" w:color="auto"/>
        <w:bottom w:val="none" w:sz="0" w:space="0" w:color="auto"/>
        <w:right w:val="none" w:sz="0" w:space="0" w:color="auto"/>
      </w:divBdr>
    </w:div>
    <w:div w:id="2076513264">
      <w:bodyDiv w:val="1"/>
      <w:marLeft w:val="0"/>
      <w:marRight w:val="0"/>
      <w:marTop w:val="0"/>
      <w:marBottom w:val="0"/>
      <w:divBdr>
        <w:top w:val="none" w:sz="0" w:space="0" w:color="auto"/>
        <w:left w:val="none" w:sz="0" w:space="0" w:color="auto"/>
        <w:bottom w:val="none" w:sz="0" w:space="0" w:color="auto"/>
        <w:right w:val="none" w:sz="0" w:space="0" w:color="auto"/>
      </w:divBdr>
    </w:div>
    <w:div w:id="2080588004">
      <w:bodyDiv w:val="1"/>
      <w:marLeft w:val="0"/>
      <w:marRight w:val="0"/>
      <w:marTop w:val="0"/>
      <w:marBottom w:val="0"/>
      <w:divBdr>
        <w:top w:val="none" w:sz="0" w:space="0" w:color="auto"/>
        <w:left w:val="none" w:sz="0" w:space="0" w:color="auto"/>
        <w:bottom w:val="none" w:sz="0" w:space="0" w:color="auto"/>
        <w:right w:val="none" w:sz="0" w:space="0" w:color="auto"/>
      </w:divBdr>
    </w:div>
    <w:div w:id="213578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e.ca.gov/be/ag/ag/main202201.asp" TargetMode="External"/><Relationship Id="rId18" Type="http://schemas.openxmlformats.org/officeDocument/2006/relationships/hyperlink" Target="https://www.cde.ca.gov/be/ag/ag/yr22/documents/jan22item12a6.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cde.ca.gov/be/ag/ag/yr22/documents/jan22item12a9.docx" TargetMode="External"/><Relationship Id="rId7" Type="http://schemas.openxmlformats.org/officeDocument/2006/relationships/settings" Target="settings.xml"/><Relationship Id="rId12" Type="http://schemas.openxmlformats.org/officeDocument/2006/relationships/hyperlink" Target="https://www.cde.ca.gov/be/ag/ag/yr20/agenda202007.asp" TargetMode="External"/><Relationship Id="rId17" Type="http://schemas.openxmlformats.org/officeDocument/2006/relationships/hyperlink" Target="https://www.cde.ca.gov/be/ag/ag/yr22/documents/jan22item12a5.docx" TargetMode="External"/><Relationship Id="rId25" Type="http://schemas.openxmlformats.org/officeDocument/2006/relationships/hyperlink" Target="https://www.cde.ca.gov/be/ag/ag/yr22/documents/jan22item12a13.docx" TargetMode="External"/><Relationship Id="rId2" Type="http://schemas.openxmlformats.org/officeDocument/2006/relationships/customXml" Target="../customXml/item2.xml"/><Relationship Id="rId16" Type="http://schemas.openxmlformats.org/officeDocument/2006/relationships/hyperlink" Target="https://www.cde.ca.gov/be/ag/ag/yr22/documents/jan22item12a4.pdf" TargetMode="External"/><Relationship Id="rId20" Type="http://schemas.openxmlformats.org/officeDocument/2006/relationships/hyperlink" Target="https://www.cde.ca.gov/be/ag/ag/yr22/jan22item12a8.as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e.ca.gov/be/cc/cs/accsnotice060920.asp" TargetMode="External"/><Relationship Id="rId24" Type="http://schemas.openxmlformats.org/officeDocument/2006/relationships/hyperlink" Target="https://www.cde.ca.gov/be/ag/ag/yr22/documents/jan22item12a12.docx" TargetMode="External"/><Relationship Id="rId5" Type="http://schemas.openxmlformats.org/officeDocument/2006/relationships/numbering" Target="numbering.xml"/><Relationship Id="rId15" Type="http://schemas.openxmlformats.org/officeDocument/2006/relationships/hyperlink" Target="https://www.cde.ca.gov/be/ag/ag/yr22/documents/jan22item12a3.docx" TargetMode="External"/><Relationship Id="rId23" Type="http://schemas.openxmlformats.org/officeDocument/2006/relationships/hyperlink" Target="https://www.cde.ca.gov/be/ag/ag/yr22/documents/jan22item12a11.docx"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cde.ca.gov/be/ag/ag/yr22/documents/jan22item12a7.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e.ca.gov/be/ag/ag/yr22/documents/jan22item12a2.pdf" TargetMode="External"/><Relationship Id="rId22" Type="http://schemas.openxmlformats.org/officeDocument/2006/relationships/hyperlink" Target="https://www.cde.ca.gov/be/ag/ag/yr22/documents/jan22item12a10.docx"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59B95F82F28141A4BE871963698210" ma:contentTypeVersion="12" ma:contentTypeDescription="Create a new document." ma:contentTypeScope="" ma:versionID="6bb69baa6a6d15025b01a6d0ac012c1a">
  <xsd:schema xmlns:xsd="http://www.w3.org/2001/XMLSchema" xmlns:xs="http://www.w3.org/2001/XMLSchema" xmlns:p="http://schemas.microsoft.com/office/2006/metadata/properties" xmlns:ns3="cc08f95c-87f5-41ed-81dc-91ae527c1710" xmlns:ns4="b2b85db3-ac05-4cf7-8e13-985e06ecc4c7" targetNamespace="http://schemas.microsoft.com/office/2006/metadata/properties" ma:root="true" ma:fieldsID="ae10fea949f69d48361e05ac5a0ef26b" ns3:_="" ns4:_="">
    <xsd:import namespace="cc08f95c-87f5-41ed-81dc-91ae527c1710"/>
    <xsd:import namespace="b2b85db3-ac05-4cf7-8e13-985e06ecc4c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08f95c-87f5-41ed-81dc-91ae527c17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b85db3-ac05-4cf7-8e13-985e06ecc4c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220BC-A1D7-40FE-A630-33F5B6719A1C}">
  <ds:schemaRefs>
    <ds:schemaRef ds:uri="http://schemas.microsoft.com/sharepoint/v3/contenttype/forms"/>
  </ds:schemaRefs>
</ds:datastoreItem>
</file>

<file path=customXml/itemProps2.xml><?xml version="1.0" encoding="utf-8"?>
<ds:datastoreItem xmlns:ds="http://schemas.openxmlformats.org/officeDocument/2006/customXml" ds:itemID="{A6C413B8-973C-434E-A134-874F1C6BA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08f95c-87f5-41ed-81dc-91ae527c1710"/>
    <ds:schemaRef ds:uri="b2b85db3-ac05-4cf7-8e13-985e06ecc4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3A7150-CDE2-4D81-998D-EDD2B4F9A79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44511E-4254-4674-A066-C3F92C2CC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14</Pages>
  <Words>5433</Words>
  <Characters>30973</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February 2022 ACCS Agenda Item 01 - Advisory Commission on Charter Schools (CA State Board of Education)</vt:lpstr>
    </vt:vector>
  </TitlesOfParts>
  <Company>CA Department of Education</Company>
  <LinksUpToDate>false</LinksUpToDate>
  <CharactersWithSpaces>36334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2022 ACCS Agenda Item 01 - Advisory Commission on Charter Schools (CA State Board of Education)</dc:title>
  <dc:subject>Eagle Collegiate Academy: Consider Evidence Regarding a Notice of Violation Issued by the California State Board of Education and Propose that the California State Board of Education Issue a Notice of Intent to Revoke with Notice of Facts.</dc:subject>
  <dc:creator>Makenna Huey</dc:creator>
  <cp:keywords/>
  <dc:description/>
  <cp:lastModifiedBy>Makenna Huey</cp:lastModifiedBy>
  <cp:revision>19</cp:revision>
  <cp:lastPrinted>2017-10-30T17:36:00Z</cp:lastPrinted>
  <dcterms:created xsi:type="dcterms:W3CDTF">2022-02-03T19:09:00Z</dcterms:created>
  <dcterms:modified xsi:type="dcterms:W3CDTF">2022-02-04T18:49:00Z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0x0101009D59B95F82F28141A4BE871963698210</vt:lpwstr>
  </property>
</Properties>
</file>