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897DF" w14:textId="77777777" w:rsidR="002D6EC8" w:rsidRPr="002D6EC8" w:rsidRDefault="002D6EC8" w:rsidP="008F7BC4">
      <w:pPr>
        <w:spacing w:line="240" w:lineRule="auto"/>
        <w:rPr>
          <w:rFonts w:cs="Arial"/>
        </w:rPr>
      </w:pPr>
      <w:bookmarkStart w:id="0" w:name="_GoBack"/>
      <w:bookmarkEnd w:id="0"/>
      <w:r w:rsidRPr="002D6EC8">
        <w:rPr>
          <w:rFonts w:cs="Arial"/>
        </w:rPr>
        <w:t>California Department of Education</w:t>
      </w:r>
    </w:p>
    <w:p w14:paraId="66372B8A" w14:textId="77777777" w:rsidR="002D6EC8" w:rsidRPr="002D6EC8" w:rsidRDefault="002D6EC8" w:rsidP="008F7BC4">
      <w:pPr>
        <w:spacing w:line="240" w:lineRule="auto"/>
        <w:rPr>
          <w:rFonts w:cs="Arial"/>
        </w:rPr>
      </w:pPr>
      <w:r w:rsidRPr="002D6EC8">
        <w:rPr>
          <w:rFonts w:cs="Arial"/>
        </w:rPr>
        <w:t>Charter Schools Division</w:t>
      </w:r>
    </w:p>
    <w:p w14:paraId="6D8E2BC4" w14:textId="77777777" w:rsidR="002D6EC8" w:rsidRPr="00780B44" w:rsidRDefault="00F77C0B" w:rsidP="008F7BC4">
      <w:pPr>
        <w:spacing w:line="240" w:lineRule="auto"/>
        <w:rPr>
          <w:rFonts w:cs="Arial"/>
        </w:rPr>
      </w:pPr>
      <w:r w:rsidRPr="00780B44">
        <w:rPr>
          <w:rFonts w:cs="Arial"/>
        </w:rPr>
        <w:t xml:space="preserve">Revised </w:t>
      </w:r>
      <w:r w:rsidR="0042654E" w:rsidRPr="00780B44">
        <w:rPr>
          <w:rFonts w:cs="Arial"/>
        </w:rPr>
        <w:t>5</w:t>
      </w:r>
      <w:r w:rsidR="00443B1F" w:rsidRPr="00780B44">
        <w:rPr>
          <w:rFonts w:cs="Arial"/>
        </w:rPr>
        <w:t>/2018</w:t>
      </w:r>
    </w:p>
    <w:p w14:paraId="0231E7DB" w14:textId="51E1A8D1" w:rsidR="00EF48D3" w:rsidRPr="00780B44" w:rsidRDefault="0055266E" w:rsidP="008F7BC4">
      <w:pPr>
        <w:spacing w:after="240" w:line="240" w:lineRule="auto"/>
        <w:rPr>
          <w:rFonts w:cs="Arial"/>
        </w:rPr>
      </w:pPr>
      <w:r w:rsidRPr="00780B44">
        <w:rPr>
          <w:rFonts w:cs="Arial"/>
        </w:rPr>
        <w:t>a</w:t>
      </w:r>
      <w:r w:rsidR="002D6EC8" w:rsidRPr="00780B44">
        <w:rPr>
          <w:rFonts w:cs="Arial"/>
        </w:rPr>
        <w:t>ccs</w:t>
      </w:r>
      <w:r w:rsidR="001F57FC">
        <w:rPr>
          <w:rFonts w:cs="Arial"/>
        </w:rPr>
        <w:t>-jun</w:t>
      </w:r>
      <w:r w:rsidR="00A210DE">
        <w:rPr>
          <w:rFonts w:cs="Arial"/>
        </w:rPr>
        <w:t>2</w:t>
      </w:r>
      <w:r w:rsidR="001F57FC">
        <w:rPr>
          <w:rFonts w:cs="Arial"/>
        </w:rPr>
        <w:t>2</w:t>
      </w:r>
      <w:r w:rsidR="008F7BC4" w:rsidRPr="00780B44">
        <w:rPr>
          <w:rFonts w:cs="Arial"/>
        </w:rPr>
        <w:t>item0</w:t>
      </w:r>
      <w:r w:rsidR="00C17809">
        <w:rPr>
          <w:rFonts w:cs="Arial"/>
        </w:rPr>
        <w:t>2</w:t>
      </w:r>
    </w:p>
    <w:p w14:paraId="4F987488" w14:textId="77777777" w:rsidR="00050515" w:rsidRPr="00780B44" w:rsidRDefault="00050515" w:rsidP="008F7BC4">
      <w:pPr>
        <w:pStyle w:val="NoSpacing"/>
        <w:spacing w:before="120"/>
        <w:jc w:val="center"/>
        <w:rPr>
          <w:b/>
          <w:sz w:val="32"/>
          <w:szCs w:val="32"/>
        </w:rPr>
      </w:pPr>
      <w:r w:rsidRPr="00780B44">
        <w:rPr>
          <w:b/>
          <w:sz w:val="32"/>
          <w:szCs w:val="32"/>
        </w:rPr>
        <w:t>ADVISORY COMMISSION ON CHARTER SCHOOLS</w:t>
      </w:r>
    </w:p>
    <w:p w14:paraId="26BB5330" w14:textId="77777777" w:rsidR="00050515" w:rsidRPr="00780B44" w:rsidRDefault="00050515" w:rsidP="008F7BC4">
      <w:pPr>
        <w:spacing w:before="0" w:line="240" w:lineRule="auto"/>
        <w:jc w:val="center"/>
      </w:pPr>
      <w:r w:rsidRPr="00780B44">
        <w:t>AN ADVISORY BODY TO THE STATE BOARD OF EDUCATION</w:t>
      </w:r>
    </w:p>
    <w:p w14:paraId="7B731161" w14:textId="4D771344" w:rsidR="00050515" w:rsidRDefault="006C61A6" w:rsidP="008F7BC4">
      <w:pPr>
        <w:pStyle w:val="Heading1"/>
        <w:spacing w:line="240" w:lineRule="auto"/>
      </w:pPr>
      <w:r>
        <w:t>June 2022</w:t>
      </w:r>
      <w:r w:rsidR="00050515" w:rsidRPr="00780B44">
        <w:t xml:space="preserve"> Agenda</w:t>
      </w:r>
      <w:r w:rsidR="00510736">
        <w:br/>
      </w:r>
      <w:r w:rsidR="00050515" w:rsidRPr="00780B44">
        <w:t>Item #</w:t>
      </w:r>
      <w:r w:rsidR="008F7BC4" w:rsidRPr="00780B44">
        <w:t>0</w:t>
      </w:r>
      <w:r w:rsidR="00C17809">
        <w:t>2</w:t>
      </w:r>
    </w:p>
    <w:p w14:paraId="086EB83E" w14:textId="77777777" w:rsidR="00FC1FCE" w:rsidRPr="001B3958" w:rsidRDefault="00FC1FCE" w:rsidP="00073062">
      <w:pPr>
        <w:pStyle w:val="Heading2"/>
      </w:pPr>
      <w:r w:rsidRPr="001B3958">
        <w:t>Subject</w:t>
      </w:r>
    </w:p>
    <w:p w14:paraId="65297A92" w14:textId="3D3D04A2" w:rsidR="00D70EF6" w:rsidRDefault="001F57FC" w:rsidP="007C0EAE">
      <w:pPr>
        <w:spacing w:before="240" w:after="240" w:line="240" w:lineRule="auto"/>
        <w:contextualSpacing w:val="0"/>
        <w:rPr>
          <w:rFonts w:cs="Arial"/>
        </w:rPr>
      </w:pPr>
      <w:r>
        <w:rPr>
          <w:rFonts w:cs="Arial"/>
        </w:rPr>
        <w:t>Reconsideration</w:t>
      </w:r>
      <w:r w:rsidR="000731BB" w:rsidRPr="00D960D6">
        <w:rPr>
          <w:rFonts w:cs="Arial"/>
        </w:rPr>
        <w:t xml:space="preserve"> of a</w:t>
      </w:r>
      <w:r w:rsidR="00D70EF6" w:rsidRPr="00D960D6">
        <w:rPr>
          <w:rFonts w:cs="Arial"/>
        </w:rPr>
        <w:t xml:space="preserve"> </w:t>
      </w:r>
      <w:r w:rsidR="00FD1B9C">
        <w:rPr>
          <w:rFonts w:cs="Arial"/>
        </w:rPr>
        <w:t xml:space="preserve">Request for </w:t>
      </w:r>
      <w:r w:rsidR="00B53A6E">
        <w:rPr>
          <w:rFonts w:cs="Arial"/>
        </w:rPr>
        <w:t>Determination of Funding</w:t>
      </w:r>
      <w:r w:rsidR="00D70EF6" w:rsidRPr="00D960D6">
        <w:rPr>
          <w:rFonts w:cs="Arial"/>
        </w:rPr>
        <w:t xml:space="preserve"> as Required for Nonclassroom-Based Charter Schools Pursuant to California</w:t>
      </w:r>
      <w:r w:rsidR="00D70EF6" w:rsidRPr="00D960D6">
        <w:rPr>
          <w:rFonts w:cs="Arial"/>
          <w:i/>
        </w:rPr>
        <w:t xml:space="preserve"> Education Code </w:t>
      </w:r>
      <w:r w:rsidR="00D70EF6" w:rsidRPr="00D960D6">
        <w:rPr>
          <w:rFonts w:cs="Arial"/>
        </w:rPr>
        <w:t xml:space="preserve">sections 47612.5 and 47634.2, </w:t>
      </w:r>
      <w:r w:rsidR="00D960D6" w:rsidRPr="00D960D6">
        <w:rPr>
          <w:rFonts w:cs="Arial"/>
          <w:i/>
        </w:rPr>
        <w:t>California Code of Regulations</w:t>
      </w:r>
      <w:r w:rsidR="00601EC9">
        <w:rPr>
          <w:rFonts w:cs="Arial"/>
        </w:rPr>
        <w:t>, Title 5</w:t>
      </w:r>
      <w:r w:rsidR="00D960D6" w:rsidRPr="00D960D6">
        <w:rPr>
          <w:rFonts w:cs="Arial"/>
          <w:i/>
        </w:rPr>
        <w:t xml:space="preserve"> </w:t>
      </w:r>
      <w:r w:rsidR="00D960D6" w:rsidRPr="00D960D6">
        <w:rPr>
          <w:rFonts w:cs="Arial"/>
        </w:rPr>
        <w:t>Section 11963.6(</w:t>
      </w:r>
      <w:r w:rsidR="00FD1B9C">
        <w:rPr>
          <w:rFonts w:cs="Arial"/>
        </w:rPr>
        <w:t>g</w:t>
      </w:r>
      <w:r w:rsidR="00D960D6" w:rsidRPr="00D960D6">
        <w:rPr>
          <w:rFonts w:cs="Arial"/>
        </w:rPr>
        <w:t xml:space="preserve">), </w:t>
      </w:r>
      <w:r w:rsidR="00D70EF6" w:rsidRPr="00D960D6">
        <w:rPr>
          <w:rFonts w:cs="Arial"/>
        </w:rPr>
        <w:t xml:space="preserve">and Associated </w:t>
      </w:r>
      <w:r w:rsidR="00D70EF6" w:rsidRPr="00D960D6">
        <w:rPr>
          <w:rFonts w:cs="Arial"/>
          <w:i/>
        </w:rPr>
        <w:t>California Code of Regulations</w:t>
      </w:r>
      <w:r w:rsidR="00D70EF6" w:rsidRPr="00D960D6">
        <w:rPr>
          <w:rFonts w:cs="Arial"/>
        </w:rPr>
        <w:t>, Title 5.</w:t>
      </w:r>
    </w:p>
    <w:p w14:paraId="5B5F05D7" w14:textId="77777777" w:rsidR="00FC1FCE" w:rsidRPr="001B3958" w:rsidRDefault="00FC1FCE" w:rsidP="00073062">
      <w:pPr>
        <w:pStyle w:val="Heading2"/>
      </w:pPr>
      <w:r w:rsidRPr="001B3958">
        <w:t>Type of Action</w:t>
      </w:r>
    </w:p>
    <w:p w14:paraId="67700290" w14:textId="77777777" w:rsidR="008F7BC4" w:rsidRPr="0055124C" w:rsidRDefault="008F7BC4" w:rsidP="007C0EAE">
      <w:pPr>
        <w:spacing w:before="240" w:after="240" w:line="240" w:lineRule="auto"/>
        <w:contextualSpacing w:val="0"/>
      </w:pPr>
      <w:r w:rsidRPr="0055124C">
        <w:t>Action, Information</w:t>
      </w:r>
    </w:p>
    <w:p w14:paraId="4F1F3903" w14:textId="77777777" w:rsidR="008F7BC4" w:rsidRPr="001B3958" w:rsidRDefault="008F7BC4" w:rsidP="00073062">
      <w:pPr>
        <w:pStyle w:val="Heading2"/>
      </w:pPr>
      <w:r>
        <w:t>Summary of the Issue</w:t>
      </w:r>
    </w:p>
    <w:p w14:paraId="5BC412D2" w14:textId="1ABC6F9C" w:rsidR="00CD2384" w:rsidRDefault="00CD2384" w:rsidP="007C0EAE">
      <w:pPr>
        <w:spacing w:before="240" w:after="240" w:line="240" w:lineRule="auto"/>
        <w:contextualSpacing w:val="0"/>
        <w:rPr>
          <w:rFonts w:cs="Arial"/>
        </w:rPr>
      </w:pPr>
      <w:r w:rsidRPr="008306A7">
        <w:rPr>
          <w:rFonts w:cs="Arial"/>
        </w:rPr>
        <w:t>California</w:t>
      </w:r>
      <w:r>
        <w:rPr>
          <w:rFonts w:cs="Arial"/>
          <w:i/>
        </w:rPr>
        <w:t xml:space="preserve"> </w:t>
      </w:r>
      <w:r w:rsidRPr="003639BA">
        <w:rPr>
          <w:rFonts w:cs="Arial"/>
          <w:i/>
        </w:rPr>
        <w:t>E</w:t>
      </w:r>
      <w:r>
        <w:rPr>
          <w:rFonts w:cs="Arial"/>
          <w:i/>
        </w:rPr>
        <w:t xml:space="preserve">ducation Code </w:t>
      </w:r>
      <w:r w:rsidR="005D1D81">
        <w:rPr>
          <w:rFonts w:cs="Arial"/>
        </w:rPr>
        <w:t>(</w:t>
      </w:r>
      <w:r w:rsidR="005D1D81" w:rsidRPr="005D1D81">
        <w:rPr>
          <w:rFonts w:cs="Arial"/>
          <w:i/>
        </w:rPr>
        <w:t>EC</w:t>
      </w:r>
      <w:r w:rsidR="005D1D81">
        <w:rPr>
          <w:rFonts w:cs="Arial"/>
        </w:rPr>
        <w:t xml:space="preserve">) </w:t>
      </w:r>
      <w:r w:rsidRPr="005F7E7C">
        <w:rPr>
          <w:rFonts w:cs="Arial"/>
        </w:rPr>
        <w:t>sections</w:t>
      </w:r>
      <w:r>
        <w:rPr>
          <w:rFonts w:cs="Arial"/>
        </w:rPr>
        <w:t xml:space="preserve"> 47612.5 and 47634.2 established the eligibility requirements for apportionment funding for charter schools that offer nonclassroom-based (NCB) instruction. The statutes specify that a charter school may receive apportionment funding for NCB instruction only if a determination of funding is made by the </w:t>
      </w:r>
      <w:r w:rsidR="00BA206C">
        <w:rPr>
          <w:rFonts w:cs="Arial"/>
        </w:rPr>
        <w:t xml:space="preserve">California </w:t>
      </w:r>
      <w:r>
        <w:rPr>
          <w:rFonts w:cs="Arial"/>
        </w:rPr>
        <w:t>State Board of Education (SBE). The California Department of Education (CDE) reviews a charter school’s determination of funding request and presents it for consideration by the Advisory Commission on Charter Schools</w:t>
      </w:r>
      <w:r w:rsidR="000731BB">
        <w:rPr>
          <w:rFonts w:cs="Arial"/>
        </w:rPr>
        <w:t xml:space="preserve"> (ACCS)</w:t>
      </w:r>
      <w:r>
        <w:rPr>
          <w:rFonts w:cs="Arial"/>
        </w:rPr>
        <w:t xml:space="preserve">, pursuant to relevant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w:t>
      </w:r>
      <w:bookmarkStart w:id="1" w:name="_Hlk37434151"/>
      <w:r w:rsidR="00CD7A10">
        <w:rPr>
          <w:rFonts w:cs="Arial"/>
        </w:rPr>
        <w:t xml:space="preserve"> </w:t>
      </w:r>
    </w:p>
    <w:p w14:paraId="1AB122F8" w14:textId="59E7F673" w:rsidR="00CD7A10" w:rsidRPr="00DA1569" w:rsidRDefault="00BA206C" w:rsidP="007C0097">
      <w:pPr>
        <w:spacing w:before="240" w:after="240" w:line="240" w:lineRule="auto"/>
        <w:contextualSpacing w:val="0"/>
        <w:rPr>
          <w:rFonts w:cs="Arial"/>
        </w:rPr>
      </w:pPr>
      <w:bookmarkStart w:id="2" w:name="_Hlk102652976"/>
      <w:r>
        <w:rPr>
          <w:rFonts w:cs="Arial"/>
        </w:rPr>
        <w:t>P</w:t>
      </w:r>
      <w:r w:rsidR="00DA1569">
        <w:rPr>
          <w:rFonts w:cs="Arial"/>
        </w:rPr>
        <w:t xml:space="preserve">ursuant to 5 </w:t>
      </w:r>
      <w:r w:rsidR="00DA1569">
        <w:rPr>
          <w:rFonts w:cs="Arial"/>
          <w:i/>
        </w:rPr>
        <w:t>CCR</w:t>
      </w:r>
      <w:r w:rsidR="00DA1569">
        <w:rPr>
          <w:rFonts w:cs="Arial"/>
        </w:rPr>
        <w:t xml:space="preserve"> Section 11963.4(c), a</w:t>
      </w:r>
      <w:r w:rsidR="00DA1569" w:rsidRPr="00DA1569">
        <w:rPr>
          <w:rFonts w:cs="Arial"/>
        </w:rPr>
        <w:t xml:space="preserve">ny multi-year funding determination approved by the </w:t>
      </w:r>
      <w:r>
        <w:rPr>
          <w:rFonts w:cs="Arial"/>
        </w:rPr>
        <w:t>SBE</w:t>
      </w:r>
      <w:r w:rsidR="00DA1569" w:rsidRPr="00DA1569">
        <w:rPr>
          <w:rFonts w:cs="Arial"/>
        </w:rPr>
        <w:t xml:space="preserve"> may be modified by the </w:t>
      </w:r>
      <w:r>
        <w:rPr>
          <w:rFonts w:cs="Arial"/>
        </w:rPr>
        <w:t>SBE</w:t>
      </w:r>
      <w:r w:rsidR="00DA1569" w:rsidRPr="00DA1569">
        <w:rPr>
          <w:rFonts w:cs="Arial"/>
        </w:rPr>
        <w:t>, in terms of both the multi-year approval and the percentage of funding authorized, if any information that may change the conclusion to approve the original multi-year funding determination is found.</w:t>
      </w:r>
      <w:bookmarkEnd w:id="2"/>
      <w:r>
        <w:rPr>
          <w:rFonts w:cs="Arial"/>
        </w:rPr>
        <w:t xml:space="preserve"> A charter school may also request a reconsideration of their funding determination, pursuant to 5 </w:t>
      </w:r>
      <w:r>
        <w:rPr>
          <w:rFonts w:cs="Arial"/>
          <w:i/>
        </w:rPr>
        <w:t>CCR</w:t>
      </w:r>
      <w:r>
        <w:rPr>
          <w:rFonts w:cs="Arial"/>
        </w:rPr>
        <w:t xml:space="preserve"> Section 11963.6(g), which states that </w:t>
      </w:r>
      <w:r w:rsidRPr="00CD7A10">
        <w:rPr>
          <w:rFonts w:cs="Arial"/>
        </w:rPr>
        <w:t xml:space="preserve">if during </w:t>
      </w:r>
      <w:r>
        <w:rPr>
          <w:rFonts w:cs="Arial"/>
        </w:rPr>
        <w:t xml:space="preserve">the effective period of </w:t>
      </w:r>
      <w:r w:rsidRPr="00CD7A10">
        <w:rPr>
          <w:rFonts w:cs="Arial"/>
        </w:rPr>
        <w:t>an approved determination</w:t>
      </w:r>
      <w:r>
        <w:rPr>
          <w:rFonts w:cs="Arial"/>
        </w:rPr>
        <w:t xml:space="preserve">, </w:t>
      </w:r>
      <w:r w:rsidRPr="00CD7A10">
        <w:rPr>
          <w:rFonts w:cs="Arial"/>
        </w:rPr>
        <w:t>a charter school wishes to seek a higher or lower determination of funding, it shall do so by the filing of a new determination of funding request for consideration by the SBE</w:t>
      </w:r>
      <w:r>
        <w:rPr>
          <w:rFonts w:cs="Arial"/>
        </w:rPr>
        <w:t>.</w:t>
      </w:r>
    </w:p>
    <w:p w14:paraId="30D88977" w14:textId="1F02E566" w:rsidR="00FD1B9C" w:rsidRDefault="0010180C" w:rsidP="007C0097">
      <w:pPr>
        <w:spacing w:before="240" w:after="240" w:line="240" w:lineRule="auto"/>
        <w:contextualSpacing w:val="0"/>
        <w:rPr>
          <w:rFonts w:cs="Arial"/>
        </w:rPr>
      </w:pPr>
      <w:r>
        <w:rPr>
          <w:rFonts w:cs="Arial"/>
        </w:rPr>
        <w:t>Peak Prep Pleasant Valley</w:t>
      </w:r>
      <w:r w:rsidR="009623BF">
        <w:rPr>
          <w:rFonts w:cs="Arial"/>
        </w:rPr>
        <w:t>, charter number 2062,</w:t>
      </w:r>
      <w:r w:rsidR="00FD1B9C">
        <w:rPr>
          <w:rFonts w:cs="Arial"/>
        </w:rPr>
        <w:t xml:space="preserve"> is requesting </w:t>
      </w:r>
      <w:r w:rsidR="000031DC">
        <w:rPr>
          <w:rFonts w:cs="Arial"/>
        </w:rPr>
        <w:t xml:space="preserve">to be reconsidered </w:t>
      </w:r>
      <w:r w:rsidR="00FD1B9C">
        <w:rPr>
          <w:rFonts w:cs="Arial"/>
        </w:rPr>
        <w:t>for</w:t>
      </w:r>
      <w:r w:rsidR="00E50B18">
        <w:rPr>
          <w:rFonts w:cs="Arial"/>
        </w:rPr>
        <w:t xml:space="preserve"> </w:t>
      </w:r>
      <w:r w:rsidR="00FD1B9C">
        <w:rPr>
          <w:rFonts w:cs="Arial"/>
        </w:rPr>
        <w:t xml:space="preserve">a higher determination of funding </w:t>
      </w:r>
      <w:r w:rsidR="00E50B18">
        <w:rPr>
          <w:rFonts w:cs="Arial"/>
        </w:rPr>
        <w:t>for</w:t>
      </w:r>
      <w:r w:rsidR="00B81CF1">
        <w:rPr>
          <w:rFonts w:cs="Arial"/>
        </w:rPr>
        <w:t xml:space="preserve"> </w:t>
      </w:r>
      <w:r w:rsidR="000031DC">
        <w:rPr>
          <w:rFonts w:cs="Arial"/>
        </w:rPr>
        <w:t xml:space="preserve">fiscal year (FY) </w:t>
      </w:r>
      <w:r w:rsidR="00B81CF1">
        <w:rPr>
          <w:rFonts w:cs="Arial"/>
        </w:rPr>
        <w:t xml:space="preserve">2020–21 through </w:t>
      </w:r>
      <w:r w:rsidR="000031DC">
        <w:rPr>
          <w:rFonts w:cs="Arial"/>
        </w:rPr>
        <w:t xml:space="preserve">FY </w:t>
      </w:r>
      <w:r w:rsidR="00B81CF1">
        <w:rPr>
          <w:rFonts w:cs="Arial"/>
        </w:rPr>
        <w:t>2023–24</w:t>
      </w:r>
      <w:r w:rsidR="00FD1B9C">
        <w:rPr>
          <w:rFonts w:cs="Arial"/>
        </w:rPr>
        <w:t xml:space="preserve">. If approved, the higher funding determination would replace the </w:t>
      </w:r>
      <w:r w:rsidR="000031DC">
        <w:rPr>
          <w:rFonts w:cs="Arial"/>
        </w:rPr>
        <w:t xml:space="preserve">funding </w:t>
      </w:r>
      <w:r w:rsidR="00FD1B9C">
        <w:rPr>
          <w:rFonts w:cs="Arial"/>
        </w:rPr>
        <w:t>determination currently in effect</w:t>
      </w:r>
      <w:r w:rsidR="002520BB">
        <w:rPr>
          <w:rFonts w:cs="Arial"/>
        </w:rPr>
        <w:t xml:space="preserve"> </w:t>
      </w:r>
      <w:r w:rsidR="00203FA3">
        <w:rPr>
          <w:rFonts w:cs="Arial"/>
        </w:rPr>
        <w:t>and the prior</w:t>
      </w:r>
      <w:r w:rsidR="00B81CF1">
        <w:rPr>
          <w:rFonts w:cs="Arial"/>
        </w:rPr>
        <w:t xml:space="preserve"> approved</w:t>
      </w:r>
      <w:r w:rsidR="00203FA3">
        <w:rPr>
          <w:rFonts w:cs="Arial"/>
        </w:rPr>
        <w:t xml:space="preserve"> funding determination</w:t>
      </w:r>
      <w:r w:rsidR="00FD1B9C">
        <w:rPr>
          <w:rFonts w:cs="Arial"/>
        </w:rPr>
        <w:t>.</w:t>
      </w:r>
    </w:p>
    <w:bookmarkEnd w:id="1"/>
    <w:p w14:paraId="19EBEFE6" w14:textId="77777777" w:rsidR="008F7BC4" w:rsidRPr="00F40510" w:rsidRDefault="008F7BC4" w:rsidP="00073062">
      <w:pPr>
        <w:pStyle w:val="Heading2"/>
      </w:pPr>
      <w:r w:rsidRPr="00EF48D3">
        <w:lastRenderedPageBreak/>
        <w:t>Proposed</w:t>
      </w:r>
      <w:r>
        <w:t xml:space="preserve"> Recommendation</w:t>
      </w:r>
    </w:p>
    <w:p w14:paraId="6AB0B724" w14:textId="694FC341" w:rsidR="00A229E8" w:rsidRDefault="00B43C92" w:rsidP="000B5B7C">
      <w:pPr>
        <w:spacing w:before="240" w:after="240" w:line="240" w:lineRule="auto"/>
        <w:contextualSpacing w:val="0"/>
        <w:rPr>
          <w:rFonts w:cs="Arial"/>
        </w:rPr>
      </w:pPr>
      <w:r w:rsidRPr="0093667F">
        <w:rPr>
          <w:rFonts w:cs="Arial"/>
        </w:rPr>
        <w:t xml:space="preserve">The CDE proposes to recommend that the SBE </w:t>
      </w:r>
      <w:r w:rsidR="008D54E1">
        <w:rPr>
          <w:rFonts w:cs="Arial"/>
        </w:rPr>
        <w:t>approve</w:t>
      </w:r>
      <w:r w:rsidRPr="0093667F">
        <w:rPr>
          <w:rFonts w:cs="Arial"/>
        </w:rPr>
        <w:t xml:space="preserve"> the </w:t>
      </w:r>
      <w:r w:rsidR="003C1CD8" w:rsidRPr="0093667F">
        <w:rPr>
          <w:rFonts w:cs="Arial"/>
        </w:rPr>
        <w:t>funding determination</w:t>
      </w:r>
      <w:r w:rsidR="008D54E1">
        <w:rPr>
          <w:rFonts w:cs="Arial"/>
        </w:rPr>
        <w:t xml:space="preserve"> reconsideration request</w:t>
      </w:r>
      <w:r w:rsidRPr="0093667F">
        <w:rPr>
          <w:rFonts w:cs="Arial"/>
        </w:rPr>
        <w:t xml:space="preserve"> for Pea</w:t>
      </w:r>
      <w:r w:rsidRPr="0095515F">
        <w:rPr>
          <w:rFonts w:cs="Arial"/>
        </w:rPr>
        <w:t>k Prep Pleasant Valle</w:t>
      </w:r>
      <w:r w:rsidR="00F4767B" w:rsidRPr="0095515F">
        <w:rPr>
          <w:rFonts w:cs="Arial"/>
        </w:rPr>
        <w:t xml:space="preserve">y, </w:t>
      </w:r>
      <w:r w:rsidR="000B5B7C" w:rsidRPr="0095515F">
        <w:rPr>
          <w:rFonts w:cs="Arial"/>
        </w:rPr>
        <w:t xml:space="preserve">so that the school receives 100 percent funding for the period of </w:t>
      </w:r>
      <w:r w:rsidR="000031DC">
        <w:rPr>
          <w:rFonts w:cs="Arial"/>
        </w:rPr>
        <w:t xml:space="preserve">FY </w:t>
      </w:r>
      <w:r w:rsidR="000B5B7C" w:rsidRPr="0095515F">
        <w:rPr>
          <w:rFonts w:cs="Arial"/>
        </w:rPr>
        <w:t xml:space="preserve">2020–21 through </w:t>
      </w:r>
      <w:r w:rsidR="000031DC">
        <w:rPr>
          <w:rFonts w:cs="Arial"/>
        </w:rPr>
        <w:t xml:space="preserve">FY </w:t>
      </w:r>
      <w:r w:rsidR="000B5B7C" w:rsidRPr="0095515F">
        <w:rPr>
          <w:rFonts w:cs="Arial"/>
        </w:rPr>
        <w:t>2022–23, replacing its</w:t>
      </w:r>
      <w:r w:rsidR="00AB66B3" w:rsidRPr="0095515F">
        <w:rPr>
          <w:rFonts w:cs="Arial"/>
        </w:rPr>
        <w:t xml:space="preserve"> </w:t>
      </w:r>
      <w:r w:rsidR="000B5B7C" w:rsidRPr="0095515F">
        <w:rPr>
          <w:rFonts w:cs="Arial"/>
        </w:rPr>
        <w:t>funding determinations covering the same period for 70 percent funding, as specified in Attachment 1.</w:t>
      </w:r>
    </w:p>
    <w:p w14:paraId="74068B15" w14:textId="081EBFB7" w:rsidR="00187967" w:rsidRDefault="00187967" w:rsidP="00187967">
      <w:pPr>
        <w:pStyle w:val="Heading2"/>
      </w:pPr>
      <w:r>
        <w:t>Background</w:t>
      </w:r>
    </w:p>
    <w:p w14:paraId="521CA272" w14:textId="772B953E" w:rsidR="004756FD" w:rsidRDefault="000031DC" w:rsidP="004756FD">
      <w:pPr>
        <w:pStyle w:val="Heading3"/>
      </w:pPr>
      <w:r>
        <w:t>Initial Determination of Funding</w:t>
      </w:r>
    </w:p>
    <w:p w14:paraId="1ED51C42" w14:textId="238458BB" w:rsidR="008303FA" w:rsidRDefault="000031DC" w:rsidP="004756FD">
      <w:pPr>
        <w:spacing w:before="240" w:after="240" w:line="240" w:lineRule="auto"/>
        <w:contextualSpacing w:val="0"/>
        <w:rPr>
          <w:rFonts w:cs="Arial"/>
        </w:rPr>
      </w:pPr>
      <w:r>
        <w:rPr>
          <w:rFonts w:cs="Arial"/>
        </w:rPr>
        <w:t xml:space="preserve">Pursuant to 5 </w:t>
      </w:r>
      <w:r>
        <w:rPr>
          <w:rFonts w:cs="Arial"/>
          <w:i/>
        </w:rPr>
        <w:t xml:space="preserve">CCR </w:t>
      </w:r>
      <w:r>
        <w:rPr>
          <w:rFonts w:cs="Arial"/>
        </w:rPr>
        <w:t>Section 11963.6(a), an</w:t>
      </w:r>
      <w:r w:rsidRPr="000031DC">
        <w:rPr>
          <w:rFonts w:cs="Arial"/>
        </w:rPr>
        <w:t xml:space="preserve"> approved determination of funding for a new charter school in its first year of operation shall be for two </w:t>
      </w:r>
      <w:r w:rsidR="00355511">
        <w:rPr>
          <w:rFonts w:cs="Arial"/>
        </w:rPr>
        <w:t>FYs</w:t>
      </w:r>
      <w:r w:rsidRPr="000031DC">
        <w:rPr>
          <w:rFonts w:cs="Arial"/>
        </w:rPr>
        <w:t xml:space="preserve">. </w:t>
      </w:r>
      <w:r w:rsidR="007F0643">
        <w:rPr>
          <w:rFonts w:cs="Arial"/>
        </w:rPr>
        <w:t xml:space="preserve">A new NCB charter school’s initial funding determination is based on its first-year budget and is </w:t>
      </w:r>
      <w:r w:rsidR="008303FA" w:rsidRPr="008303FA">
        <w:rPr>
          <w:rFonts w:cs="Arial"/>
        </w:rPr>
        <w:t>approved under the assumption that the school’s</w:t>
      </w:r>
      <w:r w:rsidR="00241DBD">
        <w:rPr>
          <w:rFonts w:cs="Arial"/>
        </w:rPr>
        <w:t xml:space="preserve"> actual</w:t>
      </w:r>
      <w:r w:rsidR="008303FA" w:rsidRPr="008303FA">
        <w:rPr>
          <w:rFonts w:cs="Arial"/>
        </w:rPr>
        <w:t xml:space="preserve"> expenditures </w:t>
      </w:r>
      <w:r w:rsidR="007F0643">
        <w:rPr>
          <w:rFonts w:cs="Arial"/>
        </w:rPr>
        <w:t>will</w:t>
      </w:r>
      <w:r w:rsidR="008303FA" w:rsidRPr="008303FA">
        <w:rPr>
          <w:rFonts w:cs="Arial"/>
        </w:rPr>
        <w:t xml:space="preserve"> meet the required percentages for </w:t>
      </w:r>
      <w:r w:rsidR="007F0643">
        <w:rPr>
          <w:rFonts w:cs="Arial"/>
        </w:rPr>
        <w:t>its requested funding amount</w:t>
      </w:r>
      <w:r w:rsidR="005917A8">
        <w:rPr>
          <w:rFonts w:cs="Arial"/>
        </w:rPr>
        <w:t>.</w:t>
      </w:r>
    </w:p>
    <w:p w14:paraId="46341AF5" w14:textId="5E096D26" w:rsidR="000031DC" w:rsidRDefault="000031DC" w:rsidP="000031DC">
      <w:pPr>
        <w:spacing w:before="0" w:after="240" w:line="240" w:lineRule="auto"/>
        <w:contextualSpacing w:val="0"/>
      </w:pPr>
      <w:r>
        <w:t>At its March 2020 meeting, the SBE approved the initial funding determination for Peak Prep Pleasant Valley at 100 percent for FY 2019–20 through FY 2020–21</w:t>
      </w:r>
      <w:r w:rsidR="00432856">
        <w:t xml:space="preserve"> as its first-year budget demonstrated that it met the requirements for full funding for its NCB instruction</w:t>
      </w:r>
      <w:r>
        <w:t xml:space="preserve">. Detailed information regarding the school’s initial funding determination request is provided in Item 11 of the SBE Agenda for March 2020 web page, which is available at </w:t>
      </w:r>
      <w:hyperlink r:id="rId7" w:tooltip="SBE Agenda for March 2020 web page" w:history="1">
        <w:r w:rsidRPr="009E14B6">
          <w:rPr>
            <w:rStyle w:val="Hyperlink"/>
          </w:rPr>
          <w:t>https://www.cde.ca.gov/be/ag/ag/yr20/agenda202003.asp</w:t>
        </w:r>
      </w:hyperlink>
      <w:r>
        <w:t>.</w:t>
      </w:r>
    </w:p>
    <w:p w14:paraId="2AAD2DF0" w14:textId="433CB293" w:rsidR="00EB683B" w:rsidRDefault="00EB683B" w:rsidP="00EB683B">
      <w:pPr>
        <w:pStyle w:val="Heading3"/>
      </w:pPr>
      <w:r>
        <w:t>90 Day Report and Revised Determination of Funding</w:t>
      </w:r>
    </w:p>
    <w:p w14:paraId="0D534E86" w14:textId="5EFCBEF4" w:rsidR="00EB683B" w:rsidRDefault="00EB683B" w:rsidP="00EB683B">
      <w:pPr>
        <w:spacing w:before="240" w:after="240" w:line="240" w:lineRule="auto"/>
        <w:contextualSpacing w:val="0"/>
        <w:rPr>
          <w:rFonts w:cs="Arial"/>
        </w:rPr>
      </w:pPr>
      <w:r>
        <w:rPr>
          <w:rFonts w:cs="Arial"/>
        </w:rPr>
        <w:t>Pu</w:t>
      </w:r>
      <w:r w:rsidRPr="004756FD">
        <w:rPr>
          <w:rFonts w:cs="Arial"/>
        </w:rPr>
        <w:t xml:space="preserve">rsuant to 5 </w:t>
      </w:r>
      <w:r w:rsidRPr="004756FD">
        <w:rPr>
          <w:rFonts w:cs="Arial"/>
          <w:i/>
        </w:rPr>
        <w:t>CCR</w:t>
      </w:r>
      <w:r w:rsidRPr="004756FD">
        <w:rPr>
          <w:rFonts w:cs="Arial"/>
        </w:rPr>
        <w:t xml:space="preserve"> Section 11963.6(a), 90 days after a new NCB charter school’s first </w:t>
      </w:r>
      <w:r w:rsidR="00355511">
        <w:rPr>
          <w:rFonts w:cs="Arial"/>
        </w:rPr>
        <w:t>FY</w:t>
      </w:r>
      <w:r w:rsidRPr="004756FD">
        <w:rPr>
          <w:rFonts w:cs="Arial"/>
        </w:rPr>
        <w:t xml:space="preserve"> of operation, the school shall submit unaudited actual expense reports and a funding determination form based on the school’s actual second-year budget. The CDE refers to these two items collectively as the 90 Day Report. Pursuant to 5 </w:t>
      </w:r>
      <w:r w:rsidRPr="004756FD">
        <w:rPr>
          <w:rFonts w:cs="Arial"/>
          <w:i/>
        </w:rPr>
        <w:t xml:space="preserve">CCR </w:t>
      </w:r>
      <w:r w:rsidRPr="004756FD">
        <w:rPr>
          <w:rFonts w:cs="Arial"/>
        </w:rPr>
        <w:t xml:space="preserve">Section 11963.6(a), if the ACCS determines that the 90 Day Report does not support the school’s current funding determination, the ACCS shall recommend that the SBE revise the funding determination. </w:t>
      </w:r>
    </w:p>
    <w:p w14:paraId="4A64A6B3" w14:textId="77777777" w:rsidR="00EB683B" w:rsidRDefault="00432856" w:rsidP="00432856">
      <w:pPr>
        <w:spacing w:before="0" w:after="240" w:line="240" w:lineRule="auto"/>
        <w:contextualSpacing w:val="0"/>
      </w:pPr>
      <w:r>
        <w:t xml:space="preserve">Ninety days after its first year of operation, Peak Prep Pleasant Valley submitted its 90 Day Report to the CDE. Data reported </w:t>
      </w:r>
      <w:r w:rsidR="005D1D81">
        <w:t>in</w:t>
      </w:r>
      <w:r>
        <w:t xml:space="preserve"> its first-year unaudited actuals demonstrated</w:t>
      </w:r>
      <w:r w:rsidR="005D1D81">
        <w:t xml:space="preserve"> that the school had failed to meet the spending criteria to qualify for a recommendation for full funding for its NCB instruction. </w:t>
      </w:r>
      <w:r w:rsidR="004756FD" w:rsidRPr="000031DC">
        <w:t>A</w:t>
      </w:r>
      <w:r w:rsidR="005D1D81">
        <w:t>s a result, a</w:t>
      </w:r>
      <w:r w:rsidR="004756FD" w:rsidRPr="000031DC">
        <w:t>t its May 2021 meeting,</w:t>
      </w:r>
      <w:r w:rsidR="004756FD" w:rsidRPr="00B47994">
        <w:t xml:space="preserve"> </w:t>
      </w:r>
      <w:r w:rsidR="00DD10A3">
        <w:t>t</w:t>
      </w:r>
      <w:r w:rsidR="004756FD">
        <w:t>he SBE revised the funding determination for Peak Prep Pleasant Valley from 100 percent</w:t>
      </w:r>
      <w:r w:rsidR="00DD10A3" w:rsidRPr="00DD10A3">
        <w:rPr>
          <w:rFonts w:cs="Arial"/>
        </w:rPr>
        <w:t xml:space="preserve"> </w:t>
      </w:r>
      <w:r w:rsidR="00DD10A3" w:rsidRPr="00961D08">
        <w:rPr>
          <w:rFonts w:cs="Arial"/>
        </w:rPr>
        <w:t xml:space="preserve">funding </w:t>
      </w:r>
      <w:r>
        <w:rPr>
          <w:rFonts w:cs="Arial"/>
        </w:rPr>
        <w:t>FY</w:t>
      </w:r>
      <w:r w:rsidR="00DD10A3" w:rsidRPr="00961D08">
        <w:rPr>
          <w:rFonts w:cs="Arial"/>
        </w:rPr>
        <w:t xml:space="preserve"> 2020–21</w:t>
      </w:r>
      <w:r w:rsidR="004756FD">
        <w:t xml:space="preserve"> to 70 percent funding</w:t>
      </w:r>
      <w:r w:rsidR="00DD10A3">
        <w:t xml:space="preserve"> for </w:t>
      </w:r>
      <w:r>
        <w:t xml:space="preserve">FY </w:t>
      </w:r>
      <w:r w:rsidR="00DD10A3" w:rsidRPr="00961D08">
        <w:rPr>
          <w:rFonts w:cs="Arial"/>
        </w:rPr>
        <w:t>2020–21</w:t>
      </w:r>
      <w:r w:rsidR="005D1D81">
        <w:t>.</w:t>
      </w:r>
    </w:p>
    <w:p w14:paraId="647F97A4" w14:textId="19E22482" w:rsidR="00432856" w:rsidRPr="005D1D81" w:rsidRDefault="00EB683B" w:rsidP="00B55CDA">
      <w:pPr>
        <w:spacing w:before="240" w:after="240" w:line="240" w:lineRule="auto"/>
        <w:contextualSpacing w:val="0"/>
      </w:pPr>
      <w:r>
        <w:rPr>
          <w:rFonts w:cs="Arial"/>
        </w:rPr>
        <w:t xml:space="preserve">At the time its funding determination was undergoing revision by the SBE, Peak Prep Pleasant Valley was contesting $1.76 million in litigation with its former back office service provider. As a result of this litigation, audited </w:t>
      </w:r>
      <w:r w:rsidR="00B55CDA">
        <w:rPr>
          <w:rFonts w:cs="Arial"/>
        </w:rPr>
        <w:t xml:space="preserve">financial </w:t>
      </w:r>
      <w:r>
        <w:rPr>
          <w:rFonts w:cs="Arial"/>
        </w:rPr>
        <w:t xml:space="preserve">data was not yet </w:t>
      </w:r>
      <w:r>
        <w:rPr>
          <w:rFonts w:cs="Arial"/>
        </w:rPr>
        <w:lastRenderedPageBreak/>
        <w:t xml:space="preserve">available. The school </w:t>
      </w:r>
      <w:r w:rsidR="00BC3D29">
        <w:rPr>
          <w:rFonts w:cs="Arial"/>
        </w:rPr>
        <w:t>stated that its</w:t>
      </w:r>
      <w:r w:rsidR="00B55CDA">
        <w:rPr>
          <w:rFonts w:cs="Arial"/>
        </w:rPr>
        <w:t xml:space="preserve"> unaudited actuals did not provide a complete picture of the school’s actual expenditures during its first year of operation</w:t>
      </w:r>
      <w:r w:rsidR="005C01D8">
        <w:rPr>
          <w:rFonts w:cs="Arial"/>
        </w:rPr>
        <w:t xml:space="preserve"> because </w:t>
      </w:r>
      <w:r>
        <w:rPr>
          <w:rFonts w:cs="Arial"/>
        </w:rPr>
        <w:t>the $1.76 million included expenditures that would count toward instruction-related services</w:t>
      </w:r>
      <w:r w:rsidR="005C01D8">
        <w:rPr>
          <w:rFonts w:cs="Arial"/>
        </w:rPr>
        <w:t>;</w:t>
      </w:r>
      <w:r>
        <w:rPr>
          <w:rFonts w:cs="Arial"/>
        </w:rPr>
        <w:t xml:space="preserve"> the exact amount would be determined by the court case.</w:t>
      </w:r>
      <w:r w:rsidR="00B55CDA">
        <w:rPr>
          <w:rFonts w:cs="Arial"/>
        </w:rPr>
        <w:t xml:space="preserve"> </w:t>
      </w:r>
      <w:r w:rsidR="00432856" w:rsidRPr="00C02D20">
        <w:rPr>
          <w:rFonts w:cs="Arial"/>
        </w:rPr>
        <w:t xml:space="preserve">Detailed information regarding the school’s revised funding determination is provided in Item 07 of the SBE Agenda for May 2021 web page, which is available at </w:t>
      </w:r>
      <w:hyperlink r:id="rId8" w:tooltip="SBE Agenda for May 2021 web page" w:history="1">
        <w:r w:rsidR="00432856">
          <w:rPr>
            <w:rStyle w:val="Hyperlink"/>
          </w:rPr>
          <w:t>https://www.cde.ca.gov/be/ag/ag/yr21/agenda202105.asp</w:t>
        </w:r>
      </w:hyperlink>
      <w:r w:rsidR="005D1D81">
        <w:rPr>
          <w:rStyle w:val="Hyperlink"/>
          <w:u w:val="none"/>
        </w:rPr>
        <w:t xml:space="preserve">. </w:t>
      </w:r>
    </w:p>
    <w:p w14:paraId="08A5C8A5" w14:textId="645AF0AF" w:rsidR="00845612" w:rsidRPr="005D1D81" w:rsidRDefault="005C01D8" w:rsidP="00845612">
      <w:pPr>
        <w:spacing w:before="240" w:after="240" w:line="240" w:lineRule="auto"/>
        <w:contextualSpacing w:val="0"/>
        <w:rPr>
          <w:rFonts w:cs="Arial"/>
        </w:rPr>
      </w:pPr>
      <w:r>
        <w:rPr>
          <w:rFonts w:cs="Arial"/>
        </w:rPr>
        <w:t>When the school’s</w:t>
      </w:r>
      <w:r w:rsidR="005D1D81">
        <w:rPr>
          <w:rFonts w:cs="Arial"/>
        </w:rPr>
        <w:t xml:space="preserve"> funding determination was revised, t</w:t>
      </w:r>
      <w:r w:rsidR="00845612">
        <w:rPr>
          <w:rFonts w:cs="Arial"/>
        </w:rPr>
        <w:t>he CDE noted that the school was permitted to submit a funding determination reconsideration request</w:t>
      </w:r>
      <w:r w:rsidR="005D1D81">
        <w:rPr>
          <w:rFonts w:cs="Arial"/>
        </w:rPr>
        <w:t xml:space="preserve">, pursuant to 5 </w:t>
      </w:r>
      <w:r w:rsidR="005D1D81">
        <w:rPr>
          <w:rFonts w:cs="Arial"/>
          <w:i/>
        </w:rPr>
        <w:t xml:space="preserve">CCR </w:t>
      </w:r>
      <w:r w:rsidR="005D1D81">
        <w:rPr>
          <w:rFonts w:cs="Arial"/>
        </w:rPr>
        <w:t>Section 11963.6(g)</w:t>
      </w:r>
      <w:r w:rsidR="00AF2065">
        <w:rPr>
          <w:rFonts w:cs="Arial"/>
        </w:rPr>
        <w:t>, once litigation concluded and audited data became available</w:t>
      </w:r>
      <w:r w:rsidR="005D1D81">
        <w:rPr>
          <w:rFonts w:cs="Arial"/>
        </w:rPr>
        <w:t>.</w:t>
      </w:r>
    </w:p>
    <w:p w14:paraId="2F90DDDC" w14:textId="77777777" w:rsidR="004756FD" w:rsidRDefault="004756FD" w:rsidP="004756FD">
      <w:pPr>
        <w:pStyle w:val="Heading3"/>
      </w:pPr>
      <w:r>
        <w:t>Senate Bill 820 Section 75</w:t>
      </w:r>
    </w:p>
    <w:p w14:paraId="74F70976" w14:textId="23A54780" w:rsidR="00DA340B" w:rsidRDefault="00DA340B" w:rsidP="00DA340B">
      <w:pPr>
        <w:spacing w:before="0" w:after="240" w:line="240" w:lineRule="auto"/>
        <w:contextualSpacing w:val="0"/>
        <w:rPr>
          <w:rFonts w:cs="Arial"/>
        </w:rPr>
      </w:pPr>
      <w:r>
        <w:rPr>
          <w:rFonts w:cs="Arial"/>
          <w:i/>
        </w:rPr>
        <w:t xml:space="preserve">EC </w:t>
      </w:r>
      <w:r>
        <w:rPr>
          <w:rFonts w:cs="Arial"/>
        </w:rPr>
        <w:t>Section 47612.5(d)(1) states that a charter school that has an approved charter may receive funding for its NCB instruction only if a determination for funding is made by the SBE.</w:t>
      </w:r>
      <w:r w:rsidR="00AF2065">
        <w:rPr>
          <w:rFonts w:cs="Arial"/>
        </w:rPr>
        <w:t xml:space="preserve"> </w:t>
      </w:r>
      <w:r>
        <w:t xml:space="preserve">However, for FYs 2020–21 and 2021–22, certain schools are exempt from the requirement to obtain an approved funding determination from the SBE, </w:t>
      </w:r>
      <w:r>
        <w:rPr>
          <w:rFonts w:cs="Arial"/>
        </w:rPr>
        <w:t>pursuant to Senate Bill 820 Section 75 [Chapter 110, Statutes of 2020]:</w:t>
      </w:r>
    </w:p>
    <w:p w14:paraId="4432F545" w14:textId="38FC1699" w:rsidR="00DA340B" w:rsidRDefault="00DA340B" w:rsidP="00DA340B">
      <w:pPr>
        <w:spacing w:before="0" w:after="240" w:line="240" w:lineRule="auto"/>
        <w:ind w:left="720"/>
        <w:contextualSpacing w:val="0"/>
        <w:rPr>
          <w:rFonts w:cs="Arial"/>
        </w:rPr>
      </w:pPr>
      <w:r w:rsidRPr="000471CA">
        <w:rPr>
          <w:rFonts w:cs="Arial"/>
        </w:rPr>
        <w:t>A charter school with a nonclassroom-based funding determination pursuant to Section 47612.5 of the Education Code that expires on June 30, 2021, or June 30, 2022, shall receive its current funding level for two years upon submission of a complete funding determination request to the State Department of Education pursuant to Section 11963.3 of Title 5 of the California Code of Regulations. A charter school’s funding determination request shall be received by the State Department of Education no later than June 30, 2021 or June 30, 2022, as applicable.</w:t>
      </w:r>
      <w:r>
        <w:rPr>
          <w:rFonts w:cs="Arial"/>
        </w:rPr>
        <w:t xml:space="preserve"> </w:t>
      </w:r>
      <w:r w:rsidRPr="00DA340B">
        <w:rPr>
          <w:rFonts w:cs="Arial"/>
        </w:rPr>
        <w:t>A charter school that submits a funding determination request after the applicable deadline shall receive 85 percent funding for two fiscal years for nonclassroom-based instruction attendance. Either the charter school or the State Department of Education may request that the Advisory Commission on Charter Schools or the State Board of Education consider a higher or lower funding level pursuant to Section 11963.6 or 11963.7 of Title 5 of the California Code of Regulations.</w:t>
      </w:r>
    </w:p>
    <w:p w14:paraId="71F82637" w14:textId="0CCB459A" w:rsidR="00DA340B" w:rsidRPr="004E3ACE" w:rsidRDefault="00355511" w:rsidP="0098271C">
      <w:pPr>
        <w:spacing w:before="0" w:after="240" w:line="240" w:lineRule="auto"/>
        <w:contextualSpacing w:val="0"/>
      </w:pPr>
      <w:r>
        <w:rPr>
          <w:rFonts w:cs="Arial"/>
        </w:rPr>
        <w:t xml:space="preserve">Peak Prep Pleasant Valley’s initial determination of funding expired on June 30, 2021. Pursuant to SB 820 Section 75, </w:t>
      </w:r>
      <w:r w:rsidR="00DA340B">
        <w:rPr>
          <w:rFonts w:cs="Arial"/>
        </w:rPr>
        <w:t xml:space="preserve">Peak Prep Pleasant Valley </w:t>
      </w:r>
      <w:r w:rsidR="00DA340B" w:rsidRPr="00DA340B">
        <w:rPr>
          <w:rFonts w:cs="Arial"/>
        </w:rPr>
        <w:t xml:space="preserve">received its </w:t>
      </w:r>
      <w:r w:rsidR="00AF2065">
        <w:rPr>
          <w:rFonts w:cs="Arial"/>
        </w:rPr>
        <w:t xml:space="preserve">current </w:t>
      </w:r>
      <w:r w:rsidR="00DA340B" w:rsidRPr="00DA340B">
        <w:rPr>
          <w:rFonts w:cs="Arial"/>
        </w:rPr>
        <w:t>level of funding</w:t>
      </w:r>
      <w:r w:rsidR="00AF2065">
        <w:rPr>
          <w:rFonts w:cs="Arial"/>
        </w:rPr>
        <w:t xml:space="preserve"> (i.e., its funding level in FY 2020–21) of</w:t>
      </w:r>
      <w:r w:rsidR="00DA340B">
        <w:rPr>
          <w:rFonts w:cs="Arial"/>
        </w:rPr>
        <w:t xml:space="preserve"> 70 percent</w:t>
      </w:r>
      <w:r w:rsidR="00DA340B" w:rsidRPr="00DA340B">
        <w:rPr>
          <w:rFonts w:cs="Arial"/>
        </w:rPr>
        <w:t xml:space="preserve"> for two years </w:t>
      </w:r>
      <w:r w:rsidR="00151B3B">
        <w:rPr>
          <w:rFonts w:cs="Arial"/>
        </w:rPr>
        <w:t xml:space="preserve">as it submitted a </w:t>
      </w:r>
      <w:r w:rsidR="00DA340B" w:rsidRPr="00DA340B">
        <w:rPr>
          <w:rFonts w:cs="Arial"/>
        </w:rPr>
        <w:t xml:space="preserve">complete and timely </w:t>
      </w:r>
      <w:r w:rsidR="00151B3B">
        <w:rPr>
          <w:rFonts w:cs="Arial"/>
        </w:rPr>
        <w:t>d</w:t>
      </w:r>
      <w:r w:rsidR="00DA340B" w:rsidRPr="00DA340B">
        <w:rPr>
          <w:rFonts w:cs="Arial"/>
        </w:rPr>
        <w:t>etermination of funding request by June 30, 2021.</w:t>
      </w:r>
    </w:p>
    <w:p w14:paraId="55AED14D" w14:textId="53B52F35" w:rsidR="008F7BC4" w:rsidRPr="00F40510" w:rsidRDefault="008F7BC4" w:rsidP="00073062">
      <w:pPr>
        <w:pStyle w:val="Heading2"/>
      </w:pPr>
      <w:r>
        <w:t>Brief Analysis of the Issue</w:t>
      </w:r>
    </w:p>
    <w:p w14:paraId="1702F7F7" w14:textId="77777777" w:rsidR="00984135" w:rsidRPr="007F785D" w:rsidRDefault="00984135" w:rsidP="00984135">
      <w:pPr>
        <w:spacing w:before="0" w:after="240" w:line="240" w:lineRule="auto"/>
        <w:contextualSpacing w:val="0"/>
      </w:pPr>
      <w:bookmarkStart w:id="3" w:name="_Hlk37437238"/>
      <w:r w:rsidRPr="007F785D">
        <w:rPr>
          <w:i/>
        </w:rPr>
        <w:t xml:space="preserve">EC </w:t>
      </w:r>
      <w:r w:rsidRPr="007F785D">
        <w:t xml:space="preserve">Section 47634.2(a)(1) provides the following: </w:t>
      </w:r>
    </w:p>
    <w:p w14:paraId="67EF8C21" w14:textId="77777777" w:rsidR="00984135" w:rsidRPr="007F785D" w:rsidRDefault="00984135" w:rsidP="00984135">
      <w:pPr>
        <w:spacing w:before="0" w:after="240" w:line="240" w:lineRule="auto"/>
        <w:ind w:left="720"/>
        <w:contextualSpacing w:val="0"/>
      </w:pPr>
      <w:r w:rsidRPr="007F785D">
        <w:t xml:space="preserve">Notwithstanding any other provision of law, the amount of funding to be allocated to a charter school on the basis of average daily attendance that is generated by </w:t>
      </w:r>
      <w:r w:rsidRPr="007F785D">
        <w:lastRenderedPageBreak/>
        <w:t xml:space="preserve">pupils engaged in nonclassroom-based instruction…shall be adjusted by the State Board of Education. The State Board of Education shall adopt regulations setting forth criteria for the determination of funding for nonclassroom-based instruction, at a minimum the regulation shall specify that the nonclassroom-based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w:t>
      </w:r>
      <w:proofErr w:type="spellStart"/>
      <w:r w:rsidRPr="007F785D">
        <w:t>schoolsites</w:t>
      </w:r>
      <w:proofErr w:type="spellEnd"/>
      <w:r w:rsidRPr="007F785D">
        <w:t>, as defined in paragraph (3) of subdivision (d) of Section 47612.5, and the teacher-to-pupil ratio in the school.</w:t>
      </w:r>
    </w:p>
    <w:p w14:paraId="6BDFC02D" w14:textId="77777777" w:rsidR="00984135" w:rsidRPr="007F785D" w:rsidRDefault="00984135" w:rsidP="00984135">
      <w:pPr>
        <w:spacing w:before="0" w:after="240" w:line="240" w:lineRule="auto"/>
        <w:contextualSpacing w:val="0"/>
      </w:pPr>
      <w:r w:rsidRPr="007F785D">
        <w:rPr>
          <w:i/>
        </w:rPr>
        <w:t xml:space="preserve">EC </w:t>
      </w:r>
      <w:r w:rsidRPr="007F785D">
        <w:t>Section 47634.2(a)(4) further states:</w:t>
      </w:r>
    </w:p>
    <w:p w14:paraId="01DC77A9" w14:textId="77777777" w:rsidR="00984135" w:rsidRPr="007F785D" w:rsidRDefault="00984135" w:rsidP="00984135">
      <w:pPr>
        <w:spacing w:before="0" w:after="240" w:line="240" w:lineRule="auto"/>
        <w:ind w:left="720"/>
        <w:contextualSpacing w:val="0"/>
      </w:pPr>
      <w:r w:rsidRPr="007F785D">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14:paraId="2049D484" w14:textId="2B5E8F61" w:rsidR="00984135" w:rsidRPr="00D44713" w:rsidRDefault="00984135" w:rsidP="00AF2065">
      <w:pPr>
        <w:spacing w:before="0" w:after="240" w:line="240" w:lineRule="auto"/>
        <w:contextualSpacing w:val="0"/>
        <w:rPr>
          <w:rFonts w:cs="Arial"/>
        </w:rPr>
      </w:pPr>
      <w:r w:rsidRPr="007F785D">
        <w:t xml:space="preserve">Regulations provide that the ACCS shall develop a recommendation to the SBE regarding determination of funding requests. As stated in 5 </w:t>
      </w:r>
      <w:r w:rsidRPr="007F785D">
        <w:rPr>
          <w:i/>
        </w:rPr>
        <w:t>CCR</w:t>
      </w:r>
      <w:r w:rsidRPr="007F785D">
        <w:t xml:space="preserve"> Section 11963.4(a), a charter school requesting a determination of funding may qualify for either 70 percent, 85 percent, or 100 percent funding, or may be denied (i.e., 0 percent funding).</w:t>
      </w:r>
      <w:r w:rsidRPr="00D8166B">
        <w:t xml:space="preserve"> </w:t>
      </w:r>
      <w:r w:rsidRPr="00D8166B">
        <w:rPr>
          <w:rFonts w:cs="Arial"/>
        </w:rPr>
        <w:t>To qualify for a proposed recommendation of 100 percent funding, an NCB charter</w:t>
      </w:r>
      <w:r w:rsidRPr="00D44713">
        <w:rPr>
          <w:rFonts w:cs="Arial"/>
        </w:rPr>
        <w:t xml:space="preserve"> school must meet the following criteria:</w:t>
      </w:r>
    </w:p>
    <w:p w14:paraId="4B6A8A97" w14:textId="77777777" w:rsidR="00984135" w:rsidRPr="00D44713" w:rsidRDefault="00984135" w:rsidP="00984135">
      <w:pPr>
        <w:numPr>
          <w:ilvl w:val="0"/>
          <w:numId w:val="11"/>
        </w:numPr>
        <w:spacing w:before="240" w:after="240" w:line="240" w:lineRule="auto"/>
        <w:contextualSpacing w:val="0"/>
        <w:rPr>
          <w:rFonts w:cs="Arial"/>
        </w:rPr>
      </w:pPr>
      <w:r w:rsidRPr="00D44713">
        <w:rPr>
          <w:rFonts w:cs="Arial"/>
        </w:rPr>
        <w:t xml:space="preserve">Spend at least </w:t>
      </w:r>
      <w:r>
        <w:rPr>
          <w:rFonts w:cs="Arial"/>
        </w:rPr>
        <w:t>40</w:t>
      </w:r>
      <w:r w:rsidRPr="00D44713">
        <w:rPr>
          <w:rFonts w:cs="Arial"/>
        </w:rPr>
        <w:t xml:space="preserve"> percent of the school’s public revenues on salaries and benefits for all employees who possess a valid teaching certificate.</w:t>
      </w:r>
    </w:p>
    <w:p w14:paraId="51538F5B" w14:textId="77777777" w:rsidR="00984135" w:rsidRDefault="00984135" w:rsidP="00984135">
      <w:pPr>
        <w:numPr>
          <w:ilvl w:val="0"/>
          <w:numId w:val="11"/>
        </w:numPr>
        <w:spacing w:before="240" w:after="240" w:line="240" w:lineRule="auto"/>
        <w:contextualSpacing w:val="0"/>
        <w:rPr>
          <w:rFonts w:cs="Arial"/>
        </w:rPr>
      </w:pPr>
      <w:r w:rsidRPr="00D44713">
        <w:rPr>
          <w:rFonts w:cs="Arial"/>
        </w:rPr>
        <w:t xml:space="preserve">Spend at least </w:t>
      </w:r>
      <w:r>
        <w:rPr>
          <w:rFonts w:cs="Arial"/>
        </w:rPr>
        <w:t>80</w:t>
      </w:r>
      <w:r w:rsidRPr="00D44713">
        <w:rPr>
          <w:rFonts w:cs="Arial"/>
        </w:rPr>
        <w:t xml:space="preserve"> percent of all revenues on instruction and related services.</w:t>
      </w:r>
    </w:p>
    <w:p w14:paraId="0DAF815C" w14:textId="77777777" w:rsidR="00984135" w:rsidRPr="007F785D" w:rsidRDefault="00984135" w:rsidP="00984135">
      <w:pPr>
        <w:numPr>
          <w:ilvl w:val="0"/>
          <w:numId w:val="11"/>
        </w:numPr>
        <w:spacing w:before="100" w:beforeAutospacing="1" w:after="240" w:line="240" w:lineRule="auto"/>
        <w:contextualSpacing w:val="0"/>
        <w:rPr>
          <w:rFonts w:cs="Arial"/>
        </w:rPr>
      </w:pPr>
      <w:r>
        <w:rPr>
          <w:rFonts w:cs="Arial"/>
        </w:rPr>
        <w:t xml:space="preserve">Maintain a </w:t>
      </w:r>
      <w:r w:rsidRPr="00C02C2C">
        <w:rPr>
          <w:rFonts w:cs="Arial"/>
        </w:rPr>
        <w:t xml:space="preserve">ratio of </w:t>
      </w:r>
      <w:r>
        <w:rPr>
          <w:rFonts w:cs="Arial"/>
        </w:rPr>
        <w:t xml:space="preserve">ADA </w:t>
      </w:r>
      <w:r w:rsidRPr="00C02C2C">
        <w:rPr>
          <w:rFonts w:cs="Arial"/>
        </w:rPr>
        <w:t xml:space="preserve">for independent study pupils to full-time certificated employees </w:t>
      </w:r>
      <w:r>
        <w:rPr>
          <w:rFonts w:cs="Arial"/>
        </w:rPr>
        <w:t xml:space="preserve">that </w:t>
      </w:r>
      <w:r w:rsidRPr="00C02C2C">
        <w:rPr>
          <w:rFonts w:cs="Arial"/>
        </w:rPr>
        <w:t>does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w:t>
      </w:r>
      <w:r w:rsidRPr="007F785D">
        <w:rPr>
          <w:rFonts w:cs="Arial"/>
        </w:rPr>
        <w:t>school operates.</w:t>
      </w:r>
    </w:p>
    <w:p w14:paraId="21025E19" w14:textId="77777777" w:rsidR="00984135" w:rsidRPr="007F785D" w:rsidRDefault="00984135" w:rsidP="00984135">
      <w:pPr>
        <w:spacing w:before="0" w:after="240" w:line="240" w:lineRule="auto"/>
        <w:contextualSpacing w:val="0"/>
      </w:pPr>
      <w:r w:rsidRPr="007F785D">
        <w:t>The expenditure and PTR criteria for 100 percent funding and the remaining funding levels for NCB instruction is summarized in the table below:</w:t>
      </w:r>
    </w:p>
    <w:tbl>
      <w:tblPr>
        <w:tblStyle w:val="TableGrid"/>
        <w:tblW w:w="0" w:type="auto"/>
        <w:tblLook w:val="04A0" w:firstRow="1" w:lastRow="0" w:firstColumn="1" w:lastColumn="0" w:noHBand="0" w:noVBand="1"/>
        <w:tblDescription w:val="Fundling levels for nonclassroom-based instruction"/>
      </w:tblPr>
      <w:tblGrid>
        <w:gridCol w:w="1615"/>
        <w:gridCol w:w="2578"/>
        <w:gridCol w:w="2578"/>
        <w:gridCol w:w="2579"/>
      </w:tblGrid>
      <w:tr w:rsidR="00984135" w:rsidRPr="007F785D" w14:paraId="6B872395" w14:textId="77777777" w:rsidTr="00644267">
        <w:trPr>
          <w:cantSplit/>
          <w:tblHeader/>
        </w:trPr>
        <w:tc>
          <w:tcPr>
            <w:tcW w:w="1615" w:type="dxa"/>
            <w:shd w:val="clear" w:color="auto" w:fill="D9D9D9" w:themeFill="background1" w:themeFillShade="D9"/>
            <w:vAlign w:val="center"/>
          </w:tcPr>
          <w:p w14:paraId="72E096FB" w14:textId="77777777" w:rsidR="00984135" w:rsidRPr="007F785D" w:rsidRDefault="00984135" w:rsidP="007F785D">
            <w:pPr>
              <w:spacing w:before="0" w:after="0"/>
              <w:contextualSpacing w:val="0"/>
              <w:jc w:val="center"/>
              <w:rPr>
                <w:b/>
              </w:rPr>
            </w:pPr>
            <w:r w:rsidRPr="007F785D">
              <w:rPr>
                <w:b/>
              </w:rPr>
              <w:lastRenderedPageBreak/>
              <w:t>Funding Level</w:t>
            </w:r>
          </w:p>
        </w:tc>
        <w:tc>
          <w:tcPr>
            <w:tcW w:w="2578" w:type="dxa"/>
            <w:shd w:val="clear" w:color="auto" w:fill="D9D9D9" w:themeFill="background1" w:themeFillShade="D9"/>
            <w:vAlign w:val="center"/>
          </w:tcPr>
          <w:p w14:paraId="2D0D1A57" w14:textId="77777777" w:rsidR="00984135" w:rsidRPr="007F785D" w:rsidRDefault="00984135" w:rsidP="007F785D">
            <w:pPr>
              <w:spacing w:before="0" w:after="0"/>
              <w:contextualSpacing w:val="0"/>
              <w:jc w:val="center"/>
              <w:rPr>
                <w:b/>
              </w:rPr>
            </w:pPr>
            <w:r w:rsidRPr="007F785D">
              <w:rPr>
                <w:b/>
              </w:rPr>
              <w:t>Percent of Public Revenues Spent on Certificated Salaries and Benefits</w:t>
            </w:r>
          </w:p>
        </w:tc>
        <w:tc>
          <w:tcPr>
            <w:tcW w:w="2578" w:type="dxa"/>
            <w:shd w:val="clear" w:color="auto" w:fill="D9D9D9" w:themeFill="background1" w:themeFillShade="D9"/>
            <w:vAlign w:val="center"/>
          </w:tcPr>
          <w:p w14:paraId="6AB83885" w14:textId="77777777" w:rsidR="00984135" w:rsidRPr="007F785D" w:rsidRDefault="00984135" w:rsidP="007F785D">
            <w:pPr>
              <w:spacing w:before="0" w:after="0"/>
              <w:contextualSpacing w:val="0"/>
              <w:jc w:val="center"/>
              <w:rPr>
                <w:b/>
              </w:rPr>
            </w:pPr>
            <w:r w:rsidRPr="007F785D">
              <w:rPr>
                <w:b/>
              </w:rPr>
              <w:t>Percent of All Revenues Spent on Instruction and Related Services</w:t>
            </w:r>
          </w:p>
        </w:tc>
        <w:tc>
          <w:tcPr>
            <w:tcW w:w="2579" w:type="dxa"/>
            <w:shd w:val="clear" w:color="auto" w:fill="D9D9D9" w:themeFill="background1" w:themeFillShade="D9"/>
            <w:vAlign w:val="center"/>
          </w:tcPr>
          <w:p w14:paraId="385D3A02" w14:textId="77777777" w:rsidR="00984135" w:rsidRPr="007F785D" w:rsidRDefault="00984135" w:rsidP="007F785D">
            <w:pPr>
              <w:spacing w:before="0" w:after="0"/>
              <w:contextualSpacing w:val="0"/>
              <w:jc w:val="center"/>
              <w:rPr>
                <w:b/>
              </w:rPr>
            </w:pPr>
            <w:r w:rsidRPr="007F785D">
              <w:rPr>
                <w:b/>
              </w:rPr>
              <w:t>Pupil-Teacher Ratio</w:t>
            </w:r>
          </w:p>
        </w:tc>
      </w:tr>
      <w:tr w:rsidR="00984135" w:rsidRPr="007F785D" w14:paraId="516341D8" w14:textId="77777777" w:rsidTr="00644267">
        <w:trPr>
          <w:tblHeader/>
        </w:trPr>
        <w:tc>
          <w:tcPr>
            <w:tcW w:w="1615" w:type="dxa"/>
            <w:shd w:val="clear" w:color="auto" w:fill="auto"/>
            <w:vAlign w:val="center"/>
          </w:tcPr>
          <w:p w14:paraId="3A6D088F" w14:textId="77777777" w:rsidR="00984135" w:rsidRPr="007F785D" w:rsidRDefault="00984135" w:rsidP="007F785D">
            <w:pPr>
              <w:spacing w:before="0" w:after="0"/>
              <w:contextualSpacing w:val="0"/>
              <w:jc w:val="center"/>
              <w:rPr>
                <w:b/>
              </w:rPr>
            </w:pPr>
            <w:r w:rsidRPr="007F785D">
              <w:rPr>
                <w:b/>
              </w:rPr>
              <w:t>100%</w:t>
            </w:r>
          </w:p>
        </w:tc>
        <w:tc>
          <w:tcPr>
            <w:tcW w:w="2578" w:type="dxa"/>
            <w:shd w:val="clear" w:color="auto" w:fill="auto"/>
            <w:vAlign w:val="center"/>
          </w:tcPr>
          <w:p w14:paraId="03EE327D" w14:textId="77777777" w:rsidR="00984135" w:rsidRPr="007F785D" w:rsidRDefault="00984135" w:rsidP="007F785D">
            <w:pPr>
              <w:spacing w:before="0" w:after="0"/>
              <w:contextualSpacing w:val="0"/>
              <w:jc w:val="center"/>
              <w:rPr>
                <w:b/>
              </w:rPr>
            </w:pPr>
            <w:r w:rsidRPr="007F785D">
              <w:rPr>
                <w:rFonts w:cs="Arial"/>
              </w:rPr>
              <w:t>≥ 40%</w:t>
            </w:r>
          </w:p>
        </w:tc>
        <w:tc>
          <w:tcPr>
            <w:tcW w:w="2578" w:type="dxa"/>
            <w:shd w:val="clear" w:color="auto" w:fill="auto"/>
            <w:vAlign w:val="center"/>
          </w:tcPr>
          <w:p w14:paraId="6413A566" w14:textId="77777777" w:rsidR="00984135" w:rsidRPr="007F785D" w:rsidRDefault="00984135" w:rsidP="007F785D">
            <w:pPr>
              <w:spacing w:before="0" w:after="0"/>
              <w:contextualSpacing w:val="0"/>
              <w:jc w:val="center"/>
              <w:rPr>
                <w:b/>
              </w:rPr>
            </w:pPr>
            <w:r w:rsidRPr="007F785D">
              <w:rPr>
                <w:rFonts w:cs="Arial"/>
              </w:rPr>
              <w:t>≥ 80</w:t>
            </w:r>
            <w:r w:rsidRPr="007F785D">
              <w:t>%</w:t>
            </w:r>
          </w:p>
        </w:tc>
        <w:tc>
          <w:tcPr>
            <w:tcW w:w="2579" w:type="dxa"/>
            <w:shd w:val="clear" w:color="auto" w:fill="auto"/>
            <w:vAlign w:val="center"/>
          </w:tcPr>
          <w:p w14:paraId="60BD188A" w14:textId="77777777" w:rsidR="00984135" w:rsidRPr="007F785D" w:rsidRDefault="00984135" w:rsidP="007F785D">
            <w:pPr>
              <w:spacing w:before="0" w:after="0"/>
              <w:contextualSpacing w:val="0"/>
              <w:jc w:val="center"/>
            </w:pPr>
            <w:r w:rsidRPr="007F785D">
              <w:rPr>
                <w:rFonts w:cs="Arial"/>
              </w:rPr>
              <w:t>≤</w:t>
            </w:r>
            <w:r w:rsidRPr="007F785D">
              <w:t xml:space="preserve"> 25 to 1</w:t>
            </w:r>
          </w:p>
        </w:tc>
      </w:tr>
      <w:tr w:rsidR="00984135" w:rsidRPr="007F785D" w14:paraId="5F73932F" w14:textId="77777777" w:rsidTr="00644267">
        <w:tc>
          <w:tcPr>
            <w:tcW w:w="1615" w:type="dxa"/>
            <w:shd w:val="clear" w:color="auto" w:fill="auto"/>
            <w:vAlign w:val="center"/>
          </w:tcPr>
          <w:p w14:paraId="67E1E1E5" w14:textId="77777777" w:rsidR="00984135" w:rsidRPr="007F785D" w:rsidRDefault="00984135" w:rsidP="007F785D">
            <w:pPr>
              <w:spacing w:before="0" w:after="0"/>
              <w:contextualSpacing w:val="0"/>
              <w:jc w:val="center"/>
              <w:rPr>
                <w:b/>
              </w:rPr>
            </w:pPr>
            <w:r w:rsidRPr="007F785D">
              <w:rPr>
                <w:b/>
              </w:rPr>
              <w:t>85%</w:t>
            </w:r>
          </w:p>
        </w:tc>
        <w:tc>
          <w:tcPr>
            <w:tcW w:w="2578" w:type="dxa"/>
            <w:shd w:val="clear" w:color="auto" w:fill="auto"/>
            <w:vAlign w:val="center"/>
          </w:tcPr>
          <w:p w14:paraId="5FA3F3A5" w14:textId="77777777" w:rsidR="00984135" w:rsidRPr="007F785D" w:rsidRDefault="00984135" w:rsidP="007F785D">
            <w:pPr>
              <w:spacing w:before="0" w:after="0"/>
              <w:contextualSpacing w:val="0"/>
              <w:jc w:val="center"/>
            </w:pPr>
            <w:r w:rsidRPr="007F785D">
              <w:rPr>
                <w:rFonts w:cs="Arial"/>
              </w:rPr>
              <w:t>≥ 40%</w:t>
            </w:r>
          </w:p>
        </w:tc>
        <w:tc>
          <w:tcPr>
            <w:tcW w:w="2578" w:type="dxa"/>
            <w:shd w:val="clear" w:color="auto" w:fill="auto"/>
            <w:vAlign w:val="center"/>
          </w:tcPr>
          <w:p w14:paraId="2FC6D889" w14:textId="77777777" w:rsidR="00984135" w:rsidRPr="007F785D" w:rsidRDefault="00984135" w:rsidP="007F785D">
            <w:pPr>
              <w:spacing w:before="0" w:after="0"/>
              <w:contextualSpacing w:val="0"/>
              <w:jc w:val="center"/>
            </w:pPr>
            <w:r w:rsidRPr="007F785D">
              <w:rPr>
                <w:rFonts w:cs="Arial"/>
              </w:rPr>
              <w:t>≥ 70</w:t>
            </w:r>
            <w:r w:rsidRPr="007F785D">
              <w:t>%</w:t>
            </w:r>
          </w:p>
        </w:tc>
        <w:tc>
          <w:tcPr>
            <w:tcW w:w="2579" w:type="dxa"/>
            <w:shd w:val="clear" w:color="auto" w:fill="auto"/>
            <w:vAlign w:val="center"/>
          </w:tcPr>
          <w:p w14:paraId="7A6DC034" w14:textId="77777777" w:rsidR="00984135" w:rsidRPr="007F785D" w:rsidRDefault="00984135" w:rsidP="007F785D">
            <w:pPr>
              <w:spacing w:before="0" w:after="0"/>
              <w:contextualSpacing w:val="0"/>
              <w:jc w:val="center"/>
            </w:pPr>
            <w:r w:rsidRPr="007F785D">
              <w:t>Not Applicable</w:t>
            </w:r>
          </w:p>
        </w:tc>
      </w:tr>
      <w:tr w:rsidR="00984135" w:rsidRPr="007F785D" w14:paraId="261B3F45" w14:textId="77777777" w:rsidTr="00644267">
        <w:tc>
          <w:tcPr>
            <w:tcW w:w="1615" w:type="dxa"/>
            <w:shd w:val="clear" w:color="auto" w:fill="auto"/>
            <w:vAlign w:val="center"/>
          </w:tcPr>
          <w:p w14:paraId="6FE25B7F" w14:textId="77777777" w:rsidR="00984135" w:rsidRPr="007F785D" w:rsidRDefault="00984135" w:rsidP="007F785D">
            <w:pPr>
              <w:spacing w:before="0" w:after="0"/>
              <w:contextualSpacing w:val="0"/>
              <w:jc w:val="center"/>
              <w:rPr>
                <w:b/>
              </w:rPr>
            </w:pPr>
            <w:r w:rsidRPr="007F785D">
              <w:rPr>
                <w:b/>
              </w:rPr>
              <w:t>70%</w:t>
            </w:r>
          </w:p>
        </w:tc>
        <w:tc>
          <w:tcPr>
            <w:tcW w:w="2578" w:type="dxa"/>
            <w:shd w:val="clear" w:color="auto" w:fill="auto"/>
            <w:vAlign w:val="center"/>
          </w:tcPr>
          <w:p w14:paraId="59DD06C7" w14:textId="77777777" w:rsidR="00984135" w:rsidRPr="007F785D" w:rsidRDefault="00984135" w:rsidP="007F785D">
            <w:pPr>
              <w:spacing w:before="0" w:after="0"/>
              <w:contextualSpacing w:val="0"/>
              <w:jc w:val="center"/>
            </w:pPr>
            <w:r w:rsidRPr="007F785D">
              <w:rPr>
                <w:rFonts w:cs="Arial"/>
              </w:rPr>
              <w:t>≥ 35%</w:t>
            </w:r>
          </w:p>
        </w:tc>
        <w:tc>
          <w:tcPr>
            <w:tcW w:w="2578" w:type="dxa"/>
            <w:shd w:val="clear" w:color="auto" w:fill="auto"/>
            <w:vAlign w:val="center"/>
          </w:tcPr>
          <w:p w14:paraId="0F59F303" w14:textId="77777777" w:rsidR="00984135" w:rsidRPr="007F785D" w:rsidRDefault="00984135" w:rsidP="007F785D">
            <w:pPr>
              <w:spacing w:before="0" w:after="0"/>
              <w:contextualSpacing w:val="0"/>
              <w:jc w:val="center"/>
            </w:pPr>
            <w:r w:rsidRPr="007F785D">
              <w:rPr>
                <w:rFonts w:cs="Arial"/>
              </w:rPr>
              <w:t>≥ 60</w:t>
            </w:r>
            <w:r w:rsidRPr="007F785D">
              <w:t>%</w:t>
            </w:r>
          </w:p>
        </w:tc>
        <w:tc>
          <w:tcPr>
            <w:tcW w:w="2579" w:type="dxa"/>
            <w:shd w:val="clear" w:color="auto" w:fill="auto"/>
            <w:vAlign w:val="center"/>
          </w:tcPr>
          <w:p w14:paraId="08CC7117" w14:textId="77777777" w:rsidR="00984135" w:rsidRPr="007F785D" w:rsidRDefault="00984135" w:rsidP="007F785D">
            <w:pPr>
              <w:spacing w:before="0" w:after="0"/>
              <w:contextualSpacing w:val="0"/>
              <w:jc w:val="center"/>
            </w:pPr>
            <w:r w:rsidRPr="007F785D">
              <w:t>Not Applicable</w:t>
            </w:r>
          </w:p>
        </w:tc>
      </w:tr>
      <w:tr w:rsidR="00984135" w:rsidRPr="007F785D" w14:paraId="203D1C6E" w14:textId="77777777" w:rsidTr="00644267">
        <w:tc>
          <w:tcPr>
            <w:tcW w:w="1615" w:type="dxa"/>
            <w:shd w:val="clear" w:color="auto" w:fill="auto"/>
            <w:vAlign w:val="center"/>
          </w:tcPr>
          <w:p w14:paraId="7E571194" w14:textId="77777777" w:rsidR="00984135" w:rsidRPr="007F785D" w:rsidRDefault="00984135" w:rsidP="007F785D">
            <w:pPr>
              <w:spacing w:before="0" w:after="0"/>
              <w:contextualSpacing w:val="0"/>
              <w:jc w:val="center"/>
              <w:rPr>
                <w:b/>
              </w:rPr>
            </w:pPr>
            <w:r w:rsidRPr="007F785D">
              <w:rPr>
                <w:b/>
              </w:rPr>
              <w:t>0%</w:t>
            </w:r>
          </w:p>
        </w:tc>
        <w:tc>
          <w:tcPr>
            <w:tcW w:w="2578" w:type="dxa"/>
            <w:shd w:val="clear" w:color="auto" w:fill="auto"/>
            <w:vAlign w:val="center"/>
          </w:tcPr>
          <w:p w14:paraId="6D4A60F6" w14:textId="77777777" w:rsidR="00984135" w:rsidRPr="007F785D" w:rsidRDefault="00984135" w:rsidP="007F785D">
            <w:pPr>
              <w:spacing w:before="0" w:after="0"/>
              <w:contextualSpacing w:val="0"/>
              <w:jc w:val="center"/>
            </w:pPr>
            <w:r w:rsidRPr="007F785D">
              <w:rPr>
                <w:rFonts w:cs="Arial"/>
              </w:rPr>
              <w:t>&lt;</w:t>
            </w:r>
            <w:r w:rsidRPr="007F785D">
              <w:t xml:space="preserve"> 35%</w:t>
            </w:r>
          </w:p>
        </w:tc>
        <w:tc>
          <w:tcPr>
            <w:tcW w:w="2578" w:type="dxa"/>
            <w:shd w:val="clear" w:color="auto" w:fill="auto"/>
            <w:vAlign w:val="center"/>
          </w:tcPr>
          <w:p w14:paraId="5976A37E" w14:textId="77777777" w:rsidR="00984135" w:rsidRPr="007F785D" w:rsidRDefault="00984135" w:rsidP="007F785D">
            <w:pPr>
              <w:spacing w:before="0" w:after="0"/>
              <w:contextualSpacing w:val="0"/>
              <w:jc w:val="center"/>
            </w:pPr>
            <w:r w:rsidRPr="007F785D">
              <w:rPr>
                <w:rFonts w:cs="Arial"/>
              </w:rPr>
              <w:t>&lt; 60</w:t>
            </w:r>
            <w:r w:rsidRPr="007F785D">
              <w:t>%</w:t>
            </w:r>
          </w:p>
        </w:tc>
        <w:tc>
          <w:tcPr>
            <w:tcW w:w="2579" w:type="dxa"/>
            <w:shd w:val="clear" w:color="auto" w:fill="auto"/>
            <w:vAlign w:val="center"/>
          </w:tcPr>
          <w:p w14:paraId="376B08CB" w14:textId="77777777" w:rsidR="00984135" w:rsidRPr="007F785D" w:rsidRDefault="00984135" w:rsidP="007F785D">
            <w:pPr>
              <w:spacing w:before="0" w:after="0"/>
              <w:contextualSpacing w:val="0"/>
              <w:jc w:val="center"/>
            </w:pPr>
            <w:r w:rsidRPr="007F785D">
              <w:t>Not Applicable</w:t>
            </w:r>
          </w:p>
        </w:tc>
      </w:tr>
    </w:tbl>
    <w:bookmarkEnd w:id="3"/>
    <w:p w14:paraId="4483D0F5" w14:textId="42173390" w:rsidR="008D3586" w:rsidRDefault="00EB683B" w:rsidP="008D3586">
      <w:pPr>
        <w:spacing w:before="240" w:after="240" w:line="240" w:lineRule="auto"/>
        <w:contextualSpacing w:val="0"/>
        <w:rPr>
          <w:rFonts w:cs="Arial"/>
        </w:rPr>
      </w:pPr>
      <w:r>
        <w:rPr>
          <w:rFonts w:cs="Arial"/>
        </w:rPr>
        <w:t>The SBE may modify any multi-year funding determination, p</w:t>
      </w:r>
      <w:r w:rsidR="008D3586" w:rsidRPr="008D3586">
        <w:rPr>
          <w:rFonts w:cs="Arial"/>
        </w:rPr>
        <w:t xml:space="preserve">ursuant to 5 </w:t>
      </w:r>
      <w:r w:rsidR="008D3586" w:rsidRPr="00EB683B">
        <w:rPr>
          <w:rFonts w:cs="Arial"/>
          <w:i/>
        </w:rPr>
        <w:t>CCR</w:t>
      </w:r>
      <w:r w:rsidR="008D3586" w:rsidRPr="008D3586">
        <w:rPr>
          <w:rFonts w:cs="Arial"/>
        </w:rPr>
        <w:t xml:space="preserve"> Section 11963.4(c)</w:t>
      </w:r>
      <w:r w:rsidR="008D3586">
        <w:rPr>
          <w:rFonts w:cs="Arial"/>
        </w:rPr>
        <w:t>,</w:t>
      </w:r>
      <w:r>
        <w:rPr>
          <w:rFonts w:cs="Arial"/>
        </w:rPr>
        <w:t xml:space="preserve"> which states the following:</w:t>
      </w:r>
    </w:p>
    <w:p w14:paraId="31736BCE" w14:textId="319FC065" w:rsidR="00EB683B" w:rsidRDefault="008D3586" w:rsidP="00EB683B">
      <w:pPr>
        <w:spacing w:before="240" w:after="240" w:line="240" w:lineRule="auto"/>
        <w:ind w:left="720"/>
        <w:contextualSpacing w:val="0"/>
        <w:rPr>
          <w:rFonts w:cs="Arial"/>
        </w:rPr>
      </w:pPr>
      <w:r>
        <w:rPr>
          <w:rFonts w:cs="Arial"/>
        </w:rPr>
        <w:t>A</w:t>
      </w:r>
      <w:r w:rsidRPr="008D3586">
        <w:rPr>
          <w:rFonts w:cs="Arial"/>
        </w:rPr>
        <w:t xml:space="preserve">ny multi-year funding determination approved by the </w:t>
      </w:r>
      <w:r w:rsidR="00EB683B">
        <w:rPr>
          <w:rFonts w:cs="Arial"/>
        </w:rPr>
        <w:t>SBE</w:t>
      </w:r>
      <w:r w:rsidRPr="008D3586">
        <w:rPr>
          <w:rFonts w:cs="Arial"/>
        </w:rPr>
        <w:t xml:space="preserve"> may be modified by the </w:t>
      </w:r>
      <w:r w:rsidR="00EB683B">
        <w:rPr>
          <w:rFonts w:cs="Arial"/>
        </w:rPr>
        <w:t>SBE</w:t>
      </w:r>
      <w:r w:rsidRPr="008D3586">
        <w:rPr>
          <w:rFonts w:cs="Arial"/>
        </w:rPr>
        <w:t>, in terms of both the multi-year approval and the percentage of funding authorized, if any information that may change the conclusion to approve the original multi-year funding determination is found.</w:t>
      </w:r>
    </w:p>
    <w:p w14:paraId="68737521" w14:textId="6D39EF32" w:rsidR="00EB683B" w:rsidRDefault="004F6D29" w:rsidP="00EB683B">
      <w:pPr>
        <w:spacing w:before="240" w:after="240" w:line="240" w:lineRule="auto"/>
        <w:contextualSpacing w:val="0"/>
        <w:rPr>
          <w:rFonts w:cs="Arial"/>
        </w:rPr>
      </w:pPr>
      <w:r>
        <w:rPr>
          <w:rFonts w:cs="Arial"/>
        </w:rPr>
        <w:t>Additionally, c</w:t>
      </w:r>
      <w:r w:rsidR="00EB683B">
        <w:rPr>
          <w:rFonts w:cs="Arial"/>
        </w:rPr>
        <w:t>harter schools that have obtained a funding determination may also request that its approved funding level be reconsidered, p</w:t>
      </w:r>
      <w:r w:rsidR="00EB683B" w:rsidRPr="000E70B0">
        <w:rPr>
          <w:rFonts w:cs="Arial"/>
        </w:rPr>
        <w:t xml:space="preserve">ursuant to 5 </w:t>
      </w:r>
      <w:r w:rsidR="00EB683B" w:rsidRPr="000E70B0">
        <w:rPr>
          <w:rFonts w:cs="Arial"/>
          <w:i/>
        </w:rPr>
        <w:t>CCR</w:t>
      </w:r>
      <w:r w:rsidR="00EB683B" w:rsidRPr="000E70B0">
        <w:rPr>
          <w:rFonts w:cs="Arial"/>
        </w:rPr>
        <w:t xml:space="preserve"> Section 11963.6</w:t>
      </w:r>
      <w:r w:rsidR="00EB683B">
        <w:rPr>
          <w:rFonts w:cs="Arial"/>
        </w:rPr>
        <w:t>(g):</w:t>
      </w:r>
    </w:p>
    <w:p w14:paraId="568932EC" w14:textId="20ECA5C2" w:rsidR="00EB683B" w:rsidRDefault="00EB683B" w:rsidP="00EB683B">
      <w:pPr>
        <w:spacing w:before="240" w:after="240" w:line="240" w:lineRule="auto"/>
        <w:ind w:left="720"/>
        <w:contextualSpacing w:val="0"/>
        <w:rPr>
          <w:rFonts w:cs="Arial"/>
        </w:rPr>
      </w:pPr>
      <w:r>
        <w:rPr>
          <w:rFonts w:cs="Arial"/>
        </w:rPr>
        <w:t>I</w:t>
      </w:r>
      <w:r w:rsidRPr="002B14E9">
        <w:rPr>
          <w:rFonts w:cs="Arial"/>
        </w:rPr>
        <w:t>f, during the effective period of a determination of funding, a charter school wishes to seek a higher or lower determination of funding, it shall do so by the filing of a new determination of funding request. During the effective period of a charter school's determination of funding, no more than one additional determination of funding request (which would replace the determination of funding then in effect) may be submitted by the charter school in the same fiscal year.</w:t>
      </w:r>
    </w:p>
    <w:p w14:paraId="352DCCA1" w14:textId="5B7DF38D" w:rsidR="0091558B" w:rsidRDefault="00151B3B" w:rsidP="00EB683B">
      <w:pPr>
        <w:spacing w:before="240" w:after="240" w:line="240" w:lineRule="auto"/>
        <w:contextualSpacing w:val="0"/>
        <w:rPr>
          <w:rFonts w:cs="Arial"/>
        </w:rPr>
      </w:pPr>
      <w:r w:rsidRPr="00151B3B">
        <w:rPr>
          <w:rFonts w:cs="Arial"/>
        </w:rPr>
        <w:t xml:space="preserve">Peak Prep Pleasant Valley is requesting to be reconsidered for a higher determination of funding for </w:t>
      </w:r>
      <w:r>
        <w:rPr>
          <w:rFonts w:cs="Arial"/>
        </w:rPr>
        <w:t>FY 2020</w:t>
      </w:r>
      <w:r w:rsidRPr="00151B3B">
        <w:rPr>
          <w:rFonts w:cs="Arial"/>
        </w:rPr>
        <w:t>–21 through FY 2023–24</w:t>
      </w:r>
      <w:r>
        <w:rPr>
          <w:rFonts w:cs="Arial"/>
        </w:rPr>
        <w:t xml:space="preserve">, pursuant to the aforementioned sections of 5 </w:t>
      </w:r>
      <w:r>
        <w:rPr>
          <w:rFonts w:cs="Arial"/>
          <w:i/>
        </w:rPr>
        <w:t>CCR</w:t>
      </w:r>
      <w:r>
        <w:rPr>
          <w:rFonts w:cs="Arial"/>
        </w:rPr>
        <w:t xml:space="preserve">. </w:t>
      </w:r>
      <w:r w:rsidR="0091558B">
        <w:rPr>
          <w:rFonts w:cs="Arial"/>
        </w:rPr>
        <w:t>Details of the school’s reconsideration request are provided below.</w:t>
      </w:r>
    </w:p>
    <w:p w14:paraId="1E194825" w14:textId="1BB3AC7B" w:rsidR="009623BF" w:rsidRDefault="009623BF" w:rsidP="009623BF">
      <w:pPr>
        <w:pStyle w:val="Heading3"/>
      </w:pPr>
      <w:r>
        <w:t>Peak Prep Pleasant Valley</w:t>
      </w:r>
    </w:p>
    <w:p w14:paraId="7ABB5E75" w14:textId="6C8E98BA" w:rsidR="009B4E3B" w:rsidRPr="00533E2E" w:rsidRDefault="009B4E3B" w:rsidP="001F18BC">
      <w:pPr>
        <w:spacing w:before="240" w:after="240" w:line="240" w:lineRule="auto"/>
        <w:contextualSpacing w:val="0"/>
        <w:rPr>
          <w:rFonts w:cs="Arial"/>
        </w:rPr>
      </w:pPr>
      <w:r>
        <w:rPr>
          <w:rFonts w:cs="Arial"/>
        </w:rPr>
        <w:t>Peak Prep Pleasant Valley</w:t>
      </w:r>
      <w:r w:rsidRPr="009B4E3B">
        <w:rPr>
          <w:rFonts w:cs="Arial"/>
        </w:rPr>
        <w:t xml:space="preserve"> is requesting reconsideration for a higher </w:t>
      </w:r>
      <w:r w:rsidR="00C0067C">
        <w:rPr>
          <w:rFonts w:cs="Arial"/>
        </w:rPr>
        <w:t xml:space="preserve">determination of funding </w:t>
      </w:r>
      <w:r w:rsidRPr="009B4E3B">
        <w:rPr>
          <w:rFonts w:cs="Arial"/>
        </w:rPr>
        <w:t xml:space="preserve">of </w:t>
      </w:r>
      <w:r>
        <w:rPr>
          <w:rFonts w:cs="Arial"/>
        </w:rPr>
        <w:t>100</w:t>
      </w:r>
      <w:r w:rsidRPr="009B4E3B">
        <w:rPr>
          <w:rFonts w:cs="Arial"/>
        </w:rPr>
        <w:t xml:space="preserve"> percent</w:t>
      </w:r>
      <w:r w:rsidR="00C0067C">
        <w:rPr>
          <w:rFonts w:cs="Arial"/>
        </w:rPr>
        <w:t>, from 70 percent</w:t>
      </w:r>
      <w:r w:rsidRPr="009B4E3B">
        <w:rPr>
          <w:rFonts w:cs="Arial"/>
        </w:rPr>
        <w:t xml:space="preserve">. On its </w:t>
      </w:r>
      <w:r>
        <w:rPr>
          <w:rFonts w:cs="Arial"/>
        </w:rPr>
        <w:t>funding determination for</w:t>
      </w:r>
      <w:r w:rsidR="00993ACA">
        <w:rPr>
          <w:rFonts w:cs="Arial"/>
        </w:rPr>
        <w:t>m based on first-year audited data</w:t>
      </w:r>
      <w:r w:rsidRPr="009B4E3B">
        <w:rPr>
          <w:rFonts w:cs="Arial"/>
        </w:rPr>
        <w:t>, the school reported total revenues of $3,107,573 and total expenditures of $</w:t>
      </w:r>
      <w:r w:rsidR="00993ACA">
        <w:rPr>
          <w:rFonts w:cs="Arial"/>
        </w:rPr>
        <w:t>2</w:t>
      </w:r>
      <w:r w:rsidRPr="009B4E3B">
        <w:rPr>
          <w:rFonts w:cs="Arial"/>
        </w:rPr>
        <w:t>,</w:t>
      </w:r>
      <w:r w:rsidR="00993ACA">
        <w:rPr>
          <w:rFonts w:cs="Arial"/>
        </w:rPr>
        <w:t>667</w:t>
      </w:r>
      <w:r w:rsidRPr="009B4E3B">
        <w:rPr>
          <w:rFonts w:cs="Arial"/>
        </w:rPr>
        <w:t>,</w:t>
      </w:r>
      <w:r w:rsidR="00993ACA">
        <w:rPr>
          <w:rFonts w:cs="Arial"/>
        </w:rPr>
        <w:t>063</w:t>
      </w:r>
      <w:r w:rsidRPr="009B4E3B">
        <w:rPr>
          <w:rFonts w:cs="Arial"/>
        </w:rPr>
        <w:t xml:space="preserve">. Overall, it reported spending </w:t>
      </w:r>
      <w:r w:rsidR="00993ACA">
        <w:rPr>
          <w:rFonts w:cs="Arial"/>
        </w:rPr>
        <w:t>48</w:t>
      </w:r>
      <w:r w:rsidRPr="009B4E3B">
        <w:rPr>
          <w:rFonts w:cs="Arial"/>
        </w:rPr>
        <w:t xml:space="preserve">.87 percent of public revenues on certificated salaries and benefits and </w:t>
      </w:r>
      <w:r w:rsidR="00993ACA">
        <w:rPr>
          <w:rFonts w:cs="Arial"/>
        </w:rPr>
        <w:t>81</w:t>
      </w:r>
      <w:r w:rsidRPr="009B4E3B">
        <w:rPr>
          <w:rFonts w:cs="Arial"/>
        </w:rPr>
        <w:t>.</w:t>
      </w:r>
      <w:r w:rsidR="00993ACA">
        <w:rPr>
          <w:rFonts w:cs="Arial"/>
        </w:rPr>
        <w:t>16</w:t>
      </w:r>
      <w:r w:rsidRPr="009B4E3B">
        <w:rPr>
          <w:rFonts w:cs="Arial"/>
        </w:rPr>
        <w:t xml:space="preserve"> percent of total revenues on instruction and related services while maintaining a PTR of 1</w:t>
      </w:r>
      <w:r w:rsidR="00993ACA">
        <w:rPr>
          <w:rFonts w:cs="Arial"/>
        </w:rPr>
        <w:t>7.58</w:t>
      </w:r>
      <w:r w:rsidRPr="009B4E3B">
        <w:rPr>
          <w:rFonts w:cs="Arial"/>
        </w:rPr>
        <w:t xml:space="preserve"> to 1</w:t>
      </w:r>
      <w:r w:rsidR="00993ACA">
        <w:rPr>
          <w:rFonts w:cs="Arial"/>
        </w:rPr>
        <w:t xml:space="preserve">, which qualifies the school to receive a recommendation for 100 </w:t>
      </w:r>
      <w:r w:rsidR="00993ACA" w:rsidRPr="00533E2E">
        <w:rPr>
          <w:rFonts w:cs="Arial"/>
        </w:rPr>
        <w:t>percent funding.</w:t>
      </w:r>
    </w:p>
    <w:p w14:paraId="7E09A1F2" w14:textId="77777777" w:rsidR="003444FD" w:rsidRDefault="00491E5C" w:rsidP="00491E5C">
      <w:pPr>
        <w:spacing w:before="240" w:after="240" w:line="240" w:lineRule="auto"/>
        <w:contextualSpacing w:val="0"/>
        <w:rPr>
          <w:rFonts w:cs="Arial"/>
        </w:rPr>
      </w:pPr>
      <w:r w:rsidRPr="00533E2E">
        <w:rPr>
          <w:rFonts w:cs="Arial"/>
        </w:rPr>
        <w:t>The school</w:t>
      </w:r>
      <w:r w:rsidR="00DF7D1E">
        <w:rPr>
          <w:rFonts w:cs="Arial"/>
        </w:rPr>
        <w:t>’s funding determination was revised to</w:t>
      </w:r>
      <w:r w:rsidRPr="00533E2E">
        <w:rPr>
          <w:rFonts w:cs="Arial"/>
        </w:rPr>
        <w:t xml:space="preserve"> 70 percent </w:t>
      </w:r>
      <w:r w:rsidR="006257DD" w:rsidRPr="00533E2E">
        <w:rPr>
          <w:rFonts w:cs="Arial"/>
        </w:rPr>
        <w:t xml:space="preserve">at the May 2021 SBE meeting </w:t>
      </w:r>
      <w:r w:rsidR="00C0067C" w:rsidRPr="00533E2E">
        <w:rPr>
          <w:rFonts w:cs="Arial"/>
        </w:rPr>
        <w:t xml:space="preserve">due to </w:t>
      </w:r>
      <w:r w:rsidRPr="00533E2E">
        <w:rPr>
          <w:rFonts w:cs="Arial"/>
        </w:rPr>
        <w:t xml:space="preserve">its </w:t>
      </w:r>
      <w:r w:rsidR="00DF7D1E">
        <w:rPr>
          <w:rFonts w:cs="Arial"/>
        </w:rPr>
        <w:t>failure to meet the criteria for full funding</w:t>
      </w:r>
      <w:r w:rsidR="00235088" w:rsidRPr="00533E2E">
        <w:rPr>
          <w:rFonts w:cs="Arial"/>
        </w:rPr>
        <w:t>,</w:t>
      </w:r>
      <w:r w:rsidRPr="00533E2E">
        <w:rPr>
          <w:rFonts w:cs="Arial"/>
        </w:rPr>
        <w:t xml:space="preserve"> </w:t>
      </w:r>
      <w:r w:rsidR="00DF7D1E">
        <w:rPr>
          <w:rFonts w:cs="Arial"/>
        </w:rPr>
        <w:t>based on data</w:t>
      </w:r>
      <w:r w:rsidR="006D2AB8" w:rsidRPr="00533E2E">
        <w:rPr>
          <w:rFonts w:cs="Arial"/>
        </w:rPr>
        <w:t xml:space="preserve"> </w:t>
      </w:r>
      <w:r w:rsidRPr="00533E2E">
        <w:rPr>
          <w:rFonts w:cs="Arial"/>
        </w:rPr>
        <w:t>reported in its first-year unaudited actuals</w:t>
      </w:r>
      <w:r w:rsidR="00DF7D1E">
        <w:rPr>
          <w:rFonts w:cs="Arial"/>
        </w:rPr>
        <w:t>. The</w:t>
      </w:r>
      <w:r w:rsidRPr="00533E2E">
        <w:rPr>
          <w:rFonts w:cs="Arial"/>
        </w:rPr>
        <w:t xml:space="preserve"> 70 percent funding determination carried over to</w:t>
      </w:r>
      <w:r w:rsidR="00DF7D1E">
        <w:rPr>
          <w:rFonts w:cs="Arial"/>
        </w:rPr>
        <w:t xml:space="preserve"> its </w:t>
      </w:r>
      <w:r w:rsidR="00DF7D1E">
        <w:rPr>
          <w:rFonts w:cs="Arial"/>
        </w:rPr>
        <w:lastRenderedPageBreak/>
        <w:t xml:space="preserve">next funding determination </w:t>
      </w:r>
      <w:r w:rsidRPr="00533E2E">
        <w:rPr>
          <w:rFonts w:cs="Arial"/>
        </w:rPr>
        <w:t>due to SB 820 Section 75</w:t>
      </w:r>
      <w:r w:rsidR="00DF7D1E">
        <w:rPr>
          <w:rFonts w:cs="Arial"/>
        </w:rPr>
        <w:t>, which allowed the school to obtain its “current funding level”</w:t>
      </w:r>
      <w:r w:rsidR="00183EC7">
        <w:rPr>
          <w:rFonts w:cs="Arial"/>
        </w:rPr>
        <w:t xml:space="preserve"> for the next two years</w:t>
      </w:r>
      <w:r w:rsidRPr="00533E2E">
        <w:rPr>
          <w:rFonts w:cs="Arial"/>
        </w:rPr>
        <w:t>.</w:t>
      </w:r>
    </w:p>
    <w:p w14:paraId="44F53C80" w14:textId="651EB3A1" w:rsidR="00491E5C" w:rsidRDefault="00BF1216" w:rsidP="00491E5C">
      <w:pPr>
        <w:spacing w:before="240" w:after="240" w:line="240" w:lineRule="auto"/>
        <w:contextualSpacing w:val="0"/>
        <w:rPr>
          <w:rFonts w:cs="Arial"/>
        </w:rPr>
      </w:pPr>
      <w:r>
        <w:rPr>
          <w:rFonts w:cs="Arial"/>
        </w:rPr>
        <w:t xml:space="preserve">Due to </w:t>
      </w:r>
      <w:r w:rsidR="003444FD">
        <w:rPr>
          <w:rFonts w:cs="Arial"/>
        </w:rPr>
        <w:t xml:space="preserve">the school’s </w:t>
      </w:r>
      <w:r>
        <w:rPr>
          <w:rFonts w:cs="Arial"/>
        </w:rPr>
        <w:t xml:space="preserve">litigation with its </w:t>
      </w:r>
      <w:proofErr w:type="gramStart"/>
      <w:r>
        <w:rPr>
          <w:rFonts w:cs="Arial"/>
        </w:rPr>
        <w:t>back office</w:t>
      </w:r>
      <w:proofErr w:type="gramEnd"/>
      <w:r>
        <w:rPr>
          <w:rFonts w:cs="Arial"/>
        </w:rPr>
        <w:t xml:space="preserve"> service provider, f</w:t>
      </w:r>
      <w:r w:rsidR="00533E2E" w:rsidRPr="00533E2E">
        <w:rPr>
          <w:rFonts w:cs="Arial"/>
        </w:rPr>
        <w:t>irst-year audited data was not available at the time</w:t>
      </w:r>
      <w:r>
        <w:rPr>
          <w:rFonts w:cs="Arial"/>
        </w:rPr>
        <w:t xml:space="preserve"> its funding determination was revised by the SBE</w:t>
      </w:r>
      <w:r w:rsidR="00533E2E" w:rsidRPr="00533E2E">
        <w:rPr>
          <w:rFonts w:cs="Arial"/>
        </w:rPr>
        <w:t>.</w:t>
      </w:r>
      <w:r w:rsidR="00543E0D">
        <w:rPr>
          <w:rFonts w:cs="Arial"/>
        </w:rPr>
        <w:t xml:space="preserve"> </w:t>
      </w:r>
      <w:r w:rsidR="00090B05">
        <w:rPr>
          <w:rFonts w:cs="Arial"/>
        </w:rPr>
        <w:t>Litigation</w:t>
      </w:r>
      <w:r>
        <w:rPr>
          <w:rFonts w:cs="Arial"/>
        </w:rPr>
        <w:t xml:space="preserve"> has concluded, </w:t>
      </w:r>
      <w:r w:rsidR="00090B05">
        <w:rPr>
          <w:rFonts w:cs="Arial"/>
        </w:rPr>
        <w:t xml:space="preserve">and </w:t>
      </w:r>
      <w:r w:rsidR="00491E5C">
        <w:rPr>
          <w:rFonts w:cs="Arial"/>
        </w:rPr>
        <w:t xml:space="preserve">first-year audited data is </w:t>
      </w:r>
      <w:r w:rsidR="00533E2E">
        <w:rPr>
          <w:rFonts w:cs="Arial"/>
        </w:rPr>
        <w:t xml:space="preserve">now </w:t>
      </w:r>
      <w:r w:rsidR="00491E5C">
        <w:rPr>
          <w:rFonts w:cs="Arial"/>
        </w:rPr>
        <w:t>available</w:t>
      </w:r>
      <w:r w:rsidR="00090B05">
        <w:rPr>
          <w:rFonts w:cs="Arial"/>
        </w:rPr>
        <w:t xml:space="preserve">. This </w:t>
      </w:r>
      <w:r w:rsidR="00491E5C">
        <w:rPr>
          <w:rFonts w:cs="Arial"/>
        </w:rPr>
        <w:t>data supports a recommendation for 100 percent funding</w:t>
      </w:r>
      <w:r w:rsidR="00090B05">
        <w:rPr>
          <w:rFonts w:cs="Arial"/>
        </w:rPr>
        <w:t xml:space="preserve">. As such, </w:t>
      </w:r>
      <w:r w:rsidR="00491E5C">
        <w:rPr>
          <w:rFonts w:cs="Arial"/>
        </w:rPr>
        <w:t xml:space="preserve">the CDE </w:t>
      </w:r>
      <w:r w:rsidR="006257DD">
        <w:rPr>
          <w:rFonts w:cs="Arial"/>
        </w:rPr>
        <w:t>finds</w:t>
      </w:r>
      <w:r w:rsidR="00491E5C">
        <w:rPr>
          <w:rFonts w:cs="Arial"/>
        </w:rPr>
        <w:t xml:space="preserve"> </w:t>
      </w:r>
      <w:r w:rsidR="00ED4DF4">
        <w:rPr>
          <w:rFonts w:cs="Arial"/>
        </w:rPr>
        <w:t>that</w:t>
      </w:r>
      <w:r w:rsidR="00533E2E">
        <w:rPr>
          <w:rFonts w:cs="Arial"/>
        </w:rPr>
        <w:t xml:space="preserve"> </w:t>
      </w:r>
      <w:r>
        <w:rPr>
          <w:rFonts w:cs="Arial"/>
        </w:rPr>
        <w:t>Peak Prep Pleasant Valley’s</w:t>
      </w:r>
      <w:r w:rsidR="00491E5C">
        <w:rPr>
          <w:rFonts w:cs="Arial"/>
        </w:rPr>
        <w:t xml:space="preserve"> 70 percent funding </w:t>
      </w:r>
      <w:r w:rsidR="003444FD">
        <w:rPr>
          <w:rFonts w:cs="Arial"/>
        </w:rPr>
        <w:t xml:space="preserve">determinations </w:t>
      </w:r>
      <w:r w:rsidR="00ED4DF4">
        <w:rPr>
          <w:rFonts w:cs="Arial"/>
        </w:rPr>
        <w:t xml:space="preserve">should be replaced </w:t>
      </w:r>
      <w:r w:rsidR="00533E2E">
        <w:rPr>
          <w:rFonts w:cs="Arial"/>
        </w:rPr>
        <w:t>with</w:t>
      </w:r>
      <w:r w:rsidR="00491E5C">
        <w:rPr>
          <w:rFonts w:cs="Arial"/>
        </w:rPr>
        <w:t xml:space="preserve"> a 100 percent funding determination</w:t>
      </w:r>
      <w:r w:rsidR="00533E2E">
        <w:rPr>
          <w:rFonts w:cs="Arial"/>
        </w:rPr>
        <w:t>.</w:t>
      </w:r>
    </w:p>
    <w:p w14:paraId="6C20D47D" w14:textId="0C20576A" w:rsidR="00811644" w:rsidRDefault="00811644" w:rsidP="0017060F">
      <w:pPr>
        <w:pStyle w:val="Heading2"/>
      </w:pPr>
      <w:r>
        <w:t>Conclusion</w:t>
      </w:r>
    </w:p>
    <w:p w14:paraId="6EAAE1D0" w14:textId="6E458FFB" w:rsidR="00845612" w:rsidRDefault="00811644" w:rsidP="00845612">
      <w:pPr>
        <w:spacing w:before="240" w:after="240" w:line="240" w:lineRule="auto"/>
        <w:contextualSpacing w:val="0"/>
        <w:rPr>
          <w:rFonts w:cs="Arial"/>
        </w:rPr>
      </w:pPr>
      <w:r>
        <w:rPr>
          <w:rFonts w:cs="Arial"/>
        </w:rPr>
        <w:t>The</w:t>
      </w:r>
      <w:r w:rsidR="000555BD" w:rsidRPr="00533E2E">
        <w:rPr>
          <w:rFonts w:cs="Arial"/>
        </w:rPr>
        <w:t xml:space="preserve"> CDE proposes to recommend that the SBE </w:t>
      </w:r>
      <w:r w:rsidR="0098271C" w:rsidRPr="00533E2E">
        <w:rPr>
          <w:rFonts w:cs="Arial"/>
        </w:rPr>
        <w:t>approve the school’s reconsideration request</w:t>
      </w:r>
      <w:r w:rsidR="00845612" w:rsidRPr="00533E2E">
        <w:rPr>
          <w:rFonts w:cs="Arial"/>
        </w:rPr>
        <w:t xml:space="preserve"> and increase its funding level from 70 percent to 100 percent </w:t>
      </w:r>
      <w:r w:rsidR="000555BD" w:rsidRPr="00533E2E">
        <w:rPr>
          <w:rFonts w:cs="Arial"/>
        </w:rPr>
        <w:t xml:space="preserve">for the </w:t>
      </w:r>
      <w:r w:rsidR="008A12D9" w:rsidRPr="00533E2E">
        <w:rPr>
          <w:rFonts w:cs="Arial"/>
        </w:rPr>
        <w:t>period of 2020–21 through 2022–23, as</w:t>
      </w:r>
      <w:r w:rsidR="000555BD" w:rsidRPr="00533E2E">
        <w:rPr>
          <w:rFonts w:cs="Arial"/>
        </w:rPr>
        <w:t xml:space="preserve"> </w:t>
      </w:r>
      <w:r w:rsidR="00833E64" w:rsidRPr="00533E2E">
        <w:rPr>
          <w:rFonts w:cs="Arial"/>
        </w:rPr>
        <w:t xml:space="preserve">specified </w:t>
      </w:r>
      <w:r w:rsidR="000555BD" w:rsidRPr="00533E2E">
        <w:rPr>
          <w:rFonts w:cs="Arial"/>
        </w:rPr>
        <w:t>in Attachment 1.</w:t>
      </w:r>
      <w:r w:rsidR="004804C8" w:rsidRPr="00533E2E">
        <w:t xml:space="preserve"> </w:t>
      </w:r>
      <w:r w:rsidR="004804C8" w:rsidRPr="00533E2E">
        <w:rPr>
          <w:rFonts w:cs="Arial"/>
        </w:rPr>
        <w:t>A</w:t>
      </w:r>
      <w:r w:rsidR="00845612" w:rsidRPr="00533E2E">
        <w:rPr>
          <w:rFonts w:cs="Arial"/>
        </w:rPr>
        <w:t>pproval</w:t>
      </w:r>
      <w:r w:rsidR="00845612">
        <w:rPr>
          <w:rFonts w:cs="Arial"/>
        </w:rPr>
        <w:t xml:space="preserve"> of the reconsideration request</w:t>
      </w:r>
      <w:r w:rsidR="004804C8" w:rsidRPr="0093667F">
        <w:rPr>
          <w:rFonts w:cs="Arial"/>
        </w:rPr>
        <w:t xml:space="preserve"> would mean that the school would be eligible to receive </w:t>
      </w:r>
      <w:r w:rsidR="00845612">
        <w:rPr>
          <w:rFonts w:cs="Arial"/>
        </w:rPr>
        <w:t>100</w:t>
      </w:r>
      <w:r w:rsidR="004804C8" w:rsidRPr="0093667F">
        <w:rPr>
          <w:rFonts w:cs="Arial"/>
        </w:rPr>
        <w:t xml:space="preserve"> percent funding </w:t>
      </w:r>
      <w:r w:rsidR="0040190B">
        <w:rPr>
          <w:rFonts w:cs="Arial"/>
        </w:rPr>
        <w:t>for</w:t>
      </w:r>
      <w:r w:rsidR="004804C8" w:rsidRPr="0093667F">
        <w:rPr>
          <w:rFonts w:cs="Arial"/>
        </w:rPr>
        <w:t xml:space="preserve"> its </w:t>
      </w:r>
      <w:r w:rsidR="0040190B">
        <w:rPr>
          <w:rFonts w:cs="Arial"/>
        </w:rPr>
        <w:t xml:space="preserve">NCB </w:t>
      </w:r>
      <w:r w:rsidR="00BF1216">
        <w:rPr>
          <w:rFonts w:cs="Arial"/>
        </w:rPr>
        <w:t>average daily attendance</w:t>
      </w:r>
      <w:r w:rsidR="004804C8" w:rsidRPr="0093667F">
        <w:rPr>
          <w:rFonts w:cs="Arial"/>
        </w:rPr>
        <w:t xml:space="preserve"> for </w:t>
      </w:r>
      <w:r w:rsidR="00993ACA">
        <w:rPr>
          <w:rFonts w:cs="Arial"/>
        </w:rPr>
        <w:t>the period of</w:t>
      </w:r>
      <w:r w:rsidR="004804C8" w:rsidRPr="0093667F">
        <w:rPr>
          <w:rFonts w:cs="Arial"/>
        </w:rPr>
        <w:t xml:space="preserve"> 202</w:t>
      </w:r>
      <w:r w:rsidR="00C55C68">
        <w:rPr>
          <w:rFonts w:cs="Arial"/>
        </w:rPr>
        <w:t>0</w:t>
      </w:r>
      <w:r w:rsidR="004804C8" w:rsidRPr="0093667F">
        <w:rPr>
          <w:rFonts w:cs="Arial"/>
        </w:rPr>
        <w:t>–2</w:t>
      </w:r>
      <w:r w:rsidR="00C55C68">
        <w:rPr>
          <w:rFonts w:cs="Arial"/>
        </w:rPr>
        <w:t>1</w:t>
      </w:r>
      <w:r w:rsidR="00993ACA">
        <w:rPr>
          <w:rFonts w:cs="Arial"/>
        </w:rPr>
        <w:t xml:space="preserve"> through 2022–23</w:t>
      </w:r>
      <w:r w:rsidR="000B7276">
        <w:rPr>
          <w:rFonts w:cs="Arial"/>
        </w:rPr>
        <w:t xml:space="preserve">, instead of </w:t>
      </w:r>
      <w:r w:rsidR="00845612">
        <w:rPr>
          <w:rFonts w:cs="Arial"/>
        </w:rPr>
        <w:t>70</w:t>
      </w:r>
      <w:r w:rsidR="000B7276">
        <w:rPr>
          <w:rFonts w:cs="Arial"/>
        </w:rPr>
        <w:t xml:space="preserve"> percent</w:t>
      </w:r>
      <w:r w:rsidR="00845612">
        <w:rPr>
          <w:rFonts w:cs="Arial"/>
        </w:rPr>
        <w:t>.</w:t>
      </w:r>
    </w:p>
    <w:p w14:paraId="7F4E3621" w14:textId="74A7004C" w:rsidR="008F7BC4" w:rsidRPr="001B3958" w:rsidRDefault="00BC41D2" w:rsidP="00073062">
      <w:pPr>
        <w:pStyle w:val="Heading2"/>
      </w:pPr>
      <w:r>
        <w:t>Attachment</w:t>
      </w:r>
      <w:r w:rsidR="0041281A">
        <w:t>s</w:t>
      </w:r>
    </w:p>
    <w:p w14:paraId="767F9CED" w14:textId="65DE0359" w:rsidR="008F7BC4" w:rsidRPr="0065556E" w:rsidRDefault="008F7BC4" w:rsidP="0013532C">
      <w:pPr>
        <w:pStyle w:val="ListParagraph"/>
        <w:numPr>
          <w:ilvl w:val="0"/>
          <w:numId w:val="12"/>
        </w:numPr>
        <w:spacing w:before="0" w:after="240" w:line="240" w:lineRule="auto"/>
        <w:contextualSpacing w:val="0"/>
      </w:pPr>
      <w:r w:rsidRPr="0065556E">
        <w:rPr>
          <w:b/>
        </w:rPr>
        <w:t>Attachment 1:</w:t>
      </w:r>
      <w:r w:rsidRPr="0065556E">
        <w:t xml:space="preserve"> Proposed </w:t>
      </w:r>
      <w:r w:rsidR="00833E64">
        <w:t xml:space="preserve">Recommendation to </w:t>
      </w:r>
      <w:r w:rsidR="00993ACA">
        <w:t>Reconsider</w:t>
      </w:r>
      <w:r w:rsidR="00833E64">
        <w:t xml:space="preserve"> </w:t>
      </w:r>
      <w:r w:rsidR="002911CE">
        <w:t>Funding Determination</w:t>
      </w:r>
      <w:r w:rsidR="003C6686">
        <w:t>s</w:t>
      </w:r>
      <w:r w:rsidRPr="0065556E">
        <w:t xml:space="preserve"> </w:t>
      </w:r>
      <w:r w:rsidR="00510736" w:rsidRPr="0065556E">
        <w:t>for</w:t>
      </w:r>
      <w:r w:rsidR="00710C96" w:rsidRPr="0065556E">
        <w:t xml:space="preserve"> </w:t>
      </w:r>
      <w:r w:rsidR="00DE6C3F" w:rsidRPr="0065556E">
        <w:t xml:space="preserve">a </w:t>
      </w:r>
      <w:r w:rsidRPr="0065556E">
        <w:t>Nonclassroom-</w:t>
      </w:r>
      <w:r w:rsidR="00DC2D10" w:rsidRPr="0065556E">
        <w:t>B</w:t>
      </w:r>
      <w:r w:rsidRPr="0065556E">
        <w:t>ased Charter School (</w:t>
      </w:r>
      <w:r w:rsidR="008C58CC" w:rsidRPr="0065556E">
        <w:t>1</w:t>
      </w:r>
      <w:r w:rsidRPr="0065556E">
        <w:t xml:space="preserve"> Page)</w:t>
      </w:r>
    </w:p>
    <w:p w14:paraId="24088CAC" w14:textId="4B34E2B1" w:rsidR="00F4767B" w:rsidRDefault="0041281A" w:rsidP="007221C6">
      <w:pPr>
        <w:pStyle w:val="ListParagraph"/>
        <w:numPr>
          <w:ilvl w:val="0"/>
          <w:numId w:val="12"/>
        </w:numPr>
        <w:spacing w:before="0" w:after="240" w:line="240" w:lineRule="auto"/>
        <w:contextualSpacing w:val="0"/>
      </w:pPr>
      <w:r w:rsidRPr="0065556E">
        <w:rPr>
          <w:b/>
        </w:rPr>
        <w:t>Attachment 2:</w:t>
      </w:r>
      <w:r w:rsidRPr="0065556E">
        <w:t xml:space="preserve"> </w:t>
      </w:r>
      <w:r w:rsidR="00D5295E">
        <w:t>Determination of Funding Request</w:t>
      </w:r>
      <w:r w:rsidR="00824E44">
        <w:t xml:space="preserve"> for</w:t>
      </w:r>
      <w:r w:rsidR="00824E44" w:rsidRPr="0065556E">
        <w:t xml:space="preserve"> Peak Prep Pleasant Valley, Charter #2062 </w:t>
      </w:r>
      <w:r w:rsidR="00824E44">
        <w:t>(</w:t>
      </w:r>
      <w:r w:rsidR="00EB0FB1">
        <w:t>9</w:t>
      </w:r>
      <w:r w:rsidR="00824E44">
        <w:t xml:space="preserve"> Pages)</w:t>
      </w:r>
    </w:p>
    <w:sectPr w:rsidR="00F4767B" w:rsidSect="00FF0480">
      <w:headerReference w:type="default" r:id="rId9"/>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C0409" w14:textId="77777777" w:rsidR="00ED6047" w:rsidRDefault="00ED6047" w:rsidP="000E09DC">
      <w:r>
        <w:separator/>
      </w:r>
    </w:p>
  </w:endnote>
  <w:endnote w:type="continuationSeparator" w:id="0">
    <w:p w14:paraId="7D49F869" w14:textId="77777777" w:rsidR="00ED6047" w:rsidRDefault="00ED6047"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42391" w14:textId="77777777" w:rsidR="00ED6047" w:rsidRDefault="00ED6047" w:rsidP="000E09DC">
      <w:r>
        <w:separator/>
      </w:r>
    </w:p>
  </w:footnote>
  <w:footnote w:type="continuationSeparator" w:id="0">
    <w:p w14:paraId="12AAE0CB" w14:textId="77777777" w:rsidR="00ED6047" w:rsidRDefault="00ED6047"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3038" w14:textId="14204E4B" w:rsidR="00ED6047" w:rsidRPr="002D6EC8" w:rsidRDefault="00ED6047" w:rsidP="00BA695B">
    <w:pPr>
      <w:spacing w:after="0"/>
      <w:contextualSpacing w:val="0"/>
      <w:jc w:val="right"/>
    </w:pPr>
    <w:r w:rsidRPr="00780B44">
      <w:rPr>
        <w:rFonts w:cs="Arial"/>
      </w:rPr>
      <w:t>accs-</w:t>
    </w:r>
    <w:r w:rsidR="007C0097">
      <w:rPr>
        <w:rFonts w:cs="Arial"/>
      </w:rPr>
      <w:t>jun</w:t>
    </w:r>
    <w:r w:rsidR="00DD1963">
      <w:rPr>
        <w:rFonts w:cs="Arial"/>
      </w:rPr>
      <w:t>2</w:t>
    </w:r>
    <w:r w:rsidR="007C0097">
      <w:rPr>
        <w:rFonts w:cs="Arial"/>
      </w:rPr>
      <w:t>2</w:t>
    </w:r>
    <w:r w:rsidRPr="00780B44">
      <w:rPr>
        <w:rFonts w:cs="Arial"/>
      </w:rPr>
      <w:t>item0</w:t>
    </w:r>
    <w:r w:rsidR="00C17809">
      <w:rPr>
        <w:rFonts w:cs="Arial"/>
      </w:rPr>
      <w:t>2</w:t>
    </w:r>
  </w:p>
  <w:p w14:paraId="75409F1F" w14:textId="77777777" w:rsidR="00ED6047" w:rsidRDefault="00ED6047" w:rsidP="00BA695B">
    <w:pPr>
      <w:pStyle w:val="Header"/>
      <w:spacing w:before="0" w:after="240"/>
      <w:contextualSpacing w:val="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7"/>
  </w:num>
  <w:num w:numId="5">
    <w:abstractNumId w:val="8"/>
  </w:num>
  <w:num w:numId="6">
    <w:abstractNumId w:val="1"/>
  </w:num>
  <w:num w:numId="7">
    <w:abstractNumId w:val="3"/>
  </w:num>
  <w:num w:numId="8">
    <w:abstractNumId w:val="5"/>
  </w:num>
  <w:num w:numId="9">
    <w:abstractNumId w:val="6"/>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7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31DC"/>
    <w:rsid w:val="000040D5"/>
    <w:rsid w:val="00011D69"/>
    <w:rsid w:val="00021BB8"/>
    <w:rsid w:val="00024458"/>
    <w:rsid w:val="00025553"/>
    <w:rsid w:val="00030493"/>
    <w:rsid w:val="000321AE"/>
    <w:rsid w:val="000324AD"/>
    <w:rsid w:val="00032825"/>
    <w:rsid w:val="00037709"/>
    <w:rsid w:val="00042E24"/>
    <w:rsid w:val="00050515"/>
    <w:rsid w:val="0005501B"/>
    <w:rsid w:val="000555BD"/>
    <w:rsid w:val="000569D6"/>
    <w:rsid w:val="000607AF"/>
    <w:rsid w:val="00062F56"/>
    <w:rsid w:val="00070CBF"/>
    <w:rsid w:val="00073062"/>
    <w:rsid w:val="000731BB"/>
    <w:rsid w:val="000739CA"/>
    <w:rsid w:val="00073CF7"/>
    <w:rsid w:val="0008005F"/>
    <w:rsid w:val="00081E94"/>
    <w:rsid w:val="000877BE"/>
    <w:rsid w:val="00090B05"/>
    <w:rsid w:val="00091CDC"/>
    <w:rsid w:val="000928B7"/>
    <w:rsid w:val="00092FF8"/>
    <w:rsid w:val="000951F6"/>
    <w:rsid w:val="000955EE"/>
    <w:rsid w:val="00096647"/>
    <w:rsid w:val="000A21F0"/>
    <w:rsid w:val="000A5399"/>
    <w:rsid w:val="000B5B7C"/>
    <w:rsid w:val="000B7276"/>
    <w:rsid w:val="000C5AE0"/>
    <w:rsid w:val="000D5F5E"/>
    <w:rsid w:val="000E09DC"/>
    <w:rsid w:val="000E5362"/>
    <w:rsid w:val="000E70B0"/>
    <w:rsid w:val="000F33B6"/>
    <w:rsid w:val="0010180C"/>
    <w:rsid w:val="0010288D"/>
    <w:rsid w:val="001030E1"/>
    <w:rsid w:val="00103577"/>
    <w:rsid w:val="001048F3"/>
    <w:rsid w:val="00104997"/>
    <w:rsid w:val="0010793A"/>
    <w:rsid w:val="001115F5"/>
    <w:rsid w:val="001130DE"/>
    <w:rsid w:val="00120906"/>
    <w:rsid w:val="00124D2D"/>
    <w:rsid w:val="0012534F"/>
    <w:rsid w:val="00130059"/>
    <w:rsid w:val="0013142F"/>
    <w:rsid w:val="00134328"/>
    <w:rsid w:val="0013532C"/>
    <w:rsid w:val="00144B53"/>
    <w:rsid w:val="00151B3B"/>
    <w:rsid w:val="00166A01"/>
    <w:rsid w:val="0017060F"/>
    <w:rsid w:val="0018148D"/>
    <w:rsid w:val="0018298E"/>
    <w:rsid w:val="00183EC7"/>
    <w:rsid w:val="00186990"/>
    <w:rsid w:val="00186DCB"/>
    <w:rsid w:val="00187317"/>
    <w:rsid w:val="00187967"/>
    <w:rsid w:val="001947B1"/>
    <w:rsid w:val="00195642"/>
    <w:rsid w:val="001A0CA5"/>
    <w:rsid w:val="001A492E"/>
    <w:rsid w:val="001A5BF3"/>
    <w:rsid w:val="001B127C"/>
    <w:rsid w:val="001B1A02"/>
    <w:rsid w:val="001B3958"/>
    <w:rsid w:val="001C2DB3"/>
    <w:rsid w:val="001C723E"/>
    <w:rsid w:val="001D146B"/>
    <w:rsid w:val="001D2469"/>
    <w:rsid w:val="001D4978"/>
    <w:rsid w:val="001D7FAC"/>
    <w:rsid w:val="001E0FE8"/>
    <w:rsid w:val="001E1929"/>
    <w:rsid w:val="001E1E96"/>
    <w:rsid w:val="001E1F07"/>
    <w:rsid w:val="001E3B8E"/>
    <w:rsid w:val="001E5813"/>
    <w:rsid w:val="001F18BC"/>
    <w:rsid w:val="001F4C31"/>
    <w:rsid w:val="001F57FC"/>
    <w:rsid w:val="00200691"/>
    <w:rsid w:val="00200A07"/>
    <w:rsid w:val="00200D9F"/>
    <w:rsid w:val="00202C44"/>
    <w:rsid w:val="002031D1"/>
    <w:rsid w:val="00203FA3"/>
    <w:rsid w:val="002060E7"/>
    <w:rsid w:val="00212DB0"/>
    <w:rsid w:val="00216329"/>
    <w:rsid w:val="002174CC"/>
    <w:rsid w:val="00222450"/>
    <w:rsid w:val="00223112"/>
    <w:rsid w:val="00223B76"/>
    <w:rsid w:val="00231CA1"/>
    <w:rsid w:val="00235088"/>
    <w:rsid w:val="00240622"/>
    <w:rsid w:val="00240910"/>
    <w:rsid w:val="00240B26"/>
    <w:rsid w:val="00241DBD"/>
    <w:rsid w:val="0024669E"/>
    <w:rsid w:val="00251CDA"/>
    <w:rsid w:val="002520BB"/>
    <w:rsid w:val="00252C96"/>
    <w:rsid w:val="00261B72"/>
    <w:rsid w:val="0026233D"/>
    <w:rsid w:val="002627FD"/>
    <w:rsid w:val="00262BE6"/>
    <w:rsid w:val="002631D5"/>
    <w:rsid w:val="00265EAB"/>
    <w:rsid w:val="00270D4D"/>
    <w:rsid w:val="00283DAA"/>
    <w:rsid w:val="00285CC2"/>
    <w:rsid w:val="00290708"/>
    <w:rsid w:val="002911CE"/>
    <w:rsid w:val="00294D42"/>
    <w:rsid w:val="002A263F"/>
    <w:rsid w:val="002A6CED"/>
    <w:rsid w:val="002B14E9"/>
    <w:rsid w:val="002B2176"/>
    <w:rsid w:val="002B3BAC"/>
    <w:rsid w:val="002B4B14"/>
    <w:rsid w:val="002B4C53"/>
    <w:rsid w:val="002C3DD4"/>
    <w:rsid w:val="002C71F2"/>
    <w:rsid w:val="002C7705"/>
    <w:rsid w:val="002D1A82"/>
    <w:rsid w:val="002D49FB"/>
    <w:rsid w:val="002D6EC8"/>
    <w:rsid w:val="002E4CB5"/>
    <w:rsid w:val="002E5031"/>
    <w:rsid w:val="002E52C1"/>
    <w:rsid w:val="002E6FCA"/>
    <w:rsid w:val="002F279B"/>
    <w:rsid w:val="002F7D01"/>
    <w:rsid w:val="003039F3"/>
    <w:rsid w:val="003060B5"/>
    <w:rsid w:val="00306576"/>
    <w:rsid w:val="00310AB1"/>
    <w:rsid w:val="003131DF"/>
    <w:rsid w:val="00315131"/>
    <w:rsid w:val="00317B34"/>
    <w:rsid w:val="00321613"/>
    <w:rsid w:val="00323B0E"/>
    <w:rsid w:val="00323F65"/>
    <w:rsid w:val="00336AE3"/>
    <w:rsid w:val="00337321"/>
    <w:rsid w:val="00340C5D"/>
    <w:rsid w:val="00343DB1"/>
    <w:rsid w:val="003444FD"/>
    <w:rsid w:val="003453FB"/>
    <w:rsid w:val="003504A5"/>
    <w:rsid w:val="00351282"/>
    <w:rsid w:val="003533D1"/>
    <w:rsid w:val="003546A4"/>
    <w:rsid w:val="00354B4A"/>
    <w:rsid w:val="00355511"/>
    <w:rsid w:val="00355A2A"/>
    <w:rsid w:val="00363520"/>
    <w:rsid w:val="003652E9"/>
    <w:rsid w:val="003705FC"/>
    <w:rsid w:val="00371992"/>
    <w:rsid w:val="00372966"/>
    <w:rsid w:val="00374D3F"/>
    <w:rsid w:val="00380371"/>
    <w:rsid w:val="00384ACF"/>
    <w:rsid w:val="00386B69"/>
    <w:rsid w:val="00397AC2"/>
    <w:rsid w:val="003B0E4D"/>
    <w:rsid w:val="003B2F22"/>
    <w:rsid w:val="003B307B"/>
    <w:rsid w:val="003B5B8E"/>
    <w:rsid w:val="003C103C"/>
    <w:rsid w:val="003C1CD8"/>
    <w:rsid w:val="003C6686"/>
    <w:rsid w:val="003D1ECD"/>
    <w:rsid w:val="003D6DB2"/>
    <w:rsid w:val="003D7C75"/>
    <w:rsid w:val="003E1E8D"/>
    <w:rsid w:val="003E1F44"/>
    <w:rsid w:val="003E215E"/>
    <w:rsid w:val="003E4DF7"/>
    <w:rsid w:val="003E581D"/>
    <w:rsid w:val="003E6189"/>
    <w:rsid w:val="003E61E4"/>
    <w:rsid w:val="003E6800"/>
    <w:rsid w:val="003F61DE"/>
    <w:rsid w:val="0040190B"/>
    <w:rsid w:val="004037FC"/>
    <w:rsid w:val="004041BC"/>
    <w:rsid w:val="00406F50"/>
    <w:rsid w:val="00407E9B"/>
    <w:rsid w:val="0041281A"/>
    <w:rsid w:val="00413525"/>
    <w:rsid w:val="0041467B"/>
    <w:rsid w:val="004154DF"/>
    <w:rsid w:val="00417699"/>
    <w:rsid w:val="004202F9"/>
    <w:rsid w:val="004203BC"/>
    <w:rsid w:val="00422329"/>
    <w:rsid w:val="004248D0"/>
    <w:rsid w:val="0042654E"/>
    <w:rsid w:val="00430094"/>
    <w:rsid w:val="00432357"/>
    <w:rsid w:val="00432856"/>
    <w:rsid w:val="0044368B"/>
    <w:rsid w:val="0044390F"/>
    <w:rsid w:val="00443B1F"/>
    <w:rsid w:val="004443B7"/>
    <w:rsid w:val="00445346"/>
    <w:rsid w:val="00445B7E"/>
    <w:rsid w:val="0044659F"/>
    <w:rsid w:val="0044670C"/>
    <w:rsid w:val="0045393A"/>
    <w:rsid w:val="00462A53"/>
    <w:rsid w:val="0046519F"/>
    <w:rsid w:val="0047534A"/>
    <w:rsid w:val="004756FD"/>
    <w:rsid w:val="004804C8"/>
    <w:rsid w:val="004822DF"/>
    <w:rsid w:val="004847A0"/>
    <w:rsid w:val="00491E5C"/>
    <w:rsid w:val="00492F24"/>
    <w:rsid w:val="004947BC"/>
    <w:rsid w:val="004A068E"/>
    <w:rsid w:val="004A4984"/>
    <w:rsid w:val="004B6BB9"/>
    <w:rsid w:val="004C1E2F"/>
    <w:rsid w:val="004D3A1D"/>
    <w:rsid w:val="004D4C08"/>
    <w:rsid w:val="004D6F36"/>
    <w:rsid w:val="004D70E5"/>
    <w:rsid w:val="004D77E0"/>
    <w:rsid w:val="004E029B"/>
    <w:rsid w:val="004E2579"/>
    <w:rsid w:val="004E401E"/>
    <w:rsid w:val="004E472B"/>
    <w:rsid w:val="004F05AA"/>
    <w:rsid w:val="004F1692"/>
    <w:rsid w:val="004F6114"/>
    <w:rsid w:val="004F63BC"/>
    <w:rsid w:val="004F6D29"/>
    <w:rsid w:val="00501DB9"/>
    <w:rsid w:val="0050251E"/>
    <w:rsid w:val="00505946"/>
    <w:rsid w:val="00506D83"/>
    <w:rsid w:val="00510736"/>
    <w:rsid w:val="00512D1B"/>
    <w:rsid w:val="00517C00"/>
    <w:rsid w:val="005216CC"/>
    <w:rsid w:val="00522FDF"/>
    <w:rsid w:val="00523CFD"/>
    <w:rsid w:val="0052783F"/>
    <w:rsid w:val="00527B0E"/>
    <w:rsid w:val="00533E2E"/>
    <w:rsid w:val="00534ABC"/>
    <w:rsid w:val="005350B0"/>
    <w:rsid w:val="0053654A"/>
    <w:rsid w:val="00536715"/>
    <w:rsid w:val="00536910"/>
    <w:rsid w:val="0054059F"/>
    <w:rsid w:val="00543E0D"/>
    <w:rsid w:val="00550A90"/>
    <w:rsid w:val="0055266E"/>
    <w:rsid w:val="00553EA1"/>
    <w:rsid w:val="005623C2"/>
    <w:rsid w:val="0056631B"/>
    <w:rsid w:val="00566DEE"/>
    <w:rsid w:val="005703F4"/>
    <w:rsid w:val="00572ADE"/>
    <w:rsid w:val="00573D57"/>
    <w:rsid w:val="00577182"/>
    <w:rsid w:val="005917A8"/>
    <w:rsid w:val="00592C20"/>
    <w:rsid w:val="005A1AED"/>
    <w:rsid w:val="005A2FEC"/>
    <w:rsid w:val="005B6E49"/>
    <w:rsid w:val="005C0063"/>
    <w:rsid w:val="005C01D8"/>
    <w:rsid w:val="005C27AE"/>
    <w:rsid w:val="005C5755"/>
    <w:rsid w:val="005C66DD"/>
    <w:rsid w:val="005D15C4"/>
    <w:rsid w:val="005D1D81"/>
    <w:rsid w:val="005D316B"/>
    <w:rsid w:val="005D401E"/>
    <w:rsid w:val="005D62E0"/>
    <w:rsid w:val="005D630D"/>
    <w:rsid w:val="005D699A"/>
    <w:rsid w:val="005D6FF1"/>
    <w:rsid w:val="005D79C6"/>
    <w:rsid w:val="005E51AD"/>
    <w:rsid w:val="005F0222"/>
    <w:rsid w:val="005F2B54"/>
    <w:rsid w:val="005F5512"/>
    <w:rsid w:val="005F5748"/>
    <w:rsid w:val="005F798C"/>
    <w:rsid w:val="005F7E7C"/>
    <w:rsid w:val="00600FDE"/>
    <w:rsid w:val="00601159"/>
    <w:rsid w:val="00601EC9"/>
    <w:rsid w:val="006020FE"/>
    <w:rsid w:val="006042E9"/>
    <w:rsid w:val="00604A25"/>
    <w:rsid w:val="0060666A"/>
    <w:rsid w:val="00611E7A"/>
    <w:rsid w:val="00613E69"/>
    <w:rsid w:val="00615654"/>
    <w:rsid w:val="00616AB5"/>
    <w:rsid w:val="00617223"/>
    <w:rsid w:val="0062033E"/>
    <w:rsid w:val="00621DD9"/>
    <w:rsid w:val="00624CCA"/>
    <w:rsid w:val="006257DD"/>
    <w:rsid w:val="00625FDB"/>
    <w:rsid w:val="00626545"/>
    <w:rsid w:val="006266F2"/>
    <w:rsid w:val="00626758"/>
    <w:rsid w:val="00627C45"/>
    <w:rsid w:val="00635042"/>
    <w:rsid w:val="0064329F"/>
    <w:rsid w:val="0064373F"/>
    <w:rsid w:val="00643D29"/>
    <w:rsid w:val="00644267"/>
    <w:rsid w:val="006512CB"/>
    <w:rsid w:val="00653939"/>
    <w:rsid w:val="00653F15"/>
    <w:rsid w:val="00655299"/>
    <w:rsid w:val="0065556E"/>
    <w:rsid w:val="00656222"/>
    <w:rsid w:val="00662A21"/>
    <w:rsid w:val="0067171D"/>
    <w:rsid w:val="006738BA"/>
    <w:rsid w:val="00676B70"/>
    <w:rsid w:val="006860C8"/>
    <w:rsid w:val="00686C64"/>
    <w:rsid w:val="00690FD1"/>
    <w:rsid w:val="00692300"/>
    <w:rsid w:val="00693519"/>
    <w:rsid w:val="00693951"/>
    <w:rsid w:val="006A2812"/>
    <w:rsid w:val="006A63C6"/>
    <w:rsid w:val="006B1750"/>
    <w:rsid w:val="006B2111"/>
    <w:rsid w:val="006B432F"/>
    <w:rsid w:val="006C61A6"/>
    <w:rsid w:val="006C7706"/>
    <w:rsid w:val="006D0223"/>
    <w:rsid w:val="006D1849"/>
    <w:rsid w:val="006D2AB8"/>
    <w:rsid w:val="006D41C6"/>
    <w:rsid w:val="006D6FC6"/>
    <w:rsid w:val="006E06C6"/>
    <w:rsid w:val="006E7CE3"/>
    <w:rsid w:val="006F1AB1"/>
    <w:rsid w:val="006F740B"/>
    <w:rsid w:val="006F797A"/>
    <w:rsid w:val="007051F6"/>
    <w:rsid w:val="00710C96"/>
    <w:rsid w:val="00713E5C"/>
    <w:rsid w:val="007221C6"/>
    <w:rsid w:val="007224CC"/>
    <w:rsid w:val="00726EDA"/>
    <w:rsid w:val="0072734E"/>
    <w:rsid w:val="007313A3"/>
    <w:rsid w:val="00733D0A"/>
    <w:rsid w:val="00737CC5"/>
    <w:rsid w:val="007400CB"/>
    <w:rsid w:val="007428B8"/>
    <w:rsid w:val="00742E98"/>
    <w:rsid w:val="00746164"/>
    <w:rsid w:val="00746ED5"/>
    <w:rsid w:val="007514ED"/>
    <w:rsid w:val="0075228B"/>
    <w:rsid w:val="007537F1"/>
    <w:rsid w:val="007566B5"/>
    <w:rsid w:val="007617EF"/>
    <w:rsid w:val="007641C6"/>
    <w:rsid w:val="00764466"/>
    <w:rsid w:val="00764AEB"/>
    <w:rsid w:val="007651B6"/>
    <w:rsid w:val="00772605"/>
    <w:rsid w:val="00775131"/>
    <w:rsid w:val="00775390"/>
    <w:rsid w:val="00780B44"/>
    <w:rsid w:val="00780BB6"/>
    <w:rsid w:val="007913E7"/>
    <w:rsid w:val="007937C5"/>
    <w:rsid w:val="00796487"/>
    <w:rsid w:val="00797DB9"/>
    <w:rsid w:val="007A2A8F"/>
    <w:rsid w:val="007A322B"/>
    <w:rsid w:val="007A7F71"/>
    <w:rsid w:val="007B1138"/>
    <w:rsid w:val="007B13D6"/>
    <w:rsid w:val="007B3702"/>
    <w:rsid w:val="007C0097"/>
    <w:rsid w:val="007C0EAE"/>
    <w:rsid w:val="007C1A27"/>
    <w:rsid w:val="007C5697"/>
    <w:rsid w:val="007D56A4"/>
    <w:rsid w:val="007D5DE7"/>
    <w:rsid w:val="007D6A8F"/>
    <w:rsid w:val="007F0643"/>
    <w:rsid w:val="007F0B66"/>
    <w:rsid w:val="007F2744"/>
    <w:rsid w:val="007F370D"/>
    <w:rsid w:val="007F74F0"/>
    <w:rsid w:val="00801691"/>
    <w:rsid w:val="008026B6"/>
    <w:rsid w:val="0080433D"/>
    <w:rsid w:val="00806E78"/>
    <w:rsid w:val="00810E2A"/>
    <w:rsid w:val="00811644"/>
    <w:rsid w:val="008223B1"/>
    <w:rsid w:val="00822709"/>
    <w:rsid w:val="00822A4F"/>
    <w:rsid w:val="00824E44"/>
    <w:rsid w:val="008303FA"/>
    <w:rsid w:val="00833E64"/>
    <w:rsid w:val="0083556E"/>
    <w:rsid w:val="00840533"/>
    <w:rsid w:val="008448EB"/>
    <w:rsid w:val="00845612"/>
    <w:rsid w:val="00846CA4"/>
    <w:rsid w:val="00854DB4"/>
    <w:rsid w:val="008575C7"/>
    <w:rsid w:val="00860B77"/>
    <w:rsid w:val="0086465D"/>
    <w:rsid w:val="00865F72"/>
    <w:rsid w:val="00874104"/>
    <w:rsid w:val="00874DC7"/>
    <w:rsid w:val="00875C6D"/>
    <w:rsid w:val="00876B82"/>
    <w:rsid w:val="00876EEC"/>
    <w:rsid w:val="00882FC1"/>
    <w:rsid w:val="008855A9"/>
    <w:rsid w:val="008909EE"/>
    <w:rsid w:val="00893F0E"/>
    <w:rsid w:val="008948F7"/>
    <w:rsid w:val="00895488"/>
    <w:rsid w:val="00897B9F"/>
    <w:rsid w:val="008A12D9"/>
    <w:rsid w:val="008B0CD4"/>
    <w:rsid w:val="008C0805"/>
    <w:rsid w:val="008C3025"/>
    <w:rsid w:val="008C58CC"/>
    <w:rsid w:val="008C5BBA"/>
    <w:rsid w:val="008D3586"/>
    <w:rsid w:val="008D54E1"/>
    <w:rsid w:val="008D6D9B"/>
    <w:rsid w:val="008E233F"/>
    <w:rsid w:val="008E2F92"/>
    <w:rsid w:val="008E51BB"/>
    <w:rsid w:val="008F23C0"/>
    <w:rsid w:val="008F75E6"/>
    <w:rsid w:val="008F7BC4"/>
    <w:rsid w:val="00900358"/>
    <w:rsid w:val="009048C1"/>
    <w:rsid w:val="00906D8D"/>
    <w:rsid w:val="009073F5"/>
    <w:rsid w:val="0091117B"/>
    <w:rsid w:val="0091558B"/>
    <w:rsid w:val="009163F6"/>
    <w:rsid w:val="00920525"/>
    <w:rsid w:val="009302B6"/>
    <w:rsid w:val="00931B4D"/>
    <w:rsid w:val="00932529"/>
    <w:rsid w:val="0093667F"/>
    <w:rsid w:val="00943771"/>
    <w:rsid w:val="0094608C"/>
    <w:rsid w:val="00950522"/>
    <w:rsid w:val="0095515F"/>
    <w:rsid w:val="00956294"/>
    <w:rsid w:val="00957C5D"/>
    <w:rsid w:val="00961D08"/>
    <w:rsid w:val="009623BF"/>
    <w:rsid w:val="00964360"/>
    <w:rsid w:val="00965623"/>
    <w:rsid w:val="00970759"/>
    <w:rsid w:val="00973C53"/>
    <w:rsid w:val="009748A2"/>
    <w:rsid w:val="0097738C"/>
    <w:rsid w:val="00980457"/>
    <w:rsid w:val="00981CC8"/>
    <w:rsid w:val="0098271C"/>
    <w:rsid w:val="00984135"/>
    <w:rsid w:val="009876A4"/>
    <w:rsid w:val="00990AF8"/>
    <w:rsid w:val="0099125C"/>
    <w:rsid w:val="00993ACA"/>
    <w:rsid w:val="0099535D"/>
    <w:rsid w:val="009A0F9C"/>
    <w:rsid w:val="009A105B"/>
    <w:rsid w:val="009A1362"/>
    <w:rsid w:val="009A3A1F"/>
    <w:rsid w:val="009A74AF"/>
    <w:rsid w:val="009B04E1"/>
    <w:rsid w:val="009B4E3B"/>
    <w:rsid w:val="009B557D"/>
    <w:rsid w:val="009C2FCD"/>
    <w:rsid w:val="009D5028"/>
    <w:rsid w:val="009E1BA2"/>
    <w:rsid w:val="009F3F9D"/>
    <w:rsid w:val="009F5471"/>
    <w:rsid w:val="00A03777"/>
    <w:rsid w:val="00A056E5"/>
    <w:rsid w:val="00A067F5"/>
    <w:rsid w:val="00A07F42"/>
    <w:rsid w:val="00A12675"/>
    <w:rsid w:val="00A148BF"/>
    <w:rsid w:val="00A14F7A"/>
    <w:rsid w:val="00A16315"/>
    <w:rsid w:val="00A210DE"/>
    <w:rsid w:val="00A229E8"/>
    <w:rsid w:val="00A30B3C"/>
    <w:rsid w:val="00A34A51"/>
    <w:rsid w:val="00A36CD5"/>
    <w:rsid w:val="00A41225"/>
    <w:rsid w:val="00A43C84"/>
    <w:rsid w:val="00A4553C"/>
    <w:rsid w:val="00A51E6F"/>
    <w:rsid w:val="00A5281B"/>
    <w:rsid w:val="00A5345E"/>
    <w:rsid w:val="00A538C9"/>
    <w:rsid w:val="00A552D0"/>
    <w:rsid w:val="00A55B07"/>
    <w:rsid w:val="00A55FA6"/>
    <w:rsid w:val="00A60392"/>
    <w:rsid w:val="00A662CC"/>
    <w:rsid w:val="00A67820"/>
    <w:rsid w:val="00A7039F"/>
    <w:rsid w:val="00A74797"/>
    <w:rsid w:val="00A810CB"/>
    <w:rsid w:val="00A81CC6"/>
    <w:rsid w:val="00A84B9D"/>
    <w:rsid w:val="00A855D2"/>
    <w:rsid w:val="00A878CB"/>
    <w:rsid w:val="00A87AE1"/>
    <w:rsid w:val="00A934D2"/>
    <w:rsid w:val="00AA171D"/>
    <w:rsid w:val="00AA6111"/>
    <w:rsid w:val="00AB3B5B"/>
    <w:rsid w:val="00AB3E00"/>
    <w:rsid w:val="00AB66B3"/>
    <w:rsid w:val="00AB7362"/>
    <w:rsid w:val="00AC0F7B"/>
    <w:rsid w:val="00AC1560"/>
    <w:rsid w:val="00AC2F3E"/>
    <w:rsid w:val="00AC335E"/>
    <w:rsid w:val="00AC3695"/>
    <w:rsid w:val="00AC4A29"/>
    <w:rsid w:val="00AC7B4B"/>
    <w:rsid w:val="00AD0ECC"/>
    <w:rsid w:val="00AD4756"/>
    <w:rsid w:val="00AE4375"/>
    <w:rsid w:val="00AE60CE"/>
    <w:rsid w:val="00AF2065"/>
    <w:rsid w:val="00AF2248"/>
    <w:rsid w:val="00AF4E63"/>
    <w:rsid w:val="00AF6638"/>
    <w:rsid w:val="00AF6963"/>
    <w:rsid w:val="00B01543"/>
    <w:rsid w:val="00B04455"/>
    <w:rsid w:val="00B06187"/>
    <w:rsid w:val="00B07922"/>
    <w:rsid w:val="00B10167"/>
    <w:rsid w:val="00B13859"/>
    <w:rsid w:val="00B171A5"/>
    <w:rsid w:val="00B17599"/>
    <w:rsid w:val="00B24747"/>
    <w:rsid w:val="00B30CE8"/>
    <w:rsid w:val="00B30F34"/>
    <w:rsid w:val="00B40C0D"/>
    <w:rsid w:val="00B43C92"/>
    <w:rsid w:val="00B47952"/>
    <w:rsid w:val="00B47994"/>
    <w:rsid w:val="00B509B8"/>
    <w:rsid w:val="00B53A6E"/>
    <w:rsid w:val="00B55CDA"/>
    <w:rsid w:val="00B5724B"/>
    <w:rsid w:val="00B5751C"/>
    <w:rsid w:val="00B663C6"/>
    <w:rsid w:val="00B723BE"/>
    <w:rsid w:val="00B72477"/>
    <w:rsid w:val="00B81CF1"/>
    <w:rsid w:val="00B82705"/>
    <w:rsid w:val="00B85536"/>
    <w:rsid w:val="00B86263"/>
    <w:rsid w:val="00B900AB"/>
    <w:rsid w:val="00B940F3"/>
    <w:rsid w:val="00B9547B"/>
    <w:rsid w:val="00B97B40"/>
    <w:rsid w:val="00BA0DEB"/>
    <w:rsid w:val="00BA206C"/>
    <w:rsid w:val="00BA2160"/>
    <w:rsid w:val="00BA257A"/>
    <w:rsid w:val="00BA3E40"/>
    <w:rsid w:val="00BA695B"/>
    <w:rsid w:val="00BB0C27"/>
    <w:rsid w:val="00BB2084"/>
    <w:rsid w:val="00BB707C"/>
    <w:rsid w:val="00BC2EA2"/>
    <w:rsid w:val="00BC3D29"/>
    <w:rsid w:val="00BC41D2"/>
    <w:rsid w:val="00BD0A6E"/>
    <w:rsid w:val="00BE214F"/>
    <w:rsid w:val="00BE28F6"/>
    <w:rsid w:val="00BE33AD"/>
    <w:rsid w:val="00BE5B9E"/>
    <w:rsid w:val="00BE5EC9"/>
    <w:rsid w:val="00BF1216"/>
    <w:rsid w:val="00BF2DEF"/>
    <w:rsid w:val="00BF2F73"/>
    <w:rsid w:val="00BF4981"/>
    <w:rsid w:val="00BF6947"/>
    <w:rsid w:val="00C0067C"/>
    <w:rsid w:val="00C02D20"/>
    <w:rsid w:val="00C03809"/>
    <w:rsid w:val="00C04E43"/>
    <w:rsid w:val="00C06F70"/>
    <w:rsid w:val="00C10145"/>
    <w:rsid w:val="00C119D0"/>
    <w:rsid w:val="00C123C5"/>
    <w:rsid w:val="00C136FE"/>
    <w:rsid w:val="00C17809"/>
    <w:rsid w:val="00C22E87"/>
    <w:rsid w:val="00C27D57"/>
    <w:rsid w:val="00C32324"/>
    <w:rsid w:val="00C33D77"/>
    <w:rsid w:val="00C51EB2"/>
    <w:rsid w:val="00C52649"/>
    <w:rsid w:val="00C543F1"/>
    <w:rsid w:val="00C556D9"/>
    <w:rsid w:val="00C55C68"/>
    <w:rsid w:val="00C614C5"/>
    <w:rsid w:val="00C6157E"/>
    <w:rsid w:val="00C61594"/>
    <w:rsid w:val="00C6467A"/>
    <w:rsid w:val="00C75520"/>
    <w:rsid w:val="00C82CBA"/>
    <w:rsid w:val="00C9454F"/>
    <w:rsid w:val="00CA279C"/>
    <w:rsid w:val="00CA403F"/>
    <w:rsid w:val="00CA7B2E"/>
    <w:rsid w:val="00CB1157"/>
    <w:rsid w:val="00CB1F2B"/>
    <w:rsid w:val="00CB5B55"/>
    <w:rsid w:val="00CB5F98"/>
    <w:rsid w:val="00CB78EA"/>
    <w:rsid w:val="00CC64F3"/>
    <w:rsid w:val="00CC762F"/>
    <w:rsid w:val="00CC7C73"/>
    <w:rsid w:val="00CD2384"/>
    <w:rsid w:val="00CD4190"/>
    <w:rsid w:val="00CD587E"/>
    <w:rsid w:val="00CD7A10"/>
    <w:rsid w:val="00CE1185"/>
    <w:rsid w:val="00CE1C84"/>
    <w:rsid w:val="00CE4D43"/>
    <w:rsid w:val="00CE5445"/>
    <w:rsid w:val="00CF005B"/>
    <w:rsid w:val="00CF123E"/>
    <w:rsid w:val="00CF1C86"/>
    <w:rsid w:val="00D01A4B"/>
    <w:rsid w:val="00D04218"/>
    <w:rsid w:val="00D04B9C"/>
    <w:rsid w:val="00D04BE9"/>
    <w:rsid w:val="00D04F26"/>
    <w:rsid w:val="00D063E8"/>
    <w:rsid w:val="00D10C5B"/>
    <w:rsid w:val="00D17BF8"/>
    <w:rsid w:val="00D24358"/>
    <w:rsid w:val="00D25D7C"/>
    <w:rsid w:val="00D30241"/>
    <w:rsid w:val="00D321A0"/>
    <w:rsid w:val="00D32720"/>
    <w:rsid w:val="00D32D04"/>
    <w:rsid w:val="00D40D9A"/>
    <w:rsid w:val="00D41AFB"/>
    <w:rsid w:val="00D45927"/>
    <w:rsid w:val="00D47DAB"/>
    <w:rsid w:val="00D5115F"/>
    <w:rsid w:val="00D5295E"/>
    <w:rsid w:val="00D549A5"/>
    <w:rsid w:val="00D60F7C"/>
    <w:rsid w:val="00D62E6C"/>
    <w:rsid w:val="00D66BD4"/>
    <w:rsid w:val="00D70EF6"/>
    <w:rsid w:val="00D743CB"/>
    <w:rsid w:val="00D7709D"/>
    <w:rsid w:val="00D840D9"/>
    <w:rsid w:val="00D84454"/>
    <w:rsid w:val="00D84F5E"/>
    <w:rsid w:val="00D8667C"/>
    <w:rsid w:val="00D86AB9"/>
    <w:rsid w:val="00D86D6E"/>
    <w:rsid w:val="00D93B6C"/>
    <w:rsid w:val="00D960D6"/>
    <w:rsid w:val="00DA0371"/>
    <w:rsid w:val="00DA05B1"/>
    <w:rsid w:val="00DA1569"/>
    <w:rsid w:val="00DA33DB"/>
    <w:rsid w:val="00DA340B"/>
    <w:rsid w:val="00DA5BD6"/>
    <w:rsid w:val="00DB0530"/>
    <w:rsid w:val="00DB0B85"/>
    <w:rsid w:val="00DB583A"/>
    <w:rsid w:val="00DC2D10"/>
    <w:rsid w:val="00DC5D44"/>
    <w:rsid w:val="00DC7140"/>
    <w:rsid w:val="00DD10A3"/>
    <w:rsid w:val="00DD1963"/>
    <w:rsid w:val="00DD20CC"/>
    <w:rsid w:val="00DD2715"/>
    <w:rsid w:val="00DD3CAA"/>
    <w:rsid w:val="00DE4A46"/>
    <w:rsid w:val="00DE5F87"/>
    <w:rsid w:val="00DE6C3F"/>
    <w:rsid w:val="00DE6CE6"/>
    <w:rsid w:val="00DF4180"/>
    <w:rsid w:val="00DF44EC"/>
    <w:rsid w:val="00DF5940"/>
    <w:rsid w:val="00DF6924"/>
    <w:rsid w:val="00DF7D1E"/>
    <w:rsid w:val="00E037E7"/>
    <w:rsid w:val="00E05555"/>
    <w:rsid w:val="00E06196"/>
    <w:rsid w:val="00E068A8"/>
    <w:rsid w:val="00E165C8"/>
    <w:rsid w:val="00E222D6"/>
    <w:rsid w:val="00E254E8"/>
    <w:rsid w:val="00E26EF7"/>
    <w:rsid w:val="00E30187"/>
    <w:rsid w:val="00E3139E"/>
    <w:rsid w:val="00E327CC"/>
    <w:rsid w:val="00E34492"/>
    <w:rsid w:val="00E370EE"/>
    <w:rsid w:val="00E40DAF"/>
    <w:rsid w:val="00E42A19"/>
    <w:rsid w:val="00E47ED1"/>
    <w:rsid w:val="00E50B18"/>
    <w:rsid w:val="00E60AC3"/>
    <w:rsid w:val="00E617D5"/>
    <w:rsid w:val="00E64E5A"/>
    <w:rsid w:val="00E7119A"/>
    <w:rsid w:val="00E91B0F"/>
    <w:rsid w:val="00E93645"/>
    <w:rsid w:val="00E95F8E"/>
    <w:rsid w:val="00E97241"/>
    <w:rsid w:val="00EA1CFC"/>
    <w:rsid w:val="00EA3F88"/>
    <w:rsid w:val="00EA4366"/>
    <w:rsid w:val="00EA5072"/>
    <w:rsid w:val="00EA6473"/>
    <w:rsid w:val="00EA7D4F"/>
    <w:rsid w:val="00EB0FB1"/>
    <w:rsid w:val="00EB161B"/>
    <w:rsid w:val="00EB16F7"/>
    <w:rsid w:val="00EB3474"/>
    <w:rsid w:val="00EB45AE"/>
    <w:rsid w:val="00EB683B"/>
    <w:rsid w:val="00EC0A87"/>
    <w:rsid w:val="00EC504C"/>
    <w:rsid w:val="00EC5E84"/>
    <w:rsid w:val="00ED14A8"/>
    <w:rsid w:val="00ED2324"/>
    <w:rsid w:val="00ED3384"/>
    <w:rsid w:val="00ED45A1"/>
    <w:rsid w:val="00ED4DF4"/>
    <w:rsid w:val="00ED6047"/>
    <w:rsid w:val="00EE0C5F"/>
    <w:rsid w:val="00EE111F"/>
    <w:rsid w:val="00EF48D3"/>
    <w:rsid w:val="00EF738A"/>
    <w:rsid w:val="00F1381E"/>
    <w:rsid w:val="00F1767A"/>
    <w:rsid w:val="00F17682"/>
    <w:rsid w:val="00F20EF8"/>
    <w:rsid w:val="00F22078"/>
    <w:rsid w:val="00F26482"/>
    <w:rsid w:val="00F33F56"/>
    <w:rsid w:val="00F37D5F"/>
    <w:rsid w:val="00F40510"/>
    <w:rsid w:val="00F408AD"/>
    <w:rsid w:val="00F4363E"/>
    <w:rsid w:val="00F4528A"/>
    <w:rsid w:val="00F46D87"/>
    <w:rsid w:val="00F4767B"/>
    <w:rsid w:val="00F6376E"/>
    <w:rsid w:val="00F70DEB"/>
    <w:rsid w:val="00F71A65"/>
    <w:rsid w:val="00F722F5"/>
    <w:rsid w:val="00F77C0B"/>
    <w:rsid w:val="00F80DA7"/>
    <w:rsid w:val="00F8125C"/>
    <w:rsid w:val="00F87AD8"/>
    <w:rsid w:val="00F90654"/>
    <w:rsid w:val="00F92846"/>
    <w:rsid w:val="00FA1AB6"/>
    <w:rsid w:val="00FA2014"/>
    <w:rsid w:val="00FA35C6"/>
    <w:rsid w:val="00FA4439"/>
    <w:rsid w:val="00FA6693"/>
    <w:rsid w:val="00FB12FA"/>
    <w:rsid w:val="00FB178F"/>
    <w:rsid w:val="00FB3113"/>
    <w:rsid w:val="00FC1FCE"/>
    <w:rsid w:val="00FD11D8"/>
    <w:rsid w:val="00FD1B9C"/>
    <w:rsid w:val="00FD1BA1"/>
    <w:rsid w:val="00FD203A"/>
    <w:rsid w:val="00FD233F"/>
    <w:rsid w:val="00FD2F30"/>
    <w:rsid w:val="00FD5AE4"/>
    <w:rsid w:val="00FE1B0F"/>
    <w:rsid w:val="00FE3007"/>
    <w:rsid w:val="00FE4927"/>
    <w:rsid w:val="00FE4BD6"/>
    <w:rsid w:val="00FE75F5"/>
    <w:rsid w:val="00FF0480"/>
    <w:rsid w:val="00FF1AD2"/>
    <w:rsid w:val="00FF277C"/>
    <w:rsid w:val="00FF2E75"/>
    <w:rsid w:val="00FF3523"/>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5F94BCCA"/>
  <w15:chartTrackingRefBased/>
  <w15:docId w15:val="{F2939842-14BE-441F-BFAE-07C917C9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E87"/>
    <w:pPr>
      <w:spacing w:before="120" w:after="120"/>
      <w:contextualSpacing/>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spacing w:before="240" w:after="240"/>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073062"/>
    <w:pPr>
      <w:keepNext/>
      <w:keepLines/>
      <w:spacing w:before="240" w:after="240" w:line="240" w:lineRule="auto"/>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073062"/>
    <w:pPr>
      <w:keepNext/>
      <w:keepLines/>
      <w:spacing w:before="100" w:beforeAutospacing="1" w:after="100" w:afterAutospacing="1" w:line="240" w:lineRule="auto"/>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C04E43"/>
    <w:pPr>
      <w:keepNext/>
      <w:keepLines/>
      <w:spacing w:before="240" w:after="240"/>
      <w:outlineLvl w:val="3"/>
    </w:pPr>
    <w:rPr>
      <w:rFonts w:eastAsiaTheme="majorEastAsia" w:cstheme="majorBidi"/>
      <w:b/>
      <w:iCs/>
      <w:sz w:val="28"/>
    </w:rPr>
  </w:style>
  <w:style w:type="paragraph" w:styleId="Heading5">
    <w:name w:val="heading 5"/>
    <w:basedOn w:val="Normal"/>
    <w:next w:val="Normal"/>
    <w:link w:val="Heading5Char"/>
    <w:autoRedefine/>
    <w:uiPriority w:val="9"/>
    <w:unhideWhenUsed/>
    <w:qFormat/>
    <w:rsid w:val="002031D1"/>
    <w:pPr>
      <w:keepNext/>
      <w:keepLines/>
      <w:spacing w:before="240" w:after="240"/>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spacing w:before="240" w:after="240"/>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spacing w:before="240" w:after="2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073062"/>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073062"/>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04E43"/>
    <w:rPr>
      <w:rFonts w:ascii="Arial" w:eastAsiaTheme="majorEastAsia" w:hAnsi="Arial" w:cstheme="majorBidi"/>
      <w:b/>
      <w:iCs/>
      <w:sz w:val="28"/>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2031D1"/>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FC1FCE"/>
    <w:rPr>
      <w:color w:val="0000FF"/>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1C2DB3"/>
    <w:rPr>
      <w:color w:val="605E5C"/>
      <w:shd w:val="clear" w:color="auto" w:fill="E1DFDD"/>
    </w:rPr>
  </w:style>
  <w:style w:type="character" w:styleId="FollowedHyperlink">
    <w:name w:val="FollowedHyperlink"/>
    <w:basedOn w:val="DefaultParagraphFont"/>
    <w:uiPriority w:val="99"/>
    <w:semiHidden/>
    <w:unhideWhenUsed/>
    <w:rsid w:val="00195642"/>
    <w:rPr>
      <w:color w:val="954F72" w:themeColor="followedHyperlink"/>
      <w:u w:val="single"/>
    </w:rPr>
  </w:style>
  <w:style w:type="table" w:styleId="TableGrid">
    <w:name w:val="Table Grid"/>
    <w:basedOn w:val="TableNormal"/>
    <w:uiPriority w:val="39"/>
    <w:rsid w:val="00D1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0145"/>
    <w:rPr>
      <w:sz w:val="16"/>
      <w:szCs w:val="16"/>
    </w:rPr>
  </w:style>
  <w:style w:type="paragraph" w:styleId="CommentText">
    <w:name w:val="annotation text"/>
    <w:basedOn w:val="Normal"/>
    <w:link w:val="CommentTextChar"/>
    <w:uiPriority w:val="99"/>
    <w:semiHidden/>
    <w:unhideWhenUsed/>
    <w:rsid w:val="00C10145"/>
    <w:pPr>
      <w:spacing w:line="240" w:lineRule="auto"/>
    </w:pPr>
    <w:rPr>
      <w:sz w:val="20"/>
      <w:szCs w:val="20"/>
    </w:rPr>
  </w:style>
  <w:style w:type="character" w:customStyle="1" w:styleId="CommentTextChar">
    <w:name w:val="Comment Text Char"/>
    <w:basedOn w:val="DefaultParagraphFont"/>
    <w:link w:val="CommentText"/>
    <w:uiPriority w:val="99"/>
    <w:semiHidden/>
    <w:rsid w:val="00C1014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10145"/>
    <w:rPr>
      <w:b/>
      <w:bCs/>
    </w:rPr>
  </w:style>
  <w:style w:type="character" w:customStyle="1" w:styleId="CommentSubjectChar">
    <w:name w:val="Comment Subject Char"/>
    <w:basedOn w:val="CommentTextChar"/>
    <w:link w:val="CommentSubject"/>
    <w:uiPriority w:val="99"/>
    <w:semiHidden/>
    <w:rsid w:val="00C10145"/>
    <w:rPr>
      <w:rFonts w:ascii="Arial" w:eastAsia="Times New Roman" w:hAnsi="Arial" w:cs="Times New Roman"/>
      <w:b/>
      <w:bCs/>
      <w:sz w:val="20"/>
      <w:szCs w:val="20"/>
    </w:rPr>
  </w:style>
  <w:style w:type="paragraph" w:styleId="Revision">
    <w:name w:val="Revision"/>
    <w:hidden/>
    <w:uiPriority w:val="99"/>
    <w:semiHidden/>
    <w:rsid w:val="00A810CB"/>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87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ag/ag/yr21/agenda202105.asp" TargetMode="External"/><Relationship Id="rId3" Type="http://schemas.openxmlformats.org/officeDocument/2006/relationships/settings" Target="settings.xml"/><Relationship Id="rId7" Type="http://schemas.openxmlformats.org/officeDocument/2006/relationships/hyperlink" Target="https://www.cde.ca.gov/be/ag/ag/yr20/agenda202003.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3420</TotalTime>
  <Pages>6</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June 2022 ACCS Agenda Item 02 - Advisory Commission on Charter Schools (CA State Board of Education)</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2022 ACCS Agenda Item 02 - Advisory Commission on Charter Schools (CA State Board of Education)</dc:title>
  <dc:subject>Reconsideration of a Funding Determination as Required for Nonclassroom-Based Charter Schools Pursuant to California EC sections 47612.5 and 47634.2, CCRs, Title 5 Section 11963.6(g), and Associated CCRs, Title 5.</dc:subject>
  <dc:creator/>
  <cp:keywords/>
  <dc:description/>
  <cp:lastModifiedBy>Shauna Rodriguez</cp:lastModifiedBy>
  <cp:revision>69</cp:revision>
  <cp:lastPrinted>2020-03-16T21:00:00Z</cp:lastPrinted>
  <dcterms:created xsi:type="dcterms:W3CDTF">2021-03-15T15:40:00Z</dcterms:created>
  <dcterms:modified xsi:type="dcterms:W3CDTF">2022-06-03T14:13:00Z</dcterms:modified>
</cp:coreProperties>
</file>