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97DF" w14:textId="77777777" w:rsidR="002D6EC8" w:rsidRPr="002D6EC8" w:rsidRDefault="002D6EC8" w:rsidP="008F7BC4">
      <w:pPr>
        <w:spacing w:line="240" w:lineRule="auto"/>
        <w:rPr>
          <w:rFonts w:cs="Arial"/>
        </w:rPr>
      </w:pPr>
      <w:r w:rsidRPr="002D6EC8">
        <w:rPr>
          <w:rFonts w:cs="Arial"/>
        </w:rPr>
        <w:t>California Department of Education</w:t>
      </w:r>
    </w:p>
    <w:p w14:paraId="66372B8A" w14:textId="77777777" w:rsidR="002D6EC8" w:rsidRPr="002D6EC8" w:rsidRDefault="002D6EC8" w:rsidP="008F7BC4">
      <w:pPr>
        <w:spacing w:line="240" w:lineRule="auto"/>
        <w:rPr>
          <w:rFonts w:cs="Arial"/>
        </w:rPr>
      </w:pPr>
      <w:r w:rsidRPr="002D6EC8">
        <w:rPr>
          <w:rFonts w:cs="Arial"/>
        </w:rPr>
        <w:t>Charter Schools Division</w:t>
      </w:r>
    </w:p>
    <w:p w14:paraId="6D8E2BC4" w14:textId="77777777" w:rsidR="002D6EC8" w:rsidRPr="00780B44" w:rsidRDefault="00F77C0B" w:rsidP="008F7BC4">
      <w:pPr>
        <w:spacing w:line="240" w:lineRule="auto"/>
        <w:rPr>
          <w:rFonts w:cs="Arial"/>
        </w:rPr>
      </w:pPr>
      <w:r w:rsidRPr="00780B44">
        <w:rPr>
          <w:rFonts w:cs="Arial"/>
        </w:rPr>
        <w:t xml:space="preserve">Revised </w:t>
      </w:r>
      <w:r w:rsidR="0042654E" w:rsidRPr="00780B44">
        <w:rPr>
          <w:rFonts w:cs="Arial"/>
        </w:rPr>
        <w:t>5</w:t>
      </w:r>
      <w:r w:rsidR="00443B1F" w:rsidRPr="00780B44">
        <w:rPr>
          <w:rFonts w:cs="Arial"/>
        </w:rPr>
        <w:t>/2018</w:t>
      </w:r>
    </w:p>
    <w:p w14:paraId="0231E7DB" w14:textId="3DB7F0DD" w:rsidR="00EF48D3" w:rsidRPr="00780B44" w:rsidRDefault="0055266E" w:rsidP="008F7BC4">
      <w:pPr>
        <w:spacing w:after="240" w:line="240" w:lineRule="auto"/>
        <w:rPr>
          <w:rFonts w:cs="Arial"/>
        </w:rPr>
      </w:pPr>
      <w:r w:rsidRPr="00780B44">
        <w:rPr>
          <w:rFonts w:cs="Arial"/>
        </w:rPr>
        <w:t>a</w:t>
      </w:r>
      <w:r w:rsidR="002D6EC8" w:rsidRPr="00780B44">
        <w:rPr>
          <w:rFonts w:cs="Arial"/>
        </w:rPr>
        <w:t>ccs-</w:t>
      </w:r>
      <w:r w:rsidR="00B52A34">
        <w:rPr>
          <w:rFonts w:cs="Arial"/>
        </w:rPr>
        <w:t>oct</w:t>
      </w:r>
      <w:r w:rsidR="004F4157">
        <w:rPr>
          <w:rFonts w:cs="Arial"/>
        </w:rPr>
        <w:t>2</w:t>
      </w:r>
      <w:r w:rsidR="00DB6378">
        <w:rPr>
          <w:rFonts w:cs="Arial"/>
        </w:rPr>
        <w:t>1</w:t>
      </w:r>
      <w:r w:rsidR="008F7BC4" w:rsidRPr="00780B44">
        <w:rPr>
          <w:rFonts w:cs="Arial"/>
        </w:rPr>
        <w:t>item0</w:t>
      </w:r>
      <w:r w:rsidR="00263A48">
        <w:rPr>
          <w:rFonts w:cs="Arial"/>
        </w:rPr>
        <w:t>1</w:t>
      </w:r>
    </w:p>
    <w:p w14:paraId="4F987488" w14:textId="77777777" w:rsidR="00050515" w:rsidRPr="00780B44" w:rsidRDefault="00050515" w:rsidP="008F7BC4">
      <w:pPr>
        <w:pStyle w:val="NoSpacing"/>
        <w:spacing w:before="120"/>
        <w:jc w:val="center"/>
        <w:rPr>
          <w:b/>
          <w:sz w:val="32"/>
          <w:szCs w:val="32"/>
        </w:rPr>
      </w:pPr>
      <w:r w:rsidRPr="00780B44">
        <w:rPr>
          <w:b/>
          <w:sz w:val="32"/>
          <w:szCs w:val="32"/>
        </w:rPr>
        <w:t>ADVISORY COMMISSION ON CHARTER SCHOOLS</w:t>
      </w:r>
    </w:p>
    <w:p w14:paraId="26BB5330" w14:textId="77777777" w:rsidR="00050515" w:rsidRPr="00780B44" w:rsidRDefault="00050515" w:rsidP="008F7BC4">
      <w:pPr>
        <w:spacing w:before="0" w:line="240" w:lineRule="auto"/>
        <w:jc w:val="center"/>
      </w:pPr>
      <w:r w:rsidRPr="00780B44">
        <w:t>AN ADVISORY BODY TO THE STATE BOARD OF EDUCATION</w:t>
      </w:r>
    </w:p>
    <w:p w14:paraId="7B731161" w14:textId="180221FF" w:rsidR="00050515" w:rsidRDefault="00B52A34" w:rsidP="008F7BC4">
      <w:pPr>
        <w:pStyle w:val="Heading1"/>
        <w:spacing w:line="240" w:lineRule="auto"/>
      </w:pPr>
      <w:r>
        <w:t>October</w:t>
      </w:r>
      <w:r w:rsidR="00604A25" w:rsidRPr="00780B44">
        <w:t xml:space="preserve"> 202</w:t>
      </w:r>
      <w:r w:rsidR="00DB6378">
        <w:t>1</w:t>
      </w:r>
      <w:r w:rsidR="00050515" w:rsidRPr="00780B44">
        <w:t xml:space="preserve"> Agenda</w:t>
      </w:r>
      <w:r w:rsidR="00510736">
        <w:br/>
      </w:r>
      <w:r w:rsidR="00050515" w:rsidRPr="00780B44">
        <w:t>Item #</w:t>
      </w:r>
      <w:r w:rsidR="008F7BC4" w:rsidRPr="00780B44">
        <w:t>0</w:t>
      </w:r>
      <w:r w:rsidR="00263A48">
        <w:t>1</w:t>
      </w:r>
    </w:p>
    <w:p w14:paraId="086EB83E" w14:textId="77777777" w:rsidR="00FC1FCE" w:rsidRPr="001B3958" w:rsidRDefault="00FC1FCE" w:rsidP="00E94E5E">
      <w:pPr>
        <w:pStyle w:val="Heading2"/>
      </w:pPr>
      <w:r w:rsidRPr="001B3958">
        <w:t>Subject</w:t>
      </w:r>
    </w:p>
    <w:p w14:paraId="1A9EDBB2" w14:textId="43392D95" w:rsidR="008F7BC4" w:rsidRPr="0064766D" w:rsidRDefault="00ED652A" w:rsidP="005F0AAC">
      <w:pPr>
        <w:spacing w:before="240" w:after="240" w:line="240" w:lineRule="auto"/>
      </w:pPr>
      <w:r w:rsidRPr="00D13ED8">
        <w:t>Consideration of</w:t>
      </w:r>
      <w:r>
        <w:t xml:space="preserve"> Retroactive Requests for Determination of Funding a</w:t>
      </w:r>
      <w:r w:rsidR="00C9454F">
        <w:t>s Required for</w:t>
      </w:r>
      <w:r w:rsidR="008F7BC4">
        <w:t xml:space="preserve"> Nonclassroom-</w:t>
      </w:r>
      <w:r w:rsidR="007617EF">
        <w:t>B</w:t>
      </w:r>
      <w:r w:rsidR="008F7BC4">
        <w:t>ased Charter School</w:t>
      </w:r>
      <w:r w:rsidR="00C9454F">
        <w:t>s</w:t>
      </w:r>
      <w:r w:rsidR="008F7BC4">
        <w:t xml:space="preserve"> Pursuant to </w:t>
      </w:r>
      <w:r w:rsidR="008F7BC4" w:rsidRPr="008306A7">
        <w:rPr>
          <w:rFonts w:cs="Arial"/>
        </w:rPr>
        <w:t>California</w:t>
      </w:r>
      <w:r w:rsidR="008F7BC4">
        <w:rPr>
          <w:rFonts w:cs="Arial"/>
          <w:i/>
        </w:rPr>
        <w:t xml:space="preserve"> </w:t>
      </w:r>
      <w:r w:rsidR="008F7BC4" w:rsidRPr="003639BA">
        <w:rPr>
          <w:rFonts w:cs="Arial"/>
          <w:i/>
        </w:rPr>
        <w:t>E</w:t>
      </w:r>
      <w:r w:rsidR="008F7BC4">
        <w:rPr>
          <w:rFonts w:cs="Arial"/>
          <w:i/>
        </w:rPr>
        <w:t xml:space="preserve">ducation Code </w:t>
      </w:r>
      <w:r w:rsidR="008F7BC4">
        <w:rPr>
          <w:rFonts w:cs="Arial"/>
        </w:rPr>
        <w:t xml:space="preserve">sections 47612.5 and 47634.2, and Associated </w:t>
      </w:r>
      <w:r w:rsidR="008F7BC4" w:rsidRPr="0015561B">
        <w:rPr>
          <w:rFonts w:cs="Arial"/>
          <w:i/>
        </w:rPr>
        <w:t>California Code of Regulations</w:t>
      </w:r>
      <w:r w:rsidR="008F7BC4">
        <w:rPr>
          <w:rFonts w:cs="Arial"/>
        </w:rPr>
        <w:t>, Title 5.</w:t>
      </w:r>
    </w:p>
    <w:p w14:paraId="5B5F05D7" w14:textId="77777777" w:rsidR="00FC1FCE" w:rsidRPr="001B3958" w:rsidRDefault="00FC1FCE" w:rsidP="00E94E5E">
      <w:pPr>
        <w:pStyle w:val="Heading2"/>
      </w:pPr>
      <w:r w:rsidRPr="001B3958">
        <w:t>Type of Action</w:t>
      </w:r>
    </w:p>
    <w:p w14:paraId="67700290" w14:textId="77777777" w:rsidR="008F7BC4" w:rsidRPr="0055124C" w:rsidRDefault="008F7BC4" w:rsidP="008F7BC4">
      <w:pPr>
        <w:spacing w:line="240" w:lineRule="auto"/>
      </w:pPr>
      <w:r w:rsidRPr="0055124C">
        <w:t>Action, Information</w:t>
      </w:r>
    </w:p>
    <w:p w14:paraId="4F1F3903" w14:textId="77777777" w:rsidR="008F7BC4" w:rsidRPr="001B3958" w:rsidRDefault="008F7BC4" w:rsidP="00E94E5E">
      <w:pPr>
        <w:pStyle w:val="Heading2"/>
      </w:pPr>
      <w:r>
        <w:t>Summary of the Issue</w:t>
      </w:r>
    </w:p>
    <w:p w14:paraId="0EE56D5F" w14:textId="52C65DA2" w:rsidR="004C1016" w:rsidRDefault="004C1016" w:rsidP="004C1016">
      <w:pPr>
        <w:spacing w:before="240" w:after="240" w:line="240" w:lineRule="auto"/>
        <w:contextualSpacing w:val="0"/>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established the eligibility requirements for apportionment funding for charter schools that offer nonclassroom-based (NCB) instruction. The statutes specify that a charter school</w:t>
      </w:r>
      <w:r w:rsidR="00546DFA">
        <w:rPr>
          <w:rFonts w:cs="Arial"/>
        </w:rPr>
        <w:t xml:space="preserve"> that offers NCB instruction </w:t>
      </w:r>
      <w:r w:rsidR="004D7E48">
        <w:rPr>
          <w:rFonts w:cs="Arial"/>
        </w:rPr>
        <w:t xml:space="preserve">in excess of the amount authorized by </w:t>
      </w:r>
      <w:r w:rsidR="00546DFA">
        <w:rPr>
          <w:rFonts w:cs="Arial"/>
          <w:i/>
        </w:rPr>
        <w:t>EC</w:t>
      </w:r>
      <w:r w:rsidR="00546DFA">
        <w:rPr>
          <w:rFonts w:cs="Arial"/>
        </w:rPr>
        <w:t xml:space="preserve"> Section 47612.5(e)</w:t>
      </w:r>
      <w:r w:rsidR="004D7E48">
        <w:rPr>
          <w:rFonts w:cs="Arial"/>
        </w:rPr>
        <w:t xml:space="preserve">(1) </w:t>
      </w:r>
      <w:r>
        <w:rPr>
          <w:rFonts w:cs="Arial"/>
        </w:rPr>
        <w:t>may receive apportionment funding for NCB instruction only if a determination of funding is made by the State Board of Education (SBE). The California Department of Education (CDE) reviews a charter school’s determination of funding request and presents it for consideration by the Advisory Commission on Charter Schools</w:t>
      </w:r>
      <w:r w:rsidR="00C34E8A">
        <w:rPr>
          <w:rFonts w:cs="Arial"/>
        </w:rPr>
        <w:t xml:space="preserve">, </w:t>
      </w:r>
      <w:r>
        <w:rPr>
          <w:rFonts w:cs="Arial"/>
        </w:rPr>
        <w:t xml:space="preserve">pursuant to relevant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w:t>
      </w:r>
      <w:bookmarkStart w:id="0" w:name="_Hlk37434151"/>
    </w:p>
    <w:p w14:paraId="7CCAF7FF" w14:textId="77777777" w:rsidR="00ED652A" w:rsidRDefault="00ED652A" w:rsidP="00ED652A">
      <w:pPr>
        <w:spacing w:before="240" w:after="240" w:line="240" w:lineRule="auto"/>
        <w:contextualSpacing w:val="0"/>
        <w:rPr>
          <w:rFonts w:cs="Arial"/>
        </w:rPr>
      </w:pPr>
      <w:r w:rsidRPr="00BE214F">
        <w:rPr>
          <w:rFonts w:cs="Arial"/>
        </w:rPr>
        <w:t xml:space="preserve">Pursuant to 5 </w:t>
      </w:r>
      <w:r w:rsidRPr="00BE214F">
        <w:rPr>
          <w:rFonts w:cs="Arial"/>
          <w:i/>
        </w:rPr>
        <w:t>CCR</w:t>
      </w:r>
      <w:r w:rsidRPr="00BE214F">
        <w:rPr>
          <w:rFonts w:cs="Arial"/>
        </w:rPr>
        <w:t xml:space="preserve"> Section 11963.6(c), any determination of funding request approved by the SBE for an existing NCB charter school must be submitted by February 1 and be prospective (i.e., submitted during the fiscal year [FY] prior to the year the funding determination will be effective). Retroactive determination of funding requests </w:t>
      </w:r>
      <w:proofErr w:type="gramStart"/>
      <w:r>
        <w:rPr>
          <w:rFonts w:cs="Arial"/>
        </w:rPr>
        <w:t>refer</w:t>
      </w:r>
      <w:proofErr w:type="gramEnd"/>
      <w:r>
        <w:rPr>
          <w:rFonts w:cs="Arial"/>
        </w:rPr>
        <w:t xml:space="preserve"> to</w:t>
      </w:r>
      <w:r w:rsidRPr="00BE214F">
        <w:rPr>
          <w:rFonts w:cs="Arial"/>
        </w:rPr>
        <w:t xml:space="preserve"> requests </w:t>
      </w:r>
      <w:r>
        <w:rPr>
          <w:rFonts w:cs="Arial"/>
        </w:rPr>
        <w:t xml:space="preserve">that are </w:t>
      </w:r>
      <w:r w:rsidRPr="00BE214F">
        <w:rPr>
          <w:rFonts w:cs="Arial"/>
        </w:rPr>
        <w:t xml:space="preserve">submitted after the regulatory deadline and that require an approved SBE waiver to waive the aforementioned sections of 5 </w:t>
      </w:r>
      <w:r w:rsidRPr="00BE214F">
        <w:rPr>
          <w:rFonts w:cs="Arial"/>
          <w:i/>
        </w:rPr>
        <w:t>CCR</w:t>
      </w:r>
      <w:r w:rsidRPr="00BE214F">
        <w:rPr>
          <w:rFonts w:cs="Arial"/>
        </w:rPr>
        <w:t>.</w:t>
      </w:r>
    </w:p>
    <w:p w14:paraId="1F02E9B1" w14:textId="6F011A1E" w:rsidR="00ED652A" w:rsidRDefault="00541BEE" w:rsidP="004C1016">
      <w:pPr>
        <w:spacing w:before="240" w:after="240" w:line="240" w:lineRule="auto"/>
        <w:contextualSpacing w:val="0"/>
        <w:rPr>
          <w:rFonts w:cs="Arial"/>
        </w:rPr>
      </w:pPr>
      <w:r>
        <w:rPr>
          <w:rFonts w:cs="Arial"/>
        </w:rPr>
        <w:t xml:space="preserve">Monterey County Office of Education and </w:t>
      </w:r>
      <w:r w:rsidR="00ED652A">
        <w:rPr>
          <w:rFonts w:cs="Arial"/>
        </w:rPr>
        <w:t xml:space="preserve">Tracy Joint Unified School District each submitted a waiver request to the SBE on behalf of </w:t>
      </w:r>
      <w:r>
        <w:rPr>
          <w:rFonts w:cs="Arial"/>
        </w:rPr>
        <w:t xml:space="preserve">Open Door Charter (charter number 2091) and </w:t>
      </w:r>
      <w:r w:rsidR="002E216A">
        <w:rPr>
          <w:rFonts w:cs="Arial"/>
        </w:rPr>
        <w:t>Tracy Independent Study Charter</w:t>
      </w:r>
      <w:r w:rsidR="00ED652A">
        <w:rPr>
          <w:rFonts w:cs="Arial"/>
        </w:rPr>
        <w:t xml:space="preserve"> (charter </w:t>
      </w:r>
      <w:r w:rsidR="002E216A">
        <w:rPr>
          <w:rFonts w:cs="Arial"/>
        </w:rPr>
        <w:t>number 2090</w:t>
      </w:r>
      <w:r w:rsidR="00ED652A">
        <w:rPr>
          <w:rFonts w:cs="Arial"/>
        </w:rPr>
        <w:t>)</w:t>
      </w:r>
      <w:r>
        <w:rPr>
          <w:rFonts w:cs="Arial"/>
        </w:rPr>
        <w:t xml:space="preserve">, </w:t>
      </w:r>
      <w:r w:rsidR="002E216A">
        <w:rPr>
          <w:rFonts w:cs="Arial"/>
        </w:rPr>
        <w:t>respectively,</w:t>
      </w:r>
      <w:r w:rsidR="00ED652A">
        <w:rPr>
          <w:rFonts w:cs="Arial"/>
        </w:rPr>
        <w:t xml:space="preserve"> </w:t>
      </w:r>
      <w:r w:rsidR="00ED652A" w:rsidRPr="00BE214F">
        <w:rPr>
          <w:rFonts w:cs="Arial"/>
        </w:rPr>
        <w:t xml:space="preserve">requesting approval </w:t>
      </w:r>
      <w:r w:rsidR="00ED652A">
        <w:rPr>
          <w:rFonts w:cs="Arial"/>
        </w:rPr>
        <w:t xml:space="preserve">to submit </w:t>
      </w:r>
      <w:r w:rsidR="00ED652A" w:rsidRPr="00BE214F">
        <w:rPr>
          <w:rFonts w:cs="Arial"/>
        </w:rPr>
        <w:t>a retroactive funding determination</w:t>
      </w:r>
      <w:r w:rsidR="00ED652A">
        <w:rPr>
          <w:rFonts w:cs="Arial"/>
        </w:rPr>
        <w:t xml:space="preserve"> request. The waiver</w:t>
      </w:r>
      <w:r w:rsidR="002E216A">
        <w:rPr>
          <w:rFonts w:cs="Arial"/>
        </w:rPr>
        <w:t xml:space="preserve">s were approved at the </w:t>
      </w:r>
      <w:r w:rsidR="003623A8">
        <w:rPr>
          <w:rFonts w:cs="Arial"/>
        </w:rPr>
        <w:t xml:space="preserve">July 14, 2021, </w:t>
      </w:r>
      <w:r w:rsidR="00ED652A">
        <w:rPr>
          <w:rFonts w:cs="Arial"/>
        </w:rPr>
        <w:t>SBE</w:t>
      </w:r>
      <w:r w:rsidR="002E216A">
        <w:rPr>
          <w:rFonts w:cs="Arial"/>
        </w:rPr>
        <w:t xml:space="preserve"> meeting</w:t>
      </w:r>
      <w:r w:rsidR="003623A8">
        <w:rPr>
          <w:rFonts w:cs="Arial"/>
        </w:rPr>
        <w:t xml:space="preserve">, </w:t>
      </w:r>
      <w:r w:rsidR="002E216A">
        <w:rPr>
          <w:rFonts w:cs="Arial"/>
        </w:rPr>
        <w:t>which allowed each charter school to submit a funding determination request after the required deadline</w:t>
      </w:r>
      <w:r w:rsidR="003623A8">
        <w:rPr>
          <w:rFonts w:cs="Arial"/>
        </w:rPr>
        <w:t xml:space="preserve">; funding </w:t>
      </w:r>
      <w:r w:rsidR="003623A8">
        <w:rPr>
          <w:rFonts w:cs="Arial"/>
        </w:rPr>
        <w:lastRenderedPageBreak/>
        <w:t xml:space="preserve">determination </w:t>
      </w:r>
      <w:r w:rsidR="002E216A">
        <w:rPr>
          <w:rFonts w:cs="Arial"/>
        </w:rPr>
        <w:t xml:space="preserve">requests are approved separately from </w:t>
      </w:r>
      <w:r w:rsidR="003623A8">
        <w:rPr>
          <w:rFonts w:cs="Arial"/>
        </w:rPr>
        <w:t>waivers</w:t>
      </w:r>
      <w:r w:rsidR="002E216A">
        <w:rPr>
          <w:rFonts w:cs="Arial"/>
        </w:rPr>
        <w:t>.</w:t>
      </w:r>
      <w:r w:rsidR="00903A43">
        <w:rPr>
          <w:rFonts w:cs="Arial"/>
        </w:rPr>
        <w:t xml:space="preserve"> The schools’ waivers are </w:t>
      </w:r>
      <w:r w:rsidR="00450E5F">
        <w:rPr>
          <w:rFonts w:cs="Arial"/>
        </w:rPr>
        <w:t xml:space="preserve">available </w:t>
      </w:r>
      <w:r w:rsidR="00903A43">
        <w:rPr>
          <w:rFonts w:cs="Arial"/>
        </w:rPr>
        <w:t xml:space="preserve">on the SBE Agenda for July 2021 </w:t>
      </w:r>
      <w:r w:rsidR="00450E5F">
        <w:rPr>
          <w:rFonts w:cs="Arial"/>
        </w:rPr>
        <w:t>web</w:t>
      </w:r>
      <w:r w:rsidR="003623A8">
        <w:rPr>
          <w:rFonts w:cs="Arial"/>
        </w:rPr>
        <w:t xml:space="preserve"> </w:t>
      </w:r>
      <w:r w:rsidR="00450E5F">
        <w:rPr>
          <w:rFonts w:cs="Arial"/>
        </w:rPr>
        <w:t xml:space="preserve">page </w:t>
      </w:r>
      <w:r w:rsidR="00903A43">
        <w:rPr>
          <w:rFonts w:cs="Arial"/>
        </w:rPr>
        <w:t xml:space="preserve">at </w:t>
      </w:r>
      <w:hyperlink r:id="rId7" w:tooltip="State Board of Education Agenda for July 2021" w:history="1">
        <w:r w:rsidR="00903A43" w:rsidRPr="00554657">
          <w:rPr>
            <w:rStyle w:val="Hyperlink"/>
            <w:rFonts w:cs="Arial"/>
          </w:rPr>
          <w:t>https://www.cde.ca.gov/be/ag/ag/yr21/agenda202107.asp</w:t>
        </w:r>
      </w:hyperlink>
      <w:r w:rsidR="00903A43">
        <w:rPr>
          <w:rFonts w:cs="Arial"/>
        </w:rPr>
        <w:t xml:space="preserve">. </w:t>
      </w:r>
    </w:p>
    <w:bookmarkEnd w:id="0"/>
    <w:p w14:paraId="19EBEFE6" w14:textId="77777777" w:rsidR="008F7BC4" w:rsidRPr="00F40510" w:rsidRDefault="008F7BC4" w:rsidP="00E94E5E">
      <w:pPr>
        <w:pStyle w:val="Heading2"/>
      </w:pPr>
      <w:r w:rsidRPr="00EF48D3">
        <w:t>Proposed</w:t>
      </w:r>
      <w:r>
        <w:t xml:space="preserve"> Recommendation</w:t>
      </w:r>
    </w:p>
    <w:p w14:paraId="0B5EFA23" w14:textId="79D650BB" w:rsidR="00BD0A6E" w:rsidRDefault="00BD0A6E" w:rsidP="005F0AAC">
      <w:pPr>
        <w:spacing w:before="240" w:after="240" w:line="240" w:lineRule="auto"/>
        <w:contextualSpacing w:val="0"/>
        <w:rPr>
          <w:rFonts w:cs="Arial"/>
        </w:rPr>
      </w:pPr>
      <w:r>
        <w:rPr>
          <w:rFonts w:cs="Arial"/>
        </w:rPr>
        <w:t xml:space="preserve">The CDE </w:t>
      </w:r>
      <w:r w:rsidRPr="00E068A8">
        <w:rPr>
          <w:rFonts w:cs="Arial"/>
        </w:rPr>
        <w:t>proposes to recommend that the SBE approve the determination of funding request at the percentage and</w:t>
      </w:r>
      <w:r w:rsidR="00144B53" w:rsidRPr="00E068A8">
        <w:rPr>
          <w:rFonts w:cs="Arial"/>
        </w:rPr>
        <w:t xml:space="preserve"> for the</w:t>
      </w:r>
      <w:r w:rsidRPr="00E068A8">
        <w:rPr>
          <w:rFonts w:cs="Arial"/>
        </w:rPr>
        <w:t xml:space="preserve"> time period specified for </w:t>
      </w:r>
      <w:r w:rsidR="00541BEE">
        <w:rPr>
          <w:rFonts w:cs="Arial"/>
        </w:rPr>
        <w:t xml:space="preserve">Open Door Charter and </w:t>
      </w:r>
      <w:r w:rsidR="002E216A">
        <w:rPr>
          <w:rFonts w:cs="Arial"/>
        </w:rPr>
        <w:t xml:space="preserve">Tracy Independent Study Charter </w:t>
      </w:r>
      <w:r w:rsidRPr="00E068A8">
        <w:rPr>
          <w:rFonts w:cs="Arial"/>
        </w:rPr>
        <w:t>as provided in Attachment 1.</w:t>
      </w:r>
    </w:p>
    <w:p w14:paraId="4368B580" w14:textId="5D062C23" w:rsidR="005A3BE4" w:rsidRDefault="004E3ACE" w:rsidP="00E94E5E">
      <w:pPr>
        <w:pStyle w:val="Heading2"/>
      </w:pPr>
      <w:r>
        <w:t>Background</w:t>
      </w:r>
    </w:p>
    <w:p w14:paraId="1102514D" w14:textId="1014EF41" w:rsidR="00D81C0F" w:rsidRPr="00972BEA" w:rsidRDefault="00D81C0F" w:rsidP="005F0AAC">
      <w:pPr>
        <w:spacing w:before="0" w:after="240" w:line="240" w:lineRule="auto"/>
        <w:contextualSpacing w:val="0"/>
        <w:rPr>
          <w:rFonts w:cs="Arial"/>
        </w:rPr>
      </w:pPr>
      <w:r>
        <w:rPr>
          <w:rFonts w:cs="Arial"/>
          <w:i/>
        </w:rPr>
        <w:t xml:space="preserve">EC </w:t>
      </w:r>
      <w:r>
        <w:rPr>
          <w:rFonts w:cs="Arial"/>
        </w:rPr>
        <w:t xml:space="preserve">Section 47612.5(d)(1) </w:t>
      </w:r>
      <w:r w:rsidR="00C51F95">
        <w:rPr>
          <w:rFonts w:cs="Arial"/>
        </w:rPr>
        <w:t>states that a</w:t>
      </w:r>
      <w:r>
        <w:rPr>
          <w:rFonts w:cs="Arial"/>
        </w:rPr>
        <w:t xml:space="preserve"> charter school that has an approved charter may receive funding for</w:t>
      </w:r>
      <w:r w:rsidR="00D87D83">
        <w:rPr>
          <w:rFonts w:cs="Arial"/>
        </w:rPr>
        <w:t xml:space="preserve"> its</w:t>
      </w:r>
      <w:r>
        <w:rPr>
          <w:rFonts w:cs="Arial"/>
        </w:rPr>
        <w:t xml:space="preserve"> </w:t>
      </w:r>
      <w:r w:rsidR="00C51F95">
        <w:rPr>
          <w:rFonts w:cs="Arial"/>
        </w:rPr>
        <w:t>NCB instruction</w:t>
      </w:r>
      <w:r>
        <w:rPr>
          <w:rFonts w:cs="Arial"/>
        </w:rPr>
        <w:t xml:space="preserve"> only if a determination for funding is made by the </w:t>
      </w:r>
      <w:r w:rsidR="00C51F95">
        <w:rPr>
          <w:rFonts w:cs="Arial"/>
        </w:rPr>
        <w:t>SBE</w:t>
      </w:r>
      <w:r>
        <w:rPr>
          <w:rFonts w:cs="Arial"/>
        </w:rPr>
        <w:t>.</w:t>
      </w:r>
    </w:p>
    <w:p w14:paraId="245E2FD6" w14:textId="2DE3FD30" w:rsidR="008B659F" w:rsidRDefault="004E3ACE" w:rsidP="005F0AAC">
      <w:pPr>
        <w:spacing w:before="0" w:after="240" w:line="240" w:lineRule="auto"/>
        <w:contextualSpacing w:val="0"/>
        <w:rPr>
          <w:rFonts w:cs="Arial"/>
        </w:rPr>
      </w:pPr>
      <w:r>
        <w:t>However,</w:t>
      </w:r>
      <w:r w:rsidR="00C23591">
        <w:t xml:space="preserve"> for </w:t>
      </w:r>
      <w:r w:rsidR="003623A8">
        <w:t xml:space="preserve">FYs </w:t>
      </w:r>
      <w:r w:rsidR="00C23591">
        <w:t>2020–21 and 2021–22,</w:t>
      </w:r>
      <w:r w:rsidR="00B40590">
        <w:t xml:space="preserve"> </w:t>
      </w:r>
      <w:r w:rsidR="00351B8D">
        <w:t>certain</w:t>
      </w:r>
      <w:r w:rsidR="00B40590">
        <w:t xml:space="preserve"> schools are</w:t>
      </w:r>
      <w:r w:rsidR="00774DAC">
        <w:t xml:space="preserve"> exempt from </w:t>
      </w:r>
      <w:r w:rsidR="00972D85">
        <w:t>the</w:t>
      </w:r>
      <w:r w:rsidR="00774DAC">
        <w:t xml:space="preserve"> </w:t>
      </w:r>
      <w:r w:rsidR="00B40590">
        <w:t>require</w:t>
      </w:r>
      <w:r w:rsidR="00972D85">
        <w:t>ment</w:t>
      </w:r>
      <w:r w:rsidR="00B40590">
        <w:t xml:space="preserve"> to obtain </w:t>
      </w:r>
      <w:r w:rsidR="00C23591">
        <w:t>an approved funding determination</w:t>
      </w:r>
      <w:r w:rsidR="00B40590">
        <w:t xml:space="preserve"> from the SBE,</w:t>
      </w:r>
      <w:r>
        <w:t xml:space="preserve"> </w:t>
      </w:r>
      <w:r w:rsidR="00377DB5">
        <w:rPr>
          <w:rFonts w:cs="Arial"/>
        </w:rPr>
        <w:t>p</w:t>
      </w:r>
      <w:r w:rsidR="008B659F">
        <w:rPr>
          <w:rFonts w:cs="Arial"/>
        </w:rPr>
        <w:t>ursuant to Senate Bill 820 Section 75</w:t>
      </w:r>
      <w:r w:rsidR="0092172A">
        <w:rPr>
          <w:rFonts w:cs="Arial"/>
        </w:rPr>
        <w:t xml:space="preserve"> [Chapter 110, Statutes of 2020]</w:t>
      </w:r>
      <w:r w:rsidR="008B659F">
        <w:rPr>
          <w:rFonts w:cs="Arial"/>
        </w:rPr>
        <w:t>:</w:t>
      </w:r>
    </w:p>
    <w:p w14:paraId="4C5DE3FB" w14:textId="77777777" w:rsidR="008B659F" w:rsidRDefault="008B659F" w:rsidP="005F0AAC">
      <w:pPr>
        <w:spacing w:before="0" w:after="240" w:line="240" w:lineRule="auto"/>
        <w:ind w:left="720"/>
        <w:contextualSpacing w:val="0"/>
        <w:rPr>
          <w:rFonts w:cs="Arial"/>
        </w:rPr>
      </w:pPr>
      <w:r w:rsidRPr="000471CA">
        <w:rPr>
          <w:rFonts w:cs="Arial"/>
        </w:rPr>
        <w:t>A charter school with a nonclassroom-based funding determination pursuant to Section 47612.5 of the Education Code that expires on June 30, 2021, or June 30, 2022, shall receive its current funding level for two years upon submission of a complete funding determination request to the State Department of Education pursuant to Section 11963.3 of Title 5 of the California Code of Regulations. A charter school’s funding determination request shall be received by the State Department of Education no later than June 30, 2021 or June 30, 2022, as applicable.</w:t>
      </w:r>
    </w:p>
    <w:p w14:paraId="79067702" w14:textId="201E8EDE" w:rsidR="000802E2" w:rsidRPr="004E3ACE" w:rsidRDefault="000802E2" w:rsidP="000802E2">
      <w:pPr>
        <w:spacing w:before="0" w:after="240" w:line="240" w:lineRule="auto"/>
        <w:contextualSpacing w:val="0"/>
      </w:pPr>
      <w:r>
        <w:rPr>
          <w:rFonts w:cs="Arial"/>
        </w:rPr>
        <w:t xml:space="preserve">Because </w:t>
      </w:r>
      <w:r w:rsidR="002E216A">
        <w:rPr>
          <w:rFonts w:cs="Arial"/>
        </w:rPr>
        <w:t>the two schools presented in this item do</w:t>
      </w:r>
      <w:r>
        <w:rPr>
          <w:rFonts w:cs="Arial"/>
        </w:rPr>
        <w:t xml:space="preserve"> not have an active funding determination that expires June 30, 2021, or June 30, 2022, SB 820 </w:t>
      </w:r>
      <w:r w:rsidR="0092172A">
        <w:rPr>
          <w:rFonts w:cs="Arial"/>
        </w:rPr>
        <w:t xml:space="preserve">Section 75 </w:t>
      </w:r>
      <w:r>
        <w:rPr>
          <w:rFonts w:cs="Arial"/>
        </w:rPr>
        <w:t>is not applicable</w:t>
      </w:r>
      <w:r w:rsidR="004D7E48">
        <w:rPr>
          <w:rFonts w:cs="Arial"/>
        </w:rPr>
        <w:t xml:space="preserve"> </w:t>
      </w:r>
      <w:r>
        <w:rPr>
          <w:rFonts w:cs="Arial"/>
        </w:rPr>
        <w:t>and the school</w:t>
      </w:r>
      <w:r w:rsidR="002E216A">
        <w:rPr>
          <w:rFonts w:cs="Arial"/>
        </w:rPr>
        <w:t>s are each</w:t>
      </w:r>
      <w:r>
        <w:rPr>
          <w:rFonts w:cs="Arial"/>
        </w:rPr>
        <w:t xml:space="preserve"> required to obtain </w:t>
      </w:r>
      <w:r w:rsidR="00C23591">
        <w:rPr>
          <w:rFonts w:cs="Arial"/>
        </w:rPr>
        <w:t xml:space="preserve">an approved funding determination </w:t>
      </w:r>
      <w:r>
        <w:rPr>
          <w:rFonts w:cs="Arial"/>
        </w:rPr>
        <w:t>from the SBE.</w:t>
      </w:r>
    </w:p>
    <w:p w14:paraId="7DCB9A8A" w14:textId="32EBD7DE" w:rsidR="000802E2" w:rsidRDefault="000802E2" w:rsidP="000802E2">
      <w:pPr>
        <w:spacing w:before="0" w:after="240" w:line="240" w:lineRule="auto"/>
        <w:contextualSpacing w:val="0"/>
        <w:rPr>
          <w:rFonts w:cs="Arial"/>
        </w:rPr>
      </w:pPr>
      <w:r w:rsidRPr="005B3376">
        <w:rPr>
          <w:rFonts w:cs="Arial"/>
        </w:rPr>
        <w:t xml:space="preserve">The </w:t>
      </w:r>
      <w:r>
        <w:rPr>
          <w:rFonts w:cs="Arial"/>
        </w:rPr>
        <w:t xml:space="preserve">purpose of the </w:t>
      </w:r>
      <w:r w:rsidRPr="005B3376">
        <w:rPr>
          <w:rFonts w:cs="Arial"/>
        </w:rPr>
        <w:t>funding determination request</w:t>
      </w:r>
      <w:r w:rsidR="00F974F0">
        <w:rPr>
          <w:rFonts w:cs="Arial"/>
        </w:rPr>
        <w:t>s</w:t>
      </w:r>
      <w:r>
        <w:rPr>
          <w:rFonts w:cs="Arial"/>
        </w:rPr>
        <w:t xml:space="preserve"> presented in this item </w:t>
      </w:r>
      <w:r w:rsidR="00A7489B">
        <w:rPr>
          <w:rFonts w:cs="Arial"/>
        </w:rPr>
        <w:t>is</w:t>
      </w:r>
      <w:r w:rsidR="00F974F0">
        <w:rPr>
          <w:rFonts w:cs="Arial"/>
        </w:rPr>
        <w:t xml:space="preserve"> </w:t>
      </w:r>
      <w:r>
        <w:rPr>
          <w:rFonts w:cs="Arial"/>
        </w:rPr>
        <w:t>to request funding for NCB instruction beg</w:t>
      </w:r>
      <w:r w:rsidRPr="005B3376">
        <w:rPr>
          <w:rFonts w:cs="Arial"/>
        </w:rPr>
        <w:t>inning in FY 2021–22.</w:t>
      </w:r>
    </w:p>
    <w:p w14:paraId="55AED14D" w14:textId="6D21C3FD" w:rsidR="008F7BC4" w:rsidRPr="00F40510" w:rsidRDefault="008F7BC4" w:rsidP="00E94E5E">
      <w:pPr>
        <w:pStyle w:val="Heading2"/>
      </w:pPr>
      <w:r>
        <w:t>Brief Analysis of the Issue</w:t>
      </w:r>
    </w:p>
    <w:p w14:paraId="6FAC6291" w14:textId="16C6635A" w:rsidR="005B226A" w:rsidRDefault="004C1016" w:rsidP="005F0AAC">
      <w:pPr>
        <w:spacing w:before="240" w:after="240" w:line="240" w:lineRule="auto"/>
        <w:contextualSpacing w:val="0"/>
      </w:pPr>
      <w:r w:rsidRPr="00B03278">
        <w:t xml:space="preserve">Pursuant to 5 </w:t>
      </w:r>
      <w:r w:rsidRPr="00B03278">
        <w:rPr>
          <w:i/>
        </w:rPr>
        <w:t>CCR</w:t>
      </w:r>
      <w:r w:rsidRPr="00B03278">
        <w:t xml:space="preserve"> Section 11963.4(a), an NCB charter school </w:t>
      </w:r>
      <w:r w:rsidR="000802E2">
        <w:t xml:space="preserve">requesting a determination of funding </w:t>
      </w:r>
      <w:r w:rsidRPr="00B03278">
        <w:t xml:space="preserve">may qualify for either 70 percent, 85 percent, or 100 </w:t>
      </w:r>
      <w:r w:rsidRPr="000A67A1">
        <w:t xml:space="preserve">percent funding, or may be </w:t>
      </w:r>
      <w:r w:rsidR="000802E2">
        <w:t>denied</w:t>
      </w:r>
      <w:r w:rsidRPr="000A67A1">
        <w:t xml:space="preserve">. </w:t>
      </w:r>
      <w:bookmarkStart w:id="1" w:name="_Hlk38636967"/>
    </w:p>
    <w:p w14:paraId="03CA66EC" w14:textId="130078D8" w:rsidR="00C678A7" w:rsidRPr="00D44713" w:rsidRDefault="00C678A7" w:rsidP="005F0AAC">
      <w:pPr>
        <w:spacing w:before="240" w:after="240" w:line="240" w:lineRule="auto"/>
        <w:contextualSpacing w:val="0"/>
        <w:rPr>
          <w:rFonts w:cs="Arial"/>
        </w:rPr>
      </w:pPr>
      <w:r w:rsidRPr="00D44713">
        <w:rPr>
          <w:rFonts w:cs="Arial"/>
        </w:rPr>
        <w:t xml:space="preserve">To qualify for a proposed recommendation of </w:t>
      </w:r>
      <w:r w:rsidR="00A7489B">
        <w:rPr>
          <w:rFonts w:cs="Arial"/>
        </w:rPr>
        <w:t>100</w:t>
      </w:r>
      <w:r w:rsidRPr="00D44713">
        <w:rPr>
          <w:rFonts w:cs="Arial"/>
        </w:rPr>
        <w:t xml:space="preserve"> percent funding, an NCB charter school must meet the following criteria:</w:t>
      </w:r>
    </w:p>
    <w:p w14:paraId="01264A66" w14:textId="7132A124" w:rsidR="00C678A7" w:rsidRPr="00D44713" w:rsidRDefault="00C678A7">
      <w:pPr>
        <w:numPr>
          <w:ilvl w:val="0"/>
          <w:numId w:val="11"/>
        </w:numPr>
        <w:spacing w:before="240" w:after="240" w:line="240" w:lineRule="auto"/>
        <w:contextualSpacing w:val="0"/>
        <w:rPr>
          <w:rFonts w:cs="Arial"/>
        </w:rPr>
      </w:pPr>
      <w:r w:rsidRPr="00D44713">
        <w:rPr>
          <w:rFonts w:cs="Arial"/>
        </w:rPr>
        <w:lastRenderedPageBreak/>
        <w:t xml:space="preserve">Spend at least </w:t>
      </w:r>
      <w:r w:rsidR="00A7489B">
        <w:rPr>
          <w:rFonts w:cs="Arial"/>
        </w:rPr>
        <w:t>40</w:t>
      </w:r>
      <w:r w:rsidRPr="00D44713">
        <w:rPr>
          <w:rFonts w:cs="Arial"/>
        </w:rPr>
        <w:t xml:space="preserve"> percent of the school’s public revenues on salaries and benefits for all employees who possess a valid teaching certificate.</w:t>
      </w:r>
    </w:p>
    <w:p w14:paraId="442C7614" w14:textId="23BE62A4" w:rsidR="005B226A" w:rsidRDefault="00C678A7" w:rsidP="005F0AAC">
      <w:pPr>
        <w:numPr>
          <w:ilvl w:val="0"/>
          <w:numId w:val="11"/>
        </w:numPr>
        <w:spacing w:before="240" w:after="240" w:line="240" w:lineRule="auto"/>
        <w:contextualSpacing w:val="0"/>
        <w:rPr>
          <w:rFonts w:cs="Arial"/>
        </w:rPr>
      </w:pPr>
      <w:r w:rsidRPr="00D44713">
        <w:rPr>
          <w:rFonts w:cs="Arial"/>
        </w:rPr>
        <w:t xml:space="preserve">Spend at least </w:t>
      </w:r>
      <w:r w:rsidR="00A7489B">
        <w:rPr>
          <w:rFonts w:cs="Arial"/>
        </w:rPr>
        <w:t>80</w:t>
      </w:r>
      <w:r w:rsidRPr="00D44713">
        <w:rPr>
          <w:rFonts w:cs="Arial"/>
        </w:rPr>
        <w:t xml:space="preserve"> percent of all revenues on instruction and related services.</w:t>
      </w:r>
    </w:p>
    <w:p w14:paraId="731536DF" w14:textId="6E3F96A1" w:rsidR="00A7489B" w:rsidRPr="00A7489B" w:rsidRDefault="00A7489B" w:rsidP="00A7489B">
      <w:pPr>
        <w:numPr>
          <w:ilvl w:val="0"/>
          <w:numId w:val="11"/>
        </w:numPr>
        <w:spacing w:before="100" w:beforeAutospacing="1" w:after="240" w:line="240" w:lineRule="auto"/>
        <w:contextualSpacing w:val="0"/>
        <w:rPr>
          <w:rFonts w:cs="Arial"/>
        </w:rPr>
      </w:pPr>
      <w:r>
        <w:rPr>
          <w:rFonts w:cs="Arial"/>
        </w:rPr>
        <w:t xml:space="preserve">Maintain a </w:t>
      </w:r>
      <w:r w:rsidRPr="00C02C2C">
        <w:rPr>
          <w:rFonts w:cs="Arial"/>
        </w:rPr>
        <w:t>ratio of average daily attendance</w:t>
      </w:r>
      <w:r>
        <w:rPr>
          <w:rFonts w:cs="Arial"/>
        </w:rPr>
        <w:t xml:space="preserve"> </w:t>
      </w:r>
      <w:r w:rsidR="00A02239">
        <w:rPr>
          <w:rFonts w:cs="Arial"/>
        </w:rPr>
        <w:t xml:space="preserve">(ADA) </w:t>
      </w:r>
      <w:r w:rsidRPr="00C02C2C">
        <w:rPr>
          <w:rFonts w:cs="Arial"/>
        </w:rPr>
        <w:t xml:space="preserve">for independent study pupils to full-time certificated employees </w:t>
      </w:r>
      <w:r>
        <w:rPr>
          <w:rFonts w:cs="Arial"/>
        </w:rPr>
        <w:t xml:space="preserve">that </w:t>
      </w:r>
      <w:r w:rsidRPr="00C02C2C">
        <w:rPr>
          <w:rFonts w:cs="Arial"/>
        </w:rPr>
        <w:t>does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school operates.</w:t>
      </w:r>
    </w:p>
    <w:p w14:paraId="50C8E66A" w14:textId="19B768AD" w:rsidR="00A174A2" w:rsidRDefault="00A174A2" w:rsidP="005F0AAC">
      <w:pPr>
        <w:spacing w:before="240" w:after="240" w:line="240" w:lineRule="auto"/>
        <w:contextualSpacing w:val="0"/>
        <w:rPr>
          <w:rFonts w:cs="Arial"/>
        </w:rPr>
      </w:pPr>
      <w:r w:rsidRPr="00A174A2">
        <w:rPr>
          <w:rFonts w:cs="Arial"/>
        </w:rPr>
        <w:t xml:space="preserve">Pursuant to 5 </w:t>
      </w:r>
      <w:r w:rsidRPr="00A174A2">
        <w:rPr>
          <w:rFonts w:cs="Arial"/>
          <w:i/>
          <w:iCs/>
        </w:rPr>
        <w:t>CCR</w:t>
      </w:r>
      <w:r w:rsidRPr="00A174A2">
        <w:rPr>
          <w:rFonts w:cs="Arial"/>
        </w:rPr>
        <w:t xml:space="preserve"> Section 11963.6(c), any determination of funding request approved by the SBE for an existing NCB charter school must be prospective (not for the current year) and submitted by February 1. The CDE received a completed determination of funding request from </w:t>
      </w:r>
      <w:r>
        <w:rPr>
          <w:rFonts w:cs="Arial"/>
        </w:rPr>
        <w:t>the two schools</w:t>
      </w:r>
      <w:r w:rsidRPr="00A174A2">
        <w:rPr>
          <w:rFonts w:cs="Arial"/>
        </w:rPr>
        <w:t xml:space="preserve"> after the required February 1, 202</w:t>
      </w:r>
      <w:r>
        <w:rPr>
          <w:rFonts w:cs="Arial"/>
        </w:rPr>
        <w:t>1</w:t>
      </w:r>
      <w:r w:rsidRPr="00A174A2">
        <w:rPr>
          <w:rFonts w:cs="Arial"/>
        </w:rPr>
        <w:t>, deadline, thereby making the request</w:t>
      </w:r>
      <w:r>
        <w:rPr>
          <w:rFonts w:cs="Arial"/>
        </w:rPr>
        <w:t>s</w:t>
      </w:r>
      <w:r w:rsidRPr="00A174A2">
        <w:rPr>
          <w:rFonts w:cs="Arial"/>
        </w:rPr>
        <w:t xml:space="preserve"> retroactive, not prospective. Since the school</w:t>
      </w:r>
      <w:r>
        <w:rPr>
          <w:rFonts w:cs="Arial"/>
        </w:rPr>
        <w:t>s</w:t>
      </w:r>
      <w:r w:rsidRPr="00A174A2">
        <w:rPr>
          <w:rFonts w:cs="Arial"/>
        </w:rPr>
        <w:t xml:space="preserve"> did not submit a completed request by the regulatory filing deadline, </w:t>
      </w:r>
      <w:r>
        <w:rPr>
          <w:rFonts w:cs="Arial"/>
        </w:rPr>
        <w:t>they were</w:t>
      </w:r>
      <w:r w:rsidRPr="00A174A2">
        <w:rPr>
          <w:rFonts w:cs="Arial"/>
        </w:rPr>
        <w:t xml:space="preserve"> required to </w:t>
      </w:r>
      <w:r>
        <w:rPr>
          <w:rFonts w:cs="Arial"/>
        </w:rPr>
        <w:t>submit</w:t>
      </w:r>
      <w:r w:rsidRPr="00A174A2">
        <w:rPr>
          <w:rFonts w:cs="Arial"/>
        </w:rPr>
        <w:t xml:space="preserve"> a waiver for SBE approval to allow the school to request a funding determination after the deadline. The waiver request</w:t>
      </w:r>
      <w:r>
        <w:rPr>
          <w:rFonts w:cs="Arial"/>
        </w:rPr>
        <w:t xml:space="preserve">s were approved by </w:t>
      </w:r>
      <w:r w:rsidRPr="00A174A2">
        <w:rPr>
          <w:rFonts w:cs="Arial"/>
        </w:rPr>
        <w:t xml:space="preserve">the SBE at its </w:t>
      </w:r>
      <w:r>
        <w:rPr>
          <w:rFonts w:cs="Arial"/>
        </w:rPr>
        <w:t>July 14</w:t>
      </w:r>
      <w:r w:rsidRPr="00A174A2">
        <w:rPr>
          <w:rFonts w:cs="Arial"/>
        </w:rPr>
        <w:t>, 2021, meeting.</w:t>
      </w:r>
    </w:p>
    <w:p w14:paraId="65FBCFE1" w14:textId="29D9B03F" w:rsidR="005B226A" w:rsidRPr="00D44713" w:rsidRDefault="005B226A" w:rsidP="005F0AAC">
      <w:pPr>
        <w:spacing w:before="240" w:after="240" w:line="240" w:lineRule="auto"/>
        <w:contextualSpacing w:val="0"/>
        <w:rPr>
          <w:rFonts w:cs="Arial"/>
        </w:rPr>
      </w:pPr>
      <w:r w:rsidRPr="00D44713">
        <w:rPr>
          <w:rFonts w:cs="Arial"/>
        </w:rPr>
        <w:t>For an existing NCB charter school, 5</w:t>
      </w:r>
      <w:r w:rsidRPr="00D44713">
        <w:rPr>
          <w:rFonts w:cs="Arial"/>
          <w:i/>
        </w:rPr>
        <w:t xml:space="preserve"> CCR</w:t>
      </w:r>
      <w:r w:rsidRPr="00D44713">
        <w:rPr>
          <w:rFonts w:cs="Arial"/>
        </w:rPr>
        <w:t xml:space="preserve"> Section 11963.6(c) specifies that a determination of funding shall be for a minimum time period of two years and a maximum time period of five years. It is the CDE’s current practice to recommend time periods based on the number of years a charter school has been in operation.</w:t>
      </w:r>
    </w:p>
    <w:p w14:paraId="7B393358" w14:textId="45FEC263" w:rsidR="00BE376D" w:rsidRDefault="005B226A" w:rsidP="005F0AAC">
      <w:pPr>
        <w:spacing w:before="240" w:after="240" w:line="240" w:lineRule="auto"/>
        <w:contextualSpacing w:val="0"/>
        <w:rPr>
          <w:rFonts w:cs="Arial"/>
        </w:rPr>
      </w:pPr>
      <w:r w:rsidRPr="00D44713">
        <w:rPr>
          <w:rFonts w:cs="Arial"/>
        </w:rPr>
        <w:t xml:space="preserve">In the past, the CDE recommended five-year periods dependent on a charter school’s Academic Performance Index (API) rank, pursuant to </w:t>
      </w:r>
      <w:r w:rsidRPr="00D44713">
        <w:rPr>
          <w:rFonts w:cs="Arial"/>
          <w:i/>
        </w:rPr>
        <w:t>EC</w:t>
      </w:r>
      <w:r w:rsidRPr="00D44713">
        <w:rPr>
          <w:rFonts w:cs="Arial"/>
        </w:rPr>
        <w:t xml:space="preserve"> Section 47612.5(d)(2); however, because API is no longer calculated, the CDE does not currently recommend five-year funding determination periods.</w:t>
      </w:r>
    </w:p>
    <w:p w14:paraId="59742B9A" w14:textId="1A8C5775" w:rsidR="00924290" w:rsidRDefault="00924290" w:rsidP="005F0AAC">
      <w:pPr>
        <w:spacing w:before="240" w:after="240" w:line="240" w:lineRule="auto"/>
        <w:contextualSpacing w:val="0"/>
        <w:rPr>
          <w:rFonts w:cs="Arial"/>
        </w:rPr>
      </w:pPr>
      <w:r>
        <w:rPr>
          <w:rFonts w:cs="Arial"/>
        </w:rPr>
        <w:t xml:space="preserve">The CDE notes that </w:t>
      </w:r>
      <w:r w:rsidR="0018494B">
        <w:rPr>
          <w:rFonts w:cs="Arial"/>
        </w:rPr>
        <w:t>no</w:t>
      </w:r>
      <w:r>
        <w:rPr>
          <w:rFonts w:cs="Arial"/>
        </w:rPr>
        <w:t xml:space="preserve"> </w:t>
      </w:r>
      <w:r w:rsidR="00E8263A">
        <w:rPr>
          <w:rFonts w:cs="Arial"/>
        </w:rPr>
        <w:t xml:space="preserve">charter </w:t>
      </w:r>
      <w:r>
        <w:rPr>
          <w:rFonts w:cs="Arial"/>
        </w:rPr>
        <w:t>schools were required to report ADA</w:t>
      </w:r>
      <w:r w:rsidR="0018494B">
        <w:rPr>
          <w:rFonts w:cs="Arial"/>
        </w:rPr>
        <w:t xml:space="preserve"> to the CDE</w:t>
      </w:r>
      <w:r>
        <w:rPr>
          <w:rFonts w:cs="Arial"/>
        </w:rPr>
        <w:t xml:space="preserve"> for FY 2020–21</w:t>
      </w:r>
      <w:r w:rsidR="00B30148">
        <w:rPr>
          <w:rFonts w:cs="Arial"/>
        </w:rPr>
        <w:t>.</w:t>
      </w:r>
      <w:r w:rsidR="0018494B">
        <w:rPr>
          <w:rFonts w:cs="Arial"/>
        </w:rPr>
        <w:t xml:space="preserve"> </w:t>
      </w:r>
      <w:r w:rsidR="00B30148">
        <w:rPr>
          <w:rFonts w:cs="Arial"/>
        </w:rPr>
        <w:t xml:space="preserve">Pursuant to </w:t>
      </w:r>
      <w:r w:rsidR="00B30148">
        <w:rPr>
          <w:rFonts w:cs="Arial"/>
          <w:i/>
        </w:rPr>
        <w:t xml:space="preserve">EC </w:t>
      </w:r>
      <w:r w:rsidR="00B30148">
        <w:rPr>
          <w:rFonts w:cs="Arial"/>
        </w:rPr>
        <w:t>Section 43505(a)(1), c</w:t>
      </w:r>
      <w:r w:rsidR="0018494B">
        <w:rPr>
          <w:rFonts w:cs="Arial"/>
        </w:rPr>
        <w:t>harter schools that began operations</w:t>
      </w:r>
      <w:r>
        <w:rPr>
          <w:rFonts w:cs="Arial"/>
        </w:rPr>
        <w:t xml:space="preserve"> </w:t>
      </w:r>
      <w:r w:rsidR="0018494B">
        <w:rPr>
          <w:rFonts w:cs="Arial"/>
        </w:rPr>
        <w:t xml:space="preserve">in FY 2020–21 received funding based on a proxy </w:t>
      </w:r>
      <w:r w:rsidR="00A02239">
        <w:rPr>
          <w:rFonts w:cs="Arial"/>
        </w:rPr>
        <w:t>ADA</w:t>
      </w:r>
      <w:r w:rsidR="0018494B">
        <w:rPr>
          <w:rFonts w:cs="Arial"/>
        </w:rPr>
        <w:t xml:space="preserve"> calculated using </w:t>
      </w:r>
      <w:r w:rsidR="0018494B" w:rsidRPr="0018494B">
        <w:rPr>
          <w:rFonts w:cs="Arial"/>
        </w:rPr>
        <w:t>California Longitudinal Pupil Achievement Data System</w:t>
      </w:r>
      <w:r w:rsidR="0018494B">
        <w:rPr>
          <w:rFonts w:cs="Arial"/>
        </w:rPr>
        <w:t xml:space="preserve"> enrollment data, which is not reflected in the funding determination form.</w:t>
      </w:r>
    </w:p>
    <w:bookmarkEnd w:id="1"/>
    <w:p w14:paraId="7F4E3621" w14:textId="54D37258" w:rsidR="008F7BC4" w:rsidRPr="001B3958" w:rsidRDefault="00BC41D2" w:rsidP="00E94E5E">
      <w:pPr>
        <w:pStyle w:val="Heading2"/>
      </w:pPr>
      <w:r>
        <w:t>Attachment</w:t>
      </w:r>
      <w:r w:rsidR="007B271A">
        <w:t>s</w:t>
      </w:r>
    </w:p>
    <w:p w14:paraId="767F9CED" w14:textId="1B0DA73C" w:rsidR="008F7BC4" w:rsidRPr="00EA09AC" w:rsidRDefault="008F7BC4" w:rsidP="005878F1">
      <w:pPr>
        <w:pStyle w:val="ListParagraph"/>
        <w:numPr>
          <w:ilvl w:val="0"/>
          <w:numId w:val="12"/>
        </w:numPr>
        <w:spacing w:before="0" w:after="240" w:line="240" w:lineRule="auto"/>
        <w:contextualSpacing w:val="0"/>
      </w:pPr>
      <w:r w:rsidRPr="00E81F6E">
        <w:rPr>
          <w:b/>
        </w:rPr>
        <w:t>Attachment 1:</w:t>
      </w:r>
      <w:r w:rsidRPr="006E28C7">
        <w:t xml:space="preserve"> Proposed Determination of Funding Recommendation</w:t>
      </w:r>
      <w:r w:rsidR="00510736">
        <w:t xml:space="preserve"> for</w:t>
      </w:r>
      <w:r w:rsidR="00551D51">
        <w:t xml:space="preserve"> </w:t>
      </w:r>
      <w:r w:rsidR="00A25D56">
        <w:t xml:space="preserve">a </w:t>
      </w:r>
      <w:r w:rsidRPr="00EA09AC">
        <w:t>Nonclassroom-</w:t>
      </w:r>
      <w:r w:rsidR="00DC2D10" w:rsidRPr="00EA09AC">
        <w:t>B</w:t>
      </w:r>
      <w:r w:rsidRPr="00EA09AC">
        <w:t>ased Charter School (</w:t>
      </w:r>
      <w:r w:rsidR="0052741C" w:rsidRPr="00EA09AC">
        <w:t>1</w:t>
      </w:r>
      <w:r w:rsidRPr="00EA09AC">
        <w:t xml:space="preserve"> Page)</w:t>
      </w:r>
    </w:p>
    <w:p w14:paraId="792B49FD" w14:textId="036FC471" w:rsidR="005444B7" w:rsidRDefault="008515E6" w:rsidP="00AE6E20">
      <w:pPr>
        <w:pStyle w:val="ListParagraph"/>
        <w:numPr>
          <w:ilvl w:val="0"/>
          <w:numId w:val="12"/>
        </w:numPr>
        <w:spacing w:before="0" w:after="240" w:line="240" w:lineRule="auto"/>
        <w:contextualSpacing w:val="0"/>
      </w:pPr>
      <w:r w:rsidRPr="00EA09AC">
        <w:rPr>
          <w:b/>
        </w:rPr>
        <w:t>Attachment 2:</w:t>
      </w:r>
      <w:r w:rsidRPr="00EA09AC">
        <w:t xml:space="preserve"> Determination of Funding Request for </w:t>
      </w:r>
      <w:r w:rsidR="004F2971">
        <w:t>Open Door</w:t>
      </w:r>
      <w:r w:rsidR="00A7489B">
        <w:t xml:space="preserve"> Charter</w:t>
      </w:r>
      <w:r w:rsidRPr="00EA09AC">
        <w:t xml:space="preserve">, </w:t>
      </w:r>
      <w:r w:rsidR="00F51380" w:rsidRPr="00EA09AC">
        <w:t>C</w:t>
      </w:r>
      <w:r w:rsidRPr="00EA09AC">
        <w:t>harter #</w:t>
      </w:r>
      <w:r w:rsidR="00A7489B">
        <w:t>209</w:t>
      </w:r>
      <w:r w:rsidR="00541BEE">
        <w:t>1</w:t>
      </w:r>
      <w:r w:rsidRPr="00EA09AC">
        <w:t xml:space="preserve"> (9 Pages)</w:t>
      </w:r>
    </w:p>
    <w:p w14:paraId="5DED40E4" w14:textId="4BF01B87" w:rsidR="00A7489B" w:rsidRPr="00EA09AC" w:rsidRDefault="00A7489B" w:rsidP="00A7489B">
      <w:pPr>
        <w:pStyle w:val="ListParagraph"/>
        <w:numPr>
          <w:ilvl w:val="0"/>
          <w:numId w:val="12"/>
        </w:numPr>
        <w:spacing w:before="0" w:after="240" w:line="240" w:lineRule="auto"/>
        <w:contextualSpacing w:val="0"/>
      </w:pPr>
      <w:r w:rsidRPr="00EA09AC">
        <w:rPr>
          <w:b/>
        </w:rPr>
        <w:t xml:space="preserve">Attachment </w:t>
      </w:r>
      <w:r>
        <w:rPr>
          <w:b/>
        </w:rPr>
        <w:t>3</w:t>
      </w:r>
      <w:r w:rsidRPr="00EA09AC">
        <w:rPr>
          <w:b/>
        </w:rPr>
        <w:t>:</w:t>
      </w:r>
      <w:r w:rsidRPr="00EA09AC">
        <w:t xml:space="preserve"> Determination of Funding Request for </w:t>
      </w:r>
      <w:r w:rsidR="004F2971">
        <w:t xml:space="preserve">Tracy Independent Study </w:t>
      </w:r>
      <w:r>
        <w:t>Charter</w:t>
      </w:r>
      <w:r w:rsidRPr="00EA09AC">
        <w:t>, Charter #</w:t>
      </w:r>
      <w:r>
        <w:t>209</w:t>
      </w:r>
      <w:r w:rsidR="00541BEE">
        <w:t>0</w:t>
      </w:r>
      <w:r w:rsidRPr="00EA09AC">
        <w:t xml:space="preserve"> (9 Pages)</w:t>
      </w:r>
    </w:p>
    <w:sectPr w:rsidR="00A7489B" w:rsidRPr="00EA09AC" w:rsidSect="00FF0480">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9057" w14:textId="77777777" w:rsidR="00C000F4" w:rsidRDefault="00C000F4" w:rsidP="000E09DC">
      <w:r>
        <w:separator/>
      </w:r>
    </w:p>
  </w:endnote>
  <w:endnote w:type="continuationSeparator" w:id="0">
    <w:p w14:paraId="08F28B3F" w14:textId="77777777" w:rsidR="00C000F4" w:rsidRDefault="00C000F4"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0E837" w14:textId="77777777" w:rsidR="00C000F4" w:rsidRDefault="00C000F4" w:rsidP="000E09DC">
      <w:r>
        <w:separator/>
      </w:r>
    </w:p>
  </w:footnote>
  <w:footnote w:type="continuationSeparator" w:id="0">
    <w:p w14:paraId="49AD3089" w14:textId="77777777" w:rsidR="00C000F4" w:rsidRDefault="00C000F4"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3038" w14:textId="547F58F1" w:rsidR="00ED6047" w:rsidRPr="002D6EC8" w:rsidRDefault="00ED6047" w:rsidP="00BA695B">
    <w:pPr>
      <w:spacing w:after="0"/>
      <w:contextualSpacing w:val="0"/>
      <w:jc w:val="right"/>
    </w:pPr>
    <w:r w:rsidRPr="00780B44">
      <w:rPr>
        <w:rFonts w:cs="Arial"/>
      </w:rPr>
      <w:t>accs-</w:t>
    </w:r>
    <w:r w:rsidR="002E216A">
      <w:rPr>
        <w:rFonts w:cs="Arial"/>
      </w:rPr>
      <w:t>oct</w:t>
    </w:r>
    <w:r w:rsidR="004E2ADC">
      <w:rPr>
        <w:rFonts w:cs="Arial"/>
      </w:rPr>
      <w:t>21</w:t>
    </w:r>
    <w:r w:rsidRPr="00780B44">
      <w:rPr>
        <w:rFonts w:cs="Arial"/>
      </w:rPr>
      <w:t>item0</w:t>
    </w:r>
    <w:r w:rsidR="00263A48">
      <w:rPr>
        <w:rFonts w:cs="Arial"/>
      </w:rPr>
      <w:t>1</w:t>
    </w:r>
  </w:p>
  <w:p w14:paraId="75409F1F" w14:textId="77777777" w:rsidR="00ED6047" w:rsidRDefault="00ED6047" w:rsidP="00BA695B">
    <w:pPr>
      <w:pStyle w:val="Header"/>
      <w:spacing w:before="0" w:after="240"/>
      <w:contextualSpacing w:val="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453349">
    <w:abstractNumId w:val="4"/>
  </w:num>
  <w:num w:numId="2" w16cid:durableId="965815008">
    <w:abstractNumId w:val="12"/>
  </w:num>
  <w:num w:numId="3" w16cid:durableId="561602206">
    <w:abstractNumId w:val="2"/>
  </w:num>
  <w:num w:numId="4" w16cid:durableId="1629164567">
    <w:abstractNumId w:val="8"/>
  </w:num>
  <w:num w:numId="5" w16cid:durableId="1945529795">
    <w:abstractNumId w:val="9"/>
  </w:num>
  <w:num w:numId="6" w16cid:durableId="190846997">
    <w:abstractNumId w:val="1"/>
  </w:num>
  <w:num w:numId="7" w16cid:durableId="597443338">
    <w:abstractNumId w:val="3"/>
  </w:num>
  <w:num w:numId="8" w16cid:durableId="1248152522">
    <w:abstractNumId w:val="5"/>
  </w:num>
  <w:num w:numId="9" w16cid:durableId="1896820561">
    <w:abstractNumId w:val="6"/>
  </w:num>
  <w:num w:numId="10" w16cid:durableId="1819372938">
    <w:abstractNumId w:val="14"/>
  </w:num>
  <w:num w:numId="11" w16cid:durableId="271403156">
    <w:abstractNumId w:val="0"/>
  </w:num>
  <w:num w:numId="12" w16cid:durableId="14580784">
    <w:abstractNumId w:val="11"/>
  </w:num>
  <w:num w:numId="13" w16cid:durableId="399598414">
    <w:abstractNumId w:val="7"/>
  </w:num>
  <w:num w:numId="14" w16cid:durableId="1146700308">
    <w:abstractNumId w:val="10"/>
  </w:num>
  <w:num w:numId="15" w16cid:durableId="13806633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78D8"/>
    <w:rsid w:val="000158DF"/>
    <w:rsid w:val="00015BB5"/>
    <w:rsid w:val="00024458"/>
    <w:rsid w:val="00024BC9"/>
    <w:rsid w:val="00025553"/>
    <w:rsid w:val="000321AE"/>
    <w:rsid w:val="000324AD"/>
    <w:rsid w:val="000471CA"/>
    <w:rsid w:val="00047C0E"/>
    <w:rsid w:val="00050515"/>
    <w:rsid w:val="00062D56"/>
    <w:rsid w:val="000739CA"/>
    <w:rsid w:val="00073CF7"/>
    <w:rsid w:val="0007597D"/>
    <w:rsid w:val="00076054"/>
    <w:rsid w:val="000802E2"/>
    <w:rsid w:val="00081E94"/>
    <w:rsid w:val="00082A65"/>
    <w:rsid w:val="000877BE"/>
    <w:rsid w:val="00087A22"/>
    <w:rsid w:val="00091CDC"/>
    <w:rsid w:val="000928B7"/>
    <w:rsid w:val="00092FF8"/>
    <w:rsid w:val="000951F6"/>
    <w:rsid w:val="000A21F0"/>
    <w:rsid w:val="000A5399"/>
    <w:rsid w:val="000A67A1"/>
    <w:rsid w:val="000A69F7"/>
    <w:rsid w:val="000B5957"/>
    <w:rsid w:val="000C1BBE"/>
    <w:rsid w:val="000C5AE0"/>
    <w:rsid w:val="000D5F5E"/>
    <w:rsid w:val="000E09DC"/>
    <w:rsid w:val="000E3913"/>
    <w:rsid w:val="000F0942"/>
    <w:rsid w:val="000F2AE4"/>
    <w:rsid w:val="000F3CED"/>
    <w:rsid w:val="00100430"/>
    <w:rsid w:val="0010269E"/>
    <w:rsid w:val="00104466"/>
    <w:rsid w:val="001048F3"/>
    <w:rsid w:val="0010793A"/>
    <w:rsid w:val="0011073C"/>
    <w:rsid w:val="001112C1"/>
    <w:rsid w:val="001115F5"/>
    <w:rsid w:val="00111ABD"/>
    <w:rsid w:val="001130DE"/>
    <w:rsid w:val="0011362F"/>
    <w:rsid w:val="0011561F"/>
    <w:rsid w:val="00120906"/>
    <w:rsid w:val="00121659"/>
    <w:rsid w:val="0012261E"/>
    <w:rsid w:val="00124D2D"/>
    <w:rsid w:val="0012534F"/>
    <w:rsid w:val="00130059"/>
    <w:rsid w:val="0013142F"/>
    <w:rsid w:val="00134328"/>
    <w:rsid w:val="00144B53"/>
    <w:rsid w:val="001466ED"/>
    <w:rsid w:val="001517CB"/>
    <w:rsid w:val="0016380B"/>
    <w:rsid w:val="00174C93"/>
    <w:rsid w:val="00177405"/>
    <w:rsid w:val="0018148D"/>
    <w:rsid w:val="0018298E"/>
    <w:rsid w:val="0018494B"/>
    <w:rsid w:val="00186990"/>
    <w:rsid w:val="00186DCB"/>
    <w:rsid w:val="00187317"/>
    <w:rsid w:val="001947B1"/>
    <w:rsid w:val="001A0AEA"/>
    <w:rsid w:val="001A0CA5"/>
    <w:rsid w:val="001A1352"/>
    <w:rsid w:val="001A492E"/>
    <w:rsid w:val="001B127C"/>
    <w:rsid w:val="001B1A02"/>
    <w:rsid w:val="001B3958"/>
    <w:rsid w:val="001C3D3B"/>
    <w:rsid w:val="001C723E"/>
    <w:rsid w:val="001D4978"/>
    <w:rsid w:val="001D7FAC"/>
    <w:rsid w:val="001E0FE8"/>
    <w:rsid w:val="001E1929"/>
    <w:rsid w:val="001E2A2F"/>
    <w:rsid w:val="001E3B8E"/>
    <w:rsid w:val="001E5813"/>
    <w:rsid w:val="001F1ACD"/>
    <w:rsid w:val="001F1FD5"/>
    <w:rsid w:val="001F4C31"/>
    <w:rsid w:val="001F7D78"/>
    <w:rsid w:val="00200D9F"/>
    <w:rsid w:val="00202C44"/>
    <w:rsid w:val="00203C3F"/>
    <w:rsid w:val="002060E7"/>
    <w:rsid w:val="00211E16"/>
    <w:rsid w:val="002174CC"/>
    <w:rsid w:val="00223112"/>
    <w:rsid w:val="002271A7"/>
    <w:rsid w:val="00230910"/>
    <w:rsid w:val="00240622"/>
    <w:rsid w:val="00240B26"/>
    <w:rsid w:val="00251CDA"/>
    <w:rsid w:val="00252C96"/>
    <w:rsid w:val="00261B72"/>
    <w:rsid w:val="002631D5"/>
    <w:rsid w:val="00263A48"/>
    <w:rsid w:val="00270D4D"/>
    <w:rsid w:val="00272B4F"/>
    <w:rsid w:val="00285BE7"/>
    <w:rsid w:val="00291AB7"/>
    <w:rsid w:val="0029513D"/>
    <w:rsid w:val="002A263F"/>
    <w:rsid w:val="002A35EB"/>
    <w:rsid w:val="002B2176"/>
    <w:rsid w:val="002B4B14"/>
    <w:rsid w:val="002C71F2"/>
    <w:rsid w:val="002C7705"/>
    <w:rsid w:val="002D1A82"/>
    <w:rsid w:val="002D49FB"/>
    <w:rsid w:val="002D6EC8"/>
    <w:rsid w:val="002E216A"/>
    <w:rsid w:val="002E4CB5"/>
    <w:rsid w:val="002E52C1"/>
    <w:rsid w:val="002E6FCA"/>
    <w:rsid w:val="002F279B"/>
    <w:rsid w:val="002F7D01"/>
    <w:rsid w:val="003005BC"/>
    <w:rsid w:val="00312309"/>
    <w:rsid w:val="00315131"/>
    <w:rsid w:val="0031775D"/>
    <w:rsid w:val="00317B34"/>
    <w:rsid w:val="00320FA9"/>
    <w:rsid w:val="00321613"/>
    <w:rsid w:val="0032296D"/>
    <w:rsid w:val="00323F65"/>
    <w:rsid w:val="00337321"/>
    <w:rsid w:val="003453FB"/>
    <w:rsid w:val="00351B8D"/>
    <w:rsid w:val="003533D1"/>
    <w:rsid w:val="003546A4"/>
    <w:rsid w:val="003623A8"/>
    <w:rsid w:val="00363520"/>
    <w:rsid w:val="00364CB8"/>
    <w:rsid w:val="003705FC"/>
    <w:rsid w:val="00371992"/>
    <w:rsid w:val="00374D3F"/>
    <w:rsid w:val="003772A9"/>
    <w:rsid w:val="00377DB5"/>
    <w:rsid w:val="00380371"/>
    <w:rsid w:val="00384ACF"/>
    <w:rsid w:val="00397AC2"/>
    <w:rsid w:val="003A4D7D"/>
    <w:rsid w:val="003B0477"/>
    <w:rsid w:val="003B2F22"/>
    <w:rsid w:val="003B307B"/>
    <w:rsid w:val="003B5617"/>
    <w:rsid w:val="003B5B8E"/>
    <w:rsid w:val="003C103C"/>
    <w:rsid w:val="003D1ECD"/>
    <w:rsid w:val="003D6DB2"/>
    <w:rsid w:val="003E1E8D"/>
    <w:rsid w:val="003E1F44"/>
    <w:rsid w:val="003E4DF7"/>
    <w:rsid w:val="003E53AD"/>
    <w:rsid w:val="003E581D"/>
    <w:rsid w:val="003E6800"/>
    <w:rsid w:val="003F61DE"/>
    <w:rsid w:val="003F6F98"/>
    <w:rsid w:val="004041BC"/>
    <w:rsid w:val="00406F50"/>
    <w:rsid w:val="00407AA4"/>
    <w:rsid w:val="00407E9B"/>
    <w:rsid w:val="00413525"/>
    <w:rsid w:val="0041467B"/>
    <w:rsid w:val="00417CF6"/>
    <w:rsid w:val="004203BC"/>
    <w:rsid w:val="004248D0"/>
    <w:rsid w:val="0042654E"/>
    <w:rsid w:val="00430094"/>
    <w:rsid w:val="00432357"/>
    <w:rsid w:val="00443642"/>
    <w:rsid w:val="0044368B"/>
    <w:rsid w:val="00443B1F"/>
    <w:rsid w:val="0044659F"/>
    <w:rsid w:val="0044670C"/>
    <w:rsid w:val="00450C7F"/>
    <w:rsid w:val="00450E5F"/>
    <w:rsid w:val="00462A53"/>
    <w:rsid w:val="00463CAE"/>
    <w:rsid w:val="0046519F"/>
    <w:rsid w:val="0047534A"/>
    <w:rsid w:val="004778BB"/>
    <w:rsid w:val="004903FA"/>
    <w:rsid w:val="00492F24"/>
    <w:rsid w:val="004947BC"/>
    <w:rsid w:val="004B3907"/>
    <w:rsid w:val="004B605A"/>
    <w:rsid w:val="004C1016"/>
    <w:rsid w:val="004D1B6B"/>
    <w:rsid w:val="004D77E0"/>
    <w:rsid w:val="004D7E48"/>
    <w:rsid w:val="004E029B"/>
    <w:rsid w:val="004E2ADC"/>
    <w:rsid w:val="004E3ACE"/>
    <w:rsid w:val="004F03D0"/>
    <w:rsid w:val="004F1692"/>
    <w:rsid w:val="004F1B26"/>
    <w:rsid w:val="004F2971"/>
    <w:rsid w:val="004F4157"/>
    <w:rsid w:val="004F63BC"/>
    <w:rsid w:val="00510736"/>
    <w:rsid w:val="00512D1B"/>
    <w:rsid w:val="005156AF"/>
    <w:rsid w:val="00517C00"/>
    <w:rsid w:val="00525A90"/>
    <w:rsid w:val="0052741C"/>
    <w:rsid w:val="00527B0E"/>
    <w:rsid w:val="005321D5"/>
    <w:rsid w:val="00532DAA"/>
    <w:rsid w:val="005350B0"/>
    <w:rsid w:val="00536715"/>
    <w:rsid w:val="00536910"/>
    <w:rsid w:val="0054059F"/>
    <w:rsid w:val="00541BEE"/>
    <w:rsid w:val="00543170"/>
    <w:rsid w:val="005444B7"/>
    <w:rsid w:val="00546DFA"/>
    <w:rsid w:val="00550A90"/>
    <w:rsid w:val="00551D51"/>
    <w:rsid w:val="0055266E"/>
    <w:rsid w:val="00553EA1"/>
    <w:rsid w:val="0055453B"/>
    <w:rsid w:val="005606EE"/>
    <w:rsid w:val="005623C2"/>
    <w:rsid w:val="00570BF9"/>
    <w:rsid w:val="005713E5"/>
    <w:rsid w:val="00573D57"/>
    <w:rsid w:val="00577182"/>
    <w:rsid w:val="005878F1"/>
    <w:rsid w:val="005A2FEC"/>
    <w:rsid w:val="005A3BE4"/>
    <w:rsid w:val="005B226A"/>
    <w:rsid w:val="005B3376"/>
    <w:rsid w:val="005C5755"/>
    <w:rsid w:val="005C66DD"/>
    <w:rsid w:val="005D026E"/>
    <w:rsid w:val="005D15C4"/>
    <w:rsid w:val="005D2491"/>
    <w:rsid w:val="005D316B"/>
    <w:rsid w:val="005D4001"/>
    <w:rsid w:val="005D401E"/>
    <w:rsid w:val="005D630D"/>
    <w:rsid w:val="005E703F"/>
    <w:rsid w:val="005F0AAC"/>
    <w:rsid w:val="005F5512"/>
    <w:rsid w:val="005F5A8D"/>
    <w:rsid w:val="005F798C"/>
    <w:rsid w:val="00600FDE"/>
    <w:rsid w:val="00601159"/>
    <w:rsid w:val="00604A25"/>
    <w:rsid w:val="0060666A"/>
    <w:rsid w:val="00607345"/>
    <w:rsid w:val="00611E7A"/>
    <w:rsid w:val="00613E5A"/>
    <w:rsid w:val="00613E69"/>
    <w:rsid w:val="00615654"/>
    <w:rsid w:val="00616AB5"/>
    <w:rsid w:val="00622569"/>
    <w:rsid w:val="00624CCA"/>
    <w:rsid w:val="00626545"/>
    <w:rsid w:val="00630A9D"/>
    <w:rsid w:val="00635042"/>
    <w:rsid w:val="0064329F"/>
    <w:rsid w:val="0064373F"/>
    <w:rsid w:val="006508E0"/>
    <w:rsid w:val="00653939"/>
    <w:rsid w:val="00653F15"/>
    <w:rsid w:val="00655299"/>
    <w:rsid w:val="00656222"/>
    <w:rsid w:val="006576AD"/>
    <w:rsid w:val="006738BA"/>
    <w:rsid w:val="00674E6D"/>
    <w:rsid w:val="00676B70"/>
    <w:rsid w:val="006860C8"/>
    <w:rsid w:val="00687809"/>
    <w:rsid w:val="00690FD1"/>
    <w:rsid w:val="00692300"/>
    <w:rsid w:val="00693519"/>
    <w:rsid w:val="00693951"/>
    <w:rsid w:val="006A1DB0"/>
    <w:rsid w:val="006A2812"/>
    <w:rsid w:val="006A5802"/>
    <w:rsid w:val="006A63C6"/>
    <w:rsid w:val="006B1750"/>
    <w:rsid w:val="006B18B4"/>
    <w:rsid w:val="006B1F91"/>
    <w:rsid w:val="006B2111"/>
    <w:rsid w:val="006B2149"/>
    <w:rsid w:val="006B68B0"/>
    <w:rsid w:val="006C4282"/>
    <w:rsid w:val="006D0223"/>
    <w:rsid w:val="006D1849"/>
    <w:rsid w:val="006D41C6"/>
    <w:rsid w:val="006D6FC6"/>
    <w:rsid w:val="006E06C6"/>
    <w:rsid w:val="006E547B"/>
    <w:rsid w:val="006F1AB1"/>
    <w:rsid w:val="006F740B"/>
    <w:rsid w:val="006F797A"/>
    <w:rsid w:val="00700676"/>
    <w:rsid w:val="00702AB1"/>
    <w:rsid w:val="00710C96"/>
    <w:rsid w:val="00713E5C"/>
    <w:rsid w:val="007224CC"/>
    <w:rsid w:val="00726EDA"/>
    <w:rsid w:val="0072734E"/>
    <w:rsid w:val="007313A3"/>
    <w:rsid w:val="00732F3F"/>
    <w:rsid w:val="00733945"/>
    <w:rsid w:val="00733C67"/>
    <w:rsid w:val="007400CB"/>
    <w:rsid w:val="007428B8"/>
    <w:rsid w:val="00746164"/>
    <w:rsid w:val="00746ED5"/>
    <w:rsid w:val="007478FF"/>
    <w:rsid w:val="007514ED"/>
    <w:rsid w:val="0075333A"/>
    <w:rsid w:val="00755493"/>
    <w:rsid w:val="007617EF"/>
    <w:rsid w:val="00762830"/>
    <w:rsid w:val="00764AEB"/>
    <w:rsid w:val="007651B6"/>
    <w:rsid w:val="00772605"/>
    <w:rsid w:val="007747DA"/>
    <w:rsid w:val="00774DAC"/>
    <w:rsid w:val="00775131"/>
    <w:rsid w:val="00780B44"/>
    <w:rsid w:val="00780BB6"/>
    <w:rsid w:val="007913E7"/>
    <w:rsid w:val="007934A1"/>
    <w:rsid w:val="007937C5"/>
    <w:rsid w:val="007A0536"/>
    <w:rsid w:val="007A2A8F"/>
    <w:rsid w:val="007A5826"/>
    <w:rsid w:val="007A7F71"/>
    <w:rsid w:val="007B271A"/>
    <w:rsid w:val="007B7957"/>
    <w:rsid w:val="007C090C"/>
    <w:rsid w:val="007C5697"/>
    <w:rsid w:val="007D56F4"/>
    <w:rsid w:val="007D5DE7"/>
    <w:rsid w:val="007D6A8F"/>
    <w:rsid w:val="007E7B84"/>
    <w:rsid w:val="007F2757"/>
    <w:rsid w:val="00801C86"/>
    <w:rsid w:val="008026B6"/>
    <w:rsid w:val="0080433D"/>
    <w:rsid w:val="00806E78"/>
    <w:rsid w:val="00806F09"/>
    <w:rsid w:val="008143CC"/>
    <w:rsid w:val="008150A1"/>
    <w:rsid w:val="008223B1"/>
    <w:rsid w:val="00822709"/>
    <w:rsid w:val="00823DCC"/>
    <w:rsid w:val="00831752"/>
    <w:rsid w:val="0083556E"/>
    <w:rsid w:val="008455A1"/>
    <w:rsid w:val="00846CA4"/>
    <w:rsid w:val="008515E6"/>
    <w:rsid w:val="008536D2"/>
    <w:rsid w:val="00854DB4"/>
    <w:rsid w:val="0086465D"/>
    <w:rsid w:val="008655E1"/>
    <w:rsid w:val="00865F72"/>
    <w:rsid w:val="0087026E"/>
    <w:rsid w:val="00875C6D"/>
    <w:rsid w:val="00876B82"/>
    <w:rsid w:val="00882FC1"/>
    <w:rsid w:val="00884716"/>
    <w:rsid w:val="00887343"/>
    <w:rsid w:val="008909EE"/>
    <w:rsid w:val="00891054"/>
    <w:rsid w:val="00893F0E"/>
    <w:rsid w:val="00895488"/>
    <w:rsid w:val="008A5EF9"/>
    <w:rsid w:val="008B4D5C"/>
    <w:rsid w:val="008B659F"/>
    <w:rsid w:val="008C0805"/>
    <w:rsid w:val="008C3025"/>
    <w:rsid w:val="008D6FBC"/>
    <w:rsid w:val="008E233F"/>
    <w:rsid w:val="008E2F92"/>
    <w:rsid w:val="008E51BB"/>
    <w:rsid w:val="008F759E"/>
    <w:rsid w:val="008F75E6"/>
    <w:rsid w:val="008F7BC4"/>
    <w:rsid w:val="00900358"/>
    <w:rsid w:val="00903A43"/>
    <w:rsid w:val="00906D8D"/>
    <w:rsid w:val="009073F5"/>
    <w:rsid w:val="0091117B"/>
    <w:rsid w:val="00920525"/>
    <w:rsid w:val="00921421"/>
    <w:rsid w:val="0092172A"/>
    <w:rsid w:val="00924290"/>
    <w:rsid w:val="0092696A"/>
    <w:rsid w:val="009270BF"/>
    <w:rsid w:val="009302B6"/>
    <w:rsid w:val="00931B4D"/>
    <w:rsid w:val="00932529"/>
    <w:rsid w:val="0094608C"/>
    <w:rsid w:val="00972D85"/>
    <w:rsid w:val="00973C53"/>
    <w:rsid w:val="009748A2"/>
    <w:rsid w:val="00980457"/>
    <w:rsid w:val="00980D04"/>
    <w:rsid w:val="009876A4"/>
    <w:rsid w:val="00990AF8"/>
    <w:rsid w:val="0099535D"/>
    <w:rsid w:val="009A046B"/>
    <w:rsid w:val="009A0F9C"/>
    <w:rsid w:val="009A105B"/>
    <w:rsid w:val="009B04E1"/>
    <w:rsid w:val="009B0E75"/>
    <w:rsid w:val="009B6BA1"/>
    <w:rsid w:val="009D5028"/>
    <w:rsid w:val="009D69DA"/>
    <w:rsid w:val="009E1BA2"/>
    <w:rsid w:val="009F3F9D"/>
    <w:rsid w:val="009F7F09"/>
    <w:rsid w:val="00A00545"/>
    <w:rsid w:val="00A02239"/>
    <w:rsid w:val="00A03777"/>
    <w:rsid w:val="00A050CD"/>
    <w:rsid w:val="00A056E5"/>
    <w:rsid w:val="00A07F42"/>
    <w:rsid w:val="00A148BF"/>
    <w:rsid w:val="00A14F7A"/>
    <w:rsid w:val="00A16315"/>
    <w:rsid w:val="00A174A2"/>
    <w:rsid w:val="00A221DC"/>
    <w:rsid w:val="00A25D56"/>
    <w:rsid w:val="00A30B3C"/>
    <w:rsid w:val="00A34A51"/>
    <w:rsid w:val="00A35FCD"/>
    <w:rsid w:val="00A4553C"/>
    <w:rsid w:val="00A51E6F"/>
    <w:rsid w:val="00A538C9"/>
    <w:rsid w:val="00A552D0"/>
    <w:rsid w:val="00A55FA6"/>
    <w:rsid w:val="00A60392"/>
    <w:rsid w:val="00A63C59"/>
    <w:rsid w:val="00A67820"/>
    <w:rsid w:val="00A7011F"/>
    <w:rsid w:val="00A7039F"/>
    <w:rsid w:val="00A74797"/>
    <w:rsid w:val="00A7489B"/>
    <w:rsid w:val="00A7590A"/>
    <w:rsid w:val="00A80ABE"/>
    <w:rsid w:val="00A81CC6"/>
    <w:rsid w:val="00A87AE1"/>
    <w:rsid w:val="00AA171D"/>
    <w:rsid w:val="00AB31FB"/>
    <w:rsid w:val="00AB3E00"/>
    <w:rsid w:val="00AB7362"/>
    <w:rsid w:val="00AC0F7B"/>
    <w:rsid w:val="00AC2F3E"/>
    <w:rsid w:val="00AC335E"/>
    <w:rsid w:val="00AC3695"/>
    <w:rsid w:val="00AC4A29"/>
    <w:rsid w:val="00AC7B4B"/>
    <w:rsid w:val="00AD0ECC"/>
    <w:rsid w:val="00AE6AC7"/>
    <w:rsid w:val="00AE6E20"/>
    <w:rsid w:val="00AF2248"/>
    <w:rsid w:val="00AF563B"/>
    <w:rsid w:val="00AF6963"/>
    <w:rsid w:val="00B10167"/>
    <w:rsid w:val="00B13859"/>
    <w:rsid w:val="00B15EB3"/>
    <w:rsid w:val="00B171A5"/>
    <w:rsid w:val="00B20401"/>
    <w:rsid w:val="00B2173C"/>
    <w:rsid w:val="00B30148"/>
    <w:rsid w:val="00B30CE8"/>
    <w:rsid w:val="00B32155"/>
    <w:rsid w:val="00B40590"/>
    <w:rsid w:val="00B40C0D"/>
    <w:rsid w:val="00B52A34"/>
    <w:rsid w:val="00B5724B"/>
    <w:rsid w:val="00B61629"/>
    <w:rsid w:val="00B63A96"/>
    <w:rsid w:val="00B65DF5"/>
    <w:rsid w:val="00B723BE"/>
    <w:rsid w:val="00B72477"/>
    <w:rsid w:val="00B82705"/>
    <w:rsid w:val="00B85536"/>
    <w:rsid w:val="00B86263"/>
    <w:rsid w:val="00B87D99"/>
    <w:rsid w:val="00B93BC7"/>
    <w:rsid w:val="00B940F3"/>
    <w:rsid w:val="00B97B40"/>
    <w:rsid w:val="00BA2160"/>
    <w:rsid w:val="00BA257A"/>
    <w:rsid w:val="00BA3889"/>
    <w:rsid w:val="00BA3E1A"/>
    <w:rsid w:val="00BA3E40"/>
    <w:rsid w:val="00BA695B"/>
    <w:rsid w:val="00BB0C27"/>
    <w:rsid w:val="00BB2084"/>
    <w:rsid w:val="00BB2AA1"/>
    <w:rsid w:val="00BC0932"/>
    <w:rsid w:val="00BC2EA2"/>
    <w:rsid w:val="00BC41D2"/>
    <w:rsid w:val="00BC4CB0"/>
    <w:rsid w:val="00BD0A6E"/>
    <w:rsid w:val="00BD2F63"/>
    <w:rsid w:val="00BD69BF"/>
    <w:rsid w:val="00BE28F6"/>
    <w:rsid w:val="00BE33AD"/>
    <w:rsid w:val="00BE376D"/>
    <w:rsid w:val="00BE5EC9"/>
    <w:rsid w:val="00BF2DEF"/>
    <w:rsid w:val="00BF2F73"/>
    <w:rsid w:val="00BF3594"/>
    <w:rsid w:val="00BF4981"/>
    <w:rsid w:val="00BF6947"/>
    <w:rsid w:val="00C000F4"/>
    <w:rsid w:val="00C03809"/>
    <w:rsid w:val="00C04E43"/>
    <w:rsid w:val="00C076D2"/>
    <w:rsid w:val="00C07B90"/>
    <w:rsid w:val="00C123C5"/>
    <w:rsid w:val="00C124EE"/>
    <w:rsid w:val="00C136FE"/>
    <w:rsid w:val="00C22E87"/>
    <w:rsid w:val="00C23591"/>
    <w:rsid w:val="00C27D57"/>
    <w:rsid w:val="00C32324"/>
    <w:rsid w:val="00C33D77"/>
    <w:rsid w:val="00C34E8A"/>
    <w:rsid w:val="00C45768"/>
    <w:rsid w:val="00C51EB2"/>
    <w:rsid w:val="00C51F21"/>
    <w:rsid w:val="00C51F95"/>
    <w:rsid w:val="00C52649"/>
    <w:rsid w:val="00C5306B"/>
    <w:rsid w:val="00C556D9"/>
    <w:rsid w:val="00C6467A"/>
    <w:rsid w:val="00C678A7"/>
    <w:rsid w:val="00C80AF2"/>
    <w:rsid w:val="00C81DDA"/>
    <w:rsid w:val="00C82CBA"/>
    <w:rsid w:val="00C91464"/>
    <w:rsid w:val="00C9454F"/>
    <w:rsid w:val="00C952CD"/>
    <w:rsid w:val="00CA279C"/>
    <w:rsid w:val="00CA403F"/>
    <w:rsid w:val="00CA7B2E"/>
    <w:rsid w:val="00CB1157"/>
    <w:rsid w:val="00CB1F2B"/>
    <w:rsid w:val="00CB5B55"/>
    <w:rsid w:val="00CB76D3"/>
    <w:rsid w:val="00CC64F3"/>
    <w:rsid w:val="00CC762F"/>
    <w:rsid w:val="00CD041A"/>
    <w:rsid w:val="00CD4190"/>
    <w:rsid w:val="00CE1C84"/>
    <w:rsid w:val="00CF005B"/>
    <w:rsid w:val="00CF1C86"/>
    <w:rsid w:val="00D01A4B"/>
    <w:rsid w:val="00D04218"/>
    <w:rsid w:val="00D04F26"/>
    <w:rsid w:val="00D063E8"/>
    <w:rsid w:val="00D24358"/>
    <w:rsid w:val="00D321A0"/>
    <w:rsid w:val="00D41AFB"/>
    <w:rsid w:val="00D44713"/>
    <w:rsid w:val="00D46F9E"/>
    <w:rsid w:val="00D47DAB"/>
    <w:rsid w:val="00D5115F"/>
    <w:rsid w:val="00D549A5"/>
    <w:rsid w:val="00D743CB"/>
    <w:rsid w:val="00D7709D"/>
    <w:rsid w:val="00D80890"/>
    <w:rsid w:val="00D81C0F"/>
    <w:rsid w:val="00D821EF"/>
    <w:rsid w:val="00D83B47"/>
    <w:rsid w:val="00D840D9"/>
    <w:rsid w:val="00D8667C"/>
    <w:rsid w:val="00D86AB9"/>
    <w:rsid w:val="00D87D83"/>
    <w:rsid w:val="00DA0371"/>
    <w:rsid w:val="00DA33DB"/>
    <w:rsid w:val="00DA596B"/>
    <w:rsid w:val="00DA5BD6"/>
    <w:rsid w:val="00DB0530"/>
    <w:rsid w:val="00DB3898"/>
    <w:rsid w:val="00DB6378"/>
    <w:rsid w:val="00DC2D10"/>
    <w:rsid w:val="00DC325F"/>
    <w:rsid w:val="00DC3647"/>
    <w:rsid w:val="00DC5D44"/>
    <w:rsid w:val="00DC7140"/>
    <w:rsid w:val="00DD3CAA"/>
    <w:rsid w:val="00DE4A46"/>
    <w:rsid w:val="00DE5F87"/>
    <w:rsid w:val="00DE5FC0"/>
    <w:rsid w:val="00DF4180"/>
    <w:rsid w:val="00DF6F8B"/>
    <w:rsid w:val="00E05555"/>
    <w:rsid w:val="00E06196"/>
    <w:rsid w:val="00E068A8"/>
    <w:rsid w:val="00E26EF7"/>
    <w:rsid w:val="00E32434"/>
    <w:rsid w:val="00E327CC"/>
    <w:rsid w:val="00E40DAF"/>
    <w:rsid w:val="00E47ED1"/>
    <w:rsid w:val="00E60AC3"/>
    <w:rsid w:val="00E617D5"/>
    <w:rsid w:val="00E64E5A"/>
    <w:rsid w:val="00E7119A"/>
    <w:rsid w:val="00E76BDB"/>
    <w:rsid w:val="00E8263A"/>
    <w:rsid w:val="00E84BFE"/>
    <w:rsid w:val="00E93645"/>
    <w:rsid w:val="00E94E5E"/>
    <w:rsid w:val="00E95F8E"/>
    <w:rsid w:val="00EA09AC"/>
    <w:rsid w:val="00EA1CFC"/>
    <w:rsid w:val="00EA4366"/>
    <w:rsid w:val="00EA449E"/>
    <w:rsid w:val="00EA5072"/>
    <w:rsid w:val="00EA7D4F"/>
    <w:rsid w:val="00EB161B"/>
    <w:rsid w:val="00EB16F7"/>
    <w:rsid w:val="00EB3474"/>
    <w:rsid w:val="00EB45AE"/>
    <w:rsid w:val="00EB58A5"/>
    <w:rsid w:val="00EB60E7"/>
    <w:rsid w:val="00EC504C"/>
    <w:rsid w:val="00EC6441"/>
    <w:rsid w:val="00EC68B5"/>
    <w:rsid w:val="00ED3384"/>
    <w:rsid w:val="00ED3BB7"/>
    <w:rsid w:val="00ED44CA"/>
    <w:rsid w:val="00ED6047"/>
    <w:rsid w:val="00ED64A6"/>
    <w:rsid w:val="00ED652A"/>
    <w:rsid w:val="00ED7F90"/>
    <w:rsid w:val="00EE0C5F"/>
    <w:rsid w:val="00EE111F"/>
    <w:rsid w:val="00EE1E2E"/>
    <w:rsid w:val="00EE2239"/>
    <w:rsid w:val="00EF48D3"/>
    <w:rsid w:val="00EF738A"/>
    <w:rsid w:val="00F1381E"/>
    <w:rsid w:val="00F22078"/>
    <w:rsid w:val="00F33F56"/>
    <w:rsid w:val="00F36C89"/>
    <w:rsid w:val="00F37D5F"/>
    <w:rsid w:val="00F40510"/>
    <w:rsid w:val="00F408AD"/>
    <w:rsid w:val="00F4184C"/>
    <w:rsid w:val="00F46D87"/>
    <w:rsid w:val="00F51380"/>
    <w:rsid w:val="00F53B4A"/>
    <w:rsid w:val="00F6376E"/>
    <w:rsid w:val="00F70DEB"/>
    <w:rsid w:val="00F71A65"/>
    <w:rsid w:val="00F75C30"/>
    <w:rsid w:val="00F76BB3"/>
    <w:rsid w:val="00F77C0B"/>
    <w:rsid w:val="00F90654"/>
    <w:rsid w:val="00F974F0"/>
    <w:rsid w:val="00FA1AB6"/>
    <w:rsid w:val="00FA2014"/>
    <w:rsid w:val="00FA35C6"/>
    <w:rsid w:val="00FA4439"/>
    <w:rsid w:val="00FB0E66"/>
    <w:rsid w:val="00FB12FA"/>
    <w:rsid w:val="00FB216E"/>
    <w:rsid w:val="00FB3113"/>
    <w:rsid w:val="00FB778F"/>
    <w:rsid w:val="00FC1FCE"/>
    <w:rsid w:val="00FC5CEE"/>
    <w:rsid w:val="00FD5AE4"/>
    <w:rsid w:val="00FE1B0F"/>
    <w:rsid w:val="00FE3007"/>
    <w:rsid w:val="00FE4927"/>
    <w:rsid w:val="00FE4BD6"/>
    <w:rsid w:val="00FE75F5"/>
    <w:rsid w:val="00FF0480"/>
    <w:rsid w:val="00FF1AD2"/>
    <w:rsid w:val="00FF277C"/>
    <w:rsid w:val="00FF2E75"/>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4BCCA"/>
  <w15:chartTrackingRefBased/>
  <w15:docId w15:val="{F2939842-14BE-441F-BFAE-07C917C9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87"/>
    <w:pPr>
      <w:spacing w:before="120" w:after="120"/>
      <w:contextualSpacing/>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spacing w:before="240" w:after="240"/>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C04E43"/>
    <w:pPr>
      <w:keepNext/>
      <w:keepLines/>
      <w:spacing w:before="240" w:after="240"/>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510736"/>
    <w:pPr>
      <w:keepNext/>
      <w:keepLines/>
      <w:spacing w:before="100" w:beforeAutospacing="1" w:after="100" w:afterAutospacing="1" w:line="240" w:lineRule="auto"/>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6576AD"/>
    <w:pPr>
      <w:keepNext/>
      <w:keepLines/>
      <w:spacing w:before="240" w:after="2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spacing w:before="240" w:after="240"/>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spacing w:before="240" w:after="240"/>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spacing w:before="240" w:after="2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04E43"/>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510736"/>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6576AD"/>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FC1FCE"/>
    <w:rPr>
      <w:color w:val="0000FF"/>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semiHidden/>
    <w:unhideWhenUsed/>
    <w:rsid w:val="0011561F"/>
    <w:pPr>
      <w:spacing w:line="240" w:lineRule="auto"/>
    </w:pPr>
    <w:rPr>
      <w:sz w:val="20"/>
      <w:szCs w:val="20"/>
    </w:rPr>
  </w:style>
  <w:style w:type="character" w:customStyle="1" w:styleId="CommentTextChar">
    <w:name w:val="Comment Text Char"/>
    <w:basedOn w:val="DefaultParagraphFont"/>
    <w:link w:val="CommentText"/>
    <w:uiPriority w:val="99"/>
    <w:semiHidden/>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e.ca.gov/be/ag/ag/yr21/agenda202107.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438</Words>
  <Characters>6552</Characters>
  <Application>Microsoft Office Word</Application>
  <DocSecurity>0</DocSecurity>
  <Lines>111</Lines>
  <Paragraphs>104</Paragraphs>
  <ScaleCrop>false</ScaleCrop>
  <HeadingPairs>
    <vt:vector size="2" baseType="variant">
      <vt:variant>
        <vt:lpstr>Title</vt:lpstr>
      </vt:variant>
      <vt:variant>
        <vt:i4>1</vt:i4>
      </vt:variant>
    </vt:vector>
  </HeadingPairs>
  <TitlesOfParts>
    <vt:vector size="1" baseType="lpstr">
      <vt:lpstr>October 2021 ACCS Agenda Item 01 - Advisory Commission on Charter Schools (CA State Board of Education)</vt:lpstr>
    </vt:vector>
  </TitlesOfParts>
  <Company>CA Department of Education</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2021 ACCS Agenda Item 01 - Advisory Commission on Charter Schools (CA State Board of Education)</dc:title>
  <dc:subject>Consideration of Retroactive Requests for Determination of Funding as Required for Nonclassroom-Based Charter Schools Pursuant to California EC sections 47612.5 and 47634.2, and Associated CCRs, Title 5.</dc:subject>
  <dc:creator/>
  <cp:keywords/>
  <dc:description/>
  <cp:lastModifiedBy>Shauna Rodriguez</cp:lastModifiedBy>
  <cp:revision>7</cp:revision>
  <cp:lastPrinted>2020-03-16T21:00:00Z</cp:lastPrinted>
  <dcterms:created xsi:type="dcterms:W3CDTF">2021-08-30T15:49:00Z</dcterms:created>
  <dcterms:modified xsi:type="dcterms:W3CDTF">2023-01-11T21:02:00Z</dcterms:modified>
</cp:coreProperties>
</file>