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64FD5" w14:textId="0087B6B0" w:rsidR="00F25CB0" w:rsidRPr="00A17190" w:rsidRDefault="00F25CB0" w:rsidP="1D1ABD05">
      <w:pPr>
        <w:jc w:val="right"/>
        <w:rPr>
          <w:rFonts w:cs="Arial"/>
        </w:rPr>
      </w:pPr>
      <w:r w:rsidRPr="00A17190">
        <w:rPr>
          <w:rFonts w:cs="Arial"/>
        </w:rPr>
        <w:t>California Department of Education</w:t>
      </w:r>
      <w:r w:rsidR="00A34E76">
        <w:br/>
      </w:r>
      <w:r w:rsidRPr="00A17190">
        <w:rPr>
          <w:rFonts w:cs="Arial"/>
        </w:rPr>
        <w:t>Charter Schools Division</w:t>
      </w:r>
      <w:r w:rsidR="00A34E76">
        <w:br/>
      </w:r>
      <w:r w:rsidRPr="00A17190">
        <w:rPr>
          <w:rFonts w:cs="Arial"/>
        </w:rPr>
        <w:t>Revised 5/2018</w:t>
      </w:r>
      <w:r w:rsidR="00A34E76">
        <w:br/>
      </w:r>
      <w:r w:rsidRPr="00A17190">
        <w:rPr>
          <w:rFonts w:cs="Arial"/>
        </w:rPr>
        <w:t>accs-</w:t>
      </w:r>
      <w:r w:rsidR="00BA487A">
        <w:rPr>
          <w:rFonts w:cs="Arial"/>
        </w:rPr>
        <w:t>oct26</w:t>
      </w:r>
      <w:r w:rsidR="00B068F2" w:rsidRPr="00A17190">
        <w:rPr>
          <w:rFonts w:cs="Arial"/>
        </w:rPr>
        <w:t>item</w:t>
      </w:r>
      <w:r w:rsidR="00BA487A">
        <w:rPr>
          <w:rFonts w:cs="Arial"/>
        </w:rPr>
        <w:t>02</w:t>
      </w:r>
    </w:p>
    <w:p w14:paraId="65918C12" w14:textId="77777777" w:rsidR="00F25CB0" w:rsidRPr="00A17190" w:rsidRDefault="00F25CB0" w:rsidP="0020409D">
      <w:pPr>
        <w:jc w:val="center"/>
        <w:rPr>
          <w:b/>
          <w:sz w:val="32"/>
          <w:szCs w:val="32"/>
        </w:rPr>
      </w:pPr>
      <w:r w:rsidRPr="1D1ABD05">
        <w:rPr>
          <w:rStyle w:val="TitleChar"/>
        </w:rPr>
        <w:t>ADVISORY COMMISSION ON CHARTER SCHOOLS</w:t>
      </w:r>
      <w:r w:rsidR="00A34E76">
        <w:br/>
      </w:r>
      <w:r w:rsidRPr="00A17190">
        <w:t>AN ADVISORY BODY TO THE STATE BOARD</w:t>
      </w:r>
      <w:r w:rsidR="00B07B1C" w:rsidRPr="00A17190">
        <w:t xml:space="preserve"> </w:t>
      </w:r>
      <w:r w:rsidRPr="00A17190">
        <w:t>OF EDUCATION</w:t>
      </w:r>
    </w:p>
    <w:p w14:paraId="1BB78BBF" w14:textId="00C6ED16" w:rsidR="00F25CB0" w:rsidRPr="00A17190" w:rsidRDefault="00BA487A" w:rsidP="0020409D">
      <w:pPr>
        <w:pStyle w:val="Heading1"/>
        <w:jc w:val="center"/>
        <w:rPr>
          <w:rFonts w:cs="Arial"/>
          <w:szCs w:val="40"/>
        </w:rPr>
      </w:pPr>
      <w:r>
        <w:rPr>
          <w:rFonts w:cs="Arial"/>
          <w:szCs w:val="40"/>
        </w:rPr>
        <w:t>October 2026</w:t>
      </w:r>
      <w:r w:rsidR="00F25CB0" w:rsidRPr="00A17190">
        <w:rPr>
          <w:rFonts w:cs="Arial"/>
          <w:szCs w:val="40"/>
        </w:rPr>
        <w:t xml:space="preserve"> Agenda</w:t>
      </w:r>
      <w:r w:rsidR="00F25CB0" w:rsidRPr="00A17190">
        <w:rPr>
          <w:rFonts w:cs="Arial"/>
          <w:szCs w:val="40"/>
        </w:rPr>
        <w:br/>
        <w:t>Item #</w:t>
      </w:r>
      <w:r>
        <w:rPr>
          <w:rFonts w:cs="Arial"/>
          <w:szCs w:val="40"/>
        </w:rPr>
        <w:t>02</w:t>
      </w:r>
    </w:p>
    <w:p w14:paraId="6B78E5DE" w14:textId="77777777" w:rsidR="00F25CB0" w:rsidRPr="00A17190" w:rsidRDefault="00F25CB0" w:rsidP="0020409D">
      <w:pPr>
        <w:pStyle w:val="Heading2"/>
        <w:rPr>
          <w:rFonts w:cs="Arial"/>
          <w:i/>
          <w:szCs w:val="36"/>
        </w:rPr>
      </w:pPr>
      <w:bookmarkStart w:id="0" w:name="_Hlk70067050"/>
      <w:r w:rsidRPr="00A17190">
        <w:rPr>
          <w:rFonts w:cs="Arial"/>
          <w:szCs w:val="36"/>
        </w:rPr>
        <w:t>Subject</w:t>
      </w:r>
    </w:p>
    <w:p w14:paraId="18175A6E" w14:textId="7F87588A" w:rsidR="0096074E" w:rsidRPr="00A17190" w:rsidRDefault="000E5D32" w:rsidP="6923EF3B">
      <w:pPr>
        <w:spacing w:before="240" w:line="259" w:lineRule="auto"/>
        <w:rPr>
          <w:rFonts w:eastAsia="TimesNewRoman" w:cs="Arial"/>
        </w:rPr>
      </w:pPr>
      <w:r>
        <w:t xml:space="preserve">Appeal of a County Board of Education's Reversal of a Charter Revocation: Consider Whether the Twin Rivers Unified School District's Revocation of the Charter of </w:t>
      </w:r>
      <w:r w:rsidR="75F8BC99">
        <w:t>Highlands Community Charter School</w:t>
      </w:r>
      <w:r>
        <w:t xml:space="preserve"> Is Supported by Substantial Evidence, Pursuant to California </w:t>
      </w:r>
      <w:r w:rsidRPr="6923EF3B">
        <w:rPr>
          <w:rStyle w:val="Emphasis"/>
        </w:rPr>
        <w:t>Education Code</w:t>
      </w:r>
      <w:r>
        <w:t xml:space="preserve"> Section 47607(</w:t>
      </w:r>
      <w:proofErr w:type="spellStart"/>
      <w:r>
        <w:t>i</w:t>
      </w:r>
      <w:proofErr w:type="spellEnd"/>
      <w:r>
        <w:t>)(4).</w:t>
      </w:r>
    </w:p>
    <w:bookmarkEnd w:id="0"/>
    <w:p w14:paraId="52F4ED46" w14:textId="77777777" w:rsidR="00F25CB0" w:rsidRPr="00A17190" w:rsidRDefault="00F25CB0" w:rsidP="0020409D">
      <w:pPr>
        <w:pStyle w:val="Heading2"/>
      </w:pPr>
      <w:r w:rsidRPr="00A17190">
        <w:t>Type of Action</w:t>
      </w:r>
    </w:p>
    <w:p w14:paraId="193F82EE" w14:textId="5742BDCD" w:rsidR="00F25CB0" w:rsidRPr="00A17190" w:rsidRDefault="00F25CB0" w:rsidP="0020409D">
      <w:pPr>
        <w:spacing w:before="240"/>
      </w:pPr>
      <w:r>
        <w:t>Action, Information</w:t>
      </w:r>
    </w:p>
    <w:p w14:paraId="348E988A" w14:textId="77777777" w:rsidR="00C5541C" w:rsidRPr="00A17190" w:rsidRDefault="00C5541C" w:rsidP="00C5541C">
      <w:pPr>
        <w:pStyle w:val="Heading2"/>
      </w:pPr>
      <w:r w:rsidRPr="00A17190">
        <w:t>Summary of the Issue</w:t>
      </w:r>
    </w:p>
    <w:p w14:paraId="6186125A" w14:textId="4370E7D3" w:rsidR="00914062" w:rsidRDefault="00A17190" w:rsidP="00A17190">
      <w:pPr>
        <w:spacing w:before="240"/>
        <w:rPr>
          <w:rFonts w:cs="Arial"/>
        </w:rPr>
      </w:pPr>
      <w:r w:rsidRPr="6E6273DA">
        <w:rPr>
          <w:rFonts w:cs="Arial"/>
        </w:rPr>
        <w:t xml:space="preserve">Pursuant to California </w:t>
      </w:r>
      <w:r w:rsidRPr="6E6273DA">
        <w:rPr>
          <w:rFonts w:cs="Arial"/>
          <w:i/>
          <w:iCs/>
        </w:rPr>
        <w:t>Education Code</w:t>
      </w:r>
      <w:r w:rsidRPr="6E6273DA">
        <w:rPr>
          <w:rFonts w:cs="Arial"/>
        </w:rPr>
        <w:t xml:space="preserve"> (</w:t>
      </w:r>
      <w:r w:rsidRPr="6E6273DA">
        <w:rPr>
          <w:rFonts w:cs="Arial"/>
          <w:i/>
          <w:iCs/>
        </w:rPr>
        <w:t>EC</w:t>
      </w:r>
      <w:r w:rsidRPr="6E6273DA">
        <w:rPr>
          <w:rFonts w:cs="Arial"/>
        </w:rPr>
        <w:t>) Section 47607(f), a charter may be revoked by the chartering authority upon a showing</w:t>
      </w:r>
      <w:r w:rsidR="00F56357" w:rsidRPr="6E6273DA">
        <w:rPr>
          <w:rFonts w:cs="Arial"/>
        </w:rPr>
        <w:t>, supported by</w:t>
      </w:r>
      <w:r w:rsidRPr="6E6273DA">
        <w:rPr>
          <w:rFonts w:cs="Arial"/>
        </w:rPr>
        <w:t xml:space="preserve"> substantial evidence</w:t>
      </w:r>
      <w:r w:rsidR="00F56357" w:rsidRPr="6E6273DA">
        <w:rPr>
          <w:rFonts w:cs="Arial"/>
        </w:rPr>
        <w:t>,</w:t>
      </w:r>
      <w:r w:rsidRPr="6E6273DA">
        <w:rPr>
          <w:rFonts w:cs="Arial"/>
        </w:rPr>
        <w:t xml:space="preserve"> that the charter school </w:t>
      </w:r>
      <w:r w:rsidR="00914062" w:rsidRPr="6E6273DA">
        <w:rPr>
          <w:rFonts w:cs="Arial"/>
        </w:rPr>
        <w:t>did any of the following:</w:t>
      </w:r>
    </w:p>
    <w:p w14:paraId="6F302051" w14:textId="17ECB5E9" w:rsidR="00277623" w:rsidRDefault="154CE497">
      <w:pPr>
        <w:pStyle w:val="ListParagraph"/>
        <w:numPr>
          <w:ilvl w:val="0"/>
          <w:numId w:val="3"/>
        </w:numPr>
        <w:spacing w:before="240"/>
        <w:rPr>
          <w:rFonts w:cs="Arial"/>
        </w:rPr>
      </w:pPr>
      <w:r w:rsidRPr="1D1ABD05">
        <w:rPr>
          <w:rFonts w:cs="Arial"/>
        </w:rPr>
        <w:t>C</w:t>
      </w:r>
      <w:r w:rsidR="0A51C7A1" w:rsidRPr="1D1ABD05">
        <w:rPr>
          <w:rFonts w:cs="Arial"/>
        </w:rPr>
        <w:t>ommitted</w:t>
      </w:r>
      <w:r w:rsidR="00A17190" w:rsidRPr="00914062">
        <w:rPr>
          <w:rFonts w:cs="Arial"/>
        </w:rPr>
        <w:t xml:space="preserve"> a material violation of any of the conditions, standards, or procedures set forth in the charter;</w:t>
      </w:r>
    </w:p>
    <w:p w14:paraId="5AE2A675" w14:textId="24A646F1" w:rsidR="000818DB" w:rsidRDefault="4D4DD8E4">
      <w:pPr>
        <w:pStyle w:val="ListParagraph"/>
        <w:numPr>
          <w:ilvl w:val="0"/>
          <w:numId w:val="3"/>
        </w:numPr>
        <w:spacing w:before="240"/>
        <w:rPr>
          <w:rFonts w:cs="Arial"/>
        </w:rPr>
      </w:pPr>
      <w:r w:rsidRPr="1D1ABD05">
        <w:rPr>
          <w:rFonts w:cs="Arial"/>
        </w:rPr>
        <w:t>F</w:t>
      </w:r>
      <w:r w:rsidR="0A51C7A1" w:rsidRPr="1D1ABD05">
        <w:rPr>
          <w:rFonts w:cs="Arial"/>
        </w:rPr>
        <w:t>ailed</w:t>
      </w:r>
      <w:r w:rsidR="00A17190" w:rsidRPr="00914062">
        <w:rPr>
          <w:rFonts w:cs="Arial"/>
        </w:rPr>
        <w:t xml:space="preserve"> to meet or pursue any of the </w:t>
      </w:r>
      <w:proofErr w:type="gramStart"/>
      <w:r w:rsidR="00A17190" w:rsidRPr="00914062">
        <w:rPr>
          <w:rFonts w:cs="Arial"/>
        </w:rPr>
        <w:t>pupil</w:t>
      </w:r>
      <w:proofErr w:type="gramEnd"/>
      <w:r w:rsidR="00A17190" w:rsidRPr="00914062">
        <w:rPr>
          <w:rFonts w:cs="Arial"/>
        </w:rPr>
        <w:t xml:space="preserve"> outcomes identified in the charter;</w:t>
      </w:r>
    </w:p>
    <w:p w14:paraId="56DB4E47" w14:textId="656AE3B0" w:rsidR="00DD0DA8" w:rsidRDefault="7491D318">
      <w:pPr>
        <w:pStyle w:val="ListParagraph"/>
        <w:numPr>
          <w:ilvl w:val="0"/>
          <w:numId w:val="3"/>
        </w:numPr>
        <w:spacing w:before="240"/>
        <w:rPr>
          <w:rFonts w:cs="Arial"/>
        </w:rPr>
      </w:pPr>
      <w:r w:rsidRPr="1D1ABD05">
        <w:rPr>
          <w:rFonts w:cs="Arial"/>
        </w:rPr>
        <w:t>F</w:t>
      </w:r>
      <w:r w:rsidR="0A51C7A1" w:rsidRPr="1D1ABD05">
        <w:rPr>
          <w:rFonts w:cs="Arial"/>
        </w:rPr>
        <w:t>ailed</w:t>
      </w:r>
      <w:r w:rsidR="00A17190" w:rsidRPr="00914062">
        <w:rPr>
          <w:rFonts w:cs="Arial"/>
        </w:rPr>
        <w:t xml:space="preserve"> to meet generally accepted accounting principles or engaged in fiscal mismanagement; or </w:t>
      </w:r>
    </w:p>
    <w:p w14:paraId="3B132A42" w14:textId="0FFB22B1" w:rsidR="00DD0DA8" w:rsidRDefault="428FF531">
      <w:pPr>
        <w:pStyle w:val="ListParagraph"/>
        <w:numPr>
          <w:ilvl w:val="0"/>
          <w:numId w:val="3"/>
        </w:numPr>
        <w:spacing w:before="240"/>
        <w:rPr>
          <w:rFonts w:cs="Arial"/>
        </w:rPr>
      </w:pPr>
      <w:r w:rsidRPr="1D1ABD05">
        <w:rPr>
          <w:rFonts w:cs="Arial"/>
        </w:rPr>
        <w:t>V</w:t>
      </w:r>
      <w:r w:rsidR="0A51C7A1" w:rsidRPr="1D1ABD05">
        <w:rPr>
          <w:rFonts w:cs="Arial"/>
        </w:rPr>
        <w:t>iolated</w:t>
      </w:r>
      <w:r w:rsidR="00A17190" w:rsidRPr="00914062">
        <w:rPr>
          <w:rFonts w:cs="Arial"/>
        </w:rPr>
        <w:t xml:space="preserve"> any law. </w:t>
      </w:r>
    </w:p>
    <w:p w14:paraId="125731C7" w14:textId="305E16B8" w:rsidR="00A17190" w:rsidRDefault="00214B13" w:rsidP="00DD0DA8">
      <w:pPr>
        <w:spacing w:before="240"/>
        <w:rPr>
          <w:rFonts w:cs="Arial"/>
        </w:rPr>
      </w:pPr>
      <w:r w:rsidRPr="6E6273DA">
        <w:rPr>
          <w:rFonts w:cs="Arial"/>
        </w:rPr>
        <w:t>Additionally,</w:t>
      </w:r>
      <w:r w:rsidR="00433125" w:rsidRPr="6E6273DA">
        <w:rPr>
          <w:rFonts w:cs="Arial"/>
        </w:rPr>
        <w:t xml:space="preserve"> </w:t>
      </w:r>
      <w:r w:rsidR="00A17190" w:rsidRPr="6E6273DA">
        <w:rPr>
          <w:rFonts w:cs="Arial"/>
          <w:i/>
          <w:iCs/>
        </w:rPr>
        <w:t>EC</w:t>
      </w:r>
      <w:r w:rsidR="00A17190" w:rsidRPr="6E6273DA">
        <w:rPr>
          <w:rFonts w:cs="Arial"/>
        </w:rPr>
        <w:t xml:space="preserve"> Section 47607(h) </w:t>
      </w:r>
      <w:r w:rsidR="00F640CA" w:rsidRPr="6E6273DA">
        <w:rPr>
          <w:rFonts w:cs="Arial"/>
        </w:rPr>
        <w:t xml:space="preserve">requires </w:t>
      </w:r>
      <w:r w:rsidR="00A17190" w:rsidRPr="6E6273DA">
        <w:rPr>
          <w:rFonts w:cs="Arial"/>
        </w:rPr>
        <w:t xml:space="preserve">the chartering authority </w:t>
      </w:r>
      <w:r w:rsidR="00F640CA" w:rsidRPr="6E6273DA">
        <w:rPr>
          <w:rFonts w:cs="Arial"/>
        </w:rPr>
        <w:t xml:space="preserve">to </w:t>
      </w:r>
      <w:r w:rsidR="00A17190" w:rsidRPr="6E6273DA">
        <w:rPr>
          <w:rFonts w:cs="Arial"/>
        </w:rPr>
        <w:t>make written factual findings, supported by substantial evidence and specific to the charter school</w:t>
      </w:r>
      <w:r w:rsidR="00F56357" w:rsidRPr="6E6273DA">
        <w:rPr>
          <w:rFonts w:cs="Arial"/>
        </w:rPr>
        <w:t>, to revoke a charter school</w:t>
      </w:r>
      <w:r w:rsidR="00A17190" w:rsidRPr="6E6273DA">
        <w:rPr>
          <w:rFonts w:cs="Arial"/>
        </w:rPr>
        <w:t>.</w:t>
      </w:r>
    </w:p>
    <w:p w14:paraId="0F1FBB13" w14:textId="501E9505" w:rsidR="00046285" w:rsidRPr="00046285" w:rsidRDefault="148E519F" w:rsidP="643009E0">
      <w:pPr>
        <w:spacing w:before="240" w:line="259" w:lineRule="auto"/>
        <w:rPr>
          <w:rFonts w:cs="Arial"/>
        </w:rPr>
      </w:pPr>
      <w:r w:rsidRPr="4125C88A">
        <w:rPr>
          <w:rFonts w:eastAsia="Arial" w:cs="Arial"/>
        </w:rPr>
        <w:t xml:space="preserve">Highlands Community Charter School (HCCS or Charter School) is a classroom-based charter school </w:t>
      </w:r>
      <w:r w:rsidR="00E54AC3">
        <w:rPr>
          <w:rFonts w:eastAsia="Arial" w:cs="Arial"/>
        </w:rPr>
        <w:t xml:space="preserve">offering instruction exclusively </w:t>
      </w:r>
      <w:r w:rsidRPr="4125C88A">
        <w:rPr>
          <w:rFonts w:eastAsia="Arial" w:cs="Arial"/>
        </w:rPr>
        <w:t>in partnership with federal Workforce Innovation</w:t>
      </w:r>
      <w:r w:rsidR="00E570A2">
        <w:rPr>
          <w:rFonts w:eastAsia="Arial" w:cs="Arial"/>
        </w:rPr>
        <w:t xml:space="preserve"> and Opportunity</w:t>
      </w:r>
      <w:r w:rsidRPr="4125C88A">
        <w:rPr>
          <w:rFonts w:eastAsia="Arial" w:cs="Arial"/>
        </w:rPr>
        <w:t xml:space="preserve"> Act</w:t>
      </w:r>
      <w:r w:rsidR="00E570A2">
        <w:rPr>
          <w:rFonts w:eastAsia="Arial" w:cs="Arial"/>
        </w:rPr>
        <w:t xml:space="preserve"> (WIOA)</w:t>
      </w:r>
      <w:r w:rsidR="00925B6F">
        <w:rPr>
          <w:rFonts w:eastAsia="Arial" w:cs="Arial"/>
        </w:rPr>
        <w:t xml:space="preserve"> </w:t>
      </w:r>
      <w:r w:rsidR="00476E33">
        <w:rPr>
          <w:rFonts w:eastAsia="Arial" w:cs="Arial"/>
        </w:rPr>
        <w:t>programs and serving</w:t>
      </w:r>
      <w:r w:rsidRPr="4125C88A">
        <w:rPr>
          <w:rFonts w:eastAsia="Arial" w:cs="Arial"/>
        </w:rPr>
        <w:t xml:space="preserve"> adults age 22 </w:t>
      </w:r>
      <w:r w:rsidR="0099677D">
        <w:rPr>
          <w:rFonts w:eastAsia="Arial" w:cs="Arial"/>
        </w:rPr>
        <w:t>and above</w:t>
      </w:r>
      <w:r w:rsidRPr="4125C88A">
        <w:rPr>
          <w:rFonts w:eastAsia="Arial" w:cs="Arial"/>
        </w:rPr>
        <w:t xml:space="preserve">. </w:t>
      </w:r>
      <w:r w:rsidR="00046285" w:rsidRPr="00046285">
        <w:rPr>
          <w:rFonts w:cs="Arial"/>
        </w:rPr>
        <w:t xml:space="preserve">Pursuant to </w:t>
      </w:r>
      <w:r w:rsidR="00046285" w:rsidRPr="007F08CD">
        <w:rPr>
          <w:rFonts w:cs="Arial"/>
          <w:i/>
          <w:iCs/>
        </w:rPr>
        <w:t>EC</w:t>
      </w:r>
      <w:r w:rsidR="00046285" w:rsidRPr="00046285">
        <w:rPr>
          <w:rFonts w:cs="Arial"/>
        </w:rPr>
        <w:t xml:space="preserve"> Section 47607</w:t>
      </w:r>
      <w:r w:rsidR="00046285">
        <w:rPr>
          <w:rFonts w:cs="Arial"/>
        </w:rPr>
        <w:t>(</w:t>
      </w:r>
      <w:r w:rsidR="00046285" w:rsidRPr="00046285">
        <w:rPr>
          <w:rFonts w:cs="Arial"/>
        </w:rPr>
        <w:t>g</w:t>
      </w:r>
      <w:r w:rsidR="00046285">
        <w:rPr>
          <w:rFonts w:cs="Arial"/>
        </w:rPr>
        <w:t>)</w:t>
      </w:r>
      <w:r w:rsidR="00046285" w:rsidRPr="00046285">
        <w:rPr>
          <w:rFonts w:cs="Arial"/>
        </w:rPr>
        <w:t xml:space="preserve">, on June 17, 2025, </w:t>
      </w:r>
      <w:r w:rsidR="43237384" w:rsidRPr="4125C88A">
        <w:rPr>
          <w:rFonts w:cs="Arial"/>
        </w:rPr>
        <w:t xml:space="preserve">the </w:t>
      </w:r>
      <w:r w:rsidR="00046285" w:rsidRPr="00046285">
        <w:rPr>
          <w:rFonts w:cs="Arial"/>
        </w:rPr>
        <w:t>governing board</w:t>
      </w:r>
      <w:r w:rsidR="00A234F3">
        <w:rPr>
          <w:rFonts w:cs="Arial"/>
        </w:rPr>
        <w:t xml:space="preserve"> of the Twin Rivers Unified School District (TRUSD)</w:t>
      </w:r>
      <w:r w:rsidR="00046285" w:rsidRPr="00046285">
        <w:rPr>
          <w:rFonts w:cs="Arial"/>
        </w:rPr>
        <w:t xml:space="preserve"> unanimously approved issuance of a Notice of </w:t>
      </w:r>
      <w:r w:rsidR="00046285" w:rsidRPr="00046285">
        <w:rPr>
          <w:rFonts w:cs="Arial"/>
        </w:rPr>
        <w:lastRenderedPageBreak/>
        <w:t>Violation (NOV) to Highlands</w:t>
      </w:r>
      <w:r w:rsidR="007169FF">
        <w:rPr>
          <w:rFonts w:cs="Arial"/>
        </w:rPr>
        <w:t xml:space="preserve"> Community</w:t>
      </w:r>
      <w:r w:rsidR="00263F6E">
        <w:rPr>
          <w:rFonts w:cs="Arial"/>
        </w:rPr>
        <w:t xml:space="preserve"> Charter and Technical Schools (Highlands)</w:t>
      </w:r>
      <w:r w:rsidR="00046285" w:rsidRPr="00046285">
        <w:rPr>
          <w:rFonts w:cs="Arial"/>
        </w:rPr>
        <w:t xml:space="preserve">, </w:t>
      </w:r>
      <w:r w:rsidR="2EB127C1" w:rsidRPr="4125C88A">
        <w:rPr>
          <w:rFonts w:cs="Arial"/>
        </w:rPr>
        <w:t xml:space="preserve">in its capacity </w:t>
      </w:r>
      <w:r w:rsidR="00046285" w:rsidRPr="4125C88A">
        <w:rPr>
          <w:rFonts w:cs="Arial"/>
        </w:rPr>
        <w:t xml:space="preserve">as operator </w:t>
      </w:r>
      <w:r w:rsidR="5F6C8B31" w:rsidRPr="4125C88A">
        <w:rPr>
          <w:rFonts w:cs="Arial"/>
        </w:rPr>
        <w:t>and governing body</w:t>
      </w:r>
      <w:r w:rsidR="00046285" w:rsidRPr="00046285">
        <w:rPr>
          <w:rFonts w:cs="Arial"/>
        </w:rPr>
        <w:t xml:space="preserve"> of</w:t>
      </w:r>
      <w:r w:rsidR="00263F6E">
        <w:rPr>
          <w:rFonts w:cs="Arial"/>
        </w:rPr>
        <w:t xml:space="preserve"> </w:t>
      </w:r>
      <w:r w:rsidR="00046285" w:rsidRPr="00046285">
        <w:rPr>
          <w:rFonts w:cs="Arial"/>
        </w:rPr>
        <w:t>HCCS</w:t>
      </w:r>
      <w:r w:rsidR="08788B39" w:rsidRPr="4125C88A">
        <w:rPr>
          <w:rFonts w:cs="Arial"/>
        </w:rPr>
        <w:t xml:space="preserve"> and </w:t>
      </w:r>
      <w:r w:rsidR="002150B4">
        <w:rPr>
          <w:rFonts w:cs="Arial"/>
        </w:rPr>
        <w:t xml:space="preserve">its sister school, </w:t>
      </w:r>
      <w:r w:rsidR="08788B39" w:rsidRPr="4125C88A">
        <w:rPr>
          <w:rFonts w:cs="Arial"/>
        </w:rPr>
        <w:t>California Innovative Career Academy (CICA</w:t>
      </w:r>
      <w:r w:rsidR="00263F6E">
        <w:rPr>
          <w:rFonts w:cs="Arial"/>
        </w:rPr>
        <w:t>)</w:t>
      </w:r>
      <w:r w:rsidR="00046285" w:rsidRPr="00046285">
        <w:rPr>
          <w:rFonts w:cs="Arial"/>
        </w:rPr>
        <w:t xml:space="preserve">, based on findings that </w:t>
      </w:r>
      <w:r w:rsidR="00F97C98">
        <w:rPr>
          <w:rFonts w:cs="Arial"/>
        </w:rPr>
        <w:t>Highlands</w:t>
      </w:r>
      <w:r w:rsidR="00046285" w:rsidRPr="00046285">
        <w:rPr>
          <w:rFonts w:cs="Arial"/>
        </w:rPr>
        <w:t xml:space="preserve"> had done the following (</w:t>
      </w:r>
      <w:r w:rsidR="643009E0" w:rsidRPr="643009E0">
        <w:rPr>
          <w:rFonts w:cs="Arial"/>
        </w:rPr>
        <w:t>Attachment 3</w:t>
      </w:r>
      <w:r w:rsidR="00046285" w:rsidRPr="00046285">
        <w:rPr>
          <w:rFonts w:cs="Arial"/>
        </w:rPr>
        <w:t xml:space="preserve">, pp. </w:t>
      </w:r>
      <w:r w:rsidR="643009E0" w:rsidRPr="643009E0">
        <w:rPr>
          <w:rFonts w:cs="Arial"/>
        </w:rPr>
        <w:t>1</w:t>
      </w:r>
      <w:r w:rsidR="643009E0" w:rsidRPr="643009E0">
        <w:rPr>
          <w:rFonts w:eastAsia="Arial" w:cs="Arial"/>
          <w:color w:val="242424"/>
        </w:rPr>
        <w:t>–9</w:t>
      </w:r>
      <w:r w:rsidR="00046285" w:rsidRPr="00046285">
        <w:rPr>
          <w:rFonts w:cs="Arial"/>
        </w:rPr>
        <w:t>):</w:t>
      </w:r>
    </w:p>
    <w:p w14:paraId="4F5872FC" w14:textId="1D4AE0BF" w:rsidR="00046285" w:rsidRPr="001D3C7C" w:rsidRDefault="00046285" w:rsidP="007F08CD">
      <w:pPr>
        <w:pStyle w:val="ListParagraph"/>
        <w:numPr>
          <w:ilvl w:val="0"/>
          <w:numId w:val="10"/>
        </w:numPr>
        <w:spacing w:before="240"/>
        <w:rPr>
          <w:rFonts w:cs="Arial"/>
        </w:rPr>
      </w:pPr>
      <w:r w:rsidRPr="001D3C7C">
        <w:rPr>
          <w:rFonts w:cs="Arial"/>
        </w:rPr>
        <w:t xml:space="preserve">Committed a material violation of the conditions, standards, or procedures set forth in its charter </w:t>
      </w:r>
      <w:r w:rsidR="32DE66E9" w:rsidRPr="4125C88A">
        <w:rPr>
          <w:rFonts w:cs="Arial"/>
        </w:rPr>
        <w:t>by offering unauthorized grade levels and operating unauthorized locations</w:t>
      </w:r>
      <w:r w:rsidRPr="4125C88A">
        <w:rPr>
          <w:rFonts w:cs="Arial"/>
        </w:rPr>
        <w:t xml:space="preserve"> </w:t>
      </w:r>
      <w:r w:rsidRPr="001D3C7C">
        <w:rPr>
          <w:rFonts w:cs="Arial"/>
        </w:rPr>
        <w:t>(</w:t>
      </w:r>
      <w:r w:rsidRPr="4125C88A">
        <w:rPr>
          <w:rFonts w:cs="Arial"/>
          <w:i/>
        </w:rPr>
        <w:t xml:space="preserve">EC </w:t>
      </w:r>
      <w:r w:rsidRPr="001D3C7C">
        <w:rPr>
          <w:rFonts w:cs="Arial"/>
        </w:rPr>
        <w:t>Section 47607[f][1]);</w:t>
      </w:r>
    </w:p>
    <w:p w14:paraId="5575DFDF" w14:textId="45E96D65" w:rsidR="001061BC" w:rsidRDefault="001061BC" w:rsidP="007F08CD">
      <w:pPr>
        <w:pStyle w:val="ListParagraph"/>
        <w:numPr>
          <w:ilvl w:val="0"/>
          <w:numId w:val="10"/>
        </w:numPr>
        <w:spacing w:before="240"/>
        <w:rPr>
          <w:rFonts w:cs="Arial"/>
        </w:rPr>
      </w:pPr>
      <w:r w:rsidRPr="001D3C7C">
        <w:rPr>
          <w:rFonts w:cs="Arial"/>
        </w:rPr>
        <w:t xml:space="preserve">Violated the law </w:t>
      </w:r>
      <w:r>
        <w:rPr>
          <w:rFonts w:cs="Arial"/>
        </w:rPr>
        <w:t xml:space="preserve">by </w:t>
      </w:r>
      <w:r w:rsidRPr="4125C88A">
        <w:rPr>
          <w:rFonts w:cs="Arial"/>
        </w:rPr>
        <w:t xml:space="preserve">failing to submit the annual independent audit report, failing to track instruction minutes, and violating the federal WIOA exclusive partnership </w:t>
      </w:r>
      <w:r w:rsidRPr="001D3C7C">
        <w:rPr>
          <w:rFonts w:cs="Arial"/>
        </w:rPr>
        <w:t>(</w:t>
      </w:r>
      <w:r w:rsidRPr="4125C88A">
        <w:rPr>
          <w:rFonts w:cs="Arial"/>
          <w:i/>
        </w:rPr>
        <w:t xml:space="preserve">EC </w:t>
      </w:r>
      <w:r w:rsidRPr="001D3C7C">
        <w:rPr>
          <w:rFonts w:cs="Arial"/>
        </w:rPr>
        <w:t>Section 47607[f][4])</w:t>
      </w:r>
      <w:r>
        <w:rPr>
          <w:rFonts w:cs="Arial"/>
        </w:rPr>
        <w:t>; and</w:t>
      </w:r>
    </w:p>
    <w:p w14:paraId="0F401866" w14:textId="3A31E5DA" w:rsidR="00046285" w:rsidRPr="001D3C7C" w:rsidRDefault="001061BC" w:rsidP="007F08CD">
      <w:pPr>
        <w:pStyle w:val="ListParagraph"/>
        <w:numPr>
          <w:ilvl w:val="0"/>
          <w:numId w:val="10"/>
        </w:numPr>
        <w:spacing w:before="240"/>
        <w:rPr>
          <w:rFonts w:cs="Arial"/>
        </w:rPr>
      </w:pPr>
      <w:r>
        <w:rPr>
          <w:rFonts w:cs="Arial"/>
        </w:rPr>
        <w:t xml:space="preserve">Committed fiscal mismanagement </w:t>
      </w:r>
      <w:r w:rsidRPr="4125C88A">
        <w:rPr>
          <w:rFonts w:cs="Arial"/>
        </w:rPr>
        <w:t>with unauthorized facilit</w:t>
      </w:r>
      <w:r>
        <w:rPr>
          <w:rFonts w:cs="Arial"/>
        </w:rPr>
        <w:t>ies</w:t>
      </w:r>
      <w:r w:rsidRPr="4125C88A">
        <w:rPr>
          <w:rFonts w:cs="Arial"/>
        </w:rPr>
        <w:t xml:space="preserve"> expenditure</w:t>
      </w:r>
      <w:r>
        <w:rPr>
          <w:rFonts w:cs="Arial"/>
        </w:rPr>
        <w:t>s</w:t>
      </w:r>
      <w:r w:rsidRPr="4125C88A">
        <w:rPr>
          <w:rFonts w:cs="Arial"/>
        </w:rPr>
        <w:t xml:space="preserve"> </w:t>
      </w:r>
      <w:r w:rsidR="00046285" w:rsidRPr="4125C88A">
        <w:rPr>
          <w:rFonts w:cs="Arial"/>
        </w:rPr>
        <w:t>(</w:t>
      </w:r>
      <w:r w:rsidR="00046285" w:rsidRPr="4125C88A">
        <w:rPr>
          <w:rFonts w:cs="Arial"/>
          <w:i/>
          <w:iCs/>
        </w:rPr>
        <w:t xml:space="preserve">EC </w:t>
      </w:r>
      <w:r w:rsidR="00046285" w:rsidRPr="4125C88A">
        <w:rPr>
          <w:rFonts w:cs="Arial"/>
        </w:rPr>
        <w:t>Section 47607[f][3])</w:t>
      </w:r>
      <w:r>
        <w:rPr>
          <w:rFonts w:cs="Arial"/>
        </w:rPr>
        <w:t>.</w:t>
      </w:r>
    </w:p>
    <w:p w14:paraId="098FCC30" w14:textId="65D1F59E" w:rsidR="009B38EB" w:rsidRDefault="15A8A5EF" w:rsidP="15A8A5EF">
      <w:pPr>
        <w:spacing w:before="240" w:line="259" w:lineRule="auto"/>
        <w:rPr>
          <w:rFonts w:cs="Arial"/>
        </w:rPr>
      </w:pPr>
      <w:r w:rsidRPr="15A8A5EF">
        <w:rPr>
          <w:rFonts w:cs="Arial"/>
        </w:rPr>
        <w:t>The NOV directed Highlands to respond to and/or remedy the violations by September 26, 2025 (Attachment 3, pp. 1</w:t>
      </w:r>
      <w:r w:rsidRPr="15A8A5EF">
        <w:rPr>
          <w:rFonts w:eastAsia="Arial" w:cs="Arial"/>
          <w:color w:val="242424"/>
        </w:rPr>
        <w:t>–9</w:t>
      </w:r>
      <w:r w:rsidRPr="15A8A5EF">
        <w:rPr>
          <w:rFonts w:cs="Arial"/>
        </w:rPr>
        <w:t>); on that date, Highlands submitted a written response to the NOV (Attachment 3, pp. 6469</w:t>
      </w:r>
      <w:r w:rsidRPr="15A8A5EF">
        <w:rPr>
          <w:rFonts w:eastAsia="Arial" w:cs="Arial"/>
          <w:color w:val="242424"/>
        </w:rPr>
        <w:t>–6489</w:t>
      </w:r>
      <w:r w:rsidRPr="15A8A5EF">
        <w:rPr>
          <w:rFonts w:cs="Arial"/>
        </w:rPr>
        <w:t>).</w:t>
      </w:r>
    </w:p>
    <w:p w14:paraId="361D582A" w14:textId="693BB295" w:rsidR="00A17190" w:rsidRPr="00A17190" w:rsidRDefault="15A8A5EF" w:rsidP="00FE4FAD">
      <w:pPr>
        <w:spacing w:before="240" w:line="259" w:lineRule="auto"/>
        <w:rPr>
          <w:rFonts w:cs="Arial"/>
        </w:rPr>
      </w:pPr>
      <w:r w:rsidRPr="15A8A5EF">
        <w:rPr>
          <w:rFonts w:cs="Arial"/>
        </w:rPr>
        <w:t>On November 4, 2025, following review of the response and supporting evidence submitted by Highlands, the governing board of TRUSD unanimously approved the issuance of a Notice of Intent to Revoke (NIR) of the charter</w:t>
      </w:r>
      <w:r w:rsidR="00A531A5">
        <w:rPr>
          <w:rFonts w:cs="Arial"/>
        </w:rPr>
        <w:t>s</w:t>
      </w:r>
      <w:r w:rsidRPr="15A8A5EF">
        <w:rPr>
          <w:rFonts w:cs="Arial"/>
        </w:rPr>
        <w:t xml:space="preserve"> of HCCS</w:t>
      </w:r>
      <w:r w:rsidR="1BC13A60" w:rsidRPr="4125C88A">
        <w:rPr>
          <w:rFonts w:cs="Arial"/>
        </w:rPr>
        <w:t xml:space="preserve"> </w:t>
      </w:r>
      <w:r w:rsidR="00A93C71">
        <w:rPr>
          <w:rFonts w:cs="Arial"/>
        </w:rPr>
        <w:t>and</w:t>
      </w:r>
      <w:r w:rsidR="1BC13A60" w:rsidRPr="4125C88A">
        <w:rPr>
          <w:rFonts w:cs="Arial"/>
        </w:rPr>
        <w:t xml:space="preserve"> CICA</w:t>
      </w:r>
      <w:r w:rsidR="741DBD62" w:rsidRPr="4125C88A">
        <w:rPr>
          <w:rFonts w:cs="Arial"/>
        </w:rPr>
        <w:t>,</w:t>
      </w:r>
      <w:r>
        <w:t xml:space="preserve"> </w:t>
      </w:r>
      <w:r w:rsidRPr="15A8A5EF">
        <w:rPr>
          <w:rFonts w:cs="Arial"/>
        </w:rPr>
        <w:t>based on District staff's determination that Highlands had failed to refute or remedy the violations identified in the NOV (Attachment 3, pp. 1202</w:t>
      </w:r>
      <w:r w:rsidRPr="15A8A5EF">
        <w:rPr>
          <w:rFonts w:eastAsia="Arial" w:cs="Arial"/>
          <w:color w:val="242424"/>
        </w:rPr>
        <w:t>–</w:t>
      </w:r>
      <w:r w:rsidRPr="15A8A5EF">
        <w:rPr>
          <w:rFonts w:cs="Arial"/>
        </w:rPr>
        <w:t xml:space="preserve">1217). Following a public hearing held December 2, 2025, and a mutual agreement between the parties to a </w:t>
      </w:r>
      <w:r w:rsidR="77E6C2FC" w:rsidRPr="4125C88A">
        <w:rPr>
          <w:rFonts w:cs="Arial"/>
        </w:rPr>
        <w:t>30</w:t>
      </w:r>
      <w:r w:rsidRPr="15A8A5EF">
        <w:rPr>
          <w:rFonts w:cs="Arial"/>
        </w:rPr>
        <w:t xml:space="preserve">-day extension, pursuant to </w:t>
      </w:r>
      <w:r w:rsidRPr="15A8A5EF">
        <w:rPr>
          <w:rFonts w:cs="Arial"/>
          <w:i/>
          <w:iCs/>
        </w:rPr>
        <w:t>EC</w:t>
      </w:r>
      <w:r w:rsidRPr="15A8A5EF">
        <w:rPr>
          <w:rFonts w:cs="Arial"/>
        </w:rPr>
        <w:t xml:space="preserve"> Section 47607(h), the District Board convened a special meeting on January 30, 2026, and voted unanimously to revoke </w:t>
      </w:r>
      <w:r w:rsidR="00A93C71">
        <w:rPr>
          <w:rFonts w:cs="Arial"/>
        </w:rPr>
        <w:t>the</w:t>
      </w:r>
      <w:r w:rsidR="00A93C71" w:rsidRPr="15A8A5EF">
        <w:rPr>
          <w:rFonts w:cs="Arial"/>
        </w:rPr>
        <w:t xml:space="preserve"> </w:t>
      </w:r>
      <w:r w:rsidRPr="15A8A5EF">
        <w:rPr>
          <w:rFonts w:cs="Arial"/>
        </w:rPr>
        <w:t>charter</w:t>
      </w:r>
      <w:r w:rsidR="00A93C71">
        <w:rPr>
          <w:rFonts w:cs="Arial"/>
        </w:rPr>
        <w:t>s of b</w:t>
      </w:r>
      <w:r w:rsidR="00C75C98">
        <w:rPr>
          <w:rFonts w:cs="Arial"/>
        </w:rPr>
        <w:t>oth</w:t>
      </w:r>
      <w:r w:rsidR="00A93C71">
        <w:rPr>
          <w:rFonts w:cs="Arial"/>
        </w:rPr>
        <w:t xml:space="preserve"> HCCS and CICA</w:t>
      </w:r>
      <w:r w:rsidRPr="15A8A5EF">
        <w:rPr>
          <w:rFonts w:cs="Arial"/>
        </w:rPr>
        <w:t xml:space="preserve">. Pursuant to </w:t>
      </w:r>
      <w:r w:rsidRPr="15A8A5EF">
        <w:rPr>
          <w:rFonts w:cs="Arial"/>
          <w:i/>
          <w:iCs/>
        </w:rPr>
        <w:t>EC</w:t>
      </w:r>
      <w:r w:rsidRPr="15A8A5EF">
        <w:rPr>
          <w:rFonts w:cs="Arial"/>
        </w:rPr>
        <w:t xml:space="preserve"> Section 47607(f), the </w:t>
      </w:r>
      <w:proofErr w:type="gramStart"/>
      <w:r w:rsidRPr="15A8A5EF">
        <w:rPr>
          <w:rFonts w:cs="Arial"/>
        </w:rPr>
        <w:t>District</w:t>
      </w:r>
      <w:proofErr w:type="gramEnd"/>
      <w:r w:rsidRPr="15A8A5EF">
        <w:rPr>
          <w:rFonts w:cs="Arial"/>
        </w:rPr>
        <w:t xml:space="preserve"> found that Highlands failed to refute or remedy the following violations (Attachment 3, pp. 1235</w:t>
      </w:r>
      <w:r w:rsidRPr="15A8A5EF">
        <w:rPr>
          <w:rFonts w:eastAsia="Arial" w:cs="Arial"/>
          <w:color w:val="242424"/>
        </w:rPr>
        <w:t>–1238)</w:t>
      </w:r>
      <w:r w:rsidRPr="15A8A5EF">
        <w:rPr>
          <w:rFonts w:cs="Arial"/>
        </w:rPr>
        <w:t>:</w:t>
      </w:r>
    </w:p>
    <w:p w14:paraId="1ECC17EE" w14:textId="5A7370A0" w:rsidR="00A17190" w:rsidRPr="00A17190" w:rsidRDefault="1D6F69DE" w:rsidP="6923EF3B">
      <w:pPr>
        <w:numPr>
          <w:ilvl w:val="0"/>
          <w:numId w:val="2"/>
        </w:numPr>
        <w:spacing w:before="240" w:line="259" w:lineRule="auto"/>
        <w:rPr>
          <w:rFonts w:cs="Arial"/>
        </w:rPr>
      </w:pPr>
      <w:r w:rsidRPr="1D1ABD05">
        <w:rPr>
          <w:rFonts w:cs="Arial"/>
        </w:rPr>
        <w:t>Highlands</w:t>
      </w:r>
      <w:r w:rsidR="00A17190" w:rsidRPr="6923EF3B">
        <w:rPr>
          <w:rFonts w:cs="Arial"/>
        </w:rPr>
        <w:t xml:space="preserve"> committed a material violation of the conditions, standards, or procedures set forth in its Charter.</w:t>
      </w:r>
    </w:p>
    <w:p w14:paraId="16BEC2AE" w14:textId="05A95409" w:rsidR="00A17190" w:rsidRPr="00A17190" w:rsidRDefault="3B266E81" w:rsidP="6923EF3B">
      <w:pPr>
        <w:numPr>
          <w:ilvl w:val="0"/>
          <w:numId w:val="2"/>
        </w:numPr>
        <w:spacing w:before="240" w:line="259" w:lineRule="auto"/>
        <w:rPr>
          <w:rFonts w:cs="Arial"/>
        </w:rPr>
      </w:pPr>
      <w:r w:rsidRPr="7DBC9343">
        <w:rPr>
          <w:rFonts w:cs="Arial"/>
        </w:rPr>
        <w:t>Highlands</w:t>
      </w:r>
      <w:r w:rsidR="00A17190" w:rsidRPr="6923EF3B">
        <w:rPr>
          <w:rFonts w:cs="Arial"/>
        </w:rPr>
        <w:t xml:space="preserve"> violated the law.</w:t>
      </w:r>
    </w:p>
    <w:p w14:paraId="2F3F500C" w14:textId="4FF91646" w:rsidR="00A17190" w:rsidRPr="00A17190" w:rsidRDefault="3B266E81" w:rsidP="6923EF3B">
      <w:pPr>
        <w:numPr>
          <w:ilvl w:val="0"/>
          <w:numId w:val="2"/>
        </w:numPr>
        <w:spacing w:before="240" w:line="259" w:lineRule="auto"/>
        <w:rPr>
          <w:rFonts w:cs="Arial"/>
        </w:rPr>
      </w:pPr>
      <w:r w:rsidRPr="7DBC9343">
        <w:rPr>
          <w:rFonts w:cs="Arial"/>
        </w:rPr>
        <w:t>Highlands</w:t>
      </w:r>
      <w:r w:rsidR="00A17190" w:rsidRPr="6923EF3B">
        <w:rPr>
          <w:rFonts w:cs="Arial"/>
        </w:rPr>
        <w:t xml:space="preserve"> engaged in fiscal mismanagement.</w:t>
      </w:r>
    </w:p>
    <w:p w14:paraId="0DF695DB" w14:textId="65336153" w:rsidR="00716C18" w:rsidRDefault="002C4623" w:rsidP="6923EF3B">
      <w:pPr>
        <w:spacing w:before="240" w:line="259" w:lineRule="auto"/>
      </w:pPr>
      <w:r>
        <w:rPr>
          <w:rFonts w:cs="Arial"/>
        </w:rPr>
        <w:t xml:space="preserve">Pursuant to </w:t>
      </w:r>
      <w:r w:rsidRPr="00907220">
        <w:rPr>
          <w:rFonts w:cs="Arial"/>
          <w:i/>
          <w:iCs/>
        </w:rPr>
        <w:t>EC</w:t>
      </w:r>
      <w:r>
        <w:rPr>
          <w:rFonts w:cs="Arial"/>
        </w:rPr>
        <w:t xml:space="preserve"> Section 47607</w:t>
      </w:r>
      <w:r w:rsidR="00917D7C">
        <w:rPr>
          <w:rFonts w:cs="Arial"/>
        </w:rPr>
        <w:t>(</w:t>
      </w:r>
      <w:proofErr w:type="spellStart"/>
      <w:r w:rsidR="00917D7C">
        <w:rPr>
          <w:rFonts w:cs="Arial"/>
        </w:rPr>
        <w:t>i</w:t>
      </w:r>
      <w:proofErr w:type="spellEnd"/>
      <w:r w:rsidR="00917D7C">
        <w:rPr>
          <w:rFonts w:cs="Arial"/>
        </w:rPr>
        <w:t>)</w:t>
      </w:r>
      <w:r w:rsidR="0018659E">
        <w:rPr>
          <w:rFonts w:cs="Arial"/>
        </w:rPr>
        <w:t>(1)</w:t>
      </w:r>
      <w:r w:rsidR="005570CE">
        <w:rPr>
          <w:rFonts w:cs="Arial"/>
        </w:rPr>
        <w:t>,</w:t>
      </w:r>
      <w:r>
        <w:rPr>
          <w:rFonts w:cs="Arial"/>
        </w:rPr>
        <w:t xml:space="preserve"> </w:t>
      </w:r>
      <w:r w:rsidR="639F261B" w:rsidRPr="002C4623">
        <w:rPr>
          <w:rFonts w:cs="Arial"/>
        </w:rPr>
        <w:t>Highlands</w:t>
      </w:r>
      <w:r w:rsidR="00B34F38">
        <w:rPr>
          <w:rFonts w:cs="Arial"/>
        </w:rPr>
        <w:t xml:space="preserve"> </w:t>
      </w:r>
      <w:r w:rsidR="00A17190" w:rsidRPr="6923EF3B">
        <w:rPr>
          <w:rFonts w:cs="Arial"/>
        </w:rPr>
        <w:t xml:space="preserve">appealed the revocation </w:t>
      </w:r>
      <w:r w:rsidR="3CC5BA07" w:rsidRPr="4125C88A">
        <w:rPr>
          <w:rFonts w:cs="Arial"/>
        </w:rPr>
        <w:t xml:space="preserve">of both schools’ charters </w:t>
      </w:r>
      <w:r w:rsidR="00A17190" w:rsidRPr="6923EF3B">
        <w:rPr>
          <w:rFonts w:cs="Arial"/>
        </w:rPr>
        <w:t>to the Sacramento County Board of Education (SCBOE or County).</w:t>
      </w:r>
    </w:p>
    <w:p w14:paraId="2AEEB719" w14:textId="7AB0E72C" w:rsidR="00A17190" w:rsidRPr="00A17190" w:rsidRDefault="00907220" w:rsidP="22FEA6C4">
      <w:pPr>
        <w:spacing w:before="240" w:line="259" w:lineRule="auto"/>
        <w:rPr>
          <w:rFonts w:eastAsia="Arial" w:cs="Arial"/>
        </w:rPr>
      </w:pPr>
      <w:r w:rsidRPr="22FEA6C4">
        <w:rPr>
          <w:rFonts w:cs="Arial"/>
          <w:i/>
          <w:iCs/>
        </w:rPr>
        <w:t>EC</w:t>
      </w:r>
      <w:r w:rsidR="00716C18" w:rsidRPr="22FEA6C4">
        <w:rPr>
          <w:rFonts w:cs="Arial"/>
        </w:rPr>
        <w:t xml:space="preserve"> Section 47607(</w:t>
      </w:r>
      <w:proofErr w:type="spellStart"/>
      <w:r w:rsidR="00716C18" w:rsidRPr="22FEA6C4">
        <w:rPr>
          <w:rFonts w:cs="Arial"/>
        </w:rPr>
        <w:t>i</w:t>
      </w:r>
      <w:proofErr w:type="spellEnd"/>
      <w:r w:rsidR="00716C18" w:rsidRPr="22FEA6C4">
        <w:rPr>
          <w:rFonts w:cs="Arial"/>
        </w:rPr>
        <w:t>)(2) provides that the county</w:t>
      </w:r>
      <w:r w:rsidR="004F5535" w:rsidRPr="22FEA6C4">
        <w:rPr>
          <w:rFonts w:cs="Arial"/>
        </w:rPr>
        <w:t xml:space="preserve"> board of education may</w:t>
      </w:r>
      <w:r w:rsidR="00993559" w:rsidRPr="22FEA6C4">
        <w:rPr>
          <w:rFonts w:cs="Arial"/>
        </w:rPr>
        <w:t xml:space="preserve"> reverse a district’s revocation decision</w:t>
      </w:r>
      <w:r w:rsidR="00AA0C00" w:rsidRPr="22FEA6C4">
        <w:rPr>
          <w:rFonts w:cs="Arial"/>
        </w:rPr>
        <w:t xml:space="preserve"> if the county board </w:t>
      </w:r>
      <w:r w:rsidR="00C62460" w:rsidRPr="22FEA6C4">
        <w:rPr>
          <w:rFonts w:cs="Arial"/>
        </w:rPr>
        <w:t>determines that the findings made by the district</w:t>
      </w:r>
      <w:r w:rsidR="000C193E" w:rsidRPr="22FEA6C4">
        <w:rPr>
          <w:rFonts w:cs="Arial"/>
        </w:rPr>
        <w:t xml:space="preserve"> are not supported by substantial evidence</w:t>
      </w:r>
      <w:r w:rsidR="3C3D72AD" w:rsidRPr="22FEA6C4">
        <w:rPr>
          <w:rFonts w:eastAsia="Arial" w:cs="Arial"/>
        </w:rPr>
        <w:t xml:space="preserve">. </w:t>
      </w:r>
      <w:r w:rsidR="00A17190" w:rsidRPr="22FEA6C4">
        <w:rPr>
          <w:rFonts w:cs="Arial"/>
        </w:rPr>
        <w:t>At its May 19, 2026</w:t>
      </w:r>
      <w:r w:rsidR="32AC6A90" w:rsidRPr="22FEA6C4">
        <w:rPr>
          <w:rFonts w:cs="Arial"/>
        </w:rPr>
        <w:t>,</w:t>
      </w:r>
      <w:r w:rsidR="00A17190" w:rsidRPr="22FEA6C4">
        <w:rPr>
          <w:rFonts w:cs="Arial"/>
        </w:rPr>
        <w:t xml:space="preserve"> meeting, the SCBOE</w:t>
      </w:r>
      <w:r w:rsidR="005B5B1F" w:rsidRPr="22FEA6C4">
        <w:rPr>
          <w:rFonts w:cs="Arial"/>
        </w:rPr>
        <w:t xml:space="preserve"> determined that the </w:t>
      </w:r>
      <w:proofErr w:type="gramStart"/>
      <w:r w:rsidR="005B5B1F" w:rsidRPr="22FEA6C4">
        <w:rPr>
          <w:rFonts w:cs="Arial"/>
        </w:rPr>
        <w:t>District’s</w:t>
      </w:r>
      <w:proofErr w:type="gramEnd"/>
      <w:r w:rsidR="005B5B1F" w:rsidRPr="22FEA6C4">
        <w:rPr>
          <w:rFonts w:cs="Arial"/>
        </w:rPr>
        <w:t xml:space="preserve"> findings were not supported by substantial </w:t>
      </w:r>
      <w:r w:rsidR="005B5B1F" w:rsidRPr="22FEA6C4">
        <w:rPr>
          <w:rFonts w:cs="Arial"/>
        </w:rPr>
        <w:lastRenderedPageBreak/>
        <w:t>evidence and</w:t>
      </w:r>
      <w:r w:rsidR="00A17190" w:rsidRPr="22FEA6C4">
        <w:rPr>
          <w:rFonts w:cs="Arial"/>
        </w:rPr>
        <w:t xml:space="preserve"> </w:t>
      </w:r>
      <w:r w:rsidR="00FC346D" w:rsidRPr="22FEA6C4">
        <w:rPr>
          <w:rFonts w:cs="Arial"/>
        </w:rPr>
        <w:t xml:space="preserve">reversed the revocation </w:t>
      </w:r>
      <w:r w:rsidR="005B5B1F" w:rsidRPr="22FEA6C4">
        <w:rPr>
          <w:rFonts w:cs="Arial"/>
        </w:rPr>
        <w:t xml:space="preserve">of HCCS’s charter </w:t>
      </w:r>
      <w:r w:rsidR="00A17190" w:rsidRPr="22FEA6C4">
        <w:rPr>
          <w:rFonts w:cs="Arial"/>
        </w:rPr>
        <w:t>by a vote of 4–3 (</w:t>
      </w:r>
      <w:r w:rsidR="741DBD62" w:rsidRPr="0E798E82">
        <w:rPr>
          <w:rFonts w:cs="Arial"/>
        </w:rPr>
        <w:t>Attachment 3</w:t>
      </w:r>
      <w:r w:rsidR="014D934D" w:rsidRPr="22FEA6C4">
        <w:rPr>
          <w:rFonts w:cs="Arial"/>
        </w:rPr>
        <w:t>, pp.</w:t>
      </w:r>
      <w:r w:rsidR="00417E89" w:rsidRPr="22FEA6C4">
        <w:rPr>
          <w:rFonts w:cs="Arial"/>
        </w:rPr>
        <w:t xml:space="preserve"> </w:t>
      </w:r>
      <w:r w:rsidR="741DBD62" w:rsidRPr="0E798E82">
        <w:rPr>
          <w:rFonts w:cs="Arial"/>
        </w:rPr>
        <w:t>8432</w:t>
      </w:r>
      <w:r w:rsidR="741DBD62" w:rsidRPr="0E798E82">
        <w:rPr>
          <w:rFonts w:eastAsia="Arial" w:cs="Arial"/>
          <w:color w:val="242424"/>
        </w:rPr>
        <w:t>–</w:t>
      </w:r>
      <w:r w:rsidR="741DBD62" w:rsidRPr="0E798E82">
        <w:rPr>
          <w:rFonts w:eastAsia="Arial" w:cs="Arial"/>
        </w:rPr>
        <w:t xml:space="preserve"> </w:t>
      </w:r>
      <w:r w:rsidR="741DBD62" w:rsidRPr="0E798E82">
        <w:rPr>
          <w:rFonts w:cs="Arial"/>
        </w:rPr>
        <w:t xml:space="preserve">8433). </w:t>
      </w:r>
    </w:p>
    <w:p w14:paraId="5D7EA2D3" w14:textId="21B990AC" w:rsidR="004D7E4B" w:rsidRDefault="00A17190" w:rsidP="00395CC7">
      <w:pPr>
        <w:spacing w:before="240" w:line="259" w:lineRule="auto"/>
        <w:rPr>
          <w:rFonts w:cs="Arial"/>
        </w:rPr>
      </w:pPr>
      <w:r w:rsidRPr="6923EF3B">
        <w:rPr>
          <w:rFonts w:cs="Arial"/>
        </w:rPr>
        <w:t xml:space="preserve">Pursuant to </w:t>
      </w:r>
      <w:r w:rsidRPr="6923EF3B">
        <w:rPr>
          <w:rFonts w:cs="Arial"/>
          <w:i/>
          <w:iCs/>
        </w:rPr>
        <w:t>EC</w:t>
      </w:r>
      <w:r w:rsidRPr="6923EF3B">
        <w:rPr>
          <w:rFonts w:cs="Arial"/>
        </w:rPr>
        <w:t xml:space="preserve"> Section 47607(</w:t>
      </w:r>
      <w:proofErr w:type="spellStart"/>
      <w:r w:rsidRPr="6923EF3B">
        <w:rPr>
          <w:rFonts w:cs="Arial"/>
        </w:rPr>
        <w:t>i</w:t>
      </w:r>
      <w:proofErr w:type="spellEnd"/>
      <w:r w:rsidRPr="6923EF3B">
        <w:rPr>
          <w:rFonts w:cs="Arial"/>
        </w:rPr>
        <w:t xml:space="preserve">)(2), a school district may appeal a county board of education's reversal of a revocation decision to the California State Board of Education (SBE). TRUSD </w:t>
      </w:r>
      <w:proofErr w:type="gramStart"/>
      <w:r w:rsidRPr="6923EF3B">
        <w:rPr>
          <w:rFonts w:cs="Arial"/>
        </w:rPr>
        <w:t>appealed</w:t>
      </w:r>
      <w:proofErr w:type="gramEnd"/>
      <w:r w:rsidRPr="6923EF3B">
        <w:rPr>
          <w:rFonts w:cs="Arial"/>
        </w:rPr>
        <w:t xml:space="preserve"> the SCBOE's reversal of </w:t>
      </w:r>
      <w:r w:rsidR="2FBA8128" w:rsidRPr="1D1ABD05">
        <w:rPr>
          <w:rFonts w:cs="Arial"/>
        </w:rPr>
        <w:t xml:space="preserve">HCCS’s </w:t>
      </w:r>
      <w:r w:rsidRPr="6923EF3B">
        <w:rPr>
          <w:rFonts w:cs="Arial"/>
        </w:rPr>
        <w:t xml:space="preserve">revocation to the SBE on June 18, 2026, arguing that </w:t>
      </w:r>
      <w:r w:rsidR="00744DA0">
        <w:rPr>
          <w:rFonts w:cs="Arial"/>
        </w:rPr>
        <w:t>its</w:t>
      </w:r>
      <w:r w:rsidR="00744DA0" w:rsidRPr="6923EF3B">
        <w:rPr>
          <w:rFonts w:cs="Arial"/>
        </w:rPr>
        <w:t xml:space="preserve"> </w:t>
      </w:r>
      <w:r w:rsidRPr="6923EF3B">
        <w:rPr>
          <w:rFonts w:cs="Arial"/>
        </w:rPr>
        <w:t>findings in support of revocation are supported by substantial evidence.</w:t>
      </w:r>
    </w:p>
    <w:p w14:paraId="41119664" w14:textId="35CCFA18" w:rsidR="005D783C" w:rsidRDefault="005D783C" w:rsidP="00395CC7">
      <w:pPr>
        <w:spacing w:before="240" w:line="259" w:lineRule="auto"/>
        <w:rPr>
          <w:rFonts w:cs="Arial"/>
        </w:rPr>
      </w:pPr>
      <w:r w:rsidRPr="4125C88A">
        <w:rPr>
          <w:rFonts w:cs="Arial"/>
        </w:rPr>
        <w:t>This item is specific to the revocation of HCCS’s charter.</w:t>
      </w:r>
      <w:r>
        <w:rPr>
          <w:rFonts w:cs="Arial"/>
        </w:rPr>
        <w:t xml:space="preserve"> CICA</w:t>
      </w:r>
      <w:r w:rsidR="00941166">
        <w:rPr>
          <w:rFonts w:cs="Arial"/>
        </w:rPr>
        <w:t>’s</w:t>
      </w:r>
      <w:r w:rsidR="007C60B7">
        <w:rPr>
          <w:rFonts w:cs="Arial"/>
        </w:rPr>
        <w:t xml:space="preserve"> charter</w:t>
      </w:r>
      <w:r w:rsidR="00941166">
        <w:rPr>
          <w:rFonts w:cs="Arial"/>
        </w:rPr>
        <w:t xml:space="preserve"> revocation</w:t>
      </w:r>
      <w:r w:rsidRPr="005D783C">
        <w:rPr>
          <w:rFonts w:cs="Arial"/>
        </w:rPr>
        <w:t xml:space="preserve"> is the subject of a related item being presented to the ACCS </w:t>
      </w:r>
      <w:r w:rsidR="00941166">
        <w:rPr>
          <w:rFonts w:cs="Arial"/>
        </w:rPr>
        <w:t>at the same meeting.</w:t>
      </w:r>
    </w:p>
    <w:p w14:paraId="5E39576F" w14:textId="77777777" w:rsidR="005A7708" w:rsidRPr="00A17190" w:rsidRDefault="00C5541C" w:rsidP="0020409D">
      <w:pPr>
        <w:pStyle w:val="Heading2"/>
        <w:rPr>
          <w:i/>
          <w:iCs w:val="0"/>
        </w:rPr>
      </w:pPr>
      <w:r w:rsidRPr="00A17190">
        <w:rPr>
          <w:iCs w:val="0"/>
        </w:rPr>
        <w:t xml:space="preserve">Proposed </w:t>
      </w:r>
      <w:r w:rsidR="005A7708" w:rsidRPr="00A17190">
        <w:rPr>
          <w:iCs w:val="0"/>
        </w:rPr>
        <w:t>Recommendation</w:t>
      </w:r>
    </w:p>
    <w:p w14:paraId="58DC34E9" w14:textId="3F8B85A2" w:rsidR="00C5541C" w:rsidRDefault="2CB1BD73" w:rsidP="6923EF3B">
      <w:pPr>
        <w:spacing w:line="259" w:lineRule="auto"/>
        <w:rPr>
          <w:rFonts w:cs="Arial"/>
        </w:rPr>
      </w:pPr>
      <w:bookmarkStart w:id="1" w:name="Text31"/>
      <w:r w:rsidRPr="6923EF3B">
        <w:rPr>
          <w:rFonts w:cs="Arial"/>
        </w:rPr>
        <w:t xml:space="preserve">The </w:t>
      </w:r>
      <w:r w:rsidR="005B53BC">
        <w:rPr>
          <w:rFonts w:cs="Arial"/>
        </w:rPr>
        <w:t>California Department of Education (</w:t>
      </w:r>
      <w:r w:rsidR="005B53BC" w:rsidRPr="271BC728">
        <w:rPr>
          <w:rFonts w:cs="Arial"/>
        </w:rPr>
        <w:t>CDE</w:t>
      </w:r>
      <w:r w:rsidR="005B53BC">
        <w:rPr>
          <w:rFonts w:cs="Arial"/>
        </w:rPr>
        <w:t>)</w:t>
      </w:r>
      <w:r w:rsidR="002B0D90">
        <w:rPr>
          <w:rFonts w:cs="Arial"/>
        </w:rPr>
        <w:t xml:space="preserve"> </w:t>
      </w:r>
      <w:r w:rsidRPr="6923EF3B">
        <w:rPr>
          <w:rFonts w:cs="Arial"/>
        </w:rPr>
        <w:t>proposes to recommend that the SBE</w:t>
      </w:r>
      <w:r w:rsidR="70FA2FF8" w:rsidRPr="6923EF3B">
        <w:rPr>
          <w:rFonts w:cs="Arial"/>
        </w:rPr>
        <w:t xml:space="preserve"> </w:t>
      </w:r>
      <w:r w:rsidR="544A16C7" w:rsidRPr="6923EF3B">
        <w:rPr>
          <w:rFonts w:cs="Arial"/>
        </w:rPr>
        <w:t xml:space="preserve">uphold the </w:t>
      </w:r>
      <w:proofErr w:type="gramStart"/>
      <w:r w:rsidR="0386CFA8" w:rsidRPr="6923EF3B">
        <w:rPr>
          <w:rFonts w:cs="Arial"/>
        </w:rPr>
        <w:t>District’s</w:t>
      </w:r>
      <w:proofErr w:type="gramEnd"/>
      <w:r w:rsidR="0386CFA8" w:rsidRPr="6923EF3B">
        <w:rPr>
          <w:rFonts w:cs="Arial"/>
        </w:rPr>
        <w:t xml:space="preserve"> revocation of </w:t>
      </w:r>
      <w:r w:rsidR="27A336F1" w:rsidRPr="1D1ABD05">
        <w:rPr>
          <w:rFonts w:cs="Arial"/>
        </w:rPr>
        <w:t xml:space="preserve">HCCS’s </w:t>
      </w:r>
      <w:r w:rsidR="0386CFA8" w:rsidRPr="6923EF3B">
        <w:rPr>
          <w:rFonts w:cs="Arial"/>
        </w:rPr>
        <w:t>charter</w:t>
      </w:r>
      <w:r w:rsidR="0B35D48B" w:rsidRPr="6923EF3B">
        <w:rPr>
          <w:rFonts w:cs="Arial"/>
        </w:rPr>
        <w:t xml:space="preserve"> </w:t>
      </w:r>
      <w:r w:rsidR="245487BC" w:rsidRPr="6923EF3B">
        <w:rPr>
          <w:rFonts w:cs="Arial"/>
        </w:rPr>
        <w:t xml:space="preserve">based on </w:t>
      </w:r>
      <w:r w:rsidR="001D4777">
        <w:rPr>
          <w:rFonts w:cs="Arial"/>
        </w:rPr>
        <w:t>its analysis</w:t>
      </w:r>
      <w:r w:rsidR="001D4777" w:rsidRPr="6923EF3B">
        <w:rPr>
          <w:rFonts w:cs="Arial"/>
        </w:rPr>
        <w:t xml:space="preserve"> </w:t>
      </w:r>
      <w:r w:rsidR="245487BC" w:rsidRPr="6923EF3B">
        <w:rPr>
          <w:rFonts w:cs="Arial"/>
        </w:rPr>
        <w:t xml:space="preserve">that the </w:t>
      </w:r>
      <w:r w:rsidR="58FDD02B" w:rsidRPr="6923EF3B">
        <w:rPr>
          <w:rFonts w:cs="Arial"/>
        </w:rPr>
        <w:t xml:space="preserve">findings made by the </w:t>
      </w:r>
      <w:proofErr w:type="gramStart"/>
      <w:r w:rsidR="58FDD02B" w:rsidRPr="6923EF3B">
        <w:rPr>
          <w:rFonts w:cs="Arial"/>
        </w:rPr>
        <w:t>District</w:t>
      </w:r>
      <w:proofErr w:type="gramEnd"/>
      <w:r w:rsidR="58FDD02B" w:rsidRPr="6923EF3B">
        <w:rPr>
          <w:rFonts w:cs="Arial"/>
        </w:rPr>
        <w:t xml:space="preserve"> are supported by substantial evidence in the record</w:t>
      </w:r>
      <w:r w:rsidR="0386CFA8" w:rsidRPr="6923EF3B">
        <w:rPr>
          <w:rFonts w:cs="Arial"/>
        </w:rPr>
        <w:t>.</w:t>
      </w:r>
    </w:p>
    <w:p w14:paraId="7D4D2D5F" w14:textId="2A5F0AEE" w:rsidR="00E7064E" w:rsidRDefault="00E7064E" w:rsidP="00CA3496">
      <w:pPr>
        <w:pStyle w:val="Heading2"/>
      </w:pPr>
      <w:r>
        <w:t>Procedural Requirements for Charter Revocation</w:t>
      </w:r>
    </w:p>
    <w:p w14:paraId="4401AB7E" w14:textId="46EFFDFB" w:rsidR="00346F3B" w:rsidRDefault="00346F3B" w:rsidP="007F08CD">
      <w:pPr>
        <w:spacing w:before="240"/>
      </w:pPr>
      <w:r>
        <w:t xml:space="preserve">As noted above, a charter may be revoked if the chartering authority makes, through a showing of substantial evidence, any of the findings listed in </w:t>
      </w:r>
      <w:r w:rsidRPr="007F08CD">
        <w:rPr>
          <w:i/>
          <w:iCs/>
        </w:rPr>
        <w:t>EC</w:t>
      </w:r>
      <w:r>
        <w:t xml:space="preserve"> Section 47607(f).</w:t>
      </w:r>
      <w:r w:rsidR="002E5424">
        <w:t xml:space="preserve"> </w:t>
      </w:r>
      <w:r>
        <w:t xml:space="preserve">Before revoking a charter, the following procedures, set forth in </w:t>
      </w:r>
      <w:r w:rsidRPr="007F08CD">
        <w:rPr>
          <w:i/>
          <w:iCs/>
        </w:rPr>
        <w:t>EC</w:t>
      </w:r>
      <w:r>
        <w:t xml:space="preserve"> Section 47607 and </w:t>
      </w:r>
      <w:r w:rsidR="70324D51" w:rsidRPr="00A15533">
        <w:rPr>
          <w:i/>
          <w:iCs/>
        </w:rPr>
        <w:t>California Code of Regulations</w:t>
      </w:r>
      <w:r w:rsidR="70324D51">
        <w:t>, Title 5 (</w:t>
      </w:r>
      <w:r>
        <w:t xml:space="preserve">5 </w:t>
      </w:r>
      <w:r w:rsidRPr="007F08CD">
        <w:rPr>
          <w:i/>
          <w:iCs/>
        </w:rPr>
        <w:t>CCR</w:t>
      </w:r>
      <w:r w:rsidR="16B4D89C" w:rsidRPr="00A15533">
        <w:t>)</w:t>
      </w:r>
      <w:r>
        <w:t>, Section 11968.5.2, must be completed:</w:t>
      </w:r>
    </w:p>
    <w:p w14:paraId="0F1CD84B" w14:textId="77777777" w:rsidR="00346F3B" w:rsidRDefault="00346F3B" w:rsidP="00346F3B">
      <w:pPr>
        <w:pStyle w:val="ListParagraph"/>
        <w:numPr>
          <w:ilvl w:val="0"/>
          <w:numId w:val="11"/>
        </w:numPr>
        <w:spacing w:before="240"/>
      </w:pPr>
      <w:r>
        <w:t>The chartering authority must notify the charter school of the violation(s) and allow a reasonable opportunity to cure them;</w:t>
      </w:r>
    </w:p>
    <w:p w14:paraId="60A26EB7" w14:textId="77777777" w:rsidR="00346F3B" w:rsidRDefault="00346F3B" w:rsidP="00346F3B">
      <w:pPr>
        <w:pStyle w:val="ListParagraph"/>
        <w:numPr>
          <w:ilvl w:val="0"/>
          <w:numId w:val="11"/>
        </w:numPr>
        <w:spacing w:before="240"/>
      </w:pPr>
      <w:r>
        <w:t>If the charter school chooses to respond to the NOV, it must submit a detailed, written response addressing each identified violation, including any supporting evidence, by the end of the remedy period identified in the NOV;</w:t>
      </w:r>
    </w:p>
    <w:p w14:paraId="527E4888" w14:textId="77777777" w:rsidR="00346F3B" w:rsidRDefault="00346F3B" w:rsidP="00346F3B">
      <w:pPr>
        <w:pStyle w:val="ListParagraph"/>
        <w:numPr>
          <w:ilvl w:val="0"/>
          <w:numId w:val="11"/>
        </w:numPr>
        <w:spacing w:before="240"/>
      </w:pPr>
      <w:r>
        <w:t>The chartering authority must act within 60 days of the conclusion of the remedy period outlined in the NOV, or the revocation process terminates;</w:t>
      </w:r>
    </w:p>
    <w:p w14:paraId="51B17261" w14:textId="77777777" w:rsidR="00346F3B" w:rsidRDefault="00346F3B" w:rsidP="00346F3B">
      <w:pPr>
        <w:pStyle w:val="ListParagraph"/>
        <w:numPr>
          <w:ilvl w:val="0"/>
          <w:numId w:val="11"/>
        </w:numPr>
        <w:spacing w:before="240"/>
      </w:pPr>
      <w:r>
        <w:t>If the chartering authority issues a NIR, it must hold a public hearing no later than 30 days after the NIR is issued, on the date and time specified therein; and</w:t>
      </w:r>
    </w:p>
    <w:p w14:paraId="1E445713" w14:textId="7FCBB202" w:rsidR="006F33D9" w:rsidRDefault="00346F3B" w:rsidP="007F08CD">
      <w:pPr>
        <w:pStyle w:val="ListParagraph"/>
        <w:numPr>
          <w:ilvl w:val="0"/>
          <w:numId w:val="11"/>
        </w:numPr>
        <w:spacing w:before="240"/>
      </w:pPr>
      <w:r>
        <w:t>The chartering authority must issue a Final Decision, which must include written factual findings, supported by substantial evidence and specific to the charter school, within 30 days of the public hearing (or within 60 days by written mutual agreement), or the revocation process terminates.</w:t>
      </w:r>
    </w:p>
    <w:p w14:paraId="1A35E388" w14:textId="08A2013F" w:rsidR="00CA3496" w:rsidRPr="00A17190" w:rsidRDefault="00CA3496" w:rsidP="00CA3496">
      <w:pPr>
        <w:pStyle w:val="Heading2"/>
      </w:pPr>
      <w:r>
        <w:lastRenderedPageBreak/>
        <w:t>Standard of Review</w:t>
      </w:r>
      <w:r w:rsidR="00E7064E">
        <w:t xml:space="preserve"> for Charter Revocation</w:t>
      </w:r>
    </w:p>
    <w:p w14:paraId="53BAA6B4" w14:textId="77777777" w:rsidR="006A1E3E" w:rsidRPr="006A1E3E" w:rsidRDefault="006A1E3E" w:rsidP="006A1E3E">
      <w:r w:rsidRPr="006A1E3E">
        <w:t xml:space="preserve">On appeal, the SBE's review of those findings is governed by the standard set forth in </w:t>
      </w:r>
      <w:r w:rsidRPr="006A1E3E">
        <w:rPr>
          <w:i/>
          <w:iCs/>
        </w:rPr>
        <w:t>EC</w:t>
      </w:r>
      <w:r w:rsidRPr="006A1E3E">
        <w:t xml:space="preserve"> Section 47607(</w:t>
      </w:r>
      <w:proofErr w:type="spellStart"/>
      <w:r w:rsidRPr="006A1E3E">
        <w:t>i</w:t>
      </w:r>
      <w:proofErr w:type="spellEnd"/>
      <w:r w:rsidRPr="006A1E3E">
        <w:t>)(4), as follows: </w:t>
      </w:r>
    </w:p>
    <w:p w14:paraId="3A9A1EE8" w14:textId="77777777" w:rsidR="006A1E3E" w:rsidRPr="006A1E3E" w:rsidRDefault="1236611E" w:rsidP="1D1ABD05">
      <w:pPr>
        <w:ind w:left="720" w:right="720"/>
      </w:pPr>
      <w:r>
        <w:t>The state board may reverse the revocation decision if the state board determines that the findings made by the chartering authority under subdivision (h) are not supported by substantial evidence. The state board may uphold the revocation decision of the school district if the state board determines that the findings made by the chartering authority under subdivision (h) are supported by substantial evidence. </w:t>
      </w:r>
    </w:p>
    <w:p w14:paraId="45A08A1D" w14:textId="45A093AD" w:rsidR="006A1E3E" w:rsidRPr="006A1E3E" w:rsidRDefault="006A1E3E" w:rsidP="006A1E3E">
      <w:r w:rsidRPr="006A1E3E">
        <w:t>Under the substantial evidence standard, review "begins and ends with a determination of whether there is substantial evidence, contradicted or uncontradicted, to support the findings</w:t>
      </w:r>
      <w:r w:rsidR="6B9B0520">
        <w:t>"</w:t>
      </w:r>
      <w:r w:rsidRPr="006A1E3E">
        <w:t xml:space="preserve"> (</w:t>
      </w:r>
      <w:r w:rsidRPr="006A1E3E">
        <w:rPr>
          <w:i/>
          <w:iCs/>
        </w:rPr>
        <w:t>Napa Valley Unified School Dist. v. SBE</w:t>
      </w:r>
      <w:r w:rsidRPr="006A1E3E">
        <w:t xml:space="preserve"> </w:t>
      </w:r>
      <w:r w:rsidR="2FE038EB">
        <w:t>[</w:t>
      </w:r>
      <w:r w:rsidRPr="006A1E3E">
        <w:t>2025</w:t>
      </w:r>
      <w:r w:rsidR="6EA869EC">
        <w:t>]</w:t>
      </w:r>
      <w:r w:rsidRPr="006A1E3E">
        <w:t xml:space="preserve"> 110 Cal.App.5th 609, 625</w:t>
      </w:r>
      <w:r w:rsidR="6B9B0520">
        <w:t>.)</w:t>
      </w:r>
      <w:r w:rsidR="2F122E4E">
        <w:t>.</w:t>
      </w:r>
      <w:r w:rsidRPr="006A1E3E">
        <w:t xml:space="preserve"> The SBE does not reweigh the evidence and is required to indulge all presumptions and resolve all conflicts in favor of the chartering authority unless no reasonable person </w:t>
      </w:r>
      <w:proofErr w:type="gramStart"/>
      <w:r w:rsidRPr="006A1E3E">
        <w:t>could have reached</w:t>
      </w:r>
      <w:proofErr w:type="gramEnd"/>
      <w:r w:rsidRPr="006A1E3E">
        <w:t xml:space="preserve"> the same conclusion on the evidence before it (</w:t>
      </w:r>
      <w:r w:rsidRPr="1D1ABD05">
        <w:rPr>
          <w:i/>
        </w:rPr>
        <w:t>Id</w:t>
      </w:r>
      <w:r w:rsidR="6B9B0520">
        <w:t>.)</w:t>
      </w:r>
      <w:r w:rsidR="2A323E3C">
        <w:t>.</w:t>
      </w:r>
    </w:p>
    <w:p w14:paraId="20668E5B" w14:textId="127FE06A" w:rsidR="00CA3496" w:rsidRDefault="1236611E" w:rsidP="00395CC7">
      <w:pPr>
        <w:spacing w:line="259" w:lineRule="auto"/>
      </w:pPr>
      <w:r>
        <w:t xml:space="preserve">This standard requires the SBE's review to focus on whether the written factual findings made by the governing board of the </w:t>
      </w:r>
      <w:proofErr w:type="gramStart"/>
      <w:r>
        <w:t>District</w:t>
      </w:r>
      <w:proofErr w:type="gramEnd"/>
      <w:r>
        <w:t xml:space="preserve"> in support of the revocation of </w:t>
      </w:r>
      <w:r w:rsidR="03DFDBC6">
        <w:t xml:space="preserve">HCCS’s </w:t>
      </w:r>
      <w:r>
        <w:t xml:space="preserve">charter are supported by substantial evidence in the administrative record. The SBE's review under this standard is of the </w:t>
      </w:r>
      <w:proofErr w:type="gramStart"/>
      <w:r>
        <w:t>District's</w:t>
      </w:r>
      <w:proofErr w:type="gramEnd"/>
      <w:r>
        <w:t xml:space="preserve"> revocation decision. As the County's determination on appeal is not part of that review, this item does not address or evaluate the County’s determination or analysis.</w:t>
      </w:r>
    </w:p>
    <w:p w14:paraId="2A8B584D" w14:textId="312E9BD6" w:rsidR="001B09B9" w:rsidRDefault="000E7E89" w:rsidP="00CA3496">
      <w:pPr>
        <w:pStyle w:val="Heading2"/>
      </w:pPr>
      <w:r>
        <w:t>Documents Submitted in this Appeal</w:t>
      </w:r>
    </w:p>
    <w:p w14:paraId="7CDCA573" w14:textId="4E1C6C2C" w:rsidR="00B53568" w:rsidRDefault="00B53568" w:rsidP="00B53568">
      <w:r>
        <w:t xml:space="preserve">Pursuant to 5 </w:t>
      </w:r>
      <w:r w:rsidRPr="007F08CD">
        <w:rPr>
          <w:i/>
          <w:iCs/>
        </w:rPr>
        <w:t>CCR</w:t>
      </w:r>
      <w:r>
        <w:t>, Section 11968.5.5, the following documents were submitted to the SBE and reviewed by the CDE:</w:t>
      </w:r>
    </w:p>
    <w:p w14:paraId="37C41B5F" w14:textId="2A6852E4" w:rsidR="00B53568" w:rsidRDefault="00B53568" w:rsidP="007F08CD">
      <w:pPr>
        <w:pStyle w:val="ListParagraph"/>
        <w:numPr>
          <w:ilvl w:val="0"/>
          <w:numId w:val="12"/>
        </w:numPr>
      </w:pPr>
      <w:r>
        <w:t>TRUSD's Notice of Appeal</w:t>
      </w:r>
      <w:r w:rsidR="001C00C7">
        <w:t xml:space="preserve"> (Attachment 2) and </w:t>
      </w:r>
      <w:r w:rsidR="00AE768A">
        <w:t>the accompanying administrative record (Attachment 3)</w:t>
      </w:r>
      <w:r>
        <w:t>, submitted June 18, 2026;</w:t>
      </w:r>
    </w:p>
    <w:p w14:paraId="2FB2F8A5" w14:textId="52C2EBC1" w:rsidR="00B53568" w:rsidRDefault="00B53568" w:rsidP="007F08CD">
      <w:pPr>
        <w:pStyle w:val="ListParagraph"/>
        <w:numPr>
          <w:ilvl w:val="0"/>
          <w:numId w:val="12"/>
        </w:numPr>
      </w:pPr>
      <w:r>
        <w:t>Highlands' Written Opposition</w:t>
      </w:r>
      <w:r w:rsidR="0063366F">
        <w:t xml:space="preserve"> (Attachment 4)</w:t>
      </w:r>
      <w:r>
        <w:t>, submitted July 17, 2026; and</w:t>
      </w:r>
    </w:p>
    <w:p w14:paraId="24D050E7" w14:textId="73C1B79F" w:rsidR="00B53568" w:rsidRDefault="00B53568" w:rsidP="007F08CD">
      <w:pPr>
        <w:pStyle w:val="ListParagraph"/>
        <w:numPr>
          <w:ilvl w:val="0"/>
          <w:numId w:val="12"/>
        </w:numPr>
      </w:pPr>
      <w:r>
        <w:t>TRUSD's Reply</w:t>
      </w:r>
      <w:r w:rsidR="00000670">
        <w:t xml:space="preserve"> to the Written Opposition (Attachment 5)</w:t>
      </w:r>
      <w:r>
        <w:t>, submitted July 31, 2026.</w:t>
      </w:r>
    </w:p>
    <w:p w14:paraId="2F114C9C" w14:textId="66BC825C" w:rsidR="000E7E89" w:rsidRPr="000E7E89" w:rsidRDefault="00B53568" w:rsidP="007F08CD">
      <w:r>
        <w:t xml:space="preserve">All documents were timely submitted in accordance with 5 </w:t>
      </w:r>
      <w:r w:rsidRPr="007F08CD">
        <w:rPr>
          <w:i/>
          <w:iCs/>
        </w:rPr>
        <w:t>CCR</w:t>
      </w:r>
      <w:r>
        <w:t>, Section 11968.5.5.</w:t>
      </w:r>
    </w:p>
    <w:p w14:paraId="7A4FE1B5" w14:textId="36CE7C82" w:rsidR="00CA3496" w:rsidRPr="00A17190" w:rsidRDefault="00CA3496" w:rsidP="00CA3496">
      <w:pPr>
        <w:pStyle w:val="Heading2"/>
      </w:pPr>
      <w:r>
        <w:t>Summary of Appeal</w:t>
      </w:r>
    </w:p>
    <w:p w14:paraId="129FC2E0" w14:textId="60A15C52" w:rsidR="00CA3496" w:rsidRDefault="00CD3929" w:rsidP="741DBD62">
      <w:pPr>
        <w:spacing w:line="259" w:lineRule="auto"/>
      </w:pPr>
      <w:r>
        <w:t xml:space="preserve">In its Notice of Appeal, </w:t>
      </w:r>
      <w:r w:rsidR="284CDF1B">
        <w:t xml:space="preserve">TRUSD </w:t>
      </w:r>
      <w:r w:rsidR="655C5B14">
        <w:t>states</w:t>
      </w:r>
      <w:r w:rsidR="284CDF1B">
        <w:t xml:space="preserve"> that its revocation findings are supported by substantial evidence demonstrating that </w:t>
      </w:r>
      <w:r w:rsidR="5E62A49F">
        <w:t>Highlands</w:t>
      </w:r>
      <w:r w:rsidR="284CDF1B">
        <w:t xml:space="preserve"> committed material violations of its </w:t>
      </w:r>
      <w:r w:rsidR="50D4E635" w:rsidRPr="1D1ABD05">
        <w:rPr>
          <w:rFonts w:cs="Arial"/>
        </w:rPr>
        <w:lastRenderedPageBreak/>
        <w:t xml:space="preserve">HCCS </w:t>
      </w:r>
      <w:r w:rsidR="00800698">
        <w:rPr>
          <w:rFonts w:cs="Arial"/>
        </w:rPr>
        <w:t>c</w:t>
      </w:r>
      <w:r w:rsidR="284CDF1B">
        <w:t xml:space="preserve">harter and </w:t>
      </w:r>
      <w:r w:rsidR="075392EC">
        <w:t>M</w:t>
      </w:r>
      <w:r w:rsidR="06923990">
        <w:t>emorandum of</w:t>
      </w:r>
      <w:r w:rsidR="0855977C">
        <w:t xml:space="preserve"> </w:t>
      </w:r>
      <w:r w:rsidR="075392EC">
        <w:t>U</w:t>
      </w:r>
      <w:r w:rsidR="4871E9C0">
        <w:t>nderstanding</w:t>
      </w:r>
      <w:r w:rsidR="284CDF1B">
        <w:t xml:space="preserve">, violated provisions of law, and engaged in fiscal mismanagement. Specifically, TRUSD asserts that </w:t>
      </w:r>
      <w:r w:rsidR="5F0D1A44">
        <w:t>Highlands</w:t>
      </w:r>
      <w:r w:rsidR="284CDF1B">
        <w:t xml:space="preserve"> expanded grade levels and operated locations without obtaining approved material revisions, failed to submit a required annual independent audit report, did not demonstrate compliance with instructional minute requirements, violated the requirements of its WIOA partnership agreement, and engaged in fiscal mismanagement through expenditures associated with the San Diego administrative facility and the Marysville 2 location (</w:t>
      </w:r>
      <w:r w:rsidR="741DBD62">
        <w:t>Attachment 2</w:t>
      </w:r>
      <w:r w:rsidR="284CDF1B">
        <w:t xml:space="preserve">, pp. </w:t>
      </w:r>
      <w:r w:rsidR="741DBD62">
        <w:t>14</w:t>
      </w:r>
      <w:r w:rsidR="741DBD62" w:rsidRPr="4125C88A">
        <w:rPr>
          <w:rFonts w:eastAsia="Arial" w:cs="Arial"/>
          <w:color w:val="242424"/>
        </w:rPr>
        <w:t>–28</w:t>
      </w:r>
      <w:r w:rsidR="284CDF1B">
        <w:t>).</w:t>
      </w:r>
    </w:p>
    <w:p w14:paraId="22E82600" w14:textId="7FBE1E2C" w:rsidR="00CA3496" w:rsidRDefault="284CDF1B" w:rsidP="1D1ABD05">
      <w:pPr>
        <w:spacing w:line="259" w:lineRule="auto"/>
      </w:pPr>
      <w:r>
        <w:t xml:space="preserve">TRUSD </w:t>
      </w:r>
      <w:r w:rsidR="465B0C47">
        <w:t>states</w:t>
      </w:r>
      <w:r>
        <w:t xml:space="preserve"> that the record contains evidence supporting these findings, including admissions by </w:t>
      </w:r>
      <w:r w:rsidR="6DD89409">
        <w:t>Highlands</w:t>
      </w:r>
      <w:r>
        <w:t xml:space="preserve"> regarding certain violations, operation of unauthorized grade levels and locations, failure to submit a compliant audit report, deficiencies in documentation used to demonstrate compliance with instructional minute requirements, violations of WIOA program requirements, and expenditures of public funds for the San Diego administrative facility and the Marysville 2 location. TRUSD further </w:t>
      </w:r>
      <w:r w:rsidR="1DDAE3A8">
        <w:t>states</w:t>
      </w:r>
      <w:r>
        <w:t xml:space="preserve"> that the identified violations were not remedied during the remedy period established by the </w:t>
      </w:r>
      <w:bookmarkStart w:id="2" w:name="_Int_eNx0Dehr"/>
      <w:r>
        <w:t>District</w:t>
      </w:r>
      <w:bookmarkEnd w:id="2"/>
      <w:r w:rsidR="5CF1EB47">
        <w:t xml:space="preserve"> </w:t>
      </w:r>
      <w:r w:rsidR="002E0730">
        <w:t>G</w:t>
      </w:r>
      <w:r w:rsidR="5CF1EB47">
        <w:t xml:space="preserve">overning </w:t>
      </w:r>
      <w:r w:rsidR="002E0730">
        <w:t>B</w:t>
      </w:r>
      <w:r w:rsidR="5CF1EB47">
        <w:t>oard</w:t>
      </w:r>
      <w:r w:rsidR="741DBD62">
        <w:t>. (Attachment 2, pp. 14</w:t>
      </w:r>
      <w:r w:rsidR="741DBD62" w:rsidRPr="4125C88A">
        <w:rPr>
          <w:rFonts w:eastAsia="Arial" w:cs="Arial"/>
          <w:color w:val="242424"/>
        </w:rPr>
        <w:t>–28</w:t>
      </w:r>
      <w:r w:rsidR="741DBD62">
        <w:t>).</w:t>
      </w:r>
    </w:p>
    <w:p w14:paraId="31913BA7" w14:textId="26944BE0" w:rsidR="00CA3496" w:rsidRDefault="284CDF1B" w:rsidP="1D1ABD05">
      <w:pPr>
        <w:spacing w:line="259" w:lineRule="auto"/>
      </w:pPr>
      <w:r>
        <w:t xml:space="preserve">TRUSD also </w:t>
      </w:r>
      <w:r w:rsidR="71B986EB">
        <w:t>states</w:t>
      </w:r>
      <w:r>
        <w:t xml:space="preserve"> that it complied with the procedural requirements set forth in </w:t>
      </w:r>
      <w:r w:rsidR="00FC346D" w:rsidRPr="00FC346D">
        <w:rPr>
          <w:i/>
          <w:iCs/>
        </w:rPr>
        <w:t>EC</w:t>
      </w:r>
      <w:r w:rsidR="00FC346D">
        <w:t xml:space="preserve"> </w:t>
      </w:r>
      <w:r w:rsidR="00FC346D" w:rsidRPr="00FC346D">
        <w:t>S</w:t>
      </w:r>
      <w:r w:rsidRPr="00FC346D">
        <w:t>ection</w:t>
      </w:r>
      <w:r>
        <w:t xml:space="preserve"> 47607. According to </w:t>
      </w:r>
      <w:r w:rsidR="001B5830">
        <w:t>the Notice of Appeal</w:t>
      </w:r>
      <w:r>
        <w:t xml:space="preserve">, </w:t>
      </w:r>
      <w:r w:rsidR="56A03EBE">
        <w:t xml:space="preserve">the District </w:t>
      </w:r>
      <w:r w:rsidR="002E0730">
        <w:t>G</w:t>
      </w:r>
      <w:r w:rsidR="56A03EBE">
        <w:t xml:space="preserve">overning </w:t>
      </w:r>
      <w:r w:rsidR="002E0730">
        <w:t>B</w:t>
      </w:r>
      <w:r w:rsidR="56A03EBE">
        <w:t>oard</w:t>
      </w:r>
      <w:r>
        <w:t xml:space="preserve"> issued </w:t>
      </w:r>
      <w:r w:rsidR="075392EC">
        <w:t>a</w:t>
      </w:r>
      <w:r w:rsidR="7FA46226">
        <w:t>n NOV</w:t>
      </w:r>
      <w:r>
        <w:t xml:space="preserve"> on June 1</w:t>
      </w:r>
      <w:r w:rsidR="00FC346D">
        <w:t>7</w:t>
      </w:r>
      <w:r>
        <w:t xml:space="preserve">, 2025, provided </w:t>
      </w:r>
      <w:r w:rsidR="50D3AC9A">
        <w:t>Highlands</w:t>
      </w:r>
      <w:r>
        <w:t xml:space="preserve"> an opportunity to remedy the identified violations through September 26, 2025, issued </w:t>
      </w:r>
      <w:r w:rsidR="075392EC">
        <w:t>a</w:t>
      </w:r>
      <w:r w:rsidR="6F8A906F">
        <w:t>n NIR</w:t>
      </w:r>
      <w:r>
        <w:t xml:space="preserve"> on November 4, 2025, conducted a public hearing on December 2, 2025, and adopted a Final Decision to Revoke on January 30, 2026. (</w:t>
      </w:r>
      <w:r w:rsidR="741DBD62">
        <w:t>Attachment 2</w:t>
      </w:r>
      <w:r>
        <w:t xml:space="preserve">, pp. </w:t>
      </w:r>
      <w:r w:rsidR="741DBD62">
        <w:t>6</w:t>
      </w:r>
      <w:r w:rsidR="741DBD62" w:rsidRPr="4125C88A">
        <w:rPr>
          <w:rFonts w:eastAsia="Arial" w:cs="Arial"/>
          <w:color w:val="242424"/>
        </w:rPr>
        <w:t>–9</w:t>
      </w:r>
      <w:r>
        <w:t>).</w:t>
      </w:r>
    </w:p>
    <w:p w14:paraId="20F47382" w14:textId="3D081D52" w:rsidR="00CA3496" w:rsidRDefault="00CA3496" w:rsidP="63577F64">
      <w:pPr>
        <w:pStyle w:val="Heading2"/>
        <w:spacing w:line="259" w:lineRule="auto"/>
      </w:pPr>
      <w:r>
        <w:t>Written Opposition from the Charter School</w:t>
      </w:r>
      <w:r w:rsidR="67113DB3" w:rsidRPr="63577F64">
        <w:rPr>
          <w:rFonts w:eastAsia="Arial" w:cs="Arial"/>
          <w:b w:val="0"/>
          <w:bCs w:val="0"/>
          <w:iCs w:val="0"/>
          <w:color w:val="000000" w:themeColor="text1"/>
          <w:sz w:val="24"/>
          <w:szCs w:val="24"/>
        </w:rPr>
        <w:t xml:space="preserve"> </w:t>
      </w:r>
    </w:p>
    <w:p w14:paraId="6CDD702E" w14:textId="297B7AF2" w:rsidR="00CA3496" w:rsidRDefault="67113DB3" w:rsidP="741DBD62">
      <w:pPr>
        <w:spacing w:line="259" w:lineRule="auto"/>
        <w:rPr>
          <w:rFonts w:eastAsia="Arial"/>
          <w:b/>
          <w:bCs/>
          <w:iCs/>
        </w:rPr>
      </w:pPr>
      <w:r w:rsidRPr="63577F64">
        <w:rPr>
          <w:rFonts w:eastAsia="Arial"/>
        </w:rPr>
        <w:t xml:space="preserve">In its written opposition to this appeal, </w:t>
      </w:r>
      <w:r w:rsidR="1A8CB7CB" w:rsidRPr="7DBC9343">
        <w:rPr>
          <w:rFonts w:eastAsia="Arial"/>
        </w:rPr>
        <w:t>Highlands</w:t>
      </w:r>
      <w:r w:rsidRPr="63577F64">
        <w:rPr>
          <w:rFonts w:eastAsia="Arial"/>
        </w:rPr>
        <w:t xml:space="preserve"> states that TRUSD’s revocation findings were not supported by substantial evidence and the alleged violations were either refuted or remedied prior to revocation. </w:t>
      </w:r>
      <w:r w:rsidR="58D9A7E2" w:rsidRPr="7DBC9343">
        <w:rPr>
          <w:rFonts w:eastAsia="Arial"/>
        </w:rPr>
        <w:t>Highlands</w:t>
      </w:r>
      <w:r w:rsidRPr="63577F64">
        <w:rPr>
          <w:rFonts w:eastAsia="Arial"/>
        </w:rPr>
        <w:t xml:space="preserve"> notes that TRUSD staff’s analysis, as reported to the District </w:t>
      </w:r>
      <w:r w:rsidR="002E0730">
        <w:rPr>
          <w:rFonts w:eastAsia="Arial"/>
        </w:rPr>
        <w:t>B</w:t>
      </w:r>
      <w:r w:rsidRPr="63577F64">
        <w:rPr>
          <w:rFonts w:eastAsia="Arial"/>
        </w:rPr>
        <w:t xml:space="preserve">oard, indicated that all violations were sufficiently refuted or remedied </w:t>
      </w:r>
      <w:r w:rsidR="2C435B12" w:rsidRPr="4125C88A">
        <w:rPr>
          <w:rFonts w:eastAsia="Arial"/>
        </w:rPr>
        <w:t xml:space="preserve">during and after the board-adopted remedy period </w:t>
      </w:r>
      <w:r w:rsidRPr="63577F64">
        <w:rPr>
          <w:rFonts w:eastAsia="Arial"/>
        </w:rPr>
        <w:t xml:space="preserve">and that District </w:t>
      </w:r>
      <w:r w:rsidR="002E0730">
        <w:rPr>
          <w:rFonts w:eastAsia="Arial"/>
        </w:rPr>
        <w:t>S</w:t>
      </w:r>
      <w:r w:rsidRPr="63577F64">
        <w:rPr>
          <w:rFonts w:eastAsia="Arial"/>
        </w:rPr>
        <w:t>taff, based on its analysis, recommended the board cease the revocation process (</w:t>
      </w:r>
      <w:r w:rsidR="741DBD62" w:rsidRPr="4125C88A">
        <w:rPr>
          <w:rFonts w:eastAsia="Arial"/>
        </w:rPr>
        <w:t xml:space="preserve">Attachment </w:t>
      </w:r>
      <w:r w:rsidR="00C878E3">
        <w:rPr>
          <w:rFonts w:eastAsia="Arial"/>
        </w:rPr>
        <w:t>4</w:t>
      </w:r>
      <w:r w:rsidRPr="4125C88A">
        <w:rPr>
          <w:rFonts w:eastAsia="Arial"/>
        </w:rPr>
        <w:t>, pp. 7</w:t>
      </w:r>
      <w:r w:rsidR="17216A06" w:rsidRPr="4125C88A">
        <w:rPr>
          <w:rFonts w:eastAsia="Arial" w:cs="Arial"/>
          <w:color w:val="242424"/>
        </w:rPr>
        <w:t>–</w:t>
      </w:r>
      <w:r w:rsidRPr="4125C88A">
        <w:rPr>
          <w:rFonts w:eastAsia="Arial"/>
        </w:rPr>
        <w:t>8, 16</w:t>
      </w:r>
      <w:r w:rsidR="2687DE17" w:rsidRPr="4125C88A">
        <w:rPr>
          <w:rFonts w:eastAsia="Arial" w:cs="Arial"/>
          <w:color w:val="242424"/>
        </w:rPr>
        <w:t>–</w:t>
      </w:r>
      <w:r w:rsidR="741DBD62" w:rsidRPr="4125C88A">
        <w:rPr>
          <w:rFonts w:eastAsia="Arial"/>
        </w:rPr>
        <w:t>22</w:t>
      </w:r>
      <w:r w:rsidRPr="63577F64">
        <w:rPr>
          <w:rFonts w:eastAsia="Arial"/>
        </w:rPr>
        <w:t>).</w:t>
      </w:r>
    </w:p>
    <w:p w14:paraId="318299B7" w14:textId="11744D44" w:rsidR="00CA3496" w:rsidRDefault="67113DB3" w:rsidP="63577F64">
      <w:pPr>
        <w:spacing w:line="259" w:lineRule="auto"/>
        <w:rPr>
          <w:rFonts w:eastAsia="Arial" w:cs="Arial"/>
          <w:color w:val="000000" w:themeColor="text1"/>
        </w:rPr>
      </w:pPr>
      <w:r w:rsidRPr="63577F64">
        <w:rPr>
          <w:rFonts w:eastAsia="Arial" w:cs="Arial"/>
          <w:color w:val="000000" w:themeColor="text1"/>
        </w:rPr>
        <w:t xml:space="preserve">According to </w:t>
      </w:r>
      <w:r w:rsidR="50BB606D" w:rsidRPr="7DBC9343">
        <w:rPr>
          <w:rFonts w:eastAsia="Arial" w:cs="Arial"/>
          <w:color w:val="000000" w:themeColor="text1"/>
        </w:rPr>
        <w:t>Highlands</w:t>
      </w:r>
      <w:r w:rsidRPr="63577F64">
        <w:rPr>
          <w:rFonts w:eastAsia="Arial" w:cs="Arial"/>
          <w:color w:val="000000" w:themeColor="text1"/>
        </w:rPr>
        <w:t xml:space="preserve">, the administrative record contains evidence reflecting its corrective actions taken in response to the </w:t>
      </w:r>
      <w:r w:rsidR="43FD572E" w:rsidRPr="1D1ABD05">
        <w:rPr>
          <w:rFonts w:eastAsia="Arial" w:cs="Arial"/>
          <w:color w:val="000000" w:themeColor="text1"/>
        </w:rPr>
        <w:t>NOV</w:t>
      </w:r>
      <w:r w:rsidRPr="1D1ABD05">
        <w:rPr>
          <w:rFonts w:eastAsia="Arial" w:cs="Arial"/>
          <w:color w:val="000000" w:themeColor="text1"/>
        </w:rPr>
        <w:t xml:space="preserve">. </w:t>
      </w:r>
      <w:r w:rsidR="3BD6F4C7" w:rsidRPr="7DBC9343">
        <w:rPr>
          <w:rFonts w:eastAsia="Arial" w:cs="Arial"/>
          <w:color w:val="000000" w:themeColor="text1"/>
        </w:rPr>
        <w:t>Highlands</w:t>
      </w:r>
      <w:r w:rsidRPr="63577F64">
        <w:rPr>
          <w:rFonts w:eastAsia="Arial" w:cs="Arial"/>
          <w:color w:val="000000" w:themeColor="text1"/>
        </w:rPr>
        <w:t xml:space="preserve"> states that it re</w:t>
      </w:r>
      <w:r w:rsidR="1B8B577D" w:rsidRPr="63577F64">
        <w:rPr>
          <w:rFonts w:eastAsia="Arial" w:cs="Arial"/>
          <w:color w:val="000000" w:themeColor="text1"/>
        </w:rPr>
        <w:t>medied</w:t>
      </w:r>
      <w:r w:rsidRPr="63577F64">
        <w:rPr>
          <w:rFonts w:eastAsia="Arial" w:cs="Arial"/>
          <w:color w:val="000000" w:themeColor="text1"/>
        </w:rPr>
        <w:t xml:space="preserve"> the grade-level </w:t>
      </w:r>
      <w:r w:rsidR="0BA31184" w:rsidRPr="63577F64">
        <w:rPr>
          <w:rFonts w:eastAsia="Arial" w:cs="Arial"/>
          <w:color w:val="000000" w:themeColor="text1"/>
        </w:rPr>
        <w:t xml:space="preserve">and location </w:t>
      </w:r>
      <w:r w:rsidRPr="63577F64">
        <w:rPr>
          <w:rFonts w:eastAsia="Arial" w:cs="Arial"/>
          <w:color w:val="000000" w:themeColor="text1"/>
        </w:rPr>
        <w:t xml:space="preserve">violations by requesting a material revision and terminating or buying out leases associated with noncompliant locations, submitting the delayed annual independent audit report, improving instructional-minute documentation, terminating the program associated with the WIOA violation, and terminating or buying out the San Diego </w:t>
      </w:r>
      <w:r w:rsidR="08BF81E7" w:rsidRPr="008055E6">
        <w:rPr>
          <w:rFonts w:eastAsia="Arial" w:cs="Arial"/>
          <w:color w:val="000000" w:themeColor="text1"/>
        </w:rPr>
        <w:t>facility lease</w:t>
      </w:r>
      <w:r w:rsidR="04E66554" w:rsidRPr="008055E6">
        <w:rPr>
          <w:rFonts w:eastAsia="Arial" w:cs="Arial"/>
          <w:color w:val="000000" w:themeColor="text1"/>
        </w:rPr>
        <w:t xml:space="preserve"> (Attachment </w:t>
      </w:r>
      <w:r w:rsidR="00C878E3">
        <w:rPr>
          <w:rFonts w:eastAsia="Arial" w:cs="Arial"/>
          <w:color w:val="000000" w:themeColor="text1"/>
        </w:rPr>
        <w:t>4</w:t>
      </w:r>
      <w:r w:rsidRPr="008055E6">
        <w:rPr>
          <w:rFonts w:eastAsia="Arial" w:cs="Arial"/>
          <w:color w:val="000000" w:themeColor="text1"/>
        </w:rPr>
        <w:t>, pp. 16</w:t>
      </w:r>
      <w:r w:rsidR="087CB01A" w:rsidRPr="008055E6">
        <w:rPr>
          <w:rFonts w:eastAsia="Arial" w:cs="Arial"/>
          <w:color w:val="242424"/>
        </w:rPr>
        <w:t>–</w:t>
      </w:r>
      <w:r w:rsidR="04E66554" w:rsidRPr="008055E6">
        <w:rPr>
          <w:rFonts w:eastAsia="Arial" w:cs="Arial"/>
          <w:color w:val="000000" w:themeColor="text1"/>
        </w:rPr>
        <w:t>22</w:t>
      </w:r>
      <w:r w:rsidRPr="63577F64">
        <w:rPr>
          <w:rFonts w:eastAsia="Arial" w:cs="Arial"/>
          <w:color w:val="000000" w:themeColor="text1"/>
        </w:rPr>
        <w:t xml:space="preserve">). </w:t>
      </w:r>
      <w:r w:rsidR="27B53381" w:rsidRPr="7DBC9343">
        <w:rPr>
          <w:rFonts w:eastAsia="Arial" w:cs="Arial"/>
          <w:color w:val="000000" w:themeColor="text1"/>
        </w:rPr>
        <w:t>Highlands</w:t>
      </w:r>
      <w:r w:rsidRPr="63577F64">
        <w:rPr>
          <w:rFonts w:eastAsia="Arial" w:cs="Arial"/>
          <w:color w:val="000000" w:themeColor="text1"/>
        </w:rPr>
        <w:t xml:space="preserve"> states that evidence for these actions aligns with District </w:t>
      </w:r>
      <w:r w:rsidR="002E0730">
        <w:rPr>
          <w:rFonts w:eastAsia="Arial" w:cs="Arial"/>
          <w:color w:val="000000" w:themeColor="text1"/>
        </w:rPr>
        <w:t>S</w:t>
      </w:r>
      <w:r w:rsidRPr="63577F64">
        <w:rPr>
          <w:rFonts w:eastAsia="Arial" w:cs="Arial"/>
          <w:color w:val="000000" w:themeColor="text1"/>
        </w:rPr>
        <w:t xml:space="preserve">taff's analysis that the violations had </w:t>
      </w:r>
      <w:r w:rsidRPr="63577F64">
        <w:rPr>
          <w:rFonts w:eastAsia="Arial" w:cs="Arial"/>
          <w:color w:val="000000" w:themeColor="text1"/>
        </w:rPr>
        <w:lastRenderedPageBreak/>
        <w:t xml:space="preserve">been sufficiently remedied and that the District Board's decision to revoke </w:t>
      </w:r>
      <w:r w:rsidR="00DA421E">
        <w:rPr>
          <w:rFonts w:eastAsia="Arial" w:cs="Arial"/>
          <w:color w:val="000000" w:themeColor="text1"/>
        </w:rPr>
        <w:t>HCCS</w:t>
      </w:r>
      <w:r w:rsidRPr="63577F64">
        <w:rPr>
          <w:rFonts w:eastAsia="Arial" w:cs="Arial"/>
          <w:color w:val="000000" w:themeColor="text1"/>
        </w:rPr>
        <w:t>'s charter is not supported by evidence in the record (</w:t>
      </w:r>
      <w:r w:rsidR="04E66554" w:rsidRPr="008055E6">
        <w:rPr>
          <w:rFonts w:eastAsia="Arial" w:cs="Arial"/>
          <w:color w:val="000000" w:themeColor="text1"/>
        </w:rPr>
        <w:t xml:space="preserve">Attachment </w:t>
      </w:r>
      <w:r w:rsidR="00C878E3">
        <w:rPr>
          <w:rFonts w:eastAsia="Arial" w:cs="Arial"/>
          <w:color w:val="000000" w:themeColor="text1"/>
        </w:rPr>
        <w:t>4</w:t>
      </w:r>
      <w:r w:rsidR="04E66554" w:rsidRPr="008055E6">
        <w:rPr>
          <w:rFonts w:eastAsia="Arial" w:cs="Arial"/>
          <w:color w:val="000000" w:themeColor="text1"/>
        </w:rPr>
        <w:t xml:space="preserve">, pp. </w:t>
      </w:r>
      <w:r w:rsidRPr="008055E6">
        <w:rPr>
          <w:rFonts w:eastAsia="Arial" w:cs="Arial"/>
          <w:color w:val="000000" w:themeColor="text1"/>
        </w:rPr>
        <w:t>16</w:t>
      </w:r>
      <w:r w:rsidR="27FF298A" w:rsidRPr="008055E6">
        <w:rPr>
          <w:rFonts w:eastAsia="Arial" w:cs="Arial"/>
          <w:color w:val="242424"/>
        </w:rPr>
        <w:t>–</w:t>
      </w:r>
      <w:r w:rsidR="04E66554" w:rsidRPr="008055E6">
        <w:rPr>
          <w:rFonts w:eastAsia="Arial" w:cs="Arial"/>
          <w:color w:val="000000" w:themeColor="text1"/>
        </w:rPr>
        <w:t>22</w:t>
      </w:r>
      <w:r w:rsidRPr="63577F64">
        <w:rPr>
          <w:rFonts w:eastAsia="Arial" w:cs="Arial"/>
          <w:color w:val="000000" w:themeColor="text1"/>
        </w:rPr>
        <w:t>).</w:t>
      </w:r>
    </w:p>
    <w:p w14:paraId="43D05BA2" w14:textId="5E152BFB" w:rsidR="00CA3496" w:rsidRDefault="34163CC1" w:rsidP="63577F64">
      <w:pPr>
        <w:spacing w:line="259" w:lineRule="auto"/>
        <w:rPr>
          <w:rFonts w:eastAsia="Arial" w:cs="Arial"/>
          <w:color w:val="000000" w:themeColor="text1"/>
        </w:rPr>
      </w:pPr>
      <w:r w:rsidRPr="7DBC9343">
        <w:rPr>
          <w:rFonts w:eastAsia="Arial" w:cs="Arial"/>
          <w:color w:val="000000" w:themeColor="text1"/>
        </w:rPr>
        <w:t>Highlands</w:t>
      </w:r>
      <w:r w:rsidR="13F20B41" w:rsidRPr="63577F64">
        <w:rPr>
          <w:rFonts w:eastAsia="Arial" w:cs="Arial"/>
          <w:color w:val="000000" w:themeColor="text1"/>
        </w:rPr>
        <w:t xml:space="preserve"> also </w:t>
      </w:r>
      <w:r w:rsidR="67113DB3" w:rsidRPr="63577F64">
        <w:rPr>
          <w:rFonts w:eastAsia="Arial" w:cs="Arial"/>
          <w:color w:val="000000" w:themeColor="text1"/>
        </w:rPr>
        <w:t>asserts</w:t>
      </w:r>
      <w:r w:rsidR="13F20B41" w:rsidRPr="63577F64">
        <w:rPr>
          <w:rFonts w:eastAsia="Arial" w:cs="Arial"/>
          <w:color w:val="000000" w:themeColor="text1"/>
        </w:rPr>
        <w:t xml:space="preserve"> that procedural deficiencies </w:t>
      </w:r>
      <w:r w:rsidR="67113DB3" w:rsidRPr="63577F64">
        <w:rPr>
          <w:rFonts w:eastAsia="Arial" w:cs="Arial"/>
          <w:color w:val="000000" w:themeColor="text1"/>
        </w:rPr>
        <w:t>hindered</w:t>
      </w:r>
      <w:r w:rsidR="13F20B41" w:rsidRPr="63577F64">
        <w:rPr>
          <w:rFonts w:eastAsia="Arial" w:cs="Arial"/>
          <w:color w:val="000000" w:themeColor="text1"/>
        </w:rPr>
        <w:t xml:space="preserve"> its ability to refute or remedy the alleged violations. Specifically, </w:t>
      </w:r>
      <w:r w:rsidR="3AEB13F2" w:rsidRPr="7DBC9343">
        <w:rPr>
          <w:rFonts w:eastAsia="Arial" w:cs="Arial"/>
          <w:color w:val="000000" w:themeColor="text1"/>
        </w:rPr>
        <w:t>Highlands</w:t>
      </w:r>
      <w:r w:rsidR="13F20B41" w:rsidRPr="63577F64">
        <w:rPr>
          <w:rFonts w:eastAsia="Arial" w:cs="Arial"/>
          <w:color w:val="000000" w:themeColor="text1"/>
        </w:rPr>
        <w:t xml:space="preserve"> contends that TRUSD failed to provide a reasonable opportunity to remedy certain violations, improperly disregarded proposed remedial actions, extended deadlines for submitting evidence </w:t>
      </w:r>
      <w:r w:rsidR="67113DB3" w:rsidRPr="63577F64">
        <w:rPr>
          <w:rFonts w:eastAsia="Arial" w:cs="Arial"/>
          <w:color w:val="000000" w:themeColor="text1"/>
        </w:rPr>
        <w:t>of remedies and later relied on the original deadline, and denied a material revision request intended to remedy certain violations (</w:t>
      </w:r>
      <w:r w:rsidR="741DBD62" w:rsidRPr="741DBD62">
        <w:rPr>
          <w:rFonts w:eastAsia="Arial" w:cs="Arial"/>
          <w:color w:val="000000" w:themeColor="text1"/>
        </w:rPr>
        <w:t xml:space="preserve">Attachment </w:t>
      </w:r>
      <w:r w:rsidR="00C878E3">
        <w:rPr>
          <w:rFonts w:eastAsia="Arial" w:cs="Arial"/>
          <w:color w:val="000000" w:themeColor="text1"/>
        </w:rPr>
        <w:t>4</w:t>
      </w:r>
      <w:r w:rsidR="67113DB3" w:rsidRPr="741DBD62">
        <w:rPr>
          <w:rFonts w:eastAsia="Arial" w:cs="Arial"/>
          <w:color w:val="000000" w:themeColor="text1"/>
        </w:rPr>
        <w:t>, pp. 5</w:t>
      </w:r>
      <w:r w:rsidR="79197918" w:rsidRPr="741DBD62">
        <w:rPr>
          <w:rFonts w:eastAsia="Arial" w:cs="Arial"/>
          <w:color w:val="242424"/>
        </w:rPr>
        <w:t>–</w:t>
      </w:r>
      <w:r w:rsidR="67113DB3" w:rsidRPr="741DBD62">
        <w:rPr>
          <w:rFonts w:eastAsia="Arial" w:cs="Arial"/>
          <w:color w:val="000000" w:themeColor="text1"/>
        </w:rPr>
        <w:t>7, 22</w:t>
      </w:r>
      <w:r w:rsidR="48160DAA" w:rsidRPr="741DBD62">
        <w:rPr>
          <w:rFonts w:eastAsia="Arial" w:cs="Arial"/>
          <w:color w:val="242424"/>
        </w:rPr>
        <w:t>–</w:t>
      </w:r>
      <w:r w:rsidR="67113DB3" w:rsidRPr="741DBD62">
        <w:rPr>
          <w:rFonts w:eastAsia="Arial" w:cs="Arial"/>
          <w:color w:val="000000" w:themeColor="text1"/>
        </w:rPr>
        <w:t>29</w:t>
      </w:r>
      <w:r w:rsidR="67113DB3" w:rsidRPr="63577F64">
        <w:rPr>
          <w:rFonts w:eastAsia="Arial" w:cs="Arial"/>
          <w:color w:val="000000" w:themeColor="text1"/>
        </w:rPr>
        <w:t xml:space="preserve">). </w:t>
      </w:r>
    </w:p>
    <w:p w14:paraId="12E6A497" w14:textId="6699968A" w:rsidR="00464847" w:rsidRPr="00A17190" w:rsidRDefault="005E12CA" w:rsidP="00464847">
      <w:pPr>
        <w:pStyle w:val="Heading2"/>
      </w:pPr>
      <w:r w:rsidRPr="005E12CA">
        <w:t xml:space="preserve">California Department of Education's </w:t>
      </w:r>
      <w:r w:rsidR="00EE4F89">
        <w:t>Analysis</w:t>
      </w:r>
    </w:p>
    <w:p w14:paraId="72A65C46" w14:textId="0DBECFDE" w:rsidR="00EE4F89" w:rsidRDefault="00EE4F89" w:rsidP="00EE4F89">
      <w:r>
        <w:t xml:space="preserve">Under </w:t>
      </w:r>
      <w:r w:rsidRPr="00EE4F89">
        <w:rPr>
          <w:i/>
          <w:iCs/>
        </w:rPr>
        <w:t>EC</w:t>
      </w:r>
      <w:r>
        <w:t xml:space="preserve"> Section 47607(</w:t>
      </w:r>
      <w:proofErr w:type="spellStart"/>
      <w:r>
        <w:t>i</w:t>
      </w:r>
      <w:proofErr w:type="spellEnd"/>
      <w:r>
        <w:t>)(4), the SBE may reverse the revocation decision if it determines that the findings made by the chartering authority are not supported by substantial evidence and may uphold the revocation decision if it determines that those findings are supported by substantial evidence.</w:t>
      </w:r>
    </w:p>
    <w:p w14:paraId="2C65FB26" w14:textId="41DC28F9" w:rsidR="00F51062" w:rsidRDefault="00166288" w:rsidP="00F51062">
      <w:pPr>
        <w:pStyle w:val="Heading3"/>
      </w:pPr>
      <w:r>
        <w:t>District Findings Supported by Substantial Evidence</w:t>
      </w:r>
    </w:p>
    <w:p w14:paraId="6A557721" w14:textId="04AA44F8" w:rsidR="00EE4F89" w:rsidRDefault="00EE4F89" w:rsidP="00EE4F89">
      <w:r>
        <w:t xml:space="preserve">After reviewing the administrative record and arguments submitted by the parties to this appeal, the CDE </w:t>
      </w:r>
      <w:r w:rsidR="004F709C">
        <w:t>proposes to recommend</w:t>
      </w:r>
      <w:r>
        <w:t xml:space="preserve"> </w:t>
      </w:r>
      <w:r w:rsidR="00783305">
        <w:t>the</w:t>
      </w:r>
      <w:r w:rsidR="004F709C">
        <w:t xml:space="preserve"> SBE </w:t>
      </w:r>
      <w:r w:rsidR="00FE58F0">
        <w:t>d</w:t>
      </w:r>
      <w:r w:rsidR="00FA2AF0">
        <w:t xml:space="preserve">etermine </w:t>
      </w:r>
      <w:r w:rsidR="00FE58F0">
        <w:t xml:space="preserve">that </w:t>
      </w:r>
      <w:r>
        <w:t xml:space="preserve">TRUSD made written factual findings in accordance with </w:t>
      </w:r>
      <w:r w:rsidRPr="00EE4F89">
        <w:rPr>
          <w:i/>
          <w:iCs/>
        </w:rPr>
        <w:t>EC</w:t>
      </w:r>
      <w:r>
        <w:t xml:space="preserve"> Section 47607(h) and that TRUSD's findings in support of the revocation of </w:t>
      </w:r>
      <w:r w:rsidR="00800698">
        <w:rPr>
          <w:rFonts w:cs="Arial"/>
        </w:rPr>
        <w:t>Highlands’</w:t>
      </w:r>
      <w:r w:rsidR="00800698" w:rsidRPr="6923EF3B">
        <w:rPr>
          <w:rFonts w:cs="Arial"/>
        </w:rPr>
        <w:t xml:space="preserve"> </w:t>
      </w:r>
      <w:r>
        <w:t>charter are supported by substantial evidence in the record.</w:t>
      </w:r>
      <w:r w:rsidR="001C3261">
        <w:t xml:space="preserve"> </w:t>
      </w:r>
      <w:r w:rsidR="001C3261" w:rsidRPr="001C3261">
        <w:t>The record also contains evidence Highlands submitted in response to the NOV and NIR, which Highlands characterizes as remedying these violations. Under the substantial evidence standard, the SBE must resolve such conflicts in the evidence in favor of TRUSD's determination unless no reasonable person could have reached the same conclusion.</w:t>
      </w:r>
    </w:p>
    <w:p w14:paraId="0B6E8005" w14:textId="04ECD6AA" w:rsidR="00366070" w:rsidRDefault="00783305" w:rsidP="741DBD62">
      <w:pPr>
        <w:spacing w:line="259" w:lineRule="auto"/>
      </w:pPr>
      <w:r>
        <w:t xml:space="preserve">The </w:t>
      </w:r>
      <w:r w:rsidR="00EE4F89">
        <w:t xml:space="preserve">TRUSD </w:t>
      </w:r>
      <w:r w:rsidR="4877A1F6">
        <w:t>G</w:t>
      </w:r>
      <w:r w:rsidR="3714115E">
        <w:t xml:space="preserve">overning </w:t>
      </w:r>
      <w:r w:rsidR="7803E52E">
        <w:t>B</w:t>
      </w:r>
      <w:r w:rsidR="3714115E">
        <w:t>oard</w:t>
      </w:r>
      <w:r w:rsidR="00EE4F89">
        <w:t xml:space="preserve"> revoked </w:t>
      </w:r>
      <w:r w:rsidR="5F8588D3" w:rsidRPr="1D1ABD05">
        <w:rPr>
          <w:rFonts w:cs="Arial"/>
        </w:rPr>
        <w:t xml:space="preserve">HCCS’s </w:t>
      </w:r>
      <w:r w:rsidR="00EE4F89">
        <w:t xml:space="preserve">charter upon making the findings required by </w:t>
      </w:r>
      <w:r w:rsidR="00EE4F89" w:rsidRPr="1D1ABD05">
        <w:rPr>
          <w:i/>
        </w:rPr>
        <w:t xml:space="preserve">EC </w:t>
      </w:r>
      <w:r w:rsidR="00EE4F89">
        <w:t xml:space="preserve">Section 47607(f), each supported by evidence in the documentary record. The finding that </w:t>
      </w:r>
      <w:r w:rsidR="4A4AEE1A">
        <w:t>Highlands</w:t>
      </w:r>
      <w:r w:rsidR="00EE4F89">
        <w:t xml:space="preserve"> committed a material violation of the conditions, standards, or procedures of its charter is supported by evidence that </w:t>
      </w:r>
      <w:r w:rsidR="00661A20">
        <w:t xml:space="preserve">HCCS </w:t>
      </w:r>
      <w:r w:rsidR="00EE4F89">
        <w:t xml:space="preserve">served grade levels not authorized in its charter and that </w:t>
      </w:r>
      <w:r w:rsidR="26E58AE1">
        <w:t>Highlands</w:t>
      </w:r>
      <w:r w:rsidR="00EE4F89">
        <w:t xml:space="preserve"> operated additional locations without obtaining approval through the required material revision process (</w:t>
      </w:r>
      <w:r w:rsidR="3714115E">
        <w:t>Attachment 3</w:t>
      </w:r>
      <w:r w:rsidR="00EE4F89">
        <w:t xml:space="preserve">, pp. </w:t>
      </w:r>
      <w:r w:rsidR="3714115E">
        <w:t>1222</w:t>
      </w:r>
      <w:r w:rsidR="3714115E" w:rsidRPr="4125C88A">
        <w:rPr>
          <w:rFonts w:eastAsia="Arial" w:cs="Arial"/>
          <w:color w:val="242424"/>
        </w:rPr>
        <w:t>–</w:t>
      </w:r>
      <w:r w:rsidR="3714115E">
        <w:t>1225).</w:t>
      </w:r>
      <w:r w:rsidR="00293C31">
        <w:t xml:space="preserve"> </w:t>
      </w:r>
      <w:r w:rsidR="00293C31" w:rsidRPr="00293C31">
        <w:t xml:space="preserve">Highlands did not submit a material revision request to authorize these grade levels and locations until close to the end of the remedy period, and </w:t>
      </w:r>
      <w:r w:rsidR="007A7EF9">
        <w:t xml:space="preserve">the </w:t>
      </w:r>
      <w:r w:rsidR="00293C31" w:rsidRPr="00293C31">
        <w:t xml:space="preserve">TRUSD </w:t>
      </w:r>
      <w:r w:rsidR="714CC6A0">
        <w:t xml:space="preserve">Governing Board </w:t>
      </w:r>
      <w:r w:rsidR="00293C31" w:rsidRPr="00293C31">
        <w:t>denied the request on December 2, 2025</w:t>
      </w:r>
      <w:r w:rsidR="00FE3BF5" w:rsidRPr="00FE3BF5">
        <w:t>. As of the January 30, 2026</w:t>
      </w:r>
      <w:r w:rsidR="00FE3BF5">
        <w:t>,</w:t>
      </w:r>
      <w:r w:rsidR="00FE3BF5" w:rsidRPr="00FE3BF5">
        <w:t xml:space="preserve"> revocation, </w:t>
      </w:r>
      <w:r>
        <w:t xml:space="preserve">the </w:t>
      </w:r>
      <w:r w:rsidR="00FE3BF5" w:rsidRPr="00FE3BF5">
        <w:t xml:space="preserve">TRUSD </w:t>
      </w:r>
      <w:r w:rsidR="789552BF">
        <w:t xml:space="preserve">Board </w:t>
      </w:r>
      <w:r w:rsidR="00FE3BF5" w:rsidRPr="00FE3BF5">
        <w:t>determined that Highlands had not achieved a satisfactory remedy, since no alternative path to authorization existed once the material revision was denied.</w:t>
      </w:r>
    </w:p>
    <w:p w14:paraId="73DE14DC" w14:textId="3CE241AE" w:rsidR="00A40865" w:rsidRDefault="00EE4F89" w:rsidP="741DBD62">
      <w:pPr>
        <w:spacing w:line="259" w:lineRule="auto"/>
      </w:pPr>
      <w:r>
        <w:t xml:space="preserve">The finding that </w:t>
      </w:r>
      <w:r w:rsidR="4556D83D">
        <w:t>Highlands</w:t>
      </w:r>
      <w:r>
        <w:t xml:space="preserve"> engaged in fiscal mismanagement is supported by evidence that </w:t>
      </w:r>
      <w:r w:rsidR="54033797">
        <w:t>Highlands</w:t>
      </w:r>
      <w:r>
        <w:t xml:space="preserve"> expended public funds on an administrative facility in San Diego that was not </w:t>
      </w:r>
      <w:r w:rsidR="63854844">
        <w:t xml:space="preserve">located </w:t>
      </w:r>
      <w:r>
        <w:t xml:space="preserve">near any </w:t>
      </w:r>
      <w:r w:rsidR="002E0730">
        <w:t xml:space="preserve">HCCS </w:t>
      </w:r>
      <w:r>
        <w:t xml:space="preserve">student location, and on a second facility in Marysville that </w:t>
      </w:r>
      <w:r>
        <w:lastRenderedPageBreak/>
        <w:t>was not used to serve students (</w:t>
      </w:r>
      <w:r w:rsidR="682C36D2">
        <w:t>Attachment 3</w:t>
      </w:r>
      <w:r>
        <w:t xml:space="preserve">, pp. </w:t>
      </w:r>
      <w:r w:rsidR="682C36D2">
        <w:t>1231</w:t>
      </w:r>
      <w:r w:rsidR="682C36D2" w:rsidRPr="4125C88A">
        <w:rPr>
          <w:rFonts w:eastAsia="Arial" w:cs="Arial"/>
          <w:color w:val="242424"/>
        </w:rPr>
        <w:t>–</w:t>
      </w:r>
      <w:r w:rsidR="682C36D2">
        <w:t>1233).</w:t>
      </w:r>
      <w:r>
        <w:t xml:space="preserve"> </w:t>
      </w:r>
      <w:r w:rsidR="00A40865" w:rsidRPr="00A40865">
        <w:t xml:space="preserve">Highlands states it terminated the San Diego lease on November 15, 2025, and the Marysville 2 lease effective November 30, 2024. </w:t>
      </w:r>
      <w:r w:rsidR="00783305">
        <w:t xml:space="preserve">The </w:t>
      </w:r>
      <w:r w:rsidR="00A40865" w:rsidRPr="00A40865">
        <w:t>TRUSD</w:t>
      </w:r>
      <w:r w:rsidR="004262FA">
        <w:t xml:space="preserve"> </w:t>
      </w:r>
      <w:r w:rsidR="002E0730">
        <w:t>B</w:t>
      </w:r>
      <w:r w:rsidR="004262FA">
        <w:t>oard</w:t>
      </w:r>
      <w:r w:rsidR="00A40865" w:rsidRPr="00A40865">
        <w:t xml:space="preserve"> determined neither action remedied the violation: the San Diego lease was not terminated until well after the close of the remedy period, and the Marysville 2 termination agreement itself left Highlands financially obligated on the lease through April 30, 2026, seven months beyond the remedy period's expiration.</w:t>
      </w:r>
    </w:p>
    <w:p w14:paraId="7B6B8F17" w14:textId="4E453CB7" w:rsidR="0065510D" w:rsidRDefault="00EE4F89" w:rsidP="00A15533">
      <w:pPr>
        <w:spacing w:line="259" w:lineRule="auto"/>
      </w:pPr>
      <w:r w:rsidRPr="00EE4F89">
        <w:t xml:space="preserve">The finding that </w:t>
      </w:r>
      <w:r w:rsidR="715D66C0">
        <w:t>Highlands</w:t>
      </w:r>
      <w:r w:rsidRPr="00EE4F89">
        <w:t xml:space="preserve"> violated the law is supported by evidence that </w:t>
      </w:r>
      <w:r w:rsidR="715D66C0">
        <w:t>Highlands</w:t>
      </w:r>
      <w:r w:rsidRPr="00EE4F89">
        <w:t xml:space="preserve"> failed to submit</w:t>
      </w:r>
      <w:r w:rsidR="00EC23D9">
        <w:t xml:space="preserve"> </w:t>
      </w:r>
      <w:r w:rsidR="7E24396F">
        <w:t xml:space="preserve">HCCS’s </w:t>
      </w:r>
      <w:r w:rsidRPr="00EE4F89">
        <w:t xml:space="preserve">annual independent audit report as required by </w:t>
      </w:r>
      <w:r w:rsidRPr="00EE4F89">
        <w:rPr>
          <w:i/>
          <w:iCs/>
        </w:rPr>
        <w:t>EC</w:t>
      </w:r>
      <w:r w:rsidRPr="00EE4F89">
        <w:t xml:space="preserve"> Section 47605(m</w:t>
      </w:r>
      <w:r w:rsidR="7B963B01">
        <w:t>)</w:t>
      </w:r>
      <w:r w:rsidR="00977C2E">
        <w:t xml:space="preserve"> and</w:t>
      </w:r>
      <w:r w:rsidRPr="00EE4F89">
        <w:t xml:space="preserve"> did not maintain sufficient documentation to demonstrate compliance with instructional minute requirements under </w:t>
      </w:r>
      <w:r w:rsidRPr="00EE4F89">
        <w:rPr>
          <w:i/>
          <w:iCs/>
        </w:rPr>
        <w:t>EC</w:t>
      </w:r>
      <w:r w:rsidRPr="00EE4F89">
        <w:t xml:space="preserve"> Section 47612.5 (</w:t>
      </w:r>
      <w:r w:rsidR="3714115E">
        <w:t>Attachment 3</w:t>
      </w:r>
      <w:r>
        <w:t xml:space="preserve">, pp. </w:t>
      </w:r>
      <w:r w:rsidR="3714115E">
        <w:t>1225</w:t>
      </w:r>
      <w:r w:rsidR="3714115E" w:rsidRPr="0E798E82">
        <w:rPr>
          <w:rFonts w:eastAsia="Arial" w:cs="Arial"/>
          <w:color w:val="242424"/>
        </w:rPr>
        <w:t>–</w:t>
      </w:r>
      <w:r w:rsidR="3714115E">
        <w:t>1227).</w:t>
      </w:r>
      <w:r w:rsidR="00441442">
        <w:t xml:space="preserve"> </w:t>
      </w:r>
      <w:r w:rsidR="00441442" w:rsidRPr="00441442">
        <w:t xml:space="preserve">Highlands submitted </w:t>
      </w:r>
      <w:r w:rsidR="009B7E11">
        <w:t>its fiscal year (FY</w:t>
      </w:r>
      <w:r w:rsidR="00A93CA6">
        <w:t>) 2023</w:t>
      </w:r>
      <w:r w:rsidR="7E0060D5" w:rsidRPr="4125C88A">
        <w:rPr>
          <w:rFonts w:eastAsia="Arial" w:cs="Arial"/>
          <w:color w:val="242424"/>
        </w:rPr>
        <w:t>–</w:t>
      </w:r>
      <w:r w:rsidR="00A93CA6">
        <w:t xml:space="preserve">24 </w:t>
      </w:r>
      <w:r w:rsidR="00441442" w:rsidRPr="00441442">
        <w:t>audit report on January 2, 2026, over three months after the close of the remedy period</w:t>
      </w:r>
      <w:r w:rsidR="00817E7D">
        <w:t>.</w:t>
      </w:r>
      <w:r w:rsidR="3714115E">
        <w:t xml:space="preserve"> </w:t>
      </w:r>
      <w:r w:rsidR="00CB11E7">
        <w:t>T</w:t>
      </w:r>
      <w:r w:rsidR="00441442" w:rsidRPr="00441442">
        <w:t xml:space="preserve">he State Controller's Office rejected </w:t>
      </w:r>
      <w:r w:rsidR="00CB11E7">
        <w:t xml:space="preserve">the report </w:t>
      </w:r>
      <w:r w:rsidR="00441442" w:rsidRPr="00441442">
        <w:t>for failing to meet minimum reporting standards</w:t>
      </w:r>
      <w:r w:rsidR="00CB11E7">
        <w:t xml:space="preserve">; as a result, </w:t>
      </w:r>
      <w:r w:rsidR="00F26727">
        <w:t>the audit requirement remains unmet</w:t>
      </w:r>
      <w:r w:rsidR="00441442" w:rsidRPr="00441442">
        <w:t>.</w:t>
      </w:r>
      <w:r w:rsidR="00D24EBD">
        <w:rPr>
          <w:rStyle w:val="FootnoteReference"/>
        </w:rPr>
        <w:footnoteReference w:id="2"/>
      </w:r>
      <w:r w:rsidR="00441442" w:rsidRPr="00441442">
        <w:t xml:space="preserve"> On instructional minutes, Highlands submitted a corrected attendance calendar on October 13, 2025, </w:t>
      </w:r>
      <w:r w:rsidR="62CE03FC">
        <w:t xml:space="preserve">17 </w:t>
      </w:r>
      <w:r w:rsidR="00441442" w:rsidRPr="00441442">
        <w:t>days after the close of the remedy period, and that calendar had not yet been approved by the Highlands board at that time.</w:t>
      </w:r>
      <w:r w:rsidR="000C5D07">
        <w:t xml:space="preserve"> </w:t>
      </w:r>
      <w:r w:rsidR="000C5D07" w:rsidRPr="000C5D07">
        <w:t>While the CDE was unable to identify evidence establishing whether the WIOA partnership violation identified in the NIR remained unremedied as of the close of the remedy period, the finding that Highlands violated the law is nonetheless supported by substantial evidence.</w:t>
      </w:r>
    </w:p>
    <w:p w14:paraId="7346B46B" w14:textId="36370A76" w:rsidR="00986057" w:rsidRDefault="00EE4F89" w:rsidP="1D1ABD05">
      <w:pPr>
        <w:spacing w:line="259" w:lineRule="auto"/>
      </w:pPr>
      <w:r>
        <w:t xml:space="preserve">In its written opposition, </w:t>
      </w:r>
      <w:r w:rsidR="00A77A94" w:rsidRPr="007E22AD">
        <w:t>Highlands</w:t>
      </w:r>
      <w:r w:rsidR="005E4AB2">
        <w:t xml:space="preserve"> argues that </w:t>
      </w:r>
      <w:r w:rsidR="00082879">
        <w:t>TRUSD’s</w:t>
      </w:r>
      <w:r w:rsidR="00EA2F03">
        <w:t xml:space="preserve"> revocation decision did not cite specific</w:t>
      </w:r>
      <w:r w:rsidR="00D376AB">
        <w:t xml:space="preserve"> evidence to support the revocation decision, </w:t>
      </w:r>
      <w:r w:rsidR="00253F6E">
        <w:t xml:space="preserve">and in the next sentence, quotes the TRUSD </w:t>
      </w:r>
      <w:r w:rsidR="17253048">
        <w:t>B</w:t>
      </w:r>
      <w:r w:rsidR="00253F6E">
        <w:t>oard resolution’s citation of the NIR</w:t>
      </w:r>
      <w:r w:rsidR="00703911">
        <w:t xml:space="preserve">, which is incorporated into TRUSD’s findings and lays out </w:t>
      </w:r>
      <w:r w:rsidR="005577EF">
        <w:t>the evidence supporting each unremedied violation.</w:t>
      </w:r>
      <w:r w:rsidR="005D7F46">
        <w:t xml:space="preserve"> Highlands then challenges each</w:t>
      </w:r>
      <w:r w:rsidR="00CE2CD4">
        <w:t xml:space="preserve"> component of TRUSD’s findings</w:t>
      </w:r>
      <w:r w:rsidR="003917A9">
        <w:t xml:space="preserve">, </w:t>
      </w:r>
      <w:r w:rsidR="00CE2CD4">
        <w:t xml:space="preserve">but </w:t>
      </w:r>
      <w:r w:rsidR="00AB6962">
        <w:t>Highland</w:t>
      </w:r>
      <w:r w:rsidR="00C92685">
        <w:t>s’</w:t>
      </w:r>
      <w:r w:rsidR="003A200C">
        <w:t xml:space="preserve"> arguments do not</w:t>
      </w:r>
      <w:r w:rsidR="00672288">
        <w:t xml:space="preserve"> undermine the evidentiary basis TRUSD relied on for its findings. Rather, Highlands puts forth evidence it believes contradicts </w:t>
      </w:r>
      <w:r w:rsidR="004A5605">
        <w:t>the evidence TRUSD relied on</w:t>
      </w:r>
      <w:r w:rsidR="00893C45">
        <w:t>,</w:t>
      </w:r>
      <w:r w:rsidR="00C92685">
        <w:t xml:space="preserve"> </w:t>
      </w:r>
      <w:r w:rsidR="00893C45">
        <w:t xml:space="preserve">contending that each of the identified violations was refuted or remedied </w:t>
      </w:r>
      <w:r w:rsidR="009D261F">
        <w:t xml:space="preserve">before </w:t>
      </w:r>
      <w:r w:rsidR="1758C1D8">
        <w:t xml:space="preserve">the </w:t>
      </w:r>
      <w:r w:rsidR="00D1099A">
        <w:t xml:space="preserve">TRUSD </w:t>
      </w:r>
      <w:r w:rsidR="00DC1247">
        <w:t>G</w:t>
      </w:r>
      <w:r w:rsidR="1758C1D8">
        <w:t xml:space="preserve">overning </w:t>
      </w:r>
      <w:r w:rsidR="00DC1247">
        <w:t>B</w:t>
      </w:r>
      <w:r w:rsidR="1758C1D8">
        <w:t>oard</w:t>
      </w:r>
      <w:r w:rsidR="009D261F">
        <w:t xml:space="preserve"> voted to revoke the HCCS charter on</w:t>
      </w:r>
      <w:r w:rsidR="1758C1D8">
        <w:t xml:space="preserve"> January</w:t>
      </w:r>
      <w:r w:rsidR="009D261F">
        <w:t xml:space="preserve"> 30, 2026</w:t>
      </w:r>
      <w:r w:rsidR="00395CDA">
        <w:t>, and that</w:t>
      </w:r>
      <w:r w:rsidR="00D30145">
        <w:t>,</w:t>
      </w:r>
      <w:r w:rsidR="00395CDA">
        <w:t xml:space="preserve"> therefore</w:t>
      </w:r>
      <w:r w:rsidR="00D30145">
        <w:t>,</w:t>
      </w:r>
      <w:r w:rsidR="00395CDA">
        <w:t xml:space="preserve"> revocation was not “warranted” (Attachment 4, p. 16)</w:t>
      </w:r>
      <w:r w:rsidR="009D261F">
        <w:t>.</w:t>
      </w:r>
      <w:r w:rsidR="0033624C">
        <w:t xml:space="preserve"> </w:t>
      </w:r>
      <w:r w:rsidR="00395CDA" w:rsidRPr="00395CDA">
        <w:t xml:space="preserve">However, the remedy period adopted in the NOV </w:t>
      </w:r>
      <w:r w:rsidR="00395CDA">
        <w:t xml:space="preserve">(discussed further below) </w:t>
      </w:r>
      <w:r w:rsidR="00395CDA" w:rsidRPr="00395CDA">
        <w:t xml:space="preserve">ended on September 26, 2025, and the substantial evidence standard </w:t>
      </w:r>
      <w:r w:rsidR="00395CDA">
        <w:t xml:space="preserve">for charter revocation appeals </w:t>
      </w:r>
      <w:r w:rsidR="00395CDA" w:rsidRPr="00395CDA">
        <w:t>does not ask whether revocation was "warranted," only whether TRUSD's findings are supported by evidence in the record.</w:t>
      </w:r>
      <w:r w:rsidR="009F4043">
        <w:t xml:space="preserve"> </w:t>
      </w:r>
    </w:p>
    <w:p w14:paraId="54817F74" w14:textId="1EB5A74A" w:rsidR="00E967B9" w:rsidRDefault="00E967B9" w:rsidP="1D1ABD05">
      <w:pPr>
        <w:spacing w:line="259" w:lineRule="auto"/>
      </w:pPr>
      <w:r w:rsidRPr="00E967B9">
        <w:t xml:space="preserve">Highlands also relies on the January 27, 2026, recommendation of TRUSD </w:t>
      </w:r>
      <w:r w:rsidR="00DC1247">
        <w:t>S</w:t>
      </w:r>
      <w:r w:rsidRPr="00E967B9">
        <w:t xml:space="preserve">taff that the TRUSD Governing Board decline to revoke the HCCS charter (Attachment </w:t>
      </w:r>
      <w:r w:rsidR="002F14D2">
        <w:t>4</w:t>
      </w:r>
      <w:r w:rsidRPr="00E967B9">
        <w:t xml:space="preserve">, p. 23). </w:t>
      </w:r>
      <w:r w:rsidRPr="00E967B9">
        <w:lastRenderedPageBreak/>
        <w:t xml:space="preserve">However, the authority to revoke a </w:t>
      </w:r>
      <w:proofErr w:type="gramStart"/>
      <w:r w:rsidRPr="00E967B9">
        <w:t>charter rests</w:t>
      </w:r>
      <w:proofErr w:type="gramEnd"/>
      <w:r w:rsidRPr="00E967B9">
        <w:t xml:space="preserve"> with the TRUSD Governing Board, which is not bound by a staff recommendation (</w:t>
      </w:r>
      <w:r w:rsidRPr="00C74867">
        <w:rPr>
          <w:i/>
          <w:iCs/>
        </w:rPr>
        <w:t>EC</w:t>
      </w:r>
      <w:r w:rsidRPr="00E967B9">
        <w:t xml:space="preserve"> </w:t>
      </w:r>
      <w:r w:rsidR="00DC1247">
        <w:t>s</w:t>
      </w:r>
      <w:r w:rsidRPr="00E967B9">
        <w:t>ection</w:t>
      </w:r>
      <w:r w:rsidR="00DC1247">
        <w:t>s</w:t>
      </w:r>
      <w:r w:rsidRPr="00E967B9">
        <w:t xml:space="preserve"> 47607</w:t>
      </w:r>
      <w:r w:rsidR="00FE227F">
        <w:t>[</w:t>
      </w:r>
      <w:r w:rsidRPr="00E967B9">
        <w:t>f</w:t>
      </w:r>
      <w:r w:rsidR="00FE227F">
        <w:t>]</w:t>
      </w:r>
      <w:r w:rsidRPr="00E967B9">
        <w:t xml:space="preserve">, </w:t>
      </w:r>
      <w:r w:rsidR="00FE227F">
        <w:t>[</w:t>
      </w:r>
      <w:r w:rsidRPr="00E967B9">
        <w:t>h</w:t>
      </w:r>
      <w:r w:rsidR="00FE227F">
        <w:t>]</w:t>
      </w:r>
      <w:r w:rsidRPr="00E967B9">
        <w:t>). Further, the minutes of the January 27, 2026, meeting show that the staff recommendation was based on documentation and evidence Highlands submitted after the conclusion of the remedy period (Attachment 3, p. 817</w:t>
      </w:r>
      <w:r w:rsidR="00CB3783">
        <w:t>4</w:t>
      </w:r>
      <w:r w:rsidRPr="00E967B9">
        <w:t>). Under the substantial evidence standard, the question is whether the TRUSD Governing Board's findings are supported by evidence in the record, not whether the record could also support the different conclusion staff reached.</w:t>
      </w:r>
    </w:p>
    <w:p w14:paraId="680EC342" w14:textId="1B1E7E74" w:rsidR="00530BB4" w:rsidRDefault="00E174A0" w:rsidP="00530BB4">
      <w:pPr>
        <w:pStyle w:val="Heading3"/>
      </w:pPr>
      <w:r>
        <w:t>Reasonable Opportunity to Cure</w:t>
      </w:r>
    </w:p>
    <w:p w14:paraId="52D20F42" w14:textId="2FCD90AA" w:rsidR="00EE4F89" w:rsidRDefault="004276FC" w:rsidP="00182447">
      <w:r>
        <w:t>In its written opposition</w:t>
      </w:r>
      <w:r w:rsidR="00F93E05">
        <w:t xml:space="preserve">, </w:t>
      </w:r>
      <w:r w:rsidR="009B79FD" w:rsidRPr="009B79FD">
        <w:t>Highlands also argues that TRUSD failed to provide a reasonable opportunity to remedy the violations identified in the NOV, citing TRUSD</w:t>
      </w:r>
      <w:r w:rsidR="00DC1247">
        <w:t>’s</w:t>
      </w:r>
      <w:r w:rsidR="00E64B17">
        <w:t xml:space="preserve"> </w:t>
      </w:r>
      <w:r w:rsidR="009B79FD" w:rsidRPr="009B79FD">
        <w:t xml:space="preserve">handling of Highlands' submitted evidence, TRUSD's communications regarding the evidence deadline, and </w:t>
      </w:r>
      <w:r w:rsidR="00F27608">
        <w:t xml:space="preserve">the </w:t>
      </w:r>
      <w:r w:rsidR="009B79FD" w:rsidRPr="009B79FD">
        <w:t xml:space="preserve">TRUSD </w:t>
      </w:r>
      <w:r w:rsidR="00DC1247">
        <w:t>B</w:t>
      </w:r>
      <w:r w:rsidR="00F27608">
        <w:t xml:space="preserve">oard’s </w:t>
      </w:r>
      <w:r w:rsidR="009B79FD" w:rsidRPr="009B79FD">
        <w:t xml:space="preserve">denial of Highlands' material revision request. </w:t>
      </w:r>
      <w:r w:rsidR="00B61B65">
        <w:t>The record does not support this argument.</w:t>
      </w:r>
    </w:p>
    <w:p w14:paraId="68DE1BBC" w14:textId="29A4A882" w:rsidR="006C380F" w:rsidRPr="007F08CD" w:rsidRDefault="006E49E0" w:rsidP="741DBD62">
      <w:pPr>
        <w:spacing w:line="259" w:lineRule="auto"/>
        <w:rPr>
          <w:b/>
          <w:bCs/>
        </w:rPr>
      </w:pPr>
      <w:r w:rsidRPr="006E49E0">
        <w:t>Highlands contends that TRUSD refused to honor Highlands' September 26, 2025</w:t>
      </w:r>
      <w:r w:rsidR="0013371B">
        <w:t>,</w:t>
      </w:r>
      <w:r w:rsidRPr="006E49E0">
        <w:t xml:space="preserve"> submission date, asserting that supporting evidence was not received until September 29 when in fact TRUSD </w:t>
      </w:r>
      <w:r w:rsidR="00DC1247">
        <w:t>S</w:t>
      </w:r>
      <w:r w:rsidRPr="006E49E0">
        <w:t>taff were simply unable to open the exhibits Highlands had already submitted on time (</w:t>
      </w:r>
      <w:r w:rsidR="741DBD62">
        <w:t xml:space="preserve">Attachment </w:t>
      </w:r>
      <w:r w:rsidR="00CB3783">
        <w:t>4</w:t>
      </w:r>
      <w:r w:rsidR="741DBD62">
        <w:t>, pp.</w:t>
      </w:r>
      <w:r w:rsidRPr="006E49E0">
        <w:t xml:space="preserve"> 24–25). </w:t>
      </w:r>
      <w:r w:rsidR="006C380F">
        <w:t xml:space="preserve">However, </w:t>
      </w:r>
      <w:r w:rsidR="006C380F" w:rsidRPr="006E49E0">
        <w:t xml:space="preserve">TRUSD's </w:t>
      </w:r>
      <w:r w:rsidR="006C380F">
        <w:t>NIR</w:t>
      </w:r>
      <w:r w:rsidR="006C380F" w:rsidRPr="006E49E0">
        <w:t xml:space="preserve"> </w:t>
      </w:r>
      <w:r w:rsidR="00AE70C8">
        <w:t xml:space="preserve">clearly </w:t>
      </w:r>
      <w:r w:rsidR="006C380F" w:rsidRPr="006E49E0">
        <w:t xml:space="preserve">shows </w:t>
      </w:r>
      <w:r w:rsidR="00DC1247">
        <w:t>S</w:t>
      </w:r>
      <w:r w:rsidR="006C380F" w:rsidRPr="006E49E0">
        <w:t>taff directly reviewed and analyzed the response and supporting materials Highlands submitted, violation by violation (</w:t>
      </w:r>
      <w:r w:rsidR="741DBD62">
        <w:t>Attachment 3, pp. 1224, 1227, 1230).</w:t>
      </w:r>
    </w:p>
    <w:p w14:paraId="04A478D2" w14:textId="5858396A" w:rsidR="006E49E0" w:rsidRDefault="006E49E0" w:rsidP="741DBD62">
      <w:pPr>
        <w:spacing w:line="259" w:lineRule="auto"/>
      </w:pPr>
      <w:r w:rsidRPr="006E49E0">
        <w:t xml:space="preserve">Highlands </w:t>
      </w:r>
      <w:r w:rsidR="00AE70C8">
        <w:t>also</w:t>
      </w:r>
      <w:r w:rsidRPr="006E49E0">
        <w:t xml:space="preserve"> contends that the September 26 deadline</w:t>
      </w:r>
      <w:r w:rsidR="20AF0BDF">
        <w:t xml:space="preserve">, </w:t>
      </w:r>
      <w:r w:rsidR="00583E3A">
        <w:t>which is more than three months after the NOV was issued</w:t>
      </w:r>
      <w:r w:rsidR="20AF0BDF">
        <w:t>,</w:t>
      </w:r>
      <w:r w:rsidRPr="006E49E0">
        <w:t xml:space="preserve"> did not allow enough time to cure certain violations, and that TRUSD improperly refused to accept proposed remedial actions in place of completed compliance (</w:t>
      </w:r>
      <w:r w:rsidR="741DBD62">
        <w:t xml:space="preserve">Attachment </w:t>
      </w:r>
      <w:r w:rsidR="00CB3783">
        <w:t>4</w:t>
      </w:r>
      <w:r w:rsidR="741DBD62">
        <w:t>, pp.</w:t>
      </w:r>
      <w:r w:rsidRPr="006E49E0">
        <w:t xml:space="preserve"> 25–27)</w:t>
      </w:r>
      <w:r w:rsidR="00B470E4">
        <w:t xml:space="preserve">, but the </w:t>
      </w:r>
      <w:r w:rsidRPr="006E49E0">
        <w:t>Highlands</w:t>
      </w:r>
      <w:r w:rsidR="00B470E4">
        <w:t>’ written opposition</w:t>
      </w:r>
      <w:r w:rsidRPr="006E49E0">
        <w:t xml:space="preserve"> does not identify any evidence that TRUSD refused to consider a proposed remedial action</w:t>
      </w:r>
      <w:r w:rsidR="00B470E4">
        <w:t>.</w:t>
      </w:r>
      <w:r w:rsidRPr="006E49E0">
        <w:t xml:space="preserve"> </w:t>
      </w:r>
      <w:r w:rsidR="00B470E4">
        <w:t>A</w:t>
      </w:r>
      <w:r w:rsidRPr="006E49E0">
        <w:t xml:space="preserve">s to </w:t>
      </w:r>
      <w:r w:rsidR="00B470E4">
        <w:t xml:space="preserve">both </w:t>
      </w:r>
      <w:r w:rsidRPr="006E49E0">
        <w:t>the location</w:t>
      </w:r>
      <w:r w:rsidR="00B470E4">
        <w:t xml:space="preserve"> and grade level</w:t>
      </w:r>
      <w:r w:rsidRPr="006E49E0">
        <w:t xml:space="preserve"> violations, for example, Highlands' September 26 response offered only conditional assurance</w:t>
      </w:r>
      <w:r w:rsidR="00CE5AC9">
        <w:t xml:space="preserve"> that</w:t>
      </w:r>
      <w:r w:rsidRPr="006E49E0">
        <w:t xml:space="preserve"> </w:t>
      </w:r>
      <w:r w:rsidR="00404EE5">
        <w:t>its</w:t>
      </w:r>
      <w:r w:rsidRPr="006E49E0">
        <w:t xml:space="preserve"> compliance would follow if the material revision were </w:t>
      </w:r>
      <w:r w:rsidR="0098473D" w:rsidRPr="0098473D">
        <w:t>approved, and that it would revert to its existing charter terms if the revision were denied (</w:t>
      </w:r>
      <w:r w:rsidR="741DBD62">
        <w:t>Attachment 3, pp.</w:t>
      </w:r>
      <w:r w:rsidR="0098473D" w:rsidRPr="0098473D">
        <w:t xml:space="preserve"> </w:t>
      </w:r>
      <w:r w:rsidR="00C74867">
        <w:t xml:space="preserve">1223, </w:t>
      </w:r>
      <w:r w:rsidR="0098473D" w:rsidRPr="0098473D">
        <w:t>7716</w:t>
      </w:r>
      <w:r w:rsidR="741DBD62">
        <w:t>).</w:t>
      </w:r>
      <w:r w:rsidR="0098473D" w:rsidRPr="0098473D">
        <w:t xml:space="preserve"> Reverting to the terms of its existing charter required no action by TRUSD and remained </w:t>
      </w:r>
      <w:r w:rsidR="00A41823">
        <w:t xml:space="preserve">a viable path </w:t>
      </w:r>
      <w:r w:rsidR="4A947D55">
        <w:t xml:space="preserve">for Highlands to take </w:t>
      </w:r>
      <w:proofErr w:type="gramStart"/>
      <w:r w:rsidR="4A947D55">
        <w:t>in order to</w:t>
      </w:r>
      <w:proofErr w:type="gramEnd"/>
      <w:r w:rsidR="4A947D55">
        <w:t xml:space="preserve"> come into </w:t>
      </w:r>
      <w:r w:rsidR="00A41823">
        <w:t>compliance</w:t>
      </w:r>
      <w:r w:rsidR="0098473D" w:rsidRPr="0098473D">
        <w:t xml:space="preserve"> throughout the remedy period (</w:t>
      </w:r>
      <w:r w:rsidR="741DBD62">
        <w:t>Attachment 5, p.</w:t>
      </w:r>
      <w:r w:rsidR="0098473D" w:rsidRPr="0098473D">
        <w:t xml:space="preserve"> 7). Highlands does not explain why it did not pursue that path while awaiting a decision on the material revision.</w:t>
      </w:r>
    </w:p>
    <w:p w14:paraId="07246B71" w14:textId="0D5E52B6" w:rsidR="004276FC" w:rsidRDefault="00014389" w:rsidP="741DBD62">
      <w:pPr>
        <w:spacing w:line="259" w:lineRule="auto"/>
      </w:pPr>
      <w:r>
        <w:t xml:space="preserve">Highlands </w:t>
      </w:r>
      <w:r w:rsidR="002B0548">
        <w:t>further</w:t>
      </w:r>
      <w:r>
        <w:t xml:space="preserve"> </w:t>
      </w:r>
      <w:r w:rsidR="00AC2F20">
        <w:t>argues</w:t>
      </w:r>
      <w:r>
        <w:t xml:space="preserve"> that </w:t>
      </w:r>
      <w:r w:rsidR="00BC4AF5">
        <w:t>TRUSD</w:t>
      </w:r>
      <w:r w:rsidR="008939D2">
        <w:t xml:space="preserve"> </w:t>
      </w:r>
      <w:r w:rsidR="00DC1247">
        <w:t>S</w:t>
      </w:r>
      <w:r w:rsidR="0844C59A">
        <w:t xml:space="preserve">taff </w:t>
      </w:r>
      <w:r>
        <w:t>extended the evidence deadline to January 2, 2026</w:t>
      </w:r>
      <w:r w:rsidR="00C23BA3">
        <w:t>,</w:t>
      </w:r>
      <w:r>
        <w:t xml:space="preserve"> and then reverted to the original date, and separately that</w:t>
      </w:r>
      <w:r w:rsidR="00D309C6">
        <w:t xml:space="preserve"> the</w:t>
      </w:r>
      <w:r>
        <w:t xml:space="preserve"> TRUSD</w:t>
      </w:r>
      <w:r w:rsidR="00D309C6">
        <w:t xml:space="preserve"> </w:t>
      </w:r>
      <w:r w:rsidR="00DC1247">
        <w:t>B</w:t>
      </w:r>
      <w:r w:rsidR="00D309C6">
        <w:t>oard’s</w:t>
      </w:r>
      <w:r>
        <w:t xml:space="preserve"> December 2, 2025</w:t>
      </w:r>
      <w:r w:rsidR="6B40BFA1">
        <w:t>,</w:t>
      </w:r>
      <w:r>
        <w:t xml:space="preserve"> denial of its material revision request, combined with a broader pattern of delayed reporting and years of consenting to prior conduct, impeded its ability to remedy the alleged violations (</w:t>
      </w:r>
      <w:r w:rsidR="04E66554">
        <w:t xml:space="preserve">Attachment </w:t>
      </w:r>
      <w:r w:rsidR="00CB3783">
        <w:t>4</w:t>
      </w:r>
      <w:r>
        <w:t xml:space="preserve">, pp. 27–30). </w:t>
      </w:r>
      <w:r w:rsidR="00C23BA3">
        <w:t>First,</w:t>
      </w:r>
      <w:r w:rsidR="008E2D3F">
        <w:t xml:space="preserve"> TRUSD</w:t>
      </w:r>
      <w:r>
        <w:t xml:space="preserve"> </w:t>
      </w:r>
      <w:r w:rsidR="00DC1247">
        <w:t>S</w:t>
      </w:r>
      <w:r>
        <w:t xml:space="preserve">taff </w:t>
      </w:r>
      <w:r w:rsidR="00C12059">
        <w:t>do not have the</w:t>
      </w:r>
      <w:r>
        <w:t xml:space="preserve"> authority to extend a remedy period set by the </w:t>
      </w:r>
      <w:r w:rsidR="00DC1247">
        <w:t>G</w:t>
      </w:r>
      <w:r>
        <w:t xml:space="preserve">overning </w:t>
      </w:r>
      <w:r w:rsidR="00DC1247">
        <w:t>B</w:t>
      </w:r>
      <w:r>
        <w:t xml:space="preserve">oard through </w:t>
      </w:r>
      <w:r>
        <w:lastRenderedPageBreak/>
        <w:t>adoption of the NOV</w:t>
      </w:r>
      <w:r w:rsidR="00E43ABA">
        <w:t xml:space="preserve">, </w:t>
      </w:r>
      <w:r w:rsidR="00EE7C72">
        <w:t>as required by regulation</w:t>
      </w:r>
      <w:r>
        <w:t>, so the September 26, 2025</w:t>
      </w:r>
      <w:r w:rsidR="0FDA40B7">
        <w:t>,</w:t>
      </w:r>
      <w:r>
        <w:t xml:space="preserve"> deadline governs regardless of later </w:t>
      </w:r>
      <w:r w:rsidR="00DC1247">
        <w:t>S</w:t>
      </w:r>
      <w:r>
        <w:t>taff communications (</w:t>
      </w:r>
      <w:r w:rsidR="04E66554">
        <w:t xml:space="preserve">Attachment 3, p. </w:t>
      </w:r>
      <w:r w:rsidR="00E17EE6">
        <w:t>4</w:t>
      </w:r>
      <w:r w:rsidR="04E66554">
        <w:t>).</w:t>
      </w:r>
      <w:r w:rsidR="00A16347">
        <w:t xml:space="preserve"> The original </w:t>
      </w:r>
      <w:r w:rsidR="04E66554">
        <w:t>NOV</w:t>
      </w:r>
      <w:r w:rsidR="00A16347">
        <w:t xml:space="preserve"> deadline notwithstanding, the resolution revoking the HCCS charter indicates the board did consider evidence submitted after the close of the remedy period, despite</w:t>
      </w:r>
      <w:r w:rsidR="00D64949">
        <w:t xml:space="preserve"> having no obligation to do so.</w:t>
      </w:r>
      <w:r w:rsidR="00E5670E" w:rsidRPr="00E5670E">
        <w:t xml:space="preserve"> Second, TRUSD's</w:t>
      </w:r>
      <w:r w:rsidR="008939D2">
        <w:t xml:space="preserve"> </w:t>
      </w:r>
      <w:r w:rsidR="19B6FE61">
        <w:t>Governing</w:t>
      </w:r>
      <w:r w:rsidR="00E5670E" w:rsidRPr="00E5670E">
        <w:t xml:space="preserve"> Board did not deny the material revision request until </w:t>
      </w:r>
      <w:r w:rsidR="00DB6607">
        <w:t xml:space="preserve">December 2, 2025, </w:t>
      </w:r>
      <w:r w:rsidR="00E5670E" w:rsidRPr="00E5670E">
        <w:t xml:space="preserve">more than two months after the </w:t>
      </w:r>
      <w:proofErr w:type="gramStart"/>
      <w:r w:rsidR="00E5670E" w:rsidRPr="00E5670E">
        <w:t>close</w:t>
      </w:r>
      <w:proofErr w:type="gramEnd"/>
      <w:r w:rsidR="00E5670E" w:rsidRPr="00E5670E">
        <w:t xml:space="preserve"> of the remedy period</w:t>
      </w:r>
      <w:r w:rsidR="00DB6607">
        <w:t>. This</w:t>
      </w:r>
      <w:r w:rsidR="00E5670E" w:rsidRPr="00E5670E">
        <w:t xml:space="preserve"> after-the-fact denial could not have affected Highlands' opportunity to remedy before the deadline, particularly given the </w:t>
      </w:r>
      <w:r w:rsidR="009F5ABC">
        <w:t xml:space="preserve">viable path to compliance with </w:t>
      </w:r>
      <w:r w:rsidR="00A134C9">
        <w:t xml:space="preserve">the </w:t>
      </w:r>
      <w:r w:rsidR="009F5ABC">
        <w:t xml:space="preserve">existing </w:t>
      </w:r>
      <w:r w:rsidR="00A134C9">
        <w:t xml:space="preserve">HCCS </w:t>
      </w:r>
      <w:r w:rsidR="009F5ABC">
        <w:t xml:space="preserve">charter </w:t>
      </w:r>
      <w:r w:rsidR="00E5670E" w:rsidRPr="00E5670E">
        <w:t xml:space="preserve">noted above. By December 2, 2025, </w:t>
      </w:r>
      <w:r w:rsidR="003225BE">
        <w:t>HCCS</w:t>
      </w:r>
      <w:r w:rsidR="003225BE" w:rsidRPr="00E5670E">
        <w:t xml:space="preserve"> </w:t>
      </w:r>
      <w:r w:rsidR="00E5670E" w:rsidRPr="00E5670E">
        <w:t xml:space="preserve">was still serving students at unauthorized sites </w:t>
      </w:r>
      <w:r w:rsidR="008B24E9">
        <w:t xml:space="preserve">and in unauthorized grade levels </w:t>
      </w:r>
      <w:r w:rsidR="00E5670E" w:rsidRPr="00E5670E">
        <w:t>(</w:t>
      </w:r>
      <w:r w:rsidR="04E66554">
        <w:t xml:space="preserve">Attachment 3, p. </w:t>
      </w:r>
      <w:r w:rsidR="008D271A">
        <w:t>8221</w:t>
      </w:r>
      <w:r w:rsidR="04E66554">
        <w:t>).</w:t>
      </w:r>
      <w:r w:rsidR="00E5670E" w:rsidRPr="00E5670E">
        <w:t xml:space="preserve"> Highlands' broader pattern-of-conduct claim is unsupported by any citation independent of the allegations addressed above.</w:t>
      </w:r>
    </w:p>
    <w:p w14:paraId="05136705" w14:textId="02AB29B4" w:rsidR="00C5541C" w:rsidRPr="00A17190" w:rsidRDefault="00CC04C8" w:rsidP="00C5541C">
      <w:pPr>
        <w:pStyle w:val="Heading2"/>
      </w:pPr>
      <w:r w:rsidRPr="00A17190">
        <w:t>Conclusion</w:t>
      </w:r>
    </w:p>
    <w:p w14:paraId="7946D954" w14:textId="07422F32" w:rsidR="00EE4F89" w:rsidRPr="00EE4F89" w:rsidRDefault="00EE4F89" w:rsidP="7E349F19">
      <w:pPr>
        <w:spacing w:before="240" w:line="259" w:lineRule="auto"/>
        <w:rPr>
          <w:rFonts w:eastAsia="Calibri"/>
        </w:rPr>
      </w:pPr>
      <w:r w:rsidRPr="00EE4F89">
        <w:rPr>
          <w:rFonts w:eastAsia="Calibri"/>
        </w:rPr>
        <w:t xml:space="preserve">Based on its </w:t>
      </w:r>
      <w:r w:rsidR="00CE0217">
        <w:rPr>
          <w:rFonts w:eastAsia="Calibri"/>
        </w:rPr>
        <w:t>review</w:t>
      </w:r>
      <w:r w:rsidR="00CE0217" w:rsidRPr="00EE4F89">
        <w:rPr>
          <w:rFonts w:eastAsia="Calibri"/>
        </w:rPr>
        <w:t xml:space="preserve"> </w:t>
      </w:r>
      <w:r w:rsidRPr="00EE4F89">
        <w:rPr>
          <w:rFonts w:eastAsia="Calibri"/>
        </w:rPr>
        <w:t xml:space="preserve">of the administrative record and the arguments submitted by the parties to this appeal, the CDE </w:t>
      </w:r>
      <w:r w:rsidR="006E7D85">
        <w:rPr>
          <w:rFonts w:eastAsia="Calibri"/>
        </w:rPr>
        <w:t xml:space="preserve">proposes to recommend the SBE </w:t>
      </w:r>
      <w:r w:rsidRPr="00EE4F89">
        <w:rPr>
          <w:rFonts w:eastAsia="Calibri"/>
        </w:rPr>
        <w:t>determine that</w:t>
      </w:r>
      <w:r w:rsidR="004330CC">
        <w:rPr>
          <w:rFonts w:eastAsia="Calibri"/>
        </w:rPr>
        <w:t xml:space="preserve"> </w:t>
      </w:r>
      <w:r w:rsidR="00FC55A2">
        <w:rPr>
          <w:rFonts w:eastAsia="Calibri"/>
        </w:rPr>
        <w:t xml:space="preserve">the </w:t>
      </w:r>
      <w:r w:rsidRPr="00EE4F89">
        <w:rPr>
          <w:rFonts w:eastAsia="Calibri"/>
        </w:rPr>
        <w:t xml:space="preserve">TRUSD </w:t>
      </w:r>
      <w:r w:rsidR="25A8D448" w:rsidRPr="4125C88A">
        <w:rPr>
          <w:rFonts w:eastAsia="Calibri"/>
        </w:rPr>
        <w:t xml:space="preserve">Governing Board </w:t>
      </w:r>
      <w:r w:rsidRPr="00EE4F89">
        <w:rPr>
          <w:rFonts w:eastAsia="Calibri"/>
        </w:rPr>
        <w:t xml:space="preserve">made written factual findings in accordance with </w:t>
      </w:r>
      <w:r w:rsidRPr="00EE4F89">
        <w:rPr>
          <w:rFonts w:eastAsia="Calibri"/>
          <w:i/>
          <w:iCs/>
        </w:rPr>
        <w:t>EC</w:t>
      </w:r>
      <w:r w:rsidRPr="00EE4F89">
        <w:rPr>
          <w:rFonts w:eastAsia="Calibri"/>
        </w:rPr>
        <w:t xml:space="preserve"> Section 47607(h) and that </w:t>
      </w:r>
      <w:r w:rsidR="005A38BD">
        <w:rPr>
          <w:rFonts w:eastAsia="Calibri"/>
        </w:rPr>
        <w:t>its</w:t>
      </w:r>
      <w:r w:rsidR="005A38BD" w:rsidRPr="00EE4F89">
        <w:rPr>
          <w:rFonts w:eastAsia="Calibri"/>
        </w:rPr>
        <w:t xml:space="preserve"> </w:t>
      </w:r>
      <w:r w:rsidRPr="00EE4F89">
        <w:rPr>
          <w:rFonts w:eastAsia="Calibri"/>
        </w:rPr>
        <w:t xml:space="preserve">findings in support of the revocation of </w:t>
      </w:r>
      <w:r w:rsidR="745EB3F2" w:rsidRPr="1D1ABD05">
        <w:rPr>
          <w:rFonts w:eastAsia="Calibri"/>
        </w:rPr>
        <w:t xml:space="preserve">HCCS’s </w:t>
      </w:r>
      <w:r w:rsidRPr="00EE4F89">
        <w:rPr>
          <w:rFonts w:eastAsia="Calibri"/>
        </w:rPr>
        <w:t xml:space="preserve">charter are supported by substantial evidence in the record. Therefore, the CDE recommends the SBE uphold TRUSD's revocation of </w:t>
      </w:r>
      <w:r w:rsidR="1ACB19E3" w:rsidRPr="1D1ABD05">
        <w:rPr>
          <w:rFonts w:cs="Arial"/>
        </w:rPr>
        <w:t xml:space="preserve">HCCS’s </w:t>
      </w:r>
      <w:r w:rsidRPr="00EE4F89">
        <w:rPr>
          <w:rFonts w:eastAsia="Calibri"/>
        </w:rPr>
        <w:t>charter.</w:t>
      </w:r>
    </w:p>
    <w:p w14:paraId="1EFC7389" w14:textId="13F3D4AE" w:rsidR="00D97862" w:rsidRDefault="00EE4F89" w:rsidP="00EE4F89">
      <w:pPr>
        <w:spacing w:before="240"/>
        <w:rPr>
          <w:rFonts w:eastAsia="Calibri"/>
        </w:rPr>
      </w:pPr>
      <w:r w:rsidRPr="00EE4F89">
        <w:rPr>
          <w:rFonts w:eastAsia="Calibri"/>
        </w:rPr>
        <w:t xml:space="preserve">Under </w:t>
      </w:r>
      <w:r w:rsidRPr="00EE4F89">
        <w:rPr>
          <w:rFonts w:eastAsia="Calibri"/>
          <w:i/>
          <w:iCs/>
        </w:rPr>
        <w:t>EC</w:t>
      </w:r>
      <w:r w:rsidRPr="00EE4F89">
        <w:rPr>
          <w:rFonts w:eastAsia="Calibri"/>
        </w:rPr>
        <w:t xml:space="preserve"> Section 47607(</w:t>
      </w:r>
      <w:proofErr w:type="spellStart"/>
      <w:r w:rsidRPr="00EE4F89">
        <w:rPr>
          <w:rFonts w:eastAsia="Calibri"/>
        </w:rPr>
        <w:t>i</w:t>
      </w:r>
      <w:proofErr w:type="spellEnd"/>
      <w:r w:rsidRPr="00EE4F89">
        <w:rPr>
          <w:rFonts w:eastAsia="Calibri"/>
        </w:rPr>
        <w:t xml:space="preserve">)(4), the SBE may </w:t>
      </w:r>
      <w:r w:rsidR="005701C2">
        <w:rPr>
          <w:rFonts w:eastAsia="Calibri"/>
        </w:rPr>
        <w:t>reverse the revocation decision</w:t>
      </w:r>
      <w:r w:rsidR="00EB151B">
        <w:rPr>
          <w:rFonts w:eastAsia="Calibri"/>
        </w:rPr>
        <w:t xml:space="preserve"> if it determines that the findings</w:t>
      </w:r>
      <w:r w:rsidR="00DB0E58">
        <w:rPr>
          <w:rFonts w:eastAsia="Calibri"/>
        </w:rPr>
        <w:t xml:space="preserve"> made by</w:t>
      </w:r>
      <w:r w:rsidR="00F1365A">
        <w:rPr>
          <w:rFonts w:eastAsia="Calibri"/>
        </w:rPr>
        <w:t xml:space="preserve"> the chartering authority are not supported by substantial evidence and may </w:t>
      </w:r>
      <w:r w:rsidRPr="00EE4F89">
        <w:rPr>
          <w:rFonts w:eastAsia="Calibri"/>
        </w:rPr>
        <w:t xml:space="preserve">uphold the revocation decision </w:t>
      </w:r>
      <w:r w:rsidR="00D6716D">
        <w:rPr>
          <w:rFonts w:eastAsia="Calibri"/>
        </w:rPr>
        <w:t>if</w:t>
      </w:r>
      <w:r w:rsidR="00D6716D" w:rsidRPr="00EE4F89">
        <w:rPr>
          <w:rFonts w:eastAsia="Calibri"/>
        </w:rPr>
        <w:t xml:space="preserve"> </w:t>
      </w:r>
      <w:r w:rsidRPr="00EE4F89">
        <w:rPr>
          <w:rFonts w:eastAsia="Calibri"/>
        </w:rPr>
        <w:t xml:space="preserve">it determines </w:t>
      </w:r>
      <w:r w:rsidR="00D6716D">
        <w:rPr>
          <w:rFonts w:eastAsia="Calibri"/>
        </w:rPr>
        <w:t>those</w:t>
      </w:r>
      <w:r w:rsidRPr="00EE4F89">
        <w:rPr>
          <w:rFonts w:eastAsia="Calibri"/>
        </w:rPr>
        <w:t xml:space="preserve"> findings are supported by substantial evidence. </w:t>
      </w:r>
      <w:r w:rsidR="00D97862">
        <w:rPr>
          <w:rFonts w:eastAsia="Calibri"/>
        </w:rPr>
        <w:t>Under this standard</w:t>
      </w:r>
      <w:r w:rsidR="00113D52">
        <w:rPr>
          <w:rFonts w:eastAsia="Calibri"/>
        </w:rPr>
        <w:t xml:space="preserve">, the SBE does not reweigh </w:t>
      </w:r>
      <w:r w:rsidR="001E13E8">
        <w:rPr>
          <w:rFonts w:eastAsia="Calibri"/>
        </w:rPr>
        <w:t xml:space="preserve">the evidence and must </w:t>
      </w:r>
      <w:r w:rsidR="007C6280">
        <w:rPr>
          <w:rFonts w:eastAsia="Calibri"/>
        </w:rPr>
        <w:t xml:space="preserve">indulge all presumptions and </w:t>
      </w:r>
      <w:r w:rsidR="001E13E8">
        <w:rPr>
          <w:rFonts w:eastAsia="Calibri"/>
        </w:rPr>
        <w:t xml:space="preserve">resolve conflicts in the evidence in favor of TRUSD’s determination unless no reasonable person could have reached the same conclusion. </w:t>
      </w:r>
    </w:p>
    <w:p w14:paraId="5463D812" w14:textId="40B9123C" w:rsidR="008E630B" w:rsidRDefault="2BC67AE8" w:rsidP="00EE4F89">
      <w:pPr>
        <w:spacing w:before="240"/>
        <w:rPr>
          <w:rFonts w:eastAsia="Calibri"/>
        </w:rPr>
      </w:pPr>
      <w:r w:rsidRPr="7E349F19">
        <w:rPr>
          <w:rFonts w:eastAsia="Calibri"/>
        </w:rPr>
        <w:t>Highlands</w:t>
      </w:r>
      <w:r w:rsidR="619C35FA" w:rsidRPr="7E349F19">
        <w:rPr>
          <w:rFonts w:eastAsia="Calibri"/>
        </w:rPr>
        <w:t>'</w:t>
      </w:r>
      <w:r w:rsidR="00EE4F89" w:rsidRPr="00EE4F89">
        <w:rPr>
          <w:rFonts w:eastAsia="Calibri"/>
        </w:rPr>
        <w:t xml:space="preserve"> </w:t>
      </w:r>
      <w:r w:rsidR="007C6280">
        <w:rPr>
          <w:rFonts w:eastAsia="Calibri"/>
        </w:rPr>
        <w:t xml:space="preserve">written </w:t>
      </w:r>
      <w:r w:rsidR="00EE4F89" w:rsidRPr="00EE4F89">
        <w:rPr>
          <w:rFonts w:eastAsia="Calibri"/>
        </w:rPr>
        <w:t>opposition primarily asks the SBE to reweigh the evidence and reach a different conclusion than</w:t>
      </w:r>
      <w:r w:rsidR="00FC55A2">
        <w:rPr>
          <w:rFonts w:eastAsia="Calibri"/>
        </w:rPr>
        <w:t xml:space="preserve"> </w:t>
      </w:r>
      <w:r w:rsidR="00EE4F89" w:rsidRPr="00EE4F89">
        <w:rPr>
          <w:rFonts w:eastAsia="Calibri"/>
        </w:rPr>
        <w:t xml:space="preserve">TRUSD's </w:t>
      </w:r>
      <w:r w:rsidR="7EF7D759" w:rsidRPr="008055E6">
        <w:rPr>
          <w:rFonts w:eastAsia="Calibri"/>
        </w:rPr>
        <w:t>G</w:t>
      </w:r>
      <w:r w:rsidR="15B4375A" w:rsidRPr="008055E6">
        <w:rPr>
          <w:rFonts w:eastAsia="Calibri"/>
        </w:rPr>
        <w:t xml:space="preserve">overning </w:t>
      </w:r>
      <w:r w:rsidR="4149A67A" w:rsidRPr="008055E6">
        <w:rPr>
          <w:rFonts w:eastAsia="Calibri"/>
        </w:rPr>
        <w:t>B</w:t>
      </w:r>
      <w:r w:rsidR="15B4375A" w:rsidRPr="008055E6">
        <w:rPr>
          <w:rFonts w:eastAsia="Calibri"/>
        </w:rPr>
        <w:t>oard</w:t>
      </w:r>
      <w:r w:rsidR="00EE4F89" w:rsidRPr="00EE4F89">
        <w:rPr>
          <w:rFonts w:eastAsia="Calibri"/>
        </w:rPr>
        <w:t xml:space="preserve">, which is not permissible under the substantial evidence standard. </w:t>
      </w:r>
      <w:r w:rsidR="000C69E6">
        <w:rPr>
          <w:rFonts w:eastAsia="Calibri"/>
        </w:rPr>
        <w:t xml:space="preserve">Highlands has not demonstrated that </w:t>
      </w:r>
      <w:r w:rsidR="00F82E56">
        <w:rPr>
          <w:rFonts w:eastAsia="Calibri"/>
        </w:rPr>
        <w:t>TRUSD’s findings for revocation lack substantial evidence.</w:t>
      </w:r>
    </w:p>
    <w:p w14:paraId="391C8EA5" w14:textId="0D1EB1E5" w:rsidR="004426BA" w:rsidRPr="00A17190" w:rsidRDefault="007F2F7D" w:rsidP="00EE4F89">
      <w:pPr>
        <w:spacing w:before="240"/>
        <w:rPr>
          <w:rFonts w:eastAsia="Calibri"/>
        </w:rPr>
      </w:pPr>
      <w:r>
        <w:t xml:space="preserve">A </w:t>
      </w:r>
      <w:r w:rsidR="00BD116E">
        <w:t xml:space="preserve">full </w:t>
      </w:r>
      <w:r>
        <w:t xml:space="preserve">review of TRUSD's findings and the arguments raised in this appeal </w:t>
      </w:r>
      <w:proofErr w:type="gramStart"/>
      <w:r>
        <w:t>is</w:t>
      </w:r>
      <w:proofErr w:type="gramEnd"/>
      <w:r>
        <w:t xml:space="preserve"> provided as Attachment 1.</w:t>
      </w:r>
    </w:p>
    <w:p w14:paraId="15651FA8" w14:textId="77777777" w:rsidR="00480F2C" w:rsidRPr="00A17190" w:rsidRDefault="00A34E76" w:rsidP="6E6273DA">
      <w:pPr>
        <w:pStyle w:val="Heading2"/>
        <w:rPr>
          <w:rFonts w:cs="Arial"/>
          <w:i/>
        </w:rPr>
      </w:pPr>
      <w:r w:rsidRPr="6E6273DA">
        <w:rPr>
          <w:rFonts w:cs="Arial"/>
        </w:rPr>
        <w:t>Attachments</w:t>
      </w:r>
    </w:p>
    <w:bookmarkEnd w:id="1"/>
    <w:p w14:paraId="637C1FD5" w14:textId="4102C22D" w:rsidR="00C5541C" w:rsidRPr="009B0334" w:rsidRDefault="00C5541C">
      <w:pPr>
        <w:pStyle w:val="ListParagraph"/>
        <w:numPr>
          <w:ilvl w:val="0"/>
          <w:numId w:val="1"/>
        </w:numPr>
        <w:rPr>
          <w:rFonts w:cs="Arial"/>
        </w:rPr>
      </w:pPr>
      <w:r w:rsidRPr="009B0334">
        <w:rPr>
          <w:rFonts w:cs="Arial"/>
          <w:b/>
          <w:bCs/>
        </w:rPr>
        <w:t>Attachment 1:</w:t>
      </w:r>
      <w:r w:rsidRPr="009B0334">
        <w:rPr>
          <w:rFonts w:cs="Arial"/>
        </w:rPr>
        <w:t xml:space="preserve"> California Department of Education Charter School </w:t>
      </w:r>
      <w:r w:rsidR="00FD191E" w:rsidRPr="009B0334">
        <w:rPr>
          <w:rFonts w:cs="Arial"/>
        </w:rPr>
        <w:t xml:space="preserve">Appeal </w:t>
      </w:r>
      <w:r w:rsidRPr="009B0334">
        <w:rPr>
          <w:rFonts w:cs="Arial"/>
        </w:rPr>
        <w:t>Review (</w:t>
      </w:r>
      <w:r w:rsidR="007F0DE5">
        <w:rPr>
          <w:rFonts w:cs="Arial"/>
        </w:rPr>
        <w:t>1</w:t>
      </w:r>
      <w:r w:rsidR="00256817">
        <w:rPr>
          <w:rFonts w:cs="Arial"/>
        </w:rPr>
        <w:t>6</w:t>
      </w:r>
      <w:r w:rsidRPr="009B0334">
        <w:rPr>
          <w:rFonts w:cs="Arial"/>
        </w:rPr>
        <w:t xml:space="preserve"> Pages)</w:t>
      </w:r>
    </w:p>
    <w:p w14:paraId="6D3B51CB" w14:textId="276A0481" w:rsidR="008A1697" w:rsidRPr="009B0334" w:rsidRDefault="00C5541C" w:rsidP="5F1E51E4">
      <w:pPr>
        <w:pStyle w:val="ListParagraph"/>
        <w:numPr>
          <w:ilvl w:val="0"/>
          <w:numId w:val="1"/>
        </w:numPr>
        <w:rPr>
          <w:rFonts w:eastAsia="Arial" w:cs="Arial"/>
        </w:rPr>
      </w:pPr>
      <w:r w:rsidRPr="009B0334">
        <w:rPr>
          <w:rFonts w:cs="Arial"/>
          <w:b/>
          <w:bCs/>
        </w:rPr>
        <w:t>Attachment 2:</w:t>
      </w:r>
      <w:r w:rsidRPr="009B0334">
        <w:rPr>
          <w:rFonts w:cs="Arial"/>
        </w:rPr>
        <w:t xml:space="preserve"> </w:t>
      </w:r>
      <w:r w:rsidR="00323931" w:rsidRPr="009B0334">
        <w:rPr>
          <w:rFonts w:eastAsia="Arial" w:cs="Arial"/>
        </w:rPr>
        <w:t>Notice of Appeal</w:t>
      </w:r>
      <w:r w:rsidR="009363B0" w:rsidRPr="009B0334">
        <w:rPr>
          <w:rFonts w:eastAsia="Arial" w:cs="Arial"/>
        </w:rPr>
        <w:t xml:space="preserve"> from Twin Rivers Unified School District</w:t>
      </w:r>
      <w:r w:rsidR="1062FE61" w:rsidRPr="009B0334">
        <w:rPr>
          <w:rFonts w:eastAsia="Arial" w:cs="Arial"/>
        </w:rPr>
        <w:t xml:space="preserve"> (</w:t>
      </w:r>
      <w:r w:rsidR="007F0DE5">
        <w:rPr>
          <w:rFonts w:eastAsia="Arial" w:cs="Arial"/>
        </w:rPr>
        <w:t>32</w:t>
      </w:r>
      <w:r w:rsidR="1062FE61" w:rsidRPr="009B0334">
        <w:rPr>
          <w:rFonts w:eastAsia="Arial" w:cs="Arial"/>
        </w:rPr>
        <w:t xml:space="preserve"> Pages)</w:t>
      </w:r>
    </w:p>
    <w:p w14:paraId="10DE2A9E" w14:textId="2FE6011B" w:rsidR="008A1697" w:rsidRPr="009B0334" w:rsidRDefault="1062FE61" w:rsidP="1D1ABD05">
      <w:pPr>
        <w:pStyle w:val="ListParagraph"/>
        <w:numPr>
          <w:ilvl w:val="0"/>
          <w:numId w:val="1"/>
        </w:numPr>
        <w:rPr>
          <w:rFonts w:eastAsia="Arial" w:cs="Arial"/>
        </w:rPr>
      </w:pPr>
      <w:r w:rsidRPr="009B0334">
        <w:rPr>
          <w:rFonts w:eastAsia="Arial" w:cs="Arial"/>
          <w:b/>
          <w:bCs/>
        </w:rPr>
        <w:lastRenderedPageBreak/>
        <w:t xml:space="preserve">Attachment 3: </w:t>
      </w:r>
      <w:r w:rsidRPr="009B0334">
        <w:rPr>
          <w:rFonts w:eastAsia="Arial" w:cs="Arial"/>
        </w:rPr>
        <w:t>Administrative Record, as submitted by Twin Rivers Unified School District (</w:t>
      </w:r>
      <w:r w:rsidR="007F0DE5">
        <w:rPr>
          <w:rFonts w:eastAsia="Arial" w:cs="Arial"/>
        </w:rPr>
        <w:t>8434</w:t>
      </w:r>
      <w:r w:rsidRPr="009B0334">
        <w:rPr>
          <w:rFonts w:eastAsia="Arial" w:cs="Arial"/>
        </w:rPr>
        <w:t xml:space="preserve"> Pages)</w:t>
      </w:r>
    </w:p>
    <w:p w14:paraId="4985169D" w14:textId="10A55363" w:rsidR="008A1697" w:rsidRPr="009B0334" w:rsidRDefault="1062FE61" w:rsidP="1D1ABD05">
      <w:pPr>
        <w:pStyle w:val="ListParagraph"/>
        <w:numPr>
          <w:ilvl w:val="0"/>
          <w:numId w:val="1"/>
        </w:numPr>
        <w:rPr>
          <w:rFonts w:eastAsia="Arial" w:cs="Arial"/>
        </w:rPr>
      </w:pPr>
      <w:r w:rsidRPr="009B0334">
        <w:rPr>
          <w:rFonts w:eastAsia="Arial" w:cs="Arial"/>
          <w:b/>
          <w:bCs/>
        </w:rPr>
        <w:t xml:space="preserve">Attachment </w:t>
      </w:r>
      <w:r w:rsidR="00913BE1" w:rsidRPr="009B0334">
        <w:rPr>
          <w:rFonts w:eastAsia="Arial" w:cs="Arial"/>
          <w:b/>
          <w:bCs/>
        </w:rPr>
        <w:t>4</w:t>
      </w:r>
      <w:r w:rsidRPr="009B0334">
        <w:rPr>
          <w:rFonts w:eastAsia="Arial" w:cs="Arial"/>
          <w:b/>
          <w:bCs/>
        </w:rPr>
        <w:t xml:space="preserve">: </w:t>
      </w:r>
      <w:r w:rsidR="008764D8" w:rsidRPr="009B0334">
        <w:rPr>
          <w:rFonts w:eastAsia="Arial" w:cs="Arial"/>
        </w:rPr>
        <w:t xml:space="preserve">Charter School </w:t>
      </w:r>
      <w:r w:rsidR="002150D9" w:rsidRPr="009B0334">
        <w:rPr>
          <w:rFonts w:eastAsia="Arial" w:cs="Arial"/>
        </w:rPr>
        <w:t xml:space="preserve">Written Opposition to </w:t>
      </w:r>
      <w:r w:rsidR="00927A06" w:rsidRPr="009B0334">
        <w:rPr>
          <w:rFonts w:eastAsia="Arial" w:cs="Arial"/>
        </w:rPr>
        <w:t xml:space="preserve">District </w:t>
      </w:r>
      <w:r w:rsidR="002150D9" w:rsidRPr="009B0334">
        <w:rPr>
          <w:rFonts w:eastAsia="Arial" w:cs="Arial"/>
        </w:rPr>
        <w:t>Appeal</w:t>
      </w:r>
      <w:r w:rsidR="00246CBA" w:rsidRPr="009B0334">
        <w:rPr>
          <w:rFonts w:eastAsia="Arial" w:cs="Arial"/>
        </w:rPr>
        <w:t>, submitted by Highlands Community Charter School</w:t>
      </w:r>
      <w:r w:rsidR="002150D9" w:rsidRPr="009B0334">
        <w:rPr>
          <w:rFonts w:eastAsia="Arial" w:cs="Arial"/>
        </w:rPr>
        <w:t xml:space="preserve"> </w:t>
      </w:r>
      <w:r w:rsidRPr="009B0334">
        <w:rPr>
          <w:rFonts w:eastAsia="Arial" w:cs="Arial"/>
        </w:rPr>
        <w:t>(</w:t>
      </w:r>
      <w:r w:rsidR="007F0DE5">
        <w:rPr>
          <w:rFonts w:eastAsia="Arial" w:cs="Arial"/>
        </w:rPr>
        <w:t>32</w:t>
      </w:r>
      <w:r w:rsidRPr="009B0334">
        <w:rPr>
          <w:rFonts w:eastAsia="Arial" w:cs="Arial"/>
        </w:rPr>
        <w:t xml:space="preserve"> Pages)</w:t>
      </w:r>
    </w:p>
    <w:p w14:paraId="2BDE2A3D" w14:textId="635EFA7B" w:rsidR="008A1697" w:rsidRPr="009B0334" w:rsidRDefault="1062FE61" w:rsidP="000509CE">
      <w:pPr>
        <w:pStyle w:val="ListParagraph"/>
        <w:numPr>
          <w:ilvl w:val="0"/>
          <w:numId w:val="1"/>
        </w:numPr>
        <w:rPr>
          <w:rFonts w:eastAsia="Arial" w:cs="Arial"/>
        </w:rPr>
      </w:pPr>
      <w:r w:rsidRPr="009B0334">
        <w:rPr>
          <w:rFonts w:eastAsia="Arial" w:cs="Arial"/>
          <w:b/>
          <w:bCs/>
        </w:rPr>
        <w:t xml:space="preserve">Attachment </w:t>
      </w:r>
      <w:r w:rsidR="00913BE1" w:rsidRPr="009B0334">
        <w:rPr>
          <w:rFonts w:eastAsia="Arial" w:cs="Arial"/>
          <w:b/>
          <w:bCs/>
        </w:rPr>
        <w:t>5</w:t>
      </w:r>
      <w:r w:rsidRPr="009B0334">
        <w:rPr>
          <w:rFonts w:eastAsia="Arial" w:cs="Arial"/>
          <w:b/>
          <w:bCs/>
        </w:rPr>
        <w:t xml:space="preserve">: </w:t>
      </w:r>
      <w:r w:rsidRPr="009B0334">
        <w:rPr>
          <w:rFonts w:eastAsia="Arial" w:cs="Arial"/>
        </w:rPr>
        <w:t>District</w:t>
      </w:r>
      <w:r w:rsidR="002150D9" w:rsidRPr="009B0334">
        <w:rPr>
          <w:rFonts w:eastAsia="Arial" w:cs="Arial"/>
        </w:rPr>
        <w:t xml:space="preserve"> Reply to </w:t>
      </w:r>
      <w:r w:rsidR="00927A06" w:rsidRPr="009B0334">
        <w:rPr>
          <w:rFonts w:eastAsia="Arial" w:cs="Arial"/>
        </w:rPr>
        <w:t xml:space="preserve">Charter School </w:t>
      </w:r>
      <w:r w:rsidR="002150D9" w:rsidRPr="009B0334">
        <w:rPr>
          <w:rFonts w:eastAsia="Arial" w:cs="Arial"/>
        </w:rPr>
        <w:t>Written Opposition</w:t>
      </w:r>
      <w:r w:rsidR="008764D8" w:rsidRPr="009B0334">
        <w:rPr>
          <w:rFonts w:eastAsia="Arial" w:cs="Arial"/>
        </w:rPr>
        <w:t>, submitted by Twin Rivers Unified School District</w:t>
      </w:r>
      <w:r w:rsidRPr="009B0334">
        <w:rPr>
          <w:rFonts w:eastAsia="Arial" w:cs="Arial"/>
        </w:rPr>
        <w:t xml:space="preserve"> (</w:t>
      </w:r>
      <w:r w:rsidR="007F0DE5">
        <w:rPr>
          <w:rFonts w:eastAsia="Arial" w:cs="Arial"/>
        </w:rPr>
        <w:t>12</w:t>
      </w:r>
      <w:r w:rsidRPr="009B0334">
        <w:rPr>
          <w:rFonts w:eastAsia="Arial" w:cs="Arial"/>
        </w:rPr>
        <w:t xml:space="preserve"> Pages)</w:t>
      </w:r>
    </w:p>
    <w:sectPr w:rsidR="008A1697" w:rsidRPr="009B0334" w:rsidSect="006E371A">
      <w:headerReference w:type="default" r:id="rId8"/>
      <w:pgSz w:w="12240" w:h="15840" w:code="1"/>
      <w:pgMar w:top="72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8EF18" w14:textId="77777777" w:rsidR="00A86347" w:rsidRDefault="00A86347">
      <w:r>
        <w:separator/>
      </w:r>
    </w:p>
  </w:endnote>
  <w:endnote w:type="continuationSeparator" w:id="0">
    <w:p w14:paraId="6C4F89B1" w14:textId="77777777" w:rsidR="00A86347" w:rsidRDefault="00A86347">
      <w:r>
        <w:continuationSeparator/>
      </w:r>
    </w:p>
  </w:endnote>
  <w:endnote w:type="continuationNotice" w:id="1">
    <w:p w14:paraId="4DFA9C93" w14:textId="77777777" w:rsidR="00A86347" w:rsidRDefault="00A8634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770D1" w14:textId="77777777" w:rsidR="00A86347" w:rsidRDefault="00A86347">
      <w:r>
        <w:separator/>
      </w:r>
    </w:p>
  </w:footnote>
  <w:footnote w:type="continuationSeparator" w:id="0">
    <w:p w14:paraId="7513EC88" w14:textId="77777777" w:rsidR="00A86347" w:rsidRDefault="00A86347">
      <w:r>
        <w:continuationSeparator/>
      </w:r>
    </w:p>
  </w:footnote>
  <w:footnote w:type="continuationNotice" w:id="1">
    <w:p w14:paraId="1CC20714" w14:textId="77777777" w:rsidR="00A86347" w:rsidRDefault="00A86347">
      <w:pPr>
        <w:spacing w:after="0"/>
      </w:pPr>
    </w:p>
  </w:footnote>
  <w:footnote w:id="2">
    <w:p w14:paraId="594006D1" w14:textId="0318CBE8" w:rsidR="00D24EBD" w:rsidRPr="00C74867" w:rsidRDefault="00D24EBD">
      <w:pPr>
        <w:pStyle w:val="FootnoteText"/>
        <w:rPr>
          <w:sz w:val="24"/>
          <w:szCs w:val="24"/>
        </w:rPr>
      </w:pPr>
      <w:r w:rsidRPr="00C74867">
        <w:rPr>
          <w:rStyle w:val="FootnoteReference"/>
          <w:sz w:val="24"/>
          <w:szCs w:val="24"/>
        </w:rPr>
        <w:footnoteRef/>
      </w:r>
      <w:r w:rsidRPr="00C74867">
        <w:rPr>
          <w:sz w:val="24"/>
          <w:szCs w:val="24"/>
        </w:rPr>
        <w:t xml:space="preserve"> As of the</w:t>
      </w:r>
      <w:r w:rsidR="00F83B9C" w:rsidRPr="00C74867">
        <w:rPr>
          <w:sz w:val="24"/>
          <w:szCs w:val="24"/>
        </w:rPr>
        <w:t xml:space="preserve"> September 2</w:t>
      </w:r>
      <w:r w:rsidR="005040FD">
        <w:rPr>
          <w:sz w:val="24"/>
          <w:szCs w:val="24"/>
        </w:rPr>
        <w:t>5</w:t>
      </w:r>
      <w:r w:rsidR="00F83B9C" w:rsidRPr="00C74867">
        <w:rPr>
          <w:sz w:val="24"/>
          <w:szCs w:val="24"/>
        </w:rPr>
        <w:t>, 2026,</w:t>
      </w:r>
      <w:r w:rsidRPr="00C74867">
        <w:rPr>
          <w:sz w:val="24"/>
          <w:szCs w:val="24"/>
        </w:rPr>
        <w:t xml:space="preserve"> posting of this item, Highlands does not have a valid and approved independent audit report for </w:t>
      </w:r>
      <w:r w:rsidR="00F94AF9" w:rsidRPr="00C74867">
        <w:rPr>
          <w:sz w:val="24"/>
          <w:szCs w:val="24"/>
        </w:rPr>
        <w:t xml:space="preserve">FY </w:t>
      </w:r>
      <w:r w:rsidRPr="00C74867">
        <w:rPr>
          <w:sz w:val="24"/>
          <w:szCs w:val="24"/>
        </w:rPr>
        <w:t>2023</w:t>
      </w:r>
      <w:r w:rsidR="005040FD">
        <w:rPr>
          <w:sz w:val="24"/>
          <w:szCs w:val="24"/>
        </w:rPr>
        <w:t>–</w:t>
      </w:r>
      <w:r w:rsidRPr="00C74867">
        <w:rPr>
          <w:sz w:val="24"/>
          <w:szCs w:val="24"/>
        </w:rPr>
        <w:t>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DCCDD" w14:textId="1F6CCCE4" w:rsidR="00D60516" w:rsidRPr="00DF3DE6" w:rsidRDefault="00D60516" w:rsidP="00DF3DE6">
    <w:pPr>
      <w:tabs>
        <w:tab w:val="center" w:pos="4320"/>
        <w:tab w:val="right" w:pos="8640"/>
      </w:tabs>
      <w:jc w:val="right"/>
      <w:rPr>
        <w:rFonts w:cs="Arial"/>
        <w:szCs w:val="18"/>
      </w:rPr>
    </w:pPr>
    <w:r w:rsidRPr="00A34E76">
      <w:rPr>
        <w:rFonts w:cs="Arial"/>
        <w:szCs w:val="18"/>
      </w:rPr>
      <w:t>accs-</w:t>
    </w:r>
    <w:r w:rsidR="00A15533">
      <w:rPr>
        <w:rFonts w:cs="Arial"/>
        <w:szCs w:val="18"/>
      </w:rPr>
      <w:t>oct26i</w:t>
    </w:r>
    <w:r w:rsidR="00B068F2">
      <w:rPr>
        <w:rFonts w:cs="Arial"/>
        <w:szCs w:val="18"/>
      </w:rPr>
      <w:t>tem</w:t>
    </w:r>
    <w:r w:rsidR="00A15533">
      <w:rPr>
        <w:rFonts w:cs="Arial"/>
        <w:szCs w:val="18"/>
      </w:rPr>
      <w:t>02</w:t>
    </w:r>
    <w:r w:rsidR="00B068F2">
      <w:rPr>
        <w:rFonts w:cs="Arial"/>
        <w:szCs w:val="18"/>
      </w:rPr>
      <w:br/>
    </w:r>
    <w:r w:rsidRPr="00A34E76">
      <w:rPr>
        <w:rFonts w:cs="Arial"/>
        <w:szCs w:val="18"/>
      </w:rPr>
      <w:t xml:space="preserve">Page </w:t>
    </w:r>
    <w:r w:rsidRPr="00A34E76">
      <w:rPr>
        <w:rFonts w:cs="Arial"/>
        <w:bCs/>
        <w:szCs w:val="18"/>
      </w:rPr>
      <w:fldChar w:fldCharType="begin"/>
    </w:r>
    <w:r w:rsidRPr="00A34E76">
      <w:rPr>
        <w:rFonts w:cs="Arial"/>
        <w:bCs/>
        <w:szCs w:val="18"/>
      </w:rPr>
      <w:instrText xml:space="preserve"> PAGE  \* Arabic  \* MERGEFORMAT </w:instrText>
    </w:r>
    <w:r w:rsidRPr="00A34E76">
      <w:rPr>
        <w:rFonts w:cs="Arial"/>
        <w:bCs/>
        <w:szCs w:val="18"/>
      </w:rPr>
      <w:fldChar w:fldCharType="separate"/>
    </w:r>
    <w:r w:rsidRPr="00A34E76">
      <w:rPr>
        <w:rFonts w:cs="Arial"/>
        <w:bCs/>
        <w:noProof/>
        <w:szCs w:val="18"/>
      </w:rPr>
      <w:t>26</w:t>
    </w:r>
    <w:r w:rsidRPr="00A34E76">
      <w:rPr>
        <w:rFonts w:cs="Arial"/>
        <w:bCs/>
        <w:szCs w:val="18"/>
      </w:rPr>
      <w:fldChar w:fldCharType="end"/>
    </w:r>
    <w:r w:rsidRPr="00A34E76">
      <w:rPr>
        <w:rFonts w:cs="Arial"/>
        <w:szCs w:val="18"/>
      </w:rPr>
      <w:t xml:space="preserve"> of </w:t>
    </w:r>
    <w:r w:rsidRPr="00A34E76">
      <w:rPr>
        <w:rFonts w:cs="Arial"/>
        <w:bCs/>
        <w:szCs w:val="18"/>
      </w:rPr>
      <w:fldChar w:fldCharType="begin"/>
    </w:r>
    <w:r w:rsidRPr="00A34E76">
      <w:rPr>
        <w:rFonts w:cs="Arial"/>
        <w:bCs/>
        <w:szCs w:val="18"/>
      </w:rPr>
      <w:instrText xml:space="preserve"> NUMPAGES  \* Arabic  \* MERGEFORMAT </w:instrText>
    </w:r>
    <w:r w:rsidRPr="00A34E76">
      <w:rPr>
        <w:rFonts w:cs="Arial"/>
        <w:bCs/>
        <w:szCs w:val="18"/>
      </w:rPr>
      <w:fldChar w:fldCharType="separate"/>
    </w:r>
    <w:r w:rsidRPr="00A34E76">
      <w:rPr>
        <w:rFonts w:cs="Arial"/>
        <w:bCs/>
        <w:noProof/>
        <w:szCs w:val="18"/>
      </w:rPr>
      <w:t>27</w:t>
    </w:r>
    <w:r w:rsidRPr="00A34E76">
      <w:rPr>
        <w:rFonts w:cs="Arial"/>
        <w:bCs/>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919E7"/>
    <w:multiLevelType w:val="hybridMultilevel"/>
    <w:tmpl w:val="B66CE73A"/>
    <w:lvl w:ilvl="0" w:tplc="27D47B42">
      <w:start w:val="1"/>
      <w:numFmt w:val="bullet"/>
      <w:lvlText w:val=""/>
      <w:lvlJc w:val="left"/>
      <w:pPr>
        <w:ind w:left="1020" w:hanging="360"/>
      </w:pPr>
      <w:rPr>
        <w:rFonts w:ascii="Symbol" w:hAnsi="Symbol"/>
      </w:rPr>
    </w:lvl>
    <w:lvl w:ilvl="1" w:tplc="F03CCA4E">
      <w:start w:val="1"/>
      <w:numFmt w:val="bullet"/>
      <w:lvlText w:val=""/>
      <w:lvlJc w:val="left"/>
      <w:pPr>
        <w:ind w:left="1020" w:hanging="360"/>
      </w:pPr>
      <w:rPr>
        <w:rFonts w:ascii="Symbol" w:hAnsi="Symbol"/>
      </w:rPr>
    </w:lvl>
    <w:lvl w:ilvl="2" w:tplc="CE58AF76">
      <w:start w:val="1"/>
      <w:numFmt w:val="bullet"/>
      <w:lvlText w:val=""/>
      <w:lvlJc w:val="left"/>
      <w:pPr>
        <w:ind w:left="1020" w:hanging="360"/>
      </w:pPr>
      <w:rPr>
        <w:rFonts w:ascii="Symbol" w:hAnsi="Symbol"/>
      </w:rPr>
    </w:lvl>
    <w:lvl w:ilvl="3" w:tplc="D496FDBC">
      <w:start w:val="1"/>
      <w:numFmt w:val="bullet"/>
      <w:lvlText w:val=""/>
      <w:lvlJc w:val="left"/>
      <w:pPr>
        <w:ind w:left="1020" w:hanging="360"/>
      </w:pPr>
      <w:rPr>
        <w:rFonts w:ascii="Symbol" w:hAnsi="Symbol"/>
      </w:rPr>
    </w:lvl>
    <w:lvl w:ilvl="4" w:tplc="D4F2C12C">
      <w:start w:val="1"/>
      <w:numFmt w:val="bullet"/>
      <w:lvlText w:val=""/>
      <w:lvlJc w:val="left"/>
      <w:pPr>
        <w:ind w:left="1020" w:hanging="360"/>
      </w:pPr>
      <w:rPr>
        <w:rFonts w:ascii="Symbol" w:hAnsi="Symbol"/>
      </w:rPr>
    </w:lvl>
    <w:lvl w:ilvl="5" w:tplc="5C885C1E">
      <w:start w:val="1"/>
      <w:numFmt w:val="bullet"/>
      <w:lvlText w:val=""/>
      <w:lvlJc w:val="left"/>
      <w:pPr>
        <w:ind w:left="1020" w:hanging="360"/>
      </w:pPr>
      <w:rPr>
        <w:rFonts w:ascii="Symbol" w:hAnsi="Symbol"/>
      </w:rPr>
    </w:lvl>
    <w:lvl w:ilvl="6" w:tplc="5FA47056">
      <w:start w:val="1"/>
      <w:numFmt w:val="bullet"/>
      <w:lvlText w:val=""/>
      <w:lvlJc w:val="left"/>
      <w:pPr>
        <w:ind w:left="1020" w:hanging="360"/>
      </w:pPr>
      <w:rPr>
        <w:rFonts w:ascii="Symbol" w:hAnsi="Symbol"/>
      </w:rPr>
    </w:lvl>
    <w:lvl w:ilvl="7" w:tplc="0ECAD34C">
      <w:start w:val="1"/>
      <w:numFmt w:val="bullet"/>
      <w:lvlText w:val=""/>
      <w:lvlJc w:val="left"/>
      <w:pPr>
        <w:ind w:left="1020" w:hanging="360"/>
      </w:pPr>
      <w:rPr>
        <w:rFonts w:ascii="Symbol" w:hAnsi="Symbol"/>
      </w:rPr>
    </w:lvl>
    <w:lvl w:ilvl="8" w:tplc="BE22A1B0">
      <w:start w:val="1"/>
      <w:numFmt w:val="bullet"/>
      <w:lvlText w:val=""/>
      <w:lvlJc w:val="left"/>
      <w:pPr>
        <w:ind w:left="1020" w:hanging="360"/>
      </w:pPr>
      <w:rPr>
        <w:rFonts w:ascii="Symbol" w:hAnsi="Symbol"/>
      </w:rPr>
    </w:lvl>
  </w:abstractNum>
  <w:abstractNum w:abstractNumId="1" w15:restartNumberingAfterBreak="0">
    <w:nsid w:val="0CC0606D"/>
    <w:multiLevelType w:val="hybridMultilevel"/>
    <w:tmpl w:val="F8AEB360"/>
    <w:lvl w:ilvl="0" w:tplc="1D58FD80">
      <w:start w:val="1"/>
      <w:numFmt w:val="bullet"/>
      <w:lvlText w:val=""/>
      <w:lvlJc w:val="left"/>
      <w:pPr>
        <w:ind w:left="1020" w:hanging="360"/>
      </w:pPr>
      <w:rPr>
        <w:rFonts w:ascii="Symbol" w:hAnsi="Symbol"/>
      </w:rPr>
    </w:lvl>
    <w:lvl w:ilvl="1" w:tplc="99A61406">
      <w:start w:val="1"/>
      <w:numFmt w:val="bullet"/>
      <w:lvlText w:val=""/>
      <w:lvlJc w:val="left"/>
      <w:pPr>
        <w:ind w:left="1020" w:hanging="360"/>
      </w:pPr>
      <w:rPr>
        <w:rFonts w:ascii="Symbol" w:hAnsi="Symbol"/>
      </w:rPr>
    </w:lvl>
    <w:lvl w:ilvl="2" w:tplc="A6F47250">
      <w:start w:val="1"/>
      <w:numFmt w:val="bullet"/>
      <w:lvlText w:val=""/>
      <w:lvlJc w:val="left"/>
      <w:pPr>
        <w:ind w:left="1020" w:hanging="360"/>
      </w:pPr>
      <w:rPr>
        <w:rFonts w:ascii="Symbol" w:hAnsi="Symbol"/>
      </w:rPr>
    </w:lvl>
    <w:lvl w:ilvl="3" w:tplc="D8F02D40">
      <w:start w:val="1"/>
      <w:numFmt w:val="bullet"/>
      <w:lvlText w:val=""/>
      <w:lvlJc w:val="left"/>
      <w:pPr>
        <w:ind w:left="1020" w:hanging="360"/>
      </w:pPr>
      <w:rPr>
        <w:rFonts w:ascii="Symbol" w:hAnsi="Symbol"/>
      </w:rPr>
    </w:lvl>
    <w:lvl w:ilvl="4" w:tplc="405EDB5E">
      <w:start w:val="1"/>
      <w:numFmt w:val="bullet"/>
      <w:lvlText w:val=""/>
      <w:lvlJc w:val="left"/>
      <w:pPr>
        <w:ind w:left="1020" w:hanging="360"/>
      </w:pPr>
      <w:rPr>
        <w:rFonts w:ascii="Symbol" w:hAnsi="Symbol"/>
      </w:rPr>
    </w:lvl>
    <w:lvl w:ilvl="5" w:tplc="3C9227B8">
      <w:start w:val="1"/>
      <w:numFmt w:val="bullet"/>
      <w:lvlText w:val=""/>
      <w:lvlJc w:val="left"/>
      <w:pPr>
        <w:ind w:left="1020" w:hanging="360"/>
      </w:pPr>
      <w:rPr>
        <w:rFonts w:ascii="Symbol" w:hAnsi="Symbol"/>
      </w:rPr>
    </w:lvl>
    <w:lvl w:ilvl="6" w:tplc="4814B824">
      <w:start w:val="1"/>
      <w:numFmt w:val="bullet"/>
      <w:lvlText w:val=""/>
      <w:lvlJc w:val="left"/>
      <w:pPr>
        <w:ind w:left="1020" w:hanging="360"/>
      </w:pPr>
      <w:rPr>
        <w:rFonts w:ascii="Symbol" w:hAnsi="Symbol"/>
      </w:rPr>
    </w:lvl>
    <w:lvl w:ilvl="7" w:tplc="CF685AD4">
      <w:start w:val="1"/>
      <w:numFmt w:val="bullet"/>
      <w:lvlText w:val=""/>
      <w:lvlJc w:val="left"/>
      <w:pPr>
        <w:ind w:left="1020" w:hanging="360"/>
      </w:pPr>
      <w:rPr>
        <w:rFonts w:ascii="Symbol" w:hAnsi="Symbol"/>
      </w:rPr>
    </w:lvl>
    <w:lvl w:ilvl="8" w:tplc="EA14BDD0">
      <w:start w:val="1"/>
      <w:numFmt w:val="bullet"/>
      <w:lvlText w:val=""/>
      <w:lvlJc w:val="left"/>
      <w:pPr>
        <w:ind w:left="1020" w:hanging="360"/>
      </w:pPr>
      <w:rPr>
        <w:rFonts w:ascii="Symbol" w:hAnsi="Symbol"/>
      </w:rPr>
    </w:lvl>
  </w:abstractNum>
  <w:abstractNum w:abstractNumId="2" w15:restartNumberingAfterBreak="0">
    <w:nsid w:val="0D425D08"/>
    <w:multiLevelType w:val="hybridMultilevel"/>
    <w:tmpl w:val="939E77F8"/>
    <w:lvl w:ilvl="0" w:tplc="5EFEAB1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941136"/>
    <w:multiLevelType w:val="multilevel"/>
    <w:tmpl w:val="E3BC2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D460C"/>
    <w:multiLevelType w:val="multilevel"/>
    <w:tmpl w:val="1FFEA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6532BE"/>
    <w:multiLevelType w:val="hybridMultilevel"/>
    <w:tmpl w:val="BA223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4772D6"/>
    <w:multiLevelType w:val="hybridMultilevel"/>
    <w:tmpl w:val="84343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3B4502"/>
    <w:multiLevelType w:val="multilevel"/>
    <w:tmpl w:val="2F22A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6F6964"/>
    <w:multiLevelType w:val="hybridMultilevel"/>
    <w:tmpl w:val="E38E5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242D1B"/>
    <w:multiLevelType w:val="hybridMultilevel"/>
    <w:tmpl w:val="20A60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A30B86"/>
    <w:multiLevelType w:val="multilevel"/>
    <w:tmpl w:val="7BC4A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0F12B87"/>
    <w:multiLevelType w:val="multilevel"/>
    <w:tmpl w:val="106C8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51716008">
    <w:abstractNumId w:val="9"/>
  </w:num>
  <w:num w:numId="2" w16cid:durableId="2004166294">
    <w:abstractNumId w:val="3"/>
  </w:num>
  <w:num w:numId="3" w16cid:durableId="44985832">
    <w:abstractNumId w:val="2"/>
  </w:num>
  <w:num w:numId="4" w16cid:durableId="248587871">
    <w:abstractNumId w:val="10"/>
  </w:num>
  <w:num w:numId="5" w16cid:durableId="105542811">
    <w:abstractNumId w:val="7"/>
  </w:num>
  <w:num w:numId="6" w16cid:durableId="1407990900">
    <w:abstractNumId w:val="4"/>
  </w:num>
  <w:num w:numId="7" w16cid:durableId="1903591140">
    <w:abstractNumId w:val="11"/>
  </w:num>
  <w:num w:numId="8" w16cid:durableId="747115304">
    <w:abstractNumId w:val="1"/>
  </w:num>
  <w:num w:numId="9" w16cid:durableId="1042362870">
    <w:abstractNumId w:val="0"/>
  </w:num>
  <w:num w:numId="10" w16cid:durableId="200168594">
    <w:abstractNumId w:val="8"/>
  </w:num>
  <w:num w:numId="11" w16cid:durableId="1556816084">
    <w:abstractNumId w:val="5"/>
  </w:num>
  <w:num w:numId="12" w16cid:durableId="13312346">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07D"/>
    <w:rsid w:val="00000670"/>
    <w:rsid w:val="00000876"/>
    <w:rsid w:val="0000093B"/>
    <w:rsid w:val="000013D7"/>
    <w:rsid w:val="00002057"/>
    <w:rsid w:val="0000235B"/>
    <w:rsid w:val="00002FDC"/>
    <w:rsid w:val="0000357B"/>
    <w:rsid w:val="00003A0C"/>
    <w:rsid w:val="00004027"/>
    <w:rsid w:val="00004E42"/>
    <w:rsid w:val="00005322"/>
    <w:rsid w:val="00005B7A"/>
    <w:rsid w:val="00005BAA"/>
    <w:rsid w:val="00005E05"/>
    <w:rsid w:val="00006A02"/>
    <w:rsid w:val="00007A0F"/>
    <w:rsid w:val="000106C6"/>
    <w:rsid w:val="0001149C"/>
    <w:rsid w:val="00011AFB"/>
    <w:rsid w:val="000120A9"/>
    <w:rsid w:val="00012BA8"/>
    <w:rsid w:val="00012BD0"/>
    <w:rsid w:val="00013778"/>
    <w:rsid w:val="00014389"/>
    <w:rsid w:val="000152DB"/>
    <w:rsid w:val="00016575"/>
    <w:rsid w:val="00017038"/>
    <w:rsid w:val="0001726F"/>
    <w:rsid w:val="000175C4"/>
    <w:rsid w:val="00017671"/>
    <w:rsid w:val="00017E15"/>
    <w:rsid w:val="00020438"/>
    <w:rsid w:val="00023198"/>
    <w:rsid w:val="00023730"/>
    <w:rsid w:val="0002387F"/>
    <w:rsid w:val="00023F8A"/>
    <w:rsid w:val="0002567F"/>
    <w:rsid w:val="00025964"/>
    <w:rsid w:val="0002610B"/>
    <w:rsid w:val="000262FB"/>
    <w:rsid w:val="00026512"/>
    <w:rsid w:val="00026DEE"/>
    <w:rsid w:val="00027129"/>
    <w:rsid w:val="0003004A"/>
    <w:rsid w:val="0003072E"/>
    <w:rsid w:val="00030DF0"/>
    <w:rsid w:val="000326B8"/>
    <w:rsid w:val="0003303F"/>
    <w:rsid w:val="0003314A"/>
    <w:rsid w:val="000331AE"/>
    <w:rsid w:val="00034268"/>
    <w:rsid w:val="000357B2"/>
    <w:rsid w:val="0003781B"/>
    <w:rsid w:val="00037F2F"/>
    <w:rsid w:val="00039B58"/>
    <w:rsid w:val="000406A6"/>
    <w:rsid w:val="000409E4"/>
    <w:rsid w:val="00042802"/>
    <w:rsid w:val="000430C6"/>
    <w:rsid w:val="00044E3E"/>
    <w:rsid w:val="00044E7C"/>
    <w:rsid w:val="00044E9D"/>
    <w:rsid w:val="0004518E"/>
    <w:rsid w:val="00045787"/>
    <w:rsid w:val="00046285"/>
    <w:rsid w:val="00047288"/>
    <w:rsid w:val="00050121"/>
    <w:rsid w:val="000509CE"/>
    <w:rsid w:val="000519DD"/>
    <w:rsid w:val="0005293E"/>
    <w:rsid w:val="00052D11"/>
    <w:rsid w:val="00054086"/>
    <w:rsid w:val="00054921"/>
    <w:rsid w:val="00055113"/>
    <w:rsid w:val="000556D4"/>
    <w:rsid w:val="0005587F"/>
    <w:rsid w:val="00055A3E"/>
    <w:rsid w:val="00057478"/>
    <w:rsid w:val="00060628"/>
    <w:rsid w:val="00060766"/>
    <w:rsid w:val="0006082A"/>
    <w:rsid w:val="000610C3"/>
    <w:rsid w:val="00061381"/>
    <w:rsid w:val="00061C53"/>
    <w:rsid w:val="00061C92"/>
    <w:rsid w:val="0006211A"/>
    <w:rsid w:val="000626B0"/>
    <w:rsid w:val="00062799"/>
    <w:rsid w:val="00063116"/>
    <w:rsid w:val="00063512"/>
    <w:rsid w:val="00063E0E"/>
    <w:rsid w:val="00064BFB"/>
    <w:rsid w:val="00065566"/>
    <w:rsid w:val="000655FE"/>
    <w:rsid w:val="00067089"/>
    <w:rsid w:val="00070380"/>
    <w:rsid w:val="00071997"/>
    <w:rsid w:val="00072810"/>
    <w:rsid w:val="00072CAB"/>
    <w:rsid w:val="000730CD"/>
    <w:rsid w:val="00073FAC"/>
    <w:rsid w:val="0007435E"/>
    <w:rsid w:val="000743B0"/>
    <w:rsid w:val="000747D2"/>
    <w:rsid w:val="00075063"/>
    <w:rsid w:val="0007561D"/>
    <w:rsid w:val="00075F00"/>
    <w:rsid w:val="00076436"/>
    <w:rsid w:val="00077946"/>
    <w:rsid w:val="0008007D"/>
    <w:rsid w:val="000801BA"/>
    <w:rsid w:val="000808CD"/>
    <w:rsid w:val="000818DB"/>
    <w:rsid w:val="00082879"/>
    <w:rsid w:val="000834D5"/>
    <w:rsid w:val="00083A8B"/>
    <w:rsid w:val="00083BEC"/>
    <w:rsid w:val="000843D3"/>
    <w:rsid w:val="000845D6"/>
    <w:rsid w:val="0008625A"/>
    <w:rsid w:val="000864BC"/>
    <w:rsid w:val="0008707F"/>
    <w:rsid w:val="00087CA7"/>
    <w:rsid w:val="00087FAF"/>
    <w:rsid w:val="00090398"/>
    <w:rsid w:val="000903C1"/>
    <w:rsid w:val="00090763"/>
    <w:rsid w:val="00091421"/>
    <w:rsid w:val="0009146D"/>
    <w:rsid w:val="00091B0C"/>
    <w:rsid w:val="00091D23"/>
    <w:rsid w:val="000929BA"/>
    <w:rsid w:val="00094937"/>
    <w:rsid w:val="00095621"/>
    <w:rsid w:val="00095B64"/>
    <w:rsid w:val="00096AF2"/>
    <w:rsid w:val="00096EDF"/>
    <w:rsid w:val="0009778A"/>
    <w:rsid w:val="000A0B16"/>
    <w:rsid w:val="000A0F5B"/>
    <w:rsid w:val="000A2B8C"/>
    <w:rsid w:val="000A31EB"/>
    <w:rsid w:val="000A33B9"/>
    <w:rsid w:val="000A48D5"/>
    <w:rsid w:val="000A57D8"/>
    <w:rsid w:val="000A5A29"/>
    <w:rsid w:val="000A6033"/>
    <w:rsid w:val="000A6A4B"/>
    <w:rsid w:val="000A6B53"/>
    <w:rsid w:val="000B0446"/>
    <w:rsid w:val="000B169A"/>
    <w:rsid w:val="000B17B5"/>
    <w:rsid w:val="000B1BEF"/>
    <w:rsid w:val="000B1DC1"/>
    <w:rsid w:val="000B30E5"/>
    <w:rsid w:val="000B3F8C"/>
    <w:rsid w:val="000B5C05"/>
    <w:rsid w:val="000B6830"/>
    <w:rsid w:val="000B6B79"/>
    <w:rsid w:val="000B7361"/>
    <w:rsid w:val="000B775F"/>
    <w:rsid w:val="000C0A08"/>
    <w:rsid w:val="000C193E"/>
    <w:rsid w:val="000C2C20"/>
    <w:rsid w:val="000C38AF"/>
    <w:rsid w:val="000C38F4"/>
    <w:rsid w:val="000C42E8"/>
    <w:rsid w:val="000C565B"/>
    <w:rsid w:val="000C56CD"/>
    <w:rsid w:val="000C5D07"/>
    <w:rsid w:val="000C6543"/>
    <w:rsid w:val="000C69E6"/>
    <w:rsid w:val="000C6A19"/>
    <w:rsid w:val="000C743E"/>
    <w:rsid w:val="000C7F3D"/>
    <w:rsid w:val="000D1354"/>
    <w:rsid w:val="000D1A64"/>
    <w:rsid w:val="000D1BE7"/>
    <w:rsid w:val="000D1FCC"/>
    <w:rsid w:val="000D1FF3"/>
    <w:rsid w:val="000D20A5"/>
    <w:rsid w:val="000D26FF"/>
    <w:rsid w:val="000D282C"/>
    <w:rsid w:val="000D321F"/>
    <w:rsid w:val="000D3FAB"/>
    <w:rsid w:val="000D5404"/>
    <w:rsid w:val="000D55A6"/>
    <w:rsid w:val="000D63A8"/>
    <w:rsid w:val="000D688C"/>
    <w:rsid w:val="000D7217"/>
    <w:rsid w:val="000D745F"/>
    <w:rsid w:val="000E0B3C"/>
    <w:rsid w:val="000E134B"/>
    <w:rsid w:val="000E15E9"/>
    <w:rsid w:val="000E1B12"/>
    <w:rsid w:val="000E3A0D"/>
    <w:rsid w:val="000E442E"/>
    <w:rsid w:val="000E4CAC"/>
    <w:rsid w:val="000E53A9"/>
    <w:rsid w:val="000E5775"/>
    <w:rsid w:val="000E5CAD"/>
    <w:rsid w:val="000E5D32"/>
    <w:rsid w:val="000E68B9"/>
    <w:rsid w:val="000E7021"/>
    <w:rsid w:val="000E7E89"/>
    <w:rsid w:val="000F1559"/>
    <w:rsid w:val="000F2407"/>
    <w:rsid w:val="000F249A"/>
    <w:rsid w:val="000F2839"/>
    <w:rsid w:val="000F3161"/>
    <w:rsid w:val="000F4C67"/>
    <w:rsid w:val="000F5263"/>
    <w:rsid w:val="000F527B"/>
    <w:rsid w:val="000F5E6F"/>
    <w:rsid w:val="000F6428"/>
    <w:rsid w:val="000F6AB4"/>
    <w:rsid w:val="000F6B40"/>
    <w:rsid w:val="000F7303"/>
    <w:rsid w:val="000F7385"/>
    <w:rsid w:val="000F7F32"/>
    <w:rsid w:val="00100776"/>
    <w:rsid w:val="00103B0E"/>
    <w:rsid w:val="00103CB4"/>
    <w:rsid w:val="00103F4A"/>
    <w:rsid w:val="00104D75"/>
    <w:rsid w:val="0010536F"/>
    <w:rsid w:val="00105427"/>
    <w:rsid w:val="001058D3"/>
    <w:rsid w:val="001061BC"/>
    <w:rsid w:val="00106DEC"/>
    <w:rsid w:val="00106EA1"/>
    <w:rsid w:val="00107BC8"/>
    <w:rsid w:val="0011111F"/>
    <w:rsid w:val="00111410"/>
    <w:rsid w:val="00111597"/>
    <w:rsid w:val="00111A2C"/>
    <w:rsid w:val="001120B9"/>
    <w:rsid w:val="001122F3"/>
    <w:rsid w:val="00112553"/>
    <w:rsid w:val="00112803"/>
    <w:rsid w:val="00112AA7"/>
    <w:rsid w:val="00112B7E"/>
    <w:rsid w:val="00113C0F"/>
    <w:rsid w:val="00113D52"/>
    <w:rsid w:val="00114AA8"/>
    <w:rsid w:val="0011526D"/>
    <w:rsid w:val="0011588F"/>
    <w:rsid w:val="00115891"/>
    <w:rsid w:val="00115CF0"/>
    <w:rsid w:val="00116B07"/>
    <w:rsid w:val="00116F4D"/>
    <w:rsid w:val="001177B1"/>
    <w:rsid w:val="00117C82"/>
    <w:rsid w:val="00117FB1"/>
    <w:rsid w:val="00120340"/>
    <w:rsid w:val="001206D2"/>
    <w:rsid w:val="001209E2"/>
    <w:rsid w:val="00120DFD"/>
    <w:rsid w:val="00121206"/>
    <w:rsid w:val="00121328"/>
    <w:rsid w:val="0012137C"/>
    <w:rsid w:val="001216EA"/>
    <w:rsid w:val="00121D23"/>
    <w:rsid w:val="00122012"/>
    <w:rsid w:val="001224E3"/>
    <w:rsid w:val="00122D69"/>
    <w:rsid w:val="0012389B"/>
    <w:rsid w:val="00124BF2"/>
    <w:rsid w:val="001250EA"/>
    <w:rsid w:val="00125614"/>
    <w:rsid w:val="001263DA"/>
    <w:rsid w:val="00127BA7"/>
    <w:rsid w:val="00127C8F"/>
    <w:rsid w:val="0013051E"/>
    <w:rsid w:val="00131164"/>
    <w:rsid w:val="0013117A"/>
    <w:rsid w:val="001313F0"/>
    <w:rsid w:val="00131CD7"/>
    <w:rsid w:val="00132495"/>
    <w:rsid w:val="00132CEA"/>
    <w:rsid w:val="00132FEF"/>
    <w:rsid w:val="0013371B"/>
    <w:rsid w:val="00134101"/>
    <w:rsid w:val="0013472D"/>
    <w:rsid w:val="001348EB"/>
    <w:rsid w:val="00135169"/>
    <w:rsid w:val="00137645"/>
    <w:rsid w:val="00137ABF"/>
    <w:rsid w:val="00137E4D"/>
    <w:rsid w:val="0014029D"/>
    <w:rsid w:val="001405CD"/>
    <w:rsid w:val="001425FE"/>
    <w:rsid w:val="00142BE7"/>
    <w:rsid w:val="0014341F"/>
    <w:rsid w:val="00143D78"/>
    <w:rsid w:val="001440C7"/>
    <w:rsid w:val="00144190"/>
    <w:rsid w:val="00145223"/>
    <w:rsid w:val="0014524C"/>
    <w:rsid w:val="00145946"/>
    <w:rsid w:val="00145D51"/>
    <w:rsid w:val="00146161"/>
    <w:rsid w:val="00146694"/>
    <w:rsid w:val="001474B6"/>
    <w:rsid w:val="00150032"/>
    <w:rsid w:val="001502BF"/>
    <w:rsid w:val="00150AFF"/>
    <w:rsid w:val="001512F0"/>
    <w:rsid w:val="00152543"/>
    <w:rsid w:val="001525FE"/>
    <w:rsid w:val="00153217"/>
    <w:rsid w:val="00154D6B"/>
    <w:rsid w:val="00154F17"/>
    <w:rsid w:val="001552AE"/>
    <w:rsid w:val="00155A65"/>
    <w:rsid w:val="00155D53"/>
    <w:rsid w:val="0015627D"/>
    <w:rsid w:val="00156572"/>
    <w:rsid w:val="0015708E"/>
    <w:rsid w:val="001575A5"/>
    <w:rsid w:val="00157880"/>
    <w:rsid w:val="0016274F"/>
    <w:rsid w:val="00162D50"/>
    <w:rsid w:val="00162F7E"/>
    <w:rsid w:val="00163875"/>
    <w:rsid w:val="00163B4A"/>
    <w:rsid w:val="00164454"/>
    <w:rsid w:val="001645A0"/>
    <w:rsid w:val="00164AD1"/>
    <w:rsid w:val="0016609B"/>
    <w:rsid w:val="00166288"/>
    <w:rsid w:val="001664EA"/>
    <w:rsid w:val="00166F86"/>
    <w:rsid w:val="00170492"/>
    <w:rsid w:val="00170EA1"/>
    <w:rsid w:val="00171C55"/>
    <w:rsid w:val="00171D83"/>
    <w:rsid w:val="00173476"/>
    <w:rsid w:val="0017352C"/>
    <w:rsid w:val="001735B9"/>
    <w:rsid w:val="00173F4A"/>
    <w:rsid w:val="0017427E"/>
    <w:rsid w:val="001744A8"/>
    <w:rsid w:val="00174BD2"/>
    <w:rsid w:val="00175B29"/>
    <w:rsid w:val="0017660E"/>
    <w:rsid w:val="001767D1"/>
    <w:rsid w:val="00176883"/>
    <w:rsid w:val="00177321"/>
    <w:rsid w:val="0018195F"/>
    <w:rsid w:val="00182447"/>
    <w:rsid w:val="0018496B"/>
    <w:rsid w:val="00184A33"/>
    <w:rsid w:val="00184AB0"/>
    <w:rsid w:val="00185250"/>
    <w:rsid w:val="00185B1F"/>
    <w:rsid w:val="00186107"/>
    <w:rsid w:val="00186377"/>
    <w:rsid w:val="0018659E"/>
    <w:rsid w:val="00186FF2"/>
    <w:rsid w:val="00187326"/>
    <w:rsid w:val="001877A7"/>
    <w:rsid w:val="00187CF4"/>
    <w:rsid w:val="0019005E"/>
    <w:rsid w:val="00190296"/>
    <w:rsid w:val="001908D0"/>
    <w:rsid w:val="00190A20"/>
    <w:rsid w:val="00190BEA"/>
    <w:rsid w:val="00191D93"/>
    <w:rsid w:val="00191D95"/>
    <w:rsid w:val="00191F72"/>
    <w:rsid w:val="001922A3"/>
    <w:rsid w:val="001930D7"/>
    <w:rsid w:val="001932B2"/>
    <w:rsid w:val="001938F0"/>
    <w:rsid w:val="001948A2"/>
    <w:rsid w:val="0019674C"/>
    <w:rsid w:val="001A1B5C"/>
    <w:rsid w:val="001A29D6"/>
    <w:rsid w:val="001A2D1B"/>
    <w:rsid w:val="001A2FF8"/>
    <w:rsid w:val="001A34C8"/>
    <w:rsid w:val="001A428F"/>
    <w:rsid w:val="001A45C6"/>
    <w:rsid w:val="001A4959"/>
    <w:rsid w:val="001A4B2E"/>
    <w:rsid w:val="001A4BF4"/>
    <w:rsid w:val="001A60DF"/>
    <w:rsid w:val="001A7137"/>
    <w:rsid w:val="001B022C"/>
    <w:rsid w:val="001B0586"/>
    <w:rsid w:val="001B09B9"/>
    <w:rsid w:val="001B1D1F"/>
    <w:rsid w:val="001B1DB4"/>
    <w:rsid w:val="001B20C8"/>
    <w:rsid w:val="001B260C"/>
    <w:rsid w:val="001B3E31"/>
    <w:rsid w:val="001B5776"/>
    <w:rsid w:val="001B5830"/>
    <w:rsid w:val="001B6EF7"/>
    <w:rsid w:val="001C00C7"/>
    <w:rsid w:val="001C0948"/>
    <w:rsid w:val="001C1222"/>
    <w:rsid w:val="001C1987"/>
    <w:rsid w:val="001C1AD3"/>
    <w:rsid w:val="001C20ED"/>
    <w:rsid w:val="001C2216"/>
    <w:rsid w:val="001C24A0"/>
    <w:rsid w:val="001C2F80"/>
    <w:rsid w:val="001C3261"/>
    <w:rsid w:val="001C32E5"/>
    <w:rsid w:val="001C4339"/>
    <w:rsid w:val="001C43F8"/>
    <w:rsid w:val="001C4C44"/>
    <w:rsid w:val="001C5036"/>
    <w:rsid w:val="001C51AD"/>
    <w:rsid w:val="001C6089"/>
    <w:rsid w:val="001D0839"/>
    <w:rsid w:val="001D0FC8"/>
    <w:rsid w:val="001D3071"/>
    <w:rsid w:val="001D391C"/>
    <w:rsid w:val="001D3C7C"/>
    <w:rsid w:val="001D4777"/>
    <w:rsid w:val="001D49DE"/>
    <w:rsid w:val="001D544A"/>
    <w:rsid w:val="001D5C83"/>
    <w:rsid w:val="001D5DDB"/>
    <w:rsid w:val="001D609F"/>
    <w:rsid w:val="001D62B9"/>
    <w:rsid w:val="001D68E1"/>
    <w:rsid w:val="001D6B76"/>
    <w:rsid w:val="001D73BE"/>
    <w:rsid w:val="001D7498"/>
    <w:rsid w:val="001D7739"/>
    <w:rsid w:val="001E0401"/>
    <w:rsid w:val="001E07DE"/>
    <w:rsid w:val="001E0E56"/>
    <w:rsid w:val="001E13D6"/>
    <w:rsid w:val="001E13E8"/>
    <w:rsid w:val="001E1A8B"/>
    <w:rsid w:val="001E1FEE"/>
    <w:rsid w:val="001E220C"/>
    <w:rsid w:val="001E2673"/>
    <w:rsid w:val="001E28E3"/>
    <w:rsid w:val="001E31B5"/>
    <w:rsid w:val="001E35DC"/>
    <w:rsid w:val="001E3619"/>
    <w:rsid w:val="001E3A0D"/>
    <w:rsid w:val="001E3CF1"/>
    <w:rsid w:val="001E3F74"/>
    <w:rsid w:val="001E46C2"/>
    <w:rsid w:val="001E4920"/>
    <w:rsid w:val="001E50B6"/>
    <w:rsid w:val="001E52A5"/>
    <w:rsid w:val="001E540C"/>
    <w:rsid w:val="001E5737"/>
    <w:rsid w:val="001E6556"/>
    <w:rsid w:val="001E655F"/>
    <w:rsid w:val="001E7067"/>
    <w:rsid w:val="001E718A"/>
    <w:rsid w:val="001E7524"/>
    <w:rsid w:val="001F136B"/>
    <w:rsid w:val="001F1D70"/>
    <w:rsid w:val="001F28C7"/>
    <w:rsid w:val="001F307E"/>
    <w:rsid w:val="001F36E0"/>
    <w:rsid w:val="001F3F30"/>
    <w:rsid w:val="001F43F2"/>
    <w:rsid w:val="001F4FFA"/>
    <w:rsid w:val="001F505D"/>
    <w:rsid w:val="001F5FA9"/>
    <w:rsid w:val="001F6C72"/>
    <w:rsid w:val="001F7151"/>
    <w:rsid w:val="001F7B07"/>
    <w:rsid w:val="001F7E52"/>
    <w:rsid w:val="00200D59"/>
    <w:rsid w:val="00201C2F"/>
    <w:rsid w:val="00202211"/>
    <w:rsid w:val="00202749"/>
    <w:rsid w:val="0020336D"/>
    <w:rsid w:val="00204033"/>
    <w:rsid w:val="0020409D"/>
    <w:rsid w:val="002046D2"/>
    <w:rsid w:val="00204B47"/>
    <w:rsid w:val="0020556C"/>
    <w:rsid w:val="00206838"/>
    <w:rsid w:val="00206C83"/>
    <w:rsid w:val="00207990"/>
    <w:rsid w:val="00210523"/>
    <w:rsid w:val="00210EA2"/>
    <w:rsid w:val="002117F5"/>
    <w:rsid w:val="002135E4"/>
    <w:rsid w:val="002137BA"/>
    <w:rsid w:val="00214364"/>
    <w:rsid w:val="00214424"/>
    <w:rsid w:val="002148B8"/>
    <w:rsid w:val="00214B13"/>
    <w:rsid w:val="00214D17"/>
    <w:rsid w:val="002150B4"/>
    <w:rsid w:val="002150D9"/>
    <w:rsid w:val="00215307"/>
    <w:rsid w:val="00216ED9"/>
    <w:rsid w:val="00223563"/>
    <w:rsid w:val="0022414B"/>
    <w:rsid w:val="00226093"/>
    <w:rsid w:val="00227A00"/>
    <w:rsid w:val="00227A23"/>
    <w:rsid w:val="00227C2C"/>
    <w:rsid w:val="0023021B"/>
    <w:rsid w:val="002304F1"/>
    <w:rsid w:val="00230AA7"/>
    <w:rsid w:val="00230B41"/>
    <w:rsid w:val="00230E51"/>
    <w:rsid w:val="00236186"/>
    <w:rsid w:val="00236435"/>
    <w:rsid w:val="00236498"/>
    <w:rsid w:val="00236790"/>
    <w:rsid w:val="002373DC"/>
    <w:rsid w:val="00237D45"/>
    <w:rsid w:val="002401CA"/>
    <w:rsid w:val="002410F7"/>
    <w:rsid w:val="00241725"/>
    <w:rsid w:val="00241887"/>
    <w:rsid w:val="00243231"/>
    <w:rsid w:val="00244E1B"/>
    <w:rsid w:val="00245E8C"/>
    <w:rsid w:val="00246CBA"/>
    <w:rsid w:val="00246E0C"/>
    <w:rsid w:val="002478C7"/>
    <w:rsid w:val="0025160B"/>
    <w:rsid w:val="00251BCF"/>
    <w:rsid w:val="00252CE2"/>
    <w:rsid w:val="00252FA9"/>
    <w:rsid w:val="002530EE"/>
    <w:rsid w:val="0025369E"/>
    <w:rsid w:val="00253946"/>
    <w:rsid w:val="00253F6E"/>
    <w:rsid w:val="0025444F"/>
    <w:rsid w:val="002547C2"/>
    <w:rsid w:val="0025534B"/>
    <w:rsid w:val="00255414"/>
    <w:rsid w:val="00255476"/>
    <w:rsid w:val="00255AE7"/>
    <w:rsid w:val="00256049"/>
    <w:rsid w:val="00256817"/>
    <w:rsid w:val="00256CE5"/>
    <w:rsid w:val="002572B6"/>
    <w:rsid w:val="002600E8"/>
    <w:rsid w:val="00260612"/>
    <w:rsid w:val="002613DD"/>
    <w:rsid w:val="002615D5"/>
    <w:rsid w:val="002616EA"/>
    <w:rsid w:val="00262298"/>
    <w:rsid w:val="0026251C"/>
    <w:rsid w:val="00263B5B"/>
    <w:rsid w:val="00263D83"/>
    <w:rsid w:val="00263F6E"/>
    <w:rsid w:val="002645AD"/>
    <w:rsid w:val="0026488A"/>
    <w:rsid w:val="00264C6A"/>
    <w:rsid w:val="00264F92"/>
    <w:rsid w:val="002653D1"/>
    <w:rsid w:val="0026551F"/>
    <w:rsid w:val="00265CC4"/>
    <w:rsid w:val="00266122"/>
    <w:rsid w:val="002667DE"/>
    <w:rsid w:val="00266E81"/>
    <w:rsid w:val="00267EF0"/>
    <w:rsid w:val="002704A1"/>
    <w:rsid w:val="00270F59"/>
    <w:rsid w:val="00271894"/>
    <w:rsid w:val="002719D7"/>
    <w:rsid w:val="00272B1E"/>
    <w:rsid w:val="00272CDA"/>
    <w:rsid w:val="00274EF5"/>
    <w:rsid w:val="002757AD"/>
    <w:rsid w:val="0027715E"/>
    <w:rsid w:val="00277623"/>
    <w:rsid w:val="0027788F"/>
    <w:rsid w:val="00277A64"/>
    <w:rsid w:val="002810B0"/>
    <w:rsid w:val="00282374"/>
    <w:rsid w:val="00283D72"/>
    <w:rsid w:val="0028416A"/>
    <w:rsid w:val="00285217"/>
    <w:rsid w:val="0028551A"/>
    <w:rsid w:val="00285DC8"/>
    <w:rsid w:val="00286B69"/>
    <w:rsid w:val="00286FCD"/>
    <w:rsid w:val="0029097F"/>
    <w:rsid w:val="002917E4"/>
    <w:rsid w:val="00291E15"/>
    <w:rsid w:val="0029210F"/>
    <w:rsid w:val="00292A10"/>
    <w:rsid w:val="00292B19"/>
    <w:rsid w:val="002931D3"/>
    <w:rsid w:val="00293C31"/>
    <w:rsid w:val="00294520"/>
    <w:rsid w:val="00294811"/>
    <w:rsid w:val="00294CF9"/>
    <w:rsid w:val="00295E66"/>
    <w:rsid w:val="00295F1B"/>
    <w:rsid w:val="0029682D"/>
    <w:rsid w:val="002973CC"/>
    <w:rsid w:val="00297616"/>
    <w:rsid w:val="00297A1F"/>
    <w:rsid w:val="00297BF2"/>
    <w:rsid w:val="002A0147"/>
    <w:rsid w:val="002A02D8"/>
    <w:rsid w:val="002A068B"/>
    <w:rsid w:val="002A0B3B"/>
    <w:rsid w:val="002A265F"/>
    <w:rsid w:val="002A299F"/>
    <w:rsid w:val="002A29C2"/>
    <w:rsid w:val="002A36D7"/>
    <w:rsid w:val="002A44DF"/>
    <w:rsid w:val="002A49C5"/>
    <w:rsid w:val="002A4B98"/>
    <w:rsid w:val="002A4CF4"/>
    <w:rsid w:val="002A53D6"/>
    <w:rsid w:val="002A5C8C"/>
    <w:rsid w:val="002A5DFA"/>
    <w:rsid w:val="002A635C"/>
    <w:rsid w:val="002A6BCE"/>
    <w:rsid w:val="002A7079"/>
    <w:rsid w:val="002B04D3"/>
    <w:rsid w:val="002B0514"/>
    <w:rsid w:val="002B0548"/>
    <w:rsid w:val="002B0D90"/>
    <w:rsid w:val="002B0E38"/>
    <w:rsid w:val="002B1F62"/>
    <w:rsid w:val="002B222D"/>
    <w:rsid w:val="002B2A31"/>
    <w:rsid w:val="002B2F68"/>
    <w:rsid w:val="002B3284"/>
    <w:rsid w:val="002B4366"/>
    <w:rsid w:val="002B583B"/>
    <w:rsid w:val="002B5B73"/>
    <w:rsid w:val="002B6003"/>
    <w:rsid w:val="002B6E62"/>
    <w:rsid w:val="002C01A3"/>
    <w:rsid w:val="002C098E"/>
    <w:rsid w:val="002C282E"/>
    <w:rsid w:val="002C3907"/>
    <w:rsid w:val="002C3C8B"/>
    <w:rsid w:val="002C4268"/>
    <w:rsid w:val="002C4610"/>
    <w:rsid w:val="002C4623"/>
    <w:rsid w:val="002C6ABC"/>
    <w:rsid w:val="002C6CB3"/>
    <w:rsid w:val="002C78A0"/>
    <w:rsid w:val="002D1386"/>
    <w:rsid w:val="002D13A9"/>
    <w:rsid w:val="002D1710"/>
    <w:rsid w:val="002D33ED"/>
    <w:rsid w:val="002D3CE6"/>
    <w:rsid w:val="002D6EF5"/>
    <w:rsid w:val="002D707A"/>
    <w:rsid w:val="002D7113"/>
    <w:rsid w:val="002D7206"/>
    <w:rsid w:val="002D7EF7"/>
    <w:rsid w:val="002E026E"/>
    <w:rsid w:val="002E0730"/>
    <w:rsid w:val="002E07FA"/>
    <w:rsid w:val="002E0D92"/>
    <w:rsid w:val="002E16DD"/>
    <w:rsid w:val="002E2183"/>
    <w:rsid w:val="002E236E"/>
    <w:rsid w:val="002E3EB7"/>
    <w:rsid w:val="002E42C1"/>
    <w:rsid w:val="002E43C8"/>
    <w:rsid w:val="002E4770"/>
    <w:rsid w:val="002E5424"/>
    <w:rsid w:val="002E5BE0"/>
    <w:rsid w:val="002E5F02"/>
    <w:rsid w:val="002E68E0"/>
    <w:rsid w:val="002E68E6"/>
    <w:rsid w:val="002E6DE9"/>
    <w:rsid w:val="002E7227"/>
    <w:rsid w:val="002E7491"/>
    <w:rsid w:val="002F0375"/>
    <w:rsid w:val="002F076B"/>
    <w:rsid w:val="002F14D2"/>
    <w:rsid w:val="002F17A4"/>
    <w:rsid w:val="002F231B"/>
    <w:rsid w:val="002F2362"/>
    <w:rsid w:val="002F2433"/>
    <w:rsid w:val="002F2BF5"/>
    <w:rsid w:val="002F43E9"/>
    <w:rsid w:val="002F4DA9"/>
    <w:rsid w:val="002F6923"/>
    <w:rsid w:val="002F7220"/>
    <w:rsid w:val="002F7314"/>
    <w:rsid w:val="002F7730"/>
    <w:rsid w:val="002F7EA0"/>
    <w:rsid w:val="0030014E"/>
    <w:rsid w:val="00300BF7"/>
    <w:rsid w:val="00300D39"/>
    <w:rsid w:val="00301EE3"/>
    <w:rsid w:val="003024CF"/>
    <w:rsid w:val="00302543"/>
    <w:rsid w:val="00302ABF"/>
    <w:rsid w:val="00302C56"/>
    <w:rsid w:val="003033D0"/>
    <w:rsid w:val="0030359C"/>
    <w:rsid w:val="00304A30"/>
    <w:rsid w:val="00305649"/>
    <w:rsid w:val="00306005"/>
    <w:rsid w:val="0030697F"/>
    <w:rsid w:val="00306BA6"/>
    <w:rsid w:val="0030773C"/>
    <w:rsid w:val="0030780A"/>
    <w:rsid w:val="00307FCF"/>
    <w:rsid w:val="0031042F"/>
    <w:rsid w:val="003107D8"/>
    <w:rsid w:val="00312517"/>
    <w:rsid w:val="003126FF"/>
    <w:rsid w:val="00312AA8"/>
    <w:rsid w:val="00312DCF"/>
    <w:rsid w:val="00314936"/>
    <w:rsid w:val="00314E54"/>
    <w:rsid w:val="003152C8"/>
    <w:rsid w:val="003168DB"/>
    <w:rsid w:val="00317153"/>
    <w:rsid w:val="0031728B"/>
    <w:rsid w:val="0031766E"/>
    <w:rsid w:val="003177D6"/>
    <w:rsid w:val="00317C83"/>
    <w:rsid w:val="00321D0D"/>
    <w:rsid w:val="00322535"/>
    <w:rsid w:val="003225BE"/>
    <w:rsid w:val="00322F93"/>
    <w:rsid w:val="00323931"/>
    <w:rsid w:val="00323B05"/>
    <w:rsid w:val="003245EA"/>
    <w:rsid w:val="00325C3D"/>
    <w:rsid w:val="0032735A"/>
    <w:rsid w:val="003273F6"/>
    <w:rsid w:val="003274B9"/>
    <w:rsid w:val="0032767B"/>
    <w:rsid w:val="00330AE6"/>
    <w:rsid w:val="00331ED4"/>
    <w:rsid w:val="00331F6B"/>
    <w:rsid w:val="00332EEC"/>
    <w:rsid w:val="00333228"/>
    <w:rsid w:val="003333F3"/>
    <w:rsid w:val="00334261"/>
    <w:rsid w:val="0033449F"/>
    <w:rsid w:val="00335192"/>
    <w:rsid w:val="00335A51"/>
    <w:rsid w:val="0033624C"/>
    <w:rsid w:val="00336326"/>
    <w:rsid w:val="0033644F"/>
    <w:rsid w:val="00337213"/>
    <w:rsid w:val="00337ECD"/>
    <w:rsid w:val="00340A87"/>
    <w:rsid w:val="00340A89"/>
    <w:rsid w:val="00341272"/>
    <w:rsid w:val="00343004"/>
    <w:rsid w:val="00343D09"/>
    <w:rsid w:val="0034430F"/>
    <w:rsid w:val="00345059"/>
    <w:rsid w:val="003459AA"/>
    <w:rsid w:val="00345A64"/>
    <w:rsid w:val="0034669D"/>
    <w:rsid w:val="003467FB"/>
    <w:rsid w:val="00346F3B"/>
    <w:rsid w:val="003471A1"/>
    <w:rsid w:val="0034795A"/>
    <w:rsid w:val="00347D7E"/>
    <w:rsid w:val="00351B92"/>
    <w:rsid w:val="00352B53"/>
    <w:rsid w:val="003547A6"/>
    <w:rsid w:val="00354C84"/>
    <w:rsid w:val="003551C0"/>
    <w:rsid w:val="00355727"/>
    <w:rsid w:val="00356849"/>
    <w:rsid w:val="00357F3A"/>
    <w:rsid w:val="00360156"/>
    <w:rsid w:val="00360761"/>
    <w:rsid w:val="00361399"/>
    <w:rsid w:val="00361C08"/>
    <w:rsid w:val="00362514"/>
    <w:rsid w:val="00362F7B"/>
    <w:rsid w:val="003640C2"/>
    <w:rsid w:val="003641D4"/>
    <w:rsid w:val="00364C54"/>
    <w:rsid w:val="00364E87"/>
    <w:rsid w:val="0036574C"/>
    <w:rsid w:val="00366070"/>
    <w:rsid w:val="0036668D"/>
    <w:rsid w:val="0036744E"/>
    <w:rsid w:val="00370075"/>
    <w:rsid w:val="003700F1"/>
    <w:rsid w:val="0037015F"/>
    <w:rsid w:val="00370AE3"/>
    <w:rsid w:val="00371771"/>
    <w:rsid w:val="00371E5D"/>
    <w:rsid w:val="003721D7"/>
    <w:rsid w:val="0037252B"/>
    <w:rsid w:val="00372551"/>
    <w:rsid w:val="00372C04"/>
    <w:rsid w:val="0037309E"/>
    <w:rsid w:val="003737EC"/>
    <w:rsid w:val="00373F04"/>
    <w:rsid w:val="003745F3"/>
    <w:rsid w:val="0037587D"/>
    <w:rsid w:val="00375A84"/>
    <w:rsid w:val="00375B15"/>
    <w:rsid w:val="003763F1"/>
    <w:rsid w:val="00376CF3"/>
    <w:rsid w:val="00377232"/>
    <w:rsid w:val="00380DF0"/>
    <w:rsid w:val="00381156"/>
    <w:rsid w:val="0038280B"/>
    <w:rsid w:val="003828BF"/>
    <w:rsid w:val="00383170"/>
    <w:rsid w:val="00383717"/>
    <w:rsid w:val="0038397B"/>
    <w:rsid w:val="00384A15"/>
    <w:rsid w:val="00385050"/>
    <w:rsid w:val="00385B56"/>
    <w:rsid w:val="00385C0E"/>
    <w:rsid w:val="00386D16"/>
    <w:rsid w:val="00386F11"/>
    <w:rsid w:val="00386F4E"/>
    <w:rsid w:val="00390B75"/>
    <w:rsid w:val="003915DE"/>
    <w:rsid w:val="00391637"/>
    <w:rsid w:val="003917A9"/>
    <w:rsid w:val="00391D7F"/>
    <w:rsid w:val="0039230D"/>
    <w:rsid w:val="00392A9A"/>
    <w:rsid w:val="00392DF5"/>
    <w:rsid w:val="00392EA4"/>
    <w:rsid w:val="00393133"/>
    <w:rsid w:val="00393A77"/>
    <w:rsid w:val="00393F22"/>
    <w:rsid w:val="00394FD0"/>
    <w:rsid w:val="003954DA"/>
    <w:rsid w:val="00395CC7"/>
    <w:rsid w:val="00395CDA"/>
    <w:rsid w:val="00395FBF"/>
    <w:rsid w:val="00396C2B"/>
    <w:rsid w:val="0039712E"/>
    <w:rsid w:val="0039752F"/>
    <w:rsid w:val="003A033C"/>
    <w:rsid w:val="003A0CD3"/>
    <w:rsid w:val="003A200C"/>
    <w:rsid w:val="003A20D5"/>
    <w:rsid w:val="003A2341"/>
    <w:rsid w:val="003A2509"/>
    <w:rsid w:val="003A2553"/>
    <w:rsid w:val="003A31D0"/>
    <w:rsid w:val="003A38FA"/>
    <w:rsid w:val="003A4084"/>
    <w:rsid w:val="003A4593"/>
    <w:rsid w:val="003A4BA9"/>
    <w:rsid w:val="003A51E9"/>
    <w:rsid w:val="003A524C"/>
    <w:rsid w:val="003A6E78"/>
    <w:rsid w:val="003A75D7"/>
    <w:rsid w:val="003A7CFD"/>
    <w:rsid w:val="003A7F18"/>
    <w:rsid w:val="003B0765"/>
    <w:rsid w:val="003B1054"/>
    <w:rsid w:val="003B1057"/>
    <w:rsid w:val="003B1CDF"/>
    <w:rsid w:val="003B3041"/>
    <w:rsid w:val="003B3233"/>
    <w:rsid w:val="003B38F6"/>
    <w:rsid w:val="003B4660"/>
    <w:rsid w:val="003B488F"/>
    <w:rsid w:val="003B4EF8"/>
    <w:rsid w:val="003B5CCB"/>
    <w:rsid w:val="003B5F88"/>
    <w:rsid w:val="003B7AAD"/>
    <w:rsid w:val="003C0499"/>
    <w:rsid w:val="003C0AD7"/>
    <w:rsid w:val="003C13C6"/>
    <w:rsid w:val="003C3054"/>
    <w:rsid w:val="003C31F2"/>
    <w:rsid w:val="003C3E81"/>
    <w:rsid w:val="003C41DD"/>
    <w:rsid w:val="003C4953"/>
    <w:rsid w:val="003C5140"/>
    <w:rsid w:val="003C5897"/>
    <w:rsid w:val="003C5BB5"/>
    <w:rsid w:val="003C666E"/>
    <w:rsid w:val="003C6878"/>
    <w:rsid w:val="003C79E7"/>
    <w:rsid w:val="003C7D8F"/>
    <w:rsid w:val="003D1ED1"/>
    <w:rsid w:val="003D3B2D"/>
    <w:rsid w:val="003D3C50"/>
    <w:rsid w:val="003D419F"/>
    <w:rsid w:val="003D41CC"/>
    <w:rsid w:val="003D4454"/>
    <w:rsid w:val="003D465A"/>
    <w:rsid w:val="003D46F7"/>
    <w:rsid w:val="003D603B"/>
    <w:rsid w:val="003D64CE"/>
    <w:rsid w:val="003D6801"/>
    <w:rsid w:val="003D7375"/>
    <w:rsid w:val="003D78FF"/>
    <w:rsid w:val="003E0155"/>
    <w:rsid w:val="003E284C"/>
    <w:rsid w:val="003E2F5E"/>
    <w:rsid w:val="003E3774"/>
    <w:rsid w:val="003E5089"/>
    <w:rsid w:val="003E51FE"/>
    <w:rsid w:val="003E572E"/>
    <w:rsid w:val="003E5C52"/>
    <w:rsid w:val="003E5D34"/>
    <w:rsid w:val="003E6CFB"/>
    <w:rsid w:val="003E70F6"/>
    <w:rsid w:val="003E7D0C"/>
    <w:rsid w:val="003E7EC3"/>
    <w:rsid w:val="003F091B"/>
    <w:rsid w:val="003F1DFE"/>
    <w:rsid w:val="003F20A9"/>
    <w:rsid w:val="003F32CD"/>
    <w:rsid w:val="003F38F9"/>
    <w:rsid w:val="003F411E"/>
    <w:rsid w:val="003F4371"/>
    <w:rsid w:val="003F50A2"/>
    <w:rsid w:val="003F51DE"/>
    <w:rsid w:val="003F5C24"/>
    <w:rsid w:val="003F680D"/>
    <w:rsid w:val="003F6E24"/>
    <w:rsid w:val="003F7765"/>
    <w:rsid w:val="0040003E"/>
    <w:rsid w:val="004016A0"/>
    <w:rsid w:val="004024C1"/>
    <w:rsid w:val="0040250D"/>
    <w:rsid w:val="0040491F"/>
    <w:rsid w:val="00404B6B"/>
    <w:rsid w:val="00404EE5"/>
    <w:rsid w:val="00404FC8"/>
    <w:rsid w:val="004051B2"/>
    <w:rsid w:val="004055BD"/>
    <w:rsid w:val="00405644"/>
    <w:rsid w:val="004061D4"/>
    <w:rsid w:val="00406F04"/>
    <w:rsid w:val="00407B0F"/>
    <w:rsid w:val="00407DE2"/>
    <w:rsid w:val="004101EE"/>
    <w:rsid w:val="00410281"/>
    <w:rsid w:val="00410F54"/>
    <w:rsid w:val="00411C98"/>
    <w:rsid w:val="004123E5"/>
    <w:rsid w:val="00412465"/>
    <w:rsid w:val="00412818"/>
    <w:rsid w:val="00412B8D"/>
    <w:rsid w:val="00414715"/>
    <w:rsid w:val="004150CE"/>
    <w:rsid w:val="00415575"/>
    <w:rsid w:val="00415891"/>
    <w:rsid w:val="00415969"/>
    <w:rsid w:val="004159E1"/>
    <w:rsid w:val="00416150"/>
    <w:rsid w:val="00416886"/>
    <w:rsid w:val="00417350"/>
    <w:rsid w:val="00417E89"/>
    <w:rsid w:val="0042042C"/>
    <w:rsid w:val="00421257"/>
    <w:rsid w:val="004214EB"/>
    <w:rsid w:val="004216F8"/>
    <w:rsid w:val="00422127"/>
    <w:rsid w:val="00422486"/>
    <w:rsid w:val="0042316C"/>
    <w:rsid w:val="00423667"/>
    <w:rsid w:val="00425061"/>
    <w:rsid w:val="00425D4D"/>
    <w:rsid w:val="00426037"/>
    <w:rsid w:val="00426171"/>
    <w:rsid w:val="004262FA"/>
    <w:rsid w:val="00426CA2"/>
    <w:rsid w:val="004276FC"/>
    <w:rsid w:val="00427DDB"/>
    <w:rsid w:val="00430BCE"/>
    <w:rsid w:val="00430FBB"/>
    <w:rsid w:val="00432D94"/>
    <w:rsid w:val="004330CC"/>
    <w:rsid w:val="00433124"/>
    <w:rsid w:val="00433125"/>
    <w:rsid w:val="004331F4"/>
    <w:rsid w:val="00433C6E"/>
    <w:rsid w:val="00433F45"/>
    <w:rsid w:val="00434AFE"/>
    <w:rsid w:val="00437F35"/>
    <w:rsid w:val="00440224"/>
    <w:rsid w:val="0044059B"/>
    <w:rsid w:val="00441442"/>
    <w:rsid w:val="00441AEB"/>
    <w:rsid w:val="004426BA"/>
    <w:rsid w:val="0044360E"/>
    <w:rsid w:val="0044389F"/>
    <w:rsid w:val="00443F1C"/>
    <w:rsid w:val="00444878"/>
    <w:rsid w:val="0044551E"/>
    <w:rsid w:val="00450EAC"/>
    <w:rsid w:val="00451488"/>
    <w:rsid w:val="0045296D"/>
    <w:rsid w:val="00452FD5"/>
    <w:rsid w:val="00453772"/>
    <w:rsid w:val="00455333"/>
    <w:rsid w:val="004569DA"/>
    <w:rsid w:val="004571CA"/>
    <w:rsid w:val="004574CA"/>
    <w:rsid w:val="00460090"/>
    <w:rsid w:val="0046045C"/>
    <w:rsid w:val="00461664"/>
    <w:rsid w:val="00461670"/>
    <w:rsid w:val="004618E0"/>
    <w:rsid w:val="00461AA2"/>
    <w:rsid w:val="00461DE7"/>
    <w:rsid w:val="0046294A"/>
    <w:rsid w:val="00462F8D"/>
    <w:rsid w:val="0046305E"/>
    <w:rsid w:val="004636C3"/>
    <w:rsid w:val="00463D21"/>
    <w:rsid w:val="0046463F"/>
    <w:rsid w:val="00464847"/>
    <w:rsid w:val="00464F26"/>
    <w:rsid w:val="004651EB"/>
    <w:rsid w:val="00465A3B"/>
    <w:rsid w:val="00465C87"/>
    <w:rsid w:val="00465F99"/>
    <w:rsid w:val="00466333"/>
    <w:rsid w:val="004668E4"/>
    <w:rsid w:val="00467E9B"/>
    <w:rsid w:val="00470685"/>
    <w:rsid w:val="00470FCF"/>
    <w:rsid w:val="00470FE8"/>
    <w:rsid w:val="0047139B"/>
    <w:rsid w:val="004713A5"/>
    <w:rsid w:val="00471978"/>
    <w:rsid w:val="00472141"/>
    <w:rsid w:val="00473FD6"/>
    <w:rsid w:val="0047495B"/>
    <w:rsid w:val="00474AB1"/>
    <w:rsid w:val="00474AC6"/>
    <w:rsid w:val="00476753"/>
    <w:rsid w:val="00476E33"/>
    <w:rsid w:val="004770D5"/>
    <w:rsid w:val="00477737"/>
    <w:rsid w:val="00480F2C"/>
    <w:rsid w:val="00480F57"/>
    <w:rsid w:val="00481832"/>
    <w:rsid w:val="004839C7"/>
    <w:rsid w:val="00484132"/>
    <w:rsid w:val="004847CD"/>
    <w:rsid w:val="00484DC2"/>
    <w:rsid w:val="00484F02"/>
    <w:rsid w:val="00484FF6"/>
    <w:rsid w:val="00486907"/>
    <w:rsid w:val="00486BD9"/>
    <w:rsid w:val="00490C32"/>
    <w:rsid w:val="004920BE"/>
    <w:rsid w:val="004927B0"/>
    <w:rsid w:val="004931AB"/>
    <w:rsid w:val="00496D95"/>
    <w:rsid w:val="004A124A"/>
    <w:rsid w:val="004A15AA"/>
    <w:rsid w:val="004A1D02"/>
    <w:rsid w:val="004A24A4"/>
    <w:rsid w:val="004A25E1"/>
    <w:rsid w:val="004A2DEF"/>
    <w:rsid w:val="004A311C"/>
    <w:rsid w:val="004A4D45"/>
    <w:rsid w:val="004A5605"/>
    <w:rsid w:val="004A574C"/>
    <w:rsid w:val="004A5A2F"/>
    <w:rsid w:val="004A5D87"/>
    <w:rsid w:val="004A6086"/>
    <w:rsid w:val="004A7724"/>
    <w:rsid w:val="004A78E1"/>
    <w:rsid w:val="004B0483"/>
    <w:rsid w:val="004B0574"/>
    <w:rsid w:val="004B2718"/>
    <w:rsid w:val="004B2ADD"/>
    <w:rsid w:val="004B2B60"/>
    <w:rsid w:val="004B2DCF"/>
    <w:rsid w:val="004B30F9"/>
    <w:rsid w:val="004B42F3"/>
    <w:rsid w:val="004B437C"/>
    <w:rsid w:val="004B5FD3"/>
    <w:rsid w:val="004B6233"/>
    <w:rsid w:val="004B6A69"/>
    <w:rsid w:val="004B6F93"/>
    <w:rsid w:val="004C02EA"/>
    <w:rsid w:val="004C07A2"/>
    <w:rsid w:val="004C1329"/>
    <w:rsid w:val="004C15FE"/>
    <w:rsid w:val="004C1636"/>
    <w:rsid w:val="004C1E92"/>
    <w:rsid w:val="004C1ED7"/>
    <w:rsid w:val="004C244B"/>
    <w:rsid w:val="004C249A"/>
    <w:rsid w:val="004C3201"/>
    <w:rsid w:val="004C3610"/>
    <w:rsid w:val="004C363A"/>
    <w:rsid w:val="004C3C61"/>
    <w:rsid w:val="004C5385"/>
    <w:rsid w:val="004C6542"/>
    <w:rsid w:val="004C6552"/>
    <w:rsid w:val="004C733E"/>
    <w:rsid w:val="004D02E2"/>
    <w:rsid w:val="004D1B7F"/>
    <w:rsid w:val="004D1CA6"/>
    <w:rsid w:val="004D36BC"/>
    <w:rsid w:val="004D4115"/>
    <w:rsid w:val="004D417D"/>
    <w:rsid w:val="004D448F"/>
    <w:rsid w:val="004D458D"/>
    <w:rsid w:val="004D50B2"/>
    <w:rsid w:val="004D548D"/>
    <w:rsid w:val="004D6655"/>
    <w:rsid w:val="004D67CB"/>
    <w:rsid w:val="004D6E04"/>
    <w:rsid w:val="004D6F93"/>
    <w:rsid w:val="004D7B9F"/>
    <w:rsid w:val="004D7E4B"/>
    <w:rsid w:val="004E2854"/>
    <w:rsid w:val="004E28C6"/>
    <w:rsid w:val="004E2B68"/>
    <w:rsid w:val="004E4B8E"/>
    <w:rsid w:val="004E5B45"/>
    <w:rsid w:val="004E5BE7"/>
    <w:rsid w:val="004E5C93"/>
    <w:rsid w:val="004E603B"/>
    <w:rsid w:val="004E714E"/>
    <w:rsid w:val="004E7503"/>
    <w:rsid w:val="004E7708"/>
    <w:rsid w:val="004E7F3D"/>
    <w:rsid w:val="004F4C9A"/>
    <w:rsid w:val="004F50F8"/>
    <w:rsid w:val="004F5535"/>
    <w:rsid w:val="004F5C0A"/>
    <w:rsid w:val="004F5CBC"/>
    <w:rsid w:val="004F5D0C"/>
    <w:rsid w:val="004F6455"/>
    <w:rsid w:val="004F66E3"/>
    <w:rsid w:val="004F6CDF"/>
    <w:rsid w:val="004F709C"/>
    <w:rsid w:val="004F74A2"/>
    <w:rsid w:val="004F7B8B"/>
    <w:rsid w:val="00500486"/>
    <w:rsid w:val="00503CC5"/>
    <w:rsid w:val="00503D58"/>
    <w:rsid w:val="005040FD"/>
    <w:rsid w:val="005041B4"/>
    <w:rsid w:val="005051DA"/>
    <w:rsid w:val="00505396"/>
    <w:rsid w:val="0050540B"/>
    <w:rsid w:val="00507A52"/>
    <w:rsid w:val="00510782"/>
    <w:rsid w:val="0051088C"/>
    <w:rsid w:val="00510B84"/>
    <w:rsid w:val="00511854"/>
    <w:rsid w:val="005151D7"/>
    <w:rsid w:val="00516926"/>
    <w:rsid w:val="00517D90"/>
    <w:rsid w:val="00517F42"/>
    <w:rsid w:val="005208F9"/>
    <w:rsid w:val="00522A06"/>
    <w:rsid w:val="00522A76"/>
    <w:rsid w:val="0052393A"/>
    <w:rsid w:val="00523E5B"/>
    <w:rsid w:val="005240F9"/>
    <w:rsid w:val="005243CA"/>
    <w:rsid w:val="00525E2F"/>
    <w:rsid w:val="005261C2"/>
    <w:rsid w:val="00526653"/>
    <w:rsid w:val="00526B55"/>
    <w:rsid w:val="00526D25"/>
    <w:rsid w:val="00526EE8"/>
    <w:rsid w:val="00526F5D"/>
    <w:rsid w:val="00527234"/>
    <w:rsid w:val="005303B3"/>
    <w:rsid w:val="00530BB4"/>
    <w:rsid w:val="00532824"/>
    <w:rsid w:val="00532BE5"/>
    <w:rsid w:val="00532FA4"/>
    <w:rsid w:val="0053347A"/>
    <w:rsid w:val="00533C8E"/>
    <w:rsid w:val="005347A4"/>
    <w:rsid w:val="00534DE1"/>
    <w:rsid w:val="00534F80"/>
    <w:rsid w:val="00535392"/>
    <w:rsid w:val="0053589E"/>
    <w:rsid w:val="00536379"/>
    <w:rsid w:val="00537C17"/>
    <w:rsid w:val="00537D95"/>
    <w:rsid w:val="00540567"/>
    <w:rsid w:val="00541A51"/>
    <w:rsid w:val="00541BB5"/>
    <w:rsid w:val="00542DB6"/>
    <w:rsid w:val="0054307D"/>
    <w:rsid w:val="005434E0"/>
    <w:rsid w:val="00543CF1"/>
    <w:rsid w:val="005440B9"/>
    <w:rsid w:val="005448E9"/>
    <w:rsid w:val="00545582"/>
    <w:rsid w:val="00546306"/>
    <w:rsid w:val="00546413"/>
    <w:rsid w:val="00546592"/>
    <w:rsid w:val="00546644"/>
    <w:rsid w:val="00547373"/>
    <w:rsid w:val="005473EB"/>
    <w:rsid w:val="00550183"/>
    <w:rsid w:val="005513E6"/>
    <w:rsid w:val="00551515"/>
    <w:rsid w:val="0055212A"/>
    <w:rsid w:val="005521DA"/>
    <w:rsid w:val="00552EC2"/>
    <w:rsid w:val="0055363F"/>
    <w:rsid w:val="00553756"/>
    <w:rsid w:val="005539B4"/>
    <w:rsid w:val="00554284"/>
    <w:rsid w:val="00554333"/>
    <w:rsid w:val="0055442B"/>
    <w:rsid w:val="00554AD6"/>
    <w:rsid w:val="00554E67"/>
    <w:rsid w:val="00556CFF"/>
    <w:rsid w:val="005570CE"/>
    <w:rsid w:val="005577EF"/>
    <w:rsid w:val="00561173"/>
    <w:rsid w:val="00562E50"/>
    <w:rsid w:val="0056350E"/>
    <w:rsid w:val="005635FE"/>
    <w:rsid w:val="005656EF"/>
    <w:rsid w:val="00565876"/>
    <w:rsid w:val="00565EE6"/>
    <w:rsid w:val="005663FF"/>
    <w:rsid w:val="0056662E"/>
    <w:rsid w:val="00566A95"/>
    <w:rsid w:val="00566FC6"/>
    <w:rsid w:val="00567095"/>
    <w:rsid w:val="00567BAE"/>
    <w:rsid w:val="00567C44"/>
    <w:rsid w:val="00567E0C"/>
    <w:rsid w:val="005701C2"/>
    <w:rsid w:val="0057081F"/>
    <w:rsid w:val="00570D4E"/>
    <w:rsid w:val="005727D5"/>
    <w:rsid w:val="00572960"/>
    <w:rsid w:val="00573C7F"/>
    <w:rsid w:val="00574536"/>
    <w:rsid w:val="00574F0D"/>
    <w:rsid w:val="00576EA1"/>
    <w:rsid w:val="00577357"/>
    <w:rsid w:val="00577A04"/>
    <w:rsid w:val="00581588"/>
    <w:rsid w:val="00581DD4"/>
    <w:rsid w:val="00582272"/>
    <w:rsid w:val="005822B9"/>
    <w:rsid w:val="00582833"/>
    <w:rsid w:val="00582F38"/>
    <w:rsid w:val="00583E3A"/>
    <w:rsid w:val="00583F7F"/>
    <w:rsid w:val="00584314"/>
    <w:rsid w:val="00584D97"/>
    <w:rsid w:val="005914D0"/>
    <w:rsid w:val="00593899"/>
    <w:rsid w:val="00594E1A"/>
    <w:rsid w:val="00595976"/>
    <w:rsid w:val="00595C2D"/>
    <w:rsid w:val="005963F8"/>
    <w:rsid w:val="00597758"/>
    <w:rsid w:val="00597E5F"/>
    <w:rsid w:val="005A005E"/>
    <w:rsid w:val="005A03DE"/>
    <w:rsid w:val="005A085D"/>
    <w:rsid w:val="005A1224"/>
    <w:rsid w:val="005A1593"/>
    <w:rsid w:val="005A1802"/>
    <w:rsid w:val="005A2513"/>
    <w:rsid w:val="005A274C"/>
    <w:rsid w:val="005A2F1D"/>
    <w:rsid w:val="005A331D"/>
    <w:rsid w:val="005A38BD"/>
    <w:rsid w:val="005A3BBF"/>
    <w:rsid w:val="005A3C45"/>
    <w:rsid w:val="005A425C"/>
    <w:rsid w:val="005A7708"/>
    <w:rsid w:val="005A7B26"/>
    <w:rsid w:val="005A7C30"/>
    <w:rsid w:val="005B06C8"/>
    <w:rsid w:val="005B09E9"/>
    <w:rsid w:val="005B0A2D"/>
    <w:rsid w:val="005B11F6"/>
    <w:rsid w:val="005B1B1E"/>
    <w:rsid w:val="005B249E"/>
    <w:rsid w:val="005B26DC"/>
    <w:rsid w:val="005B2B8F"/>
    <w:rsid w:val="005B2CF8"/>
    <w:rsid w:val="005B3FB6"/>
    <w:rsid w:val="005B44E9"/>
    <w:rsid w:val="005B50DD"/>
    <w:rsid w:val="005B537D"/>
    <w:rsid w:val="005B53BC"/>
    <w:rsid w:val="005B5B1F"/>
    <w:rsid w:val="005B72AD"/>
    <w:rsid w:val="005B7304"/>
    <w:rsid w:val="005B7EF0"/>
    <w:rsid w:val="005C09F0"/>
    <w:rsid w:val="005C0B9B"/>
    <w:rsid w:val="005C1700"/>
    <w:rsid w:val="005C1C4A"/>
    <w:rsid w:val="005C24AD"/>
    <w:rsid w:val="005C32DA"/>
    <w:rsid w:val="005C3FB5"/>
    <w:rsid w:val="005C4DDB"/>
    <w:rsid w:val="005C5A26"/>
    <w:rsid w:val="005C5A9E"/>
    <w:rsid w:val="005C5B8B"/>
    <w:rsid w:val="005C7C8A"/>
    <w:rsid w:val="005D0872"/>
    <w:rsid w:val="005D2696"/>
    <w:rsid w:val="005D2DAA"/>
    <w:rsid w:val="005D2E52"/>
    <w:rsid w:val="005D335C"/>
    <w:rsid w:val="005D3B4E"/>
    <w:rsid w:val="005D6CAD"/>
    <w:rsid w:val="005D7230"/>
    <w:rsid w:val="005D783C"/>
    <w:rsid w:val="005D7AC2"/>
    <w:rsid w:val="005D7F46"/>
    <w:rsid w:val="005E09EF"/>
    <w:rsid w:val="005E12CA"/>
    <w:rsid w:val="005E141A"/>
    <w:rsid w:val="005E1AE9"/>
    <w:rsid w:val="005E1EC1"/>
    <w:rsid w:val="005E1FE2"/>
    <w:rsid w:val="005E279D"/>
    <w:rsid w:val="005E3A09"/>
    <w:rsid w:val="005E3FA3"/>
    <w:rsid w:val="005E4446"/>
    <w:rsid w:val="005E4AB2"/>
    <w:rsid w:val="005E6C27"/>
    <w:rsid w:val="005E6CFB"/>
    <w:rsid w:val="005E6FCE"/>
    <w:rsid w:val="005E7294"/>
    <w:rsid w:val="005E7D77"/>
    <w:rsid w:val="005E7F45"/>
    <w:rsid w:val="005EBDD4"/>
    <w:rsid w:val="005F02B4"/>
    <w:rsid w:val="005F1140"/>
    <w:rsid w:val="005F193F"/>
    <w:rsid w:val="005F1968"/>
    <w:rsid w:val="005F342B"/>
    <w:rsid w:val="005F36AE"/>
    <w:rsid w:val="005F3E93"/>
    <w:rsid w:val="005F4B00"/>
    <w:rsid w:val="005F543C"/>
    <w:rsid w:val="005F731D"/>
    <w:rsid w:val="005F7C90"/>
    <w:rsid w:val="00600858"/>
    <w:rsid w:val="0060106B"/>
    <w:rsid w:val="00601236"/>
    <w:rsid w:val="00601ADE"/>
    <w:rsid w:val="0060383C"/>
    <w:rsid w:val="00603AE1"/>
    <w:rsid w:val="006040E2"/>
    <w:rsid w:val="00604D75"/>
    <w:rsid w:val="0060592E"/>
    <w:rsid w:val="0060652A"/>
    <w:rsid w:val="00606A26"/>
    <w:rsid w:val="00606B3F"/>
    <w:rsid w:val="00610446"/>
    <w:rsid w:val="00610EC7"/>
    <w:rsid w:val="0061117D"/>
    <w:rsid w:val="006113F0"/>
    <w:rsid w:val="0061168E"/>
    <w:rsid w:val="00611FF8"/>
    <w:rsid w:val="00612183"/>
    <w:rsid w:val="0061277B"/>
    <w:rsid w:val="00612EBC"/>
    <w:rsid w:val="00613720"/>
    <w:rsid w:val="00613F04"/>
    <w:rsid w:val="006147C6"/>
    <w:rsid w:val="006147D8"/>
    <w:rsid w:val="0061480A"/>
    <w:rsid w:val="00615355"/>
    <w:rsid w:val="00615401"/>
    <w:rsid w:val="00615EB1"/>
    <w:rsid w:val="0061760C"/>
    <w:rsid w:val="006203CD"/>
    <w:rsid w:val="00621991"/>
    <w:rsid w:val="00621F35"/>
    <w:rsid w:val="00622443"/>
    <w:rsid w:val="00622681"/>
    <w:rsid w:val="00622756"/>
    <w:rsid w:val="006228E5"/>
    <w:rsid w:val="00622B76"/>
    <w:rsid w:val="00622D16"/>
    <w:rsid w:val="0062332B"/>
    <w:rsid w:val="0062334E"/>
    <w:rsid w:val="00623626"/>
    <w:rsid w:val="006246EE"/>
    <w:rsid w:val="0062526B"/>
    <w:rsid w:val="00625C01"/>
    <w:rsid w:val="00627399"/>
    <w:rsid w:val="006277F6"/>
    <w:rsid w:val="00631279"/>
    <w:rsid w:val="0063174D"/>
    <w:rsid w:val="00632051"/>
    <w:rsid w:val="00632182"/>
    <w:rsid w:val="006321E5"/>
    <w:rsid w:val="0063345B"/>
    <w:rsid w:val="0063366F"/>
    <w:rsid w:val="00633BA5"/>
    <w:rsid w:val="00633C32"/>
    <w:rsid w:val="00634374"/>
    <w:rsid w:val="0063443C"/>
    <w:rsid w:val="00634461"/>
    <w:rsid w:val="00634474"/>
    <w:rsid w:val="00635BA0"/>
    <w:rsid w:val="0063638C"/>
    <w:rsid w:val="00636B7A"/>
    <w:rsid w:val="00636D20"/>
    <w:rsid w:val="006401B4"/>
    <w:rsid w:val="006405C7"/>
    <w:rsid w:val="00640A83"/>
    <w:rsid w:val="006413BA"/>
    <w:rsid w:val="00641DF9"/>
    <w:rsid w:val="00642685"/>
    <w:rsid w:val="0064284A"/>
    <w:rsid w:val="00643D6B"/>
    <w:rsid w:val="0064463D"/>
    <w:rsid w:val="00644A45"/>
    <w:rsid w:val="00644F50"/>
    <w:rsid w:val="00644F5C"/>
    <w:rsid w:val="00646AEA"/>
    <w:rsid w:val="00646C80"/>
    <w:rsid w:val="0064789D"/>
    <w:rsid w:val="0065044C"/>
    <w:rsid w:val="00650586"/>
    <w:rsid w:val="00652D50"/>
    <w:rsid w:val="00654218"/>
    <w:rsid w:val="006543B4"/>
    <w:rsid w:val="006544E1"/>
    <w:rsid w:val="0065510D"/>
    <w:rsid w:val="006554DC"/>
    <w:rsid w:val="00655532"/>
    <w:rsid w:val="006556EC"/>
    <w:rsid w:val="00655FBD"/>
    <w:rsid w:val="0065691C"/>
    <w:rsid w:val="006601A1"/>
    <w:rsid w:val="0066141B"/>
    <w:rsid w:val="00661A20"/>
    <w:rsid w:val="006623C2"/>
    <w:rsid w:val="006623D5"/>
    <w:rsid w:val="0066249F"/>
    <w:rsid w:val="00662FE1"/>
    <w:rsid w:val="0066345A"/>
    <w:rsid w:val="006651B8"/>
    <w:rsid w:val="00665E76"/>
    <w:rsid w:val="00666157"/>
    <w:rsid w:val="0066640B"/>
    <w:rsid w:val="006666E0"/>
    <w:rsid w:val="00666A63"/>
    <w:rsid w:val="00667CD5"/>
    <w:rsid w:val="00670214"/>
    <w:rsid w:val="00670C6C"/>
    <w:rsid w:val="0067139A"/>
    <w:rsid w:val="006713FB"/>
    <w:rsid w:val="00671FA6"/>
    <w:rsid w:val="006720AE"/>
    <w:rsid w:val="00672288"/>
    <w:rsid w:val="0067288D"/>
    <w:rsid w:val="0067325F"/>
    <w:rsid w:val="006749C6"/>
    <w:rsid w:val="00674DBA"/>
    <w:rsid w:val="00674F6B"/>
    <w:rsid w:val="00675151"/>
    <w:rsid w:val="00675297"/>
    <w:rsid w:val="006757BE"/>
    <w:rsid w:val="00675ECB"/>
    <w:rsid w:val="006762B1"/>
    <w:rsid w:val="006774BC"/>
    <w:rsid w:val="006826E7"/>
    <w:rsid w:val="006828A9"/>
    <w:rsid w:val="006829D4"/>
    <w:rsid w:val="006835FD"/>
    <w:rsid w:val="00684CC7"/>
    <w:rsid w:val="00685429"/>
    <w:rsid w:val="00685D5D"/>
    <w:rsid w:val="00686138"/>
    <w:rsid w:val="00687131"/>
    <w:rsid w:val="00687B7B"/>
    <w:rsid w:val="0069066E"/>
    <w:rsid w:val="00690CB8"/>
    <w:rsid w:val="00691230"/>
    <w:rsid w:val="0069200B"/>
    <w:rsid w:val="00692080"/>
    <w:rsid w:val="0069218B"/>
    <w:rsid w:val="00693129"/>
    <w:rsid w:val="00693F87"/>
    <w:rsid w:val="006949A1"/>
    <w:rsid w:val="006949E8"/>
    <w:rsid w:val="006951A0"/>
    <w:rsid w:val="00696CDE"/>
    <w:rsid w:val="00696E7B"/>
    <w:rsid w:val="006A12BE"/>
    <w:rsid w:val="006A15B6"/>
    <w:rsid w:val="006A1893"/>
    <w:rsid w:val="006A1965"/>
    <w:rsid w:val="006A1E3E"/>
    <w:rsid w:val="006A235A"/>
    <w:rsid w:val="006A2D53"/>
    <w:rsid w:val="006A3F32"/>
    <w:rsid w:val="006A4099"/>
    <w:rsid w:val="006A5DFC"/>
    <w:rsid w:val="006A5ED5"/>
    <w:rsid w:val="006A6860"/>
    <w:rsid w:val="006A6951"/>
    <w:rsid w:val="006A6EE2"/>
    <w:rsid w:val="006A75B8"/>
    <w:rsid w:val="006A7CD9"/>
    <w:rsid w:val="006B1673"/>
    <w:rsid w:val="006B2171"/>
    <w:rsid w:val="006B2CF5"/>
    <w:rsid w:val="006B30DE"/>
    <w:rsid w:val="006B32E1"/>
    <w:rsid w:val="006B38DC"/>
    <w:rsid w:val="006B436A"/>
    <w:rsid w:val="006B4439"/>
    <w:rsid w:val="006B4C5A"/>
    <w:rsid w:val="006B52AB"/>
    <w:rsid w:val="006B57D8"/>
    <w:rsid w:val="006B5A50"/>
    <w:rsid w:val="006B5E21"/>
    <w:rsid w:val="006B6B26"/>
    <w:rsid w:val="006B7269"/>
    <w:rsid w:val="006B76EA"/>
    <w:rsid w:val="006C10CD"/>
    <w:rsid w:val="006C1CD1"/>
    <w:rsid w:val="006C1F2B"/>
    <w:rsid w:val="006C20A8"/>
    <w:rsid w:val="006C292D"/>
    <w:rsid w:val="006C380F"/>
    <w:rsid w:val="006C3A06"/>
    <w:rsid w:val="006C3FA8"/>
    <w:rsid w:val="006C43E1"/>
    <w:rsid w:val="006C44AC"/>
    <w:rsid w:val="006C4F90"/>
    <w:rsid w:val="006C5284"/>
    <w:rsid w:val="006C5AEA"/>
    <w:rsid w:val="006C5C94"/>
    <w:rsid w:val="006C60B2"/>
    <w:rsid w:val="006C614C"/>
    <w:rsid w:val="006C731B"/>
    <w:rsid w:val="006C75F5"/>
    <w:rsid w:val="006C7CB2"/>
    <w:rsid w:val="006D059F"/>
    <w:rsid w:val="006D13E3"/>
    <w:rsid w:val="006D1B0B"/>
    <w:rsid w:val="006D2436"/>
    <w:rsid w:val="006D27FC"/>
    <w:rsid w:val="006D3311"/>
    <w:rsid w:val="006D3716"/>
    <w:rsid w:val="006D4185"/>
    <w:rsid w:val="006D4B66"/>
    <w:rsid w:val="006D5613"/>
    <w:rsid w:val="006D59FD"/>
    <w:rsid w:val="006D68D5"/>
    <w:rsid w:val="006D714E"/>
    <w:rsid w:val="006D734C"/>
    <w:rsid w:val="006D7447"/>
    <w:rsid w:val="006E03D1"/>
    <w:rsid w:val="006E0853"/>
    <w:rsid w:val="006E16B3"/>
    <w:rsid w:val="006E190A"/>
    <w:rsid w:val="006E1F09"/>
    <w:rsid w:val="006E209B"/>
    <w:rsid w:val="006E2A07"/>
    <w:rsid w:val="006E2BEE"/>
    <w:rsid w:val="006E34E5"/>
    <w:rsid w:val="006E3693"/>
    <w:rsid w:val="006E371A"/>
    <w:rsid w:val="006E37D0"/>
    <w:rsid w:val="006E41F7"/>
    <w:rsid w:val="006E49E0"/>
    <w:rsid w:val="006E4C4B"/>
    <w:rsid w:val="006E4DD2"/>
    <w:rsid w:val="006E4E35"/>
    <w:rsid w:val="006E50D6"/>
    <w:rsid w:val="006E670E"/>
    <w:rsid w:val="006E7650"/>
    <w:rsid w:val="006E7D85"/>
    <w:rsid w:val="006F0AD6"/>
    <w:rsid w:val="006F25BE"/>
    <w:rsid w:val="006F2BFF"/>
    <w:rsid w:val="006F33D9"/>
    <w:rsid w:val="006F3CE8"/>
    <w:rsid w:val="006F467F"/>
    <w:rsid w:val="006F4B43"/>
    <w:rsid w:val="006F5089"/>
    <w:rsid w:val="006F62BB"/>
    <w:rsid w:val="006F7275"/>
    <w:rsid w:val="006F7B2B"/>
    <w:rsid w:val="007007F4"/>
    <w:rsid w:val="007012E8"/>
    <w:rsid w:val="00702644"/>
    <w:rsid w:val="0070341E"/>
    <w:rsid w:val="00703911"/>
    <w:rsid w:val="00704466"/>
    <w:rsid w:val="007044C3"/>
    <w:rsid w:val="007058A9"/>
    <w:rsid w:val="0070746A"/>
    <w:rsid w:val="00707851"/>
    <w:rsid w:val="00707E49"/>
    <w:rsid w:val="00710255"/>
    <w:rsid w:val="007109A6"/>
    <w:rsid w:val="00710B0E"/>
    <w:rsid w:val="007110F4"/>
    <w:rsid w:val="00711492"/>
    <w:rsid w:val="00712B2F"/>
    <w:rsid w:val="007135B7"/>
    <w:rsid w:val="00713D2A"/>
    <w:rsid w:val="00714014"/>
    <w:rsid w:val="00714A9F"/>
    <w:rsid w:val="00714B41"/>
    <w:rsid w:val="00714D0D"/>
    <w:rsid w:val="00715042"/>
    <w:rsid w:val="00715243"/>
    <w:rsid w:val="00715415"/>
    <w:rsid w:val="007169FF"/>
    <w:rsid w:val="00716C18"/>
    <w:rsid w:val="00717392"/>
    <w:rsid w:val="0071754D"/>
    <w:rsid w:val="00717A4B"/>
    <w:rsid w:val="00720076"/>
    <w:rsid w:val="00720F8D"/>
    <w:rsid w:val="00721B84"/>
    <w:rsid w:val="00721C2C"/>
    <w:rsid w:val="00721CB4"/>
    <w:rsid w:val="00722FAA"/>
    <w:rsid w:val="00723550"/>
    <w:rsid w:val="00724625"/>
    <w:rsid w:val="00725114"/>
    <w:rsid w:val="007253F4"/>
    <w:rsid w:val="00725C53"/>
    <w:rsid w:val="00725D8A"/>
    <w:rsid w:val="00727E21"/>
    <w:rsid w:val="0073048E"/>
    <w:rsid w:val="007306B0"/>
    <w:rsid w:val="0073072D"/>
    <w:rsid w:val="00730BAB"/>
    <w:rsid w:val="00731478"/>
    <w:rsid w:val="007337A4"/>
    <w:rsid w:val="00733A25"/>
    <w:rsid w:val="00733F9F"/>
    <w:rsid w:val="00734494"/>
    <w:rsid w:val="00734533"/>
    <w:rsid w:val="007355FE"/>
    <w:rsid w:val="007362CE"/>
    <w:rsid w:val="00736AF0"/>
    <w:rsid w:val="00737FA9"/>
    <w:rsid w:val="00740CA0"/>
    <w:rsid w:val="00742281"/>
    <w:rsid w:val="0074266D"/>
    <w:rsid w:val="00742882"/>
    <w:rsid w:val="00742E08"/>
    <w:rsid w:val="00743291"/>
    <w:rsid w:val="007439EC"/>
    <w:rsid w:val="00744139"/>
    <w:rsid w:val="00744535"/>
    <w:rsid w:val="00744C08"/>
    <w:rsid w:val="00744DA0"/>
    <w:rsid w:val="00744E6F"/>
    <w:rsid w:val="007451A5"/>
    <w:rsid w:val="0074529E"/>
    <w:rsid w:val="00745873"/>
    <w:rsid w:val="00745F97"/>
    <w:rsid w:val="0074783F"/>
    <w:rsid w:val="00747BC8"/>
    <w:rsid w:val="00750F86"/>
    <w:rsid w:val="00751CD0"/>
    <w:rsid w:val="00752483"/>
    <w:rsid w:val="00752D7F"/>
    <w:rsid w:val="0075320F"/>
    <w:rsid w:val="007563FE"/>
    <w:rsid w:val="00756943"/>
    <w:rsid w:val="00756C79"/>
    <w:rsid w:val="00760801"/>
    <w:rsid w:val="00761AE4"/>
    <w:rsid w:val="00761BFA"/>
    <w:rsid w:val="00762C96"/>
    <w:rsid w:val="007634E4"/>
    <w:rsid w:val="00764C1A"/>
    <w:rsid w:val="00766A2A"/>
    <w:rsid w:val="00767C2A"/>
    <w:rsid w:val="00767C8A"/>
    <w:rsid w:val="00770428"/>
    <w:rsid w:val="00772667"/>
    <w:rsid w:val="00772D17"/>
    <w:rsid w:val="00773644"/>
    <w:rsid w:val="00774901"/>
    <w:rsid w:val="0077556D"/>
    <w:rsid w:val="00775978"/>
    <w:rsid w:val="00776C80"/>
    <w:rsid w:val="00777158"/>
    <w:rsid w:val="0077757F"/>
    <w:rsid w:val="007804AA"/>
    <w:rsid w:val="0078050E"/>
    <w:rsid w:val="00780D37"/>
    <w:rsid w:val="00780EA1"/>
    <w:rsid w:val="007816FD"/>
    <w:rsid w:val="0078307F"/>
    <w:rsid w:val="00783305"/>
    <w:rsid w:val="00783C4F"/>
    <w:rsid w:val="007851E3"/>
    <w:rsid w:val="007856D7"/>
    <w:rsid w:val="007875EF"/>
    <w:rsid w:val="00790756"/>
    <w:rsid w:val="00790CC4"/>
    <w:rsid w:val="00790E4F"/>
    <w:rsid w:val="007915C6"/>
    <w:rsid w:val="007920EE"/>
    <w:rsid w:val="007923AE"/>
    <w:rsid w:val="0079289B"/>
    <w:rsid w:val="00792C5B"/>
    <w:rsid w:val="00796368"/>
    <w:rsid w:val="00796473"/>
    <w:rsid w:val="00796C56"/>
    <w:rsid w:val="00796F37"/>
    <w:rsid w:val="00797FD0"/>
    <w:rsid w:val="007A0385"/>
    <w:rsid w:val="007A0A6A"/>
    <w:rsid w:val="007A0B84"/>
    <w:rsid w:val="007A0D19"/>
    <w:rsid w:val="007A0E29"/>
    <w:rsid w:val="007A20CA"/>
    <w:rsid w:val="007A2C70"/>
    <w:rsid w:val="007A3094"/>
    <w:rsid w:val="007A3F44"/>
    <w:rsid w:val="007A42D7"/>
    <w:rsid w:val="007A57B3"/>
    <w:rsid w:val="007A6B93"/>
    <w:rsid w:val="007A791D"/>
    <w:rsid w:val="007A7EBC"/>
    <w:rsid w:val="007A7EF9"/>
    <w:rsid w:val="007B0358"/>
    <w:rsid w:val="007B091C"/>
    <w:rsid w:val="007B0E88"/>
    <w:rsid w:val="007B11D9"/>
    <w:rsid w:val="007B1519"/>
    <w:rsid w:val="007B17FD"/>
    <w:rsid w:val="007B3DAA"/>
    <w:rsid w:val="007B418E"/>
    <w:rsid w:val="007B466C"/>
    <w:rsid w:val="007B5877"/>
    <w:rsid w:val="007B58D2"/>
    <w:rsid w:val="007B5F22"/>
    <w:rsid w:val="007B600B"/>
    <w:rsid w:val="007B63D4"/>
    <w:rsid w:val="007B6FB8"/>
    <w:rsid w:val="007B77C7"/>
    <w:rsid w:val="007B7954"/>
    <w:rsid w:val="007B7977"/>
    <w:rsid w:val="007C056A"/>
    <w:rsid w:val="007C1A12"/>
    <w:rsid w:val="007C2320"/>
    <w:rsid w:val="007C37C6"/>
    <w:rsid w:val="007C3EAD"/>
    <w:rsid w:val="007C5B13"/>
    <w:rsid w:val="007C60B7"/>
    <w:rsid w:val="007C6280"/>
    <w:rsid w:val="007C62A7"/>
    <w:rsid w:val="007C68B7"/>
    <w:rsid w:val="007C6C2E"/>
    <w:rsid w:val="007C786C"/>
    <w:rsid w:val="007C7FF3"/>
    <w:rsid w:val="007D0969"/>
    <w:rsid w:val="007D0BBB"/>
    <w:rsid w:val="007D38D5"/>
    <w:rsid w:val="007D4688"/>
    <w:rsid w:val="007D6661"/>
    <w:rsid w:val="007D783A"/>
    <w:rsid w:val="007D78B5"/>
    <w:rsid w:val="007E0679"/>
    <w:rsid w:val="007E169F"/>
    <w:rsid w:val="007E22AD"/>
    <w:rsid w:val="007E235F"/>
    <w:rsid w:val="007E4CE5"/>
    <w:rsid w:val="007E519A"/>
    <w:rsid w:val="007E63CF"/>
    <w:rsid w:val="007E6752"/>
    <w:rsid w:val="007E6855"/>
    <w:rsid w:val="007E7403"/>
    <w:rsid w:val="007E77E2"/>
    <w:rsid w:val="007E7C49"/>
    <w:rsid w:val="007F044E"/>
    <w:rsid w:val="007F08CD"/>
    <w:rsid w:val="007F0DE5"/>
    <w:rsid w:val="007F15A2"/>
    <w:rsid w:val="007F1699"/>
    <w:rsid w:val="007F1A8E"/>
    <w:rsid w:val="007F1D25"/>
    <w:rsid w:val="007F22AE"/>
    <w:rsid w:val="007F2F7D"/>
    <w:rsid w:val="007F2F91"/>
    <w:rsid w:val="007F30BC"/>
    <w:rsid w:val="007F3103"/>
    <w:rsid w:val="007F33A2"/>
    <w:rsid w:val="007F3618"/>
    <w:rsid w:val="007F37D2"/>
    <w:rsid w:val="007F39B0"/>
    <w:rsid w:val="007F3A92"/>
    <w:rsid w:val="007F3B74"/>
    <w:rsid w:val="007F4309"/>
    <w:rsid w:val="007F5315"/>
    <w:rsid w:val="007F5E6D"/>
    <w:rsid w:val="007F5E91"/>
    <w:rsid w:val="007F5FF7"/>
    <w:rsid w:val="007F744E"/>
    <w:rsid w:val="007F7ABC"/>
    <w:rsid w:val="00800698"/>
    <w:rsid w:val="0080143B"/>
    <w:rsid w:val="00803399"/>
    <w:rsid w:val="0080401A"/>
    <w:rsid w:val="00804066"/>
    <w:rsid w:val="00804189"/>
    <w:rsid w:val="00804B36"/>
    <w:rsid w:val="00804BFD"/>
    <w:rsid w:val="0080551A"/>
    <w:rsid w:val="008055E6"/>
    <w:rsid w:val="00805D27"/>
    <w:rsid w:val="0080652B"/>
    <w:rsid w:val="008069CF"/>
    <w:rsid w:val="00806DE5"/>
    <w:rsid w:val="008072DF"/>
    <w:rsid w:val="008075EA"/>
    <w:rsid w:val="00810EED"/>
    <w:rsid w:val="00810FCD"/>
    <w:rsid w:val="00811DBD"/>
    <w:rsid w:val="00812750"/>
    <w:rsid w:val="00812A4D"/>
    <w:rsid w:val="008131D6"/>
    <w:rsid w:val="00813C95"/>
    <w:rsid w:val="0081433F"/>
    <w:rsid w:val="008145F1"/>
    <w:rsid w:val="00814C02"/>
    <w:rsid w:val="0081584F"/>
    <w:rsid w:val="00815A29"/>
    <w:rsid w:val="008163A4"/>
    <w:rsid w:val="008169C2"/>
    <w:rsid w:val="00816C12"/>
    <w:rsid w:val="008170AB"/>
    <w:rsid w:val="00817885"/>
    <w:rsid w:val="00817950"/>
    <w:rsid w:val="00817C31"/>
    <w:rsid w:val="00817E7D"/>
    <w:rsid w:val="00820499"/>
    <w:rsid w:val="00821965"/>
    <w:rsid w:val="00822B45"/>
    <w:rsid w:val="00823B6F"/>
    <w:rsid w:val="008245F7"/>
    <w:rsid w:val="0082580F"/>
    <w:rsid w:val="0082650C"/>
    <w:rsid w:val="008267E5"/>
    <w:rsid w:val="00827817"/>
    <w:rsid w:val="008278B2"/>
    <w:rsid w:val="008278EA"/>
    <w:rsid w:val="00827C75"/>
    <w:rsid w:val="00827CB1"/>
    <w:rsid w:val="00827F36"/>
    <w:rsid w:val="008308CF"/>
    <w:rsid w:val="008330FC"/>
    <w:rsid w:val="00833547"/>
    <w:rsid w:val="008336C1"/>
    <w:rsid w:val="00833788"/>
    <w:rsid w:val="00833974"/>
    <w:rsid w:val="008353C9"/>
    <w:rsid w:val="00836F35"/>
    <w:rsid w:val="008371DB"/>
    <w:rsid w:val="00840C26"/>
    <w:rsid w:val="00841E15"/>
    <w:rsid w:val="00842307"/>
    <w:rsid w:val="008425D5"/>
    <w:rsid w:val="00842E9D"/>
    <w:rsid w:val="0084352A"/>
    <w:rsid w:val="00843D34"/>
    <w:rsid w:val="008441FB"/>
    <w:rsid w:val="00844BEC"/>
    <w:rsid w:val="0084541E"/>
    <w:rsid w:val="0084581F"/>
    <w:rsid w:val="00846FA2"/>
    <w:rsid w:val="00847CC1"/>
    <w:rsid w:val="0085028D"/>
    <w:rsid w:val="00850A11"/>
    <w:rsid w:val="00851550"/>
    <w:rsid w:val="00851B04"/>
    <w:rsid w:val="008524DD"/>
    <w:rsid w:val="00852596"/>
    <w:rsid w:val="00855496"/>
    <w:rsid w:val="00856332"/>
    <w:rsid w:val="00856BD6"/>
    <w:rsid w:val="00857FE3"/>
    <w:rsid w:val="0085C2A0"/>
    <w:rsid w:val="008604B9"/>
    <w:rsid w:val="008607C3"/>
    <w:rsid w:val="00862598"/>
    <w:rsid w:val="008626A8"/>
    <w:rsid w:val="00862A2E"/>
    <w:rsid w:val="00862CE1"/>
    <w:rsid w:val="008633FD"/>
    <w:rsid w:val="008640D9"/>
    <w:rsid w:val="008641DD"/>
    <w:rsid w:val="00864705"/>
    <w:rsid w:val="00864D68"/>
    <w:rsid w:val="00865871"/>
    <w:rsid w:val="00865A62"/>
    <w:rsid w:val="00870E32"/>
    <w:rsid w:val="00870F72"/>
    <w:rsid w:val="00871021"/>
    <w:rsid w:val="00871AEF"/>
    <w:rsid w:val="00872287"/>
    <w:rsid w:val="008731CF"/>
    <w:rsid w:val="0087375A"/>
    <w:rsid w:val="008737F2"/>
    <w:rsid w:val="0087415E"/>
    <w:rsid w:val="00874504"/>
    <w:rsid w:val="00874511"/>
    <w:rsid w:val="00874682"/>
    <w:rsid w:val="008748FB"/>
    <w:rsid w:val="00874C1C"/>
    <w:rsid w:val="00874CCF"/>
    <w:rsid w:val="00874F7D"/>
    <w:rsid w:val="008764D8"/>
    <w:rsid w:val="0087717E"/>
    <w:rsid w:val="008779BA"/>
    <w:rsid w:val="00877CC0"/>
    <w:rsid w:val="00877FA5"/>
    <w:rsid w:val="0088014C"/>
    <w:rsid w:val="008810FC"/>
    <w:rsid w:val="00882B91"/>
    <w:rsid w:val="0088329D"/>
    <w:rsid w:val="00883361"/>
    <w:rsid w:val="0088413B"/>
    <w:rsid w:val="0088431E"/>
    <w:rsid w:val="00884B4B"/>
    <w:rsid w:val="008853A4"/>
    <w:rsid w:val="0088736A"/>
    <w:rsid w:val="00887CFB"/>
    <w:rsid w:val="00890319"/>
    <w:rsid w:val="008904C5"/>
    <w:rsid w:val="00890699"/>
    <w:rsid w:val="008916AE"/>
    <w:rsid w:val="008916F4"/>
    <w:rsid w:val="00891B9B"/>
    <w:rsid w:val="00893054"/>
    <w:rsid w:val="008938CC"/>
    <w:rsid w:val="00893955"/>
    <w:rsid w:val="008939D2"/>
    <w:rsid w:val="00893C45"/>
    <w:rsid w:val="00894403"/>
    <w:rsid w:val="00894476"/>
    <w:rsid w:val="008955C7"/>
    <w:rsid w:val="0089601D"/>
    <w:rsid w:val="00896074"/>
    <w:rsid w:val="0089678D"/>
    <w:rsid w:val="00896A42"/>
    <w:rsid w:val="008973EA"/>
    <w:rsid w:val="00897EBB"/>
    <w:rsid w:val="008A0C0F"/>
    <w:rsid w:val="008A152A"/>
    <w:rsid w:val="008A1697"/>
    <w:rsid w:val="008A1C5F"/>
    <w:rsid w:val="008A1D2E"/>
    <w:rsid w:val="008A38AE"/>
    <w:rsid w:val="008A3EAC"/>
    <w:rsid w:val="008A42FB"/>
    <w:rsid w:val="008A48A4"/>
    <w:rsid w:val="008A48C6"/>
    <w:rsid w:val="008A4E74"/>
    <w:rsid w:val="008A51E8"/>
    <w:rsid w:val="008A601C"/>
    <w:rsid w:val="008A6092"/>
    <w:rsid w:val="008A6915"/>
    <w:rsid w:val="008A70DF"/>
    <w:rsid w:val="008B0D09"/>
    <w:rsid w:val="008B16DF"/>
    <w:rsid w:val="008B19E3"/>
    <w:rsid w:val="008B221C"/>
    <w:rsid w:val="008B24E9"/>
    <w:rsid w:val="008B24F3"/>
    <w:rsid w:val="008B26DB"/>
    <w:rsid w:val="008B286D"/>
    <w:rsid w:val="008B354D"/>
    <w:rsid w:val="008B439F"/>
    <w:rsid w:val="008B4E34"/>
    <w:rsid w:val="008B4FF3"/>
    <w:rsid w:val="008B572C"/>
    <w:rsid w:val="008B5771"/>
    <w:rsid w:val="008B5AB4"/>
    <w:rsid w:val="008B5E3F"/>
    <w:rsid w:val="008B684D"/>
    <w:rsid w:val="008C0C80"/>
    <w:rsid w:val="008C1C0C"/>
    <w:rsid w:val="008C1D00"/>
    <w:rsid w:val="008C2690"/>
    <w:rsid w:val="008C330A"/>
    <w:rsid w:val="008C45B3"/>
    <w:rsid w:val="008C47B5"/>
    <w:rsid w:val="008C49ED"/>
    <w:rsid w:val="008C4AF9"/>
    <w:rsid w:val="008C52D8"/>
    <w:rsid w:val="008C573F"/>
    <w:rsid w:val="008C5A72"/>
    <w:rsid w:val="008C5B21"/>
    <w:rsid w:val="008C68B3"/>
    <w:rsid w:val="008D0105"/>
    <w:rsid w:val="008D01A7"/>
    <w:rsid w:val="008D04AF"/>
    <w:rsid w:val="008D1909"/>
    <w:rsid w:val="008D271A"/>
    <w:rsid w:val="008D2906"/>
    <w:rsid w:val="008D33B6"/>
    <w:rsid w:val="008D36EB"/>
    <w:rsid w:val="008D3AE0"/>
    <w:rsid w:val="008D4424"/>
    <w:rsid w:val="008D5729"/>
    <w:rsid w:val="008D5CF0"/>
    <w:rsid w:val="008D600E"/>
    <w:rsid w:val="008D650E"/>
    <w:rsid w:val="008D6A63"/>
    <w:rsid w:val="008D6BF7"/>
    <w:rsid w:val="008D74DD"/>
    <w:rsid w:val="008E068A"/>
    <w:rsid w:val="008E2D3F"/>
    <w:rsid w:val="008E3693"/>
    <w:rsid w:val="008E37C2"/>
    <w:rsid w:val="008E399C"/>
    <w:rsid w:val="008E3FFA"/>
    <w:rsid w:val="008E5667"/>
    <w:rsid w:val="008E56E4"/>
    <w:rsid w:val="008E630B"/>
    <w:rsid w:val="008E63CD"/>
    <w:rsid w:val="008E6644"/>
    <w:rsid w:val="008E6B05"/>
    <w:rsid w:val="008E6C91"/>
    <w:rsid w:val="008EB485"/>
    <w:rsid w:val="008F0EE2"/>
    <w:rsid w:val="008F0F1F"/>
    <w:rsid w:val="008F1003"/>
    <w:rsid w:val="008F16C7"/>
    <w:rsid w:val="008F172B"/>
    <w:rsid w:val="008F1B62"/>
    <w:rsid w:val="008F1F21"/>
    <w:rsid w:val="008F3920"/>
    <w:rsid w:val="008F3C9A"/>
    <w:rsid w:val="008F43C1"/>
    <w:rsid w:val="008F4998"/>
    <w:rsid w:val="008F4AFD"/>
    <w:rsid w:val="008F5566"/>
    <w:rsid w:val="008F5794"/>
    <w:rsid w:val="008F5955"/>
    <w:rsid w:val="008F5E8D"/>
    <w:rsid w:val="00900119"/>
    <w:rsid w:val="00900455"/>
    <w:rsid w:val="009009F8"/>
    <w:rsid w:val="00900B49"/>
    <w:rsid w:val="00900BBC"/>
    <w:rsid w:val="00901328"/>
    <w:rsid w:val="00901601"/>
    <w:rsid w:val="00901882"/>
    <w:rsid w:val="00902EE4"/>
    <w:rsid w:val="00903DE8"/>
    <w:rsid w:val="00904114"/>
    <w:rsid w:val="00904785"/>
    <w:rsid w:val="0090714F"/>
    <w:rsid w:val="00907220"/>
    <w:rsid w:val="009105FC"/>
    <w:rsid w:val="00910676"/>
    <w:rsid w:val="009106B0"/>
    <w:rsid w:val="00911CD7"/>
    <w:rsid w:val="00911D3D"/>
    <w:rsid w:val="009120C0"/>
    <w:rsid w:val="00912A83"/>
    <w:rsid w:val="00912F10"/>
    <w:rsid w:val="009133DD"/>
    <w:rsid w:val="00913B2E"/>
    <w:rsid w:val="00913BE1"/>
    <w:rsid w:val="00913F87"/>
    <w:rsid w:val="00914062"/>
    <w:rsid w:val="0091442C"/>
    <w:rsid w:val="00914603"/>
    <w:rsid w:val="00915783"/>
    <w:rsid w:val="00915787"/>
    <w:rsid w:val="009164B3"/>
    <w:rsid w:val="009168EC"/>
    <w:rsid w:val="00917D7C"/>
    <w:rsid w:val="009201B2"/>
    <w:rsid w:val="009201F3"/>
    <w:rsid w:val="00920673"/>
    <w:rsid w:val="00921864"/>
    <w:rsid w:val="009226CB"/>
    <w:rsid w:val="00922814"/>
    <w:rsid w:val="009232D8"/>
    <w:rsid w:val="00923A38"/>
    <w:rsid w:val="0092448C"/>
    <w:rsid w:val="00924C25"/>
    <w:rsid w:val="00925396"/>
    <w:rsid w:val="00925B6F"/>
    <w:rsid w:val="00926A5E"/>
    <w:rsid w:val="00926DBF"/>
    <w:rsid w:val="00927295"/>
    <w:rsid w:val="00927A06"/>
    <w:rsid w:val="00927E17"/>
    <w:rsid w:val="00930639"/>
    <w:rsid w:val="00931484"/>
    <w:rsid w:val="0093306C"/>
    <w:rsid w:val="00933136"/>
    <w:rsid w:val="00934291"/>
    <w:rsid w:val="0093441C"/>
    <w:rsid w:val="009349E5"/>
    <w:rsid w:val="00935B08"/>
    <w:rsid w:val="00936062"/>
    <w:rsid w:val="0093618A"/>
    <w:rsid w:val="009363B0"/>
    <w:rsid w:val="0094081E"/>
    <w:rsid w:val="00940A14"/>
    <w:rsid w:val="00941166"/>
    <w:rsid w:val="00941A60"/>
    <w:rsid w:val="00941F34"/>
    <w:rsid w:val="0094246A"/>
    <w:rsid w:val="0094266B"/>
    <w:rsid w:val="0094689B"/>
    <w:rsid w:val="0094698B"/>
    <w:rsid w:val="009477A4"/>
    <w:rsid w:val="009477F7"/>
    <w:rsid w:val="00947D86"/>
    <w:rsid w:val="00947F57"/>
    <w:rsid w:val="00952258"/>
    <w:rsid w:val="00952D1D"/>
    <w:rsid w:val="00954468"/>
    <w:rsid w:val="009545D6"/>
    <w:rsid w:val="00954B53"/>
    <w:rsid w:val="00955359"/>
    <w:rsid w:val="00955E4E"/>
    <w:rsid w:val="00955F21"/>
    <w:rsid w:val="00956708"/>
    <w:rsid w:val="00956718"/>
    <w:rsid w:val="00956751"/>
    <w:rsid w:val="00956C45"/>
    <w:rsid w:val="0095710F"/>
    <w:rsid w:val="00957EC6"/>
    <w:rsid w:val="0096074E"/>
    <w:rsid w:val="00960EA9"/>
    <w:rsid w:val="0096117A"/>
    <w:rsid w:val="009628D1"/>
    <w:rsid w:val="00962A27"/>
    <w:rsid w:val="00963856"/>
    <w:rsid w:val="00965136"/>
    <w:rsid w:val="00967087"/>
    <w:rsid w:val="00971551"/>
    <w:rsid w:val="0097188F"/>
    <w:rsid w:val="00972B24"/>
    <w:rsid w:val="00972B2C"/>
    <w:rsid w:val="00974BF0"/>
    <w:rsid w:val="00974F83"/>
    <w:rsid w:val="00975591"/>
    <w:rsid w:val="009755F6"/>
    <w:rsid w:val="009774F1"/>
    <w:rsid w:val="00977C2E"/>
    <w:rsid w:val="00977F7B"/>
    <w:rsid w:val="00981198"/>
    <w:rsid w:val="00981B12"/>
    <w:rsid w:val="00981D47"/>
    <w:rsid w:val="009826E0"/>
    <w:rsid w:val="00982D88"/>
    <w:rsid w:val="00982EA2"/>
    <w:rsid w:val="00983FDE"/>
    <w:rsid w:val="0098427B"/>
    <w:rsid w:val="0098429E"/>
    <w:rsid w:val="0098473D"/>
    <w:rsid w:val="009847CB"/>
    <w:rsid w:val="00985904"/>
    <w:rsid w:val="00986057"/>
    <w:rsid w:val="00987DBD"/>
    <w:rsid w:val="009907EA"/>
    <w:rsid w:val="0099105F"/>
    <w:rsid w:val="009910C2"/>
    <w:rsid w:val="009914FA"/>
    <w:rsid w:val="00992683"/>
    <w:rsid w:val="00992FD6"/>
    <w:rsid w:val="0099322C"/>
    <w:rsid w:val="00993559"/>
    <w:rsid w:val="00994472"/>
    <w:rsid w:val="009944CF"/>
    <w:rsid w:val="0099468C"/>
    <w:rsid w:val="00994764"/>
    <w:rsid w:val="00994E7C"/>
    <w:rsid w:val="0099529C"/>
    <w:rsid w:val="0099543D"/>
    <w:rsid w:val="009960C4"/>
    <w:rsid w:val="0099677D"/>
    <w:rsid w:val="00996D4C"/>
    <w:rsid w:val="0099736B"/>
    <w:rsid w:val="009976EA"/>
    <w:rsid w:val="0099773B"/>
    <w:rsid w:val="00997E97"/>
    <w:rsid w:val="009A1480"/>
    <w:rsid w:val="009A18C3"/>
    <w:rsid w:val="009A19FE"/>
    <w:rsid w:val="009A2902"/>
    <w:rsid w:val="009A2BA9"/>
    <w:rsid w:val="009A2C17"/>
    <w:rsid w:val="009A32DB"/>
    <w:rsid w:val="009A38B9"/>
    <w:rsid w:val="009A5702"/>
    <w:rsid w:val="009A5C9D"/>
    <w:rsid w:val="009A6033"/>
    <w:rsid w:val="009A6657"/>
    <w:rsid w:val="009A67F2"/>
    <w:rsid w:val="009A69B0"/>
    <w:rsid w:val="009A6BC2"/>
    <w:rsid w:val="009A76D6"/>
    <w:rsid w:val="009B0334"/>
    <w:rsid w:val="009B0C2B"/>
    <w:rsid w:val="009B1025"/>
    <w:rsid w:val="009B19B2"/>
    <w:rsid w:val="009B27DF"/>
    <w:rsid w:val="009B31DF"/>
    <w:rsid w:val="009B38EB"/>
    <w:rsid w:val="009B3E84"/>
    <w:rsid w:val="009B4C0B"/>
    <w:rsid w:val="009B4E6C"/>
    <w:rsid w:val="009B6555"/>
    <w:rsid w:val="009B6C48"/>
    <w:rsid w:val="009B79FD"/>
    <w:rsid w:val="009B7E11"/>
    <w:rsid w:val="009C01C4"/>
    <w:rsid w:val="009C0BB3"/>
    <w:rsid w:val="009C13B1"/>
    <w:rsid w:val="009C307B"/>
    <w:rsid w:val="009C3356"/>
    <w:rsid w:val="009C3DE5"/>
    <w:rsid w:val="009C4301"/>
    <w:rsid w:val="009C444D"/>
    <w:rsid w:val="009C45AB"/>
    <w:rsid w:val="009C4668"/>
    <w:rsid w:val="009C47D1"/>
    <w:rsid w:val="009C49F9"/>
    <w:rsid w:val="009C4E6E"/>
    <w:rsid w:val="009C5253"/>
    <w:rsid w:val="009C566C"/>
    <w:rsid w:val="009C56FB"/>
    <w:rsid w:val="009C68E3"/>
    <w:rsid w:val="009C79A3"/>
    <w:rsid w:val="009C7ECA"/>
    <w:rsid w:val="009D261F"/>
    <w:rsid w:val="009D356C"/>
    <w:rsid w:val="009D3642"/>
    <w:rsid w:val="009D3DC8"/>
    <w:rsid w:val="009D4E1A"/>
    <w:rsid w:val="009D5CC8"/>
    <w:rsid w:val="009D69F4"/>
    <w:rsid w:val="009D743A"/>
    <w:rsid w:val="009D7948"/>
    <w:rsid w:val="009E1553"/>
    <w:rsid w:val="009E212E"/>
    <w:rsid w:val="009E2C46"/>
    <w:rsid w:val="009E3301"/>
    <w:rsid w:val="009E3343"/>
    <w:rsid w:val="009E343F"/>
    <w:rsid w:val="009E471E"/>
    <w:rsid w:val="009E4C38"/>
    <w:rsid w:val="009E54A2"/>
    <w:rsid w:val="009E55C3"/>
    <w:rsid w:val="009E5C8F"/>
    <w:rsid w:val="009E6497"/>
    <w:rsid w:val="009E7655"/>
    <w:rsid w:val="009E778F"/>
    <w:rsid w:val="009E782A"/>
    <w:rsid w:val="009E7AD7"/>
    <w:rsid w:val="009E7F42"/>
    <w:rsid w:val="009F0768"/>
    <w:rsid w:val="009F096D"/>
    <w:rsid w:val="009F2044"/>
    <w:rsid w:val="009F25E3"/>
    <w:rsid w:val="009F2F48"/>
    <w:rsid w:val="009F326B"/>
    <w:rsid w:val="009F3432"/>
    <w:rsid w:val="009F4043"/>
    <w:rsid w:val="009F4E54"/>
    <w:rsid w:val="009F59F7"/>
    <w:rsid w:val="009F5ABC"/>
    <w:rsid w:val="009F5C89"/>
    <w:rsid w:val="009F5E48"/>
    <w:rsid w:val="009F610F"/>
    <w:rsid w:val="009F70BC"/>
    <w:rsid w:val="009F7F09"/>
    <w:rsid w:val="009F7F6D"/>
    <w:rsid w:val="00A00B88"/>
    <w:rsid w:val="00A02A9F"/>
    <w:rsid w:val="00A03551"/>
    <w:rsid w:val="00A03793"/>
    <w:rsid w:val="00A039C4"/>
    <w:rsid w:val="00A04295"/>
    <w:rsid w:val="00A051AD"/>
    <w:rsid w:val="00A05B61"/>
    <w:rsid w:val="00A06B1A"/>
    <w:rsid w:val="00A06C02"/>
    <w:rsid w:val="00A0780C"/>
    <w:rsid w:val="00A1087C"/>
    <w:rsid w:val="00A10B51"/>
    <w:rsid w:val="00A10EA5"/>
    <w:rsid w:val="00A10F6C"/>
    <w:rsid w:val="00A1145F"/>
    <w:rsid w:val="00A11742"/>
    <w:rsid w:val="00A11861"/>
    <w:rsid w:val="00A1201A"/>
    <w:rsid w:val="00A125E4"/>
    <w:rsid w:val="00A126C6"/>
    <w:rsid w:val="00A1288A"/>
    <w:rsid w:val="00A12CE3"/>
    <w:rsid w:val="00A134C9"/>
    <w:rsid w:val="00A1427E"/>
    <w:rsid w:val="00A1495A"/>
    <w:rsid w:val="00A15533"/>
    <w:rsid w:val="00A15672"/>
    <w:rsid w:val="00A15F2E"/>
    <w:rsid w:val="00A16339"/>
    <w:rsid w:val="00A16347"/>
    <w:rsid w:val="00A164BA"/>
    <w:rsid w:val="00A16B9A"/>
    <w:rsid w:val="00A16CA6"/>
    <w:rsid w:val="00A170A1"/>
    <w:rsid w:val="00A17190"/>
    <w:rsid w:val="00A17B8B"/>
    <w:rsid w:val="00A2135B"/>
    <w:rsid w:val="00A220B8"/>
    <w:rsid w:val="00A22645"/>
    <w:rsid w:val="00A23129"/>
    <w:rsid w:val="00A231A2"/>
    <w:rsid w:val="00A234F3"/>
    <w:rsid w:val="00A23570"/>
    <w:rsid w:val="00A24023"/>
    <w:rsid w:val="00A240C6"/>
    <w:rsid w:val="00A24F41"/>
    <w:rsid w:val="00A25145"/>
    <w:rsid w:val="00A25323"/>
    <w:rsid w:val="00A25805"/>
    <w:rsid w:val="00A25F88"/>
    <w:rsid w:val="00A26795"/>
    <w:rsid w:val="00A2683A"/>
    <w:rsid w:val="00A27554"/>
    <w:rsid w:val="00A3023B"/>
    <w:rsid w:val="00A30424"/>
    <w:rsid w:val="00A30B2E"/>
    <w:rsid w:val="00A30F3E"/>
    <w:rsid w:val="00A31367"/>
    <w:rsid w:val="00A317B4"/>
    <w:rsid w:val="00A31F19"/>
    <w:rsid w:val="00A32080"/>
    <w:rsid w:val="00A322A8"/>
    <w:rsid w:val="00A3367E"/>
    <w:rsid w:val="00A33B43"/>
    <w:rsid w:val="00A34E76"/>
    <w:rsid w:val="00A35228"/>
    <w:rsid w:val="00A354D8"/>
    <w:rsid w:val="00A3561F"/>
    <w:rsid w:val="00A37562"/>
    <w:rsid w:val="00A3783D"/>
    <w:rsid w:val="00A37EAB"/>
    <w:rsid w:val="00A40771"/>
    <w:rsid w:val="00A40865"/>
    <w:rsid w:val="00A40B7B"/>
    <w:rsid w:val="00A414A3"/>
    <w:rsid w:val="00A41823"/>
    <w:rsid w:val="00A420C1"/>
    <w:rsid w:val="00A42360"/>
    <w:rsid w:val="00A4264C"/>
    <w:rsid w:val="00A43F51"/>
    <w:rsid w:val="00A45037"/>
    <w:rsid w:val="00A45982"/>
    <w:rsid w:val="00A460C9"/>
    <w:rsid w:val="00A468F5"/>
    <w:rsid w:val="00A46B65"/>
    <w:rsid w:val="00A470A6"/>
    <w:rsid w:val="00A47105"/>
    <w:rsid w:val="00A47263"/>
    <w:rsid w:val="00A507D0"/>
    <w:rsid w:val="00A50AF4"/>
    <w:rsid w:val="00A50E93"/>
    <w:rsid w:val="00A5196C"/>
    <w:rsid w:val="00A51E9D"/>
    <w:rsid w:val="00A52615"/>
    <w:rsid w:val="00A52CC2"/>
    <w:rsid w:val="00A531A5"/>
    <w:rsid w:val="00A53E72"/>
    <w:rsid w:val="00A53EA2"/>
    <w:rsid w:val="00A54AE3"/>
    <w:rsid w:val="00A5580C"/>
    <w:rsid w:val="00A55EF2"/>
    <w:rsid w:val="00A563C1"/>
    <w:rsid w:val="00A567D9"/>
    <w:rsid w:val="00A576DC"/>
    <w:rsid w:val="00A60C84"/>
    <w:rsid w:val="00A61521"/>
    <w:rsid w:val="00A6166B"/>
    <w:rsid w:val="00A61F88"/>
    <w:rsid w:val="00A62A80"/>
    <w:rsid w:val="00A639B1"/>
    <w:rsid w:val="00A63B31"/>
    <w:rsid w:val="00A63EBD"/>
    <w:rsid w:val="00A649FD"/>
    <w:rsid w:val="00A66524"/>
    <w:rsid w:val="00A66841"/>
    <w:rsid w:val="00A67428"/>
    <w:rsid w:val="00A6764C"/>
    <w:rsid w:val="00A677EA"/>
    <w:rsid w:val="00A6789D"/>
    <w:rsid w:val="00A703AE"/>
    <w:rsid w:val="00A7200C"/>
    <w:rsid w:val="00A721B7"/>
    <w:rsid w:val="00A724AB"/>
    <w:rsid w:val="00A72E43"/>
    <w:rsid w:val="00A739F5"/>
    <w:rsid w:val="00A73D51"/>
    <w:rsid w:val="00A74DF2"/>
    <w:rsid w:val="00A76A1A"/>
    <w:rsid w:val="00A7705D"/>
    <w:rsid w:val="00A77161"/>
    <w:rsid w:val="00A77518"/>
    <w:rsid w:val="00A778F3"/>
    <w:rsid w:val="00A77A94"/>
    <w:rsid w:val="00A800DA"/>
    <w:rsid w:val="00A80394"/>
    <w:rsid w:val="00A80E33"/>
    <w:rsid w:val="00A8147E"/>
    <w:rsid w:val="00A81618"/>
    <w:rsid w:val="00A816AF"/>
    <w:rsid w:val="00A81B2B"/>
    <w:rsid w:val="00A82BDC"/>
    <w:rsid w:val="00A83496"/>
    <w:rsid w:val="00A8396E"/>
    <w:rsid w:val="00A8415D"/>
    <w:rsid w:val="00A84ACC"/>
    <w:rsid w:val="00A8521B"/>
    <w:rsid w:val="00A8534F"/>
    <w:rsid w:val="00A85C70"/>
    <w:rsid w:val="00A86347"/>
    <w:rsid w:val="00A86413"/>
    <w:rsid w:val="00A86D4B"/>
    <w:rsid w:val="00A901FA"/>
    <w:rsid w:val="00A908A1"/>
    <w:rsid w:val="00A90944"/>
    <w:rsid w:val="00A90F30"/>
    <w:rsid w:val="00A9179F"/>
    <w:rsid w:val="00A917A8"/>
    <w:rsid w:val="00A91940"/>
    <w:rsid w:val="00A91C16"/>
    <w:rsid w:val="00A92B36"/>
    <w:rsid w:val="00A93085"/>
    <w:rsid w:val="00A934C7"/>
    <w:rsid w:val="00A93C71"/>
    <w:rsid w:val="00A93CA6"/>
    <w:rsid w:val="00A951B1"/>
    <w:rsid w:val="00A9550E"/>
    <w:rsid w:val="00A95D8F"/>
    <w:rsid w:val="00A96F26"/>
    <w:rsid w:val="00A973ED"/>
    <w:rsid w:val="00AA009F"/>
    <w:rsid w:val="00AA02D6"/>
    <w:rsid w:val="00AA054A"/>
    <w:rsid w:val="00AA0C00"/>
    <w:rsid w:val="00AA0E01"/>
    <w:rsid w:val="00AA120E"/>
    <w:rsid w:val="00AA1E76"/>
    <w:rsid w:val="00AA1EB6"/>
    <w:rsid w:val="00AA2225"/>
    <w:rsid w:val="00AA22B0"/>
    <w:rsid w:val="00AA23E3"/>
    <w:rsid w:val="00AA37D9"/>
    <w:rsid w:val="00AA390C"/>
    <w:rsid w:val="00AA5AEB"/>
    <w:rsid w:val="00AA5DDA"/>
    <w:rsid w:val="00AA6BA5"/>
    <w:rsid w:val="00AA7095"/>
    <w:rsid w:val="00AA7528"/>
    <w:rsid w:val="00AA7914"/>
    <w:rsid w:val="00AB0316"/>
    <w:rsid w:val="00AB095D"/>
    <w:rsid w:val="00AB1AE1"/>
    <w:rsid w:val="00AB22D9"/>
    <w:rsid w:val="00AB27AA"/>
    <w:rsid w:val="00AB31DE"/>
    <w:rsid w:val="00AB3347"/>
    <w:rsid w:val="00AB3928"/>
    <w:rsid w:val="00AB3E1F"/>
    <w:rsid w:val="00AB5308"/>
    <w:rsid w:val="00AB57D8"/>
    <w:rsid w:val="00AB5851"/>
    <w:rsid w:val="00AB5B39"/>
    <w:rsid w:val="00AB5B7F"/>
    <w:rsid w:val="00AB5C19"/>
    <w:rsid w:val="00AB5C4C"/>
    <w:rsid w:val="00AB6962"/>
    <w:rsid w:val="00AB6E24"/>
    <w:rsid w:val="00AB7B77"/>
    <w:rsid w:val="00AC0134"/>
    <w:rsid w:val="00AC02F0"/>
    <w:rsid w:val="00AC1150"/>
    <w:rsid w:val="00AC1A98"/>
    <w:rsid w:val="00AC1CF1"/>
    <w:rsid w:val="00AC24D8"/>
    <w:rsid w:val="00AC29CE"/>
    <w:rsid w:val="00AC2F20"/>
    <w:rsid w:val="00AC3372"/>
    <w:rsid w:val="00AC3FFC"/>
    <w:rsid w:val="00AC4844"/>
    <w:rsid w:val="00AC493E"/>
    <w:rsid w:val="00AC5F64"/>
    <w:rsid w:val="00AC6927"/>
    <w:rsid w:val="00AC7BEF"/>
    <w:rsid w:val="00AD03DE"/>
    <w:rsid w:val="00AD0F63"/>
    <w:rsid w:val="00AD1D0D"/>
    <w:rsid w:val="00AD2916"/>
    <w:rsid w:val="00AD2E32"/>
    <w:rsid w:val="00AD43BA"/>
    <w:rsid w:val="00AD45EF"/>
    <w:rsid w:val="00AD47D3"/>
    <w:rsid w:val="00AD5104"/>
    <w:rsid w:val="00AD58E9"/>
    <w:rsid w:val="00AD5C1F"/>
    <w:rsid w:val="00AD5C4A"/>
    <w:rsid w:val="00AD6A36"/>
    <w:rsid w:val="00AD6BA9"/>
    <w:rsid w:val="00AD6D2E"/>
    <w:rsid w:val="00AE00FC"/>
    <w:rsid w:val="00AE06A3"/>
    <w:rsid w:val="00AE0E3C"/>
    <w:rsid w:val="00AE0EC7"/>
    <w:rsid w:val="00AE1266"/>
    <w:rsid w:val="00AE14F1"/>
    <w:rsid w:val="00AE1CEC"/>
    <w:rsid w:val="00AE1E78"/>
    <w:rsid w:val="00AE2772"/>
    <w:rsid w:val="00AE2AAC"/>
    <w:rsid w:val="00AE2B2F"/>
    <w:rsid w:val="00AE2B4D"/>
    <w:rsid w:val="00AE2D9F"/>
    <w:rsid w:val="00AE3DA4"/>
    <w:rsid w:val="00AE4D6E"/>
    <w:rsid w:val="00AE54FD"/>
    <w:rsid w:val="00AE5A99"/>
    <w:rsid w:val="00AE64EC"/>
    <w:rsid w:val="00AE66B5"/>
    <w:rsid w:val="00AE70C8"/>
    <w:rsid w:val="00AE768A"/>
    <w:rsid w:val="00AF0412"/>
    <w:rsid w:val="00AF04C7"/>
    <w:rsid w:val="00AF0EAB"/>
    <w:rsid w:val="00AF1FFB"/>
    <w:rsid w:val="00AF2D37"/>
    <w:rsid w:val="00AF2DC8"/>
    <w:rsid w:val="00AF314C"/>
    <w:rsid w:val="00AF33A6"/>
    <w:rsid w:val="00AF3DC8"/>
    <w:rsid w:val="00AF489E"/>
    <w:rsid w:val="00AF4DBB"/>
    <w:rsid w:val="00AF5206"/>
    <w:rsid w:val="00AF54ED"/>
    <w:rsid w:val="00AF65A1"/>
    <w:rsid w:val="00AF77F0"/>
    <w:rsid w:val="00B00CB4"/>
    <w:rsid w:val="00B00EC0"/>
    <w:rsid w:val="00B012F1"/>
    <w:rsid w:val="00B01BE0"/>
    <w:rsid w:val="00B022ED"/>
    <w:rsid w:val="00B02512"/>
    <w:rsid w:val="00B029A2"/>
    <w:rsid w:val="00B02B91"/>
    <w:rsid w:val="00B02E77"/>
    <w:rsid w:val="00B02FF0"/>
    <w:rsid w:val="00B0351D"/>
    <w:rsid w:val="00B036DA"/>
    <w:rsid w:val="00B03ADD"/>
    <w:rsid w:val="00B0413D"/>
    <w:rsid w:val="00B04B64"/>
    <w:rsid w:val="00B054A6"/>
    <w:rsid w:val="00B05525"/>
    <w:rsid w:val="00B05E44"/>
    <w:rsid w:val="00B05E50"/>
    <w:rsid w:val="00B06358"/>
    <w:rsid w:val="00B068F2"/>
    <w:rsid w:val="00B06B14"/>
    <w:rsid w:val="00B06D32"/>
    <w:rsid w:val="00B06EE4"/>
    <w:rsid w:val="00B07B1C"/>
    <w:rsid w:val="00B07BE0"/>
    <w:rsid w:val="00B10C2C"/>
    <w:rsid w:val="00B10D50"/>
    <w:rsid w:val="00B127A4"/>
    <w:rsid w:val="00B132E5"/>
    <w:rsid w:val="00B133F2"/>
    <w:rsid w:val="00B1385D"/>
    <w:rsid w:val="00B13C56"/>
    <w:rsid w:val="00B13D66"/>
    <w:rsid w:val="00B13D8C"/>
    <w:rsid w:val="00B1480A"/>
    <w:rsid w:val="00B14CE7"/>
    <w:rsid w:val="00B154E2"/>
    <w:rsid w:val="00B15710"/>
    <w:rsid w:val="00B16B1A"/>
    <w:rsid w:val="00B16CAA"/>
    <w:rsid w:val="00B16E25"/>
    <w:rsid w:val="00B1771C"/>
    <w:rsid w:val="00B17DD8"/>
    <w:rsid w:val="00B17ECD"/>
    <w:rsid w:val="00B20E16"/>
    <w:rsid w:val="00B219A6"/>
    <w:rsid w:val="00B221C6"/>
    <w:rsid w:val="00B2275A"/>
    <w:rsid w:val="00B2400E"/>
    <w:rsid w:val="00B24272"/>
    <w:rsid w:val="00B242A2"/>
    <w:rsid w:val="00B247AF"/>
    <w:rsid w:val="00B25216"/>
    <w:rsid w:val="00B254BE"/>
    <w:rsid w:val="00B25A56"/>
    <w:rsid w:val="00B25CE1"/>
    <w:rsid w:val="00B264F0"/>
    <w:rsid w:val="00B26AF6"/>
    <w:rsid w:val="00B275CD"/>
    <w:rsid w:val="00B2760A"/>
    <w:rsid w:val="00B27982"/>
    <w:rsid w:val="00B3272F"/>
    <w:rsid w:val="00B3289E"/>
    <w:rsid w:val="00B32E46"/>
    <w:rsid w:val="00B32E52"/>
    <w:rsid w:val="00B331FD"/>
    <w:rsid w:val="00B332B4"/>
    <w:rsid w:val="00B34F38"/>
    <w:rsid w:val="00B36ABC"/>
    <w:rsid w:val="00B40378"/>
    <w:rsid w:val="00B40C01"/>
    <w:rsid w:val="00B40C43"/>
    <w:rsid w:val="00B41D8E"/>
    <w:rsid w:val="00B41DE3"/>
    <w:rsid w:val="00B432DF"/>
    <w:rsid w:val="00B433D1"/>
    <w:rsid w:val="00B433D5"/>
    <w:rsid w:val="00B434ED"/>
    <w:rsid w:val="00B448EE"/>
    <w:rsid w:val="00B45850"/>
    <w:rsid w:val="00B458C1"/>
    <w:rsid w:val="00B46AAB"/>
    <w:rsid w:val="00B46FD9"/>
    <w:rsid w:val="00B470E4"/>
    <w:rsid w:val="00B50E95"/>
    <w:rsid w:val="00B50FA2"/>
    <w:rsid w:val="00B510ED"/>
    <w:rsid w:val="00B51423"/>
    <w:rsid w:val="00B519F0"/>
    <w:rsid w:val="00B51ACC"/>
    <w:rsid w:val="00B523F8"/>
    <w:rsid w:val="00B525F1"/>
    <w:rsid w:val="00B53046"/>
    <w:rsid w:val="00B53568"/>
    <w:rsid w:val="00B535EC"/>
    <w:rsid w:val="00B5466B"/>
    <w:rsid w:val="00B54A51"/>
    <w:rsid w:val="00B54BC9"/>
    <w:rsid w:val="00B55D55"/>
    <w:rsid w:val="00B57071"/>
    <w:rsid w:val="00B57EE5"/>
    <w:rsid w:val="00B605D2"/>
    <w:rsid w:val="00B61B65"/>
    <w:rsid w:val="00B6291C"/>
    <w:rsid w:val="00B62EAB"/>
    <w:rsid w:val="00B63A54"/>
    <w:rsid w:val="00B63EC0"/>
    <w:rsid w:val="00B640B0"/>
    <w:rsid w:val="00B64640"/>
    <w:rsid w:val="00B64861"/>
    <w:rsid w:val="00B65E6E"/>
    <w:rsid w:val="00B66677"/>
    <w:rsid w:val="00B66943"/>
    <w:rsid w:val="00B67342"/>
    <w:rsid w:val="00B67513"/>
    <w:rsid w:val="00B70522"/>
    <w:rsid w:val="00B725EA"/>
    <w:rsid w:val="00B7275C"/>
    <w:rsid w:val="00B72C01"/>
    <w:rsid w:val="00B73373"/>
    <w:rsid w:val="00B73963"/>
    <w:rsid w:val="00B751BF"/>
    <w:rsid w:val="00B75704"/>
    <w:rsid w:val="00B75730"/>
    <w:rsid w:val="00B75A48"/>
    <w:rsid w:val="00B767CD"/>
    <w:rsid w:val="00B7706B"/>
    <w:rsid w:val="00B801DB"/>
    <w:rsid w:val="00B809FB"/>
    <w:rsid w:val="00B80DBD"/>
    <w:rsid w:val="00B810BE"/>
    <w:rsid w:val="00B81666"/>
    <w:rsid w:val="00B819A2"/>
    <w:rsid w:val="00B82175"/>
    <w:rsid w:val="00B821FF"/>
    <w:rsid w:val="00B82650"/>
    <w:rsid w:val="00B82FD9"/>
    <w:rsid w:val="00B83659"/>
    <w:rsid w:val="00B84453"/>
    <w:rsid w:val="00B848DA"/>
    <w:rsid w:val="00B8517D"/>
    <w:rsid w:val="00B85F3E"/>
    <w:rsid w:val="00B863F5"/>
    <w:rsid w:val="00B864FC"/>
    <w:rsid w:val="00B869DB"/>
    <w:rsid w:val="00B87621"/>
    <w:rsid w:val="00B90375"/>
    <w:rsid w:val="00B90DDB"/>
    <w:rsid w:val="00B916D7"/>
    <w:rsid w:val="00B91900"/>
    <w:rsid w:val="00B9220A"/>
    <w:rsid w:val="00B9236B"/>
    <w:rsid w:val="00B92B33"/>
    <w:rsid w:val="00B92FD0"/>
    <w:rsid w:val="00B93428"/>
    <w:rsid w:val="00B9469C"/>
    <w:rsid w:val="00B948F8"/>
    <w:rsid w:val="00B95C2C"/>
    <w:rsid w:val="00B95FA3"/>
    <w:rsid w:val="00B96609"/>
    <w:rsid w:val="00B96854"/>
    <w:rsid w:val="00B96C8E"/>
    <w:rsid w:val="00B97413"/>
    <w:rsid w:val="00B97D13"/>
    <w:rsid w:val="00BA09B6"/>
    <w:rsid w:val="00BA1C1F"/>
    <w:rsid w:val="00BA1F7E"/>
    <w:rsid w:val="00BA369E"/>
    <w:rsid w:val="00BA3E56"/>
    <w:rsid w:val="00BA4350"/>
    <w:rsid w:val="00BA487A"/>
    <w:rsid w:val="00BA4AE1"/>
    <w:rsid w:val="00BA50B5"/>
    <w:rsid w:val="00BA58C2"/>
    <w:rsid w:val="00BA5AA7"/>
    <w:rsid w:val="00BA6CE5"/>
    <w:rsid w:val="00BA7A7F"/>
    <w:rsid w:val="00BA7C0E"/>
    <w:rsid w:val="00BB072C"/>
    <w:rsid w:val="00BB2D83"/>
    <w:rsid w:val="00BB3471"/>
    <w:rsid w:val="00BB5390"/>
    <w:rsid w:val="00BB66C8"/>
    <w:rsid w:val="00BB739F"/>
    <w:rsid w:val="00BB78C7"/>
    <w:rsid w:val="00BB78CC"/>
    <w:rsid w:val="00BC0733"/>
    <w:rsid w:val="00BC0753"/>
    <w:rsid w:val="00BC101F"/>
    <w:rsid w:val="00BC16E8"/>
    <w:rsid w:val="00BC1D80"/>
    <w:rsid w:val="00BC1EAE"/>
    <w:rsid w:val="00BC2616"/>
    <w:rsid w:val="00BC2D05"/>
    <w:rsid w:val="00BC3A7C"/>
    <w:rsid w:val="00BC4868"/>
    <w:rsid w:val="00BC4AF5"/>
    <w:rsid w:val="00BC4E10"/>
    <w:rsid w:val="00BC546B"/>
    <w:rsid w:val="00BC5492"/>
    <w:rsid w:val="00BC61FA"/>
    <w:rsid w:val="00BC6A16"/>
    <w:rsid w:val="00BC6AAE"/>
    <w:rsid w:val="00BC7B0B"/>
    <w:rsid w:val="00BC7CD3"/>
    <w:rsid w:val="00BD0412"/>
    <w:rsid w:val="00BD0722"/>
    <w:rsid w:val="00BD0813"/>
    <w:rsid w:val="00BD0833"/>
    <w:rsid w:val="00BD116E"/>
    <w:rsid w:val="00BD2868"/>
    <w:rsid w:val="00BD2A12"/>
    <w:rsid w:val="00BD4143"/>
    <w:rsid w:val="00BD42FA"/>
    <w:rsid w:val="00BD4FDF"/>
    <w:rsid w:val="00BD5AF1"/>
    <w:rsid w:val="00BD5CEB"/>
    <w:rsid w:val="00BD61F9"/>
    <w:rsid w:val="00BD6523"/>
    <w:rsid w:val="00BD71C1"/>
    <w:rsid w:val="00BD7534"/>
    <w:rsid w:val="00BD7A67"/>
    <w:rsid w:val="00BE18AB"/>
    <w:rsid w:val="00BE272C"/>
    <w:rsid w:val="00BE3258"/>
    <w:rsid w:val="00BE3E6D"/>
    <w:rsid w:val="00BE5303"/>
    <w:rsid w:val="00BE5348"/>
    <w:rsid w:val="00BE53B1"/>
    <w:rsid w:val="00BE5B4F"/>
    <w:rsid w:val="00BE5FA6"/>
    <w:rsid w:val="00BE7413"/>
    <w:rsid w:val="00BE7923"/>
    <w:rsid w:val="00BE7999"/>
    <w:rsid w:val="00BE7C7F"/>
    <w:rsid w:val="00BF02D2"/>
    <w:rsid w:val="00BF04B6"/>
    <w:rsid w:val="00BF0C54"/>
    <w:rsid w:val="00BF21FC"/>
    <w:rsid w:val="00BF22CA"/>
    <w:rsid w:val="00BF2368"/>
    <w:rsid w:val="00BF2BA2"/>
    <w:rsid w:val="00BF31BF"/>
    <w:rsid w:val="00BF337E"/>
    <w:rsid w:val="00BF33A3"/>
    <w:rsid w:val="00BF39DB"/>
    <w:rsid w:val="00BF3B67"/>
    <w:rsid w:val="00BF4578"/>
    <w:rsid w:val="00BF46F2"/>
    <w:rsid w:val="00BF499B"/>
    <w:rsid w:val="00BF5DA9"/>
    <w:rsid w:val="00BF678F"/>
    <w:rsid w:val="00BF7047"/>
    <w:rsid w:val="00BF7BB5"/>
    <w:rsid w:val="00C0002B"/>
    <w:rsid w:val="00C009C5"/>
    <w:rsid w:val="00C00AFB"/>
    <w:rsid w:val="00C00B3A"/>
    <w:rsid w:val="00C0233C"/>
    <w:rsid w:val="00C0267B"/>
    <w:rsid w:val="00C02984"/>
    <w:rsid w:val="00C02BBB"/>
    <w:rsid w:val="00C02F76"/>
    <w:rsid w:val="00C04AC8"/>
    <w:rsid w:val="00C05002"/>
    <w:rsid w:val="00C05025"/>
    <w:rsid w:val="00C05283"/>
    <w:rsid w:val="00C05586"/>
    <w:rsid w:val="00C06EB2"/>
    <w:rsid w:val="00C1018E"/>
    <w:rsid w:val="00C115AB"/>
    <w:rsid w:val="00C11B90"/>
    <w:rsid w:val="00C12059"/>
    <w:rsid w:val="00C1221F"/>
    <w:rsid w:val="00C12524"/>
    <w:rsid w:val="00C13230"/>
    <w:rsid w:val="00C132EE"/>
    <w:rsid w:val="00C13F27"/>
    <w:rsid w:val="00C14603"/>
    <w:rsid w:val="00C152ED"/>
    <w:rsid w:val="00C15303"/>
    <w:rsid w:val="00C15B06"/>
    <w:rsid w:val="00C16B72"/>
    <w:rsid w:val="00C16F28"/>
    <w:rsid w:val="00C2040F"/>
    <w:rsid w:val="00C2101D"/>
    <w:rsid w:val="00C211D0"/>
    <w:rsid w:val="00C214AA"/>
    <w:rsid w:val="00C217F4"/>
    <w:rsid w:val="00C21BFB"/>
    <w:rsid w:val="00C22199"/>
    <w:rsid w:val="00C22B1B"/>
    <w:rsid w:val="00C22CBE"/>
    <w:rsid w:val="00C22D2F"/>
    <w:rsid w:val="00C23BA3"/>
    <w:rsid w:val="00C23FC7"/>
    <w:rsid w:val="00C241D9"/>
    <w:rsid w:val="00C2440C"/>
    <w:rsid w:val="00C246C4"/>
    <w:rsid w:val="00C24C7E"/>
    <w:rsid w:val="00C259B9"/>
    <w:rsid w:val="00C2628A"/>
    <w:rsid w:val="00C2634B"/>
    <w:rsid w:val="00C2636B"/>
    <w:rsid w:val="00C27DFE"/>
    <w:rsid w:val="00C27E81"/>
    <w:rsid w:val="00C30F1A"/>
    <w:rsid w:val="00C30F1F"/>
    <w:rsid w:val="00C32031"/>
    <w:rsid w:val="00C3304C"/>
    <w:rsid w:val="00C33416"/>
    <w:rsid w:val="00C3402D"/>
    <w:rsid w:val="00C348E4"/>
    <w:rsid w:val="00C34F68"/>
    <w:rsid w:val="00C35605"/>
    <w:rsid w:val="00C3567E"/>
    <w:rsid w:val="00C35B4F"/>
    <w:rsid w:val="00C35CE7"/>
    <w:rsid w:val="00C3649F"/>
    <w:rsid w:val="00C36591"/>
    <w:rsid w:val="00C36F63"/>
    <w:rsid w:val="00C377EE"/>
    <w:rsid w:val="00C4089E"/>
    <w:rsid w:val="00C40D00"/>
    <w:rsid w:val="00C41597"/>
    <w:rsid w:val="00C41FF0"/>
    <w:rsid w:val="00C4202C"/>
    <w:rsid w:val="00C42BCE"/>
    <w:rsid w:val="00C42EC3"/>
    <w:rsid w:val="00C43069"/>
    <w:rsid w:val="00C430C9"/>
    <w:rsid w:val="00C43330"/>
    <w:rsid w:val="00C4340C"/>
    <w:rsid w:val="00C443E5"/>
    <w:rsid w:val="00C445CB"/>
    <w:rsid w:val="00C449BE"/>
    <w:rsid w:val="00C45596"/>
    <w:rsid w:val="00C4678C"/>
    <w:rsid w:val="00C4712B"/>
    <w:rsid w:val="00C4746C"/>
    <w:rsid w:val="00C51E5C"/>
    <w:rsid w:val="00C52383"/>
    <w:rsid w:val="00C5248B"/>
    <w:rsid w:val="00C526FB"/>
    <w:rsid w:val="00C5295E"/>
    <w:rsid w:val="00C52B63"/>
    <w:rsid w:val="00C52F3B"/>
    <w:rsid w:val="00C52F3C"/>
    <w:rsid w:val="00C538CB"/>
    <w:rsid w:val="00C53C00"/>
    <w:rsid w:val="00C542AA"/>
    <w:rsid w:val="00C5541C"/>
    <w:rsid w:val="00C56291"/>
    <w:rsid w:val="00C5663A"/>
    <w:rsid w:val="00C56BCE"/>
    <w:rsid w:val="00C603DE"/>
    <w:rsid w:val="00C60597"/>
    <w:rsid w:val="00C60CCE"/>
    <w:rsid w:val="00C6101F"/>
    <w:rsid w:val="00C61478"/>
    <w:rsid w:val="00C62460"/>
    <w:rsid w:val="00C63CFB"/>
    <w:rsid w:val="00C648D2"/>
    <w:rsid w:val="00C64BF7"/>
    <w:rsid w:val="00C64CF0"/>
    <w:rsid w:val="00C64D15"/>
    <w:rsid w:val="00C662AE"/>
    <w:rsid w:val="00C66438"/>
    <w:rsid w:val="00C67CA0"/>
    <w:rsid w:val="00C67D64"/>
    <w:rsid w:val="00C717A4"/>
    <w:rsid w:val="00C72835"/>
    <w:rsid w:val="00C72B1D"/>
    <w:rsid w:val="00C735B6"/>
    <w:rsid w:val="00C73A36"/>
    <w:rsid w:val="00C744B7"/>
    <w:rsid w:val="00C74867"/>
    <w:rsid w:val="00C74CE3"/>
    <w:rsid w:val="00C75C98"/>
    <w:rsid w:val="00C75E21"/>
    <w:rsid w:val="00C76FE7"/>
    <w:rsid w:val="00C77D87"/>
    <w:rsid w:val="00C77E67"/>
    <w:rsid w:val="00C80A2B"/>
    <w:rsid w:val="00C80AB1"/>
    <w:rsid w:val="00C8156D"/>
    <w:rsid w:val="00C81F4C"/>
    <w:rsid w:val="00C823B5"/>
    <w:rsid w:val="00C82F7E"/>
    <w:rsid w:val="00C83077"/>
    <w:rsid w:val="00C84790"/>
    <w:rsid w:val="00C851ED"/>
    <w:rsid w:val="00C85610"/>
    <w:rsid w:val="00C85761"/>
    <w:rsid w:val="00C85B86"/>
    <w:rsid w:val="00C85BA8"/>
    <w:rsid w:val="00C85D38"/>
    <w:rsid w:val="00C86237"/>
    <w:rsid w:val="00C86E88"/>
    <w:rsid w:val="00C870E6"/>
    <w:rsid w:val="00C878E3"/>
    <w:rsid w:val="00C9086B"/>
    <w:rsid w:val="00C90E75"/>
    <w:rsid w:val="00C9159B"/>
    <w:rsid w:val="00C9166A"/>
    <w:rsid w:val="00C92685"/>
    <w:rsid w:val="00C92C5F"/>
    <w:rsid w:val="00C93E6D"/>
    <w:rsid w:val="00C95E8A"/>
    <w:rsid w:val="00C95EE5"/>
    <w:rsid w:val="00C968AC"/>
    <w:rsid w:val="00C9709A"/>
    <w:rsid w:val="00C9733C"/>
    <w:rsid w:val="00C97398"/>
    <w:rsid w:val="00C97BB6"/>
    <w:rsid w:val="00C97C91"/>
    <w:rsid w:val="00C97CAC"/>
    <w:rsid w:val="00CA0004"/>
    <w:rsid w:val="00CA1234"/>
    <w:rsid w:val="00CA1481"/>
    <w:rsid w:val="00CA19D4"/>
    <w:rsid w:val="00CA1CD8"/>
    <w:rsid w:val="00CA1CF6"/>
    <w:rsid w:val="00CA1D07"/>
    <w:rsid w:val="00CA23F0"/>
    <w:rsid w:val="00CA2899"/>
    <w:rsid w:val="00CA3496"/>
    <w:rsid w:val="00CA4F82"/>
    <w:rsid w:val="00CA542E"/>
    <w:rsid w:val="00CA58B8"/>
    <w:rsid w:val="00CA5F8A"/>
    <w:rsid w:val="00CA61FA"/>
    <w:rsid w:val="00CA6370"/>
    <w:rsid w:val="00CA663E"/>
    <w:rsid w:val="00CA7331"/>
    <w:rsid w:val="00CA7839"/>
    <w:rsid w:val="00CA793D"/>
    <w:rsid w:val="00CA7FED"/>
    <w:rsid w:val="00CB0C71"/>
    <w:rsid w:val="00CB11E7"/>
    <w:rsid w:val="00CB1C3D"/>
    <w:rsid w:val="00CB1C78"/>
    <w:rsid w:val="00CB20A2"/>
    <w:rsid w:val="00CB25C4"/>
    <w:rsid w:val="00CB3600"/>
    <w:rsid w:val="00CB3783"/>
    <w:rsid w:val="00CB39BA"/>
    <w:rsid w:val="00CB410C"/>
    <w:rsid w:val="00CB42C3"/>
    <w:rsid w:val="00CB4809"/>
    <w:rsid w:val="00CB4E8D"/>
    <w:rsid w:val="00CB5650"/>
    <w:rsid w:val="00CB6494"/>
    <w:rsid w:val="00CB661F"/>
    <w:rsid w:val="00CB6789"/>
    <w:rsid w:val="00CB6E5E"/>
    <w:rsid w:val="00CB6E75"/>
    <w:rsid w:val="00CB756C"/>
    <w:rsid w:val="00CB7FE8"/>
    <w:rsid w:val="00CB7FE9"/>
    <w:rsid w:val="00CC04C8"/>
    <w:rsid w:val="00CC0D2C"/>
    <w:rsid w:val="00CC0DA2"/>
    <w:rsid w:val="00CC1513"/>
    <w:rsid w:val="00CC1B60"/>
    <w:rsid w:val="00CC1C1A"/>
    <w:rsid w:val="00CC21F9"/>
    <w:rsid w:val="00CC22D8"/>
    <w:rsid w:val="00CC30B8"/>
    <w:rsid w:val="00CC3419"/>
    <w:rsid w:val="00CC35E9"/>
    <w:rsid w:val="00CC376B"/>
    <w:rsid w:val="00CC3986"/>
    <w:rsid w:val="00CC46CC"/>
    <w:rsid w:val="00CC568E"/>
    <w:rsid w:val="00CC5932"/>
    <w:rsid w:val="00CC70B9"/>
    <w:rsid w:val="00CC788F"/>
    <w:rsid w:val="00CC7D89"/>
    <w:rsid w:val="00CC7ED1"/>
    <w:rsid w:val="00CD0367"/>
    <w:rsid w:val="00CD096E"/>
    <w:rsid w:val="00CD1142"/>
    <w:rsid w:val="00CD190A"/>
    <w:rsid w:val="00CD2379"/>
    <w:rsid w:val="00CD3929"/>
    <w:rsid w:val="00CD3A2B"/>
    <w:rsid w:val="00CD477E"/>
    <w:rsid w:val="00CD4B56"/>
    <w:rsid w:val="00CD4C47"/>
    <w:rsid w:val="00CD4FCB"/>
    <w:rsid w:val="00CD5307"/>
    <w:rsid w:val="00CD7902"/>
    <w:rsid w:val="00CE0217"/>
    <w:rsid w:val="00CE067A"/>
    <w:rsid w:val="00CE1A54"/>
    <w:rsid w:val="00CE2B20"/>
    <w:rsid w:val="00CE2CD4"/>
    <w:rsid w:val="00CE33FF"/>
    <w:rsid w:val="00CE37AF"/>
    <w:rsid w:val="00CE5AC9"/>
    <w:rsid w:val="00CE5E4A"/>
    <w:rsid w:val="00CE6162"/>
    <w:rsid w:val="00CE69DC"/>
    <w:rsid w:val="00CE75FC"/>
    <w:rsid w:val="00CF0F31"/>
    <w:rsid w:val="00CF1970"/>
    <w:rsid w:val="00CF20E2"/>
    <w:rsid w:val="00CF2A8A"/>
    <w:rsid w:val="00CF2CB6"/>
    <w:rsid w:val="00CF2CEF"/>
    <w:rsid w:val="00CF42BC"/>
    <w:rsid w:val="00CF5FC4"/>
    <w:rsid w:val="00CF61A0"/>
    <w:rsid w:val="00CF73BB"/>
    <w:rsid w:val="00CF75A3"/>
    <w:rsid w:val="00CF7EA4"/>
    <w:rsid w:val="00D007CE"/>
    <w:rsid w:val="00D00B6C"/>
    <w:rsid w:val="00D00DE7"/>
    <w:rsid w:val="00D01C50"/>
    <w:rsid w:val="00D0230F"/>
    <w:rsid w:val="00D023D0"/>
    <w:rsid w:val="00D02701"/>
    <w:rsid w:val="00D0275B"/>
    <w:rsid w:val="00D033F1"/>
    <w:rsid w:val="00D03843"/>
    <w:rsid w:val="00D03926"/>
    <w:rsid w:val="00D03F83"/>
    <w:rsid w:val="00D059A0"/>
    <w:rsid w:val="00D06522"/>
    <w:rsid w:val="00D06924"/>
    <w:rsid w:val="00D0725D"/>
    <w:rsid w:val="00D073A7"/>
    <w:rsid w:val="00D0749F"/>
    <w:rsid w:val="00D1051C"/>
    <w:rsid w:val="00D1099A"/>
    <w:rsid w:val="00D10ACD"/>
    <w:rsid w:val="00D10DE0"/>
    <w:rsid w:val="00D1153E"/>
    <w:rsid w:val="00D11BC1"/>
    <w:rsid w:val="00D12016"/>
    <w:rsid w:val="00D1234D"/>
    <w:rsid w:val="00D125C7"/>
    <w:rsid w:val="00D12B92"/>
    <w:rsid w:val="00D12C3C"/>
    <w:rsid w:val="00D14A64"/>
    <w:rsid w:val="00D160E1"/>
    <w:rsid w:val="00D16127"/>
    <w:rsid w:val="00D16C77"/>
    <w:rsid w:val="00D17E86"/>
    <w:rsid w:val="00D20A19"/>
    <w:rsid w:val="00D20BB2"/>
    <w:rsid w:val="00D20DA0"/>
    <w:rsid w:val="00D217EF"/>
    <w:rsid w:val="00D21A68"/>
    <w:rsid w:val="00D227E5"/>
    <w:rsid w:val="00D22C09"/>
    <w:rsid w:val="00D233F8"/>
    <w:rsid w:val="00D23DE9"/>
    <w:rsid w:val="00D24EBD"/>
    <w:rsid w:val="00D26826"/>
    <w:rsid w:val="00D30145"/>
    <w:rsid w:val="00D309C6"/>
    <w:rsid w:val="00D313D9"/>
    <w:rsid w:val="00D316F9"/>
    <w:rsid w:val="00D31A24"/>
    <w:rsid w:val="00D334B3"/>
    <w:rsid w:val="00D33CA2"/>
    <w:rsid w:val="00D33FCE"/>
    <w:rsid w:val="00D342E3"/>
    <w:rsid w:val="00D35E14"/>
    <w:rsid w:val="00D35FD9"/>
    <w:rsid w:val="00D366F0"/>
    <w:rsid w:val="00D36F18"/>
    <w:rsid w:val="00D376AB"/>
    <w:rsid w:val="00D378A5"/>
    <w:rsid w:val="00D40C8B"/>
    <w:rsid w:val="00D41946"/>
    <w:rsid w:val="00D427FA"/>
    <w:rsid w:val="00D4334A"/>
    <w:rsid w:val="00D436BA"/>
    <w:rsid w:val="00D43BB9"/>
    <w:rsid w:val="00D43CB5"/>
    <w:rsid w:val="00D43DD2"/>
    <w:rsid w:val="00D46EC9"/>
    <w:rsid w:val="00D47ABB"/>
    <w:rsid w:val="00D5052F"/>
    <w:rsid w:val="00D5163C"/>
    <w:rsid w:val="00D5281F"/>
    <w:rsid w:val="00D5489E"/>
    <w:rsid w:val="00D54AAE"/>
    <w:rsid w:val="00D54D9F"/>
    <w:rsid w:val="00D54E43"/>
    <w:rsid w:val="00D55C98"/>
    <w:rsid w:val="00D567DA"/>
    <w:rsid w:val="00D57BD8"/>
    <w:rsid w:val="00D60516"/>
    <w:rsid w:val="00D61015"/>
    <w:rsid w:val="00D617CD"/>
    <w:rsid w:val="00D61FFC"/>
    <w:rsid w:val="00D62D9A"/>
    <w:rsid w:val="00D63127"/>
    <w:rsid w:val="00D63747"/>
    <w:rsid w:val="00D64949"/>
    <w:rsid w:val="00D64C50"/>
    <w:rsid w:val="00D64E51"/>
    <w:rsid w:val="00D65198"/>
    <w:rsid w:val="00D66CB0"/>
    <w:rsid w:val="00D6716D"/>
    <w:rsid w:val="00D67A3E"/>
    <w:rsid w:val="00D67CCC"/>
    <w:rsid w:val="00D70169"/>
    <w:rsid w:val="00D70367"/>
    <w:rsid w:val="00D7060F"/>
    <w:rsid w:val="00D70A46"/>
    <w:rsid w:val="00D724EC"/>
    <w:rsid w:val="00D732A5"/>
    <w:rsid w:val="00D73733"/>
    <w:rsid w:val="00D737C1"/>
    <w:rsid w:val="00D73BAC"/>
    <w:rsid w:val="00D73FDE"/>
    <w:rsid w:val="00D74C48"/>
    <w:rsid w:val="00D74E98"/>
    <w:rsid w:val="00D7525E"/>
    <w:rsid w:val="00D768F0"/>
    <w:rsid w:val="00D76EA2"/>
    <w:rsid w:val="00D7737D"/>
    <w:rsid w:val="00D773EB"/>
    <w:rsid w:val="00D77DB5"/>
    <w:rsid w:val="00D77E0D"/>
    <w:rsid w:val="00D81B4C"/>
    <w:rsid w:val="00D82049"/>
    <w:rsid w:val="00D82120"/>
    <w:rsid w:val="00D834F5"/>
    <w:rsid w:val="00D839C0"/>
    <w:rsid w:val="00D839D0"/>
    <w:rsid w:val="00D84CBB"/>
    <w:rsid w:val="00D853E8"/>
    <w:rsid w:val="00D85F7C"/>
    <w:rsid w:val="00D8761E"/>
    <w:rsid w:val="00D87C71"/>
    <w:rsid w:val="00D902A9"/>
    <w:rsid w:val="00D9055A"/>
    <w:rsid w:val="00D91483"/>
    <w:rsid w:val="00D91F0C"/>
    <w:rsid w:val="00D92147"/>
    <w:rsid w:val="00D938EA"/>
    <w:rsid w:val="00D93B58"/>
    <w:rsid w:val="00D93F1D"/>
    <w:rsid w:val="00D948BD"/>
    <w:rsid w:val="00D951D3"/>
    <w:rsid w:val="00D959C8"/>
    <w:rsid w:val="00D9745C"/>
    <w:rsid w:val="00D97577"/>
    <w:rsid w:val="00D97862"/>
    <w:rsid w:val="00DA0042"/>
    <w:rsid w:val="00DA0A7D"/>
    <w:rsid w:val="00DA0B1C"/>
    <w:rsid w:val="00DA1543"/>
    <w:rsid w:val="00DA17FB"/>
    <w:rsid w:val="00DA1F14"/>
    <w:rsid w:val="00DA2000"/>
    <w:rsid w:val="00DA22B1"/>
    <w:rsid w:val="00DA2515"/>
    <w:rsid w:val="00DA2960"/>
    <w:rsid w:val="00DA40AB"/>
    <w:rsid w:val="00DA421E"/>
    <w:rsid w:val="00DA492A"/>
    <w:rsid w:val="00DA4E81"/>
    <w:rsid w:val="00DA6D13"/>
    <w:rsid w:val="00DB03D8"/>
    <w:rsid w:val="00DB0964"/>
    <w:rsid w:val="00DB0E58"/>
    <w:rsid w:val="00DB11B9"/>
    <w:rsid w:val="00DB1925"/>
    <w:rsid w:val="00DB195B"/>
    <w:rsid w:val="00DB2F94"/>
    <w:rsid w:val="00DB43FA"/>
    <w:rsid w:val="00DB4C7B"/>
    <w:rsid w:val="00DB58D5"/>
    <w:rsid w:val="00DB5C7C"/>
    <w:rsid w:val="00DB6607"/>
    <w:rsid w:val="00DB77DF"/>
    <w:rsid w:val="00DC038A"/>
    <w:rsid w:val="00DC0B72"/>
    <w:rsid w:val="00DC0E25"/>
    <w:rsid w:val="00DC1247"/>
    <w:rsid w:val="00DC1370"/>
    <w:rsid w:val="00DC1825"/>
    <w:rsid w:val="00DC2DF6"/>
    <w:rsid w:val="00DC3228"/>
    <w:rsid w:val="00DC3476"/>
    <w:rsid w:val="00DC350E"/>
    <w:rsid w:val="00DC3968"/>
    <w:rsid w:val="00DC3BE5"/>
    <w:rsid w:val="00DC3C0F"/>
    <w:rsid w:val="00DC4246"/>
    <w:rsid w:val="00DC44DB"/>
    <w:rsid w:val="00DC44ED"/>
    <w:rsid w:val="00DC520E"/>
    <w:rsid w:val="00DC592E"/>
    <w:rsid w:val="00DC5AEE"/>
    <w:rsid w:val="00DC6CF1"/>
    <w:rsid w:val="00DC74F5"/>
    <w:rsid w:val="00DC78B6"/>
    <w:rsid w:val="00DD06A3"/>
    <w:rsid w:val="00DD0DA8"/>
    <w:rsid w:val="00DD20FE"/>
    <w:rsid w:val="00DD2E10"/>
    <w:rsid w:val="00DD2FE7"/>
    <w:rsid w:val="00DD455E"/>
    <w:rsid w:val="00DD4711"/>
    <w:rsid w:val="00DD510B"/>
    <w:rsid w:val="00DD6585"/>
    <w:rsid w:val="00DD69B5"/>
    <w:rsid w:val="00DD6CA8"/>
    <w:rsid w:val="00DD70DC"/>
    <w:rsid w:val="00DD7859"/>
    <w:rsid w:val="00DD7860"/>
    <w:rsid w:val="00DD7D6E"/>
    <w:rsid w:val="00DE0A31"/>
    <w:rsid w:val="00DE1640"/>
    <w:rsid w:val="00DE231E"/>
    <w:rsid w:val="00DE2FC5"/>
    <w:rsid w:val="00DE3595"/>
    <w:rsid w:val="00DE3A7D"/>
    <w:rsid w:val="00DE4624"/>
    <w:rsid w:val="00DE4F12"/>
    <w:rsid w:val="00DE5877"/>
    <w:rsid w:val="00DE5A5D"/>
    <w:rsid w:val="00DE5AEB"/>
    <w:rsid w:val="00DE63EE"/>
    <w:rsid w:val="00DE677E"/>
    <w:rsid w:val="00DE713C"/>
    <w:rsid w:val="00DE7AEA"/>
    <w:rsid w:val="00DF0FF7"/>
    <w:rsid w:val="00DF10A6"/>
    <w:rsid w:val="00DF1428"/>
    <w:rsid w:val="00DF1945"/>
    <w:rsid w:val="00DF2E9A"/>
    <w:rsid w:val="00DF2F11"/>
    <w:rsid w:val="00DF394A"/>
    <w:rsid w:val="00DF3DE6"/>
    <w:rsid w:val="00DF3E3E"/>
    <w:rsid w:val="00DF5080"/>
    <w:rsid w:val="00DF5213"/>
    <w:rsid w:val="00DF5769"/>
    <w:rsid w:val="00DF597C"/>
    <w:rsid w:val="00DF5A40"/>
    <w:rsid w:val="00DF5CD8"/>
    <w:rsid w:val="00DF6A41"/>
    <w:rsid w:val="00DF6DC6"/>
    <w:rsid w:val="00E00AC8"/>
    <w:rsid w:val="00E01C02"/>
    <w:rsid w:val="00E01C58"/>
    <w:rsid w:val="00E01D73"/>
    <w:rsid w:val="00E02075"/>
    <w:rsid w:val="00E020EA"/>
    <w:rsid w:val="00E0276C"/>
    <w:rsid w:val="00E05332"/>
    <w:rsid w:val="00E05D3F"/>
    <w:rsid w:val="00E05E26"/>
    <w:rsid w:val="00E0655D"/>
    <w:rsid w:val="00E06657"/>
    <w:rsid w:val="00E07872"/>
    <w:rsid w:val="00E106B5"/>
    <w:rsid w:val="00E10879"/>
    <w:rsid w:val="00E116CC"/>
    <w:rsid w:val="00E116E4"/>
    <w:rsid w:val="00E13749"/>
    <w:rsid w:val="00E13DCD"/>
    <w:rsid w:val="00E144A1"/>
    <w:rsid w:val="00E14D1D"/>
    <w:rsid w:val="00E151B7"/>
    <w:rsid w:val="00E1526F"/>
    <w:rsid w:val="00E156A5"/>
    <w:rsid w:val="00E167BA"/>
    <w:rsid w:val="00E16BFD"/>
    <w:rsid w:val="00E16E2C"/>
    <w:rsid w:val="00E174A0"/>
    <w:rsid w:val="00E178AC"/>
    <w:rsid w:val="00E17EE6"/>
    <w:rsid w:val="00E202C3"/>
    <w:rsid w:val="00E21049"/>
    <w:rsid w:val="00E21566"/>
    <w:rsid w:val="00E22838"/>
    <w:rsid w:val="00E22D80"/>
    <w:rsid w:val="00E233E0"/>
    <w:rsid w:val="00E23559"/>
    <w:rsid w:val="00E23C73"/>
    <w:rsid w:val="00E24D85"/>
    <w:rsid w:val="00E26680"/>
    <w:rsid w:val="00E268F4"/>
    <w:rsid w:val="00E27350"/>
    <w:rsid w:val="00E27500"/>
    <w:rsid w:val="00E2790E"/>
    <w:rsid w:val="00E27FD3"/>
    <w:rsid w:val="00E3009A"/>
    <w:rsid w:val="00E30246"/>
    <w:rsid w:val="00E3132A"/>
    <w:rsid w:val="00E31720"/>
    <w:rsid w:val="00E3303B"/>
    <w:rsid w:val="00E3322B"/>
    <w:rsid w:val="00E36D14"/>
    <w:rsid w:val="00E37A15"/>
    <w:rsid w:val="00E4014A"/>
    <w:rsid w:val="00E408A5"/>
    <w:rsid w:val="00E40A24"/>
    <w:rsid w:val="00E412FB"/>
    <w:rsid w:val="00E41E48"/>
    <w:rsid w:val="00E41FC6"/>
    <w:rsid w:val="00E43ABA"/>
    <w:rsid w:val="00E4423E"/>
    <w:rsid w:val="00E4437A"/>
    <w:rsid w:val="00E44A7B"/>
    <w:rsid w:val="00E44C63"/>
    <w:rsid w:val="00E44F2B"/>
    <w:rsid w:val="00E46168"/>
    <w:rsid w:val="00E4663E"/>
    <w:rsid w:val="00E46A6E"/>
    <w:rsid w:val="00E46DF2"/>
    <w:rsid w:val="00E4721A"/>
    <w:rsid w:val="00E4771E"/>
    <w:rsid w:val="00E502DF"/>
    <w:rsid w:val="00E505AE"/>
    <w:rsid w:val="00E507C2"/>
    <w:rsid w:val="00E51AF9"/>
    <w:rsid w:val="00E521BC"/>
    <w:rsid w:val="00E52311"/>
    <w:rsid w:val="00E53A18"/>
    <w:rsid w:val="00E542FE"/>
    <w:rsid w:val="00E54857"/>
    <w:rsid w:val="00E54AC3"/>
    <w:rsid w:val="00E54B1D"/>
    <w:rsid w:val="00E553EA"/>
    <w:rsid w:val="00E5670E"/>
    <w:rsid w:val="00E56741"/>
    <w:rsid w:val="00E56DE9"/>
    <w:rsid w:val="00E570A2"/>
    <w:rsid w:val="00E60BB8"/>
    <w:rsid w:val="00E61306"/>
    <w:rsid w:val="00E63308"/>
    <w:rsid w:val="00E6342F"/>
    <w:rsid w:val="00E6358F"/>
    <w:rsid w:val="00E63C7C"/>
    <w:rsid w:val="00E64361"/>
    <w:rsid w:val="00E649F0"/>
    <w:rsid w:val="00E64A68"/>
    <w:rsid w:val="00E64B17"/>
    <w:rsid w:val="00E64D8D"/>
    <w:rsid w:val="00E661B9"/>
    <w:rsid w:val="00E66613"/>
    <w:rsid w:val="00E66EC6"/>
    <w:rsid w:val="00E7064E"/>
    <w:rsid w:val="00E70C46"/>
    <w:rsid w:val="00E71F53"/>
    <w:rsid w:val="00E7279F"/>
    <w:rsid w:val="00E72B8D"/>
    <w:rsid w:val="00E73D71"/>
    <w:rsid w:val="00E73D88"/>
    <w:rsid w:val="00E76A77"/>
    <w:rsid w:val="00E77337"/>
    <w:rsid w:val="00E77B88"/>
    <w:rsid w:val="00E80948"/>
    <w:rsid w:val="00E8140B"/>
    <w:rsid w:val="00E817E0"/>
    <w:rsid w:val="00E82292"/>
    <w:rsid w:val="00E82C45"/>
    <w:rsid w:val="00E82E50"/>
    <w:rsid w:val="00E85FBF"/>
    <w:rsid w:val="00E869B9"/>
    <w:rsid w:val="00E86B76"/>
    <w:rsid w:val="00E86D69"/>
    <w:rsid w:val="00E86F39"/>
    <w:rsid w:val="00E87E6A"/>
    <w:rsid w:val="00E906EF"/>
    <w:rsid w:val="00E90710"/>
    <w:rsid w:val="00E90DC6"/>
    <w:rsid w:val="00E91E35"/>
    <w:rsid w:val="00E9412E"/>
    <w:rsid w:val="00E94C13"/>
    <w:rsid w:val="00E95666"/>
    <w:rsid w:val="00E95A7E"/>
    <w:rsid w:val="00E967B9"/>
    <w:rsid w:val="00EA07D8"/>
    <w:rsid w:val="00EA0DF2"/>
    <w:rsid w:val="00EA1E5A"/>
    <w:rsid w:val="00EA2920"/>
    <w:rsid w:val="00EA2F03"/>
    <w:rsid w:val="00EA2F0C"/>
    <w:rsid w:val="00EA32DF"/>
    <w:rsid w:val="00EA37D6"/>
    <w:rsid w:val="00EA3AFD"/>
    <w:rsid w:val="00EA4911"/>
    <w:rsid w:val="00EA4A9E"/>
    <w:rsid w:val="00EA4AE9"/>
    <w:rsid w:val="00EA5761"/>
    <w:rsid w:val="00EA63D4"/>
    <w:rsid w:val="00EA6880"/>
    <w:rsid w:val="00EA6AC5"/>
    <w:rsid w:val="00EA7103"/>
    <w:rsid w:val="00EA7FF8"/>
    <w:rsid w:val="00EB0254"/>
    <w:rsid w:val="00EB053F"/>
    <w:rsid w:val="00EB0F63"/>
    <w:rsid w:val="00EB1493"/>
    <w:rsid w:val="00EB151B"/>
    <w:rsid w:val="00EB1F1D"/>
    <w:rsid w:val="00EB209F"/>
    <w:rsid w:val="00EB2183"/>
    <w:rsid w:val="00EB2BBD"/>
    <w:rsid w:val="00EB2E2B"/>
    <w:rsid w:val="00EB35C2"/>
    <w:rsid w:val="00EB3C18"/>
    <w:rsid w:val="00EB4086"/>
    <w:rsid w:val="00EB43B0"/>
    <w:rsid w:val="00EB498A"/>
    <w:rsid w:val="00EB50F4"/>
    <w:rsid w:val="00EB5CD8"/>
    <w:rsid w:val="00EB60CB"/>
    <w:rsid w:val="00EB62FE"/>
    <w:rsid w:val="00EC0598"/>
    <w:rsid w:val="00EC0C03"/>
    <w:rsid w:val="00EC0D1B"/>
    <w:rsid w:val="00EC15B7"/>
    <w:rsid w:val="00EC171D"/>
    <w:rsid w:val="00EC23D9"/>
    <w:rsid w:val="00EC30B9"/>
    <w:rsid w:val="00EC3375"/>
    <w:rsid w:val="00EC5D42"/>
    <w:rsid w:val="00EC6241"/>
    <w:rsid w:val="00EC7CED"/>
    <w:rsid w:val="00ED0976"/>
    <w:rsid w:val="00ED0A09"/>
    <w:rsid w:val="00ED1A3A"/>
    <w:rsid w:val="00ED2CBF"/>
    <w:rsid w:val="00ED36E1"/>
    <w:rsid w:val="00ED4F58"/>
    <w:rsid w:val="00ED5836"/>
    <w:rsid w:val="00ED5E6E"/>
    <w:rsid w:val="00ED6E78"/>
    <w:rsid w:val="00ED6F51"/>
    <w:rsid w:val="00EE0F5F"/>
    <w:rsid w:val="00EE2247"/>
    <w:rsid w:val="00EE2921"/>
    <w:rsid w:val="00EE2B7A"/>
    <w:rsid w:val="00EE4483"/>
    <w:rsid w:val="00EE4E2E"/>
    <w:rsid w:val="00EE4F89"/>
    <w:rsid w:val="00EE5F41"/>
    <w:rsid w:val="00EE6075"/>
    <w:rsid w:val="00EE6500"/>
    <w:rsid w:val="00EE7C72"/>
    <w:rsid w:val="00EF026F"/>
    <w:rsid w:val="00EF03AA"/>
    <w:rsid w:val="00EF03F2"/>
    <w:rsid w:val="00EF0552"/>
    <w:rsid w:val="00EF1135"/>
    <w:rsid w:val="00EF176E"/>
    <w:rsid w:val="00EF1E90"/>
    <w:rsid w:val="00EF20DA"/>
    <w:rsid w:val="00EF27C4"/>
    <w:rsid w:val="00EF3529"/>
    <w:rsid w:val="00EF3978"/>
    <w:rsid w:val="00EF45DA"/>
    <w:rsid w:val="00EF4A1C"/>
    <w:rsid w:val="00EF4E37"/>
    <w:rsid w:val="00EF5F46"/>
    <w:rsid w:val="00EF614A"/>
    <w:rsid w:val="00EF63EC"/>
    <w:rsid w:val="00EF6751"/>
    <w:rsid w:val="00EF70BD"/>
    <w:rsid w:val="00EF7CEB"/>
    <w:rsid w:val="00F00D87"/>
    <w:rsid w:val="00F00EB1"/>
    <w:rsid w:val="00F00EDA"/>
    <w:rsid w:val="00F0141D"/>
    <w:rsid w:val="00F01595"/>
    <w:rsid w:val="00F018CC"/>
    <w:rsid w:val="00F01CAD"/>
    <w:rsid w:val="00F021A6"/>
    <w:rsid w:val="00F0227C"/>
    <w:rsid w:val="00F026BB"/>
    <w:rsid w:val="00F02E35"/>
    <w:rsid w:val="00F0333E"/>
    <w:rsid w:val="00F03ECD"/>
    <w:rsid w:val="00F03FFB"/>
    <w:rsid w:val="00F04154"/>
    <w:rsid w:val="00F04BC0"/>
    <w:rsid w:val="00F04EDA"/>
    <w:rsid w:val="00F05503"/>
    <w:rsid w:val="00F05A25"/>
    <w:rsid w:val="00F06120"/>
    <w:rsid w:val="00F06985"/>
    <w:rsid w:val="00F07530"/>
    <w:rsid w:val="00F07628"/>
    <w:rsid w:val="00F07E6F"/>
    <w:rsid w:val="00F108A4"/>
    <w:rsid w:val="00F10CBE"/>
    <w:rsid w:val="00F10DA4"/>
    <w:rsid w:val="00F10F65"/>
    <w:rsid w:val="00F10F78"/>
    <w:rsid w:val="00F1116E"/>
    <w:rsid w:val="00F117F7"/>
    <w:rsid w:val="00F1216B"/>
    <w:rsid w:val="00F126A2"/>
    <w:rsid w:val="00F135C9"/>
    <w:rsid w:val="00F1365A"/>
    <w:rsid w:val="00F1415D"/>
    <w:rsid w:val="00F15141"/>
    <w:rsid w:val="00F16AAD"/>
    <w:rsid w:val="00F17A01"/>
    <w:rsid w:val="00F17D8E"/>
    <w:rsid w:val="00F21613"/>
    <w:rsid w:val="00F21770"/>
    <w:rsid w:val="00F2465F"/>
    <w:rsid w:val="00F24A09"/>
    <w:rsid w:val="00F25CB0"/>
    <w:rsid w:val="00F26727"/>
    <w:rsid w:val="00F27608"/>
    <w:rsid w:val="00F2771A"/>
    <w:rsid w:val="00F27A04"/>
    <w:rsid w:val="00F303E3"/>
    <w:rsid w:val="00F306B1"/>
    <w:rsid w:val="00F30C2B"/>
    <w:rsid w:val="00F31530"/>
    <w:rsid w:val="00F3173E"/>
    <w:rsid w:val="00F31A30"/>
    <w:rsid w:val="00F31A41"/>
    <w:rsid w:val="00F341E3"/>
    <w:rsid w:val="00F34955"/>
    <w:rsid w:val="00F34E72"/>
    <w:rsid w:val="00F354BD"/>
    <w:rsid w:val="00F36273"/>
    <w:rsid w:val="00F401BA"/>
    <w:rsid w:val="00F41C09"/>
    <w:rsid w:val="00F41E9B"/>
    <w:rsid w:val="00F432B8"/>
    <w:rsid w:val="00F4344B"/>
    <w:rsid w:val="00F445B1"/>
    <w:rsid w:val="00F4472B"/>
    <w:rsid w:val="00F4493F"/>
    <w:rsid w:val="00F44A34"/>
    <w:rsid w:val="00F44CE4"/>
    <w:rsid w:val="00F44E18"/>
    <w:rsid w:val="00F44FF9"/>
    <w:rsid w:val="00F4531D"/>
    <w:rsid w:val="00F454B5"/>
    <w:rsid w:val="00F4555E"/>
    <w:rsid w:val="00F459A8"/>
    <w:rsid w:val="00F46B76"/>
    <w:rsid w:val="00F505B4"/>
    <w:rsid w:val="00F50653"/>
    <w:rsid w:val="00F50B4E"/>
    <w:rsid w:val="00F51062"/>
    <w:rsid w:val="00F511B9"/>
    <w:rsid w:val="00F526DC"/>
    <w:rsid w:val="00F52756"/>
    <w:rsid w:val="00F53231"/>
    <w:rsid w:val="00F538AC"/>
    <w:rsid w:val="00F54161"/>
    <w:rsid w:val="00F546C8"/>
    <w:rsid w:val="00F55228"/>
    <w:rsid w:val="00F557CF"/>
    <w:rsid w:val="00F55800"/>
    <w:rsid w:val="00F56235"/>
    <w:rsid w:val="00F56357"/>
    <w:rsid w:val="00F564C8"/>
    <w:rsid w:val="00F56557"/>
    <w:rsid w:val="00F56CFC"/>
    <w:rsid w:val="00F57698"/>
    <w:rsid w:val="00F579A9"/>
    <w:rsid w:val="00F60039"/>
    <w:rsid w:val="00F60187"/>
    <w:rsid w:val="00F603AD"/>
    <w:rsid w:val="00F605FC"/>
    <w:rsid w:val="00F61B55"/>
    <w:rsid w:val="00F61FE2"/>
    <w:rsid w:val="00F640CA"/>
    <w:rsid w:val="00F64804"/>
    <w:rsid w:val="00F64970"/>
    <w:rsid w:val="00F64E39"/>
    <w:rsid w:val="00F65AC2"/>
    <w:rsid w:val="00F674E6"/>
    <w:rsid w:val="00F67548"/>
    <w:rsid w:val="00F6784E"/>
    <w:rsid w:val="00F679C2"/>
    <w:rsid w:val="00F707E4"/>
    <w:rsid w:val="00F709C9"/>
    <w:rsid w:val="00F745F7"/>
    <w:rsid w:val="00F748FE"/>
    <w:rsid w:val="00F7498F"/>
    <w:rsid w:val="00F75061"/>
    <w:rsid w:val="00F757EA"/>
    <w:rsid w:val="00F75BF0"/>
    <w:rsid w:val="00F76B72"/>
    <w:rsid w:val="00F77268"/>
    <w:rsid w:val="00F7792F"/>
    <w:rsid w:val="00F77DA7"/>
    <w:rsid w:val="00F77EE5"/>
    <w:rsid w:val="00F8046F"/>
    <w:rsid w:val="00F81AA1"/>
    <w:rsid w:val="00F81AF4"/>
    <w:rsid w:val="00F81B26"/>
    <w:rsid w:val="00F821C3"/>
    <w:rsid w:val="00F823E7"/>
    <w:rsid w:val="00F8282C"/>
    <w:rsid w:val="00F82E56"/>
    <w:rsid w:val="00F8307E"/>
    <w:rsid w:val="00F836DB"/>
    <w:rsid w:val="00F83B9C"/>
    <w:rsid w:val="00F83E41"/>
    <w:rsid w:val="00F8496D"/>
    <w:rsid w:val="00F84E4B"/>
    <w:rsid w:val="00F8561D"/>
    <w:rsid w:val="00F85D0A"/>
    <w:rsid w:val="00F86BC3"/>
    <w:rsid w:val="00F86C08"/>
    <w:rsid w:val="00F8751D"/>
    <w:rsid w:val="00F876AD"/>
    <w:rsid w:val="00F91750"/>
    <w:rsid w:val="00F91ADC"/>
    <w:rsid w:val="00F931CB"/>
    <w:rsid w:val="00F9353B"/>
    <w:rsid w:val="00F93735"/>
    <w:rsid w:val="00F93E05"/>
    <w:rsid w:val="00F941E4"/>
    <w:rsid w:val="00F943E1"/>
    <w:rsid w:val="00F9463B"/>
    <w:rsid w:val="00F94948"/>
    <w:rsid w:val="00F94AF9"/>
    <w:rsid w:val="00F953AC"/>
    <w:rsid w:val="00F95BE6"/>
    <w:rsid w:val="00F95F1F"/>
    <w:rsid w:val="00F9610F"/>
    <w:rsid w:val="00F962F4"/>
    <w:rsid w:val="00F96765"/>
    <w:rsid w:val="00F97C98"/>
    <w:rsid w:val="00F97DDE"/>
    <w:rsid w:val="00FA1165"/>
    <w:rsid w:val="00FA1FBD"/>
    <w:rsid w:val="00FA2AF0"/>
    <w:rsid w:val="00FA32D2"/>
    <w:rsid w:val="00FA339D"/>
    <w:rsid w:val="00FA55E5"/>
    <w:rsid w:val="00FA6192"/>
    <w:rsid w:val="00FA6543"/>
    <w:rsid w:val="00FA761D"/>
    <w:rsid w:val="00FA7F0B"/>
    <w:rsid w:val="00FB0D51"/>
    <w:rsid w:val="00FB0F8A"/>
    <w:rsid w:val="00FB168E"/>
    <w:rsid w:val="00FB19BA"/>
    <w:rsid w:val="00FB1C0A"/>
    <w:rsid w:val="00FB2357"/>
    <w:rsid w:val="00FB293A"/>
    <w:rsid w:val="00FB379B"/>
    <w:rsid w:val="00FB4606"/>
    <w:rsid w:val="00FB4700"/>
    <w:rsid w:val="00FB4E56"/>
    <w:rsid w:val="00FB5D5C"/>
    <w:rsid w:val="00FB5FA7"/>
    <w:rsid w:val="00FB7AA5"/>
    <w:rsid w:val="00FC03BB"/>
    <w:rsid w:val="00FC2F1B"/>
    <w:rsid w:val="00FC32C7"/>
    <w:rsid w:val="00FC346D"/>
    <w:rsid w:val="00FC39AC"/>
    <w:rsid w:val="00FC4174"/>
    <w:rsid w:val="00FC4E93"/>
    <w:rsid w:val="00FC55A2"/>
    <w:rsid w:val="00FC56A9"/>
    <w:rsid w:val="00FC5A11"/>
    <w:rsid w:val="00FC64C5"/>
    <w:rsid w:val="00FC6953"/>
    <w:rsid w:val="00FC709E"/>
    <w:rsid w:val="00FC73D3"/>
    <w:rsid w:val="00FD08FE"/>
    <w:rsid w:val="00FD191E"/>
    <w:rsid w:val="00FD2612"/>
    <w:rsid w:val="00FD28EE"/>
    <w:rsid w:val="00FD34CE"/>
    <w:rsid w:val="00FD3872"/>
    <w:rsid w:val="00FD4367"/>
    <w:rsid w:val="00FD5257"/>
    <w:rsid w:val="00FD5DFC"/>
    <w:rsid w:val="00FD63E8"/>
    <w:rsid w:val="00FD6AC5"/>
    <w:rsid w:val="00FD6BAD"/>
    <w:rsid w:val="00FD7533"/>
    <w:rsid w:val="00FD7BAC"/>
    <w:rsid w:val="00FE01C6"/>
    <w:rsid w:val="00FE1292"/>
    <w:rsid w:val="00FE227F"/>
    <w:rsid w:val="00FE22E4"/>
    <w:rsid w:val="00FE3BF5"/>
    <w:rsid w:val="00FE403A"/>
    <w:rsid w:val="00FE45BD"/>
    <w:rsid w:val="00FE4FAD"/>
    <w:rsid w:val="00FE58F0"/>
    <w:rsid w:val="00FE596B"/>
    <w:rsid w:val="00FE6E14"/>
    <w:rsid w:val="00FE7A57"/>
    <w:rsid w:val="00FF1044"/>
    <w:rsid w:val="00FF1BC8"/>
    <w:rsid w:val="00FF20EE"/>
    <w:rsid w:val="00FF2C22"/>
    <w:rsid w:val="00FF30FD"/>
    <w:rsid w:val="00FF3B30"/>
    <w:rsid w:val="00FF4A05"/>
    <w:rsid w:val="00FF5F0F"/>
    <w:rsid w:val="00FF65F0"/>
    <w:rsid w:val="00FF67CC"/>
    <w:rsid w:val="00FF68AC"/>
    <w:rsid w:val="014D934D"/>
    <w:rsid w:val="016C673B"/>
    <w:rsid w:val="022FA4CC"/>
    <w:rsid w:val="025146A7"/>
    <w:rsid w:val="02885F86"/>
    <w:rsid w:val="028A0E6E"/>
    <w:rsid w:val="028CA405"/>
    <w:rsid w:val="0293777B"/>
    <w:rsid w:val="02973AD8"/>
    <w:rsid w:val="02CAF136"/>
    <w:rsid w:val="02E8B3A6"/>
    <w:rsid w:val="0315AA89"/>
    <w:rsid w:val="03399FDB"/>
    <w:rsid w:val="0362182D"/>
    <w:rsid w:val="0386CFA8"/>
    <w:rsid w:val="03DFDBC6"/>
    <w:rsid w:val="03FA3066"/>
    <w:rsid w:val="04AB4CA5"/>
    <w:rsid w:val="04B99E02"/>
    <w:rsid w:val="04E2587E"/>
    <w:rsid w:val="04E66554"/>
    <w:rsid w:val="04F6FE8D"/>
    <w:rsid w:val="0576D2E6"/>
    <w:rsid w:val="059A5363"/>
    <w:rsid w:val="05B9277D"/>
    <w:rsid w:val="05D93E97"/>
    <w:rsid w:val="0642760B"/>
    <w:rsid w:val="0655B0F9"/>
    <w:rsid w:val="06923990"/>
    <w:rsid w:val="06B8078D"/>
    <w:rsid w:val="06CAA2E3"/>
    <w:rsid w:val="06FC6AAB"/>
    <w:rsid w:val="075392EC"/>
    <w:rsid w:val="0844C59A"/>
    <w:rsid w:val="08537ACD"/>
    <w:rsid w:val="0855977C"/>
    <w:rsid w:val="085B2F59"/>
    <w:rsid w:val="08788B39"/>
    <w:rsid w:val="087CB01A"/>
    <w:rsid w:val="089D9936"/>
    <w:rsid w:val="08BF81E7"/>
    <w:rsid w:val="08E5B909"/>
    <w:rsid w:val="08F2F3B9"/>
    <w:rsid w:val="09577A4F"/>
    <w:rsid w:val="09C92D60"/>
    <w:rsid w:val="09EA004F"/>
    <w:rsid w:val="09FFD1FB"/>
    <w:rsid w:val="0A237451"/>
    <w:rsid w:val="0A51C7A1"/>
    <w:rsid w:val="0A5273F5"/>
    <w:rsid w:val="0B35D48B"/>
    <w:rsid w:val="0B54ADB0"/>
    <w:rsid w:val="0B6549DB"/>
    <w:rsid w:val="0BA31184"/>
    <w:rsid w:val="0C578652"/>
    <w:rsid w:val="0D4078EB"/>
    <w:rsid w:val="0D54232A"/>
    <w:rsid w:val="0E241D1C"/>
    <w:rsid w:val="0E77AE75"/>
    <w:rsid w:val="0E798E82"/>
    <w:rsid w:val="0E869562"/>
    <w:rsid w:val="0EEC337C"/>
    <w:rsid w:val="0F17DE5C"/>
    <w:rsid w:val="0F31A275"/>
    <w:rsid w:val="0F3E3CA5"/>
    <w:rsid w:val="0FC4710E"/>
    <w:rsid w:val="0FDA40B7"/>
    <w:rsid w:val="1050B355"/>
    <w:rsid w:val="1062FE61"/>
    <w:rsid w:val="1066514B"/>
    <w:rsid w:val="10EDCF11"/>
    <w:rsid w:val="1107A0FC"/>
    <w:rsid w:val="114CA345"/>
    <w:rsid w:val="12127DB4"/>
    <w:rsid w:val="1236611E"/>
    <w:rsid w:val="12585052"/>
    <w:rsid w:val="1281CD5E"/>
    <w:rsid w:val="135CD25B"/>
    <w:rsid w:val="136EDCD7"/>
    <w:rsid w:val="139027D7"/>
    <w:rsid w:val="13F20B41"/>
    <w:rsid w:val="140B2A8C"/>
    <w:rsid w:val="14143A2F"/>
    <w:rsid w:val="14434BF7"/>
    <w:rsid w:val="14569E66"/>
    <w:rsid w:val="148E519F"/>
    <w:rsid w:val="14BDD9F6"/>
    <w:rsid w:val="151D916E"/>
    <w:rsid w:val="15243CE9"/>
    <w:rsid w:val="154CE497"/>
    <w:rsid w:val="1559E752"/>
    <w:rsid w:val="157CC947"/>
    <w:rsid w:val="15A8A5EF"/>
    <w:rsid w:val="15B4375A"/>
    <w:rsid w:val="163CBC81"/>
    <w:rsid w:val="1640E4FF"/>
    <w:rsid w:val="164FA4AF"/>
    <w:rsid w:val="16A9FBA9"/>
    <w:rsid w:val="16B4D89C"/>
    <w:rsid w:val="1720731A"/>
    <w:rsid w:val="17216A06"/>
    <w:rsid w:val="17253048"/>
    <w:rsid w:val="172724B7"/>
    <w:rsid w:val="1758C1D8"/>
    <w:rsid w:val="17709EB3"/>
    <w:rsid w:val="179487F2"/>
    <w:rsid w:val="1818B5B4"/>
    <w:rsid w:val="191D3DB3"/>
    <w:rsid w:val="193F4E29"/>
    <w:rsid w:val="19A7822D"/>
    <w:rsid w:val="19B6FE61"/>
    <w:rsid w:val="19DD2A01"/>
    <w:rsid w:val="1A2B54EB"/>
    <w:rsid w:val="1A8CB7CB"/>
    <w:rsid w:val="1A9ECC9B"/>
    <w:rsid w:val="1ACB19E3"/>
    <w:rsid w:val="1AE54F28"/>
    <w:rsid w:val="1B8B577D"/>
    <w:rsid w:val="1BBB9D2D"/>
    <w:rsid w:val="1BC13A60"/>
    <w:rsid w:val="1BCCF200"/>
    <w:rsid w:val="1C5E4B38"/>
    <w:rsid w:val="1CBC6B5A"/>
    <w:rsid w:val="1CF2C6F4"/>
    <w:rsid w:val="1CFBD4CF"/>
    <w:rsid w:val="1D08694F"/>
    <w:rsid w:val="1D0D5090"/>
    <w:rsid w:val="1D1ABD05"/>
    <w:rsid w:val="1D6B744D"/>
    <w:rsid w:val="1D6F69DE"/>
    <w:rsid w:val="1DDAE3A8"/>
    <w:rsid w:val="1DEC3F7A"/>
    <w:rsid w:val="1DFBB704"/>
    <w:rsid w:val="1E3F5920"/>
    <w:rsid w:val="1FAB2149"/>
    <w:rsid w:val="1FC0507A"/>
    <w:rsid w:val="1FDEA09F"/>
    <w:rsid w:val="1FE51E8C"/>
    <w:rsid w:val="20382F1D"/>
    <w:rsid w:val="20AF0BDF"/>
    <w:rsid w:val="20F68A16"/>
    <w:rsid w:val="2100C317"/>
    <w:rsid w:val="215865D4"/>
    <w:rsid w:val="21598987"/>
    <w:rsid w:val="216E8080"/>
    <w:rsid w:val="21F7B5CE"/>
    <w:rsid w:val="22299881"/>
    <w:rsid w:val="227F01A0"/>
    <w:rsid w:val="229C462B"/>
    <w:rsid w:val="22A0D974"/>
    <w:rsid w:val="22E8139F"/>
    <w:rsid w:val="22FEA6C4"/>
    <w:rsid w:val="231056CF"/>
    <w:rsid w:val="233AB0CC"/>
    <w:rsid w:val="23A7FA8A"/>
    <w:rsid w:val="2420248D"/>
    <w:rsid w:val="24438123"/>
    <w:rsid w:val="245487BC"/>
    <w:rsid w:val="24AA367A"/>
    <w:rsid w:val="24E55201"/>
    <w:rsid w:val="24F51209"/>
    <w:rsid w:val="253E58BE"/>
    <w:rsid w:val="25A6FB1E"/>
    <w:rsid w:val="25A8D448"/>
    <w:rsid w:val="25A9838D"/>
    <w:rsid w:val="2613500C"/>
    <w:rsid w:val="26696E8C"/>
    <w:rsid w:val="26835120"/>
    <w:rsid w:val="2687DE17"/>
    <w:rsid w:val="269EE629"/>
    <w:rsid w:val="26A055A9"/>
    <w:rsid w:val="26E58AE1"/>
    <w:rsid w:val="26FD6223"/>
    <w:rsid w:val="271BC728"/>
    <w:rsid w:val="2760BCCB"/>
    <w:rsid w:val="27A336F1"/>
    <w:rsid w:val="27B53381"/>
    <w:rsid w:val="27FF298A"/>
    <w:rsid w:val="2801EB5E"/>
    <w:rsid w:val="284CDF1B"/>
    <w:rsid w:val="289689AA"/>
    <w:rsid w:val="28DBC40A"/>
    <w:rsid w:val="28E24304"/>
    <w:rsid w:val="28EDFB1A"/>
    <w:rsid w:val="2910F1B6"/>
    <w:rsid w:val="296CF7A0"/>
    <w:rsid w:val="298309DD"/>
    <w:rsid w:val="29A46217"/>
    <w:rsid w:val="29FBBA58"/>
    <w:rsid w:val="2A323E3C"/>
    <w:rsid w:val="2AC9497A"/>
    <w:rsid w:val="2AFA3FA3"/>
    <w:rsid w:val="2B13C2CE"/>
    <w:rsid w:val="2BC67AE8"/>
    <w:rsid w:val="2C02CE27"/>
    <w:rsid w:val="2C435B12"/>
    <w:rsid w:val="2C44AB99"/>
    <w:rsid w:val="2C483E70"/>
    <w:rsid w:val="2C577228"/>
    <w:rsid w:val="2C8C8445"/>
    <w:rsid w:val="2CB1BD73"/>
    <w:rsid w:val="2CBEAF25"/>
    <w:rsid w:val="2CE89260"/>
    <w:rsid w:val="2D108CFE"/>
    <w:rsid w:val="2DE48A66"/>
    <w:rsid w:val="2DFF3FD7"/>
    <w:rsid w:val="2EB127C1"/>
    <w:rsid w:val="2ED71CD9"/>
    <w:rsid w:val="2F0A0FE3"/>
    <w:rsid w:val="2F0A89A3"/>
    <w:rsid w:val="2F122E4E"/>
    <w:rsid w:val="2F366BBF"/>
    <w:rsid w:val="2F6F3C5E"/>
    <w:rsid w:val="2F75BFE5"/>
    <w:rsid w:val="2F843C64"/>
    <w:rsid w:val="2F88055A"/>
    <w:rsid w:val="2FBA8128"/>
    <w:rsid w:val="2FE038EB"/>
    <w:rsid w:val="2FF9F793"/>
    <w:rsid w:val="30839B9B"/>
    <w:rsid w:val="30BBEB60"/>
    <w:rsid w:val="30D9C900"/>
    <w:rsid w:val="313FCAE1"/>
    <w:rsid w:val="324F5BFF"/>
    <w:rsid w:val="32610066"/>
    <w:rsid w:val="329126DF"/>
    <w:rsid w:val="32AC6A90"/>
    <w:rsid w:val="32BD3437"/>
    <w:rsid w:val="32DE66E9"/>
    <w:rsid w:val="33031B28"/>
    <w:rsid w:val="3326701C"/>
    <w:rsid w:val="332FA4FB"/>
    <w:rsid w:val="333615E9"/>
    <w:rsid w:val="33B78527"/>
    <w:rsid w:val="33E391CD"/>
    <w:rsid w:val="34163CC1"/>
    <w:rsid w:val="341AEE19"/>
    <w:rsid w:val="34537F2A"/>
    <w:rsid w:val="34599062"/>
    <w:rsid w:val="3464A563"/>
    <w:rsid w:val="34AE54C3"/>
    <w:rsid w:val="34D26F0A"/>
    <w:rsid w:val="34DB723E"/>
    <w:rsid w:val="35424A96"/>
    <w:rsid w:val="354C4D01"/>
    <w:rsid w:val="3578D4B9"/>
    <w:rsid w:val="361EA932"/>
    <w:rsid w:val="36BEBCB8"/>
    <w:rsid w:val="3714115E"/>
    <w:rsid w:val="3774401C"/>
    <w:rsid w:val="3778A4F0"/>
    <w:rsid w:val="37F0FB63"/>
    <w:rsid w:val="3801BA6F"/>
    <w:rsid w:val="38C17DEC"/>
    <w:rsid w:val="38CB4670"/>
    <w:rsid w:val="39319561"/>
    <w:rsid w:val="395B7524"/>
    <w:rsid w:val="39B7EF92"/>
    <w:rsid w:val="3A3AEEB1"/>
    <w:rsid w:val="3A89A5AE"/>
    <w:rsid w:val="3AEB13F2"/>
    <w:rsid w:val="3AFD500D"/>
    <w:rsid w:val="3B266E81"/>
    <w:rsid w:val="3BD6F4C7"/>
    <w:rsid w:val="3C3D72AD"/>
    <w:rsid w:val="3C7DA1C0"/>
    <w:rsid w:val="3C942749"/>
    <w:rsid w:val="3C955A4C"/>
    <w:rsid w:val="3CC5BA07"/>
    <w:rsid w:val="3CE6224C"/>
    <w:rsid w:val="3D0C6A3E"/>
    <w:rsid w:val="3D52361F"/>
    <w:rsid w:val="3DDEE33F"/>
    <w:rsid w:val="3DE1F2A1"/>
    <w:rsid w:val="3E2B26D5"/>
    <w:rsid w:val="3E5CBACC"/>
    <w:rsid w:val="3ECCDDB9"/>
    <w:rsid w:val="3F21CE6D"/>
    <w:rsid w:val="3FD66804"/>
    <w:rsid w:val="3FFAC06C"/>
    <w:rsid w:val="4004BFC2"/>
    <w:rsid w:val="401BC350"/>
    <w:rsid w:val="403C25EC"/>
    <w:rsid w:val="403F925C"/>
    <w:rsid w:val="40499F10"/>
    <w:rsid w:val="406B5A0E"/>
    <w:rsid w:val="409E19EC"/>
    <w:rsid w:val="40F0BAA3"/>
    <w:rsid w:val="4125C88A"/>
    <w:rsid w:val="4130D5A6"/>
    <w:rsid w:val="4149A67A"/>
    <w:rsid w:val="41B7B9E3"/>
    <w:rsid w:val="41F53B7B"/>
    <w:rsid w:val="41F7EB81"/>
    <w:rsid w:val="4206F366"/>
    <w:rsid w:val="4273A915"/>
    <w:rsid w:val="428FF531"/>
    <w:rsid w:val="42BF2CF3"/>
    <w:rsid w:val="42D61704"/>
    <w:rsid w:val="42D74514"/>
    <w:rsid w:val="431B1E49"/>
    <w:rsid w:val="432103F2"/>
    <w:rsid w:val="43237384"/>
    <w:rsid w:val="43A9F021"/>
    <w:rsid w:val="43FD572E"/>
    <w:rsid w:val="4403FF70"/>
    <w:rsid w:val="44601446"/>
    <w:rsid w:val="448D12F3"/>
    <w:rsid w:val="44BF2132"/>
    <w:rsid w:val="4556D83D"/>
    <w:rsid w:val="4572DEE2"/>
    <w:rsid w:val="45E68914"/>
    <w:rsid w:val="45F4DDCC"/>
    <w:rsid w:val="462C63CD"/>
    <w:rsid w:val="465AF7A2"/>
    <w:rsid w:val="465B0C47"/>
    <w:rsid w:val="46720649"/>
    <w:rsid w:val="46971727"/>
    <w:rsid w:val="46A88112"/>
    <w:rsid w:val="46ABFEEB"/>
    <w:rsid w:val="46BE5009"/>
    <w:rsid w:val="46E633AE"/>
    <w:rsid w:val="4756CECA"/>
    <w:rsid w:val="4792B608"/>
    <w:rsid w:val="47D7903C"/>
    <w:rsid w:val="48160DAA"/>
    <w:rsid w:val="4833F7F4"/>
    <w:rsid w:val="4871E9C0"/>
    <w:rsid w:val="4877A1F6"/>
    <w:rsid w:val="48840D3D"/>
    <w:rsid w:val="48CA8272"/>
    <w:rsid w:val="49633A11"/>
    <w:rsid w:val="499615F1"/>
    <w:rsid w:val="49B053F1"/>
    <w:rsid w:val="4A000070"/>
    <w:rsid w:val="4A18858A"/>
    <w:rsid w:val="4A4AEE1A"/>
    <w:rsid w:val="4A75F779"/>
    <w:rsid w:val="4A947D55"/>
    <w:rsid w:val="4A9FD59B"/>
    <w:rsid w:val="4AB1CA37"/>
    <w:rsid w:val="4AF13DF7"/>
    <w:rsid w:val="4AF75064"/>
    <w:rsid w:val="4B5803B9"/>
    <w:rsid w:val="4C79267F"/>
    <w:rsid w:val="4C7D027F"/>
    <w:rsid w:val="4CC07111"/>
    <w:rsid w:val="4CEF961A"/>
    <w:rsid w:val="4D4DD8E4"/>
    <w:rsid w:val="4D8104A5"/>
    <w:rsid w:val="4D8ECD07"/>
    <w:rsid w:val="4D9F282A"/>
    <w:rsid w:val="4DAFB379"/>
    <w:rsid w:val="4E333881"/>
    <w:rsid w:val="4EB63531"/>
    <w:rsid w:val="4EE14D5B"/>
    <w:rsid w:val="4F3A048A"/>
    <w:rsid w:val="4F503E4D"/>
    <w:rsid w:val="4F834635"/>
    <w:rsid w:val="4FFF9BD1"/>
    <w:rsid w:val="5094121F"/>
    <w:rsid w:val="50BB606D"/>
    <w:rsid w:val="50D3AC9A"/>
    <w:rsid w:val="50D4E635"/>
    <w:rsid w:val="50E3B3B7"/>
    <w:rsid w:val="5138C13D"/>
    <w:rsid w:val="5188D7ED"/>
    <w:rsid w:val="51A1A7E8"/>
    <w:rsid w:val="5225B691"/>
    <w:rsid w:val="524AE513"/>
    <w:rsid w:val="52659756"/>
    <w:rsid w:val="5280463E"/>
    <w:rsid w:val="52BB8C47"/>
    <w:rsid w:val="539024C0"/>
    <w:rsid w:val="53EC458E"/>
    <w:rsid w:val="54033797"/>
    <w:rsid w:val="543F3F70"/>
    <w:rsid w:val="544A16C7"/>
    <w:rsid w:val="54C45DD5"/>
    <w:rsid w:val="54D24D7C"/>
    <w:rsid w:val="550EC16C"/>
    <w:rsid w:val="551D269B"/>
    <w:rsid w:val="555B32AB"/>
    <w:rsid w:val="55BE42C3"/>
    <w:rsid w:val="563835C4"/>
    <w:rsid w:val="566BFEE7"/>
    <w:rsid w:val="56A03EBE"/>
    <w:rsid w:val="56C71464"/>
    <w:rsid w:val="5707B857"/>
    <w:rsid w:val="570D19D3"/>
    <w:rsid w:val="5752341F"/>
    <w:rsid w:val="57B27F95"/>
    <w:rsid w:val="58188AB6"/>
    <w:rsid w:val="587A0530"/>
    <w:rsid w:val="58D9A7E2"/>
    <w:rsid w:val="58FDD02B"/>
    <w:rsid w:val="5918867E"/>
    <w:rsid w:val="59270E6F"/>
    <w:rsid w:val="592ED6ED"/>
    <w:rsid w:val="59632F0C"/>
    <w:rsid w:val="59829E7D"/>
    <w:rsid w:val="5A34169A"/>
    <w:rsid w:val="5A861AC0"/>
    <w:rsid w:val="5B2049B3"/>
    <w:rsid w:val="5B264A1D"/>
    <w:rsid w:val="5B38006F"/>
    <w:rsid w:val="5B5ABB61"/>
    <w:rsid w:val="5B6DCAA6"/>
    <w:rsid w:val="5BD0CDEE"/>
    <w:rsid w:val="5C8424E9"/>
    <w:rsid w:val="5C98392D"/>
    <w:rsid w:val="5C9EBA0E"/>
    <w:rsid w:val="5CAA20AD"/>
    <w:rsid w:val="5CF1EB47"/>
    <w:rsid w:val="5D422E1A"/>
    <w:rsid w:val="5D94BC64"/>
    <w:rsid w:val="5DA2FE77"/>
    <w:rsid w:val="5E275D2D"/>
    <w:rsid w:val="5E41726F"/>
    <w:rsid w:val="5E55AE55"/>
    <w:rsid w:val="5E5C2C2B"/>
    <w:rsid w:val="5E62A49F"/>
    <w:rsid w:val="5E9A7270"/>
    <w:rsid w:val="5EB2FD2D"/>
    <w:rsid w:val="5EBC91E2"/>
    <w:rsid w:val="5F00A8CE"/>
    <w:rsid w:val="5F0D1A44"/>
    <w:rsid w:val="5F1E51E4"/>
    <w:rsid w:val="5F6C8B31"/>
    <w:rsid w:val="5F70A35C"/>
    <w:rsid w:val="5F822402"/>
    <w:rsid w:val="5F8588D3"/>
    <w:rsid w:val="5FBB48C2"/>
    <w:rsid w:val="5FD93983"/>
    <w:rsid w:val="604B3CEE"/>
    <w:rsid w:val="605BDDAF"/>
    <w:rsid w:val="608A8B75"/>
    <w:rsid w:val="6097B43D"/>
    <w:rsid w:val="60D9F417"/>
    <w:rsid w:val="60EF307F"/>
    <w:rsid w:val="61194E06"/>
    <w:rsid w:val="6156AE47"/>
    <w:rsid w:val="619C35FA"/>
    <w:rsid w:val="61C31C9E"/>
    <w:rsid w:val="61E63EA8"/>
    <w:rsid w:val="62AF6727"/>
    <w:rsid w:val="62CE03FC"/>
    <w:rsid w:val="62DBB8EB"/>
    <w:rsid w:val="63034BBD"/>
    <w:rsid w:val="6331ECD2"/>
    <w:rsid w:val="63577F64"/>
    <w:rsid w:val="63655CB7"/>
    <w:rsid w:val="63812F2C"/>
    <w:rsid w:val="63854844"/>
    <w:rsid w:val="639F261B"/>
    <w:rsid w:val="63B0774C"/>
    <w:rsid w:val="6413CDC5"/>
    <w:rsid w:val="641EE0AE"/>
    <w:rsid w:val="642E4E08"/>
    <w:rsid w:val="643009E0"/>
    <w:rsid w:val="64486B35"/>
    <w:rsid w:val="64559450"/>
    <w:rsid w:val="64E733C1"/>
    <w:rsid w:val="64F31E32"/>
    <w:rsid w:val="650ED4BC"/>
    <w:rsid w:val="655C5B14"/>
    <w:rsid w:val="65B33BAB"/>
    <w:rsid w:val="65C71D2D"/>
    <w:rsid w:val="65E66B28"/>
    <w:rsid w:val="65F3A7F2"/>
    <w:rsid w:val="663025A0"/>
    <w:rsid w:val="665866A7"/>
    <w:rsid w:val="66AED15E"/>
    <w:rsid w:val="67113DB3"/>
    <w:rsid w:val="671FC375"/>
    <w:rsid w:val="6725F521"/>
    <w:rsid w:val="6726D547"/>
    <w:rsid w:val="672DCA0F"/>
    <w:rsid w:val="682C36D2"/>
    <w:rsid w:val="6851465A"/>
    <w:rsid w:val="6860E2B7"/>
    <w:rsid w:val="686B338A"/>
    <w:rsid w:val="68A6AD3F"/>
    <w:rsid w:val="68E46465"/>
    <w:rsid w:val="68E69B24"/>
    <w:rsid w:val="6923EF3B"/>
    <w:rsid w:val="693061CB"/>
    <w:rsid w:val="69370DDD"/>
    <w:rsid w:val="6980246A"/>
    <w:rsid w:val="69CE0ECC"/>
    <w:rsid w:val="69EC7012"/>
    <w:rsid w:val="6A1525AE"/>
    <w:rsid w:val="6A2F630B"/>
    <w:rsid w:val="6A728197"/>
    <w:rsid w:val="6AB64F76"/>
    <w:rsid w:val="6B40BFA1"/>
    <w:rsid w:val="6B6B939D"/>
    <w:rsid w:val="6B6C9E5B"/>
    <w:rsid w:val="6B924777"/>
    <w:rsid w:val="6B9B0520"/>
    <w:rsid w:val="6C00E631"/>
    <w:rsid w:val="6C33A147"/>
    <w:rsid w:val="6C7104FE"/>
    <w:rsid w:val="6C999492"/>
    <w:rsid w:val="6D32D956"/>
    <w:rsid w:val="6DD89409"/>
    <w:rsid w:val="6E2F627B"/>
    <w:rsid w:val="6E6273DA"/>
    <w:rsid w:val="6E8E8748"/>
    <w:rsid w:val="6EA869EC"/>
    <w:rsid w:val="6F24A714"/>
    <w:rsid w:val="6F370D3C"/>
    <w:rsid w:val="6F8A0F06"/>
    <w:rsid w:val="6F8A906F"/>
    <w:rsid w:val="6F8F6C79"/>
    <w:rsid w:val="6FC2CB8E"/>
    <w:rsid w:val="70079503"/>
    <w:rsid w:val="701DBDD7"/>
    <w:rsid w:val="70324D51"/>
    <w:rsid w:val="70411008"/>
    <w:rsid w:val="70CD3294"/>
    <w:rsid w:val="70D0B5E2"/>
    <w:rsid w:val="70D7823F"/>
    <w:rsid w:val="70FA2FF8"/>
    <w:rsid w:val="713EC598"/>
    <w:rsid w:val="714AC699"/>
    <w:rsid w:val="714CC6A0"/>
    <w:rsid w:val="715D66C0"/>
    <w:rsid w:val="717492FB"/>
    <w:rsid w:val="71B986EB"/>
    <w:rsid w:val="71CDEA9B"/>
    <w:rsid w:val="71EC0062"/>
    <w:rsid w:val="7219D2B6"/>
    <w:rsid w:val="723C35AA"/>
    <w:rsid w:val="72698D6D"/>
    <w:rsid w:val="729EB8BB"/>
    <w:rsid w:val="72A6A66F"/>
    <w:rsid w:val="72BAE236"/>
    <w:rsid w:val="72CC2368"/>
    <w:rsid w:val="734B97D2"/>
    <w:rsid w:val="73645EE7"/>
    <w:rsid w:val="73F41742"/>
    <w:rsid w:val="73FCE0F0"/>
    <w:rsid w:val="740582E5"/>
    <w:rsid w:val="741DBD62"/>
    <w:rsid w:val="74389F51"/>
    <w:rsid w:val="744A5878"/>
    <w:rsid w:val="74520B98"/>
    <w:rsid w:val="745EB3F2"/>
    <w:rsid w:val="7491D318"/>
    <w:rsid w:val="74AB7F64"/>
    <w:rsid w:val="74CC211E"/>
    <w:rsid w:val="74DDD5AF"/>
    <w:rsid w:val="759F042D"/>
    <w:rsid w:val="75AD39DA"/>
    <w:rsid w:val="75F8BC99"/>
    <w:rsid w:val="769B3149"/>
    <w:rsid w:val="77B198FE"/>
    <w:rsid w:val="77D1EC50"/>
    <w:rsid w:val="77E6C2FC"/>
    <w:rsid w:val="7803E52E"/>
    <w:rsid w:val="789552BF"/>
    <w:rsid w:val="78A3C178"/>
    <w:rsid w:val="79197918"/>
    <w:rsid w:val="7948E1D4"/>
    <w:rsid w:val="79CAA2F4"/>
    <w:rsid w:val="79E76F8D"/>
    <w:rsid w:val="79EA47EB"/>
    <w:rsid w:val="7A20E512"/>
    <w:rsid w:val="7A51D1D5"/>
    <w:rsid w:val="7AB5BB71"/>
    <w:rsid w:val="7AC4E2C3"/>
    <w:rsid w:val="7AD00399"/>
    <w:rsid w:val="7B31F5B5"/>
    <w:rsid w:val="7B751A65"/>
    <w:rsid w:val="7B963B01"/>
    <w:rsid w:val="7BB8BE5F"/>
    <w:rsid w:val="7BEBFC8F"/>
    <w:rsid w:val="7C7519C1"/>
    <w:rsid w:val="7C853AC4"/>
    <w:rsid w:val="7C95CEEA"/>
    <w:rsid w:val="7D2CEF7F"/>
    <w:rsid w:val="7D66F39F"/>
    <w:rsid w:val="7D763AB3"/>
    <w:rsid w:val="7DA13871"/>
    <w:rsid w:val="7DBA01EF"/>
    <w:rsid w:val="7DBC9343"/>
    <w:rsid w:val="7DD07BC3"/>
    <w:rsid w:val="7E0060D5"/>
    <w:rsid w:val="7E24396F"/>
    <w:rsid w:val="7E349F19"/>
    <w:rsid w:val="7EF7D759"/>
    <w:rsid w:val="7F1F4749"/>
    <w:rsid w:val="7F4FD9A9"/>
    <w:rsid w:val="7F9191D0"/>
    <w:rsid w:val="7FA46226"/>
    <w:rsid w:val="7FE983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96747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uiPriority="99" w:qFormat="1"/>
    <w:lsdException w:name="Default Paragraph Font" w:uiPriority="1"/>
    <w:lsdException w:name="Subtitle" w:qFormat="1"/>
    <w:lsdException w:name="Strong" w:qFormat="1"/>
    <w:lsdException w:name="Emphasis" w:uiPriority="20"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4E76"/>
    <w:pPr>
      <w:spacing w:after="240"/>
    </w:pPr>
    <w:rPr>
      <w:rFonts w:ascii="Arial" w:hAnsi="Arial"/>
      <w:sz w:val="24"/>
      <w:szCs w:val="24"/>
    </w:rPr>
  </w:style>
  <w:style w:type="paragraph" w:styleId="Heading1">
    <w:name w:val="heading 1"/>
    <w:basedOn w:val="Normal"/>
    <w:next w:val="Normal"/>
    <w:link w:val="Heading1Char"/>
    <w:qFormat/>
    <w:rsid w:val="006246EE"/>
    <w:pPr>
      <w:keepNext/>
      <w:spacing w:before="240" w:after="60"/>
      <w:outlineLvl w:val="0"/>
    </w:pPr>
    <w:rPr>
      <w:b/>
      <w:bCs/>
      <w:kern w:val="32"/>
      <w:sz w:val="40"/>
      <w:szCs w:val="32"/>
    </w:rPr>
  </w:style>
  <w:style w:type="paragraph" w:styleId="Heading2">
    <w:name w:val="heading 2"/>
    <w:basedOn w:val="Normal"/>
    <w:next w:val="Normal"/>
    <w:link w:val="Heading2Char"/>
    <w:unhideWhenUsed/>
    <w:qFormat/>
    <w:rsid w:val="006246EE"/>
    <w:pPr>
      <w:keepNext/>
      <w:spacing w:before="240"/>
      <w:outlineLvl w:val="1"/>
    </w:pPr>
    <w:rPr>
      <w:b/>
      <w:bCs/>
      <w:iCs/>
      <w:sz w:val="36"/>
      <w:szCs w:val="28"/>
    </w:rPr>
  </w:style>
  <w:style w:type="paragraph" w:styleId="Heading3">
    <w:name w:val="heading 3"/>
    <w:basedOn w:val="Normal"/>
    <w:next w:val="Normal"/>
    <w:autoRedefine/>
    <w:qFormat/>
    <w:rsid w:val="00F30C2B"/>
    <w:pPr>
      <w:keepNext/>
      <w:outlineLvl w:val="2"/>
    </w:pPr>
    <w:rPr>
      <w:b/>
      <w:sz w:val="28"/>
      <w:szCs w:val="36"/>
    </w:rPr>
  </w:style>
  <w:style w:type="paragraph" w:styleId="Heading4">
    <w:name w:val="heading 4"/>
    <w:basedOn w:val="Normal"/>
    <w:next w:val="Normal"/>
    <w:link w:val="Heading4Char"/>
    <w:autoRedefine/>
    <w:unhideWhenUsed/>
    <w:qFormat/>
    <w:rsid w:val="00A34E76"/>
    <w:pPr>
      <w:keepNext/>
      <w:keepLines/>
      <w:spacing w:before="240"/>
      <w:outlineLvl w:val="3"/>
    </w:pPr>
    <w:rPr>
      <w:rFonts w:eastAsiaTheme="majorEastAsia" w:cstheme="majorBidi"/>
      <w:b/>
      <w:iCs/>
      <w:sz w:val="28"/>
    </w:rPr>
  </w:style>
  <w:style w:type="paragraph" w:styleId="Heading6">
    <w:name w:val="heading 6"/>
    <w:basedOn w:val="Normal"/>
    <w:next w:val="Normal"/>
    <w:link w:val="Heading6Char"/>
    <w:unhideWhenUsed/>
    <w:qFormat/>
    <w:rsid w:val="00B32E52"/>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rFonts w:ascii="Times New Roman" w:hAnsi="Times New Roman"/>
      <w:szCs w:val="20"/>
    </w:rPr>
  </w:style>
  <w:style w:type="paragraph" w:styleId="BalloonText">
    <w:name w:val="Balloon Text"/>
    <w:basedOn w:val="Normal"/>
    <w:semiHidden/>
    <w:rPr>
      <w:rFonts w:ascii="Tahoma" w:hAnsi="Tahoma" w:cs="Tahoma"/>
      <w:sz w:val="16"/>
      <w:szCs w:val="16"/>
    </w:rPr>
  </w:style>
  <w:style w:type="paragraph" w:styleId="Footer">
    <w:name w:val="footer"/>
    <w:basedOn w:val="Normal"/>
    <w:rsid w:val="00E869B9"/>
    <w:pPr>
      <w:tabs>
        <w:tab w:val="center" w:pos="4320"/>
        <w:tab w:val="right" w:pos="8640"/>
      </w:tabs>
    </w:pPr>
  </w:style>
  <w:style w:type="table" w:styleId="TableGrid">
    <w:name w:val="Table Grid"/>
    <w:basedOn w:val="TableNormal"/>
    <w:rsid w:val="00DA22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E5348"/>
    <w:pPr>
      <w:ind w:left="720"/>
    </w:pPr>
  </w:style>
  <w:style w:type="character" w:customStyle="1" w:styleId="HeaderChar">
    <w:name w:val="Header Char"/>
    <w:link w:val="Header"/>
    <w:uiPriority w:val="99"/>
    <w:rsid w:val="00335A51"/>
    <w:rPr>
      <w:sz w:val="24"/>
    </w:rPr>
  </w:style>
  <w:style w:type="character" w:styleId="Hyperlink">
    <w:name w:val="Hyperlink"/>
    <w:rsid w:val="00F97DDE"/>
    <w:rPr>
      <w:color w:val="0563C1"/>
      <w:u w:val="single"/>
    </w:rPr>
  </w:style>
  <w:style w:type="character" w:styleId="FollowedHyperlink">
    <w:name w:val="FollowedHyperlink"/>
    <w:rsid w:val="00777158"/>
    <w:rPr>
      <w:color w:val="954F72"/>
      <w:u w:val="single"/>
    </w:rPr>
  </w:style>
  <w:style w:type="paragraph" w:customStyle="1" w:styleId="Default">
    <w:name w:val="Default"/>
    <w:basedOn w:val="Normal"/>
    <w:rsid w:val="00154F17"/>
    <w:pPr>
      <w:autoSpaceDE w:val="0"/>
      <w:autoSpaceDN w:val="0"/>
    </w:pPr>
    <w:rPr>
      <w:rFonts w:eastAsia="Calibri" w:cs="Arial"/>
      <w:color w:val="000000"/>
    </w:rPr>
  </w:style>
  <w:style w:type="character" w:customStyle="1" w:styleId="Heading1Char">
    <w:name w:val="Heading 1 Char"/>
    <w:link w:val="Heading1"/>
    <w:rsid w:val="006246EE"/>
    <w:rPr>
      <w:rFonts w:ascii="Arial" w:hAnsi="Arial"/>
      <w:b/>
      <w:bCs/>
      <w:kern w:val="32"/>
      <w:sz w:val="40"/>
      <w:szCs w:val="32"/>
    </w:rPr>
  </w:style>
  <w:style w:type="character" w:customStyle="1" w:styleId="Heading2Char">
    <w:name w:val="Heading 2 Char"/>
    <w:link w:val="Heading2"/>
    <w:rsid w:val="006246EE"/>
    <w:rPr>
      <w:rFonts w:ascii="Arial" w:hAnsi="Arial"/>
      <w:b/>
      <w:bCs/>
      <w:iCs/>
      <w:sz w:val="36"/>
      <w:szCs w:val="28"/>
    </w:rPr>
  </w:style>
  <w:style w:type="character" w:styleId="CommentReference">
    <w:name w:val="annotation reference"/>
    <w:basedOn w:val="DefaultParagraphFont"/>
    <w:uiPriority w:val="99"/>
    <w:rsid w:val="00206838"/>
    <w:rPr>
      <w:sz w:val="16"/>
      <w:szCs w:val="16"/>
    </w:rPr>
  </w:style>
  <w:style w:type="paragraph" w:styleId="CommentText">
    <w:name w:val="annotation text"/>
    <w:basedOn w:val="Normal"/>
    <w:link w:val="CommentTextChar"/>
    <w:uiPriority w:val="99"/>
    <w:rsid w:val="00206838"/>
    <w:rPr>
      <w:sz w:val="20"/>
      <w:szCs w:val="20"/>
    </w:rPr>
  </w:style>
  <w:style w:type="character" w:customStyle="1" w:styleId="CommentTextChar">
    <w:name w:val="Comment Text Char"/>
    <w:basedOn w:val="DefaultParagraphFont"/>
    <w:link w:val="CommentText"/>
    <w:uiPriority w:val="99"/>
    <w:rsid w:val="00206838"/>
    <w:rPr>
      <w:rFonts w:ascii="Arial" w:hAnsi="Arial"/>
    </w:rPr>
  </w:style>
  <w:style w:type="paragraph" w:styleId="CommentSubject">
    <w:name w:val="annotation subject"/>
    <w:basedOn w:val="CommentText"/>
    <w:next w:val="CommentText"/>
    <w:link w:val="CommentSubjectChar"/>
    <w:rsid w:val="00206838"/>
    <w:rPr>
      <w:b/>
      <w:bCs/>
    </w:rPr>
  </w:style>
  <w:style w:type="character" w:customStyle="1" w:styleId="CommentSubjectChar">
    <w:name w:val="Comment Subject Char"/>
    <w:basedOn w:val="CommentTextChar"/>
    <w:link w:val="CommentSubject"/>
    <w:rsid w:val="00206838"/>
    <w:rPr>
      <w:rFonts w:ascii="Arial" w:hAnsi="Arial"/>
      <w:b/>
      <w:bCs/>
    </w:rPr>
  </w:style>
  <w:style w:type="character" w:customStyle="1" w:styleId="Heading6Char">
    <w:name w:val="Heading 6 Char"/>
    <w:basedOn w:val="DefaultParagraphFont"/>
    <w:link w:val="Heading6"/>
    <w:rsid w:val="00B32E52"/>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B275CD"/>
    <w:pPr>
      <w:spacing w:before="100" w:beforeAutospacing="1" w:after="150"/>
    </w:pPr>
    <w:rPr>
      <w:rFonts w:ascii="Times New Roman" w:hAnsi="Times New Roman"/>
    </w:rPr>
  </w:style>
  <w:style w:type="character" w:styleId="Emphasis">
    <w:name w:val="Emphasis"/>
    <w:basedOn w:val="DefaultParagraphFont"/>
    <w:uiPriority w:val="20"/>
    <w:qFormat/>
    <w:rsid w:val="00BC0733"/>
    <w:rPr>
      <w:i/>
      <w:iCs/>
    </w:rPr>
  </w:style>
  <w:style w:type="paragraph" w:customStyle="1" w:styleId="StyleHeading2Arial18ptNotItalic">
    <w:name w:val="Style Heading 2 + Arial 18 pt Not Italic"/>
    <w:basedOn w:val="Heading2"/>
    <w:autoRedefine/>
    <w:rsid w:val="006246EE"/>
    <w:rPr>
      <w:i/>
      <w:iCs w:val="0"/>
    </w:rPr>
  </w:style>
  <w:style w:type="character" w:customStyle="1" w:styleId="Heading4Char">
    <w:name w:val="Heading 4 Char"/>
    <w:basedOn w:val="DefaultParagraphFont"/>
    <w:link w:val="Heading4"/>
    <w:rsid w:val="00A34E76"/>
    <w:rPr>
      <w:rFonts w:ascii="Arial" w:eastAsiaTheme="majorEastAsia" w:hAnsi="Arial" w:cstheme="majorBidi"/>
      <w:b/>
      <w:iCs/>
      <w:sz w:val="28"/>
      <w:szCs w:val="24"/>
    </w:rPr>
  </w:style>
  <w:style w:type="paragraph" w:customStyle="1" w:styleId="StyleHeading2ArialNotItalic">
    <w:name w:val="Style Heading 2 + Arial Not Italic"/>
    <w:basedOn w:val="Heading2"/>
    <w:autoRedefine/>
    <w:rsid w:val="00A34E76"/>
    <w:rPr>
      <w:i/>
      <w:iCs w:val="0"/>
    </w:rPr>
  </w:style>
  <w:style w:type="paragraph" w:styleId="Revision">
    <w:name w:val="Revision"/>
    <w:hidden/>
    <w:uiPriority w:val="99"/>
    <w:semiHidden/>
    <w:rsid w:val="007D4688"/>
    <w:rPr>
      <w:rFonts w:ascii="Arial" w:hAnsi="Arial"/>
      <w:sz w:val="24"/>
      <w:szCs w:val="24"/>
    </w:rPr>
  </w:style>
  <w:style w:type="character" w:styleId="UnresolvedMention">
    <w:name w:val="Unresolved Mention"/>
    <w:basedOn w:val="DefaultParagraphFont"/>
    <w:uiPriority w:val="99"/>
    <w:semiHidden/>
    <w:unhideWhenUsed/>
    <w:rsid w:val="00C5541C"/>
    <w:rPr>
      <w:color w:val="605E5C"/>
      <w:shd w:val="clear" w:color="auto" w:fill="E1DFDD"/>
    </w:rPr>
  </w:style>
  <w:style w:type="paragraph" w:styleId="Title">
    <w:name w:val="Title"/>
    <w:basedOn w:val="Normal"/>
    <w:link w:val="TitleChar"/>
    <w:uiPriority w:val="99"/>
    <w:qFormat/>
    <w:rsid w:val="00C5541C"/>
    <w:pPr>
      <w:autoSpaceDE w:val="0"/>
      <w:autoSpaceDN w:val="0"/>
      <w:adjustRightInd w:val="0"/>
      <w:spacing w:after="0"/>
      <w:jc w:val="center"/>
    </w:pPr>
    <w:rPr>
      <w:rFonts w:cs="Arial"/>
      <w:b/>
      <w:bCs/>
      <w:sz w:val="32"/>
      <w:szCs w:val="29"/>
    </w:rPr>
  </w:style>
  <w:style w:type="character" w:customStyle="1" w:styleId="TitleChar">
    <w:name w:val="Title Char"/>
    <w:basedOn w:val="DefaultParagraphFont"/>
    <w:link w:val="Title"/>
    <w:uiPriority w:val="99"/>
    <w:rsid w:val="00C5541C"/>
    <w:rPr>
      <w:rFonts w:ascii="Arial" w:hAnsi="Arial" w:cs="Arial"/>
      <w:b/>
      <w:bCs/>
      <w:sz w:val="32"/>
      <w:szCs w:val="29"/>
    </w:rPr>
  </w:style>
  <w:style w:type="character" w:styleId="Mention">
    <w:name w:val="Mention"/>
    <w:basedOn w:val="DefaultParagraphFont"/>
    <w:uiPriority w:val="99"/>
    <w:unhideWhenUsed/>
    <w:rsid w:val="0094698B"/>
    <w:rPr>
      <w:color w:val="2B579A"/>
      <w:shd w:val="clear" w:color="auto" w:fill="E1DFDD"/>
    </w:rPr>
  </w:style>
  <w:style w:type="paragraph" w:styleId="FootnoteText">
    <w:name w:val="footnote text"/>
    <w:basedOn w:val="Normal"/>
    <w:link w:val="FootnoteTextChar"/>
    <w:rsid w:val="004A2DEF"/>
    <w:pPr>
      <w:spacing w:after="0"/>
    </w:pPr>
    <w:rPr>
      <w:sz w:val="20"/>
      <w:szCs w:val="20"/>
    </w:rPr>
  </w:style>
  <w:style w:type="character" w:customStyle="1" w:styleId="FootnoteTextChar">
    <w:name w:val="Footnote Text Char"/>
    <w:basedOn w:val="DefaultParagraphFont"/>
    <w:link w:val="FootnoteText"/>
    <w:rsid w:val="004A2DEF"/>
    <w:rPr>
      <w:rFonts w:ascii="Arial" w:hAnsi="Arial"/>
    </w:rPr>
  </w:style>
  <w:style w:type="character" w:styleId="FootnoteReference">
    <w:name w:val="footnote reference"/>
    <w:basedOn w:val="DefaultParagraphFont"/>
    <w:rsid w:val="004A2DEF"/>
    <w:rPr>
      <w:vertAlign w:val="superscript"/>
    </w:rPr>
  </w:style>
  <w:style w:type="paragraph" w:styleId="EndnoteText">
    <w:name w:val="endnote text"/>
    <w:basedOn w:val="Normal"/>
    <w:link w:val="EndnoteTextChar"/>
    <w:rsid w:val="00B132E5"/>
    <w:pPr>
      <w:spacing w:after="0"/>
    </w:pPr>
    <w:rPr>
      <w:sz w:val="20"/>
      <w:szCs w:val="20"/>
    </w:rPr>
  </w:style>
  <w:style w:type="character" w:customStyle="1" w:styleId="EndnoteTextChar">
    <w:name w:val="Endnote Text Char"/>
    <w:basedOn w:val="DefaultParagraphFont"/>
    <w:link w:val="EndnoteText"/>
    <w:rsid w:val="00B132E5"/>
    <w:rPr>
      <w:rFonts w:ascii="Arial" w:hAnsi="Arial"/>
    </w:rPr>
  </w:style>
  <w:style w:type="character" w:styleId="EndnoteReference">
    <w:name w:val="endnote reference"/>
    <w:basedOn w:val="DefaultParagraphFont"/>
    <w:rsid w:val="00B132E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94117">
      <w:bodyDiv w:val="1"/>
      <w:marLeft w:val="0"/>
      <w:marRight w:val="0"/>
      <w:marTop w:val="0"/>
      <w:marBottom w:val="0"/>
      <w:divBdr>
        <w:top w:val="single" w:sz="12" w:space="0" w:color="767575"/>
        <w:left w:val="none" w:sz="0" w:space="0" w:color="auto"/>
        <w:bottom w:val="none" w:sz="0" w:space="0" w:color="auto"/>
        <w:right w:val="none" w:sz="0" w:space="0" w:color="auto"/>
      </w:divBdr>
      <w:divsChild>
        <w:div w:id="1022903244">
          <w:marLeft w:val="0"/>
          <w:marRight w:val="0"/>
          <w:marTop w:val="0"/>
          <w:marBottom w:val="0"/>
          <w:divBdr>
            <w:top w:val="none" w:sz="0" w:space="0" w:color="auto"/>
            <w:left w:val="none" w:sz="0" w:space="0" w:color="auto"/>
            <w:bottom w:val="none" w:sz="0" w:space="0" w:color="auto"/>
            <w:right w:val="none" w:sz="0" w:space="0" w:color="auto"/>
          </w:divBdr>
          <w:divsChild>
            <w:div w:id="1935090702">
              <w:marLeft w:val="0"/>
              <w:marRight w:val="0"/>
              <w:marTop w:val="0"/>
              <w:marBottom w:val="0"/>
              <w:divBdr>
                <w:top w:val="none" w:sz="0" w:space="0" w:color="auto"/>
                <w:left w:val="none" w:sz="0" w:space="0" w:color="auto"/>
                <w:bottom w:val="none" w:sz="0" w:space="0" w:color="auto"/>
                <w:right w:val="none" w:sz="0" w:space="0" w:color="auto"/>
              </w:divBdr>
              <w:divsChild>
                <w:div w:id="1912537992">
                  <w:marLeft w:val="300"/>
                  <w:marRight w:val="300"/>
                  <w:marTop w:val="75"/>
                  <w:marBottom w:val="0"/>
                  <w:divBdr>
                    <w:top w:val="single" w:sz="6" w:space="0" w:color="888888"/>
                    <w:left w:val="single" w:sz="6" w:space="26" w:color="888888"/>
                    <w:bottom w:val="single" w:sz="6" w:space="0" w:color="888888"/>
                    <w:right w:val="single" w:sz="6" w:space="26" w:color="888888"/>
                  </w:divBdr>
                  <w:divsChild>
                    <w:div w:id="970747007">
                      <w:marLeft w:val="300"/>
                      <w:marRight w:val="0"/>
                      <w:marTop w:val="0"/>
                      <w:marBottom w:val="0"/>
                      <w:divBdr>
                        <w:top w:val="none" w:sz="0" w:space="0" w:color="auto"/>
                        <w:left w:val="none" w:sz="0" w:space="0" w:color="auto"/>
                        <w:bottom w:val="none" w:sz="0" w:space="0" w:color="auto"/>
                        <w:right w:val="none" w:sz="0" w:space="0" w:color="auto"/>
                      </w:divBdr>
                      <w:divsChild>
                        <w:div w:id="1285577082">
                          <w:marLeft w:val="0"/>
                          <w:marRight w:val="0"/>
                          <w:marTop w:val="0"/>
                          <w:marBottom w:val="0"/>
                          <w:divBdr>
                            <w:top w:val="none" w:sz="0" w:space="0" w:color="auto"/>
                            <w:left w:val="none" w:sz="0" w:space="0" w:color="auto"/>
                            <w:bottom w:val="none" w:sz="0" w:space="0" w:color="auto"/>
                            <w:right w:val="none" w:sz="0" w:space="0" w:color="auto"/>
                          </w:divBdr>
                          <w:divsChild>
                            <w:div w:id="1843885039">
                              <w:marLeft w:val="0"/>
                              <w:marRight w:val="0"/>
                              <w:marTop w:val="0"/>
                              <w:marBottom w:val="0"/>
                              <w:divBdr>
                                <w:top w:val="none" w:sz="0" w:space="0" w:color="auto"/>
                                <w:left w:val="none" w:sz="0" w:space="0" w:color="auto"/>
                                <w:bottom w:val="none" w:sz="0" w:space="0" w:color="auto"/>
                                <w:right w:val="none" w:sz="0" w:space="0" w:color="auto"/>
                              </w:divBdr>
                              <w:divsChild>
                                <w:div w:id="1613441713">
                                  <w:marLeft w:val="0"/>
                                  <w:marRight w:val="0"/>
                                  <w:marTop w:val="0"/>
                                  <w:marBottom w:val="0"/>
                                  <w:divBdr>
                                    <w:top w:val="none" w:sz="0" w:space="0" w:color="auto"/>
                                    <w:left w:val="none" w:sz="0" w:space="0" w:color="auto"/>
                                    <w:bottom w:val="none" w:sz="0" w:space="0" w:color="auto"/>
                                    <w:right w:val="none" w:sz="0" w:space="0" w:color="auto"/>
                                  </w:divBdr>
                                  <w:divsChild>
                                    <w:div w:id="1542936141">
                                      <w:marLeft w:val="0"/>
                                      <w:marRight w:val="0"/>
                                      <w:marTop w:val="0"/>
                                      <w:marBottom w:val="0"/>
                                      <w:divBdr>
                                        <w:top w:val="none" w:sz="0" w:space="0" w:color="auto"/>
                                        <w:left w:val="none" w:sz="0" w:space="0" w:color="auto"/>
                                        <w:bottom w:val="none" w:sz="0" w:space="0" w:color="auto"/>
                                        <w:right w:val="none" w:sz="0" w:space="0" w:color="auto"/>
                                      </w:divBdr>
                                      <w:divsChild>
                                        <w:div w:id="1875775501">
                                          <w:marLeft w:val="0"/>
                                          <w:marRight w:val="0"/>
                                          <w:marTop w:val="0"/>
                                          <w:marBottom w:val="0"/>
                                          <w:divBdr>
                                            <w:top w:val="none" w:sz="0" w:space="0" w:color="auto"/>
                                            <w:left w:val="none" w:sz="0" w:space="0" w:color="auto"/>
                                            <w:bottom w:val="none" w:sz="0" w:space="0" w:color="auto"/>
                                            <w:right w:val="none" w:sz="0" w:space="0" w:color="auto"/>
                                          </w:divBdr>
                                          <w:divsChild>
                                            <w:div w:id="1083719020">
                                              <w:marLeft w:val="0"/>
                                              <w:marRight w:val="0"/>
                                              <w:marTop w:val="0"/>
                                              <w:marBottom w:val="0"/>
                                              <w:divBdr>
                                                <w:top w:val="none" w:sz="0" w:space="0" w:color="auto"/>
                                                <w:left w:val="none" w:sz="0" w:space="0" w:color="auto"/>
                                                <w:bottom w:val="none" w:sz="0" w:space="0" w:color="auto"/>
                                                <w:right w:val="none" w:sz="0" w:space="0" w:color="auto"/>
                                              </w:divBdr>
                                              <w:divsChild>
                                                <w:div w:id="61132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959335">
      <w:bodyDiv w:val="1"/>
      <w:marLeft w:val="0"/>
      <w:marRight w:val="0"/>
      <w:marTop w:val="0"/>
      <w:marBottom w:val="0"/>
      <w:divBdr>
        <w:top w:val="none" w:sz="0" w:space="0" w:color="auto"/>
        <w:left w:val="none" w:sz="0" w:space="0" w:color="auto"/>
        <w:bottom w:val="none" w:sz="0" w:space="0" w:color="auto"/>
        <w:right w:val="none" w:sz="0" w:space="0" w:color="auto"/>
      </w:divBdr>
    </w:div>
    <w:div w:id="139616473">
      <w:bodyDiv w:val="1"/>
      <w:marLeft w:val="0"/>
      <w:marRight w:val="0"/>
      <w:marTop w:val="0"/>
      <w:marBottom w:val="0"/>
      <w:divBdr>
        <w:top w:val="none" w:sz="0" w:space="0" w:color="auto"/>
        <w:left w:val="none" w:sz="0" w:space="0" w:color="auto"/>
        <w:bottom w:val="none" w:sz="0" w:space="0" w:color="auto"/>
        <w:right w:val="none" w:sz="0" w:space="0" w:color="auto"/>
      </w:divBdr>
    </w:div>
    <w:div w:id="203520809">
      <w:bodyDiv w:val="1"/>
      <w:marLeft w:val="0"/>
      <w:marRight w:val="0"/>
      <w:marTop w:val="0"/>
      <w:marBottom w:val="0"/>
      <w:divBdr>
        <w:top w:val="single" w:sz="12" w:space="0" w:color="767575"/>
        <w:left w:val="none" w:sz="0" w:space="0" w:color="auto"/>
        <w:bottom w:val="none" w:sz="0" w:space="0" w:color="auto"/>
        <w:right w:val="none" w:sz="0" w:space="0" w:color="auto"/>
      </w:divBdr>
      <w:divsChild>
        <w:div w:id="1028723890">
          <w:marLeft w:val="0"/>
          <w:marRight w:val="0"/>
          <w:marTop w:val="0"/>
          <w:marBottom w:val="0"/>
          <w:divBdr>
            <w:top w:val="none" w:sz="0" w:space="0" w:color="auto"/>
            <w:left w:val="none" w:sz="0" w:space="0" w:color="auto"/>
            <w:bottom w:val="none" w:sz="0" w:space="0" w:color="auto"/>
            <w:right w:val="none" w:sz="0" w:space="0" w:color="auto"/>
          </w:divBdr>
          <w:divsChild>
            <w:div w:id="1788352438">
              <w:marLeft w:val="0"/>
              <w:marRight w:val="0"/>
              <w:marTop w:val="0"/>
              <w:marBottom w:val="0"/>
              <w:divBdr>
                <w:top w:val="none" w:sz="0" w:space="0" w:color="auto"/>
                <w:left w:val="none" w:sz="0" w:space="0" w:color="auto"/>
                <w:bottom w:val="none" w:sz="0" w:space="0" w:color="auto"/>
                <w:right w:val="none" w:sz="0" w:space="0" w:color="auto"/>
              </w:divBdr>
              <w:divsChild>
                <w:div w:id="393504514">
                  <w:marLeft w:val="300"/>
                  <w:marRight w:val="300"/>
                  <w:marTop w:val="75"/>
                  <w:marBottom w:val="0"/>
                  <w:divBdr>
                    <w:top w:val="single" w:sz="6" w:space="0" w:color="888888"/>
                    <w:left w:val="single" w:sz="6" w:space="26" w:color="888888"/>
                    <w:bottom w:val="single" w:sz="6" w:space="0" w:color="888888"/>
                    <w:right w:val="single" w:sz="6" w:space="26" w:color="888888"/>
                  </w:divBdr>
                  <w:divsChild>
                    <w:div w:id="1135640108">
                      <w:marLeft w:val="300"/>
                      <w:marRight w:val="0"/>
                      <w:marTop w:val="0"/>
                      <w:marBottom w:val="0"/>
                      <w:divBdr>
                        <w:top w:val="none" w:sz="0" w:space="0" w:color="auto"/>
                        <w:left w:val="none" w:sz="0" w:space="0" w:color="auto"/>
                        <w:bottom w:val="none" w:sz="0" w:space="0" w:color="auto"/>
                        <w:right w:val="none" w:sz="0" w:space="0" w:color="auto"/>
                      </w:divBdr>
                      <w:divsChild>
                        <w:div w:id="1817069188">
                          <w:marLeft w:val="0"/>
                          <w:marRight w:val="0"/>
                          <w:marTop w:val="0"/>
                          <w:marBottom w:val="0"/>
                          <w:divBdr>
                            <w:top w:val="none" w:sz="0" w:space="0" w:color="auto"/>
                            <w:left w:val="none" w:sz="0" w:space="0" w:color="auto"/>
                            <w:bottom w:val="none" w:sz="0" w:space="0" w:color="auto"/>
                            <w:right w:val="none" w:sz="0" w:space="0" w:color="auto"/>
                          </w:divBdr>
                          <w:divsChild>
                            <w:div w:id="1260871352">
                              <w:marLeft w:val="0"/>
                              <w:marRight w:val="0"/>
                              <w:marTop w:val="0"/>
                              <w:marBottom w:val="0"/>
                              <w:divBdr>
                                <w:top w:val="none" w:sz="0" w:space="0" w:color="auto"/>
                                <w:left w:val="none" w:sz="0" w:space="0" w:color="auto"/>
                                <w:bottom w:val="none" w:sz="0" w:space="0" w:color="auto"/>
                                <w:right w:val="none" w:sz="0" w:space="0" w:color="auto"/>
                              </w:divBdr>
                              <w:divsChild>
                                <w:div w:id="1800994971">
                                  <w:marLeft w:val="0"/>
                                  <w:marRight w:val="0"/>
                                  <w:marTop w:val="0"/>
                                  <w:marBottom w:val="0"/>
                                  <w:divBdr>
                                    <w:top w:val="none" w:sz="0" w:space="0" w:color="auto"/>
                                    <w:left w:val="none" w:sz="0" w:space="0" w:color="auto"/>
                                    <w:bottom w:val="none" w:sz="0" w:space="0" w:color="auto"/>
                                    <w:right w:val="none" w:sz="0" w:space="0" w:color="auto"/>
                                  </w:divBdr>
                                  <w:divsChild>
                                    <w:div w:id="1722710084">
                                      <w:marLeft w:val="0"/>
                                      <w:marRight w:val="0"/>
                                      <w:marTop w:val="0"/>
                                      <w:marBottom w:val="0"/>
                                      <w:divBdr>
                                        <w:top w:val="none" w:sz="0" w:space="0" w:color="auto"/>
                                        <w:left w:val="none" w:sz="0" w:space="0" w:color="auto"/>
                                        <w:bottom w:val="none" w:sz="0" w:space="0" w:color="auto"/>
                                        <w:right w:val="none" w:sz="0" w:space="0" w:color="auto"/>
                                      </w:divBdr>
                                      <w:divsChild>
                                        <w:div w:id="204293958">
                                          <w:marLeft w:val="0"/>
                                          <w:marRight w:val="0"/>
                                          <w:marTop w:val="0"/>
                                          <w:marBottom w:val="0"/>
                                          <w:divBdr>
                                            <w:top w:val="none" w:sz="0" w:space="0" w:color="auto"/>
                                            <w:left w:val="none" w:sz="0" w:space="0" w:color="auto"/>
                                            <w:bottom w:val="none" w:sz="0" w:space="0" w:color="auto"/>
                                            <w:right w:val="none" w:sz="0" w:space="0" w:color="auto"/>
                                          </w:divBdr>
                                          <w:divsChild>
                                            <w:div w:id="102813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9361727">
      <w:bodyDiv w:val="1"/>
      <w:marLeft w:val="0"/>
      <w:marRight w:val="0"/>
      <w:marTop w:val="0"/>
      <w:marBottom w:val="0"/>
      <w:divBdr>
        <w:top w:val="none" w:sz="0" w:space="0" w:color="auto"/>
        <w:left w:val="none" w:sz="0" w:space="0" w:color="auto"/>
        <w:bottom w:val="none" w:sz="0" w:space="0" w:color="auto"/>
        <w:right w:val="none" w:sz="0" w:space="0" w:color="auto"/>
      </w:divBdr>
      <w:divsChild>
        <w:div w:id="529222198">
          <w:marLeft w:val="0"/>
          <w:marRight w:val="0"/>
          <w:marTop w:val="0"/>
          <w:marBottom w:val="240"/>
          <w:divBdr>
            <w:top w:val="none" w:sz="0" w:space="0" w:color="auto"/>
            <w:left w:val="none" w:sz="0" w:space="0" w:color="auto"/>
            <w:bottom w:val="none" w:sz="0" w:space="0" w:color="auto"/>
            <w:right w:val="none" w:sz="0" w:space="0" w:color="auto"/>
          </w:divBdr>
        </w:div>
        <w:div w:id="1346401733">
          <w:marLeft w:val="0"/>
          <w:marRight w:val="0"/>
          <w:marTop w:val="0"/>
          <w:marBottom w:val="240"/>
          <w:divBdr>
            <w:top w:val="none" w:sz="0" w:space="0" w:color="auto"/>
            <w:left w:val="none" w:sz="0" w:space="0" w:color="auto"/>
            <w:bottom w:val="none" w:sz="0" w:space="0" w:color="auto"/>
            <w:right w:val="none" w:sz="0" w:space="0" w:color="auto"/>
          </w:divBdr>
        </w:div>
      </w:divsChild>
    </w:div>
    <w:div w:id="290982933">
      <w:bodyDiv w:val="1"/>
      <w:marLeft w:val="0"/>
      <w:marRight w:val="0"/>
      <w:marTop w:val="0"/>
      <w:marBottom w:val="0"/>
      <w:divBdr>
        <w:top w:val="none" w:sz="0" w:space="0" w:color="auto"/>
        <w:left w:val="none" w:sz="0" w:space="0" w:color="auto"/>
        <w:bottom w:val="none" w:sz="0" w:space="0" w:color="auto"/>
        <w:right w:val="none" w:sz="0" w:space="0" w:color="auto"/>
      </w:divBdr>
      <w:divsChild>
        <w:div w:id="87505301">
          <w:marLeft w:val="0"/>
          <w:marRight w:val="0"/>
          <w:marTop w:val="0"/>
          <w:marBottom w:val="0"/>
          <w:divBdr>
            <w:top w:val="none" w:sz="0" w:space="0" w:color="auto"/>
            <w:left w:val="none" w:sz="0" w:space="0" w:color="auto"/>
            <w:bottom w:val="none" w:sz="0" w:space="0" w:color="auto"/>
            <w:right w:val="none" w:sz="0" w:space="0" w:color="auto"/>
          </w:divBdr>
          <w:divsChild>
            <w:div w:id="1267691908">
              <w:marLeft w:val="0"/>
              <w:marRight w:val="0"/>
              <w:marTop w:val="0"/>
              <w:marBottom w:val="0"/>
              <w:divBdr>
                <w:top w:val="none" w:sz="0" w:space="0" w:color="auto"/>
                <w:left w:val="none" w:sz="0" w:space="0" w:color="auto"/>
                <w:bottom w:val="none" w:sz="0" w:space="0" w:color="auto"/>
                <w:right w:val="none" w:sz="0" w:space="0" w:color="auto"/>
              </w:divBdr>
              <w:divsChild>
                <w:div w:id="1225876475">
                  <w:marLeft w:val="-225"/>
                  <w:marRight w:val="-225"/>
                  <w:marTop w:val="0"/>
                  <w:marBottom w:val="0"/>
                  <w:divBdr>
                    <w:top w:val="none" w:sz="0" w:space="0" w:color="auto"/>
                    <w:left w:val="none" w:sz="0" w:space="0" w:color="auto"/>
                    <w:bottom w:val="none" w:sz="0" w:space="0" w:color="auto"/>
                    <w:right w:val="none" w:sz="0" w:space="0" w:color="auto"/>
                  </w:divBdr>
                  <w:divsChild>
                    <w:div w:id="101326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91461">
      <w:bodyDiv w:val="1"/>
      <w:marLeft w:val="0"/>
      <w:marRight w:val="0"/>
      <w:marTop w:val="0"/>
      <w:marBottom w:val="0"/>
      <w:divBdr>
        <w:top w:val="none" w:sz="0" w:space="0" w:color="auto"/>
        <w:left w:val="none" w:sz="0" w:space="0" w:color="auto"/>
        <w:bottom w:val="none" w:sz="0" w:space="0" w:color="auto"/>
        <w:right w:val="none" w:sz="0" w:space="0" w:color="auto"/>
      </w:divBdr>
      <w:divsChild>
        <w:div w:id="102767167">
          <w:marLeft w:val="0"/>
          <w:marRight w:val="0"/>
          <w:marTop w:val="0"/>
          <w:marBottom w:val="240"/>
          <w:divBdr>
            <w:top w:val="none" w:sz="0" w:space="0" w:color="auto"/>
            <w:left w:val="none" w:sz="0" w:space="0" w:color="auto"/>
            <w:bottom w:val="none" w:sz="0" w:space="0" w:color="auto"/>
            <w:right w:val="none" w:sz="0" w:space="0" w:color="auto"/>
          </w:divBdr>
        </w:div>
        <w:div w:id="299381236">
          <w:marLeft w:val="0"/>
          <w:marRight w:val="0"/>
          <w:marTop w:val="0"/>
          <w:marBottom w:val="240"/>
          <w:divBdr>
            <w:top w:val="none" w:sz="0" w:space="0" w:color="auto"/>
            <w:left w:val="none" w:sz="0" w:space="0" w:color="auto"/>
            <w:bottom w:val="none" w:sz="0" w:space="0" w:color="auto"/>
            <w:right w:val="none" w:sz="0" w:space="0" w:color="auto"/>
          </w:divBdr>
        </w:div>
        <w:div w:id="2057699782">
          <w:marLeft w:val="0"/>
          <w:marRight w:val="0"/>
          <w:marTop w:val="0"/>
          <w:marBottom w:val="240"/>
          <w:divBdr>
            <w:top w:val="none" w:sz="0" w:space="0" w:color="auto"/>
            <w:left w:val="none" w:sz="0" w:space="0" w:color="auto"/>
            <w:bottom w:val="none" w:sz="0" w:space="0" w:color="auto"/>
            <w:right w:val="none" w:sz="0" w:space="0" w:color="auto"/>
          </w:divBdr>
        </w:div>
        <w:div w:id="2094618757">
          <w:marLeft w:val="0"/>
          <w:marRight w:val="0"/>
          <w:marTop w:val="0"/>
          <w:marBottom w:val="240"/>
          <w:divBdr>
            <w:top w:val="none" w:sz="0" w:space="0" w:color="auto"/>
            <w:left w:val="none" w:sz="0" w:space="0" w:color="auto"/>
            <w:bottom w:val="none" w:sz="0" w:space="0" w:color="auto"/>
            <w:right w:val="none" w:sz="0" w:space="0" w:color="auto"/>
          </w:divBdr>
        </w:div>
      </w:divsChild>
    </w:div>
    <w:div w:id="399714205">
      <w:bodyDiv w:val="1"/>
      <w:marLeft w:val="0"/>
      <w:marRight w:val="0"/>
      <w:marTop w:val="0"/>
      <w:marBottom w:val="0"/>
      <w:divBdr>
        <w:top w:val="none" w:sz="0" w:space="0" w:color="auto"/>
        <w:left w:val="none" w:sz="0" w:space="0" w:color="auto"/>
        <w:bottom w:val="none" w:sz="0" w:space="0" w:color="auto"/>
        <w:right w:val="none" w:sz="0" w:space="0" w:color="auto"/>
      </w:divBdr>
    </w:div>
    <w:div w:id="482425983">
      <w:bodyDiv w:val="1"/>
      <w:marLeft w:val="0"/>
      <w:marRight w:val="0"/>
      <w:marTop w:val="0"/>
      <w:marBottom w:val="0"/>
      <w:divBdr>
        <w:top w:val="none" w:sz="0" w:space="0" w:color="auto"/>
        <w:left w:val="none" w:sz="0" w:space="0" w:color="auto"/>
        <w:bottom w:val="none" w:sz="0" w:space="0" w:color="auto"/>
        <w:right w:val="none" w:sz="0" w:space="0" w:color="auto"/>
      </w:divBdr>
      <w:divsChild>
        <w:div w:id="794715888">
          <w:marLeft w:val="0"/>
          <w:marRight w:val="0"/>
          <w:marTop w:val="0"/>
          <w:marBottom w:val="0"/>
          <w:divBdr>
            <w:top w:val="none" w:sz="0" w:space="0" w:color="auto"/>
            <w:left w:val="none" w:sz="0" w:space="0" w:color="auto"/>
            <w:bottom w:val="none" w:sz="0" w:space="0" w:color="auto"/>
            <w:right w:val="none" w:sz="0" w:space="0" w:color="auto"/>
          </w:divBdr>
          <w:divsChild>
            <w:div w:id="926302614">
              <w:marLeft w:val="0"/>
              <w:marRight w:val="0"/>
              <w:marTop w:val="0"/>
              <w:marBottom w:val="0"/>
              <w:divBdr>
                <w:top w:val="none" w:sz="0" w:space="0" w:color="auto"/>
                <w:left w:val="none" w:sz="0" w:space="0" w:color="auto"/>
                <w:bottom w:val="none" w:sz="0" w:space="0" w:color="auto"/>
                <w:right w:val="none" w:sz="0" w:space="0" w:color="auto"/>
              </w:divBdr>
              <w:divsChild>
                <w:div w:id="1366910037">
                  <w:marLeft w:val="-225"/>
                  <w:marRight w:val="-225"/>
                  <w:marTop w:val="0"/>
                  <w:marBottom w:val="0"/>
                  <w:divBdr>
                    <w:top w:val="none" w:sz="0" w:space="0" w:color="auto"/>
                    <w:left w:val="none" w:sz="0" w:space="0" w:color="auto"/>
                    <w:bottom w:val="none" w:sz="0" w:space="0" w:color="auto"/>
                    <w:right w:val="none" w:sz="0" w:space="0" w:color="auto"/>
                  </w:divBdr>
                  <w:divsChild>
                    <w:div w:id="122117525">
                      <w:marLeft w:val="0"/>
                      <w:marRight w:val="0"/>
                      <w:marTop w:val="0"/>
                      <w:marBottom w:val="0"/>
                      <w:divBdr>
                        <w:top w:val="none" w:sz="0" w:space="0" w:color="auto"/>
                        <w:left w:val="none" w:sz="0" w:space="0" w:color="auto"/>
                        <w:bottom w:val="none" w:sz="0" w:space="0" w:color="auto"/>
                        <w:right w:val="none" w:sz="0" w:space="0" w:color="auto"/>
                      </w:divBdr>
                      <w:divsChild>
                        <w:div w:id="305279103">
                          <w:marLeft w:val="60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9663747">
      <w:bodyDiv w:val="1"/>
      <w:marLeft w:val="0"/>
      <w:marRight w:val="0"/>
      <w:marTop w:val="0"/>
      <w:marBottom w:val="0"/>
      <w:divBdr>
        <w:top w:val="none" w:sz="0" w:space="0" w:color="auto"/>
        <w:left w:val="none" w:sz="0" w:space="0" w:color="auto"/>
        <w:bottom w:val="none" w:sz="0" w:space="0" w:color="auto"/>
        <w:right w:val="none" w:sz="0" w:space="0" w:color="auto"/>
      </w:divBdr>
      <w:divsChild>
        <w:div w:id="1230728080">
          <w:marLeft w:val="0"/>
          <w:marRight w:val="0"/>
          <w:marTop w:val="0"/>
          <w:marBottom w:val="0"/>
          <w:divBdr>
            <w:top w:val="none" w:sz="0" w:space="0" w:color="auto"/>
            <w:left w:val="none" w:sz="0" w:space="0" w:color="auto"/>
            <w:bottom w:val="none" w:sz="0" w:space="0" w:color="auto"/>
            <w:right w:val="none" w:sz="0" w:space="0" w:color="auto"/>
          </w:divBdr>
          <w:divsChild>
            <w:div w:id="810974869">
              <w:marLeft w:val="0"/>
              <w:marRight w:val="0"/>
              <w:marTop w:val="0"/>
              <w:marBottom w:val="0"/>
              <w:divBdr>
                <w:top w:val="none" w:sz="0" w:space="0" w:color="auto"/>
                <w:left w:val="none" w:sz="0" w:space="0" w:color="auto"/>
                <w:bottom w:val="none" w:sz="0" w:space="0" w:color="auto"/>
                <w:right w:val="none" w:sz="0" w:space="0" w:color="auto"/>
              </w:divBdr>
              <w:divsChild>
                <w:div w:id="694618738">
                  <w:marLeft w:val="-225"/>
                  <w:marRight w:val="-225"/>
                  <w:marTop w:val="0"/>
                  <w:marBottom w:val="0"/>
                  <w:divBdr>
                    <w:top w:val="none" w:sz="0" w:space="0" w:color="auto"/>
                    <w:left w:val="none" w:sz="0" w:space="0" w:color="auto"/>
                    <w:bottom w:val="none" w:sz="0" w:space="0" w:color="auto"/>
                    <w:right w:val="none" w:sz="0" w:space="0" w:color="auto"/>
                  </w:divBdr>
                  <w:divsChild>
                    <w:div w:id="401417159">
                      <w:marLeft w:val="0"/>
                      <w:marRight w:val="0"/>
                      <w:marTop w:val="0"/>
                      <w:marBottom w:val="0"/>
                      <w:divBdr>
                        <w:top w:val="none" w:sz="0" w:space="0" w:color="auto"/>
                        <w:left w:val="none" w:sz="0" w:space="0" w:color="auto"/>
                        <w:bottom w:val="none" w:sz="0" w:space="0" w:color="auto"/>
                        <w:right w:val="none" w:sz="0" w:space="0" w:color="auto"/>
                      </w:divBdr>
                      <w:divsChild>
                        <w:div w:id="1688485389">
                          <w:marLeft w:val="60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557293">
      <w:bodyDiv w:val="1"/>
      <w:marLeft w:val="0"/>
      <w:marRight w:val="0"/>
      <w:marTop w:val="0"/>
      <w:marBottom w:val="0"/>
      <w:divBdr>
        <w:top w:val="single" w:sz="12" w:space="0" w:color="767575"/>
        <w:left w:val="none" w:sz="0" w:space="0" w:color="auto"/>
        <w:bottom w:val="none" w:sz="0" w:space="0" w:color="auto"/>
        <w:right w:val="none" w:sz="0" w:space="0" w:color="auto"/>
      </w:divBdr>
      <w:divsChild>
        <w:div w:id="693075004">
          <w:marLeft w:val="0"/>
          <w:marRight w:val="0"/>
          <w:marTop w:val="0"/>
          <w:marBottom w:val="0"/>
          <w:divBdr>
            <w:top w:val="none" w:sz="0" w:space="0" w:color="auto"/>
            <w:left w:val="none" w:sz="0" w:space="0" w:color="auto"/>
            <w:bottom w:val="none" w:sz="0" w:space="0" w:color="auto"/>
            <w:right w:val="none" w:sz="0" w:space="0" w:color="auto"/>
          </w:divBdr>
          <w:divsChild>
            <w:div w:id="536429957">
              <w:marLeft w:val="0"/>
              <w:marRight w:val="0"/>
              <w:marTop w:val="0"/>
              <w:marBottom w:val="0"/>
              <w:divBdr>
                <w:top w:val="none" w:sz="0" w:space="0" w:color="auto"/>
                <w:left w:val="none" w:sz="0" w:space="0" w:color="auto"/>
                <w:bottom w:val="none" w:sz="0" w:space="0" w:color="auto"/>
                <w:right w:val="none" w:sz="0" w:space="0" w:color="auto"/>
              </w:divBdr>
              <w:divsChild>
                <w:div w:id="1587420089">
                  <w:marLeft w:val="300"/>
                  <w:marRight w:val="300"/>
                  <w:marTop w:val="75"/>
                  <w:marBottom w:val="0"/>
                  <w:divBdr>
                    <w:top w:val="single" w:sz="6" w:space="0" w:color="888888"/>
                    <w:left w:val="single" w:sz="6" w:space="26" w:color="888888"/>
                    <w:bottom w:val="single" w:sz="6" w:space="0" w:color="888888"/>
                    <w:right w:val="single" w:sz="6" w:space="26" w:color="888888"/>
                  </w:divBdr>
                  <w:divsChild>
                    <w:div w:id="1853907697">
                      <w:marLeft w:val="300"/>
                      <w:marRight w:val="0"/>
                      <w:marTop w:val="0"/>
                      <w:marBottom w:val="0"/>
                      <w:divBdr>
                        <w:top w:val="none" w:sz="0" w:space="0" w:color="auto"/>
                        <w:left w:val="none" w:sz="0" w:space="0" w:color="auto"/>
                        <w:bottom w:val="none" w:sz="0" w:space="0" w:color="auto"/>
                        <w:right w:val="none" w:sz="0" w:space="0" w:color="auto"/>
                      </w:divBdr>
                      <w:divsChild>
                        <w:div w:id="1372537516">
                          <w:marLeft w:val="0"/>
                          <w:marRight w:val="0"/>
                          <w:marTop w:val="0"/>
                          <w:marBottom w:val="0"/>
                          <w:divBdr>
                            <w:top w:val="none" w:sz="0" w:space="0" w:color="auto"/>
                            <w:left w:val="none" w:sz="0" w:space="0" w:color="auto"/>
                            <w:bottom w:val="none" w:sz="0" w:space="0" w:color="auto"/>
                            <w:right w:val="none" w:sz="0" w:space="0" w:color="auto"/>
                          </w:divBdr>
                          <w:divsChild>
                            <w:div w:id="149403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8738558">
      <w:bodyDiv w:val="1"/>
      <w:marLeft w:val="0"/>
      <w:marRight w:val="0"/>
      <w:marTop w:val="0"/>
      <w:marBottom w:val="0"/>
      <w:divBdr>
        <w:top w:val="single" w:sz="12" w:space="0" w:color="767575"/>
        <w:left w:val="none" w:sz="0" w:space="0" w:color="auto"/>
        <w:bottom w:val="none" w:sz="0" w:space="0" w:color="auto"/>
        <w:right w:val="none" w:sz="0" w:space="0" w:color="auto"/>
      </w:divBdr>
      <w:divsChild>
        <w:div w:id="1007748915">
          <w:marLeft w:val="0"/>
          <w:marRight w:val="0"/>
          <w:marTop w:val="0"/>
          <w:marBottom w:val="0"/>
          <w:divBdr>
            <w:top w:val="none" w:sz="0" w:space="0" w:color="auto"/>
            <w:left w:val="none" w:sz="0" w:space="0" w:color="auto"/>
            <w:bottom w:val="none" w:sz="0" w:space="0" w:color="auto"/>
            <w:right w:val="none" w:sz="0" w:space="0" w:color="auto"/>
          </w:divBdr>
          <w:divsChild>
            <w:div w:id="1676105255">
              <w:marLeft w:val="0"/>
              <w:marRight w:val="0"/>
              <w:marTop w:val="0"/>
              <w:marBottom w:val="0"/>
              <w:divBdr>
                <w:top w:val="none" w:sz="0" w:space="0" w:color="auto"/>
                <w:left w:val="none" w:sz="0" w:space="0" w:color="auto"/>
                <w:bottom w:val="none" w:sz="0" w:space="0" w:color="auto"/>
                <w:right w:val="none" w:sz="0" w:space="0" w:color="auto"/>
              </w:divBdr>
              <w:divsChild>
                <w:div w:id="317618594">
                  <w:marLeft w:val="300"/>
                  <w:marRight w:val="300"/>
                  <w:marTop w:val="75"/>
                  <w:marBottom w:val="0"/>
                  <w:divBdr>
                    <w:top w:val="single" w:sz="6" w:space="0" w:color="888888"/>
                    <w:left w:val="single" w:sz="6" w:space="26" w:color="888888"/>
                    <w:bottom w:val="single" w:sz="6" w:space="0" w:color="888888"/>
                    <w:right w:val="single" w:sz="6" w:space="26" w:color="888888"/>
                  </w:divBdr>
                  <w:divsChild>
                    <w:div w:id="1604142199">
                      <w:marLeft w:val="300"/>
                      <w:marRight w:val="0"/>
                      <w:marTop w:val="0"/>
                      <w:marBottom w:val="0"/>
                      <w:divBdr>
                        <w:top w:val="none" w:sz="0" w:space="0" w:color="auto"/>
                        <w:left w:val="none" w:sz="0" w:space="0" w:color="auto"/>
                        <w:bottom w:val="none" w:sz="0" w:space="0" w:color="auto"/>
                        <w:right w:val="none" w:sz="0" w:space="0" w:color="auto"/>
                      </w:divBdr>
                      <w:divsChild>
                        <w:div w:id="736974883">
                          <w:marLeft w:val="0"/>
                          <w:marRight w:val="0"/>
                          <w:marTop w:val="0"/>
                          <w:marBottom w:val="0"/>
                          <w:divBdr>
                            <w:top w:val="none" w:sz="0" w:space="0" w:color="auto"/>
                            <w:left w:val="none" w:sz="0" w:space="0" w:color="auto"/>
                            <w:bottom w:val="none" w:sz="0" w:space="0" w:color="auto"/>
                            <w:right w:val="none" w:sz="0" w:space="0" w:color="auto"/>
                          </w:divBdr>
                          <w:divsChild>
                            <w:div w:id="1432898093">
                              <w:marLeft w:val="0"/>
                              <w:marRight w:val="0"/>
                              <w:marTop w:val="0"/>
                              <w:marBottom w:val="0"/>
                              <w:divBdr>
                                <w:top w:val="none" w:sz="0" w:space="0" w:color="auto"/>
                                <w:left w:val="none" w:sz="0" w:space="0" w:color="auto"/>
                                <w:bottom w:val="none" w:sz="0" w:space="0" w:color="auto"/>
                                <w:right w:val="none" w:sz="0" w:space="0" w:color="auto"/>
                              </w:divBdr>
                              <w:divsChild>
                                <w:div w:id="488056690">
                                  <w:marLeft w:val="0"/>
                                  <w:marRight w:val="0"/>
                                  <w:marTop w:val="0"/>
                                  <w:marBottom w:val="0"/>
                                  <w:divBdr>
                                    <w:top w:val="none" w:sz="0" w:space="0" w:color="auto"/>
                                    <w:left w:val="none" w:sz="0" w:space="0" w:color="auto"/>
                                    <w:bottom w:val="none" w:sz="0" w:space="0" w:color="auto"/>
                                    <w:right w:val="none" w:sz="0" w:space="0" w:color="auto"/>
                                  </w:divBdr>
                                  <w:divsChild>
                                    <w:div w:id="849831550">
                                      <w:marLeft w:val="0"/>
                                      <w:marRight w:val="0"/>
                                      <w:marTop w:val="0"/>
                                      <w:marBottom w:val="0"/>
                                      <w:divBdr>
                                        <w:top w:val="none" w:sz="0" w:space="0" w:color="auto"/>
                                        <w:left w:val="none" w:sz="0" w:space="0" w:color="auto"/>
                                        <w:bottom w:val="none" w:sz="0" w:space="0" w:color="auto"/>
                                        <w:right w:val="none" w:sz="0" w:space="0" w:color="auto"/>
                                      </w:divBdr>
                                      <w:divsChild>
                                        <w:div w:id="1849563259">
                                          <w:marLeft w:val="0"/>
                                          <w:marRight w:val="0"/>
                                          <w:marTop w:val="0"/>
                                          <w:marBottom w:val="0"/>
                                          <w:divBdr>
                                            <w:top w:val="none" w:sz="0" w:space="0" w:color="auto"/>
                                            <w:left w:val="none" w:sz="0" w:space="0" w:color="auto"/>
                                            <w:bottom w:val="none" w:sz="0" w:space="0" w:color="auto"/>
                                            <w:right w:val="none" w:sz="0" w:space="0" w:color="auto"/>
                                          </w:divBdr>
                                          <w:divsChild>
                                            <w:div w:id="42396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7549104">
      <w:bodyDiv w:val="1"/>
      <w:marLeft w:val="0"/>
      <w:marRight w:val="0"/>
      <w:marTop w:val="0"/>
      <w:marBottom w:val="0"/>
      <w:divBdr>
        <w:top w:val="single" w:sz="12" w:space="0" w:color="767575"/>
        <w:left w:val="none" w:sz="0" w:space="0" w:color="auto"/>
        <w:bottom w:val="none" w:sz="0" w:space="0" w:color="auto"/>
        <w:right w:val="none" w:sz="0" w:space="0" w:color="auto"/>
      </w:divBdr>
      <w:divsChild>
        <w:div w:id="826828521">
          <w:marLeft w:val="0"/>
          <w:marRight w:val="0"/>
          <w:marTop w:val="0"/>
          <w:marBottom w:val="0"/>
          <w:divBdr>
            <w:top w:val="none" w:sz="0" w:space="0" w:color="auto"/>
            <w:left w:val="none" w:sz="0" w:space="0" w:color="auto"/>
            <w:bottom w:val="none" w:sz="0" w:space="0" w:color="auto"/>
            <w:right w:val="none" w:sz="0" w:space="0" w:color="auto"/>
          </w:divBdr>
          <w:divsChild>
            <w:div w:id="1580363895">
              <w:marLeft w:val="0"/>
              <w:marRight w:val="0"/>
              <w:marTop w:val="0"/>
              <w:marBottom w:val="0"/>
              <w:divBdr>
                <w:top w:val="none" w:sz="0" w:space="0" w:color="auto"/>
                <w:left w:val="none" w:sz="0" w:space="0" w:color="auto"/>
                <w:bottom w:val="none" w:sz="0" w:space="0" w:color="auto"/>
                <w:right w:val="none" w:sz="0" w:space="0" w:color="auto"/>
              </w:divBdr>
              <w:divsChild>
                <w:div w:id="1244606373">
                  <w:marLeft w:val="300"/>
                  <w:marRight w:val="300"/>
                  <w:marTop w:val="75"/>
                  <w:marBottom w:val="0"/>
                  <w:divBdr>
                    <w:top w:val="single" w:sz="6" w:space="0" w:color="888888"/>
                    <w:left w:val="single" w:sz="6" w:space="26" w:color="888888"/>
                    <w:bottom w:val="single" w:sz="6" w:space="0" w:color="888888"/>
                    <w:right w:val="single" w:sz="6" w:space="26" w:color="888888"/>
                  </w:divBdr>
                  <w:divsChild>
                    <w:div w:id="2059547190">
                      <w:marLeft w:val="300"/>
                      <w:marRight w:val="0"/>
                      <w:marTop w:val="0"/>
                      <w:marBottom w:val="0"/>
                      <w:divBdr>
                        <w:top w:val="none" w:sz="0" w:space="0" w:color="auto"/>
                        <w:left w:val="none" w:sz="0" w:space="0" w:color="auto"/>
                        <w:bottom w:val="none" w:sz="0" w:space="0" w:color="auto"/>
                        <w:right w:val="none" w:sz="0" w:space="0" w:color="auto"/>
                      </w:divBdr>
                      <w:divsChild>
                        <w:div w:id="1952008227">
                          <w:marLeft w:val="0"/>
                          <w:marRight w:val="0"/>
                          <w:marTop w:val="0"/>
                          <w:marBottom w:val="0"/>
                          <w:divBdr>
                            <w:top w:val="none" w:sz="0" w:space="0" w:color="auto"/>
                            <w:left w:val="none" w:sz="0" w:space="0" w:color="auto"/>
                            <w:bottom w:val="none" w:sz="0" w:space="0" w:color="auto"/>
                            <w:right w:val="none" w:sz="0" w:space="0" w:color="auto"/>
                          </w:divBdr>
                          <w:divsChild>
                            <w:div w:id="23218831">
                              <w:marLeft w:val="0"/>
                              <w:marRight w:val="0"/>
                              <w:marTop w:val="0"/>
                              <w:marBottom w:val="0"/>
                              <w:divBdr>
                                <w:top w:val="none" w:sz="0" w:space="0" w:color="auto"/>
                                <w:left w:val="none" w:sz="0" w:space="0" w:color="auto"/>
                                <w:bottom w:val="none" w:sz="0" w:space="0" w:color="auto"/>
                                <w:right w:val="none" w:sz="0" w:space="0" w:color="auto"/>
                              </w:divBdr>
                              <w:divsChild>
                                <w:div w:id="1796873979">
                                  <w:marLeft w:val="0"/>
                                  <w:marRight w:val="0"/>
                                  <w:marTop w:val="0"/>
                                  <w:marBottom w:val="0"/>
                                  <w:divBdr>
                                    <w:top w:val="none" w:sz="0" w:space="0" w:color="auto"/>
                                    <w:left w:val="none" w:sz="0" w:space="0" w:color="auto"/>
                                    <w:bottom w:val="none" w:sz="0" w:space="0" w:color="auto"/>
                                    <w:right w:val="none" w:sz="0" w:space="0" w:color="auto"/>
                                  </w:divBdr>
                                  <w:divsChild>
                                    <w:div w:id="631836562">
                                      <w:marLeft w:val="0"/>
                                      <w:marRight w:val="0"/>
                                      <w:marTop w:val="0"/>
                                      <w:marBottom w:val="0"/>
                                      <w:divBdr>
                                        <w:top w:val="none" w:sz="0" w:space="0" w:color="auto"/>
                                        <w:left w:val="none" w:sz="0" w:space="0" w:color="auto"/>
                                        <w:bottom w:val="none" w:sz="0" w:space="0" w:color="auto"/>
                                        <w:right w:val="none" w:sz="0" w:space="0" w:color="auto"/>
                                      </w:divBdr>
                                      <w:divsChild>
                                        <w:div w:id="1187133225">
                                          <w:marLeft w:val="0"/>
                                          <w:marRight w:val="0"/>
                                          <w:marTop w:val="0"/>
                                          <w:marBottom w:val="0"/>
                                          <w:divBdr>
                                            <w:top w:val="none" w:sz="0" w:space="0" w:color="auto"/>
                                            <w:left w:val="none" w:sz="0" w:space="0" w:color="auto"/>
                                            <w:bottom w:val="none" w:sz="0" w:space="0" w:color="auto"/>
                                            <w:right w:val="none" w:sz="0" w:space="0" w:color="auto"/>
                                          </w:divBdr>
                                          <w:divsChild>
                                            <w:div w:id="100829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4926487">
      <w:bodyDiv w:val="1"/>
      <w:marLeft w:val="0"/>
      <w:marRight w:val="0"/>
      <w:marTop w:val="0"/>
      <w:marBottom w:val="0"/>
      <w:divBdr>
        <w:top w:val="none" w:sz="0" w:space="0" w:color="auto"/>
        <w:left w:val="none" w:sz="0" w:space="0" w:color="auto"/>
        <w:bottom w:val="none" w:sz="0" w:space="0" w:color="auto"/>
        <w:right w:val="none" w:sz="0" w:space="0" w:color="auto"/>
      </w:divBdr>
      <w:divsChild>
        <w:div w:id="1377008540">
          <w:marLeft w:val="0"/>
          <w:marRight w:val="0"/>
          <w:marTop w:val="0"/>
          <w:marBottom w:val="0"/>
          <w:divBdr>
            <w:top w:val="none" w:sz="0" w:space="0" w:color="auto"/>
            <w:left w:val="none" w:sz="0" w:space="0" w:color="auto"/>
            <w:bottom w:val="none" w:sz="0" w:space="0" w:color="auto"/>
            <w:right w:val="none" w:sz="0" w:space="0" w:color="auto"/>
          </w:divBdr>
          <w:divsChild>
            <w:div w:id="2038893437">
              <w:marLeft w:val="0"/>
              <w:marRight w:val="0"/>
              <w:marTop w:val="0"/>
              <w:marBottom w:val="0"/>
              <w:divBdr>
                <w:top w:val="none" w:sz="0" w:space="0" w:color="auto"/>
                <w:left w:val="none" w:sz="0" w:space="0" w:color="auto"/>
                <w:bottom w:val="none" w:sz="0" w:space="0" w:color="auto"/>
                <w:right w:val="none" w:sz="0" w:space="0" w:color="auto"/>
              </w:divBdr>
              <w:divsChild>
                <w:div w:id="703291482">
                  <w:marLeft w:val="-225"/>
                  <w:marRight w:val="-225"/>
                  <w:marTop w:val="0"/>
                  <w:marBottom w:val="0"/>
                  <w:divBdr>
                    <w:top w:val="none" w:sz="0" w:space="0" w:color="auto"/>
                    <w:left w:val="none" w:sz="0" w:space="0" w:color="auto"/>
                    <w:bottom w:val="none" w:sz="0" w:space="0" w:color="auto"/>
                    <w:right w:val="none" w:sz="0" w:space="0" w:color="auto"/>
                  </w:divBdr>
                  <w:divsChild>
                    <w:div w:id="191384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4452656">
      <w:bodyDiv w:val="1"/>
      <w:marLeft w:val="0"/>
      <w:marRight w:val="0"/>
      <w:marTop w:val="0"/>
      <w:marBottom w:val="0"/>
      <w:divBdr>
        <w:top w:val="none" w:sz="0" w:space="0" w:color="auto"/>
        <w:left w:val="none" w:sz="0" w:space="0" w:color="auto"/>
        <w:bottom w:val="none" w:sz="0" w:space="0" w:color="auto"/>
        <w:right w:val="none" w:sz="0" w:space="0" w:color="auto"/>
      </w:divBdr>
    </w:div>
    <w:div w:id="1088231955">
      <w:bodyDiv w:val="1"/>
      <w:marLeft w:val="0"/>
      <w:marRight w:val="0"/>
      <w:marTop w:val="0"/>
      <w:marBottom w:val="0"/>
      <w:divBdr>
        <w:top w:val="single" w:sz="12" w:space="0" w:color="767575"/>
        <w:left w:val="none" w:sz="0" w:space="0" w:color="auto"/>
        <w:bottom w:val="none" w:sz="0" w:space="0" w:color="auto"/>
        <w:right w:val="none" w:sz="0" w:space="0" w:color="auto"/>
      </w:divBdr>
      <w:divsChild>
        <w:div w:id="187958701">
          <w:marLeft w:val="0"/>
          <w:marRight w:val="0"/>
          <w:marTop w:val="0"/>
          <w:marBottom w:val="0"/>
          <w:divBdr>
            <w:top w:val="none" w:sz="0" w:space="0" w:color="auto"/>
            <w:left w:val="none" w:sz="0" w:space="0" w:color="auto"/>
            <w:bottom w:val="none" w:sz="0" w:space="0" w:color="auto"/>
            <w:right w:val="none" w:sz="0" w:space="0" w:color="auto"/>
          </w:divBdr>
          <w:divsChild>
            <w:div w:id="1199467321">
              <w:marLeft w:val="0"/>
              <w:marRight w:val="0"/>
              <w:marTop w:val="0"/>
              <w:marBottom w:val="0"/>
              <w:divBdr>
                <w:top w:val="none" w:sz="0" w:space="0" w:color="auto"/>
                <w:left w:val="none" w:sz="0" w:space="0" w:color="auto"/>
                <w:bottom w:val="none" w:sz="0" w:space="0" w:color="auto"/>
                <w:right w:val="none" w:sz="0" w:space="0" w:color="auto"/>
              </w:divBdr>
              <w:divsChild>
                <w:div w:id="46954923">
                  <w:marLeft w:val="300"/>
                  <w:marRight w:val="300"/>
                  <w:marTop w:val="75"/>
                  <w:marBottom w:val="0"/>
                  <w:divBdr>
                    <w:top w:val="single" w:sz="6" w:space="0" w:color="888888"/>
                    <w:left w:val="single" w:sz="6" w:space="26" w:color="888888"/>
                    <w:bottom w:val="single" w:sz="6" w:space="0" w:color="888888"/>
                    <w:right w:val="single" w:sz="6" w:space="26" w:color="888888"/>
                  </w:divBdr>
                  <w:divsChild>
                    <w:div w:id="2056854156">
                      <w:marLeft w:val="300"/>
                      <w:marRight w:val="0"/>
                      <w:marTop w:val="0"/>
                      <w:marBottom w:val="0"/>
                      <w:divBdr>
                        <w:top w:val="none" w:sz="0" w:space="0" w:color="auto"/>
                        <w:left w:val="none" w:sz="0" w:space="0" w:color="auto"/>
                        <w:bottom w:val="none" w:sz="0" w:space="0" w:color="auto"/>
                        <w:right w:val="none" w:sz="0" w:space="0" w:color="auto"/>
                      </w:divBdr>
                      <w:divsChild>
                        <w:div w:id="150561282">
                          <w:marLeft w:val="0"/>
                          <w:marRight w:val="0"/>
                          <w:marTop w:val="0"/>
                          <w:marBottom w:val="0"/>
                          <w:divBdr>
                            <w:top w:val="none" w:sz="0" w:space="0" w:color="auto"/>
                            <w:left w:val="none" w:sz="0" w:space="0" w:color="auto"/>
                            <w:bottom w:val="none" w:sz="0" w:space="0" w:color="auto"/>
                            <w:right w:val="none" w:sz="0" w:space="0" w:color="auto"/>
                          </w:divBdr>
                          <w:divsChild>
                            <w:div w:id="192591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6950875">
      <w:bodyDiv w:val="1"/>
      <w:marLeft w:val="0"/>
      <w:marRight w:val="0"/>
      <w:marTop w:val="0"/>
      <w:marBottom w:val="0"/>
      <w:divBdr>
        <w:top w:val="none" w:sz="0" w:space="0" w:color="auto"/>
        <w:left w:val="none" w:sz="0" w:space="0" w:color="auto"/>
        <w:bottom w:val="none" w:sz="0" w:space="0" w:color="auto"/>
        <w:right w:val="none" w:sz="0" w:space="0" w:color="auto"/>
      </w:divBdr>
    </w:div>
    <w:div w:id="1190989039">
      <w:bodyDiv w:val="1"/>
      <w:marLeft w:val="0"/>
      <w:marRight w:val="0"/>
      <w:marTop w:val="0"/>
      <w:marBottom w:val="0"/>
      <w:divBdr>
        <w:top w:val="none" w:sz="0" w:space="0" w:color="auto"/>
        <w:left w:val="none" w:sz="0" w:space="0" w:color="auto"/>
        <w:bottom w:val="none" w:sz="0" w:space="0" w:color="auto"/>
        <w:right w:val="none" w:sz="0" w:space="0" w:color="auto"/>
      </w:divBdr>
      <w:divsChild>
        <w:div w:id="573898890">
          <w:marLeft w:val="0"/>
          <w:marRight w:val="0"/>
          <w:marTop w:val="0"/>
          <w:marBottom w:val="0"/>
          <w:divBdr>
            <w:top w:val="none" w:sz="0" w:space="0" w:color="auto"/>
            <w:left w:val="none" w:sz="0" w:space="0" w:color="auto"/>
            <w:bottom w:val="none" w:sz="0" w:space="0" w:color="auto"/>
            <w:right w:val="none" w:sz="0" w:space="0" w:color="auto"/>
          </w:divBdr>
        </w:div>
        <w:div w:id="1107576391">
          <w:marLeft w:val="0"/>
          <w:marRight w:val="0"/>
          <w:marTop w:val="0"/>
          <w:marBottom w:val="0"/>
          <w:divBdr>
            <w:top w:val="none" w:sz="0" w:space="0" w:color="auto"/>
            <w:left w:val="none" w:sz="0" w:space="0" w:color="auto"/>
            <w:bottom w:val="none" w:sz="0" w:space="0" w:color="auto"/>
            <w:right w:val="none" w:sz="0" w:space="0" w:color="auto"/>
          </w:divBdr>
        </w:div>
        <w:div w:id="1482964578">
          <w:marLeft w:val="0"/>
          <w:marRight w:val="0"/>
          <w:marTop w:val="0"/>
          <w:marBottom w:val="0"/>
          <w:divBdr>
            <w:top w:val="none" w:sz="0" w:space="0" w:color="auto"/>
            <w:left w:val="none" w:sz="0" w:space="0" w:color="auto"/>
            <w:bottom w:val="none" w:sz="0" w:space="0" w:color="auto"/>
            <w:right w:val="none" w:sz="0" w:space="0" w:color="auto"/>
          </w:divBdr>
        </w:div>
      </w:divsChild>
    </w:div>
    <w:div w:id="1334147086">
      <w:bodyDiv w:val="1"/>
      <w:marLeft w:val="0"/>
      <w:marRight w:val="0"/>
      <w:marTop w:val="0"/>
      <w:marBottom w:val="0"/>
      <w:divBdr>
        <w:top w:val="none" w:sz="0" w:space="0" w:color="auto"/>
        <w:left w:val="none" w:sz="0" w:space="0" w:color="auto"/>
        <w:bottom w:val="none" w:sz="0" w:space="0" w:color="auto"/>
        <w:right w:val="none" w:sz="0" w:space="0" w:color="auto"/>
      </w:divBdr>
    </w:div>
    <w:div w:id="1574580183">
      <w:bodyDiv w:val="1"/>
      <w:marLeft w:val="0"/>
      <w:marRight w:val="0"/>
      <w:marTop w:val="0"/>
      <w:marBottom w:val="0"/>
      <w:divBdr>
        <w:top w:val="none" w:sz="0" w:space="0" w:color="auto"/>
        <w:left w:val="none" w:sz="0" w:space="0" w:color="auto"/>
        <w:bottom w:val="none" w:sz="0" w:space="0" w:color="auto"/>
        <w:right w:val="none" w:sz="0" w:space="0" w:color="auto"/>
      </w:divBdr>
    </w:div>
    <w:div w:id="1645506144">
      <w:bodyDiv w:val="1"/>
      <w:marLeft w:val="0"/>
      <w:marRight w:val="0"/>
      <w:marTop w:val="0"/>
      <w:marBottom w:val="0"/>
      <w:divBdr>
        <w:top w:val="none" w:sz="0" w:space="0" w:color="auto"/>
        <w:left w:val="none" w:sz="0" w:space="0" w:color="auto"/>
        <w:bottom w:val="none" w:sz="0" w:space="0" w:color="auto"/>
        <w:right w:val="none" w:sz="0" w:space="0" w:color="auto"/>
      </w:divBdr>
      <w:divsChild>
        <w:div w:id="937835870">
          <w:marLeft w:val="0"/>
          <w:marRight w:val="0"/>
          <w:marTop w:val="0"/>
          <w:marBottom w:val="240"/>
          <w:divBdr>
            <w:top w:val="none" w:sz="0" w:space="0" w:color="auto"/>
            <w:left w:val="none" w:sz="0" w:space="0" w:color="auto"/>
            <w:bottom w:val="none" w:sz="0" w:space="0" w:color="auto"/>
            <w:right w:val="none" w:sz="0" w:space="0" w:color="auto"/>
          </w:divBdr>
        </w:div>
        <w:div w:id="1313605141">
          <w:marLeft w:val="0"/>
          <w:marRight w:val="0"/>
          <w:marTop w:val="0"/>
          <w:marBottom w:val="240"/>
          <w:divBdr>
            <w:top w:val="none" w:sz="0" w:space="0" w:color="auto"/>
            <w:left w:val="none" w:sz="0" w:space="0" w:color="auto"/>
            <w:bottom w:val="none" w:sz="0" w:space="0" w:color="auto"/>
            <w:right w:val="none" w:sz="0" w:space="0" w:color="auto"/>
          </w:divBdr>
        </w:div>
        <w:div w:id="1839691959">
          <w:marLeft w:val="0"/>
          <w:marRight w:val="0"/>
          <w:marTop w:val="0"/>
          <w:marBottom w:val="240"/>
          <w:divBdr>
            <w:top w:val="none" w:sz="0" w:space="0" w:color="auto"/>
            <w:left w:val="none" w:sz="0" w:space="0" w:color="auto"/>
            <w:bottom w:val="none" w:sz="0" w:space="0" w:color="auto"/>
            <w:right w:val="none" w:sz="0" w:space="0" w:color="auto"/>
          </w:divBdr>
        </w:div>
      </w:divsChild>
    </w:div>
    <w:div w:id="1646424703">
      <w:bodyDiv w:val="1"/>
      <w:marLeft w:val="0"/>
      <w:marRight w:val="0"/>
      <w:marTop w:val="0"/>
      <w:marBottom w:val="0"/>
      <w:divBdr>
        <w:top w:val="single" w:sz="12" w:space="0" w:color="767575"/>
        <w:left w:val="none" w:sz="0" w:space="0" w:color="auto"/>
        <w:bottom w:val="none" w:sz="0" w:space="0" w:color="auto"/>
        <w:right w:val="none" w:sz="0" w:space="0" w:color="auto"/>
      </w:divBdr>
      <w:divsChild>
        <w:div w:id="844057918">
          <w:marLeft w:val="0"/>
          <w:marRight w:val="0"/>
          <w:marTop w:val="0"/>
          <w:marBottom w:val="0"/>
          <w:divBdr>
            <w:top w:val="none" w:sz="0" w:space="0" w:color="auto"/>
            <w:left w:val="none" w:sz="0" w:space="0" w:color="auto"/>
            <w:bottom w:val="none" w:sz="0" w:space="0" w:color="auto"/>
            <w:right w:val="none" w:sz="0" w:space="0" w:color="auto"/>
          </w:divBdr>
          <w:divsChild>
            <w:div w:id="1385716937">
              <w:marLeft w:val="0"/>
              <w:marRight w:val="0"/>
              <w:marTop w:val="0"/>
              <w:marBottom w:val="0"/>
              <w:divBdr>
                <w:top w:val="none" w:sz="0" w:space="0" w:color="auto"/>
                <w:left w:val="none" w:sz="0" w:space="0" w:color="auto"/>
                <w:bottom w:val="none" w:sz="0" w:space="0" w:color="auto"/>
                <w:right w:val="none" w:sz="0" w:space="0" w:color="auto"/>
              </w:divBdr>
              <w:divsChild>
                <w:div w:id="561447341">
                  <w:marLeft w:val="300"/>
                  <w:marRight w:val="300"/>
                  <w:marTop w:val="75"/>
                  <w:marBottom w:val="0"/>
                  <w:divBdr>
                    <w:top w:val="single" w:sz="6" w:space="0" w:color="888888"/>
                    <w:left w:val="single" w:sz="6" w:space="26" w:color="888888"/>
                    <w:bottom w:val="single" w:sz="6" w:space="0" w:color="888888"/>
                    <w:right w:val="single" w:sz="6" w:space="26" w:color="888888"/>
                  </w:divBdr>
                  <w:divsChild>
                    <w:div w:id="673724514">
                      <w:marLeft w:val="300"/>
                      <w:marRight w:val="0"/>
                      <w:marTop w:val="0"/>
                      <w:marBottom w:val="0"/>
                      <w:divBdr>
                        <w:top w:val="none" w:sz="0" w:space="0" w:color="auto"/>
                        <w:left w:val="none" w:sz="0" w:space="0" w:color="auto"/>
                        <w:bottom w:val="none" w:sz="0" w:space="0" w:color="auto"/>
                        <w:right w:val="none" w:sz="0" w:space="0" w:color="auto"/>
                      </w:divBdr>
                      <w:divsChild>
                        <w:div w:id="1740013264">
                          <w:marLeft w:val="0"/>
                          <w:marRight w:val="0"/>
                          <w:marTop w:val="0"/>
                          <w:marBottom w:val="0"/>
                          <w:divBdr>
                            <w:top w:val="none" w:sz="0" w:space="0" w:color="auto"/>
                            <w:left w:val="none" w:sz="0" w:space="0" w:color="auto"/>
                            <w:bottom w:val="none" w:sz="0" w:space="0" w:color="auto"/>
                            <w:right w:val="none" w:sz="0" w:space="0" w:color="auto"/>
                          </w:divBdr>
                          <w:divsChild>
                            <w:div w:id="309869234">
                              <w:marLeft w:val="0"/>
                              <w:marRight w:val="0"/>
                              <w:marTop w:val="0"/>
                              <w:marBottom w:val="0"/>
                              <w:divBdr>
                                <w:top w:val="none" w:sz="0" w:space="0" w:color="auto"/>
                                <w:left w:val="none" w:sz="0" w:space="0" w:color="auto"/>
                                <w:bottom w:val="none" w:sz="0" w:space="0" w:color="auto"/>
                                <w:right w:val="none" w:sz="0" w:space="0" w:color="auto"/>
                              </w:divBdr>
                              <w:divsChild>
                                <w:div w:id="679939944">
                                  <w:marLeft w:val="0"/>
                                  <w:marRight w:val="0"/>
                                  <w:marTop w:val="0"/>
                                  <w:marBottom w:val="0"/>
                                  <w:divBdr>
                                    <w:top w:val="none" w:sz="0" w:space="0" w:color="auto"/>
                                    <w:left w:val="none" w:sz="0" w:space="0" w:color="auto"/>
                                    <w:bottom w:val="none" w:sz="0" w:space="0" w:color="auto"/>
                                    <w:right w:val="none" w:sz="0" w:space="0" w:color="auto"/>
                                  </w:divBdr>
                                  <w:divsChild>
                                    <w:div w:id="201094760">
                                      <w:marLeft w:val="0"/>
                                      <w:marRight w:val="0"/>
                                      <w:marTop w:val="0"/>
                                      <w:marBottom w:val="0"/>
                                      <w:divBdr>
                                        <w:top w:val="none" w:sz="0" w:space="0" w:color="auto"/>
                                        <w:left w:val="none" w:sz="0" w:space="0" w:color="auto"/>
                                        <w:bottom w:val="none" w:sz="0" w:space="0" w:color="auto"/>
                                        <w:right w:val="none" w:sz="0" w:space="0" w:color="auto"/>
                                      </w:divBdr>
                                      <w:divsChild>
                                        <w:div w:id="1942688196">
                                          <w:marLeft w:val="0"/>
                                          <w:marRight w:val="0"/>
                                          <w:marTop w:val="0"/>
                                          <w:marBottom w:val="0"/>
                                          <w:divBdr>
                                            <w:top w:val="none" w:sz="0" w:space="0" w:color="auto"/>
                                            <w:left w:val="none" w:sz="0" w:space="0" w:color="auto"/>
                                            <w:bottom w:val="none" w:sz="0" w:space="0" w:color="auto"/>
                                            <w:right w:val="none" w:sz="0" w:space="0" w:color="auto"/>
                                          </w:divBdr>
                                          <w:divsChild>
                                            <w:div w:id="28208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7782569">
      <w:bodyDiv w:val="1"/>
      <w:marLeft w:val="0"/>
      <w:marRight w:val="0"/>
      <w:marTop w:val="0"/>
      <w:marBottom w:val="0"/>
      <w:divBdr>
        <w:top w:val="none" w:sz="0" w:space="0" w:color="auto"/>
        <w:left w:val="none" w:sz="0" w:space="0" w:color="auto"/>
        <w:bottom w:val="none" w:sz="0" w:space="0" w:color="auto"/>
        <w:right w:val="none" w:sz="0" w:space="0" w:color="auto"/>
      </w:divBdr>
      <w:divsChild>
        <w:div w:id="326834857">
          <w:marLeft w:val="0"/>
          <w:marRight w:val="0"/>
          <w:marTop w:val="0"/>
          <w:marBottom w:val="0"/>
          <w:divBdr>
            <w:top w:val="none" w:sz="0" w:space="0" w:color="auto"/>
            <w:left w:val="none" w:sz="0" w:space="0" w:color="auto"/>
            <w:bottom w:val="none" w:sz="0" w:space="0" w:color="auto"/>
            <w:right w:val="none" w:sz="0" w:space="0" w:color="auto"/>
          </w:divBdr>
        </w:div>
        <w:div w:id="473764054">
          <w:marLeft w:val="0"/>
          <w:marRight w:val="0"/>
          <w:marTop w:val="0"/>
          <w:marBottom w:val="0"/>
          <w:divBdr>
            <w:top w:val="none" w:sz="0" w:space="0" w:color="auto"/>
            <w:left w:val="none" w:sz="0" w:space="0" w:color="auto"/>
            <w:bottom w:val="none" w:sz="0" w:space="0" w:color="auto"/>
            <w:right w:val="none" w:sz="0" w:space="0" w:color="auto"/>
          </w:divBdr>
        </w:div>
        <w:div w:id="2139568746">
          <w:marLeft w:val="0"/>
          <w:marRight w:val="0"/>
          <w:marTop w:val="0"/>
          <w:marBottom w:val="0"/>
          <w:divBdr>
            <w:top w:val="none" w:sz="0" w:space="0" w:color="auto"/>
            <w:left w:val="none" w:sz="0" w:space="0" w:color="auto"/>
            <w:bottom w:val="none" w:sz="0" w:space="0" w:color="auto"/>
            <w:right w:val="none" w:sz="0" w:space="0" w:color="auto"/>
          </w:divBdr>
        </w:div>
      </w:divsChild>
    </w:div>
    <w:div w:id="1675182406">
      <w:bodyDiv w:val="1"/>
      <w:marLeft w:val="0"/>
      <w:marRight w:val="0"/>
      <w:marTop w:val="0"/>
      <w:marBottom w:val="0"/>
      <w:divBdr>
        <w:top w:val="none" w:sz="0" w:space="0" w:color="auto"/>
        <w:left w:val="none" w:sz="0" w:space="0" w:color="auto"/>
        <w:bottom w:val="none" w:sz="0" w:space="0" w:color="auto"/>
        <w:right w:val="none" w:sz="0" w:space="0" w:color="auto"/>
      </w:divBdr>
    </w:div>
    <w:div w:id="1787457755">
      <w:bodyDiv w:val="1"/>
      <w:marLeft w:val="0"/>
      <w:marRight w:val="0"/>
      <w:marTop w:val="0"/>
      <w:marBottom w:val="0"/>
      <w:divBdr>
        <w:top w:val="none" w:sz="0" w:space="0" w:color="auto"/>
        <w:left w:val="none" w:sz="0" w:space="0" w:color="auto"/>
        <w:bottom w:val="none" w:sz="0" w:space="0" w:color="auto"/>
        <w:right w:val="none" w:sz="0" w:space="0" w:color="auto"/>
      </w:divBdr>
      <w:divsChild>
        <w:div w:id="128326107">
          <w:marLeft w:val="0"/>
          <w:marRight w:val="0"/>
          <w:marTop w:val="0"/>
          <w:marBottom w:val="0"/>
          <w:divBdr>
            <w:top w:val="none" w:sz="0" w:space="0" w:color="auto"/>
            <w:left w:val="none" w:sz="0" w:space="0" w:color="auto"/>
            <w:bottom w:val="none" w:sz="0" w:space="0" w:color="auto"/>
            <w:right w:val="none" w:sz="0" w:space="0" w:color="auto"/>
          </w:divBdr>
          <w:divsChild>
            <w:div w:id="414939335">
              <w:marLeft w:val="0"/>
              <w:marRight w:val="0"/>
              <w:marTop w:val="0"/>
              <w:marBottom w:val="0"/>
              <w:divBdr>
                <w:top w:val="none" w:sz="0" w:space="0" w:color="auto"/>
                <w:left w:val="none" w:sz="0" w:space="0" w:color="auto"/>
                <w:bottom w:val="none" w:sz="0" w:space="0" w:color="auto"/>
                <w:right w:val="none" w:sz="0" w:space="0" w:color="auto"/>
              </w:divBdr>
              <w:divsChild>
                <w:div w:id="795876908">
                  <w:marLeft w:val="0"/>
                  <w:marRight w:val="0"/>
                  <w:marTop w:val="0"/>
                  <w:marBottom w:val="0"/>
                  <w:divBdr>
                    <w:top w:val="none" w:sz="0" w:space="0" w:color="auto"/>
                    <w:left w:val="none" w:sz="0" w:space="0" w:color="auto"/>
                    <w:bottom w:val="none" w:sz="0" w:space="0" w:color="auto"/>
                    <w:right w:val="none" w:sz="0" w:space="0" w:color="auto"/>
                  </w:divBdr>
                  <w:divsChild>
                    <w:div w:id="1562326625">
                      <w:marLeft w:val="0"/>
                      <w:marRight w:val="0"/>
                      <w:marTop w:val="0"/>
                      <w:marBottom w:val="0"/>
                      <w:divBdr>
                        <w:top w:val="none" w:sz="0" w:space="0" w:color="auto"/>
                        <w:left w:val="single" w:sz="6" w:space="8" w:color="CCCCCC"/>
                        <w:bottom w:val="single" w:sz="6" w:space="0" w:color="CCCCCC"/>
                        <w:right w:val="single" w:sz="6" w:space="8" w:color="CCCCCC"/>
                      </w:divBdr>
                    </w:div>
                  </w:divsChild>
                </w:div>
              </w:divsChild>
            </w:div>
          </w:divsChild>
        </w:div>
      </w:divsChild>
    </w:div>
    <w:div w:id="1804301310">
      <w:bodyDiv w:val="1"/>
      <w:marLeft w:val="0"/>
      <w:marRight w:val="0"/>
      <w:marTop w:val="0"/>
      <w:marBottom w:val="0"/>
      <w:divBdr>
        <w:top w:val="none" w:sz="0" w:space="0" w:color="auto"/>
        <w:left w:val="none" w:sz="0" w:space="0" w:color="auto"/>
        <w:bottom w:val="none" w:sz="0" w:space="0" w:color="auto"/>
        <w:right w:val="none" w:sz="0" w:space="0" w:color="auto"/>
      </w:divBdr>
    </w:div>
    <w:div w:id="1898737887">
      <w:bodyDiv w:val="1"/>
      <w:marLeft w:val="0"/>
      <w:marRight w:val="0"/>
      <w:marTop w:val="0"/>
      <w:marBottom w:val="0"/>
      <w:divBdr>
        <w:top w:val="none" w:sz="0" w:space="0" w:color="auto"/>
        <w:left w:val="none" w:sz="0" w:space="0" w:color="auto"/>
        <w:bottom w:val="none" w:sz="0" w:space="0" w:color="auto"/>
        <w:right w:val="none" w:sz="0" w:space="0" w:color="auto"/>
      </w:divBdr>
      <w:divsChild>
        <w:div w:id="1094323604">
          <w:marLeft w:val="0"/>
          <w:marRight w:val="0"/>
          <w:marTop w:val="0"/>
          <w:marBottom w:val="240"/>
          <w:divBdr>
            <w:top w:val="none" w:sz="0" w:space="0" w:color="auto"/>
            <w:left w:val="none" w:sz="0" w:space="0" w:color="auto"/>
            <w:bottom w:val="none" w:sz="0" w:space="0" w:color="auto"/>
            <w:right w:val="none" w:sz="0" w:space="0" w:color="auto"/>
          </w:divBdr>
        </w:div>
        <w:div w:id="1615289964">
          <w:marLeft w:val="0"/>
          <w:marRight w:val="0"/>
          <w:marTop w:val="0"/>
          <w:marBottom w:val="240"/>
          <w:divBdr>
            <w:top w:val="none" w:sz="0" w:space="0" w:color="auto"/>
            <w:left w:val="none" w:sz="0" w:space="0" w:color="auto"/>
            <w:bottom w:val="none" w:sz="0" w:space="0" w:color="auto"/>
            <w:right w:val="none" w:sz="0" w:space="0" w:color="auto"/>
          </w:divBdr>
        </w:div>
      </w:divsChild>
    </w:div>
    <w:div w:id="1986154535">
      <w:bodyDiv w:val="1"/>
      <w:marLeft w:val="0"/>
      <w:marRight w:val="0"/>
      <w:marTop w:val="0"/>
      <w:marBottom w:val="0"/>
      <w:divBdr>
        <w:top w:val="none" w:sz="0" w:space="0" w:color="auto"/>
        <w:left w:val="none" w:sz="0" w:space="0" w:color="auto"/>
        <w:bottom w:val="none" w:sz="0" w:space="0" w:color="auto"/>
        <w:right w:val="none" w:sz="0" w:space="0" w:color="auto"/>
      </w:divBdr>
    </w:div>
    <w:div w:id="2014457311">
      <w:bodyDiv w:val="1"/>
      <w:marLeft w:val="0"/>
      <w:marRight w:val="0"/>
      <w:marTop w:val="0"/>
      <w:marBottom w:val="0"/>
      <w:divBdr>
        <w:top w:val="none" w:sz="0" w:space="0" w:color="auto"/>
        <w:left w:val="none" w:sz="0" w:space="0" w:color="auto"/>
        <w:bottom w:val="none" w:sz="0" w:space="0" w:color="auto"/>
        <w:right w:val="none" w:sz="0" w:space="0" w:color="auto"/>
      </w:divBdr>
      <w:divsChild>
        <w:div w:id="175116649">
          <w:marLeft w:val="0"/>
          <w:marRight w:val="0"/>
          <w:marTop w:val="0"/>
          <w:marBottom w:val="0"/>
          <w:divBdr>
            <w:top w:val="none" w:sz="0" w:space="0" w:color="auto"/>
            <w:left w:val="none" w:sz="0" w:space="0" w:color="auto"/>
            <w:bottom w:val="none" w:sz="0" w:space="0" w:color="auto"/>
            <w:right w:val="none" w:sz="0" w:space="0" w:color="auto"/>
          </w:divBdr>
          <w:divsChild>
            <w:div w:id="380711156">
              <w:marLeft w:val="0"/>
              <w:marRight w:val="0"/>
              <w:marTop w:val="0"/>
              <w:marBottom w:val="0"/>
              <w:divBdr>
                <w:top w:val="none" w:sz="0" w:space="0" w:color="auto"/>
                <w:left w:val="none" w:sz="0" w:space="0" w:color="auto"/>
                <w:bottom w:val="none" w:sz="0" w:space="0" w:color="auto"/>
                <w:right w:val="none" w:sz="0" w:space="0" w:color="auto"/>
              </w:divBdr>
              <w:divsChild>
                <w:div w:id="16277625">
                  <w:marLeft w:val="-225"/>
                  <w:marRight w:val="-225"/>
                  <w:marTop w:val="0"/>
                  <w:marBottom w:val="0"/>
                  <w:divBdr>
                    <w:top w:val="none" w:sz="0" w:space="0" w:color="auto"/>
                    <w:left w:val="none" w:sz="0" w:space="0" w:color="auto"/>
                    <w:bottom w:val="none" w:sz="0" w:space="0" w:color="auto"/>
                    <w:right w:val="none" w:sz="0" w:space="0" w:color="auto"/>
                  </w:divBdr>
                  <w:divsChild>
                    <w:div w:id="127744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645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23A04-426C-49DB-8A78-2AC815EB4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3515</Words>
  <Characters>20042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October 2026 ACCS Agenda Item 02 - Advisory Commission on Charter Schools (CA State Board of Education)</vt:lpstr>
    </vt:vector>
  </TitlesOfParts>
  <Company/>
  <LinksUpToDate>false</LinksUpToDate>
  <CharactersWithSpaces>23510</CharactersWithSpaces>
  <SharedDoc>false</SharedDoc>
  <HLinks>
    <vt:vector size="12" baseType="variant">
      <vt:variant>
        <vt:i4>6946838</vt:i4>
      </vt:variant>
      <vt:variant>
        <vt:i4>3</vt:i4>
      </vt:variant>
      <vt:variant>
        <vt:i4>0</vt:i4>
      </vt:variant>
      <vt:variant>
        <vt:i4>5</vt:i4>
      </vt:variant>
      <vt:variant>
        <vt:lpwstr>mailto:RReyes@cde.ca.gov</vt:lpwstr>
      </vt:variant>
      <vt:variant>
        <vt:lpwstr/>
      </vt:variant>
      <vt:variant>
        <vt:i4>3407945</vt:i4>
      </vt:variant>
      <vt:variant>
        <vt:i4>0</vt:i4>
      </vt:variant>
      <vt:variant>
        <vt:i4>0</vt:i4>
      </vt:variant>
      <vt:variant>
        <vt:i4>5</vt:i4>
      </vt:variant>
      <vt:variant>
        <vt:lpwstr>mailto:VCale@cde.ca.gov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2026 ACCS Agenda Item 02 - Advisory Commission on Charter Schools (CA State Board of Education)</dc:title>
  <dc:subject>Appeal of a County Board of Education's Reversal of a Charter Revocation: Consider Whether the Twin Rivers Unified School District's Revocation of the Charter of Highlands Community Charter School Is Supported by Substantial Evidence, Pursuant to California Education Code Section 47607(i)(4).</dc:subject>
  <dc:creator/>
  <cp:keywords/>
  <cp:lastModifiedBy/>
  <cp:revision>1</cp:revision>
  <dcterms:created xsi:type="dcterms:W3CDTF">2026-09-25T17:32:00Z</dcterms:created>
  <dcterms:modified xsi:type="dcterms:W3CDTF">2026-09-30T19:03:00Z</dcterms:modified>
</cp:coreProperties>
</file>