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AB40" w14:textId="77777777" w:rsidR="00E47C29" w:rsidRDefault="00E47C29" w:rsidP="00E47C29">
      <w:r>
        <w:t>California Department of Education</w:t>
      </w:r>
    </w:p>
    <w:p w14:paraId="77A460CE" w14:textId="77777777" w:rsidR="00E47C29" w:rsidRDefault="00E47C29" w:rsidP="00E47C29">
      <w:r>
        <w:t>Executive Office</w:t>
      </w:r>
    </w:p>
    <w:p w14:paraId="7822C5A1" w14:textId="4E78CC55" w:rsidR="00E47C29" w:rsidRDefault="00E47C29" w:rsidP="00E47C29">
      <w:r>
        <w:t>SBE-</w:t>
      </w:r>
      <w:r w:rsidR="00C51D4A">
        <w:t>002</w:t>
      </w:r>
      <w:r>
        <w:t xml:space="preserve"> (REV. 1</w:t>
      </w:r>
      <w:r w:rsidR="0083362F">
        <w:t>0</w:t>
      </w:r>
      <w:r>
        <w:t>/20</w:t>
      </w:r>
      <w:r w:rsidR="0083362F">
        <w:t>21</w:t>
      </w:r>
      <w:r>
        <w:t>)</w:t>
      </w:r>
    </w:p>
    <w:p w14:paraId="6904A8FF" w14:textId="57E3AA0A" w:rsidR="00982A10" w:rsidRDefault="00E47C29" w:rsidP="000C5735">
      <w:pPr>
        <w:jc w:val="right"/>
        <w:sectPr w:rsidR="00982A10" w:rsidSect="0003599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1440" w:left="1440" w:header="720" w:footer="720" w:gutter="0"/>
          <w:cols w:num="2" w:space="144" w:equalWidth="0">
            <w:col w:w="5760" w:space="144"/>
            <w:col w:w="3456"/>
          </w:cols>
          <w:titlePg/>
          <w:docGrid w:linePitch="326"/>
        </w:sectPr>
      </w:pPr>
      <w:r>
        <w:br w:type="column"/>
      </w:r>
      <w:r w:rsidR="000C5735">
        <w:t>memo-</w:t>
      </w:r>
      <w:r w:rsidR="00FC0651">
        <w:t>l</w:t>
      </w:r>
      <w:r w:rsidR="000C5735">
        <w:t>ab-csd-</w:t>
      </w:r>
      <w:r w:rsidR="00FC0651">
        <w:t>apr23</w:t>
      </w:r>
      <w:r w:rsidR="000C5735">
        <w:t>item0</w:t>
      </w:r>
      <w:r w:rsidR="00271E85">
        <w:t>3</w:t>
      </w:r>
    </w:p>
    <w:p w14:paraId="72D4340C"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51DDA266" w14:textId="73B57AA3" w:rsidR="00F67575" w:rsidRPr="008B1135" w:rsidRDefault="00F67575" w:rsidP="00F67575">
      <w:pPr>
        <w:spacing w:after="360"/>
      </w:pPr>
      <w:r w:rsidRPr="008F6CA0">
        <w:rPr>
          <w:b/>
        </w:rPr>
        <w:t>DATE:</w:t>
      </w:r>
      <w:r w:rsidR="00E47C29">
        <w:t xml:space="preserve"> </w:t>
      </w:r>
      <w:r w:rsidR="0004237D">
        <w:tab/>
      </w:r>
      <w:r w:rsidR="00FC0651">
        <w:t>April 1</w:t>
      </w:r>
      <w:r w:rsidR="00FC28F6">
        <w:t>3</w:t>
      </w:r>
      <w:bookmarkStart w:id="0" w:name="_GoBack"/>
      <w:bookmarkEnd w:id="0"/>
      <w:r w:rsidR="00FC0651">
        <w:t>, 2023</w:t>
      </w:r>
    </w:p>
    <w:p w14:paraId="3EAC0E94" w14:textId="44A5C26C" w:rsidR="00F67575" w:rsidRPr="00C61F78" w:rsidRDefault="00F67575" w:rsidP="00F67575">
      <w:pPr>
        <w:spacing w:after="360"/>
        <w:ind w:left="1440" w:hanging="1440"/>
      </w:pPr>
      <w:r w:rsidRPr="008B1135">
        <w:rPr>
          <w:b/>
        </w:rPr>
        <w:t>TO:</w:t>
      </w:r>
      <w:r w:rsidR="00E47C29">
        <w:rPr>
          <w:b/>
        </w:rPr>
        <w:t xml:space="preserve"> </w:t>
      </w:r>
      <w:r w:rsidR="0004237D">
        <w:rPr>
          <w:b/>
        </w:rPr>
        <w:tab/>
      </w:r>
      <w:r w:rsidRPr="00C61F78">
        <w:t xml:space="preserve">MEMBERS, </w:t>
      </w:r>
      <w:r w:rsidR="00720D44">
        <w:t xml:space="preserve">California </w:t>
      </w:r>
      <w:r w:rsidRPr="00C61F78">
        <w:t>State Board of Education</w:t>
      </w:r>
    </w:p>
    <w:p w14:paraId="69B81057" w14:textId="77777777" w:rsidR="00F67575" w:rsidRPr="0033616F" w:rsidRDefault="00F67575" w:rsidP="00F67575">
      <w:pPr>
        <w:spacing w:after="360"/>
        <w:ind w:left="1440" w:hanging="1440"/>
      </w:pPr>
      <w:r w:rsidRPr="008B1135">
        <w:rPr>
          <w:b/>
        </w:rPr>
        <w:t>FROM:</w:t>
      </w:r>
      <w:r w:rsidR="00E47C29">
        <w:t xml:space="preserve"> </w:t>
      </w:r>
      <w:r w:rsidR="0004237D">
        <w:tab/>
      </w:r>
      <w:r w:rsidR="00CC7F23">
        <w:t>Tony Thurmond</w:t>
      </w:r>
      <w:r>
        <w:t xml:space="preserve">, </w:t>
      </w:r>
      <w:r w:rsidRPr="0033616F">
        <w:t>State Superintendent of Public Instruction</w:t>
      </w:r>
    </w:p>
    <w:p w14:paraId="5557CBDF" w14:textId="55D6D7FB" w:rsidR="00F67575" w:rsidRPr="00C61F78" w:rsidRDefault="00F67575" w:rsidP="00F67575">
      <w:pPr>
        <w:spacing w:after="360"/>
        <w:ind w:left="1440" w:hanging="1440"/>
      </w:pPr>
      <w:r w:rsidRPr="008B1135">
        <w:rPr>
          <w:b/>
        </w:rPr>
        <w:t>SUBJECT:</w:t>
      </w:r>
      <w:r w:rsidR="00E47C29">
        <w:rPr>
          <w:b/>
        </w:rPr>
        <w:t xml:space="preserve"> </w:t>
      </w:r>
      <w:r w:rsidR="0004237D">
        <w:rPr>
          <w:b/>
        </w:rPr>
        <w:tab/>
      </w:r>
      <w:r w:rsidR="00720D44" w:rsidRPr="00720D44">
        <w:rPr>
          <w:rFonts w:cs="Arial"/>
          <w:color w:val="000000"/>
        </w:rPr>
        <w:t>Funding Determination Requests for Charter School</w:t>
      </w:r>
      <w:r w:rsidR="00720D44">
        <w:rPr>
          <w:rFonts w:cs="Arial"/>
          <w:color w:val="000000"/>
        </w:rPr>
        <w:t>s Offering</w:t>
      </w:r>
      <w:r w:rsidR="00720D44" w:rsidRPr="00720D44">
        <w:rPr>
          <w:rFonts w:cs="Arial"/>
          <w:color w:val="000000"/>
        </w:rPr>
        <w:t xml:space="preserve"> Nonclassroom-Based Instruction</w:t>
      </w:r>
    </w:p>
    <w:p w14:paraId="243503ED" w14:textId="08D59A8C" w:rsidR="00F67575" w:rsidRDefault="00F67575">
      <w:pPr>
        <w:pStyle w:val="Heading2"/>
      </w:pPr>
      <w:r>
        <w:t>Summary o</w:t>
      </w:r>
      <w:r w:rsidRPr="008B1135">
        <w:t>f Key Issues</w:t>
      </w:r>
    </w:p>
    <w:p w14:paraId="23D59E8F" w14:textId="35011814" w:rsidR="007031CC" w:rsidRDefault="00E76BD3" w:rsidP="00BC03EA">
      <w:pPr>
        <w:spacing w:before="240" w:after="240"/>
        <w:rPr>
          <w:rFonts w:cs="Arial"/>
          <w:color w:val="000000"/>
        </w:rPr>
      </w:pPr>
      <w:r>
        <w:rPr>
          <w:rFonts w:cs="Arial"/>
          <w:color w:val="000000"/>
        </w:rPr>
        <w:t xml:space="preserve">Pursuant to California </w:t>
      </w:r>
      <w:r>
        <w:rPr>
          <w:rFonts w:cs="Arial"/>
          <w:i/>
          <w:color w:val="000000"/>
        </w:rPr>
        <w:t>Education Code</w:t>
      </w:r>
      <w:r w:rsidR="007031CC">
        <w:rPr>
          <w:rFonts w:cs="Arial"/>
          <w:i/>
          <w:color w:val="000000"/>
        </w:rPr>
        <w:t xml:space="preserve"> </w:t>
      </w:r>
      <w:r w:rsidR="007031CC">
        <w:rPr>
          <w:rFonts w:cs="Arial"/>
          <w:color w:val="000000"/>
        </w:rPr>
        <w:t>(</w:t>
      </w:r>
      <w:r w:rsidR="007031CC" w:rsidRPr="007031CC">
        <w:rPr>
          <w:rFonts w:cs="Arial"/>
          <w:i/>
          <w:color w:val="000000"/>
        </w:rPr>
        <w:t>EC</w:t>
      </w:r>
      <w:r w:rsidR="007031CC">
        <w:rPr>
          <w:rFonts w:cs="Arial"/>
          <w:color w:val="000000"/>
        </w:rPr>
        <w:t>)</w:t>
      </w:r>
      <w:r>
        <w:rPr>
          <w:rFonts w:cs="Arial"/>
          <w:i/>
          <w:color w:val="000000"/>
        </w:rPr>
        <w:t xml:space="preserve"> </w:t>
      </w:r>
      <w:r>
        <w:rPr>
          <w:rFonts w:cs="Arial"/>
          <w:color w:val="000000"/>
        </w:rPr>
        <w:t xml:space="preserve">sections 47612.5 and 47634.2, and associated </w:t>
      </w:r>
      <w:r>
        <w:rPr>
          <w:rFonts w:cs="Arial"/>
          <w:i/>
          <w:color w:val="000000"/>
        </w:rPr>
        <w:t>California Code of Regulations</w:t>
      </w:r>
      <w:r>
        <w:rPr>
          <w:rFonts w:cs="Arial"/>
          <w:color w:val="000000"/>
        </w:rPr>
        <w:t xml:space="preserve">, Title 5 (5 </w:t>
      </w:r>
      <w:r w:rsidRPr="00EC6C07">
        <w:rPr>
          <w:rFonts w:cs="Arial"/>
          <w:i/>
          <w:color w:val="000000"/>
        </w:rPr>
        <w:t>CCR</w:t>
      </w:r>
      <w:r>
        <w:rPr>
          <w:rFonts w:cs="Arial"/>
          <w:color w:val="000000"/>
        </w:rPr>
        <w:t xml:space="preserve">), in order for a charter school to receive funding for its nonclassroom-based (NCB) </w:t>
      </w:r>
      <w:r w:rsidR="00CC772E">
        <w:rPr>
          <w:rFonts w:cs="Arial"/>
          <w:color w:val="000000"/>
        </w:rPr>
        <w:t>instruction</w:t>
      </w:r>
      <w:r>
        <w:rPr>
          <w:rFonts w:cs="Arial"/>
          <w:color w:val="000000"/>
        </w:rPr>
        <w:t xml:space="preserve">, it must </w:t>
      </w:r>
      <w:r w:rsidR="00167999">
        <w:rPr>
          <w:rFonts w:cs="Arial"/>
          <w:color w:val="000000"/>
        </w:rPr>
        <w:t xml:space="preserve">obtain </w:t>
      </w:r>
      <w:r>
        <w:rPr>
          <w:rFonts w:cs="Arial"/>
          <w:color w:val="000000"/>
        </w:rPr>
        <w:t>a</w:t>
      </w:r>
      <w:r w:rsidR="007031CC">
        <w:rPr>
          <w:rFonts w:cs="Arial"/>
          <w:color w:val="000000"/>
        </w:rPr>
        <w:t xml:space="preserve">n </w:t>
      </w:r>
      <w:r>
        <w:rPr>
          <w:rFonts w:cs="Arial"/>
          <w:color w:val="000000"/>
        </w:rPr>
        <w:t>approved funding determination</w:t>
      </w:r>
      <w:r w:rsidR="007031CC">
        <w:rPr>
          <w:rFonts w:cs="Arial"/>
          <w:color w:val="000000"/>
        </w:rPr>
        <w:t xml:space="preserve"> </w:t>
      </w:r>
      <w:r w:rsidR="00167999">
        <w:rPr>
          <w:rFonts w:cs="Arial"/>
          <w:color w:val="000000"/>
        </w:rPr>
        <w:t xml:space="preserve">from </w:t>
      </w:r>
      <w:r w:rsidR="007031CC">
        <w:rPr>
          <w:rFonts w:cs="Arial"/>
          <w:color w:val="000000"/>
        </w:rPr>
        <w:t>the California State Board of Education (SBE)</w:t>
      </w:r>
      <w:r>
        <w:rPr>
          <w:rFonts w:cs="Arial"/>
          <w:color w:val="000000"/>
        </w:rPr>
        <w:t>.</w:t>
      </w:r>
    </w:p>
    <w:p w14:paraId="77C29608" w14:textId="26C8263C" w:rsidR="00942DE0" w:rsidRPr="00EC6C07" w:rsidRDefault="00E76BD3" w:rsidP="00BC03EA">
      <w:pPr>
        <w:spacing w:before="240" w:after="240"/>
        <w:rPr>
          <w:rFonts w:cs="Arial"/>
          <w:color w:val="000000"/>
        </w:rPr>
      </w:pPr>
      <w:r>
        <w:rPr>
          <w:rFonts w:cs="Arial"/>
          <w:color w:val="000000"/>
        </w:rPr>
        <w:t xml:space="preserve">The purpose of this </w:t>
      </w:r>
      <w:r w:rsidR="00720D44" w:rsidRPr="00720D44">
        <w:rPr>
          <w:rFonts w:cs="Arial"/>
          <w:color w:val="000000"/>
        </w:rPr>
        <w:t xml:space="preserve">Memorandum </w:t>
      </w:r>
      <w:r>
        <w:rPr>
          <w:rFonts w:cs="Arial"/>
          <w:color w:val="000000"/>
        </w:rPr>
        <w:t>is to provide</w:t>
      </w:r>
      <w:r w:rsidR="007031CC">
        <w:rPr>
          <w:rFonts w:cs="Arial"/>
          <w:color w:val="000000"/>
        </w:rPr>
        <w:t xml:space="preserve"> the SBE with</w:t>
      </w:r>
      <w:r>
        <w:rPr>
          <w:rFonts w:cs="Arial"/>
          <w:color w:val="000000"/>
        </w:rPr>
        <w:t xml:space="preserve"> background information on </w:t>
      </w:r>
      <w:r w:rsidR="00720D44">
        <w:rPr>
          <w:rFonts w:cs="Arial"/>
          <w:color w:val="000000"/>
        </w:rPr>
        <w:t>funding determination</w:t>
      </w:r>
      <w:r w:rsidR="00874207">
        <w:rPr>
          <w:rFonts w:cs="Arial"/>
          <w:color w:val="000000"/>
        </w:rPr>
        <w:t>s and the funding determination</w:t>
      </w:r>
      <w:r w:rsidR="00720D44">
        <w:rPr>
          <w:rFonts w:cs="Arial"/>
          <w:color w:val="000000"/>
        </w:rPr>
        <w:t xml:space="preserve"> request</w:t>
      </w:r>
      <w:r w:rsidR="00874207">
        <w:rPr>
          <w:rFonts w:cs="Arial"/>
          <w:color w:val="000000"/>
        </w:rPr>
        <w:t xml:space="preserve"> proces</w:t>
      </w:r>
      <w:r w:rsidR="00720D44">
        <w:rPr>
          <w:rFonts w:cs="Arial"/>
          <w:color w:val="000000"/>
        </w:rPr>
        <w:t>s</w:t>
      </w:r>
      <w:r>
        <w:rPr>
          <w:rFonts w:cs="Arial"/>
          <w:color w:val="000000"/>
        </w:rPr>
        <w:t>.</w:t>
      </w:r>
      <w:r w:rsidR="00AB2D8B">
        <w:rPr>
          <w:rFonts w:cs="Arial"/>
          <w:color w:val="000000"/>
        </w:rPr>
        <w:t xml:space="preserve"> </w:t>
      </w:r>
      <w:r w:rsidR="00720D44">
        <w:rPr>
          <w:rFonts w:cs="Arial"/>
          <w:color w:val="000000"/>
        </w:rPr>
        <w:t xml:space="preserve">Specifically, this Memorandum </w:t>
      </w:r>
      <w:r w:rsidR="003765B5">
        <w:rPr>
          <w:rFonts w:cs="Arial"/>
          <w:color w:val="000000"/>
        </w:rPr>
        <w:t xml:space="preserve">outlines </w:t>
      </w:r>
      <w:r w:rsidR="00BC03EA">
        <w:rPr>
          <w:rFonts w:cs="Arial"/>
          <w:color w:val="000000"/>
        </w:rPr>
        <w:t>the s</w:t>
      </w:r>
      <w:r w:rsidR="00EC6C07">
        <w:rPr>
          <w:rFonts w:cs="Arial"/>
          <w:color w:val="000000"/>
        </w:rPr>
        <w:t xml:space="preserve">tatutory and regulatory requirements </w:t>
      </w:r>
      <w:r w:rsidR="00942DE0">
        <w:rPr>
          <w:rFonts w:cs="Arial"/>
          <w:color w:val="000000"/>
        </w:rPr>
        <w:t>surrounding</w:t>
      </w:r>
      <w:r w:rsidR="00EC6C07">
        <w:rPr>
          <w:rFonts w:cs="Arial"/>
          <w:color w:val="000000"/>
        </w:rPr>
        <w:t xml:space="preserve"> funding determinatio</w:t>
      </w:r>
      <w:r w:rsidR="006630F4">
        <w:rPr>
          <w:rFonts w:cs="Arial"/>
          <w:color w:val="000000"/>
        </w:rPr>
        <w:t>ns</w:t>
      </w:r>
      <w:r w:rsidR="00BC03EA">
        <w:rPr>
          <w:rFonts w:cs="Arial"/>
          <w:color w:val="000000"/>
        </w:rPr>
        <w:t xml:space="preserve"> and provides information on the </w:t>
      </w:r>
      <w:r w:rsidR="00DE0825">
        <w:rPr>
          <w:rFonts w:cs="Arial"/>
          <w:color w:val="000000"/>
        </w:rPr>
        <w:t>California Department of Education</w:t>
      </w:r>
      <w:r w:rsidR="00BC03EA">
        <w:rPr>
          <w:rFonts w:cs="Arial"/>
          <w:color w:val="000000"/>
        </w:rPr>
        <w:t>’s</w:t>
      </w:r>
      <w:r w:rsidR="00DE0825">
        <w:rPr>
          <w:rFonts w:cs="Arial"/>
          <w:color w:val="000000"/>
        </w:rPr>
        <w:t xml:space="preserve"> (CDE</w:t>
      </w:r>
      <w:r w:rsidR="00BC03EA">
        <w:rPr>
          <w:rFonts w:cs="Arial"/>
          <w:color w:val="000000"/>
        </w:rPr>
        <w:t>’s</w:t>
      </w:r>
      <w:r w:rsidR="00DE0825">
        <w:rPr>
          <w:rFonts w:cs="Arial"/>
          <w:color w:val="000000"/>
        </w:rPr>
        <w:t xml:space="preserve">) </w:t>
      </w:r>
      <w:r w:rsidR="00BC03EA">
        <w:rPr>
          <w:rFonts w:cs="Arial"/>
          <w:color w:val="000000"/>
        </w:rPr>
        <w:t>implementation of those requirements.</w:t>
      </w:r>
    </w:p>
    <w:p w14:paraId="253AF060" w14:textId="5413EF17" w:rsidR="009E4F72" w:rsidRDefault="00831ED8" w:rsidP="006C0E09">
      <w:pPr>
        <w:pStyle w:val="Heading3"/>
      </w:pPr>
      <w:r>
        <w:t xml:space="preserve">Definition of </w:t>
      </w:r>
      <w:r w:rsidR="001A2B38">
        <w:t>Nonclassroom-Based Instruction</w:t>
      </w:r>
    </w:p>
    <w:p w14:paraId="5519CD22" w14:textId="0DE40CF1" w:rsidR="00522729" w:rsidRDefault="00522729" w:rsidP="00720D44">
      <w:pPr>
        <w:spacing w:before="240" w:after="240"/>
        <w:rPr>
          <w:rFonts w:cs="Arial"/>
        </w:rPr>
      </w:pPr>
      <w:r>
        <w:rPr>
          <w:rFonts w:cs="Arial"/>
        </w:rPr>
        <w:t xml:space="preserve">For the purposes of calculating </w:t>
      </w:r>
      <w:r w:rsidR="001A2B38">
        <w:rPr>
          <w:rFonts w:cs="Arial"/>
        </w:rPr>
        <w:t xml:space="preserve">apportionments for </w:t>
      </w:r>
      <w:r>
        <w:rPr>
          <w:rFonts w:cs="Arial"/>
        </w:rPr>
        <w:t xml:space="preserve">classroom-based </w:t>
      </w:r>
      <w:r w:rsidR="00CC772E">
        <w:rPr>
          <w:rFonts w:cs="Arial"/>
        </w:rPr>
        <w:t>average daily attendance (</w:t>
      </w:r>
      <w:r>
        <w:rPr>
          <w:rFonts w:cs="Arial"/>
        </w:rPr>
        <w:t>ADA</w:t>
      </w:r>
      <w:r w:rsidR="00CC772E">
        <w:rPr>
          <w:rFonts w:cs="Arial"/>
        </w:rPr>
        <w:t>)</w:t>
      </w:r>
      <w:r>
        <w:rPr>
          <w:rFonts w:cs="Arial"/>
        </w:rPr>
        <w:t xml:space="preserve">, </w:t>
      </w:r>
      <w:r>
        <w:rPr>
          <w:rFonts w:cs="Arial"/>
          <w:i/>
        </w:rPr>
        <w:t xml:space="preserve">EC </w:t>
      </w:r>
      <w:r>
        <w:rPr>
          <w:rFonts w:cs="Arial"/>
        </w:rPr>
        <w:t>Section 47612.5(e)(1) defines classroom-based instruction as follows:</w:t>
      </w:r>
    </w:p>
    <w:p w14:paraId="6C1FDCF6" w14:textId="3204DB79" w:rsidR="00522729" w:rsidRPr="00522729" w:rsidRDefault="00522729" w:rsidP="00522729">
      <w:pPr>
        <w:spacing w:before="240" w:after="240"/>
        <w:ind w:left="720"/>
        <w:rPr>
          <w:rFonts w:cs="Arial"/>
        </w:rPr>
      </w:pPr>
      <w:r>
        <w:rPr>
          <w:rFonts w:cs="Arial"/>
        </w:rPr>
        <w:t>…a</w:t>
      </w:r>
      <w:r w:rsidRPr="00522729">
        <w:rPr>
          <w:rFonts w:cs="Arial"/>
        </w:rPr>
        <w:t xml:space="preserve">t least 80 percent of the instructional time offered by the charter school shall be at the </w:t>
      </w:r>
      <w:proofErr w:type="spellStart"/>
      <w:r w:rsidRPr="00522729">
        <w:rPr>
          <w:rFonts w:cs="Arial"/>
        </w:rPr>
        <w:t>schoolsite</w:t>
      </w:r>
      <w:proofErr w:type="spellEnd"/>
      <w:r w:rsidRPr="00522729">
        <w:rPr>
          <w:rFonts w:cs="Arial"/>
        </w:rPr>
        <w:t xml:space="preserve">, and the charter school shall require the attendance of all pupils for whom a classroom-based apportionment is claimed at the </w:t>
      </w:r>
      <w:proofErr w:type="spellStart"/>
      <w:r w:rsidRPr="00522729">
        <w:rPr>
          <w:rFonts w:cs="Arial"/>
        </w:rPr>
        <w:t>schoolsite</w:t>
      </w:r>
      <w:proofErr w:type="spellEnd"/>
      <w:r w:rsidRPr="00522729">
        <w:rPr>
          <w:rFonts w:cs="Arial"/>
        </w:rPr>
        <w:t xml:space="preserve"> for at least 80 percent of the minimum instructional time required to be offered</w:t>
      </w:r>
      <w:r>
        <w:rPr>
          <w:rFonts w:cs="Arial"/>
        </w:rPr>
        <w:t>…</w:t>
      </w:r>
    </w:p>
    <w:p w14:paraId="12CB3248" w14:textId="25698E7B" w:rsidR="001A2B38" w:rsidRDefault="00B02B46" w:rsidP="00720D44">
      <w:pPr>
        <w:spacing w:before="240" w:after="240"/>
        <w:rPr>
          <w:rFonts w:cs="Arial"/>
        </w:rPr>
      </w:pPr>
      <w:r>
        <w:rPr>
          <w:rFonts w:cs="Arial"/>
          <w:i/>
        </w:rPr>
        <w:t xml:space="preserve">EC </w:t>
      </w:r>
      <w:r>
        <w:rPr>
          <w:rFonts w:cs="Arial"/>
        </w:rPr>
        <w:t>Section 47612.5(e)</w:t>
      </w:r>
      <w:r w:rsidR="00522729">
        <w:rPr>
          <w:rFonts w:cs="Arial"/>
        </w:rPr>
        <w:t xml:space="preserve">(2) </w:t>
      </w:r>
      <w:r>
        <w:rPr>
          <w:rFonts w:cs="Arial"/>
        </w:rPr>
        <w:t>specifies</w:t>
      </w:r>
      <w:r w:rsidR="00522729">
        <w:rPr>
          <w:rFonts w:cs="Arial"/>
        </w:rPr>
        <w:t xml:space="preserve"> that instruction that does not meet the requirements of classroom-based instruction</w:t>
      </w:r>
      <w:r w:rsidR="009E4F72">
        <w:rPr>
          <w:rFonts w:cs="Arial"/>
        </w:rPr>
        <w:t>,</w:t>
      </w:r>
      <w:r w:rsidR="00522729">
        <w:rPr>
          <w:rFonts w:cs="Arial"/>
        </w:rPr>
        <w:t xml:space="preserve"> constitute</w:t>
      </w:r>
      <w:r w:rsidR="009E4F72">
        <w:rPr>
          <w:rFonts w:cs="Arial"/>
        </w:rPr>
        <w:t>s</w:t>
      </w:r>
      <w:r w:rsidR="00522729">
        <w:rPr>
          <w:rFonts w:cs="Arial"/>
        </w:rPr>
        <w:t xml:space="preserve"> NCB instruction.</w:t>
      </w:r>
    </w:p>
    <w:p w14:paraId="7C9B9D2E" w14:textId="67ED63EA" w:rsidR="00BC03EA" w:rsidRPr="00BC03EA" w:rsidRDefault="00BC03EA" w:rsidP="00720D44">
      <w:pPr>
        <w:spacing w:before="240" w:after="240"/>
        <w:rPr>
          <w:rFonts w:cs="Arial"/>
        </w:rPr>
      </w:pPr>
      <w:r>
        <w:rPr>
          <w:rFonts w:cs="Arial"/>
        </w:rPr>
        <w:t xml:space="preserve">Pursuant to the above </w:t>
      </w:r>
      <w:r w:rsidR="007031CC">
        <w:rPr>
          <w:rFonts w:cs="Arial"/>
          <w:i/>
        </w:rPr>
        <w:t xml:space="preserve">EC </w:t>
      </w:r>
      <w:r w:rsidR="005C51E3">
        <w:rPr>
          <w:rFonts w:cs="Arial"/>
        </w:rPr>
        <w:t>S</w:t>
      </w:r>
      <w:r>
        <w:rPr>
          <w:rFonts w:cs="Arial"/>
        </w:rPr>
        <w:t xml:space="preserve">ection, a charter school is designated as NCB by the CDE if its </w:t>
      </w:r>
      <w:r w:rsidR="003765B5">
        <w:rPr>
          <w:rFonts w:cs="Arial"/>
        </w:rPr>
        <w:t xml:space="preserve">classroom-based ADA falls below 80 percent of its total ADA (i.e., its </w:t>
      </w:r>
      <w:r>
        <w:rPr>
          <w:rFonts w:cs="Arial"/>
        </w:rPr>
        <w:t>NCB ADA exceeds 20 percent of its total ADA</w:t>
      </w:r>
      <w:r w:rsidR="003765B5">
        <w:rPr>
          <w:rFonts w:cs="Arial"/>
        </w:rPr>
        <w:t>)</w:t>
      </w:r>
      <w:r>
        <w:rPr>
          <w:rFonts w:cs="Arial"/>
        </w:rPr>
        <w:t xml:space="preserve">. A charter school’s designation as NCB is </w:t>
      </w:r>
      <w:r>
        <w:rPr>
          <w:rFonts w:cs="Arial"/>
          <w:i/>
        </w:rPr>
        <w:t xml:space="preserve">not </w:t>
      </w:r>
      <w:r>
        <w:rPr>
          <w:rFonts w:cs="Arial"/>
        </w:rPr>
        <w:lastRenderedPageBreak/>
        <w:t xml:space="preserve">determined by its </w:t>
      </w:r>
      <w:r w:rsidR="007031CC">
        <w:rPr>
          <w:rFonts w:cs="Arial"/>
        </w:rPr>
        <w:t xml:space="preserve">past or present </w:t>
      </w:r>
      <w:r>
        <w:rPr>
          <w:rFonts w:cs="Arial"/>
        </w:rPr>
        <w:t xml:space="preserve">possession of an </w:t>
      </w:r>
      <w:r w:rsidR="007031CC">
        <w:rPr>
          <w:rFonts w:cs="Arial"/>
        </w:rPr>
        <w:t>SBE-approved</w:t>
      </w:r>
      <w:r>
        <w:rPr>
          <w:rFonts w:cs="Arial"/>
        </w:rPr>
        <w:t xml:space="preserve"> funding determination</w:t>
      </w:r>
      <w:r w:rsidR="003765B5">
        <w:rPr>
          <w:rFonts w:cs="Arial"/>
        </w:rPr>
        <w:t>.</w:t>
      </w:r>
    </w:p>
    <w:p w14:paraId="0BCAEC8E" w14:textId="43C081E1" w:rsidR="001A2B38" w:rsidRDefault="005C51E3" w:rsidP="006C0E09">
      <w:pPr>
        <w:pStyle w:val="Heading3"/>
      </w:pPr>
      <w:r>
        <w:t>Eligibility</w:t>
      </w:r>
      <w:r w:rsidR="00831ED8">
        <w:t xml:space="preserve"> Requirements</w:t>
      </w:r>
      <w:r w:rsidR="00E76BD3">
        <w:t xml:space="preserve"> </w:t>
      </w:r>
      <w:r>
        <w:t xml:space="preserve">and Criteria </w:t>
      </w:r>
      <w:r w:rsidR="001A2B38">
        <w:t>for</w:t>
      </w:r>
      <w:r>
        <w:t xml:space="preserve"> Funding for</w:t>
      </w:r>
      <w:r w:rsidR="001A2B38">
        <w:t xml:space="preserve"> Nonclassroom-Based Instruction</w:t>
      </w:r>
    </w:p>
    <w:p w14:paraId="18356C5B" w14:textId="7F568389" w:rsidR="00B02B46" w:rsidRPr="00EC6C07" w:rsidRDefault="00EC6C07" w:rsidP="00EC6C07">
      <w:pPr>
        <w:spacing w:before="240" w:after="240"/>
        <w:rPr>
          <w:rFonts w:cs="Arial"/>
        </w:rPr>
      </w:pPr>
      <w:r>
        <w:rPr>
          <w:rFonts w:cs="Arial"/>
          <w:i/>
        </w:rPr>
        <w:t xml:space="preserve">EC </w:t>
      </w:r>
      <w:r>
        <w:rPr>
          <w:rFonts w:cs="Arial"/>
        </w:rPr>
        <w:t xml:space="preserve">Section </w:t>
      </w:r>
      <w:r w:rsidR="001A2B38">
        <w:rPr>
          <w:rFonts w:cs="Arial"/>
        </w:rPr>
        <w:t xml:space="preserve">47634.2 established the eligibility requirements for apportionment funding for </w:t>
      </w:r>
      <w:r w:rsidR="00E76BD3">
        <w:rPr>
          <w:rFonts w:cs="Arial"/>
        </w:rPr>
        <w:t xml:space="preserve">a </w:t>
      </w:r>
      <w:r w:rsidR="001A2B38">
        <w:rPr>
          <w:rFonts w:cs="Arial"/>
        </w:rPr>
        <w:t>charter school that offer</w:t>
      </w:r>
      <w:r w:rsidR="00E76BD3">
        <w:rPr>
          <w:rFonts w:cs="Arial"/>
        </w:rPr>
        <w:t>s</w:t>
      </w:r>
      <w:r w:rsidR="001A2B38">
        <w:rPr>
          <w:rFonts w:cs="Arial"/>
        </w:rPr>
        <w:t xml:space="preserve"> NCB instruction.</w:t>
      </w:r>
      <w:bookmarkStart w:id="1" w:name="_Hlk106108130"/>
      <w:r>
        <w:rPr>
          <w:rFonts w:cs="Arial"/>
        </w:rPr>
        <w:t xml:space="preserve"> Specifically, </w:t>
      </w:r>
      <w:r w:rsidR="00B02B46" w:rsidRPr="00A0798C">
        <w:rPr>
          <w:i/>
        </w:rPr>
        <w:t xml:space="preserve">EC </w:t>
      </w:r>
      <w:r w:rsidR="00B02B46" w:rsidRPr="00A0798C">
        <w:t>Section 47634.2(a)(1) provides the following:</w:t>
      </w:r>
    </w:p>
    <w:p w14:paraId="548AAFE8" w14:textId="372AC126" w:rsidR="00B02B46" w:rsidRPr="00A0798C" w:rsidRDefault="00B02B46" w:rsidP="00B02B46">
      <w:pPr>
        <w:spacing w:after="240"/>
        <w:ind w:left="720"/>
      </w:pPr>
      <w:r w:rsidRPr="00A0798C">
        <w:t xml:space="preserve">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A0798C">
        <w:t>schoolsites</w:t>
      </w:r>
      <w:proofErr w:type="spellEnd"/>
      <w:r w:rsidRPr="00A0798C">
        <w:t>, as defined in paragraph (3) of subdivision (d) of Section 47612.5, and the teacher-to-pupil ratio in the school.</w:t>
      </w:r>
    </w:p>
    <w:p w14:paraId="678B30BE" w14:textId="77777777" w:rsidR="00B02B46" w:rsidRPr="00A0798C" w:rsidRDefault="00B02B46" w:rsidP="00B02B46">
      <w:pPr>
        <w:spacing w:after="240"/>
      </w:pPr>
      <w:r w:rsidRPr="00A0798C">
        <w:rPr>
          <w:i/>
        </w:rPr>
        <w:t xml:space="preserve">EC </w:t>
      </w:r>
      <w:r w:rsidRPr="00A0798C">
        <w:t>Section 47634.2(a)(4) further states:</w:t>
      </w:r>
    </w:p>
    <w:p w14:paraId="0F4D29E0" w14:textId="1FFF814F" w:rsidR="005C51E3" w:rsidRDefault="00B02B46" w:rsidP="005C51E3">
      <w:pPr>
        <w:spacing w:after="240"/>
        <w:ind w:left="720"/>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218C6940" w14:textId="1B0C918B" w:rsidR="005C51E3" w:rsidRPr="00D44713" w:rsidRDefault="005C51E3" w:rsidP="005C51E3">
      <w:pPr>
        <w:spacing w:after="240"/>
        <w:rPr>
          <w:rFonts w:cs="Arial"/>
        </w:rPr>
      </w:pPr>
      <w:r>
        <w:t xml:space="preserve">Section 11963.4 of 5 </w:t>
      </w:r>
      <w:r>
        <w:rPr>
          <w:i/>
        </w:rPr>
        <w:t xml:space="preserve">CCR </w:t>
      </w:r>
      <w:r w:rsidR="003765B5">
        <w:t>specifies</w:t>
      </w:r>
      <w:r>
        <w:t xml:space="preserve"> that a</w:t>
      </w:r>
      <w:r w:rsidRPr="00A0798C">
        <w:t xml:space="preserve"> charter school may qualify for either 70 percent, 85 percent, or 100 percent funding, or may be denied (i.e., 0 percent funding)</w:t>
      </w:r>
      <w:r>
        <w:t xml:space="preserve"> for its NCB instruction. T</w:t>
      </w:r>
      <w:r w:rsidRPr="00D8166B">
        <w:rPr>
          <w:rFonts w:cs="Arial"/>
        </w:rPr>
        <w:t xml:space="preserve">o qualify for a </w:t>
      </w:r>
      <w:r>
        <w:rPr>
          <w:rFonts w:cs="Arial"/>
        </w:rPr>
        <w:t>r</w:t>
      </w:r>
      <w:r w:rsidRPr="00D8166B">
        <w:rPr>
          <w:rFonts w:cs="Arial"/>
        </w:rPr>
        <w:t xml:space="preserve">ecommendation </w:t>
      </w:r>
      <w:r>
        <w:rPr>
          <w:rFonts w:cs="Arial"/>
        </w:rPr>
        <w:t>for</w:t>
      </w:r>
      <w:r w:rsidRPr="00D8166B">
        <w:rPr>
          <w:rFonts w:cs="Arial"/>
        </w:rPr>
        <w:t xml:space="preserve"> 100 percent funding, a</w:t>
      </w:r>
      <w:r>
        <w:rPr>
          <w:rFonts w:cs="Arial"/>
        </w:rPr>
        <w:t xml:space="preserve"> </w:t>
      </w:r>
      <w:r w:rsidRPr="00D8166B">
        <w:rPr>
          <w:rFonts w:cs="Arial"/>
        </w:rPr>
        <w:t>charter</w:t>
      </w:r>
      <w:r w:rsidRPr="00D44713">
        <w:rPr>
          <w:rFonts w:cs="Arial"/>
        </w:rPr>
        <w:t xml:space="preserve"> school must meet the following criteria:</w:t>
      </w:r>
    </w:p>
    <w:p w14:paraId="22AE8874" w14:textId="77777777" w:rsidR="005C51E3" w:rsidRPr="00D44713" w:rsidRDefault="005C51E3" w:rsidP="005C51E3">
      <w:pPr>
        <w:numPr>
          <w:ilvl w:val="0"/>
          <w:numId w:val="36"/>
        </w:numPr>
        <w:spacing w:before="240" w:after="24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1CB59991" w14:textId="77777777" w:rsidR="005C51E3" w:rsidRDefault="005C51E3" w:rsidP="005C51E3">
      <w:pPr>
        <w:numPr>
          <w:ilvl w:val="0"/>
          <w:numId w:val="36"/>
        </w:numPr>
        <w:spacing w:before="240" w:after="24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7DD117D4" w14:textId="188B2068" w:rsidR="005C51E3" w:rsidRPr="00167DCA" w:rsidRDefault="005C51E3" w:rsidP="005C51E3">
      <w:pPr>
        <w:numPr>
          <w:ilvl w:val="0"/>
          <w:numId w:val="36"/>
        </w:numPr>
        <w:spacing w:before="100" w:beforeAutospacing="1" w:after="240"/>
        <w:rPr>
          <w:rFonts w:cs="Arial"/>
        </w:rPr>
      </w:pPr>
      <w:r>
        <w:rPr>
          <w:rFonts w:cs="Arial"/>
        </w:rPr>
        <w:t xml:space="preserve">Maintain a </w:t>
      </w:r>
      <w:r w:rsidRPr="00C02C2C">
        <w:rPr>
          <w:rFonts w:cs="Arial"/>
        </w:rPr>
        <w:t xml:space="preserve">ratio of </w:t>
      </w:r>
      <w:r w:rsidR="007031CC">
        <w:rPr>
          <w:rFonts w:cs="Arial"/>
        </w:rPr>
        <w:t>ADA</w:t>
      </w:r>
      <w:r>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 xml:space="preserve">does not exceed a </w:t>
      </w:r>
      <w:r>
        <w:rPr>
          <w:rFonts w:cs="Arial"/>
        </w:rPr>
        <w:t>pupil-to-teacher ratio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school operates.</w:t>
      </w:r>
    </w:p>
    <w:p w14:paraId="598C1D25" w14:textId="3E8ED385" w:rsidR="005C51E3" w:rsidRDefault="005C51E3" w:rsidP="005C51E3">
      <w:pPr>
        <w:spacing w:after="240"/>
      </w:pPr>
      <w:r w:rsidRPr="00A0798C">
        <w:t xml:space="preserve">The expenditure and PTR criteria for </w:t>
      </w:r>
      <w:r>
        <w:t>all</w:t>
      </w:r>
      <w:r w:rsidRPr="00A0798C">
        <w:t xml:space="preserve"> funding levels </w:t>
      </w:r>
      <w:r w:rsidR="003765B5">
        <w:t xml:space="preserve">for which a charter school may qualify to receive </w:t>
      </w:r>
      <w:r w:rsidRPr="00A0798C">
        <w:t>for</w:t>
      </w:r>
      <w:r w:rsidR="003765B5">
        <w:t xml:space="preserve"> its</w:t>
      </w:r>
      <w:r w:rsidRPr="00A0798C">
        <w:t xml:space="preserve"> NCB instruction </w:t>
      </w:r>
      <w:r>
        <w:t>are</w:t>
      </w:r>
      <w:r w:rsidRPr="00A0798C">
        <w:t xml:space="preserve"> </w:t>
      </w:r>
      <w:r>
        <w:t xml:space="preserve">specified in subsections (1) through (4) of 5 </w:t>
      </w:r>
      <w:r w:rsidRPr="00925776">
        <w:rPr>
          <w:i/>
        </w:rPr>
        <w:t>CCR</w:t>
      </w:r>
      <w:r w:rsidR="007031CC" w:rsidRPr="007031CC">
        <w:t xml:space="preserve"> </w:t>
      </w:r>
      <w:r w:rsidR="007031CC">
        <w:t xml:space="preserve">Section 11963.4. A summary of the criteria </w:t>
      </w:r>
      <w:r w:rsidR="00DC13C8">
        <w:t>is</w:t>
      </w:r>
      <w:r w:rsidR="007031CC">
        <w:t xml:space="preserve"> provided in the </w:t>
      </w:r>
      <w:r w:rsidRPr="00A0798C">
        <w:t>table below</w:t>
      </w:r>
      <w:r w:rsidR="007031CC">
        <w:t>:</w:t>
      </w:r>
    </w:p>
    <w:p w14:paraId="6F46FB77" w14:textId="12B1EB63" w:rsidR="005C51E3" w:rsidRPr="00A0798C" w:rsidRDefault="005C51E3" w:rsidP="005C51E3">
      <w:pPr>
        <w:pStyle w:val="TableHeader"/>
      </w:pPr>
      <w:r>
        <w:lastRenderedPageBreak/>
        <w:t xml:space="preserve">Funding Levels and Criteria for </w:t>
      </w:r>
      <w:r w:rsidR="007031CC">
        <w:t xml:space="preserve">Charter School </w:t>
      </w:r>
      <w:r>
        <w:t>Nonclassroom-Based Instruction</w:t>
      </w:r>
    </w:p>
    <w:tbl>
      <w:tblPr>
        <w:tblStyle w:val="TableGrid"/>
        <w:tblW w:w="0" w:type="auto"/>
        <w:tblLook w:val="04A0" w:firstRow="1" w:lastRow="0" w:firstColumn="1" w:lastColumn="0" w:noHBand="0" w:noVBand="1"/>
        <w:tblDescription w:val="Funding Levels and Criteria for Charter School Nonclassroom-Based Instruction"/>
      </w:tblPr>
      <w:tblGrid>
        <w:gridCol w:w="1615"/>
        <w:gridCol w:w="2578"/>
        <w:gridCol w:w="2578"/>
        <w:gridCol w:w="2579"/>
      </w:tblGrid>
      <w:tr w:rsidR="005C51E3" w:rsidRPr="00167DCA" w14:paraId="02DA0DAE" w14:textId="77777777" w:rsidTr="007751ED">
        <w:trPr>
          <w:cantSplit/>
          <w:tblHeader/>
        </w:trPr>
        <w:tc>
          <w:tcPr>
            <w:tcW w:w="1615" w:type="dxa"/>
            <w:shd w:val="clear" w:color="auto" w:fill="D9D9D9" w:themeFill="background1" w:themeFillShade="D9"/>
            <w:vAlign w:val="center"/>
          </w:tcPr>
          <w:p w14:paraId="1129FB12" w14:textId="77777777" w:rsidR="005C51E3" w:rsidRPr="00167DCA" w:rsidRDefault="005C51E3" w:rsidP="007751ED">
            <w:pPr>
              <w:jc w:val="center"/>
              <w:rPr>
                <w:b/>
              </w:rPr>
            </w:pPr>
            <w:r w:rsidRPr="00167DCA">
              <w:rPr>
                <w:b/>
              </w:rPr>
              <w:t>Funding Level</w:t>
            </w:r>
          </w:p>
        </w:tc>
        <w:tc>
          <w:tcPr>
            <w:tcW w:w="2578" w:type="dxa"/>
            <w:shd w:val="clear" w:color="auto" w:fill="D9D9D9" w:themeFill="background1" w:themeFillShade="D9"/>
            <w:vAlign w:val="center"/>
          </w:tcPr>
          <w:p w14:paraId="12919851" w14:textId="77777777" w:rsidR="005C51E3" w:rsidRPr="00167DCA" w:rsidRDefault="005C51E3" w:rsidP="007751ED">
            <w:pPr>
              <w:jc w:val="center"/>
              <w:rPr>
                <w:b/>
              </w:rPr>
            </w:pPr>
            <w:r w:rsidRPr="00167DCA">
              <w:rPr>
                <w:b/>
              </w:rPr>
              <w:t>Percent of Public Revenues Spent on Certificated Salaries and Benefits</w:t>
            </w:r>
          </w:p>
        </w:tc>
        <w:tc>
          <w:tcPr>
            <w:tcW w:w="2578" w:type="dxa"/>
            <w:shd w:val="clear" w:color="auto" w:fill="D9D9D9" w:themeFill="background1" w:themeFillShade="D9"/>
            <w:vAlign w:val="center"/>
          </w:tcPr>
          <w:p w14:paraId="768D066E" w14:textId="77777777" w:rsidR="005C51E3" w:rsidRPr="00167DCA" w:rsidRDefault="005C51E3" w:rsidP="007751ED">
            <w:pPr>
              <w:jc w:val="center"/>
              <w:rPr>
                <w:b/>
              </w:rPr>
            </w:pPr>
            <w:r w:rsidRPr="00167DCA">
              <w:rPr>
                <w:b/>
              </w:rPr>
              <w:t>Percent of All Revenues Spent on Instruction and Related Services</w:t>
            </w:r>
          </w:p>
        </w:tc>
        <w:tc>
          <w:tcPr>
            <w:tcW w:w="2579" w:type="dxa"/>
            <w:shd w:val="clear" w:color="auto" w:fill="D9D9D9" w:themeFill="background1" w:themeFillShade="D9"/>
            <w:vAlign w:val="center"/>
          </w:tcPr>
          <w:p w14:paraId="1B3CB435" w14:textId="0A0662FD" w:rsidR="005C51E3" w:rsidRPr="00167DCA" w:rsidRDefault="005C51E3" w:rsidP="007751ED">
            <w:pPr>
              <w:jc w:val="center"/>
              <w:rPr>
                <w:b/>
              </w:rPr>
            </w:pPr>
            <w:r w:rsidRPr="00167DCA">
              <w:rPr>
                <w:b/>
              </w:rPr>
              <w:t>Pupil-Teacher Ratio</w:t>
            </w:r>
            <w:r w:rsidR="0092048C">
              <w:rPr>
                <w:rStyle w:val="FootnoteReference"/>
                <w:b/>
              </w:rPr>
              <w:footnoteReference w:id="1"/>
            </w:r>
          </w:p>
        </w:tc>
      </w:tr>
      <w:tr w:rsidR="005C51E3" w:rsidRPr="00167DCA" w14:paraId="6BA2A9CA" w14:textId="77777777" w:rsidTr="007751ED">
        <w:trPr>
          <w:cantSplit/>
        </w:trPr>
        <w:tc>
          <w:tcPr>
            <w:tcW w:w="1615" w:type="dxa"/>
            <w:shd w:val="clear" w:color="auto" w:fill="auto"/>
            <w:vAlign w:val="center"/>
          </w:tcPr>
          <w:p w14:paraId="024B7713" w14:textId="77777777" w:rsidR="005C51E3" w:rsidRPr="00167DCA" w:rsidRDefault="005C51E3" w:rsidP="007751ED">
            <w:pPr>
              <w:jc w:val="center"/>
              <w:rPr>
                <w:b/>
              </w:rPr>
            </w:pPr>
            <w:r w:rsidRPr="00167DCA">
              <w:rPr>
                <w:b/>
              </w:rPr>
              <w:t>100%</w:t>
            </w:r>
          </w:p>
        </w:tc>
        <w:tc>
          <w:tcPr>
            <w:tcW w:w="2578" w:type="dxa"/>
            <w:shd w:val="clear" w:color="auto" w:fill="auto"/>
            <w:vAlign w:val="center"/>
          </w:tcPr>
          <w:p w14:paraId="2423C37C" w14:textId="77777777" w:rsidR="005C51E3" w:rsidRPr="00167DCA" w:rsidRDefault="005C51E3" w:rsidP="007751ED">
            <w:pPr>
              <w:jc w:val="center"/>
              <w:rPr>
                <w:b/>
              </w:rPr>
            </w:pPr>
            <w:r w:rsidRPr="00167DCA">
              <w:rPr>
                <w:rFonts w:cs="Arial"/>
              </w:rPr>
              <w:t>≥ 40%</w:t>
            </w:r>
          </w:p>
        </w:tc>
        <w:tc>
          <w:tcPr>
            <w:tcW w:w="2578" w:type="dxa"/>
            <w:shd w:val="clear" w:color="auto" w:fill="auto"/>
            <w:vAlign w:val="center"/>
          </w:tcPr>
          <w:p w14:paraId="0B0F43A3" w14:textId="77777777" w:rsidR="005C51E3" w:rsidRPr="00167DCA" w:rsidRDefault="005C51E3" w:rsidP="007751ED">
            <w:pPr>
              <w:jc w:val="center"/>
              <w:rPr>
                <w:b/>
              </w:rPr>
            </w:pPr>
            <w:r w:rsidRPr="00167DCA">
              <w:rPr>
                <w:rFonts w:cs="Arial"/>
              </w:rPr>
              <w:t>≥ 80</w:t>
            </w:r>
            <w:r w:rsidRPr="00167DCA">
              <w:t>%</w:t>
            </w:r>
          </w:p>
        </w:tc>
        <w:tc>
          <w:tcPr>
            <w:tcW w:w="2579" w:type="dxa"/>
            <w:shd w:val="clear" w:color="auto" w:fill="auto"/>
            <w:vAlign w:val="center"/>
          </w:tcPr>
          <w:p w14:paraId="63A27D02" w14:textId="77777777" w:rsidR="005C51E3" w:rsidRPr="00A0798C" w:rsidRDefault="005C51E3" w:rsidP="007751ED">
            <w:pPr>
              <w:jc w:val="center"/>
            </w:pPr>
            <w:r w:rsidRPr="00A0798C">
              <w:rPr>
                <w:rFonts w:cs="Arial"/>
              </w:rPr>
              <w:t>≤</w:t>
            </w:r>
            <w:r w:rsidRPr="00A0798C">
              <w:t xml:space="preserve"> 25 to 1</w:t>
            </w:r>
          </w:p>
        </w:tc>
      </w:tr>
      <w:tr w:rsidR="005C51E3" w:rsidRPr="00167DCA" w14:paraId="45A6D37F" w14:textId="77777777" w:rsidTr="007751ED">
        <w:trPr>
          <w:cantSplit/>
        </w:trPr>
        <w:tc>
          <w:tcPr>
            <w:tcW w:w="1615" w:type="dxa"/>
            <w:shd w:val="clear" w:color="auto" w:fill="auto"/>
            <w:vAlign w:val="center"/>
          </w:tcPr>
          <w:p w14:paraId="5A589215" w14:textId="77777777" w:rsidR="005C51E3" w:rsidRPr="00167DCA" w:rsidRDefault="005C51E3" w:rsidP="007751ED">
            <w:pPr>
              <w:jc w:val="center"/>
              <w:rPr>
                <w:b/>
              </w:rPr>
            </w:pPr>
            <w:r w:rsidRPr="00167DCA">
              <w:rPr>
                <w:b/>
              </w:rPr>
              <w:t>85%</w:t>
            </w:r>
          </w:p>
        </w:tc>
        <w:tc>
          <w:tcPr>
            <w:tcW w:w="2578" w:type="dxa"/>
            <w:shd w:val="clear" w:color="auto" w:fill="auto"/>
            <w:vAlign w:val="center"/>
          </w:tcPr>
          <w:p w14:paraId="12E91875" w14:textId="77777777" w:rsidR="005C51E3" w:rsidRPr="00167DCA" w:rsidRDefault="005C51E3" w:rsidP="007751ED">
            <w:pPr>
              <w:jc w:val="center"/>
            </w:pPr>
            <w:r w:rsidRPr="00167DCA">
              <w:rPr>
                <w:rFonts w:cs="Arial"/>
              </w:rPr>
              <w:t>≥ 40%</w:t>
            </w:r>
          </w:p>
        </w:tc>
        <w:tc>
          <w:tcPr>
            <w:tcW w:w="2578" w:type="dxa"/>
            <w:shd w:val="clear" w:color="auto" w:fill="auto"/>
            <w:vAlign w:val="center"/>
          </w:tcPr>
          <w:p w14:paraId="135BF867" w14:textId="77777777" w:rsidR="005C51E3" w:rsidRPr="00167DCA" w:rsidRDefault="005C51E3" w:rsidP="007751ED">
            <w:pPr>
              <w:jc w:val="center"/>
            </w:pPr>
            <w:r w:rsidRPr="00167DCA">
              <w:rPr>
                <w:rFonts w:cs="Arial"/>
              </w:rPr>
              <w:t>≥ 70</w:t>
            </w:r>
            <w:r w:rsidRPr="00167DCA">
              <w:t>%</w:t>
            </w:r>
          </w:p>
        </w:tc>
        <w:tc>
          <w:tcPr>
            <w:tcW w:w="2579" w:type="dxa"/>
            <w:shd w:val="clear" w:color="auto" w:fill="auto"/>
            <w:vAlign w:val="center"/>
          </w:tcPr>
          <w:p w14:paraId="4A554E3A" w14:textId="77777777" w:rsidR="005C51E3" w:rsidRPr="00167DCA" w:rsidRDefault="005C51E3" w:rsidP="007751ED">
            <w:pPr>
              <w:jc w:val="center"/>
            </w:pPr>
            <w:r w:rsidRPr="00167DCA">
              <w:t>Not Applicable</w:t>
            </w:r>
          </w:p>
        </w:tc>
      </w:tr>
      <w:tr w:rsidR="005C51E3" w:rsidRPr="00167DCA" w14:paraId="4DE56054" w14:textId="77777777" w:rsidTr="007751ED">
        <w:trPr>
          <w:cantSplit/>
        </w:trPr>
        <w:tc>
          <w:tcPr>
            <w:tcW w:w="1615" w:type="dxa"/>
            <w:shd w:val="clear" w:color="auto" w:fill="auto"/>
            <w:vAlign w:val="center"/>
          </w:tcPr>
          <w:p w14:paraId="2C0C9378" w14:textId="77777777" w:rsidR="005C51E3" w:rsidRPr="00167DCA" w:rsidRDefault="005C51E3" w:rsidP="007751ED">
            <w:pPr>
              <w:jc w:val="center"/>
              <w:rPr>
                <w:b/>
              </w:rPr>
            </w:pPr>
            <w:r w:rsidRPr="00167DCA">
              <w:rPr>
                <w:b/>
              </w:rPr>
              <w:t>70%</w:t>
            </w:r>
          </w:p>
        </w:tc>
        <w:tc>
          <w:tcPr>
            <w:tcW w:w="2578" w:type="dxa"/>
            <w:shd w:val="clear" w:color="auto" w:fill="auto"/>
            <w:vAlign w:val="center"/>
          </w:tcPr>
          <w:p w14:paraId="79821E62" w14:textId="77777777" w:rsidR="005C51E3" w:rsidRPr="00167DCA" w:rsidRDefault="005C51E3" w:rsidP="007751ED">
            <w:pPr>
              <w:jc w:val="center"/>
            </w:pPr>
            <w:r w:rsidRPr="00167DCA">
              <w:rPr>
                <w:rFonts w:cs="Arial"/>
              </w:rPr>
              <w:t>≥ 35%</w:t>
            </w:r>
          </w:p>
        </w:tc>
        <w:tc>
          <w:tcPr>
            <w:tcW w:w="2578" w:type="dxa"/>
            <w:shd w:val="clear" w:color="auto" w:fill="auto"/>
            <w:vAlign w:val="center"/>
          </w:tcPr>
          <w:p w14:paraId="0FD493DC" w14:textId="77777777" w:rsidR="005C51E3" w:rsidRPr="00167DCA" w:rsidRDefault="005C51E3" w:rsidP="007751ED">
            <w:pPr>
              <w:jc w:val="center"/>
            </w:pPr>
            <w:r w:rsidRPr="00167DCA">
              <w:rPr>
                <w:rFonts w:cs="Arial"/>
              </w:rPr>
              <w:t>≥ 60</w:t>
            </w:r>
            <w:r w:rsidRPr="00167DCA">
              <w:t>%</w:t>
            </w:r>
          </w:p>
        </w:tc>
        <w:tc>
          <w:tcPr>
            <w:tcW w:w="2579" w:type="dxa"/>
            <w:shd w:val="clear" w:color="auto" w:fill="auto"/>
            <w:vAlign w:val="center"/>
          </w:tcPr>
          <w:p w14:paraId="693914F1" w14:textId="77777777" w:rsidR="005C51E3" w:rsidRPr="00167DCA" w:rsidRDefault="005C51E3" w:rsidP="007751ED">
            <w:pPr>
              <w:jc w:val="center"/>
            </w:pPr>
            <w:r w:rsidRPr="00167DCA">
              <w:t>Not Applicable</w:t>
            </w:r>
          </w:p>
        </w:tc>
      </w:tr>
      <w:tr w:rsidR="005C51E3" w:rsidRPr="00167DCA" w14:paraId="5DA50D63" w14:textId="77777777" w:rsidTr="007751ED">
        <w:trPr>
          <w:cantSplit/>
        </w:trPr>
        <w:tc>
          <w:tcPr>
            <w:tcW w:w="1615" w:type="dxa"/>
            <w:shd w:val="clear" w:color="auto" w:fill="auto"/>
            <w:vAlign w:val="center"/>
          </w:tcPr>
          <w:p w14:paraId="73AD5D3D" w14:textId="77777777" w:rsidR="005C51E3" w:rsidRPr="00167DCA" w:rsidRDefault="005C51E3" w:rsidP="007751ED">
            <w:pPr>
              <w:jc w:val="center"/>
              <w:rPr>
                <w:b/>
              </w:rPr>
            </w:pPr>
            <w:r w:rsidRPr="00167DCA">
              <w:rPr>
                <w:b/>
              </w:rPr>
              <w:t>0%</w:t>
            </w:r>
          </w:p>
        </w:tc>
        <w:tc>
          <w:tcPr>
            <w:tcW w:w="2578" w:type="dxa"/>
            <w:shd w:val="clear" w:color="auto" w:fill="auto"/>
            <w:vAlign w:val="center"/>
          </w:tcPr>
          <w:p w14:paraId="5CDEEE7C" w14:textId="77777777" w:rsidR="005C51E3" w:rsidRPr="00167DCA" w:rsidRDefault="005C51E3" w:rsidP="007751ED">
            <w:pPr>
              <w:jc w:val="center"/>
            </w:pPr>
            <w:r w:rsidRPr="00167DCA">
              <w:rPr>
                <w:rFonts w:cs="Arial"/>
              </w:rPr>
              <w:t>&lt;</w:t>
            </w:r>
            <w:r w:rsidRPr="00167DCA">
              <w:t xml:space="preserve"> 35%</w:t>
            </w:r>
          </w:p>
        </w:tc>
        <w:tc>
          <w:tcPr>
            <w:tcW w:w="2578" w:type="dxa"/>
            <w:shd w:val="clear" w:color="auto" w:fill="auto"/>
            <w:vAlign w:val="center"/>
          </w:tcPr>
          <w:p w14:paraId="6F6FF8AA" w14:textId="77777777" w:rsidR="005C51E3" w:rsidRPr="00167DCA" w:rsidRDefault="005C51E3" w:rsidP="007751ED">
            <w:pPr>
              <w:jc w:val="center"/>
            </w:pPr>
            <w:r w:rsidRPr="00167DCA">
              <w:rPr>
                <w:rFonts w:cs="Arial"/>
              </w:rPr>
              <w:t>&lt; 60</w:t>
            </w:r>
            <w:r w:rsidRPr="00167DCA">
              <w:t>%</w:t>
            </w:r>
          </w:p>
        </w:tc>
        <w:tc>
          <w:tcPr>
            <w:tcW w:w="2579" w:type="dxa"/>
            <w:shd w:val="clear" w:color="auto" w:fill="auto"/>
            <w:vAlign w:val="center"/>
          </w:tcPr>
          <w:p w14:paraId="35A387FF" w14:textId="77777777" w:rsidR="005C51E3" w:rsidRPr="00167DCA" w:rsidRDefault="005C51E3" w:rsidP="007751ED">
            <w:pPr>
              <w:jc w:val="center"/>
            </w:pPr>
            <w:r w:rsidRPr="00167DCA">
              <w:t>Not Applicable</w:t>
            </w:r>
          </w:p>
        </w:tc>
      </w:tr>
    </w:tbl>
    <w:p w14:paraId="14D0EF83" w14:textId="1B89CD51" w:rsidR="00EC6C07" w:rsidRPr="00A0798C" w:rsidRDefault="00E76BD3" w:rsidP="006C0E09">
      <w:pPr>
        <w:pStyle w:val="Heading3"/>
      </w:pPr>
      <w:r>
        <w:t>Information</w:t>
      </w:r>
      <w:r w:rsidR="00831ED8">
        <w:t xml:space="preserve"> Collected for Funding Determination Requests</w:t>
      </w:r>
      <w:r w:rsidR="00EF238D">
        <w:t xml:space="preserve"> and Calculations for Funding Levels</w:t>
      </w:r>
    </w:p>
    <w:p w14:paraId="5504FB13" w14:textId="20D97C42" w:rsidR="006B08F0" w:rsidRDefault="003765B5" w:rsidP="00B02B46">
      <w:pPr>
        <w:spacing w:after="240"/>
      </w:pPr>
      <w:r>
        <w:t xml:space="preserve">The information collected and used to calculate the funding level for which a charter school qualifies to receive for its NCB instruction is outlined in 5 </w:t>
      </w:r>
      <w:r>
        <w:rPr>
          <w:i/>
        </w:rPr>
        <w:t xml:space="preserve">CCR </w:t>
      </w:r>
      <w:r>
        <w:t>Section 11963.3</w:t>
      </w:r>
      <w:r w:rsidR="00CB6F45">
        <w:t>.</w:t>
      </w:r>
      <w:r w:rsidR="00315314">
        <w:t xml:space="preserve"> The specific fiscal data required to be collected of a charter school requesting a funding determination includes, but is not limited to, the following:</w:t>
      </w:r>
    </w:p>
    <w:p w14:paraId="5F90339B" w14:textId="52594098" w:rsidR="006B08F0" w:rsidRDefault="006623DC" w:rsidP="006B08F0">
      <w:pPr>
        <w:pStyle w:val="ListParagraph"/>
        <w:numPr>
          <w:ilvl w:val="0"/>
          <w:numId w:val="37"/>
        </w:numPr>
        <w:spacing w:after="240"/>
        <w:contextualSpacing w:val="0"/>
      </w:pPr>
      <w:r>
        <w:t>T</w:t>
      </w:r>
      <w:r w:rsidR="006B08F0">
        <w:t xml:space="preserve">otal resources, including all federal, state, </w:t>
      </w:r>
      <w:r w:rsidR="004938AE">
        <w:t xml:space="preserve">and </w:t>
      </w:r>
      <w:r w:rsidR="006B08F0">
        <w:t>local revenue</w:t>
      </w:r>
      <w:r w:rsidR="00F8617E">
        <w:t xml:space="preserve">, </w:t>
      </w:r>
      <w:r w:rsidR="004938AE">
        <w:t xml:space="preserve">and </w:t>
      </w:r>
      <w:r w:rsidR="00F8617E">
        <w:t>other financing sources</w:t>
      </w:r>
    </w:p>
    <w:p w14:paraId="3B37E9A5" w14:textId="4A8FBE2F" w:rsidR="006B08F0" w:rsidRDefault="006623DC" w:rsidP="006B08F0">
      <w:pPr>
        <w:pStyle w:val="ListParagraph"/>
        <w:numPr>
          <w:ilvl w:val="0"/>
          <w:numId w:val="37"/>
        </w:numPr>
        <w:spacing w:after="240"/>
        <w:contextualSpacing w:val="0"/>
      </w:pPr>
      <w:r>
        <w:t>Total expenditures for instruction and related services</w:t>
      </w:r>
    </w:p>
    <w:p w14:paraId="077FEB71" w14:textId="36D5241D" w:rsidR="006623DC" w:rsidRDefault="006623DC" w:rsidP="006B08F0">
      <w:pPr>
        <w:pStyle w:val="ListParagraph"/>
        <w:numPr>
          <w:ilvl w:val="0"/>
          <w:numId w:val="37"/>
        </w:numPr>
        <w:spacing w:after="240"/>
        <w:contextualSpacing w:val="0"/>
      </w:pPr>
      <w:r>
        <w:t>Total expenditures for school</w:t>
      </w:r>
      <w:r w:rsidR="00D54AAE">
        <w:t xml:space="preserve"> </w:t>
      </w:r>
      <w:r>
        <w:t>site and administrative site operations and facilities</w:t>
      </w:r>
    </w:p>
    <w:p w14:paraId="34BC7A2C" w14:textId="208347AF" w:rsidR="006623DC" w:rsidRDefault="006623DC" w:rsidP="006B08F0">
      <w:pPr>
        <w:pStyle w:val="ListParagraph"/>
        <w:numPr>
          <w:ilvl w:val="0"/>
          <w:numId w:val="37"/>
        </w:numPr>
        <w:spacing w:after="240"/>
        <w:contextualSpacing w:val="0"/>
      </w:pPr>
      <w:r>
        <w:t>Total expenditures for administration</w:t>
      </w:r>
    </w:p>
    <w:p w14:paraId="6761C95B" w14:textId="17865E9D" w:rsidR="006623DC" w:rsidRDefault="006623DC" w:rsidP="006B08F0">
      <w:pPr>
        <w:pStyle w:val="ListParagraph"/>
        <w:numPr>
          <w:ilvl w:val="0"/>
          <w:numId w:val="37"/>
        </w:numPr>
        <w:spacing w:after="240"/>
        <w:contextualSpacing w:val="0"/>
      </w:pPr>
      <w:r>
        <w:t>O</w:t>
      </w:r>
      <w:r w:rsidR="009C26FE">
        <w:t>ther outgo and other uses</w:t>
      </w:r>
      <w:r>
        <w:t>, including debt service payments and transfers</w:t>
      </w:r>
    </w:p>
    <w:p w14:paraId="48F4C862" w14:textId="2002E185" w:rsidR="006623DC" w:rsidRDefault="006623DC" w:rsidP="006B08F0">
      <w:pPr>
        <w:pStyle w:val="ListParagraph"/>
        <w:numPr>
          <w:ilvl w:val="0"/>
          <w:numId w:val="37"/>
        </w:numPr>
        <w:spacing w:after="240"/>
        <w:contextualSpacing w:val="0"/>
      </w:pPr>
      <w:r>
        <w:t>Revenues over expenditures</w:t>
      </w:r>
    </w:p>
    <w:p w14:paraId="299267EF" w14:textId="29D73B49" w:rsidR="006623DC" w:rsidRDefault="006623DC" w:rsidP="006B08F0">
      <w:pPr>
        <w:pStyle w:val="ListParagraph"/>
        <w:numPr>
          <w:ilvl w:val="0"/>
          <w:numId w:val="37"/>
        </w:numPr>
        <w:spacing w:after="240"/>
        <w:contextualSpacing w:val="0"/>
      </w:pPr>
      <w:r>
        <w:t>Reserves</w:t>
      </w:r>
    </w:p>
    <w:p w14:paraId="410A35B0" w14:textId="66534B00" w:rsidR="00D54AAE" w:rsidRDefault="00315314" w:rsidP="00D54AAE">
      <w:pPr>
        <w:spacing w:after="240"/>
      </w:pPr>
      <w:r>
        <w:t xml:space="preserve">In addition, 5 </w:t>
      </w:r>
      <w:r>
        <w:rPr>
          <w:i/>
        </w:rPr>
        <w:t xml:space="preserve">CCR </w:t>
      </w:r>
      <w:r>
        <w:t>S</w:t>
      </w:r>
      <w:r w:rsidR="00D54AAE">
        <w:t xml:space="preserve">ection 11963.3(b) states that a complete funding determination request shall include the following </w:t>
      </w:r>
      <w:r>
        <w:t xml:space="preserve">information of the </w:t>
      </w:r>
      <w:r w:rsidR="00D54AAE">
        <w:t>charter school:</w:t>
      </w:r>
    </w:p>
    <w:p w14:paraId="284869C3" w14:textId="0039815A" w:rsidR="00315314" w:rsidRDefault="00315314" w:rsidP="00114D06">
      <w:pPr>
        <w:pStyle w:val="ListParagraph"/>
        <w:numPr>
          <w:ilvl w:val="0"/>
          <w:numId w:val="37"/>
        </w:numPr>
        <w:spacing w:after="240"/>
      </w:pPr>
      <w:r>
        <w:t>Certification from the charter school’s director, principal, or board chair</w:t>
      </w:r>
    </w:p>
    <w:p w14:paraId="5550F727" w14:textId="1FCF909E" w:rsidR="00D54AAE" w:rsidRDefault="00256ADF" w:rsidP="00114D06">
      <w:pPr>
        <w:pStyle w:val="ListParagraph"/>
        <w:numPr>
          <w:ilvl w:val="0"/>
          <w:numId w:val="37"/>
        </w:numPr>
        <w:spacing w:after="240"/>
      </w:pPr>
      <w:r>
        <w:t>PTR</w:t>
      </w:r>
      <w:r w:rsidR="00114D06">
        <w:t xml:space="preserve">, calculated pursuant to 5 </w:t>
      </w:r>
      <w:r w:rsidR="00114D06">
        <w:rPr>
          <w:i/>
        </w:rPr>
        <w:t xml:space="preserve">CCR </w:t>
      </w:r>
      <w:r w:rsidR="00114D06">
        <w:t>Section 11704</w:t>
      </w:r>
    </w:p>
    <w:p w14:paraId="20E87B1E" w14:textId="2B6AE83A" w:rsidR="00D54AAE" w:rsidRDefault="00315314" w:rsidP="00114D06">
      <w:pPr>
        <w:pStyle w:val="ListParagraph"/>
        <w:numPr>
          <w:ilvl w:val="0"/>
          <w:numId w:val="37"/>
        </w:numPr>
        <w:spacing w:after="240"/>
      </w:pPr>
      <w:r>
        <w:t xml:space="preserve">Listing of </w:t>
      </w:r>
      <w:r w:rsidR="00D54AAE">
        <w:t>entities receiv</w:t>
      </w:r>
      <w:r w:rsidR="00114D06">
        <w:t xml:space="preserve">ing </w:t>
      </w:r>
      <w:r w:rsidR="00D54AAE">
        <w:t>$50,000 or 10 percent or more of total expenditures</w:t>
      </w:r>
    </w:p>
    <w:p w14:paraId="323C7864" w14:textId="08B6E646" w:rsidR="00D54AAE" w:rsidRDefault="00114D06" w:rsidP="00114D06">
      <w:pPr>
        <w:pStyle w:val="ListParagraph"/>
        <w:numPr>
          <w:ilvl w:val="0"/>
          <w:numId w:val="37"/>
        </w:numPr>
        <w:spacing w:after="240"/>
      </w:pPr>
      <w:r>
        <w:t>Identification of g</w:t>
      </w:r>
      <w:r w:rsidR="00D54AAE">
        <w:t>overning board members</w:t>
      </w:r>
    </w:p>
    <w:p w14:paraId="370AF6BD" w14:textId="3B738615" w:rsidR="00315314" w:rsidRDefault="00315314" w:rsidP="00114D06">
      <w:pPr>
        <w:pStyle w:val="ListParagraph"/>
        <w:numPr>
          <w:ilvl w:val="0"/>
          <w:numId w:val="37"/>
        </w:numPr>
        <w:spacing w:after="240"/>
      </w:pPr>
      <w:r>
        <w:t>Explanation of</w:t>
      </w:r>
      <w:r w:rsidR="00F6026A">
        <w:t xml:space="preserve"> outgo</w:t>
      </w:r>
      <w:r>
        <w:t xml:space="preserve"> transfers</w:t>
      </w:r>
    </w:p>
    <w:p w14:paraId="140803F0" w14:textId="52C0EA3E" w:rsidR="00315314" w:rsidRDefault="00F26513" w:rsidP="00114D06">
      <w:pPr>
        <w:pStyle w:val="ListParagraph"/>
        <w:numPr>
          <w:ilvl w:val="0"/>
          <w:numId w:val="37"/>
        </w:numPr>
        <w:spacing w:after="240"/>
      </w:pPr>
      <w:r>
        <w:t>E</w:t>
      </w:r>
      <w:r w:rsidR="00F6026A">
        <w:t xml:space="preserve">xplanation </w:t>
      </w:r>
      <w:r w:rsidR="00315314">
        <w:t>of reserves</w:t>
      </w:r>
      <w:r w:rsidR="003B38B6">
        <w:t xml:space="preserve">, if </w:t>
      </w:r>
      <w:r w:rsidR="00F6026A">
        <w:t>over the allowable amount</w:t>
      </w:r>
    </w:p>
    <w:p w14:paraId="5F4A47DE" w14:textId="18B1B075" w:rsidR="00315314" w:rsidRDefault="00315314" w:rsidP="00114D06">
      <w:pPr>
        <w:pStyle w:val="ListParagraph"/>
        <w:numPr>
          <w:ilvl w:val="0"/>
          <w:numId w:val="37"/>
        </w:numPr>
        <w:spacing w:after="240"/>
      </w:pPr>
      <w:r>
        <w:lastRenderedPageBreak/>
        <w:t>Facilit</w:t>
      </w:r>
      <w:r w:rsidR="00114D06">
        <w:t>y costs and square footage</w:t>
      </w:r>
    </w:p>
    <w:p w14:paraId="1ADF25A2" w14:textId="4CE86F0C" w:rsidR="00D54AAE" w:rsidRDefault="00D54AAE" w:rsidP="00114D06">
      <w:pPr>
        <w:pStyle w:val="ListParagraph"/>
        <w:numPr>
          <w:ilvl w:val="0"/>
          <w:numId w:val="37"/>
        </w:numPr>
        <w:spacing w:after="240"/>
      </w:pPr>
      <w:r>
        <w:t>Number of full-time equivalent employees with a valid teaching certificate</w:t>
      </w:r>
    </w:p>
    <w:p w14:paraId="4A35E557" w14:textId="502DD776" w:rsidR="0063726D" w:rsidRDefault="00C62314" w:rsidP="0063726D">
      <w:pPr>
        <w:spacing w:after="240"/>
      </w:pPr>
      <w:r>
        <w:t>T</w:t>
      </w:r>
      <w:r w:rsidR="00C6079D">
        <w:t>he</w:t>
      </w:r>
      <w:r w:rsidR="00CF0044">
        <w:t xml:space="preserve"> calculations</w:t>
      </w:r>
      <w:r w:rsidR="003765B5">
        <w:t xml:space="preserve"> to be used to determine the funding level for which a charter school qualifies for its NCB instruction</w:t>
      </w:r>
      <w:r>
        <w:t xml:space="preserve"> are provided in 5 </w:t>
      </w:r>
      <w:r>
        <w:rPr>
          <w:i/>
        </w:rPr>
        <w:t xml:space="preserve">CCR </w:t>
      </w:r>
      <w:r>
        <w:t>Section 11963.3(c):</w:t>
      </w:r>
    </w:p>
    <w:p w14:paraId="05C7AE1C" w14:textId="1A0F8EBB" w:rsidR="0063726D" w:rsidRDefault="0063726D" w:rsidP="0063726D">
      <w:pPr>
        <w:pStyle w:val="ListParagraph"/>
        <w:numPr>
          <w:ilvl w:val="0"/>
          <w:numId w:val="38"/>
        </w:numPr>
        <w:spacing w:after="240"/>
        <w:contextualSpacing w:val="0"/>
      </w:pPr>
      <w:r>
        <w:t>Calculate the charter school’s total expenditures on certificated staff salaries and benefits as a percentage of the charter school’s total public revenues</w:t>
      </w:r>
    </w:p>
    <w:p w14:paraId="3CE0586F" w14:textId="2DBCC783" w:rsidR="00B47503" w:rsidRDefault="0063726D" w:rsidP="00D54AAE">
      <w:pPr>
        <w:pStyle w:val="ListParagraph"/>
        <w:numPr>
          <w:ilvl w:val="0"/>
          <w:numId w:val="38"/>
        </w:numPr>
        <w:spacing w:after="240"/>
        <w:contextualSpacing w:val="0"/>
      </w:pPr>
      <w:r>
        <w:t>Calculate the charter school’s total expenditures on instruction and related services as a percentage of the charter school’s total revenues</w:t>
      </w:r>
    </w:p>
    <w:p w14:paraId="213211DD" w14:textId="171AEF2E" w:rsidR="00EF238D" w:rsidRDefault="00C62314" w:rsidP="00EF238D">
      <w:pPr>
        <w:spacing w:after="240"/>
      </w:pPr>
      <w:bookmarkStart w:id="2" w:name="_Hlk106108198"/>
      <w:bookmarkStart w:id="3" w:name="_Hlk38636967"/>
      <w:bookmarkEnd w:id="1"/>
      <w:r>
        <w:t xml:space="preserve">Pursuant to 5 </w:t>
      </w:r>
      <w:r>
        <w:rPr>
          <w:i/>
        </w:rPr>
        <w:t xml:space="preserve">CCR </w:t>
      </w:r>
      <w:r>
        <w:t>Section 11963.3(a), t</w:t>
      </w:r>
      <w:r w:rsidR="00EF238D">
        <w:t xml:space="preserve">he CDE collects </w:t>
      </w:r>
      <w:r>
        <w:t xml:space="preserve">all required information and performs the aforementioned calculations </w:t>
      </w:r>
      <w:r w:rsidR="00EF238D">
        <w:t>via the Funding Determination Form (FDF)</w:t>
      </w:r>
      <w:r w:rsidR="00741B24">
        <w:t xml:space="preserve">. The FDF is reviewed annually by CDE staff and is posted </w:t>
      </w:r>
      <w:r w:rsidR="00EF238D">
        <w:t xml:space="preserve">to the CDE NCB Determination of Funding web page at </w:t>
      </w:r>
      <w:hyperlink r:id="rId14" w:tooltip="CDE NCB Determination of Funding web page" w:history="1">
        <w:r w:rsidR="00EF238D" w:rsidRPr="005A5D2B">
          <w:rPr>
            <w:rStyle w:val="Hyperlink"/>
          </w:rPr>
          <w:t>https://www.cde.ca.gov/sp/ch/nclrbifunddet.asp</w:t>
        </w:r>
      </w:hyperlink>
      <w:r w:rsidR="00741B24">
        <w:t xml:space="preserve"> for charter school use</w:t>
      </w:r>
      <w:r w:rsidR="00EF238D">
        <w:t>.</w:t>
      </w:r>
    </w:p>
    <w:p w14:paraId="6510BA8D" w14:textId="37BF9C18" w:rsidR="00B374C7" w:rsidRDefault="00B374C7" w:rsidP="006C0E09">
      <w:pPr>
        <w:pStyle w:val="Heading3"/>
      </w:pPr>
      <w:r>
        <w:t>Deadlines to Submit Funding Determination Requests</w:t>
      </w:r>
    </w:p>
    <w:p w14:paraId="542C8FD9" w14:textId="41008537" w:rsidR="00B374C7" w:rsidRDefault="00741B24" w:rsidP="00B374C7">
      <w:pPr>
        <w:spacing w:before="240" w:after="240"/>
        <w:rPr>
          <w:rFonts w:cs="Arial"/>
        </w:rPr>
      </w:pPr>
      <w:r>
        <w:rPr>
          <w:rFonts w:cs="Arial"/>
        </w:rPr>
        <w:t>A</w:t>
      </w:r>
      <w:r w:rsidR="00B374C7">
        <w:rPr>
          <w:rFonts w:cs="Arial"/>
        </w:rPr>
        <w:t xml:space="preserve"> new charter school in its first year of operation shall submit a funding determination request by December 1</w:t>
      </w:r>
      <w:r>
        <w:rPr>
          <w:rFonts w:cs="Arial"/>
        </w:rPr>
        <w:t xml:space="preserve">, pursuant to 5 </w:t>
      </w:r>
      <w:r>
        <w:rPr>
          <w:rFonts w:cs="Arial"/>
          <w:i/>
        </w:rPr>
        <w:t xml:space="preserve">CCR </w:t>
      </w:r>
      <w:r>
        <w:rPr>
          <w:rFonts w:cs="Arial"/>
        </w:rPr>
        <w:t>Section 11963.6(a)</w:t>
      </w:r>
      <w:r w:rsidR="00B374C7">
        <w:rPr>
          <w:rFonts w:cs="Arial"/>
        </w:rPr>
        <w:t xml:space="preserve">. </w:t>
      </w:r>
      <w:r>
        <w:rPr>
          <w:rFonts w:cs="Arial"/>
        </w:rPr>
        <w:t>A</w:t>
      </w:r>
      <w:r w:rsidR="00B374C7">
        <w:rPr>
          <w:rFonts w:cs="Arial"/>
        </w:rPr>
        <w:t xml:space="preserve">n existing charter school must submit a </w:t>
      </w:r>
      <w:r>
        <w:rPr>
          <w:rFonts w:cs="Arial"/>
        </w:rPr>
        <w:t>renewal funding determination</w:t>
      </w:r>
      <w:r w:rsidR="00B374C7">
        <w:rPr>
          <w:rFonts w:cs="Arial"/>
        </w:rPr>
        <w:t xml:space="preserve"> request by February 1 </w:t>
      </w:r>
      <w:r>
        <w:rPr>
          <w:rFonts w:cs="Arial"/>
        </w:rPr>
        <w:t>of the</w:t>
      </w:r>
      <w:r w:rsidR="00B374C7">
        <w:rPr>
          <w:rFonts w:cs="Arial"/>
        </w:rPr>
        <w:t xml:space="preserve"> year prior to the year its current funding determination will expire</w:t>
      </w:r>
      <w:r>
        <w:rPr>
          <w:rFonts w:cs="Arial"/>
        </w:rPr>
        <w:t xml:space="preserve">, pursuant to 5 </w:t>
      </w:r>
      <w:r>
        <w:rPr>
          <w:rFonts w:cs="Arial"/>
          <w:i/>
        </w:rPr>
        <w:t xml:space="preserve">CCR </w:t>
      </w:r>
      <w:r>
        <w:rPr>
          <w:rFonts w:cs="Arial"/>
        </w:rPr>
        <w:t>Section 11963.6(c).</w:t>
      </w:r>
    </w:p>
    <w:p w14:paraId="6C271B72" w14:textId="33F532F4" w:rsidR="002577D2" w:rsidRDefault="00741B24" w:rsidP="00B374C7">
      <w:pPr>
        <w:spacing w:before="240" w:after="240"/>
        <w:rPr>
          <w:rFonts w:cs="Arial"/>
        </w:rPr>
      </w:pPr>
      <w:r>
        <w:rPr>
          <w:rFonts w:cs="Arial"/>
        </w:rPr>
        <w:t xml:space="preserve">In the months prior to the aforementioned deadlines, CDE staff issue regular reminders and conduct personalized outreach to charter schools </w:t>
      </w:r>
      <w:r w:rsidR="002577D2">
        <w:rPr>
          <w:rFonts w:cs="Arial"/>
        </w:rPr>
        <w:t xml:space="preserve">via </w:t>
      </w:r>
      <w:r w:rsidR="00D6390B">
        <w:rPr>
          <w:rFonts w:cs="Arial"/>
        </w:rPr>
        <w:t xml:space="preserve">both </w:t>
      </w:r>
      <w:r w:rsidR="002577D2">
        <w:rPr>
          <w:rFonts w:cs="Arial"/>
        </w:rPr>
        <w:t>email and phone</w:t>
      </w:r>
      <w:r>
        <w:rPr>
          <w:rFonts w:cs="Arial"/>
        </w:rPr>
        <w:t>.</w:t>
      </w:r>
      <w:r w:rsidR="002577D2">
        <w:rPr>
          <w:rFonts w:cs="Arial"/>
        </w:rPr>
        <w:t xml:space="preserve"> </w:t>
      </w:r>
      <w:r>
        <w:rPr>
          <w:rFonts w:cs="Arial"/>
        </w:rPr>
        <w:t>A c</w:t>
      </w:r>
      <w:r w:rsidR="003765B5">
        <w:rPr>
          <w:rFonts w:cs="Arial"/>
        </w:rPr>
        <w:t>harter school</w:t>
      </w:r>
      <w:r>
        <w:rPr>
          <w:rFonts w:cs="Arial"/>
        </w:rPr>
        <w:t xml:space="preserve"> </w:t>
      </w:r>
      <w:r w:rsidR="003765B5">
        <w:rPr>
          <w:rFonts w:cs="Arial"/>
        </w:rPr>
        <w:t>that do</w:t>
      </w:r>
      <w:r>
        <w:rPr>
          <w:rFonts w:cs="Arial"/>
        </w:rPr>
        <w:t>es</w:t>
      </w:r>
      <w:r w:rsidR="003765B5">
        <w:rPr>
          <w:rFonts w:cs="Arial"/>
        </w:rPr>
        <w:t xml:space="preserve"> not submit a funding determination request by the applicable deadline must go through the CDE waiver process to waive the deadline</w:t>
      </w:r>
      <w:r w:rsidR="00D6390B">
        <w:rPr>
          <w:rFonts w:cs="Arial"/>
        </w:rPr>
        <w:t>,</w:t>
      </w:r>
      <w:r>
        <w:rPr>
          <w:rFonts w:cs="Arial"/>
        </w:rPr>
        <w:t xml:space="preserve"> prior to submitting its funding determination request to the CDE.</w:t>
      </w:r>
    </w:p>
    <w:p w14:paraId="238AAF50" w14:textId="186D3A8C" w:rsidR="00FB44DF" w:rsidRDefault="00EF238D" w:rsidP="006C0E09">
      <w:pPr>
        <w:pStyle w:val="Heading3"/>
      </w:pPr>
      <w:r>
        <w:t>California Department of Education Review and Recommendation</w:t>
      </w:r>
    </w:p>
    <w:p w14:paraId="316BC189" w14:textId="51D415D7" w:rsidR="003765B5" w:rsidRPr="003765B5" w:rsidRDefault="003765B5" w:rsidP="003765B5">
      <w:pPr>
        <w:pStyle w:val="Heading4"/>
      </w:pPr>
      <w:r>
        <w:t>Funding Level</w:t>
      </w:r>
    </w:p>
    <w:p w14:paraId="3EAA89FC" w14:textId="4090C611" w:rsidR="00637A45" w:rsidRDefault="0005299D" w:rsidP="00EF238D">
      <w:pPr>
        <w:spacing w:after="240"/>
      </w:pPr>
      <w:r>
        <w:t>The CDE reviews all FDFs received for accuracy and completeness. The CDE requests corrections to charter schools’ FDFs as well as clarification of information submitted, as necessary.</w:t>
      </w:r>
      <w:r w:rsidR="00637A45">
        <w:t xml:space="preserve"> </w:t>
      </w:r>
    </w:p>
    <w:p w14:paraId="3F0DCF4F" w14:textId="2204615C" w:rsidR="006630F4" w:rsidRDefault="006630F4" w:rsidP="006630F4">
      <w:pPr>
        <w:spacing w:before="240" w:after="240"/>
      </w:pPr>
      <w:r>
        <w:t>The CDE reviews all funding determination requests in accordance with the aforementioned statutory and regulatory requirements. The CDE performs its own independent calculations of the percentage spent on certificated salaries and benefits, percentage spent on instruction and related services, and PTR.</w:t>
      </w:r>
    </w:p>
    <w:p w14:paraId="70D4CA7A" w14:textId="5074B5C6" w:rsidR="00EF238D" w:rsidRPr="004676F3" w:rsidRDefault="00EF238D" w:rsidP="00EF238D">
      <w:pPr>
        <w:spacing w:after="240"/>
      </w:pPr>
      <w:r>
        <w:t xml:space="preserve">The basis of the CDE’s recommendation for funding levels for charter schools </w:t>
      </w:r>
      <w:r w:rsidR="00702AAC">
        <w:t xml:space="preserve">is </w:t>
      </w:r>
      <w:r w:rsidR="002577D2">
        <w:t>guided by</w:t>
      </w:r>
      <w:r>
        <w:t xml:space="preserve"> the aforementioned calculations</w:t>
      </w:r>
      <w:r w:rsidRPr="00FC60AD">
        <w:t>.</w:t>
      </w:r>
      <w:r w:rsidR="004676F3" w:rsidRPr="00FC60AD">
        <w:t xml:space="preserve"> However, the CDE </w:t>
      </w:r>
      <w:r w:rsidR="00320D9F" w:rsidRPr="00FC60AD">
        <w:t xml:space="preserve">regularly asks </w:t>
      </w:r>
      <w:r w:rsidR="004676F3" w:rsidRPr="00FC60AD">
        <w:t>charter school</w:t>
      </w:r>
      <w:r w:rsidR="00320D9F" w:rsidRPr="00FC60AD">
        <w:t>s</w:t>
      </w:r>
      <w:r w:rsidR="004676F3" w:rsidRPr="00FC60AD">
        <w:t xml:space="preserve"> to </w:t>
      </w:r>
      <w:r w:rsidR="004676F3" w:rsidRPr="00FC60AD">
        <w:lastRenderedPageBreak/>
        <w:t>provide</w:t>
      </w:r>
      <w:r w:rsidR="001E236A" w:rsidRPr="00FC60AD">
        <w:t xml:space="preserve"> clarification or</w:t>
      </w:r>
      <w:r w:rsidR="004676F3" w:rsidRPr="00FC60AD">
        <w:t xml:space="preserve"> additional information in order to make possible a more detailed review</w:t>
      </w:r>
      <w:r w:rsidR="00320D9F" w:rsidRPr="00FC60AD">
        <w:t xml:space="preserve">, pursuant to 5 </w:t>
      </w:r>
      <w:r w:rsidR="00320D9F" w:rsidRPr="00FC60AD">
        <w:rPr>
          <w:i/>
        </w:rPr>
        <w:t xml:space="preserve">CCR </w:t>
      </w:r>
      <w:r w:rsidR="00320D9F" w:rsidRPr="00FC60AD">
        <w:t>Section 11963.4(b).</w:t>
      </w:r>
    </w:p>
    <w:p w14:paraId="22C6AE97" w14:textId="54960376" w:rsidR="003765B5" w:rsidRDefault="003765B5" w:rsidP="003765B5">
      <w:pPr>
        <w:pStyle w:val="Heading4"/>
      </w:pPr>
      <w:r>
        <w:t>Funding Period</w:t>
      </w:r>
    </w:p>
    <w:p w14:paraId="224295C7" w14:textId="7C45F4A1" w:rsidR="00DE0825" w:rsidRDefault="00B374C7" w:rsidP="00B02B46">
      <w:pPr>
        <w:spacing w:before="240" w:after="240"/>
        <w:rPr>
          <w:rFonts w:cs="Arial"/>
        </w:rPr>
      </w:pPr>
      <w:r w:rsidRPr="005B3F41">
        <w:rPr>
          <w:rFonts w:cs="Arial"/>
        </w:rPr>
        <w:t xml:space="preserve">Pursuant to </w:t>
      </w:r>
      <w:r w:rsidRPr="005B3F41">
        <w:rPr>
          <w:rFonts w:cs="Arial"/>
          <w:i/>
        </w:rPr>
        <w:t>EC</w:t>
      </w:r>
      <w:r w:rsidRPr="005B3F41">
        <w:rPr>
          <w:rFonts w:cs="Arial"/>
        </w:rPr>
        <w:t xml:space="preserve"> Section 47612.5(d)(2), a determination of funding may not exceed five years. </w:t>
      </w:r>
      <w:r w:rsidR="00F9631F">
        <w:rPr>
          <w:rFonts w:cs="Arial"/>
        </w:rPr>
        <w:t xml:space="preserve">Pursuant to 5 </w:t>
      </w:r>
      <w:r w:rsidR="00F9631F">
        <w:rPr>
          <w:rFonts w:cs="Arial"/>
          <w:i/>
        </w:rPr>
        <w:t xml:space="preserve">CCR </w:t>
      </w:r>
      <w:r w:rsidR="00F9631F">
        <w:rPr>
          <w:rFonts w:cs="Arial"/>
        </w:rPr>
        <w:t>Section 11963.6</w:t>
      </w:r>
      <w:r w:rsidR="00DE0825">
        <w:rPr>
          <w:rFonts w:cs="Arial"/>
        </w:rPr>
        <w:t>(a)</w:t>
      </w:r>
      <w:r w:rsidR="00F9631F">
        <w:rPr>
          <w:rFonts w:cs="Arial"/>
        </w:rPr>
        <w:t xml:space="preserve">, </w:t>
      </w:r>
      <w:r>
        <w:rPr>
          <w:rFonts w:cs="Arial"/>
        </w:rPr>
        <w:t xml:space="preserve">a funding determination submitted by a </w:t>
      </w:r>
      <w:r w:rsidR="00F9631F">
        <w:rPr>
          <w:rFonts w:cs="Arial"/>
        </w:rPr>
        <w:t xml:space="preserve">new charter school in its first year of operation shall </w:t>
      </w:r>
      <w:r w:rsidR="00F42F75">
        <w:rPr>
          <w:rFonts w:cs="Arial"/>
        </w:rPr>
        <w:t xml:space="preserve">be for a period of two fiscal years. </w:t>
      </w:r>
      <w:r w:rsidR="00DE0825">
        <w:rPr>
          <w:rFonts w:cs="Arial"/>
        </w:rPr>
        <w:t xml:space="preserve">Pursuant to 5 </w:t>
      </w:r>
      <w:r w:rsidR="00DE0825">
        <w:rPr>
          <w:rFonts w:cs="Arial"/>
          <w:i/>
        </w:rPr>
        <w:t xml:space="preserve">CCR </w:t>
      </w:r>
      <w:r w:rsidR="00DE0825">
        <w:rPr>
          <w:rFonts w:cs="Arial"/>
        </w:rPr>
        <w:t>Section 11963.6(c), a</w:t>
      </w:r>
      <w:r>
        <w:rPr>
          <w:rFonts w:cs="Arial"/>
        </w:rPr>
        <w:t xml:space="preserve"> funding determination submitted by an </w:t>
      </w:r>
      <w:r w:rsidR="00F42F75">
        <w:rPr>
          <w:rFonts w:cs="Arial"/>
        </w:rPr>
        <w:t xml:space="preserve">existing charter school with </w:t>
      </w:r>
      <w:r w:rsidR="003E2F3A">
        <w:rPr>
          <w:rFonts w:cs="Arial"/>
        </w:rPr>
        <w:t xml:space="preserve">an active funding determination </w:t>
      </w:r>
      <w:r w:rsidR="00DE0825">
        <w:rPr>
          <w:rFonts w:cs="Arial"/>
        </w:rPr>
        <w:t>shall be in increments of a minimum of two years and a maximum of five years in length.</w:t>
      </w:r>
    </w:p>
    <w:p w14:paraId="4215FCA3" w14:textId="0DBBEAE3" w:rsidR="00EF238D" w:rsidRDefault="00EF238D" w:rsidP="00EF238D">
      <w:pPr>
        <w:spacing w:before="240" w:after="240"/>
        <w:rPr>
          <w:rFonts w:cs="Arial"/>
        </w:rPr>
      </w:pPr>
      <w:r w:rsidRPr="005B3F41">
        <w:rPr>
          <w:rFonts w:cs="Arial"/>
        </w:rPr>
        <w:t>I</w:t>
      </w:r>
      <w:r w:rsidRPr="0032779B">
        <w:rPr>
          <w:rFonts w:cs="Arial"/>
        </w:rPr>
        <w:t>t</w:t>
      </w:r>
      <w:r w:rsidRPr="00D44713">
        <w:rPr>
          <w:rFonts w:cs="Arial"/>
        </w:rPr>
        <w:t xml:space="preserve"> is the CDE’s current practice to recommend time periods</w:t>
      </w:r>
      <w:r>
        <w:rPr>
          <w:rFonts w:cs="Arial"/>
        </w:rPr>
        <w:t xml:space="preserve"> between two to four years</w:t>
      </w:r>
      <w:r w:rsidRPr="00D44713">
        <w:rPr>
          <w:rFonts w:cs="Arial"/>
        </w:rPr>
        <w:t xml:space="preserve"> based on the </w:t>
      </w:r>
      <w:r>
        <w:rPr>
          <w:rFonts w:cs="Arial"/>
        </w:rPr>
        <w:t>number of times a charter school has received an approved funding determination by the SBE.</w:t>
      </w:r>
    </w:p>
    <w:p w14:paraId="790E6AF7" w14:textId="61F231E7" w:rsidR="00DE0825" w:rsidRDefault="00EF238D" w:rsidP="00B02B46">
      <w:pPr>
        <w:spacing w:before="240" w:after="240"/>
        <w:rPr>
          <w:rFonts w:cs="Arial"/>
        </w:rPr>
      </w:pP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w:t>
      </w:r>
      <w:r w:rsidRPr="00B5751E">
        <w:rPr>
          <w:rFonts w:cs="Arial"/>
        </w:rPr>
        <w:t>five-year funding determination periods.</w:t>
      </w:r>
    </w:p>
    <w:bookmarkEnd w:id="2"/>
    <w:bookmarkEnd w:id="3"/>
    <w:p w14:paraId="728B0B39" w14:textId="7FDE09D1" w:rsidR="00EF238D" w:rsidRPr="00D54AAE" w:rsidRDefault="00194BA0" w:rsidP="006C0E09">
      <w:pPr>
        <w:pStyle w:val="Heading3"/>
      </w:pPr>
      <w:r>
        <w:t>Hearing of Funding Determination Requests</w:t>
      </w:r>
    </w:p>
    <w:p w14:paraId="5B3A8BEE" w14:textId="14577505" w:rsidR="00EF238D" w:rsidRDefault="00EF238D" w:rsidP="00EF238D">
      <w:pPr>
        <w:spacing w:after="240"/>
      </w:pPr>
      <w:r>
        <w:t xml:space="preserve">Pursuant to 5 </w:t>
      </w:r>
      <w:r>
        <w:rPr>
          <w:i/>
        </w:rPr>
        <w:t xml:space="preserve">CCR </w:t>
      </w:r>
      <w:r>
        <w:t xml:space="preserve">Section 11963.4, upon receipt of a complete funding determination request, the CDE shall review and present the request to the Advisory Commission on Charter Schools (ACCS) who shall </w:t>
      </w:r>
      <w:r w:rsidRPr="00A0798C">
        <w:t>develop a recommendation to the SBE</w:t>
      </w:r>
      <w:r>
        <w:t>.</w:t>
      </w:r>
      <w:r w:rsidR="00D6390B">
        <w:t xml:space="preserve"> Both the CDE’s and ACCS’ recommendations are presented to the SBE.</w:t>
      </w:r>
    </w:p>
    <w:p w14:paraId="5E24F2CE" w14:textId="7262FA2F" w:rsidR="00D86FCC" w:rsidRPr="002577D2" w:rsidRDefault="00D86FCC" w:rsidP="00D86FCC">
      <w:pPr>
        <w:spacing w:before="240" w:after="240"/>
        <w:rPr>
          <w:rFonts w:cs="Arial"/>
        </w:rPr>
      </w:pPr>
      <w:r>
        <w:rPr>
          <w:rFonts w:cs="Arial"/>
        </w:rPr>
        <w:t xml:space="preserve">Funding determination requests submitted by </w:t>
      </w:r>
      <w:r w:rsidR="00B11E66">
        <w:rPr>
          <w:rFonts w:cs="Arial"/>
        </w:rPr>
        <w:t xml:space="preserve">December 1 from </w:t>
      </w:r>
      <w:r>
        <w:rPr>
          <w:rFonts w:cs="Arial"/>
        </w:rPr>
        <w:t xml:space="preserve">new charter schools offering NCB instruction are typically presented to the ACCS and the SBE at their February and March meetings, respectively. </w:t>
      </w:r>
      <w:r w:rsidR="00B11E66">
        <w:rPr>
          <w:rFonts w:cs="Arial"/>
        </w:rPr>
        <w:t>However, as the establishment of new NCB charter schools from January 1, 2020, to January 1, 2025, inclusive, is prohibited (</w:t>
      </w:r>
      <w:r>
        <w:rPr>
          <w:rFonts w:cs="Arial"/>
          <w:i/>
        </w:rPr>
        <w:t xml:space="preserve">EC </w:t>
      </w:r>
      <w:r>
        <w:rPr>
          <w:rFonts w:cs="Arial"/>
        </w:rPr>
        <w:t>Section 47612.7</w:t>
      </w:r>
      <w:r w:rsidR="00B11E66">
        <w:rPr>
          <w:rFonts w:cs="Arial"/>
        </w:rPr>
        <w:t>), the ACCS and SBE will not hear funding determination requests of this nature.</w:t>
      </w:r>
    </w:p>
    <w:p w14:paraId="02E1BD58" w14:textId="5531C775" w:rsidR="000F7A4C" w:rsidRDefault="00D86FCC" w:rsidP="00B11E66">
      <w:pPr>
        <w:spacing w:before="240" w:after="240"/>
        <w:rPr>
          <w:rFonts w:cs="Arial"/>
        </w:rPr>
      </w:pPr>
      <w:r>
        <w:rPr>
          <w:rFonts w:cs="Arial"/>
        </w:rPr>
        <w:t>Funding determination requests submitted by existing charter schools are typically presented to the ACCS and the SBE at their April and May meetings, respectively.</w:t>
      </w:r>
      <w:r w:rsidR="00B11E66">
        <w:rPr>
          <w:rFonts w:cs="Arial"/>
        </w:rPr>
        <w:t xml:space="preserve"> However, for fiscal years 2020–21 and 2021–22, certain charter schools were exempted from the requirement to obtain an approved funding determination from the SBE, pursuant to Senate Bill 820 Section 75 [Chapter 110, Statutes of 2020]</w:t>
      </w:r>
      <w:r w:rsidR="004938AE">
        <w:rPr>
          <w:rFonts w:cs="Arial"/>
        </w:rPr>
        <w:t>, which stated the following</w:t>
      </w:r>
      <w:r w:rsidR="00E40A06">
        <w:rPr>
          <w:rFonts w:cs="Arial"/>
        </w:rPr>
        <w:t>:</w:t>
      </w:r>
    </w:p>
    <w:p w14:paraId="7AB5D550" w14:textId="05A6F46F" w:rsidR="00AE48AE" w:rsidRDefault="000F7A4C" w:rsidP="00B11E66">
      <w:pPr>
        <w:spacing w:before="240" w:after="240"/>
        <w:ind w:left="720"/>
        <w:rPr>
          <w:rFonts w:cs="Arial"/>
        </w:rPr>
      </w:pPr>
      <w:r w:rsidRPr="000471CA">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w:t>
      </w:r>
      <w:r w:rsidR="00E40A06">
        <w:rPr>
          <w:rFonts w:cs="Arial"/>
        </w:rPr>
        <w:t xml:space="preserve"> </w:t>
      </w:r>
    </w:p>
    <w:p w14:paraId="5EBD41E1" w14:textId="188930E1" w:rsidR="004938AE" w:rsidRPr="00FC60AD" w:rsidRDefault="004938AE" w:rsidP="00B11E66">
      <w:pPr>
        <w:spacing w:before="240" w:after="240"/>
        <w:rPr>
          <w:rFonts w:cs="Arial"/>
        </w:rPr>
      </w:pPr>
      <w:r>
        <w:rPr>
          <w:rFonts w:cs="Arial"/>
        </w:rPr>
        <w:lastRenderedPageBreak/>
        <w:t xml:space="preserve">Due to SB 820, </w:t>
      </w:r>
      <w:r w:rsidR="00B11E66">
        <w:rPr>
          <w:rFonts w:cs="Arial"/>
        </w:rPr>
        <w:t xml:space="preserve">for the last two fiscal years, the ACCS and SBE have heard significantly fewer funding determination requests than in previous years. As SB 820 does not apply to fiscal years 2022–23 and beyond, the CDE anticipates the ACCS and SBE to </w:t>
      </w:r>
      <w:r w:rsidR="000F32A0">
        <w:rPr>
          <w:rFonts w:cs="Arial"/>
        </w:rPr>
        <w:t>return to</w:t>
      </w:r>
      <w:r w:rsidR="00F21091">
        <w:rPr>
          <w:rFonts w:cs="Arial"/>
        </w:rPr>
        <w:t xml:space="preserve"> he</w:t>
      </w:r>
      <w:r w:rsidR="00B11E66">
        <w:rPr>
          <w:rFonts w:cs="Arial"/>
        </w:rPr>
        <w:t xml:space="preserve">aring a large volume of funding determination requests at their April and May </w:t>
      </w:r>
      <w:r w:rsidR="00B11E66" w:rsidRPr="00FC60AD">
        <w:rPr>
          <w:rFonts w:cs="Arial"/>
        </w:rPr>
        <w:t>meetings, respectively.</w:t>
      </w:r>
      <w:r w:rsidRPr="00FC60AD">
        <w:rPr>
          <w:rFonts w:cs="Arial"/>
        </w:rPr>
        <w:t xml:space="preserve"> </w:t>
      </w:r>
    </w:p>
    <w:p w14:paraId="12DE214B" w14:textId="67F48DF6" w:rsidR="00B11E66" w:rsidRDefault="004676F3" w:rsidP="00B11E66">
      <w:pPr>
        <w:spacing w:before="240" w:after="240"/>
        <w:rPr>
          <w:rFonts w:cs="Arial"/>
        </w:rPr>
      </w:pPr>
      <w:r w:rsidRPr="00FC60AD">
        <w:rPr>
          <w:rFonts w:cs="Arial"/>
        </w:rPr>
        <w:t>T</w:t>
      </w:r>
      <w:r w:rsidR="004938AE" w:rsidRPr="00FC60AD">
        <w:rPr>
          <w:rFonts w:cs="Arial"/>
        </w:rPr>
        <w:t xml:space="preserve">he majority of funding determination requests </w:t>
      </w:r>
      <w:r w:rsidRPr="00FC60AD">
        <w:rPr>
          <w:rFonts w:cs="Arial"/>
        </w:rPr>
        <w:t>are</w:t>
      </w:r>
      <w:r w:rsidR="004938AE" w:rsidRPr="00FC60AD">
        <w:rPr>
          <w:rFonts w:cs="Arial"/>
        </w:rPr>
        <w:t xml:space="preserve"> presented to the ACCS and the SBE between February through May</w:t>
      </w:r>
      <w:r w:rsidRPr="00FC60AD">
        <w:rPr>
          <w:rFonts w:cs="Arial"/>
        </w:rPr>
        <w:t xml:space="preserve">. However, </w:t>
      </w:r>
      <w:r w:rsidR="00A41400" w:rsidRPr="00FC60AD">
        <w:rPr>
          <w:rFonts w:cs="Arial"/>
        </w:rPr>
        <w:t xml:space="preserve">other or additional circumstances may impact </w:t>
      </w:r>
      <w:r w:rsidRPr="00FC60AD">
        <w:rPr>
          <w:rFonts w:cs="Arial"/>
        </w:rPr>
        <w:t xml:space="preserve">the timing during which </w:t>
      </w:r>
      <w:r w:rsidR="004938AE" w:rsidRPr="00FC60AD">
        <w:rPr>
          <w:rFonts w:cs="Arial"/>
        </w:rPr>
        <w:t xml:space="preserve">funding determination requests </w:t>
      </w:r>
      <w:r w:rsidRPr="00FC60AD">
        <w:rPr>
          <w:rFonts w:cs="Arial"/>
        </w:rPr>
        <w:t xml:space="preserve">are </w:t>
      </w:r>
      <w:r w:rsidR="004938AE" w:rsidRPr="00FC60AD">
        <w:rPr>
          <w:rFonts w:cs="Arial"/>
        </w:rPr>
        <w:t>submitted by charter schools</w:t>
      </w:r>
      <w:r w:rsidRPr="00FC60AD">
        <w:rPr>
          <w:rFonts w:cs="Arial"/>
        </w:rPr>
        <w:t xml:space="preserve">. As such, funding determination requests </w:t>
      </w:r>
      <w:r w:rsidR="004938AE" w:rsidRPr="00FC60AD">
        <w:rPr>
          <w:rFonts w:cs="Arial"/>
        </w:rPr>
        <w:t>may be heard by the ACCS and SBE at other times throughout the year.</w:t>
      </w:r>
      <w:r w:rsidR="00A41400">
        <w:rPr>
          <w:rFonts w:cs="Arial"/>
        </w:rPr>
        <w:t xml:space="preserve"> </w:t>
      </w:r>
    </w:p>
    <w:p w14:paraId="068B00FA" w14:textId="77777777" w:rsidR="005354F0" w:rsidRDefault="005354F0" w:rsidP="006C0E09">
      <w:pPr>
        <w:pStyle w:val="Heading3"/>
      </w:pPr>
      <w:r>
        <w:t>Funding Determination Requests with Mitigating Circumstances</w:t>
      </w:r>
    </w:p>
    <w:p w14:paraId="1DB11B63" w14:textId="77777777" w:rsidR="005354F0" w:rsidRPr="000736F6" w:rsidRDefault="005354F0" w:rsidP="005354F0">
      <w:pPr>
        <w:spacing w:before="240" w:after="240"/>
        <w:rPr>
          <w:rFonts w:cs="Arial"/>
        </w:rPr>
      </w:pPr>
      <w:bookmarkStart w:id="4" w:name="_Hlk54774764"/>
      <w:bookmarkStart w:id="5" w:name="_Hlk54774739"/>
      <w:r>
        <w:rPr>
          <w:rFonts w:cs="Arial"/>
        </w:rPr>
        <w:t xml:space="preserve">For charter schools that do not meet the aforementioned requirements and criteria, 5 </w:t>
      </w:r>
      <w:r w:rsidRPr="000736F6">
        <w:rPr>
          <w:rFonts w:cs="Arial"/>
          <w:i/>
        </w:rPr>
        <w:t>CCR</w:t>
      </w:r>
      <w:r w:rsidRPr="000736F6">
        <w:rPr>
          <w:rFonts w:cs="Arial"/>
        </w:rPr>
        <w:t xml:space="preserve"> </w:t>
      </w:r>
      <w:r>
        <w:rPr>
          <w:rFonts w:cs="Arial"/>
        </w:rPr>
        <w:t xml:space="preserve">Section </w:t>
      </w:r>
      <w:r w:rsidRPr="000736F6">
        <w:rPr>
          <w:rFonts w:cs="Arial"/>
        </w:rPr>
        <w:t>11963.4(e)</w:t>
      </w:r>
      <w:r>
        <w:rPr>
          <w:rFonts w:cs="Arial"/>
        </w:rPr>
        <w:t xml:space="preserve"> </w:t>
      </w:r>
      <w:r w:rsidRPr="000736F6">
        <w:rPr>
          <w:rFonts w:cs="Arial"/>
        </w:rPr>
        <w:t xml:space="preserve">states that the ACCS may find a “reasonable basis” (also referred to as mitigating circumstances) by which to make a recommendation other than one that results from the criteria identified in regulations. Specifically, 5 </w:t>
      </w:r>
      <w:r w:rsidRPr="000736F6">
        <w:rPr>
          <w:rFonts w:cs="Arial"/>
          <w:i/>
        </w:rPr>
        <w:t>CCR</w:t>
      </w:r>
      <w:r w:rsidRPr="000736F6">
        <w:rPr>
          <w:rFonts w:cs="Arial"/>
        </w:rPr>
        <w:t xml:space="preserve"> Section 11963.4(e) allows the ACCS to consider “documented data regarding individual circumstances of the charter school” and provides examples of the types of mitigating circumstances that the ACCS might consider.</w:t>
      </w:r>
    </w:p>
    <w:p w14:paraId="2E747105" w14:textId="77777777" w:rsidR="005354F0" w:rsidRPr="000736F6" w:rsidRDefault="005354F0" w:rsidP="005354F0">
      <w:pPr>
        <w:spacing w:before="240" w:after="240"/>
        <w:rPr>
          <w:rFonts w:cs="Arial"/>
        </w:rPr>
      </w:pPr>
      <w:bookmarkStart w:id="6" w:name="_Hlk54774773"/>
      <w:bookmarkEnd w:id="4"/>
      <w:r w:rsidRPr="000736F6">
        <w:rPr>
          <w:rFonts w:cs="Arial"/>
        </w:rPr>
        <w:t xml:space="preserve">Pursuant to 5 </w:t>
      </w:r>
      <w:r w:rsidRPr="000736F6">
        <w:rPr>
          <w:rFonts w:cs="Arial"/>
          <w:i/>
        </w:rPr>
        <w:t>CCR</w:t>
      </w:r>
      <w:r w:rsidRPr="000736F6">
        <w:rPr>
          <w:rFonts w:cs="Arial"/>
        </w:rPr>
        <w:t xml:space="preserve"> Section 11963.4(e):</w:t>
      </w:r>
    </w:p>
    <w:p w14:paraId="44208E4E" w14:textId="344A7FF0" w:rsidR="005354F0" w:rsidRDefault="005354F0" w:rsidP="005354F0">
      <w:pPr>
        <w:spacing w:before="240" w:after="240"/>
        <w:ind w:left="720"/>
        <w:rPr>
          <w:rFonts w:cs="Arial"/>
        </w:rPr>
      </w:pPr>
      <w:bookmarkStart w:id="7" w:name="_Hlk54774791"/>
      <w:bookmarkEnd w:id="6"/>
      <w:r w:rsidRPr="000736F6">
        <w:rPr>
          <w:rFonts w:cs="Arial"/>
        </w:rPr>
        <w:t>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ADA or that are in their first year of operation serious consideration of full funding.</w:t>
      </w:r>
    </w:p>
    <w:p w14:paraId="353859F7" w14:textId="33387215" w:rsidR="00993ED1" w:rsidRDefault="00993ED1" w:rsidP="00993ED1">
      <w:pPr>
        <w:spacing w:after="240"/>
      </w:pPr>
      <w:r>
        <w:rPr>
          <w:rFonts w:cs="Arial"/>
        </w:rPr>
        <w:t>F</w:t>
      </w:r>
      <w:r w:rsidRPr="00BE214F">
        <w:rPr>
          <w:rFonts w:cs="Arial"/>
        </w:rPr>
        <w:t>or a charter school requesting the consideration of mitigating circumstances</w:t>
      </w:r>
      <w:r>
        <w:rPr>
          <w:rFonts w:cs="Arial"/>
        </w:rPr>
        <w:t xml:space="preserve">, the CDE is guided by 5 </w:t>
      </w:r>
      <w:r>
        <w:rPr>
          <w:rFonts w:cs="Arial"/>
          <w:i/>
        </w:rPr>
        <w:t xml:space="preserve">CCR </w:t>
      </w:r>
      <w:r>
        <w:rPr>
          <w:rFonts w:cs="Arial"/>
        </w:rPr>
        <w:t xml:space="preserve">Section 11963.4(e) and considers the unique or exceptional circumstances of the charter school as well as </w:t>
      </w:r>
      <w:r w:rsidR="00F21091">
        <w:rPr>
          <w:rFonts w:cs="Arial"/>
        </w:rPr>
        <w:t>the charter school’s</w:t>
      </w:r>
      <w:r w:rsidR="00F8617E">
        <w:rPr>
          <w:rFonts w:cs="Arial"/>
        </w:rPr>
        <w:t xml:space="preserve"> reserves and</w:t>
      </w:r>
      <w:r w:rsidR="00F21091">
        <w:rPr>
          <w:rFonts w:cs="Arial"/>
        </w:rPr>
        <w:t xml:space="preserve"> previous requests for the consideration of </w:t>
      </w:r>
      <w:r>
        <w:rPr>
          <w:rFonts w:cs="Arial"/>
        </w:rPr>
        <w:t>mitigating circumstances.</w:t>
      </w:r>
    </w:p>
    <w:p w14:paraId="29FE7F5F" w14:textId="06197564" w:rsidR="00993ED1" w:rsidRDefault="00993ED1" w:rsidP="00993ED1">
      <w:pPr>
        <w:spacing w:before="240" w:after="240"/>
        <w:rPr>
          <w:rFonts w:cs="Arial"/>
        </w:rPr>
      </w:pPr>
      <w:r w:rsidRPr="00BE214F">
        <w:rPr>
          <w:rFonts w:cs="Arial"/>
        </w:rPr>
        <w:lastRenderedPageBreak/>
        <w:t xml:space="preserve">The CDE recommends a funding determination period of two </w:t>
      </w:r>
      <w:r w:rsidR="00F21091">
        <w:rPr>
          <w:rFonts w:cs="Arial"/>
        </w:rPr>
        <w:t>fiscal years</w:t>
      </w:r>
      <w:r w:rsidRPr="00BE214F">
        <w:rPr>
          <w:rFonts w:cs="Arial"/>
        </w:rPr>
        <w:t xml:space="preserve"> for a charter school requesting the consideration of mitigating circumstances, regardless of the number of </w:t>
      </w:r>
      <w:r>
        <w:rPr>
          <w:rFonts w:cs="Arial"/>
        </w:rPr>
        <w:t>times it has received an approved funding determination by the SBE</w:t>
      </w:r>
      <w:r w:rsidRPr="00BE214F">
        <w:rPr>
          <w:rFonts w:cs="Arial"/>
        </w:rPr>
        <w:t>.</w:t>
      </w:r>
      <w:r w:rsidRPr="00194BA0">
        <w:rPr>
          <w:rFonts w:cs="Arial"/>
        </w:rPr>
        <w:t xml:space="preserve"> </w:t>
      </w:r>
      <w:r w:rsidRPr="0002535E">
        <w:rPr>
          <w:rFonts w:cs="Arial"/>
        </w:rPr>
        <w:t>A period of two years allows the CDE to timely revisit the school’s funding determination and ensure that the school meets the appropriate expenditure requirements for its approved level of funding for its NCB instruction.</w:t>
      </w:r>
    </w:p>
    <w:bookmarkEnd w:id="5"/>
    <w:bookmarkEnd w:id="7"/>
    <w:p w14:paraId="5723C6F1" w14:textId="237162A8" w:rsidR="00EF238D" w:rsidRDefault="00EF238D" w:rsidP="006C0E09">
      <w:pPr>
        <w:pStyle w:val="Heading3"/>
      </w:pPr>
      <w:r>
        <w:t>Reconsideration of Funding Determination Requests</w:t>
      </w:r>
    </w:p>
    <w:p w14:paraId="3100F218" w14:textId="7223372E" w:rsidR="00C83E3F" w:rsidRDefault="00492C5C" w:rsidP="00F1652F">
      <w:pPr>
        <w:spacing w:after="240"/>
        <w:rPr>
          <w:rFonts w:cs="Arial"/>
        </w:rPr>
      </w:pPr>
      <w:r>
        <w:rPr>
          <w:rFonts w:cs="Arial"/>
        </w:rPr>
        <w:t xml:space="preserve">Pursuant to </w:t>
      </w:r>
      <w:r>
        <w:rPr>
          <w:rFonts w:cs="Arial"/>
          <w:i/>
        </w:rPr>
        <w:t>5 CCR</w:t>
      </w:r>
      <w:r>
        <w:rPr>
          <w:rFonts w:cs="Arial"/>
        </w:rPr>
        <w:t xml:space="preserve"> Section 11963.6(g), i</w:t>
      </w:r>
      <w:r w:rsidR="003C5BCE">
        <w:rPr>
          <w:rFonts w:cs="Arial"/>
        </w:rPr>
        <w:t>f</w:t>
      </w:r>
      <w:r w:rsidR="00F1652F">
        <w:rPr>
          <w:rFonts w:cs="Arial"/>
        </w:rPr>
        <w:t>,</w:t>
      </w:r>
      <w:r w:rsidR="003C5BCE">
        <w:rPr>
          <w:rFonts w:cs="Arial"/>
        </w:rPr>
        <w:t xml:space="preserve"> during </w:t>
      </w:r>
      <w:r w:rsidR="00F1652F">
        <w:rPr>
          <w:rFonts w:cs="Arial"/>
        </w:rPr>
        <w:t xml:space="preserve">the effective period </w:t>
      </w:r>
      <w:r w:rsidR="00C916DF">
        <w:rPr>
          <w:rFonts w:cs="Arial"/>
        </w:rPr>
        <w:t>of its funding determination</w:t>
      </w:r>
      <w:r w:rsidR="00F1652F">
        <w:rPr>
          <w:rFonts w:cs="Arial"/>
        </w:rPr>
        <w:t>,</w:t>
      </w:r>
      <w:r w:rsidR="003C5BCE">
        <w:rPr>
          <w:rFonts w:cs="Arial"/>
        </w:rPr>
        <w:t xml:space="preserve"> a charter school wishes to seek a higher or lower determination of funding, it shall do so by the filing of a new determination of funding request for consideration by the SB</w:t>
      </w:r>
      <w:r>
        <w:rPr>
          <w:rFonts w:cs="Arial"/>
        </w:rPr>
        <w:t>E</w:t>
      </w:r>
      <w:r w:rsidR="003C5BCE" w:rsidRPr="00B2390C">
        <w:rPr>
          <w:rFonts w:cs="Arial"/>
        </w:rPr>
        <w:t>.</w:t>
      </w:r>
      <w:r w:rsidR="00F1652F">
        <w:rPr>
          <w:rFonts w:cs="Arial"/>
        </w:rPr>
        <w:t xml:space="preserve"> A </w:t>
      </w:r>
      <w:r w:rsidR="00C916DF">
        <w:rPr>
          <w:rFonts w:cs="Arial"/>
        </w:rPr>
        <w:t xml:space="preserve">charter </w:t>
      </w:r>
      <w:r w:rsidR="00F1652F">
        <w:rPr>
          <w:rFonts w:cs="Arial"/>
        </w:rPr>
        <w:t xml:space="preserve">school may submit no more than one reconsideration request per year. If approved by the SBE, the reconsideration request would replace the determination of funding then in effect. </w:t>
      </w:r>
      <w:r w:rsidR="00C83E3F" w:rsidRPr="00C83E3F">
        <w:rPr>
          <w:rFonts w:cs="Arial"/>
        </w:rPr>
        <w:t>A</w:t>
      </w:r>
      <w:r w:rsidR="00C916DF">
        <w:rPr>
          <w:rFonts w:cs="Arial"/>
        </w:rPr>
        <w:t xml:space="preserve"> charter</w:t>
      </w:r>
      <w:r w:rsidR="00C83E3F" w:rsidRPr="00C83E3F">
        <w:rPr>
          <w:rFonts w:cs="Arial"/>
        </w:rPr>
        <w:t xml:space="preserve"> school may not request an increase to the number of years </w:t>
      </w:r>
      <w:r w:rsidR="00C83E3F">
        <w:rPr>
          <w:rFonts w:cs="Arial"/>
        </w:rPr>
        <w:t>that the</w:t>
      </w:r>
      <w:r w:rsidR="00C83E3F" w:rsidRPr="00C83E3F">
        <w:rPr>
          <w:rFonts w:cs="Arial"/>
        </w:rPr>
        <w:t xml:space="preserve"> funding determination</w:t>
      </w:r>
      <w:r w:rsidR="00C83E3F">
        <w:rPr>
          <w:rFonts w:cs="Arial"/>
        </w:rPr>
        <w:t xml:space="preserve"> is active</w:t>
      </w:r>
      <w:r w:rsidR="00C83E3F" w:rsidRPr="00C83E3F">
        <w:rPr>
          <w:rFonts w:cs="Arial"/>
        </w:rPr>
        <w:t>, only the amount of funding received</w:t>
      </w:r>
      <w:r w:rsidR="00C83E3F">
        <w:rPr>
          <w:rFonts w:cs="Arial"/>
        </w:rPr>
        <w:t>.</w:t>
      </w:r>
      <w:r w:rsidR="00731706">
        <w:rPr>
          <w:rFonts w:cs="Arial"/>
        </w:rPr>
        <w:t xml:space="preserve"> A denial of a </w:t>
      </w:r>
      <w:r w:rsidR="00C916DF">
        <w:rPr>
          <w:rFonts w:cs="Arial"/>
        </w:rPr>
        <w:t xml:space="preserve">charter </w:t>
      </w:r>
      <w:r w:rsidR="00731706">
        <w:rPr>
          <w:rFonts w:cs="Arial"/>
        </w:rPr>
        <w:t>school’s reconsideration request means that the school’s current determination of funding remains in effect with no change.</w:t>
      </w:r>
    </w:p>
    <w:p w14:paraId="5DF94E4D" w14:textId="051BCF4A" w:rsidR="004676F3" w:rsidRDefault="00BF63DD" w:rsidP="004938AE">
      <w:pPr>
        <w:spacing w:after="240"/>
        <w:rPr>
          <w:rFonts w:cs="Arial"/>
        </w:rPr>
      </w:pPr>
      <w:r>
        <w:rPr>
          <w:rFonts w:cs="Arial"/>
        </w:rPr>
        <w:t xml:space="preserve">For </w:t>
      </w:r>
      <w:r w:rsidR="00C83E3F">
        <w:rPr>
          <w:rFonts w:cs="Arial"/>
        </w:rPr>
        <w:t>this</w:t>
      </w:r>
      <w:r>
        <w:rPr>
          <w:rFonts w:cs="Arial"/>
        </w:rPr>
        <w:t xml:space="preserve"> type</w:t>
      </w:r>
      <w:r w:rsidR="00C83E3F">
        <w:rPr>
          <w:rFonts w:cs="Arial"/>
        </w:rPr>
        <w:t xml:space="preserve"> </w:t>
      </w:r>
      <w:r>
        <w:rPr>
          <w:rFonts w:cs="Arial"/>
        </w:rPr>
        <w:t xml:space="preserve">of request, a </w:t>
      </w:r>
      <w:r w:rsidR="00C916DF">
        <w:rPr>
          <w:rFonts w:cs="Arial"/>
        </w:rPr>
        <w:t xml:space="preserve">charter </w:t>
      </w:r>
      <w:r>
        <w:rPr>
          <w:rFonts w:cs="Arial"/>
        </w:rPr>
        <w:t>school typically request</w:t>
      </w:r>
      <w:r w:rsidR="00C83E3F">
        <w:rPr>
          <w:rFonts w:cs="Arial"/>
        </w:rPr>
        <w:t>s</w:t>
      </w:r>
      <w:r>
        <w:rPr>
          <w:rFonts w:cs="Arial"/>
        </w:rPr>
        <w:t xml:space="preserve"> a higher amount of funding for the entire period</w:t>
      </w:r>
      <w:r w:rsidR="00492C5C">
        <w:rPr>
          <w:rFonts w:cs="Arial"/>
        </w:rPr>
        <w:t xml:space="preserve"> of the funding determination</w:t>
      </w:r>
      <w:r w:rsidR="009F25F6">
        <w:rPr>
          <w:rFonts w:cs="Arial"/>
        </w:rPr>
        <w:t>. H</w:t>
      </w:r>
      <w:r>
        <w:rPr>
          <w:rFonts w:cs="Arial"/>
        </w:rPr>
        <w:t xml:space="preserve">owever, the SBE may approve a modification of the funding </w:t>
      </w:r>
      <w:r w:rsidR="009F25F6">
        <w:rPr>
          <w:rFonts w:cs="Arial"/>
        </w:rPr>
        <w:t xml:space="preserve">determination </w:t>
      </w:r>
      <w:r>
        <w:rPr>
          <w:rFonts w:cs="Arial"/>
        </w:rPr>
        <w:t xml:space="preserve">for only one year, if </w:t>
      </w:r>
      <w:r w:rsidR="00492C5C">
        <w:rPr>
          <w:rFonts w:cs="Arial"/>
        </w:rPr>
        <w:t>deemed</w:t>
      </w:r>
      <w:r>
        <w:rPr>
          <w:rFonts w:cs="Arial"/>
        </w:rPr>
        <w:t xml:space="preserve"> appropriate</w:t>
      </w:r>
      <w:r w:rsidR="00C83E3F">
        <w:rPr>
          <w:rFonts w:cs="Arial"/>
        </w:rPr>
        <w:t xml:space="preserve">, </w:t>
      </w:r>
      <w:r w:rsidR="004676F3">
        <w:rPr>
          <w:rFonts w:cs="Arial"/>
        </w:rPr>
        <w:t>pursuant to</w:t>
      </w:r>
      <w:r w:rsidR="00C83E3F">
        <w:rPr>
          <w:rFonts w:cs="Arial"/>
        </w:rPr>
        <w:t xml:space="preserve"> 5 </w:t>
      </w:r>
      <w:r w:rsidR="00C83E3F">
        <w:rPr>
          <w:rFonts w:cs="Arial"/>
          <w:i/>
        </w:rPr>
        <w:t>CCR</w:t>
      </w:r>
      <w:r w:rsidR="00C83E3F">
        <w:rPr>
          <w:rFonts w:cs="Arial"/>
        </w:rPr>
        <w:t xml:space="preserve"> Section 11963.7</w:t>
      </w:r>
      <w:r w:rsidR="004676F3">
        <w:rPr>
          <w:rFonts w:cs="Arial"/>
        </w:rPr>
        <w:t>, which states</w:t>
      </w:r>
      <w:r w:rsidR="00C83E3F">
        <w:rPr>
          <w:rFonts w:cs="Arial"/>
        </w:rPr>
        <w:t>:</w:t>
      </w:r>
    </w:p>
    <w:p w14:paraId="7EA51744" w14:textId="77777777" w:rsidR="004676F3" w:rsidRDefault="00C83E3F" w:rsidP="004676F3">
      <w:pPr>
        <w:spacing w:after="240"/>
        <w:ind w:left="720"/>
        <w:rPr>
          <w:rFonts w:cs="Arial"/>
        </w:rPr>
      </w:pPr>
      <w:r>
        <w:rPr>
          <w:rFonts w:cs="Arial"/>
        </w:rPr>
        <w:t>Any multi-year funding determination approved by the State Board of Education may be modified by the State Board of Education, in terms of both the multi-year approval and the funding authorized.</w:t>
      </w:r>
    </w:p>
    <w:p w14:paraId="55297BD7" w14:textId="1AB794C0" w:rsidR="004938AE" w:rsidRDefault="00C83E3F" w:rsidP="004938AE">
      <w:pPr>
        <w:spacing w:after="240"/>
        <w:rPr>
          <w:rFonts w:cs="Arial"/>
        </w:rPr>
      </w:pPr>
      <w:r>
        <w:rPr>
          <w:rFonts w:cs="Arial"/>
        </w:rPr>
        <w:t xml:space="preserve">For example, if a </w:t>
      </w:r>
      <w:r w:rsidR="00C916DF">
        <w:rPr>
          <w:rFonts w:cs="Arial"/>
        </w:rPr>
        <w:t xml:space="preserve">charter </w:t>
      </w:r>
      <w:r>
        <w:rPr>
          <w:rFonts w:cs="Arial"/>
        </w:rPr>
        <w:t>school</w:t>
      </w:r>
      <w:r w:rsidR="00492C5C">
        <w:rPr>
          <w:rFonts w:cs="Arial"/>
        </w:rPr>
        <w:t>’s original determination of funding request</w:t>
      </w:r>
      <w:r>
        <w:rPr>
          <w:rFonts w:cs="Arial"/>
        </w:rPr>
        <w:t xml:space="preserve"> was approved for 85 percent funding for two years and </w:t>
      </w:r>
      <w:r w:rsidR="00115F38">
        <w:rPr>
          <w:rFonts w:cs="Arial"/>
        </w:rPr>
        <w:t xml:space="preserve">it </w:t>
      </w:r>
      <w:r>
        <w:rPr>
          <w:rFonts w:cs="Arial"/>
        </w:rPr>
        <w:t xml:space="preserve">has </w:t>
      </w:r>
      <w:r w:rsidR="00115F38">
        <w:rPr>
          <w:rFonts w:cs="Arial"/>
        </w:rPr>
        <w:t xml:space="preserve">subsequently </w:t>
      </w:r>
      <w:r>
        <w:rPr>
          <w:rFonts w:cs="Arial"/>
        </w:rPr>
        <w:t xml:space="preserve">submitted a reconsideration request to obtain 100 percent funding for those </w:t>
      </w:r>
      <w:r w:rsidR="00492C5C">
        <w:rPr>
          <w:rFonts w:cs="Arial"/>
        </w:rPr>
        <w:t xml:space="preserve">two </w:t>
      </w:r>
      <w:r>
        <w:rPr>
          <w:rFonts w:cs="Arial"/>
        </w:rPr>
        <w:t>years, the SBE may choose to modify only the second year of the funding determination for 100 percent funding.</w:t>
      </w:r>
    </w:p>
    <w:p w14:paraId="33D74912" w14:textId="08A82F5E" w:rsidR="00C916DF" w:rsidRDefault="00C916DF" w:rsidP="00C916DF">
      <w:pPr>
        <w:spacing w:after="240"/>
        <w:rPr>
          <w:rFonts w:cs="Arial"/>
        </w:rPr>
      </w:pPr>
      <w:r>
        <w:rPr>
          <w:rFonts w:cs="Arial"/>
        </w:rPr>
        <w:t xml:space="preserve">Upon receipt of a reconsideration of a funding determination request, the CDE considers information such as updated financial data indicating that the charter school meets the requirements for its requested level of funding. </w:t>
      </w:r>
      <w:r w:rsidRPr="00BF63DD">
        <w:t>A reconsideration request may</w:t>
      </w:r>
      <w:r>
        <w:t xml:space="preserve"> also</w:t>
      </w:r>
      <w:r w:rsidRPr="00BF63DD">
        <w:t xml:space="preserve"> include the consideration of mitigating circumstances.</w:t>
      </w:r>
    </w:p>
    <w:p w14:paraId="22AA5F1A" w14:textId="27CBEC00" w:rsidR="00F67575" w:rsidRPr="008B1135" w:rsidRDefault="00F67575" w:rsidP="004938AE">
      <w:pPr>
        <w:pStyle w:val="Heading2"/>
      </w:pPr>
      <w:r w:rsidRPr="008B1135">
        <w:t>Attachment</w:t>
      </w:r>
      <w:r w:rsidR="00EF238D">
        <w:t>s</w:t>
      </w:r>
    </w:p>
    <w:p w14:paraId="3C30E4B1" w14:textId="34751F89" w:rsidR="002674A4" w:rsidRDefault="00035992" w:rsidP="00720D44">
      <w:pPr>
        <w:pStyle w:val="ListParagraph"/>
        <w:numPr>
          <w:ilvl w:val="0"/>
          <w:numId w:val="6"/>
        </w:numPr>
        <w:spacing w:after="240"/>
        <w:contextualSpacing w:val="0"/>
      </w:pPr>
      <w:r>
        <w:rPr>
          <w:b/>
        </w:rPr>
        <w:t>Attachment 1</w:t>
      </w:r>
      <w:r w:rsidR="00720D44">
        <w:rPr>
          <w:b/>
        </w:rPr>
        <w:t xml:space="preserve">: </w:t>
      </w:r>
      <w:r w:rsidR="00F75338">
        <w:t xml:space="preserve">California </w:t>
      </w:r>
      <w:r w:rsidR="00F75338">
        <w:rPr>
          <w:i/>
        </w:rPr>
        <w:t>Education Code</w:t>
      </w:r>
      <w:r w:rsidR="00F75338">
        <w:t xml:space="preserve"> Sections Pertinent to Nonclassroom-Based Funding Determinations (5 Pages)</w:t>
      </w:r>
    </w:p>
    <w:p w14:paraId="412CF5DD" w14:textId="1C2C7543" w:rsidR="00EF238D" w:rsidRDefault="00EF238D" w:rsidP="00094851">
      <w:pPr>
        <w:pStyle w:val="ListParagraph"/>
        <w:numPr>
          <w:ilvl w:val="0"/>
          <w:numId w:val="6"/>
        </w:numPr>
        <w:spacing w:after="240"/>
        <w:contextualSpacing w:val="0"/>
      </w:pPr>
      <w:r>
        <w:rPr>
          <w:b/>
        </w:rPr>
        <w:t xml:space="preserve">Attachment 2: </w:t>
      </w:r>
      <w:r w:rsidR="00F75338">
        <w:rPr>
          <w:i/>
        </w:rPr>
        <w:t>California Code of Regulations</w:t>
      </w:r>
      <w:r w:rsidR="00F75338">
        <w:t>, Title 5 Sections Pertinent to Nonclassroom-Based Funding Determinations (13 Pages)</w:t>
      </w:r>
    </w:p>
    <w:sectPr w:rsidR="00EF238D" w:rsidSect="00247E7A">
      <w:type w:val="continuous"/>
      <w:pgSz w:w="12240" w:h="15840"/>
      <w:pgMar w:top="720" w:right="1440" w:bottom="99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DCA1" w16cex:dateUtc="2023-02-01T20:42:00Z"/>
  <w16cex:commentExtensible w16cex:durableId="2784DCB3" w16cex:dateUtc="2023-02-01T20:42:00Z"/>
  <w16cex:commentExtensible w16cex:durableId="2784DCE2" w16cex:dateUtc="2023-02-01T20:43:00Z"/>
  <w16cex:commentExtensible w16cex:durableId="2784DD0E" w16cex:dateUtc="2023-02-01T20:43:00Z"/>
  <w16cex:commentExtensible w16cex:durableId="2784DD1B" w16cex:dateUtc="2023-02-01T20: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F87ED" w14:textId="77777777" w:rsidR="00255A01" w:rsidRDefault="00255A01" w:rsidP="00E47C29">
      <w:r>
        <w:separator/>
      </w:r>
    </w:p>
  </w:endnote>
  <w:endnote w:type="continuationSeparator" w:id="0">
    <w:p w14:paraId="44230D4B" w14:textId="77777777" w:rsidR="00255A01" w:rsidRDefault="00255A01" w:rsidP="00E4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1407" w14:textId="77777777" w:rsidR="001A0F09" w:rsidRDefault="001A0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2AF5" w14:textId="77777777" w:rsidR="001A0F09" w:rsidRDefault="001A0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B609" w14:textId="77777777" w:rsidR="001A0F09" w:rsidRDefault="001A0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A282A" w14:textId="77777777" w:rsidR="00255A01" w:rsidRDefault="00255A01" w:rsidP="00E47C29">
      <w:r>
        <w:separator/>
      </w:r>
    </w:p>
  </w:footnote>
  <w:footnote w:type="continuationSeparator" w:id="0">
    <w:p w14:paraId="6D5050CF" w14:textId="77777777" w:rsidR="00255A01" w:rsidRDefault="00255A01" w:rsidP="00E47C29">
      <w:r>
        <w:continuationSeparator/>
      </w:r>
    </w:p>
  </w:footnote>
  <w:footnote w:id="1">
    <w:p w14:paraId="321043AD" w14:textId="3130EF73" w:rsidR="0092048C" w:rsidRDefault="0092048C">
      <w:pPr>
        <w:pStyle w:val="FootnoteText"/>
      </w:pPr>
      <w:r w:rsidRPr="0092048C">
        <w:rPr>
          <w:rStyle w:val="FootnoteReference"/>
          <w:sz w:val="24"/>
        </w:rPr>
        <w:footnoteRef/>
      </w:r>
      <w:r w:rsidRPr="0092048C">
        <w:rPr>
          <w:sz w:val="24"/>
        </w:rPr>
        <w:t xml:space="preserve"> </w:t>
      </w:r>
      <w:r>
        <w:rPr>
          <w:sz w:val="24"/>
        </w:rPr>
        <w:t xml:space="preserve">The PTR criteria outlined in this table pertain specifically to charter schools submitting NCB funding determination requests for their NCB instruction. All charter schools offering independent study are required to comply with the ADA-to certificated-employee ratios outlined in </w:t>
      </w:r>
      <w:r>
        <w:rPr>
          <w:i/>
          <w:sz w:val="24"/>
        </w:rPr>
        <w:t xml:space="preserve">EC </w:t>
      </w:r>
      <w:r>
        <w:rPr>
          <w:sz w:val="24"/>
        </w:rPr>
        <w:t>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5EDA" w14:textId="77777777" w:rsidR="001A0F09" w:rsidRDefault="001A0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65DA" w14:textId="5A44353A" w:rsidR="00BA7924" w:rsidRDefault="00BA7924" w:rsidP="000C5735">
    <w:pPr>
      <w:pStyle w:val="Header"/>
      <w:spacing w:after="100" w:afterAutospacing="1"/>
      <w:jc w:val="right"/>
    </w:pPr>
    <w:r>
      <w:t>memo-lab-csd-apr23item0</w:t>
    </w:r>
    <w:r w:rsidR="00271E85">
      <w:t>3</w:t>
    </w:r>
    <w:r>
      <w:br/>
      <w:t xml:space="preserve">Page </w:t>
    </w:r>
    <w:r>
      <w:fldChar w:fldCharType="begin"/>
    </w:r>
    <w:r>
      <w:instrText xml:space="preserve"> PAGE   \* MERGEFORMAT </w:instrText>
    </w:r>
    <w:r>
      <w:fldChar w:fldCharType="separate"/>
    </w:r>
    <w:r>
      <w:rPr>
        <w:noProof/>
      </w:rPr>
      <w:t>8</w:t>
    </w:r>
    <w:r>
      <w:fldChar w:fldCharType="end"/>
    </w:r>
    <w:r>
      <w:t xml:space="preserve"> of </w:t>
    </w:r>
    <w:fldSimple w:instr=" NUMPAGES   \* MERGEFORMAT ">
      <w:r>
        <w:rPr>
          <w:noProof/>
        </w:rPr>
        <w:t>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85B6" w14:textId="77777777" w:rsidR="001A0F09" w:rsidRDefault="001A0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265F0"/>
    <w:multiLevelType w:val="hybridMultilevel"/>
    <w:tmpl w:val="FCF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1E98"/>
    <w:multiLevelType w:val="hybridMultilevel"/>
    <w:tmpl w:val="DFA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03E92"/>
    <w:multiLevelType w:val="hybridMultilevel"/>
    <w:tmpl w:val="3970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5721"/>
    <w:multiLevelType w:val="hybridMultilevel"/>
    <w:tmpl w:val="998C37FA"/>
    <w:lvl w:ilvl="0" w:tplc="4CACCD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2235A"/>
    <w:multiLevelType w:val="hybridMultilevel"/>
    <w:tmpl w:val="E398B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367FB"/>
    <w:multiLevelType w:val="hybridMultilevel"/>
    <w:tmpl w:val="8698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E73C2D"/>
    <w:multiLevelType w:val="hybridMultilevel"/>
    <w:tmpl w:val="9F32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87DB0"/>
    <w:multiLevelType w:val="hybridMultilevel"/>
    <w:tmpl w:val="4832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95C50"/>
    <w:multiLevelType w:val="multilevel"/>
    <w:tmpl w:val="7AFC95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F57FE0"/>
    <w:multiLevelType w:val="hybridMultilevel"/>
    <w:tmpl w:val="DF7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745E"/>
    <w:multiLevelType w:val="multilevel"/>
    <w:tmpl w:val="35C416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91C2E"/>
    <w:multiLevelType w:val="multilevel"/>
    <w:tmpl w:val="850A3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783A09"/>
    <w:multiLevelType w:val="hybridMultilevel"/>
    <w:tmpl w:val="5112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C263C"/>
    <w:multiLevelType w:val="hybridMultilevel"/>
    <w:tmpl w:val="E24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E2C9F"/>
    <w:multiLevelType w:val="hybridMultilevel"/>
    <w:tmpl w:val="F25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377F5"/>
    <w:multiLevelType w:val="multilevel"/>
    <w:tmpl w:val="848A29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AE8759E"/>
    <w:multiLevelType w:val="hybridMultilevel"/>
    <w:tmpl w:val="84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D7E28"/>
    <w:multiLevelType w:val="hybridMultilevel"/>
    <w:tmpl w:val="4B0A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C3BD1"/>
    <w:multiLevelType w:val="hybridMultilevel"/>
    <w:tmpl w:val="F606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E781A"/>
    <w:multiLevelType w:val="hybridMultilevel"/>
    <w:tmpl w:val="1720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C23AE"/>
    <w:multiLevelType w:val="hybridMultilevel"/>
    <w:tmpl w:val="091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22DDC"/>
    <w:multiLevelType w:val="hybridMultilevel"/>
    <w:tmpl w:val="169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66E46"/>
    <w:multiLevelType w:val="hybridMultilevel"/>
    <w:tmpl w:val="947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81158"/>
    <w:multiLevelType w:val="hybridMultilevel"/>
    <w:tmpl w:val="159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C7FA9"/>
    <w:multiLevelType w:val="hybridMultilevel"/>
    <w:tmpl w:val="A20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F69EC"/>
    <w:multiLevelType w:val="hybridMultilevel"/>
    <w:tmpl w:val="7DE67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2F71E0"/>
    <w:multiLevelType w:val="hybridMultilevel"/>
    <w:tmpl w:val="C6B0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61549"/>
    <w:multiLevelType w:val="hybridMultilevel"/>
    <w:tmpl w:val="820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829AC"/>
    <w:multiLevelType w:val="hybridMultilevel"/>
    <w:tmpl w:val="330E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64B5E"/>
    <w:multiLevelType w:val="multilevel"/>
    <w:tmpl w:val="530EA8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EDE5D46"/>
    <w:multiLevelType w:val="hybridMultilevel"/>
    <w:tmpl w:val="629E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31"/>
  </w:num>
  <w:num w:numId="4">
    <w:abstractNumId w:val="6"/>
  </w:num>
  <w:num w:numId="5">
    <w:abstractNumId w:val="2"/>
  </w:num>
  <w:num w:numId="6">
    <w:abstractNumId w:val="32"/>
  </w:num>
  <w:num w:numId="7">
    <w:abstractNumId w:val="3"/>
  </w:num>
  <w:num w:numId="8">
    <w:abstractNumId w:val="25"/>
  </w:num>
  <w:num w:numId="9">
    <w:abstractNumId w:val="27"/>
  </w:num>
  <w:num w:numId="10">
    <w:abstractNumId w:val="28"/>
  </w:num>
  <w:num w:numId="11">
    <w:abstractNumId w:val="21"/>
  </w:num>
  <w:num w:numId="12">
    <w:abstractNumId w:val="8"/>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18"/>
  </w:num>
  <w:num w:numId="18">
    <w:abstractNumId w:val="20"/>
  </w:num>
  <w:num w:numId="19">
    <w:abstractNumId w:val="11"/>
  </w:num>
  <w:num w:numId="20">
    <w:abstractNumId w:val="26"/>
  </w:num>
  <w:num w:numId="21">
    <w:abstractNumId w:val="23"/>
  </w:num>
  <w:num w:numId="22">
    <w:abstractNumId w:val="1"/>
  </w:num>
  <w:num w:numId="23">
    <w:abstractNumId w:val="12"/>
  </w:num>
  <w:num w:numId="24">
    <w:abstractNumId w:val="29"/>
  </w:num>
  <w:num w:numId="25">
    <w:abstractNumId w:val="33"/>
  </w:num>
  <w:num w:numId="26">
    <w:abstractNumId w:val="24"/>
  </w:num>
  <w:num w:numId="27">
    <w:abstractNumId w:val="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5"/>
  </w:num>
  <w:num w:numId="35">
    <w:abstractNumId w:val="4"/>
  </w:num>
  <w:num w:numId="36">
    <w:abstractNumId w:val="0"/>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75"/>
    <w:rsid w:val="00024C53"/>
    <w:rsid w:val="00031229"/>
    <w:rsid w:val="00035992"/>
    <w:rsid w:val="00035BEB"/>
    <w:rsid w:val="0004237D"/>
    <w:rsid w:val="0005299D"/>
    <w:rsid w:val="00053B2A"/>
    <w:rsid w:val="00056E74"/>
    <w:rsid w:val="00057A96"/>
    <w:rsid w:val="000612ED"/>
    <w:rsid w:val="00061EED"/>
    <w:rsid w:val="00062466"/>
    <w:rsid w:val="00077927"/>
    <w:rsid w:val="00087E40"/>
    <w:rsid w:val="00091C78"/>
    <w:rsid w:val="00094851"/>
    <w:rsid w:val="000A2385"/>
    <w:rsid w:val="000B3A3E"/>
    <w:rsid w:val="000B50C4"/>
    <w:rsid w:val="000C139F"/>
    <w:rsid w:val="000C1B57"/>
    <w:rsid w:val="000C5735"/>
    <w:rsid w:val="000C74C0"/>
    <w:rsid w:val="000C79F4"/>
    <w:rsid w:val="000D41A2"/>
    <w:rsid w:val="000F32A0"/>
    <w:rsid w:val="000F7A4C"/>
    <w:rsid w:val="00107CA1"/>
    <w:rsid w:val="00114D06"/>
    <w:rsid w:val="00115F38"/>
    <w:rsid w:val="00117D7C"/>
    <w:rsid w:val="00131A5A"/>
    <w:rsid w:val="00144728"/>
    <w:rsid w:val="00147C2A"/>
    <w:rsid w:val="001552F0"/>
    <w:rsid w:val="0016173B"/>
    <w:rsid w:val="001648E9"/>
    <w:rsid w:val="00166C0F"/>
    <w:rsid w:val="00167999"/>
    <w:rsid w:val="00184DEF"/>
    <w:rsid w:val="00194BA0"/>
    <w:rsid w:val="001A0F09"/>
    <w:rsid w:val="001A2B38"/>
    <w:rsid w:val="001B31BE"/>
    <w:rsid w:val="001B3C51"/>
    <w:rsid w:val="001C5646"/>
    <w:rsid w:val="001D7B07"/>
    <w:rsid w:val="001E236A"/>
    <w:rsid w:val="001F09D4"/>
    <w:rsid w:val="00211568"/>
    <w:rsid w:val="00221A48"/>
    <w:rsid w:val="00223A4D"/>
    <w:rsid w:val="0023284D"/>
    <w:rsid w:val="002374B1"/>
    <w:rsid w:val="002408E4"/>
    <w:rsid w:val="00247A38"/>
    <w:rsid w:val="00247E7A"/>
    <w:rsid w:val="0025399C"/>
    <w:rsid w:val="00255A01"/>
    <w:rsid w:val="00256699"/>
    <w:rsid w:val="00256ADF"/>
    <w:rsid w:val="002577D2"/>
    <w:rsid w:val="002629F4"/>
    <w:rsid w:val="00264D03"/>
    <w:rsid w:val="002674A4"/>
    <w:rsid w:val="00271E85"/>
    <w:rsid w:val="00275B82"/>
    <w:rsid w:val="00280FF4"/>
    <w:rsid w:val="002819A3"/>
    <w:rsid w:val="0029286A"/>
    <w:rsid w:val="00294633"/>
    <w:rsid w:val="002A382A"/>
    <w:rsid w:val="002B13E8"/>
    <w:rsid w:val="002B7AB5"/>
    <w:rsid w:val="002C3C65"/>
    <w:rsid w:val="002D2105"/>
    <w:rsid w:val="002D332C"/>
    <w:rsid w:val="002E0906"/>
    <w:rsid w:val="00306940"/>
    <w:rsid w:val="003122E5"/>
    <w:rsid w:val="00315314"/>
    <w:rsid w:val="003169F1"/>
    <w:rsid w:val="00320D9F"/>
    <w:rsid w:val="00321D49"/>
    <w:rsid w:val="00322C00"/>
    <w:rsid w:val="003237D7"/>
    <w:rsid w:val="00325EAA"/>
    <w:rsid w:val="00330459"/>
    <w:rsid w:val="0033616F"/>
    <w:rsid w:val="0034080E"/>
    <w:rsid w:val="00342226"/>
    <w:rsid w:val="00357A3F"/>
    <w:rsid w:val="00364C1F"/>
    <w:rsid w:val="003765B5"/>
    <w:rsid w:val="00376ABF"/>
    <w:rsid w:val="0039143C"/>
    <w:rsid w:val="003B38B6"/>
    <w:rsid w:val="003C226D"/>
    <w:rsid w:val="003C2A72"/>
    <w:rsid w:val="003C485C"/>
    <w:rsid w:val="003C5BCE"/>
    <w:rsid w:val="003D06B9"/>
    <w:rsid w:val="003E2F3A"/>
    <w:rsid w:val="003E3B94"/>
    <w:rsid w:val="003F0284"/>
    <w:rsid w:val="0041661F"/>
    <w:rsid w:val="004355F9"/>
    <w:rsid w:val="004676F3"/>
    <w:rsid w:val="00474A2F"/>
    <w:rsid w:val="00492C5C"/>
    <w:rsid w:val="004938AE"/>
    <w:rsid w:val="004C6121"/>
    <w:rsid w:val="004C7D97"/>
    <w:rsid w:val="004E121C"/>
    <w:rsid w:val="004E13DA"/>
    <w:rsid w:val="00507D3E"/>
    <w:rsid w:val="00511A7A"/>
    <w:rsid w:val="005120EB"/>
    <w:rsid w:val="005128D6"/>
    <w:rsid w:val="0051479B"/>
    <w:rsid w:val="00521F97"/>
    <w:rsid w:val="00522729"/>
    <w:rsid w:val="00534D4C"/>
    <w:rsid w:val="005354F0"/>
    <w:rsid w:val="005356DD"/>
    <w:rsid w:val="0054334A"/>
    <w:rsid w:val="00555697"/>
    <w:rsid w:val="005627AF"/>
    <w:rsid w:val="0057497B"/>
    <w:rsid w:val="00576DD9"/>
    <w:rsid w:val="00580CCC"/>
    <w:rsid w:val="005810B1"/>
    <w:rsid w:val="00583375"/>
    <w:rsid w:val="0059193B"/>
    <w:rsid w:val="005A4E6C"/>
    <w:rsid w:val="005B1325"/>
    <w:rsid w:val="005C3B30"/>
    <w:rsid w:val="005C51E3"/>
    <w:rsid w:val="005C6152"/>
    <w:rsid w:val="005D5002"/>
    <w:rsid w:val="005D600A"/>
    <w:rsid w:val="005D67ED"/>
    <w:rsid w:val="005E2195"/>
    <w:rsid w:val="006020B4"/>
    <w:rsid w:val="00622395"/>
    <w:rsid w:val="006276D8"/>
    <w:rsid w:val="006332BB"/>
    <w:rsid w:val="0063726D"/>
    <w:rsid w:val="00637A45"/>
    <w:rsid w:val="006444B6"/>
    <w:rsid w:val="00661912"/>
    <w:rsid w:val="006623DC"/>
    <w:rsid w:val="006630F4"/>
    <w:rsid w:val="00664B63"/>
    <w:rsid w:val="006656BC"/>
    <w:rsid w:val="00666521"/>
    <w:rsid w:val="00677C16"/>
    <w:rsid w:val="00681207"/>
    <w:rsid w:val="006902BB"/>
    <w:rsid w:val="006B08F0"/>
    <w:rsid w:val="006B7B9F"/>
    <w:rsid w:val="006C0E09"/>
    <w:rsid w:val="006E2FDB"/>
    <w:rsid w:val="0070020F"/>
    <w:rsid w:val="00700F6A"/>
    <w:rsid w:val="00702AAC"/>
    <w:rsid w:val="00702BBB"/>
    <w:rsid w:val="007031CC"/>
    <w:rsid w:val="00720D44"/>
    <w:rsid w:val="0072556E"/>
    <w:rsid w:val="007262E5"/>
    <w:rsid w:val="00726EB5"/>
    <w:rsid w:val="00731706"/>
    <w:rsid w:val="00740C96"/>
    <w:rsid w:val="007412F2"/>
    <w:rsid w:val="00741B24"/>
    <w:rsid w:val="00742110"/>
    <w:rsid w:val="00763DAF"/>
    <w:rsid w:val="00780D97"/>
    <w:rsid w:val="00786128"/>
    <w:rsid w:val="007A2653"/>
    <w:rsid w:val="007B7372"/>
    <w:rsid w:val="007C235A"/>
    <w:rsid w:val="007D2D6C"/>
    <w:rsid w:val="007D49D7"/>
    <w:rsid w:val="007E25AF"/>
    <w:rsid w:val="00810C39"/>
    <w:rsid w:val="00814551"/>
    <w:rsid w:val="008213F2"/>
    <w:rsid w:val="00831442"/>
    <w:rsid w:val="00831ED8"/>
    <w:rsid w:val="0083362F"/>
    <w:rsid w:val="00835F67"/>
    <w:rsid w:val="00836428"/>
    <w:rsid w:val="008419D1"/>
    <w:rsid w:val="00854671"/>
    <w:rsid w:val="00874207"/>
    <w:rsid w:val="008743D8"/>
    <w:rsid w:val="00881CFA"/>
    <w:rsid w:val="00886521"/>
    <w:rsid w:val="008A1A4B"/>
    <w:rsid w:val="008B1135"/>
    <w:rsid w:val="008B55B4"/>
    <w:rsid w:val="008C28FE"/>
    <w:rsid w:val="008D2B05"/>
    <w:rsid w:val="008E607E"/>
    <w:rsid w:val="008F2405"/>
    <w:rsid w:val="008F25C6"/>
    <w:rsid w:val="008F6CA0"/>
    <w:rsid w:val="009063C5"/>
    <w:rsid w:val="0090699C"/>
    <w:rsid w:val="00912229"/>
    <w:rsid w:val="00916765"/>
    <w:rsid w:val="0092048C"/>
    <w:rsid w:val="00925776"/>
    <w:rsid w:val="00925968"/>
    <w:rsid w:val="00935C2F"/>
    <w:rsid w:val="009362F2"/>
    <w:rsid w:val="00942DE0"/>
    <w:rsid w:val="00944A76"/>
    <w:rsid w:val="00952EEB"/>
    <w:rsid w:val="00955FBD"/>
    <w:rsid w:val="00963290"/>
    <w:rsid w:val="009727C5"/>
    <w:rsid w:val="0097413F"/>
    <w:rsid w:val="0098120D"/>
    <w:rsid w:val="00982A10"/>
    <w:rsid w:val="00985204"/>
    <w:rsid w:val="009863AC"/>
    <w:rsid w:val="009868E4"/>
    <w:rsid w:val="00993ED1"/>
    <w:rsid w:val="009A5089"/>
    <w:rsid w:val="009B468B"/>
    <w:rsid w:val="009C26FE"/>
    <w:rsid w:val="009D437D"/>
    <w:rsid w:val="009E13A9"/>
    <w:rsid w:val="009E4F72"/>
    <w:rsid w:val="009F25BB"/>
    <w:rsid w:val="009F25F6"/>
    <w:rsid w:val="00A11875"/>
    <w:rsid w:val="00A13B78"/>
    <w:rsid w:val="00A2689C"/>
    <w:rsid w:val="00A3429E"/>
    <w:rsid w:val="00A35C73"/>
    <w:rsid w:val="00A41400"/>
    <w:rsid w:val="00A45A55"/>
    <w:rsid w:val="00A5732D"/>
    <w:rsid w:val="00A7091D"/>
    <w:rsid w:val="00A843B8"/>
    <w:rsid w:val="00A91669"/>
    <w:rsid w:val="00A93B53"/>
    <w:rsid w:val="00AA50F3"/>
    <w:rsid w:val="00AA713A"/>
    <w:rsid w:val="00AA7B58"/>
    <w:rsid w:val="00AB22D5"/>
    <w:rsid w:val="00AB2D8B"/>
    <w:rsid w:val="00AB4C92"/>
    <w:rsid w:val="00AB5352"/>
    <w:rsid w:val="00AB7133"/>
    <w:rsid w:val="00AD4C15"/>
    <w:rsid w:val="00AD7471"/>
    <w:rsid w:val="00AE06B8"/>
    <w:rsid w:val="00AE15CB"/>
    <w:rsid w:val="00AE1BB0"/>
    <w:rsid w:val="00AE3980"/>
    <w:rsid w:val="00AE48AE"/>
    <w:rsid w:val="00AE7CF3"/>
    <w:rsid w:val="00AE7E34"/>
    <w:rsid w:val="00B02B46"/>
    <w:rsid w:val="00B07774"/>
    <w:rsid w:val="00B119E1"/>
    <w:rsid w:val="00B11DEE"/>
    <w:rsid w:val="00B11E66"/>
    <w:rsid w:val="00B17698"/>
    <w:rsid w:val="00B374C7"/>
    <w:rsid w:val="00B45198"/>
    <w:rsid w:val="00B47503"/>
    <w:rsid w:val="00B872F2"/>
    <w:rsid w:val="00BA05F2"/>
    <w:rsid w:val="00BA7924"/>
    <w:rsid w:val="00BC03EA"/>
    <w:rsid w:val="00BC3667"/>
    <w:rsid w:val="00BC376B"/>
    <w:rsid w:val="00BD3FD5"/>
    <w:rsid w:val="00BE593C"/>
    <w:rsid w:val="00BE6032"/>
    <w:rsid w:val="00BF5653"/>
    <w:rsid w:val="00BF63DD"/>
    <w:rsid w:val="00BF7F32"/>
    <w:rsid w:val="00C07580"/>
    <w:rsid w:val="00C15C73"/>
    <w:rsid w:val="00C33B37"/>
    <w:rsid w:val="00C33E91"/>
    <w:rsid w:val="00C4156D"/>
    <w:rsid w:val="00C41BF5"/>
    <w:rsid w:val="00C420BB"/>
    <w:rsid w:val="00C46FC5"/>
    <w:rsid w:val="00C50E88"/>
    <w:rsid w:val="00C51D4A"/>
    <w:rsid w:val="00C6079D"/>
    <w:rsid w:val="00C61F78"/>
    <w:rsid w:val="00C62314"/>
    <w:rsid w:val="00C67B85"/>
    <w:rsid w:val="00C83E3F"/>
    <w:rsid w:val="00C916DF"/>
    <w:rsid w:val="00C93FBF"/>
    <w:rsid w:val="00CA41F1"/>
    <w:rsid w:val="00CA4444"/>
    <w:rsid w:val="00CB1093"/>
    <w:rsid w:val="00CB6F45"/>
    <w:rsid w:val="00CC267D"/>
    <w:rsid w:val="00CC5474"/>
    <w:rsid w:val="00CC59C6"/>
    <w:rsid w:val="00CC772E"/>
    <w:rsid w:val="00CC7F23"/>
    <w:rsid w:val="00CD2628"/>
    <w:rsid w:val="00CE374E"/>
    <w:rsid w:val="00CF0044"/>
    <w:rsid w:val="00CF2EDC"/>
    <w:rsid w:val="00D06914"/>
    <w:rsid w:val="00D15429"/>
    <w:rsid w:val="00D2183B"/>
    <w:rsid w:val="00D26A70"/>
    <w:rsid w:val="00D45355"/>
    <w:rsid w:val="00D54AAE"/>
    <w:rsid w:val="00D569B3"/>
    <w:rsid w:val="00D6390B"/>
    <w:rsid w:val="00D71E2F"/>
    <w:rsid w:val="00D81E7D"/>
    <w:rsid w:val="00D8220D"/>
    <w:rsid w:val="00D86FCC"/>
    <w:rsid w:val="00D93A38"/>
    <w:rsid w:val="00D96718"/>
    <w:rsid w:val="00D9773B"/>
    <w:rsid w:val="00DB5D24"/>
    <w:rsid w:val="00DC13C8"/>
    <w:rsid w:val="00DC1D40"/>
    <w:rsid w:val="00DC4ECE"/>
    <w:rsid w:val="00DC52BE"/>
    <w:rsid w:val="00DC5B71"/>
    <w:rsid w:val="00DC5FAA"/>
    <w:rsid w:val="00DC7451"/>
    <w:rsid w:val="00DD1282"/>
    <w:rsid w:val="00DD1482"/>
    <w:rsid w:val="00DE0825"/>
    <w:rsid w:val="00DF1BAE"/>
    <w:rsid w:val="00DF2038"/>
    <w:rsid w:val="00DF38AF"/>
    <w:rsid w:val="00DF59D6"/>
    <w:rsid w:val="00DF7178"/>
    <w:rsid w:val="00E052F8"/>
    <w:rsid w:val="00E10C44"/>
    <w:rsid w:val="00E116B5"/>
    <w:rsid w:val="00E12442"/>
    <w:rsid w:val="00E17546"/>
    <w:rsid w:val="00E32FDC"/>
    <w:rsid w:val="00E35280"/>
    <w:rsid w:val="00E40A06"/>
    <w:rsid w:val="00E47C29"/>
    <w:rsid w:val="00E528D3"/>
    <w:rsid w:val="00E56D21"/>
    <w:rsid w:val="00E65367"/>
    <w:rsid w:val="00E74581"/>
    <w:rsid w:val="00E74742"/>
    <w:rsid w:val="00E76BD3"/>
    <w:rsid w:val="00EA5074"/>
    <w:rsid w:val="00EA6A9A"/>
    <w:rsid w:val="00EB1F75"/>
    <w:rsid w:val="00EC34B5"/>
    <w:rsid w:val="00EC37AC"/>
    <w:rsid w:val="00EC3FF1"/>
    <w:rsid w:val="00EC6C07"/>
    <w:rsid w:val="00EF238D"/>
    <w:rsid w:val="00F06887"/>
    <w:rsid w:val="00F14AD0"/>
    <w:rsid w:val="00F1652F"/>
    <w:rsid w:val="00F21091"/>
    <w:rsid w:val="00F25B1C"/>
    <w:rsid w:val="00F26513"/>
    <w:rsid w:val="00F30230"/>
    <w:rsid w:val="00F37CA7"/>
    <w:rsid w:val="00F42F75"/>
    <w:rsid w:val="00F43D39"/>
    <w:rsid w:val="00F6026A"/>
    <w:rsid w:val="00F67575"/>
    <w:rsid w:val="00F722DF"/>
    <w:rsid w:val="00F72F2D"/>
    <w:rsid w:val="00F75338"/>
    <w:rsid w:val="00F8617E"/>
    <w:rsid w:val="00F86A98"/>
    <w:rsid w:val="00F9631F"/>
    <w:rsid w:val="00FA1ECE"/>
    <w:rsid w:val="00FA324A"/>
    <w:rsid w:val="00FA5AF7"/>
    <w:rsid w:val="00FB17BA"/>
    <w:rsid w:val="00FB2453"/>
    <w:rsid w:val="00FB44DF"/>
    <w:rsid w:val="00FB741E"/>
    <w:rsid w:val="00FC0651"/>
    <w:rsid w:val="00FC28F6"/>
    <w:rsid w:val="00FC60AD"/>
    <w:rsid w:val="00FF1284"/>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28E8C"/>
  <w15:chartTrackingRefBased/>
  <w15:docId w15:val="{EE2CE60F-42C5-4F94-814F-A086B38E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1652F"/>
    <w:pPr>
      <w:keepNext/>
      <w:keepLines/>
      <w:spacing w:before="160" w:after="100" w:afterAutospacing="1"/>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6C0E09"/>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B08F0"/>
    <w:pPr>
      <w:keepNext/>
      <w:keepLines/>
      <w:spacing w:before="240" w:after="2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F1652F"/>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7575"/>
    <w:pPr>
      <w:ind w:left="720"/>
      <w:contextualSpacing/>
    </w:pPr>
  </w:style>
  <w:style w:type="character" w:customStyle="1" w:styleId="Heading3Char">
    <w:name w:val="Heading 3 Char"/>
    <w:basedOn w:val="DefaultParagraphFont"/>
    <w:link w:val="Heading3"/>
    <w:uiPriority w:val="9"/>
    <w:rsid w:val="006C0E09"/>
    <w:rPr>
      <w:rFonts w:ascii="Arial" w:eastAsiaTheme="majorEastAsia" w:hAnsi="Arial" w:cstheme="majorBidi"/>
      <w:b/>
      <w:sz w:val="32"/>
      <w:szCs w:val="24"/>
    </w:rPr>
  </w:style>
  <w:style w:type="paragraph" w:styleId="Header">
    <w:name w:val="header"/>
    <w:basedOn w:val="Normal"/>
    <w:link w:val="HeaderChar"/>
    <w:uiPriority w:val="99"/>
    <w:unhideWhenUsed/>
    <w:rsid w:val="00E47C29"/>
    <w:pPr>
      <w:tabs>
        <w:tab w:val="center" w:pos="4680"/>
        <w:tab w:val="right" w:pos="9360"/>
      </w:tabs>
    </w:pPr>
  </w:style>
  <w:style w:type="character" w:customStyle="1" w:styleId="HeaderChar">
    <w:name w:val="Header Char"/>
    <w:basedOn w:val="DefaultParagraphFont"/>
    <w:link w:val="Header"/>
    <w:uiPriority w:val="99"/>
    <w:rsid w:val="00E47C29"/>
    <w:rPr>
      <w:rFonts w:ascii="Arial" w:eastAsia="Times New Roman" w:hAnsi="Arial" w:cs="Times New Roman"/>
      <w:sz w:val="24"/>
      <w:szCs w:val="24"/>
    </w:rPr>
  </w:style>
  <w:style w:type="paragraph" w:styleId="Footer">
    <w:name w:val="footer"/>
    <w:basedOn w:val="Normal"/>
    <w:link w:val="FooterChar"/>
    <w:uiPriority w:val="99"/>
    <w:unhideWhenUsed/>
    <w:rsid w:val="00E47C29"/>
    <w:pPr>
      <w:tabs>
        <w:tab w:val="center" w:pos="4680"/>
        <w:tab w:val="right" w:pos="9360"/>
      </w:tabs>
    </w:pPr>
  </w:style>
  <w:style w:type="character" w:customStyle="1" w:styleId="FooterChar">
    <w:name w:val="Footer Char"/>
    <w:basedOn w:val="DefaultParagraphFont"/>
    <w:link w:val="Footer"/>
    <w:uiPriority w:val="99"/>
    <w:rsid w:val="00E47C29"/>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6B08F0"/>
    <w:rPr>
      <w:rFonts w:ascii="Arial" w:eastAsiaTheme="majorEastAsia" w:hAnsi="Arial" w:cstheme="majorBidi"/>
      <w:b/>
      <w:iCs/>
      <w:sz w:val="28"/>
      <w:szCs w:val="24"/>
    </w:rPr>
  </w:style>
  <w:style w:type="paragraph" w:styleId="NormalWeb">
    <w:name w:val="Normal (Web)"/>
    <w:basedOn w:val="Normal"/>
    <w:uiPriority w:val="99"/>
    <w:unhideWhenUsed/>
    <w:rsid w:val="005627AF"/>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5627AF"/>
    <w:rPr>
      <w:color w:val="0000FF"/>
      <w:u w:val="single"/>
    </w:rPr>
  </w:style>
  <w:style w:type="character" w:customStyle="1" w:styleId="linknotation">
    <w:name w:val="linknotation"/>
    <w:basedOn w:val="DefaultParagraphFont"/>
    <w:rsid w:val="005627AF"/>
  </w:style>
  <w:style w:type="character" w:styleId="Emphasis">
    <w:name w:val="Emphasis"/>
    <w:basedOn w:val="DefaultParagraphFont"/>
    <w:uiPriority w:val="20"/>
    <w:qFormat/>
    <w:rsid w:val="005627AF"/>
    <w:rPr>
      <w:i/>
      <w:iCs/>
    </w:rPr>
  </w:style>
  <w:style w:type="table" w:styleId="GridTable4">
    <w:name w:val="Grid Table 4"/>
    <w:basedOn w:val="TableNormal"/>
    <w:uiPriority w:val="49"/>
    <w:rsid w:val="00CB10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1552F0"/>
    <w:rPr>
      <w:sz w:val="16"/>
      <w:szCs w:val="16"/>
    </w:rPr>
  </w:style>
  <w:style w:type="paragraph" w:styleId="CommentText">
    <w:name w:val="annotation text"/>
    <w:basedOn w:val="Normal"/>
    <w:link w:val="CommentTextChar"/>
    <w:uiPriority w:val="99"/>
    <w:unhideWhenUsed/>
    <w:rsid w:val="001552F0"/>
    <w:rPr>
      <w:sz w:val="20"/>
      <w:szCs w:val="20"/>
    </w:rPr>
  </w:style>
  <w:style w:type="character" w:customStyle="1" w:styleId="CommentTextChar">
    <w:name w:val="Comment Text Char"/>
    <w:basedOn w:val="DefaultParagraphFont"/>
    <w:link w:val="CommentText"/>
    <w:uiPriority w:val="99"/>
    <w:rsid w:val="001552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2F0"/>
    <w:rPr>
      <w:b/>
      <w:bCs/>
    </w:rPr>
  </w:style>
  <w:style w:type="character" w:customStyle="1" w:styleId="CommentSubjectChar">
    <w:name w:val="Comment Subject Char"/>
    <w:basedOn w:val="CommentTextChar"/>
    <w:link w:val="CommentSubject"/>
    <w:uiPriority w:val="99"/>
    <w:semiHidden/>
    <w:rsid w:val="001552F0"/>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FA324A"/>
    <w:rPr>
      <w:sz w:val="20"/>
      <w:szCs w:val="20"/>
    </w:rPr>
  </w:style>
  <w:style w:type="character" w:customStyle="1" w:styleId="FootnoteTextChar">
    <w:name w:val="Footnote Text Char"/>
    <w:basedOn w:val="DefaultParagraphFont"/>
    <w:link w:val="FootnoteText"/>
    <w:uiPriority w:val="99"/>
    <w:semiHidden/>
    <w:rsid w:val="00FA324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A324A"/>
    <w:rPr>
      <w:vertAlign w:val="superscript"/>
    </w:rPr>
  </w:style>
  <w:style w:type="table" w:styleId="TableGrid">
    <w:name w:val="Table Grid"/>
    <w:basedOn w:val="TableNormal"/>
    <w:uiPriority w:val="39"/>
    <w:rsid w:val="00B0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B02B46"/>
    <w:pPr>
      <w:spacing w:after="240"/>
    </w:pPr>
    <w:rPr>
      <w:b/>
    </w:rPr>
  </w:style>
  <w:style w:type="character" w:customStyle="1" w:styleId="TableHeaderChar">
    <w:name w:val="Table Header Char"/>
    <w:basedOn w:val="DefaultParagraphFont"/>
    <w:link w:val="TableHeader"/>
    <w:rsid w:val="00B02B46"/>
    <w:rPr>
      <w:rFonts w:ascii="Arial" w:eastAsia="Times New Roman" w:hAnsi="Arial" w:cs="Times New Roman"/>
      <w:b/>
      <w:sz w:val="24"/>
      <w:szCs w:val="24"/>
    </w:rPr>
  </w:style>
  <w:style w:type="character" w:styleId="UnresolvedMention">
    <w:name w:val="Unresolved Mention"/>
    <w:basedOn w:val="DefaultParagraphFont"/>
    <w:uiPriority w:val="99"/>
    <w:semiHidden/>
    <w:unhideWhenUsed/>
    <w:rsid w:val="00B47503"/>
    <w:rPr>
      <w:color w:val="605E5C"/>
      <w:shd w:val="clear" w:color="auto" w:fill="E1DFDD"/>
    </w:rPr>
  </w:style>
  <w:style w:type="paragraph" w:styleId="Revision">
    <w:name w:val="Revision"/>
    <w:hidden/>
    <w:uiPriority w:val="99"/>
    <w:semiHidden/>
    <w:rsid w:val="0097413F"/>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221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5236">
      <w:bodyDiv w:val="1"/>
      <w:marLeft w:val="0"/>
      <w:marRight w:val="0"/>
      <w:marTop w:val="0"/>
      <w:marBottom w:val="0"/>
      <w:divBdr>
        <w:top w:val="none" w:sz="0" w:space="0" w:color="auto"/>
        <w:left w:val="none" w:sz="0" w:space="0" w:color="auto"/>
        <w:bottom w:val="none" w:sz="0" w:space="0" w:color="auto"/>
        <w:right w:val="none" w:sz="0" w:space="0" w:color="auto"/>
      </w:divBdr>
    </w:div>
    <w:div w:id="89551556">
      <w:bodyDiv w:val="1"/>
      <w:marLeft w:val="0"/>
      <w:marRight w:val="0"/>
      <w:marTop w:val="0"/>
      <w:marBottom w:val="0"/>
      <w:divBdr>
        <w:top w:val="none" w:sz="0" w:space="0" w:color="auto"/>
        <w:left w:val="none" w:sz="0" w:space="0" w:color="auto"/>
        <w:bottom w:val="none" w:sz="0" w:space="0" w:color="auto"/>
        <w:right w:val="none" w:sz="0" w:space="0" w:color="auto"/>
      </w:divBdr>
    </w:div>
    <w:div w:id="562910977">
      <w:bodyDiv w:val="1"/>
      <w:marLeft w:val="0"/>
      <w:marRight w:val="0"/>
      <w:marTop w:val="0"/>
      <w:marBottom w:val="0"/>
      <w:divBdr>
        <w:top w:val="none" w:sz="0" w:space="0" w:color="auto"/>
        <w:left w:val="none" w:sz="0" w:space="0" w:color="auto"/>
        <w:bottom w:val="none" w:sz="0" w:space="0" w:color="auto"/>
        <w:right w:val="none" w:sz="0" w:space="0" w:color="auto"/>
      </w:divBdr>
    </w:div>
    <w:div w:id="759109434">
      <w:bodyDiv w:val="1"/>
      <w:marLeft w:val="0"/>
      <w:marRight w:val="0"/>
      <w:marTop w:val="0"/>
      <w:marBottom w:val="0"/>
      <w:divBdr>
        <w:top w:val="none" w:sz="0" w:space="0" w:color="auto"/>
        <w:left w:val="none" w:sz="0" w:space="0" w:color="auto"/>
        <w:bottom w:val="none" w:sz="0" w:space="0" w:color="auto"/>
        <w:right w:val="none" w:sz="0" w:space="0" w:color="auto"/>
      </w:divBdr>
    </w:div>
    <w:div w:id="763843890">
      <w:bodyDiv w:val="1"/>
      <w:marLeft w:val="0"/>
      <w:marRight w:val="0"/>
      <w:marTop w:val="0"/>
      <w:marBottom w:val="0"/>
      <w:divBdr>
        <w:top w:val="none" w:sz="0" w:space="0" w:color="auto"/>
        <w:left w:val="none" w:sz="0" w:space="0" w:color="auto"/>
        <w:bottom w:val="none" w:sz="0" w:space="0" w:color="auto"/>
        <w:right w:val="none" w:sz="0" w:space="0" w:color="auto"/>
      </w:divBdr>
    </w:div>
    <w:div w:id="1110394570">
      <w:bodyDiv w:val="1"/>
      <w:marLeft w:val="0"/>
      <w:marRight w:val="0"/>
      <w:marTop w:val="0"/>
      <w:marBottom w:val="0"/>
      <w:divBdr>
        <w:top w:val="none" w:sz="0" w:space="0" w:color="auto"/>
        <w:left w:val="none" w:sz="0" w:space="0" w:color="auto"/>
        <w:bottom w:val="none" w:sz="0" w:space="0" w:color="auto"/>
        <w:right w:val="none" w:sz="0" w:space="0" w:color="auto"/>
      </w:divBdr>
    </w:div>
    <w:div w:id="1219315147">
      <w:bodyDiv w:val="1"/>
      <w:marLeft w:val="0"/>
      <w:marRight w:val="0"/>
      <w:marTop w:val="0"/>
      <w:marBottom w:val="0"/>
      <w:divBdr>
        <w:top w:val="none" w:sz="0" w:space="0" w:color="auto"/>
        <w:left w:val="none" w:sz="0" w:space="0" w:color="auto"/>
        <w:bottom w:val="none" w:sz="0" w:space="0" w:color="auto"/>
        <w:right w:val="none" w:sz="0" w:space="0" w:color="auto"/>
      </w:divBdr>
    </w:div>
    <w:div w:id="155654877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14440441">
      <w:bodyDiv w:val="1"/>
      <w:marLeft w:val="0"/>
      <w:marRight w:val="0"/>
      <w:marTop w:val="0"/>
      <w:marBottom w:val="0"/>
      <w:divBdr>
        <w:top w:val="none" w:sz="0" w:space="0" w:color="auto"/>
        <w:left w:val="none" w:sz="0" w:space="0" w:color="auto"/>
        <w:bottom w:val="none" w:sz="0" w:space="0" w:color="auto"/>
        <w:right w:val="none" w:sz="0" w:space="0" w:color="auto"/>
      </w:divBdr>
    </w:div>
    <w:div w:id="1835409829">
      <w:bodyDiv w:val="1"/>
      <w:marLeft w:val="0"/>
      <w:marRight w:val="0"/>
      <w:marTop w:val="0"/>
      <w:marBottom w:val="0"/>
      <w:divBdr>
        <w:top w:val="none" w:sz="0" w:space="0" w:color="auto"/>
        <w:left w:val="none" w:sz="0" w:space="0" w:color="auto"/>
        <w:bottom w:val="none" w:sz="0" w:space="0" w:color="auto"/>
        <w:right w:val="none" w:sz="0" w:space="0" w:color="auto"/>
      </w:divBdr>
    </w:div>
    <w:div w:id="2041323313">
      <w:bodyDiv w:val="1"/>
      <w:marLeft w:val="0"/>
      <w:marRight w:val="0"/>
      <w:marTop w:val="0"/>
      <w:marBottom w:val="0"/>
      <w:divBdr>
        <w:top w:val="none" w:sz="0" w:space="0" w:color="auto"/>
        <w:left w:val="none" w:sz="0" w:space="0" w:color="auto"/>
        <w:bottom w:val="none" w:sz="0" w:space="0" w:color="auto"/>
        <w:right w:val="none" w:sz="0" w:space="0" w:color="auto"/>
      </w:divBdr>
    </w:div>
    <w:div w:id="20552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de.ca.gov/sp/ch/nclrbifundde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EFF5-8F90-4350-B5EE-AF22C31C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2576</Words>
  <Characters>14688</Characters>
  <DocSecurity>0</DocSecurity>
  <Lines>122</Lines>
  <Paragraphs>34</Paragraphs>
  <ScaleCrop>false</ScaleCrop>
  <HeadingPairs>
    <vt:vector size="2" baseType="variant">
      <vt:variant>
        <vt:lpstr>Title</vt:lpstr>
      </vt:variant>
      <vt:variant>
        <vt:i4>1</vt:i4>
      </vt:variant>
    </vt:vector>
  </HeadingPairs>
  <TitlesOfParts>
    <vt:vector size="1" baseType="lpstr">
      <vt:lpstr>April 2023 Memorandum Item XX - Information Memorandum (CA State Board of Education)</vt:lpstr>
    </vt:vector>
  </TitlesOfParts>
  <Company>California State Board of Education</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Memo LAB CSD Item 03 - Information Memorandum (CA State Board of Education)</dc:title>
  <dc:subject>Funding Determination Requests for Charter Schools Offering Nonclassroom-Based Instruction.</dc:subject>
  <dc:creator/>
  <cp:keywords/>
  <dc:description/>
  <cp:lastPrinted>2019-06-17T16:34:00Z</cp:lastPrinted>
  <dcterms:created xsi:type="dcterms:W3CDTF">2023-03-15T15:12:00Z</dcterms:created>
  <dcterms:modified xsi:type="dcterms:W3CDTF">2023-04-11T17:11:00Z</dcterms:modified>
  <cp:category/>
</cp:coreProperties>
</file>