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13F02" w14:textId="77777777" w:rsidR="00624C4D" w:rsidRDefault="00624C4D" w:rsidP="00624C4D">
      <w:pPr>
        <w:jc w:val="right"/>
      </w:pPr>
      <w:r>
        <w:t>memo-oab-csd-aug21item02</w:t>
      </w:r>
    </w:p>
    <w:p w14:paraId="325AED9E" w14:textId="77777777" w:rsidR="00624C4D" w:rsidRDefault="00624C4D" w:rsidP="00624C4D">
      <w:pPr>
        <w:jc w:val="right"/>
      </w:pPr>
      <w:r>
        <w:t>Attachment 1</w:t>
      </w:r>
    </w:p>
    <w:p w14:paraId="4175209B" w14:textId="655AA196" w:rsidR="00624C4D" w:rsidRPr="00624C4D" w:rsidRDefault="00624C4D" w:rsidP="00624C4D">
      <w:pPr>
        <w:spacing w:after="100" w:afterAutospacing="1"/>
        <w:jc w:val="right"/>
      </w:pPr>
      <w:r>
        <w:t>Page 1 of 12</w:t>
      </w:r>
    </w:p>
    <w:p w14:paraId="24AF20F5" w14:textId="4B922A7F" w:rsidR="00F84197" w:rsidRPr="00407731" w:rsidRDefault="00324140" w:rsidP="00C06FC9">
      <w:pPr>
        <w:pStyle w:val="Heading1"/>
      </w:pPr>
      <w:bookmarkStart w:id="0" w:name="_GoBack"/>
      <w:bookmarkEnd w:id="0"/>
      <w:r w:rsidRPr="00324140">
        <w:t>State Board of Education-Authorized Charter Schools</w:t>
      </w:r>
      <w:r w:rsidR="00407731">
        <w:t xml:space="preserve"> </w:t>
      </w:r>
      <w:r w:rsidRPr="00324140">
        <w:t>in Fair or Poor Financial Condition</w:t>
      </w:r>
    </w:p>
    <w:p w14:paraId="6D902155" w14:textId="77777777" w:rsidR="00F61978" w:rsidRPr="00BC16C2" w:rsidRDefault="00F61978" w:rsidP="00C06FC9">
      <w:pPr>
        <w:pStyle w:val="Heading2"/>
        <w:rPr>
          <w:rFonts w:eastAsia="Calibri"/>
        </w:rPr>
      </w:pPr>
      <w:r w:rsidRPr="00BC16C2">
        <w:rPr>
          <w:rFonts w:eastAsia="Calibri"/>
        </w:rPr>
        <w:t>Definition of Fiscal Indicators</w:t>
      </w:r>
    </w:p>
    <w:p w14:paraId="4D5B9AE9" w14:textId="77777777" w:rsidR="00F61978" w:rsidRDefault="00F61978" w:rsidP="00C06FC9">
      <w:pPr>
        <w:autoSpaceDE w:val="0"/>
        <w:autoSpaceDN w:val="0"/>
        <w:adjustRightInd w:val="0"/>
        <w:spacing w:after="240"/>
        <w:rPr>
          <w:rFonts w:eastAsia="Calibri" w:cs="Arial"/>
        </w:rPr>
      </w:pPr>
      <w:r w:rsidRPr="00BC16C2">
        <w:rPr>
          <w:rFonts w:eastAsia="Calibri" w:cs="Arial"/>
        </w:rPr>
        <w:t>Deficit Spending</w:t>
      </w:r>
    </w:p>
    <w:p w14:paraId="4E52BF2D" w14:textId="77777777" w:rsidR="00F61978" w:rsidRPr="00BC16C2" w:rsidRDefault="00F61978" w:rsidP="00C06FC9">
      <w:pPr>
        <w:autoSpaceDE w:val="0"/>
        <w:autoSpaceDN w:val="0"/>
        <w:adjustRightInd w:val="0"/>
        <w:spacing w:after="240"/>
        <w:ind w:left="720"/>
        <w:rPr>
          <w:rFonts w:eastAsia="Calibri" w:cs="Arial"/>
        </w:rPr>
      </w:pPr>
      <w:r w:rsidRPr="00BC16C2">
        <w:rPr>
          <w:rFonts w:eastAsia="Calibri" w:cs="Arial"/>
        </w:rPr>
        <w:t xml:space="preserve">Deficit spending occurs when the charter </w:t>
      </w:r>
      <w:r>
        <w:rPr>
          <w:rFonts w:eastAsia="Calibri" w:cs="Arial"/>
        </w:rPr>
        <w:t>school’s (school)</w:t>
      </w:r>
      <w:r w:rsidRPr="00BC16C2">
        <w:rPr>
          <w:rFonts w:eastAsia="Calibri" w:cs="Arial"/>
        </w:rPr>
        <w:t xml:space="preserve"> expenditures exceed its revenues. A school’s </w:t>
      </w:r>
      <w:r>
        <w:rPr>
          <w:rFonts w:eastAsia="Calibri" w:cs="Arial"/>
        </w:rPr>
        <w:t>operational unrestricted budget</w:t>
      </w:r>
      <w:r w:rsidRPr="00BC16C2">
        <w:rPr>
          <w:rFonts w:eastAsia="Calibri" w:cs="Arial"/>
        </w:rPr>
        <w:t xml:space="preserve"> should be balanced and ideally provide for growth in fund balance and reserves. Deficit</w:t>
      </w:r>
      <w:r>
        <w:rPr>
          <w:rFonts w:eastAsia="Calibri" w:cs="Arial"/>
        </w:rPr>
        <w:t xml:space="preserve"> spending depletes fund balance</w:t>
      </w:r>
      <w:r w:rsidRPr="00BC16C2">
        <w:rPr>
          <w:rFonts w:eastAsia="Calibri" w:cs="Arial"/>
        </w:rPr>
        <w:t xml:space="preserve"> and rese</w:t>
      </w:r>
      <w:r>
        <w:rPr>
          <w:rFonts w:eastAsia="Calibri" w:cs="Arial"/>
        </w:rPr>
        <w:t xml:space="preserve">rves and as such, must be </w:t>
      </w:r>
      <w:r w:rsidRPr="00BC16C2">
        <w:rPr>
          <w:rFonts w:eastAsia="Calibri" w:cs="Arial"/>
        </w:rPr>
        <w:t>addressed or it will lead to an insolvent financial position.</w:t>
      </w:r>
    </w:p>
    <w:p w14:paraId="577CF5B7" w14:textId="77777777" w:rsidR="00F61978" w:rsidRDefault="00F61978" w:rsidP="00C06FC9">
      <w:pPr>
        <w:autoSpaceDE w:val="0"/>
        <w:autoSpaceDN w:val="0"/>
        <w:adjustRightInd w:val="0"/>
        <w:spacing w:after="240"/>
        <w:rPr>
          <w:rFonts w:eastAsia="Calibri" w:cs="Arial"/>
        </w:rPr>
      </w:pPr>
      <w:r w:rsidRPr="00BC16C2">
        <w:rPr>
          <w:rFonts w:eastAsia="Calibri" w:cs="Arial"/>
        </w:rPr>
        <w:t>Fund Balance</w:t>
      </w:r>
    </w:p>
    <w:p w14:paraId="6FEB5B8C" w14:textId="77777777" w:rsidR="00F61978" w:rsidRPr="00BC16C2" w:rsidRDefault="00F61978" w:rsidP="00C06FC9">
      <w:pPr>
        <w:autoSpaceDE w:val="0"/>
        <w:autoSpaceDN w:val="0"/>
        <w:adjustRightInd w:val="0"/>
        <w:spacing w:after="240"/>
        <w:ind w:left="720"/>
        <w:rPr>
          <w:rFonts w:eastAsia="Calibri" w:cs="Arial"/>
        </w:rPr>
      </w:pPr>
      <w:r w:rsidRPr="00BC16C2">
        <w:rPr>
          <w:rFonts w:eastAsia="Calibri" w:cs="Arial"/>
        </w:rPr>
        <w:t>The unrest</w:t>
      </w:r>
      <w:r>
        <w:rPr>
          <w:rFonts w:eastAsia="Calibri" w:cs="Arial"/>
        </w:rPr>
        <w:t>ricted fund balance of a</w:t>
      </w:r>
      <w:r w:rsidRPr="00BC16C2">
        <w:rPr>
          <w:rFonts w:eastAsia="Calibri" w:cs="Arial"/>
        </w:rPr>
        <w:t xml:space="preserve"> school should be positive. At a minimum, the sch</w:t>
      </w:r>
      <w:r>
        <w:rPr>
          <w:rFonts w:eastAsia="Calibri" w:cs="Arial"/>
        </w:rPr>
        <w:t>ool’s unrestricted fund balance</w:t>
      </w:r>
      <w:r w:rsidRPr="00BC16C2">
        <w:rPr>
          <w:rFonts w:eastAsia="Calibri" w:cs="Arial"/>
        </w:rPr>
        <w:t xml:space="preserve"> should be at a level to provide for reserves required in the Memorandum of Understanding (MOU). If </w:t>
      </w:r>
      <w:r>
        <w:rPr>
          <w:rFonts w:eastAsia="Calibri" w:cs="Arial"/>
        </w:rPr>
        <w:t xml:space="preserve">the </w:t>
      </w:r>
      <w:r w:rsidRPr="00BC16C2">
        <w:rPr>
          <w:rFonts w:eastAsia="Calibri" w:cs="Arial"/>
        </w:rPr>
        <w:t xml:space="preserve">cause of the negative fund balance is not addressed in a timely and appropriate manner, the school could be in jeopardy of financial insolvency that increases the likelihood of revocation. A negative fund balance is indicative of </w:t>
      </w:r>
      <w:r w:rsidR="00ED1BDB">
        <w:rPr>
          <w:rFonts w:eastAsia="Calibri" w:cs="Arial"/>
        </w:rPr>
        <w:t xml:space="preserve">a </w:t>
      </w:r>
      <w:r w:rsidRPr="00BC16C2">
        <w:rPr>
          <w:rFonts w:eastAsia="Calibri" w:cs="Arial"/>
        </w:rPr>
        <w:t>poor financial condition.</w:t>
      </w:r>
    </w:p>
    <w:p w14:paraId="3324038B" w14:textId="77777777" w:rsidR="00F61978" w:rsidRDefault="00F61978" w:rsidP="00C06FC9">
      <w:pPr>
        <w:autoSpaceDE w:val="0"/>
        <w:autoSpaceDN w:val="0"/>
        <w:adjustRightInd w:val="0"/>
        <w:spacing w:after="240"/>
        <w:rPr>
          <w:rFonts w:eastAsia="Calibri" w:cs="Arial"/>
        </w:rPr>
      </w:pPr>
      <w:r w:rsidRPr="00BC16C2">
        <w:rPr>
          <w:rFonts w:eastAsia="Calibri" w:cs="Arial"/>
        </w:rPr>
        <w:t>Reserves for Economic Uncertainty</w:t>
      </w:r>
    </w:p>
    <w:p w14:paraId="07A8C4BD" w14:textId="77777777" w:rsidR="00F61978" w:rsidRPr="00BC16C2" w:rsidRDefault="00F61978" w:rsidP="00C06FC9">
      <w:pPr>
        <w:autoSpaceDE w:val="0"/>
        <w:autoSpaceDN w:val="0"/>
        <w:adjustRightInd w:val="0"/>
        <w:spacing w:after="240"/>
        <w:ind w:left="720"/>
        <w:rPr>
          <w:rFonts w:eastAsia="Calibri" w:cs="Arial"/>
        </w:rPr>
      </w:pPr>
      <w:r w:rsidRPr="00BC16C2">
        <w:rPr>
          <w:rFonts w:eastAsia="Calibri" w:cs="Arial"/>
        </w:rPr>
        <w:t>MOU terms are written with th</w:t>
      </w:r>
      <w:r>
        <w:rPr>
          <w:rFonts w:eastAsia="Calibri" w:cs="Arial"/>
        </w:rPr>
        <w:t xml:space="preserve">e expectation that each </w:t>
      </w:r>
      <w:r w:rsidRPr="00BC16C2">
        <w:rPr>
          <w:rFonts w:eastAsia="Calibri" w:cs="Arial"/>
        </w:rPr>
        <w:t>school</w:t>
      </w:r>
      <w:r>
        <w:rPr>
          <w:rFonts w:eastAsia="Calibri" w:cs="Arial"/>
        </w:rPr>
        <w:t xml:space="preserve">, depending on the level of the school’s </w:t>
      </w:r>
      <w:r w:rsidRPr="00BC16C2">
        <w:rPr>
          <w:rFonts w:eastAsia="Calibri" w:cs="Arial"/>
        </w:rPr>
        <w:t>average daily attendance</w:t>
      </w:r>
      <w:r>
        <w:rPr>
          <w:rFonts w:eastAsia="Calibri" w:cs="Arial"/>
        </w:rPr>
        <w:t xml:space="preserve"> (ADA), set aside reserves at the greater of </w:t>
      </w:r>
      <w:r w:rsidR="00BC7ED3">
        <w:rPr>
          <w:rFonts w:eastAsia="Calibri" w:cs="Arial"/>
        </w:rPr>
        <w:t>4</w:t>
      </w:r>
      <w:r>
        <w:rPr>
          <w:rFonts w:eastAsia="Calibri" w:cs="Arial"/>
        </w:rPr>
        <w:t xml:space="preserve"> to </w:t>
      </w:r>
      <w:r w:rsidR="00BC7ED3">
        <w:rPr>
          <w:rFonts w:eastAsia="Calibri" w:cs="Arial"/>
        </w:rPr>
        <w:t>5</w:t>
      </w:r>
      <w:r>
        <w:rPr>
          <w:rFonts w:eastAsia="Calibri" w:cs="Arial"/>
        </w:rPr>
        <w:t xml:space="preserve"> percent of expenditures, or a floor amount that is adjusted for inflation</w:t>
      </w:r>
      <w:r w:rsidR="00DC5A78">
        <w:rPr>
          <w:rFonts w:eastAsia="Calibri" w:cs="Arial"/>
        </w:rPr>
        <w:t xml:space="preserve">. </w:t>
      </w:r>
      <w:r>
        <w:rPr>
          <w:rFonts w:eastAsia="Calibri" w:cs="Arial"/>
        </w:rPr>
        <w:t>The current</w:t>
      </w:r>
      <w:r w:rsidRPr="00BC16C2">
        <w:rPr>
          <w:rFonts w:eastAsia="Calibri" w:cs="Arial"/>
        </w:rPr>
        <w:t xml:space="preserve"> inflation adjusted floor amount is $</w:t>
      </w:r>
      <w:r w:rsidR="008154B9">
        <w:rPr>
          <w:rFonts w:eastAsia="Calibri" w:cs="Arial"/>
        </w:rPr>
        <w:t>71</w:t>
      </w:r>
      <w:r w:rsidRPr="00BC16C2">
        <w:rPr>
          <w:rFonts w:eastAsia="Calibri" w:cs="Arial"/>
        </w:rPr>
        <w:t>,000. Reserves below the minimum levels are indicative of a poor financial condition.</w:t>
      </w:r>
    </w:p>
    <w:p w14:paraId="709046F2" w14:textId="77777777" w:rsidR="00F61978" w:rsidRDefault="00F61978" w:rsidP="00C06FC9">
      <w:pPr>
        <w:autoSpaceDE w:val="0"/>
        <w:autoSpaceDN w:val="0"/>
        <w:adjustRightInd w:val="0"/>
        <w:spacing w:after="240"/>
        <w:rPr>
          <w:rFonts w:eastAsia="Calibri" w:cs="Arial"/>
        </w:rPr>
      </w:pPr>
      <w:r w:rsidRPr="00BC16C2">
        <w:rPr>
          <w:rFonts w:eastAsia="Calibri" w:cs="Arial"/>
        </w:rPr>
        <w:t>Attendance Ratio</w:t>
      </w:r>
    </w:p>
    <w:p w14:paraId="69FEAC45" w14:textId="77777777" w:rsidR="00F61978" w:rsidRPr="00BC16C2" w:rsidRDefault="00F61978" w:rsidP="00C06FC9">
      <w:pPr>
        <w:autoSpaceDE w:val="0"/>
        <w:autoSpaceDN w:val="0"/>
        <w:adjustRightInd w:val="0"/>
        <w:spacing w:after="240"/>
        <w:ind w:left="720"/>
        <w:rPr>
          <w:rFonts w:eastAsia="Calibri" w:cs="Arial"/>
        </w:rPr>
      </w:pPr>
      <w:r w:rsidRPr="00BC16C2">
        <w:rPr>
          <w:rFonts w:eastAsia="Calibri" w:cs="Arial"/>
        </w:rPr>
        <w:t>The attendance ratio is calculated by dividing the</w:t>
      </w:r>
      <w:r>
        <w:rPr>
          <w:rFonts w:eastAsia="Calibri" w:cs="Arial"/>
        </w:rPr>
        <w:t xml:space="preserve"> second period report of ADA</w:t>
      </w:r>
      <w:r w:rsidRPr="00BC16C2">
        <w:rPr>
          <w:rFonts w:eastAsia="Calibri" w:cs="Arial"/>
        </w:rPr>
        <w:t xml:space="preserve"> f</w:t>
      </w:r>
      <w:r>
        <w:rPr>
          <w:rFonts w:eastAsia="Calibri" w:cs="Arial"/>
        </w:rPr>
        <w:t xml:space="preserve">or the Second Principal </w:t>
      </w:r>
      <w:r w:rsidR="00B66519">
        <w:rPr>
          <w:rFonts w:eastAsia="Calibri" w:cs="Arial"/>
        </w:rPr>
        <w:t>(P-</w:t>
      </w:r>
      <w:r w:rsidRPr="00BC16C2">
        <w:rPr>
          <w:rFonts w:eastAsia="Calibri" w:cs="Arial"/>
        </w:rPr>
        <w:t xml:space="preserve">2) </w:t>
      </w:r>
      <w:r>
        <w:rPr>
          <w:rFonts w:eastAsia="Calibri" w:cs="Arial"/>
        </w:rPr>
        <w:t>A</w:t>
      </w:r>
      <w:r w:rsidRPr="00BC16C2">
        <w:rPr>
          <w:rFonts w:eastAsia="Calibri" w:cs="Arial"/>
        </w:rPr>
        <w:t xml:space="preserve">pportionment by the fall October enrollment count. Generally, the </w:t>
      </w:r>
      <w:r>
        <w:rPr>
          <w:rFonts w:eastAsia="Calibri" w:cs="Arial"/>
        </w:rPr>
        <w:t>attendance ratio</w:t>
      </w:r>
      <w:r w:rsidRPr="00BC16C2">
        <w:rPr>
          <w:rFonts w:eastAsia="Calibri" w:cs="Arial"/>
        </w:rPr>
        <w:t xml:space="preserve"> is between 93 to 96 percent.</w:t>
      </w:r>
    </w:p>
    <w:p w14:paraId="6A23C4BB" w14:textId="77777777" w:rsidR="00F61978" w:rsidRDefault="00F61978" w:rsidP="00C06FC9">
      <w:pPr>
        <w:autoSpaceDE w:val="0"/>
        <w:autoSpaceDN w:val="0"/>
        <w:adjustRightInd w:val="0"/>
        <w:spacing w:after="240"/>
        <w:rPr>
          <w:rFonts w:cs="Arial"/>
          <w:color w:val="000000"/>
        </w:rPr>
      </w:pPr>
      <w:r w:rsidRPr="00BC16C2">
        <w:rPr>
          <w:rFonts w:eastAsia="Calibri" w:cs="Arial"/>
        </w:rPr>
        <w:t>Debt Ratio</w:t>
      </w:r>
    </w:p>
    <w:p w14:paraId="793F28D3" w14:textId="77777777" w:rsidR="00F61978" w:rsidRDefault="00DC5A78" w:rsidP="00C06FC9">
      <w:pPr>
        <w:autoSpaceDE w:val="0"/>
        <w:autoSpaceDN w:val="0"/>
        <w:adjustRightInd w:val="0"/>
        <w:spacing w:after="240"/>
        <w:ind w:left="720"/>
        <w:rPr>
          <w:rFonts w:cs="Arial"/>
          <w:color w:val="000000"/>
        </w:rPr>
      </w:pPr>
      <w:r>
        <w:rPr>
          <w:rFonts w:cs="Arial"/>
          <w:color w:val="000000"/>
        </w:rPr>
        <w:t>The d</w:t>
      </w:r>
      <w:r w:rsidR="00F61978" w:rsidRPr="00BC16C2">
        <w:rPr>
          <w:color w:val="000000"/>
        </w:rPr>
        <w:t>ebt ratio measures a school’s level of financial risk</w:t>
      </w:r>
      <w:r>
        <w:rPr>
          <w:color w:val="000000"/>
        </w:rPr>
        <w:t>. This ratio is calculated by dividing the school’s total liabilities by its total assets</w:t>
      </w:r>
      <w:r w:rsidR="00F61978" w:rsidRPr="00BC16C2">
        <w:rPr>
          <w:color w:val="000000"/>
        </w:rPr>
        <w:t>. A debt ratio of more than 1.0 indicates that the school has more debts than assets. Schools with a high debt ratio have limited options for short-term financing and generally will pay more in financing and interest cost</w:t>
      </w:r>
      <w:r w:rsidR="00BC7ED3">
        <w:rPr>
          <w:color w:val="000000"/>
        </w:rPr>
        <w:t>s</w:t>
      </w:r>
      <w:r w:rsidR="00F61978" w:rsidRPr="00BC16C2">
        <w:rPr>
          <w:rFonts w:cs="Arial"/>
          <w:color w:val="000000"/>
        </w:rPr>
        <w:fldChar w:fldCharType="begin"/>
      </w:r>
      <w:r w:rsidR="00F61978" w:rsidRPr="00BC16C2">
        <w:rPr>
          <w:rFonts w:cs="Arial"/>
          <w:color w:val="000000"/>
        </w:rPr>
        <w:instrText xml:space="preserve"> INCLUDEPICTURE "http://i.investopedia.com/inv/dictionary/terms/debtratio.gif" \* MERGEFORMATINET </w:instrText>
      </w:r>
      <w:r w:rsidR="00F61978" w:rsidRPr="00BC16C2">
        <w:rPr>
          <w:rFonts w:cs="Arial"/>
          <w:color w:val="000000"/>
        </w:rPr>
        <w:fldChar w:fldCharType="end"/>
      </w:r>
      <w:r w:rsidR="00F61978">
        <w:rPr>
          <w:rFonts w:cs="Arial"/>
          <w:color w:val="000000"/>
        </w:rPr>
        <w:t>.</w:t>
      </w:r>
    </w:p>
    <w:p w14:paraId="2B84F23A" w14:textId="77777777" w:rsidR="00210BB7" w:rsidRDefault="00210BB7" w:rsidP="00C06FC9">
      <w:pPr>
        <w:autoSpaceDE w:val="0"/>
        <w:autoSpaceDN w:val="0"/>
        <w:adjustRightInd w:val="0"/>
        <w:spacing w:after="240"/>
        <w:rPr>
          <w:color w:val="000000"/>
        </w:rPr>
      </w:pPr>
    </w:p>
    <w:p w14:paraId="070E2044" w14:textId="0BFAB1D5" w:rsidR="00F61978" w:rsidRDefault="00F61978" w:rsidP="00C06FC9">
      <w:pPr>
        <w:autoSpaceDE w:val="0"/>
        <w:autoSpaceDN w:val="0"/>
        <w:adjustRightInd w:val="0"/>
        <w:spacing w:after="240"/>
        <w:rPr>
          <w:color w:val="000000"/>
        </w:rPr>
      </w:pPr>
      <w:r w:rsidRPr="00BC16C2">
        <w:rPr>
          <w:color w:val="000000"/>
        </w:rPr>
        <w:lastRenderedPageBreak/>
        <w:t>Working Capital Ratio</w:t>
      </w:r>
    </w:p>
    <w:p w14:paraId="43F87CB0" w14:textId="77777777" w:rsidR="001A6670" w:rsidRDefault="00F61978" w:rsidP="00C06FC9">
      <w:pPr>
        <w:shd w:val="clear" w:color="auto" w:fill="FFFFFF"/>
        <w:spacing w:after="240"/>
        <w:ind w:left="720"/>
        <w:rPr>
          <w:rFonts w:cs="Arial"/>
          <w:color w:val="000000"/>
        </w:rPr>
      </w:pPr>
      <w:r w:rsidRPr="00BC16C2">
        <w:rPr>
          <w:color w:val="000000"/>
        </w:rPr>
        <w:t>The working capital ratio is calculated by dividing current assets by current liabilities. The w</w:t>
      </w:r>
      <w:r w:rsidRPr="00BC16C2">
        <w:rPr>
          <w:rFonts w:cs="Arial"/>
          <w:color w:val="000000"/>
        </w:rPr>
        <w:t>orking capital ratio, also known as current ratio, measures cash liquidity and whether the school has enough short</w:t>
      </w:r>
      <w:r>
        <w:rPr>
          <w:rFonts w:cs="Arial"/>
          <w:color w:val="000000"/>
        </w:rPr>
        <w:t>-</w:t>
      </w:r>
      <w:r w:rsidRPr="00BC16C2">
        <w:rPr>
          <w:rFonts w:cs="Arial"/>
          <w:color w:val="000000"/>
        </w:rPr>
        <w:t xml:space="preserve">term assets to cover its short-term debt. </w:t>
      </w:r>
      <w:r w:rsidRPr="00BC16C2">
        <w:rPr>
          <w:rFonts w:cs="Arial"/>
          <w:color w:val="000000"/>
          <w:lang w:val="en"/>
        </w:rPr>
        <w:t>A ratio of less than 1.0 means current assets are le</w:t>
      </w:r>
      <w:r>
        <w:rPr>
          <w:rFonts w:cs="Arial"/>
          <w:color w:val="000000"/>
          <w:lang w:val="en"/>
        </w:rPr>
        <w:t xml:space="preserve">ss than current liabilities. A </w:t>
      </w:r>
      <w:r w:rsidRPr="00BC16C2">
        <w:rPr>
          <w:rFonts w:cs="Arial"/>
          <w:color w:val="000000"/>
        </w:rPr>
        <w:t xml:space="preserve">school with a ratio below 0.8 may have difficulty paying its bills </w:t>
      </w:r>
      <w:r>
        <w:rPr>
          <w:rFonts w:cs="Arial"/>
          <w:color w:val="000000"/>
        </w:rPr>
        <w:t>i</w:t>
      </w:r>
      <w:r w:rsidR="001A6670">
        <w:rPr>
          <w:rFonts w:cs="Arial"/>
          <w:color w:val="000000"/>
        </w:rPr>
        <w:t xml:space="preserve">n a timely manner. A current ratio of 1.2 or higher is considered to represent good </w:t>
      </w:r>
      <w:r w:rsidR="00ED1BDB">
        <w:rPr>
          <w:rFonts w:cs="Arial"/>
          <w:color w:val="000000"/>
        </w:rPr>
        <w:t>short-term</w:t>
      </w:r>
      <w:r w:rsidR="001A6670">
        <w:rPr>
          <w:rFonts w:cs="Arial"/>
          <w:color w:val="000000"/>
        </w:rPr>
        <w:t xml:space="preserve"> liquidity.</w:t>
      </w:r>
    </w:p>
    <w:p w14:paraId="2ED43751" w14:textId="77777777" w:rsidR="001A6670" w:rsidRDefault="001A6670" w:rsidP="00E31465">
      <w:pPr>
        <w:spacing w:after="160"/>
        <w:rPr>
          <w:rFonts w:cs="Arial"/>
          <w:color w:val="000000"/>
        </w:rPr>
      </w:pPr>
      <w:r>
        <w:rPr>
          <w:rFonts w:cs="Arial"/>
          <w:color w:val="000000"/>
        </w:rPr>
        <w:br w:type="page"/>
      </w:r>
    </w:p>
    <w:p w14:paraId="1E5AEDED" w14:textId="77777777" w:rsidR="001A6670" w:rsidRPr="00407731" w:rsidRDefault="001A6670" w:rsidP="00C06FC9">
      <w:pPr>
        <w:pStyle w:val="Heading2"/>
      </w:pPr>
      <w:r w:rsidRPr="00407731">
        <w:lastRenderedPageBreak/>
        <w:t>Fair Financial Condition</w:t>
      </w:r>
    </w:p>
    <w:p w14:paraId="21666C39" w14:textId="77777777" w:rsidR="00407731" w:rsidRDefault="001A6670" w:rsidP="00E31465">
      <w:pPr>
        <w:spacing w:after="100" w:afterAutospacing="1"/>
      </w:pPr>
      <w:r>
        <w:t>Charter schools</w:t>
      </w:r>
      <w:r w:rsidRPr="00BC16C2">
        <w:t xml:space="preserve"> in fair financial condition </w:t>
      </w:r>
      <w:r w:rsidR="00BC7ED3">
        <w:t>show</w:t>
      </w:r>
      <w:r w:rsidRPr="00BC16C2">
        <w:t xml:space="preserve"> some signs of fiscal distress and need to take appropriate action</w:t>
      </w:r>
      <w:r>
        <w:t>s</w:t>
      </w:r>
      <w:r w:rsidRPr="00BC16C2">
        <w:t xml:space="preserve"> to address the</w:t>
      </w:r>
      <w:r w:rsidR="00ED1BDB">
        <w:t xml:space="preserve">ir </w:t>
      </w:r>
      <w:r w:rsidRPr="00BC16C2">
        <w:t xml:space="preserve">decline in financial condition. Specifically, </w:t>
      </w:r>
      <w:r>
        <w:t>charter schools</w:t>
      </w:r>
      <w:r w:rsidRPr="00BC16C2">
        <w:t xml:space="preserve"> in fa</w:t>
      </w:r>
      <w:r>
        <w:t xml:space="preserve">ir financial condition may have </w:t>
      </w:r>
      <w:r w:rsidRPr="00BC16C2">
        <w:t>budget</w:t>
      </w:r>
      <w:r>
        <w:t>s</w:t>
      </w:r>
      <w:r w:rsidRPr="00BC16C2">
        <w:t xml:space="preserve"> that</w:t>
      </w:r>
      <w:r>
        <w:t xml:space="preserve"> are</w:t>
      </w:r>
      <w:r w:rsidRPr="00BC16C2">
        <w:t xml:space="preserve"> out of balance (deficit spending)</w:t>
      </w:r>
      <w:r w:rsidR="00ED1BDB">
        <w:t>;</w:t>
      </w:r>
      <w:r w:rsidRPr="00BC16C2">
        <w:t xml:space="preserve"> declining</w:t>
      </w:r>
      <w:r>
        <w:t xml:space="preserve"> enrollment or attendance ratio</w:t>
      </w:r>
      <w:r w:rsidR="00ED1BDB">
        <w:t>;</w:t>
      </w:r>
      <w:r w:rsidRPr="00BC16C2">
        <w:t xml:space="preserve"> cash liquidity that is not adequate</w:t>
      </w:r>
      <w:r w:rsidR="00ED1BDB">
        <w:t>;</w:t>
      </w:r>
      <w:r w:rsidRPr="00BC16C2">
        <w:t xml:space="preserve"> debt level</w:t>
      </w:r>
      <w:r>
        <w:t>s that are</w:t>
      </w:r>
      <w:r w:rsidRPr="00BC16C2">
        <w:t xml:space="preserve"> high</w:t>
      </w:r>
      <w:r w:rsidR="00ED1BDB">
        <w:t>;</w:t>
      </w:r>
      <w:r w:rsidRPr="00BC16C2">
        <w:t xml:space="preserve"> </w:t>
      </w:r>
      <w:r>
        <w:t>d</w:t>
      </w:r>
      <w:r w:rsidRPr="00BC16C2">
        <w:t>eclining or low fund balance</w:t>
      </w:r>
      <w:r>
        <w:t>s</w:t>
      </w:r>
      <w:r w:rsidR="00ED1BDB">
        <w:t>;</w:t>
      </w:r>
      <w:r>
        <w:t xml:space="preserve"> or reserve levels</w:t>
      </w:r>
      <w:r w:rsidRPr="00BC16C2">
        <w:t xml:space="preserve"> tha</w:t>
      </w:r>
      <w:r>
        <w:t xml:space="preserve">t are below the levels required </w:t>
      </w:r>
      <w:r w:rsidRPr="00BC16C2">
        <w:t>in the MOU. The chart</w:t>
      </w:r>
      <w:r w:rsidR="008250AC">
        <w:t>er school</w:t>
      </w:r>
      <w:r w:rsidR="00ED1BDB">
        <w:t>s</w:t>
      </w:r>
      <w:r w:rsidRPr="00BC16C2">
        <w:t xml:space="preserve"> identified as bein</w:t>
      </w:r>
      <w:r w:rsidR="001F4207">
        <w:t>g in fair financial condition</w:t>
      </w:r>
      <w:r w:rsidR="00815147">
        <w:t xml:space="preserve"> </w:t>
      </w:r>
      <w:r w:rsidR="00ED1BDB">
        <w:t>are as follows</w:t>
      </w:r>
      <w:r w:rsidRPr="00BC16C2">
        <w:t>:</w:t>
      </w:r>
    </w:p>
    <w:p w14:paraId="7152995A" w14:textId="77777777" w:rsidR="007C3BB7" w:rsidRDefault="00BC5F51" w:rsidP="00E31465">
      <w:pPr>
        <w:pStyle w:val="ListParagraph"/>
        <w:numPr>
          <w:ilvl w:val="0"/>
          <w:numId w:val="4"/>
        </w:numPr>
        <w:spacing w:after="100" w:afterAutospacing="1"/>
        <w:rPr>
          <w:rFonts w:cs="Arial"/>
        </w:rPr>
      </w:pPr>
      <w:r w:rsidRPr="009F22F7">
        <w:rPr>
          <w:rFonts w:cs="Arial"/>
        </w:rPr>
        <w:t xml:space="preserve">High Tech </w:t>
      </w:r>
      <w:r w:rsidR="00090E17">
        <w:rPr>
          <w:rFonts w:cs="Arial"/>
        </w:rPr>
        <w:t>Elementary</w:t>
      </w:r>
      <w:r w:rsidR="009F22F7" w:rsidRPr="009F22F7">
        <w:rPr>
          <w:rFonts w:cs="Arial"/>
        </w:rPr>
        <w:t xml:space="preserve"> Mesa</w:t>
      </w:r>
      <w:r w:rsidR="00ED1BDB">
        <w:rPr>
          <w:rFonts w:cs="Arial"/>
        </w:rPr>
        <w:t xml:space="preserve"> (HT</w:t>
      </w:r>
      <w:r w:rsidR="00090E17">
        <w:rPr>
          <w:rFonts w:cs="Arial"/>
        </w:rPr>
        <w:t>E</w:t>
      </w:r>
      <w:r w:rsidR="00ED1BDB">
        <w:rPr>
          <w:rFonts w:cs="Arial"/>
        </w:rPr>
        <w:t>M)</w:t>
      </w:r>
    </w:p>
    <w:p w14:paraId="08D1F8F3" w14:textId="77777777" w:rsidR="00090E17" w:rsidRDefault="00090E17" w:rsidP="00E31465">
      <w:pPr>
        <w:pStyle w:val="ListParagraph"/>
        <w:numPr>
          <w:ilvl w:val="0"/>
          <w:numId w:val="4"/>
        </w:numPr>
        <w:spacing w:after="100" w:afterAutospacing="1"/>
        <w:rPr>
          <w:rFonts w:cs="Arial"/>
        </w:rPr>
      </w:pPr>
      <w:r>
        <w:rPr>
          <w:rFonts w:cs="Arial"/>
        </w:rPr>
        <w:t>High Tech Middle Mesa (HTMM)</w:t>
      </w:r>
    </w:p>
    <w:p w14:paraId="7A484170" w14:textId="77777777" w:rsidR="0012162F" w:rsidRPr="009F22F7" w:rsidRDefault="00090E17" w:rsidP="00E31465">
      <w:pPr>
        <w:pStyle w:val="ListParagraph"/>
        <w:numPr>
          <w:ilvl w:val="0"/>
          <w:numId w:val="4"/>
        </w:numPr>
        <w:spacing w:after="100" w:afterAutospacing="1"/>
        <w:rPr>
          <w:rFonts w:cs="Arial"/>
        </w:rPr>
      </w:pPr>
      <w:r>
        <w:rPr>
          <w:rFonts w:cs="Arial"/>
        </w:rPr>
        <w:t>Olive Grove Charter – Lompoc</w:t>
      </w:r>
      <w:r w:rsidR="00E174FC">
        <w:rPr>
          <w:rFonts w:cs="Arial"/>
        </w:rPr>
        <w:t xml:space="preserve"> (OGCL)</w:t>
      </w:r>
    </w:p>
    <w:p w14:paraId="41036A9C" w14:textId="77777777" w:rsidR="007C3BB7" w:rsidRDefault="009F22F7" w:rsidP="00A34996">
      <w:pPr>
        <w:pStyle w:val="Heading3"/>
      </w:pPr>
      <w:r>
        <w:t xml:space="preserve">High Tech </w:t>
      </w:r>
      <w:r w:rsidR="00090E17">
        <w:t>Elementary</w:t>
      </w:r>
      <w:r w:rsidR="00FD402F">
        <w:t xml:space="preserve"> </w:t>
      </w:r>
      <w:r>
        <w:t>Mesa</w:t>
      </w:r>
    </w:p>
    <w:p w14:paraId="3B1DC581" w14:textId="77777777" w:rsidR="007C3BB7" w:rsidRDefault="003D3054" w:rsidP="00E31465">
      <w:pPr>
        <w:pStyle w:val="ListParagraph"/>
        <w:numPr>
          <w:ilvl w:val="0"/>
          <w:numId w:val="5"/>
        </w:numPr>
      </w:pPr>
      <w:r>
        <w:t>Charter Term Expires: 6/30/20</w:t>
      </w:r>
      <w:r w:rsidRPr="00C46875">
        <w:t>2</w:t>
      </w:r>
      <w:r w:rsidR="009F22F7" w:rsidRPr="00C46875">
        <w:t>3</w:t>
      </w:r>
    </w:p>
    <w:p w14:paraId="002EAFBF" w14:textId="77777777" w:rsidR="007C3BB7" w:rsidRDefault="007C3BB7" w:rsidP="00E31465">
      <w:pPr>
        <w:pStyle w:val="ListParagraph"/>
        <w:numPr>
          <w:ilvl w:val="0"/>
          <w:numId w:val="5"/>
        </w:numPr>
      </w:pPr>
      <w:r>
        <w:t xml:space="preserve">Grades Authorized to Serve: </w:t>
      </w:r>
      <w:r w:rsidR="00090E17">
        <w:t>Kindergarten (K)–5</w:t>
      </w:r>
    </w:p>
    <w:p w14:paraId="1A18E99D" w14:textId="77777777" w:rsidR="007C3BB7" w:rsidRDefault="00B66519" w:rsidP="00E31465">
      <w:pPr>
        <w:pStyle w:val="ListParagraph"/>
        <w:numPr>
          <w:ilvl w:val="0"/>
          <w:numId w:val="5"/>
        </w:numPr>
      </w:pPr>
      <w:r>
        <w:t>201</w:t>
      </w:r>
      <w:r w:rsidR="00090E17">
        <w:t>9</w:t>
      </w:r>
      <w:r w:rsidR="003D3054">
        <w:t>–</w:t>
      </w:r>
      <w:r w:rsidR="00090E17">
        <w:t>20</w:t>
      </w:r>
      <w:r>
        <w:t xml:space="preserve"> P-</w:t>
      </w:r>
      <w:r w:rsidR="007C3BB7">
        <w:t xml:space="preserve">2 ADA: </w:t>
      </w:r>
      <w:r w:rsidR="0041514D">
        <w:t>197.42</w:t>
      </w:r>
    </w:p>
    <w:p w14:paraId="48C6DA7E" w14:textId="77777777" w:rsidR="00407731" w:rsidRPr="00EA3FA7" w:rsidRDefault="00B66519" w:rsidP="00E31465">
      <w:pPr>
        <w:pStyle w:val="ListParagraph"/>
        <w:numPr>
          <w:ilvl w:val="0"/>
          <w:numId w:val="5"/>
        </w:numPr>
        <w:spacing w:after="100" w:afterAutospacing="1"/>
      </w:pPr>
      <w:r>
        <w:t>20</w:t>
      </w:r>
      <w:r w:rsidR="00090E17">
        <w:t>20</w:t>
      </w:r>
      <w:r w:rsidR="003D3054">
        <w:t>–</w:t>
      </w:r>
      <w:r w:rsidR="002F5B62">
        <w:t>2</w:t>
      </w:r>
      <w:r w:rsidR="00090E17">
        <w:t>1</w:t>
      </w:r>
      <w:r>
        <w:t xml:space="preserve"> P-</w:t>
      </w:r>
      <w:r w:rsidR="007C3BB7">
        <w:t xml:space="preserve">2 ADA: </w:t>
      </w:r>
      <w:r w:rsidR="00300806" w:rsidRPr="00300806">
        <w:t>298</w:t>
      </w:r>
    </w:p>
    <w:p w14:paraId="0FB8ED4C" w14:textId="77777777" w:rsidR="007C3BB7" w:rsidRPr="004F37E1" w:rsidRDefault="007C3BB7" w:rsidP="00E174FC">
      <w:pPr>
        <w:pStyle w:val="Heading4"/>
      </w:pPr>
      <w:r w:rsidRPr="004F37E1">
        <w:t>Fiscal Concerns</w:t>
      </w:r>
    </w:p>
    <w:p w14:paraId="44743A47" w14:textId="77777777" w:rsidR="001E6340" w:rsidRPr="00EF0B58" w:rsidRDefault="0041514D" w:rsidP="00E31465">
      <w:pPr>
        <w:spacing w:after="100" w:afterAutospacing="1"/>
      </w:pPr>
      <w:r>
        <w:t>HTEM’s</w:t>
      </w:r>
      <w:r w:rsidRPr="00391D2E">
        <w:t xml:space="preserve"> 20</w:t>
      </w:r>
      <w:r>
        <w:t>20</w:t>
      </w:r>
      <w:r w:rsidRPr="00391D2E">
        <w:t>–</w:t>
      </w:r>
      <w:r>
        <w:t xml:space="preserve">21 </w:t>
      </w:r>
      <w:r w:rsidRPr="00391D2E">
        <w:t>second interim r</w:t>
      </w:r>
      <w:r>
        <w:t xml:space="preserve">eport indicates that HTEM is projecting a positive ending fund </w:t>
      </w:r>
      <w:r w:rsidRPr="00391D2E">
        <w:t>balance of $</w:t>
      </w:r>
      <w:r>
        <w:t>118,038 with 3.96</w:t>
      </w:r>
      <w:r w:rsidRPr="00391D2E">
        <w:t xml:space="preserve"> percent </w:t>
      </w:r>
      <w:r>
        <w:t xml:space="preserve">in </w:t>
      </w:r>
      <w:r w:rsidRPr="00391D2E">
        <w:t>reserve</w:t>
      </w:r>
      <w:r>
        <w:t>s</w:t>
      </w:r>
      <w:r w:rsidRPr="00391D2E">
        <w:t xml:space="preserve"> for </w:t>
      </w:r>
      <w:r w:rsidR="00E174FC">
        <w:t>fiscal year (</w:t>
      </w:r>
      <w:r w:rsidRPr="00391D2E">
        <w:t>FY</w:t>
      </w:r>
      <w:r w:rsidR="00E174FC">
        <w:t>)</w:t>
      </w:r>
      <w:r w:rsidRPr="00391D2E">
        <w:t xml:space="preserve"> 20</w:t>
      </w:r>
      <w:r>
        <w:t>20</w:t>
      </w:r>
      <w:r w:rsidRPr="00391D2E">
        <w:t>–</w:t>
      </w:r>
      <w:r>
        <w:t xml:space="preserve">21, which is below the recommended </w:t>
      </w:r>
      <w:r w:rsidR="00BC7ED3">
        <w:t>5</w:t>
      </w:r>
      <w:r>
        <w:t xml:space="preserve"> percent in reserves outlined in the MOU between HTEM and the </w:t>
      </w:r>
      <w:r w:rsidR="00E174FC">
        <w:t>State Board of Education (SBE)</w:t>
      </w:r>
      <w:r>
        <w:t xml:space="preserve">. </w:t>
      </w:r>
      <w:r w:rsidRPr="007C012C">
        <w:t xml:space="preserve">The </w:t>
      </w:r>
      <w:r w:rsidR="00DC5A78">
        <w:t>California Department of Education (CDE)</w:t>
      </w:r>
      <w:r w:rsidRPr="007C012C">
        <w:t xml:space="preserve"> will continue to monitor the </w:t>
      </w:r>
      <w:r>
        <w:t>HTEM</w:t>
      </w:r>
      <w:r w:rsidRPr="007C012C">
        <w:t xml:space="preserve"> budget, and may recommend that </w:t>
      </w:r>
      <w:r w:rsidRPr="00EF0B58">
        <w:t>the SBE take appropriate action, as deemed necessary.</w:t>
      </w:r>
    </w:p>
    <w:p w14:paraId="39EC7C14" w14:textId="77777777" w:rsidR="00AB3C74" w:rsidRPr="00EF0B58" w:rsidRDefault="00AB3C74" w:rsidP="00E174FC">
      <w:pPr>
        <w:pStyle w:val="Heading4"/>
      </w:pPr>
      <w:bookmarkStart w:id="1" w:name="_Hlk76112877"/>
      <w:r w:rsidRPr="00EF0B58">
        <w:t>Charter School Update</w:t>
      </w:r>
    </w:p>
    <w:p w14:paraId="4060CD47" w14:textId="00A2EEEE" w:rsidR="001D0D17" w:rsidRDefault="00AB3C74" w:rsidP="00E31465">
      <w:pPr>
        <w:spacing w:after="100" w:afterAutospacing="1"/>
        <w:sectPr w:rsidR="001D0D17" w:rsidSect="00624C4D">
          <w:headerReference w:type="default" r:id="rId8"/>
          <w:type w:val="continuous"/>
          <w:pgSz w:w="12240" w:h="15840"/>
          <w:pgMar w:top="630" w:right="1440" w:bottom="1440" w:left="1440" w:header="720" w:footer="720" w:gutter="0"/>
          <w:cols w:space="720"/>
          <w:titlePg/>
          <w:docGrid w:linePitch="326"/>
        </w:sectPr>
      </w:pPr>
      <w:r w:rsidRPr="00EF0B58">
        <w:t>HTEM submitted</w:t>
      </w:r>
      <w:r w:rsidR="00FB1582" w:rsidRPr="00EF0B58">
        <w:t xml:space="preserve"> its</w:t>
      </w:r>
      <w:r w:rsidRPr="00EF0B58">
        <w:t xml:space="preserve"> 2021–22 preliminary budget report</w:t>
      </w:r>
      <w:r w:rsidR="00A653D3" w:rsidRPr="00EF0B58">
        <w:t xml:space="preserve"> </w:t>
      </w:r>
      <w:r w:rsidR="002D50E5" w:rsidRPr="00EF0B58">
        <w:t>on June 30, 2021</w:t>
      </w:r>
      <w:r w:rsidR="00AD155C" w:rsidRPr="00EF0B58">
        <w:t xml:space="preserve">. Its preliminary budget report </w:t>
      </w:r>
      <w:r w:rsidR="00A653D3" w:rsidRPr="00EF0B58">
        <w:t>reflects significant changes in</w:t>
      </w:r>
      <w:r w:rsidR="002D50E5" w:rsidRPr="00EF0B58">
        <w:t xml:space="preserve"> beginning fund balance</w:t>
      </w:r>
      <w:r w:rsidR="00FB1582" w:rsidRPr="00EF0B58">
        <w:t>, which indicate</w:t>
      </w:r>
      <w:r w:rsidRPr="00EF0B58">
        <w:t xml:space="preserve"> that HTEM is projecting a positive ending fund balance of $685,750 with 17.87 percent in reserves in FY 2021–22.</w:t>
      </w:r>
      <w:r w:rsidR="002D50E5" w:rsidRPr="00EF0B58">
        <w:t xml:space="preserve"> Given the most recent financial information provided by HTEM, the CDE concludes that HTEM’s financial health is stronger than reflected in the 2021–22 preliminary budget.</w:t>
      </w:r>
      <w:r>
        <w:t xml:space="preserve"> </w:t>
      </w:r>
      <w:bookmarkEnd w:id="1"/>
    </w:p>
    <w:p w14:paraId="5CAFF79B" w14:textId="77777777" w:rsidR="007C3BB7" w:rsidRPr="001D0D17" w:rsidRDefault="007D1D53" w:rsidP="00E174FC">
      <w:pPr>
        <w:pStyle w:val="Heading4"/>
      </w:pPr>
      <w:r>
        <w:lastRenderedPageBreak/>
        <w:t xml:space="preserve">High Tech </w:t>
      </w:r>
      <w:r w:rsidR="0041514D">
        <w:t>Elementary</w:t>
      </w:r>
      <w:r>
        <w:t xml:space="preserve"> Mesa</w:t>
      </w:r>
      <w:r w:rsidR="001D0D17" w:rsidRPr="001D0D17">
        <w:t xml:space="preserve"> </w:t>
      </w:r>
      <w:r w:rsidR="007C3BB7" w:rsidRPr="001D0D17">
        <w:t>Financial Highlights</w:t>
      </w:r>
    </w:p>
    <w:p w14:paraId="65BAD4D7" w14:textId="77777777" w:rsidR="001D0D17" w:rsidRDefault="00F147CD" w:rsidP="00E31465">
      <w:r>
        <w:t>N</w:t>
      </w:r>
      <w:r w:rsidR="001D0D17">
        <w:t>A</w:t>
      </w:r>
      <w:r w:rsidR="00A34996">
        <w:t xml:space="preserve">: </w:t>
      </w:r>
      <w:r w:rsidR="001D0D17">
        <w:t>Not Applicable</w:t>
      </w: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nancial Highlights"/>
        <w:tblDescription w:val="Financial Highlights High Tech Elementary Mesa"/>
      </w:tblPr>
      <w:tblGrid>
        <w:gridCol w:w="1256"/>
        <w:gridCol w:w="1453"/>
        <w:gridCol w:w="1922"/>
        <w:gridCol w:w="1492"/>
        <w:gridCol w:w="1300"/>
        <w:gridCol w:w="901"/>
        <w:gridCol w:w="1684"/>
        <w:gridCol w:w="1523"/>
        <w:gridCol w:w="1419"/>
      </w:tblGrid>
      <w:tr w:rsidR="007C3BB7" w:rsidRPr="00407731" w14:paraId="34B1BFE4" w14:textId="77777777" w:rsidTr="00A3499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85" w:type="pct"/>
            <w:tcBorders>
              <w:top w:val="none" w:sz="0" w:space="0" w:color="auto"/>
              <w:left w:val="none" w:sz="0" w:space="0" w:color="auto"/>
              <w:bottom w:val="none" w:sz="0" w:space="0" w:color="auto"/>
              <w:right w:val="none" w:sz="0" w:space="0" w:color="auto"/>
            </w:tcBorders>
            <w:vAlign w:val="center"/>
          </w:tcPr>
          <w:p w14:paraId="4B842CA6" w14:textId="77777777" w:rsidR="007C3BB7" w:rsidRPr="00407731" w:rsidRDefault="007C3BB7" w:rsidP="00E31465">
            <w:pPr>
              <w:jc w:val="center"/>
              <w:rPr>
                <w:rFonts w:cs="Arial"/>
                <w:b w:val="0"/>
              </w:rPr>
            </w:pPr>
            <w:r w:rsidRPr="00407731">
              <w:rPr>
                <w:rFonts w:cs="Arial"/>
              </w:rPr>
              <w:t>F</w:t>
            </w:r>
            <w:r w:rsidR="000F6628">
              <w:rPr>
                <w:rFonts w:cs="Arial"/>
              </w:rPr>
              <w:t xml:space="preserve">iscal Year </w:t>
            </w:r>
            <w:r w:rsidRPr="00407731">
              <w:rPr>
                <w:rFonts w:cs="Arial"/>
              </w:rPr>
              <w:t>/ Source</w:t>
            </w:r>
          </w:p>
        </w:tc>
        <w:tc>
          <w:tcPr>
            <w:tcW w:w="561" w:type="pct"/>
            <w:tcBorders>
              <w:top w:val="none" w:sz="0" w:space="0" w:color="auto"/>
              <w:left w:val="none" w:sz="0" w:space="0" w:color="auto"/>
              <w:bottom w:val="none" w:sz="0" w:space="0" w:color="auto"/>
              <w:right w:val="none" w:sz="0" w:space="0" w:color="auto"/>
            </w:tcBorders>
            <w:vAlign w:val="center"/>
          </w:tcPr>
          <w:p w14:paraId="28B1AF67" w14:textId="77777777" w:rsidR="007C3BB7" w:rsidRPr="00407731" w:rsidRDefault="007C3BB7"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Total Revenues</w:t>
            </w:r>
          </w:p>
        </w:tc>
        <w:tc>
          <w:tcPr>
            <w:tcW w:w="742" w:type="pct"/>
            <w:tcBorders>
              <w:top w:val="none" w:sz="0" w:space="0" w:color="auto"/>
              <w:left w:val="none" w:sz="0" w:space="0" w:color="auto"/>
              <w:bottom w:val="none" w:sz="0" w:space="0" w:color="auto"/>
              <w:right w:val="none" w:sz="0" w:space="0" w:color="auto"/>
            </w:tcBorders>
            <w:vAlign w:val="center"/>
          </w:tcPr>
          <w:p w14:paraId="43A2C6C1" w14:textId="77777777" w:rsidR="007C3BB7" w:rsidRPr="00407731" w:rsidRDefault="007C3BB7"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Total Expenditures</w:t>
            </w:r>
          </w:p>
        </w:tc>
        <w:tc>
          <w:tcPr>
            <w:tcW w:w="576" w:type="pct"/>
            <w:tcBorders>
              <w:top w:val="none" w:sz="0" w:space="0" w:color="auto"/>
              <w:left w:val="none" w:sz="0" w:space="0" w:color="auto"/>
              <w:bottom w:val="none" w:sz="0" w:space="0" w:color="auto"/>
              <w:right w:val="none" w:sz="0" w:space="0" w:color="auto"/>
            </w:tcBorders>
            <w:vAlign w:val="center"/>
          </w:tcPr>
          <w:p w14:paraId="56AFA6C4" w14:textId="77777777" w:rsidR="007C3BB7" w:rsidRPr="00407731" w:rsidRDefault="007C3BB7"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Net Operating Surplus (Deficit)</w:t>
            </w:r>
          </w:p>
        </w:tc>
        <w:tc>
          <w:tcPr>
            <w:tcW w:w="502" w:type="pct"/>
            <w:tcBorders>
              <w:top w:val="none" w:sz="0" w:space="0" w:color="auto"/>
              <w:left w:val="none" w:sz="0" w:space="0" w:color="auto"/>
              <w:bottom w:val="none" w:sz="0" w:space="0" w:color="auto"/>
              <w:right w:val="none" w:sz="0" w:space="0" w:color="auto"/>
            </w:tcBorders>
            <w:vAlign w:val="center"/>
          </w:tcPr>
          <w:p w14:paraId="2B9D8013" w14:textId="77777777" w:rsidR="007C3BB7" w:rsidRPr="00407731" w:rsidRDefault="007C3BB7"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Working Capital Ratio</w:t>
            </w:r>
          </w:p>
        </w:tc>
        <w:tc>
          <w:tcPr>
            <w:tcW w:w="348" w:type="pct"/>
            <w:tcBorders>
              <w:top w:val="none" w:sz="0" w:space="0" w:color="auto"/>
              <w:left w:val="none" w:sz="0" w:space="0" w:color="auto"/>
              <w:bottom w:val="none" w:sz="0" w:space="0" w:color="auto"/>
              <w:right w:val="none" w:sz="0" w:space="0" w:color="auto"/>
            </w:tcBorders>
            <w:vAlign w:val="center"/>
          </w:tcPr>
          <w:p w14:paraId="54472EB2" w14:textId="77777777" w:rsidR="007C3BB7" w:rsidRPr="00407731" w:rsidRDefault="007C3BB7"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Debt Ratio</w:t>
            </w:r>
          </w:p>
        </w:tc>
        <w:tc>
          <w:tcPr>
            <w:tcW w:w="650" w:type="pct"/>
            <w:tcBorders>
              <w:top w:val="none" w:sz="0" w:space="0" w:color="auto"/>
              <w:left w:val="none" w:sz="0" w:space="0" w:color="auto"/>
              <w:bottom w:val="none" w:sz="0" w:space="0" w:color="auto"/>
              <w:right w:val="none" w:sz="0" w:space="0" w:color="auto"/>
            </w:tcBorders>
            <w:vAlign w:val="center"/>
          </w:tcPr>
          <w:p w14:paraId="49D73BAE" w14:textId="77777777" w:rsidR="007C3BB7" w:rsidRPr="00407731" w:rsidRDefault="007C3BB7"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Attendance Ratio</w:t>
            </w:r>
          </w:p>
        </w:tc>
        <w:tc>
          <w:tcPr>
            <w:tcW w:w="588" w:type="pct"/>
            <w:tcBorders>
              <w:top w:val="none" w:sz="0" w:space="0" w:color="auto"/>
              <w:left w:val="none" w:sz="0" w:space="0" w:color="auto"/>
              <w:bottom w:val="none" w:sz="0" w:space="0" w:color="auto"/>
              <w:right w:val="none" w:sz="0" w:space="0" w:color="auto"/>
            </w:tcBorders>
            <w:vAlign w:val="center"/>
          </w:tcPr>
          <w:p w14:paraId="611953F5" w14:textId="77777777" w:rsidR="007C3BB7" w:rsidRPr="00407731" w:rsidRDefault="007C3BB7"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Ending Fund Balance</w:t>
            </w:r>
          </w:p>
        </w:tc>
        <w:tc>
          <w:tcPr>
            <w:tcW w:w="548" w:type="pct"/>
            <w:tcBorders>
              <w:top w:val="none" w:sz="0" w:space="0" w:color="auto"/>
              <w:left w:val="none" w:sz="0" w:space="0" w:color="auto"/>
              <w:bottom w:val="none" w:sz="0" w:space="0" w:color="auto"/>
              <w:right w:val="none" w:sz="0" w:space="0" w:color="auto"/>
            </w:tcBorders>
            <w:vAlign w:val="center"/>
          </w:tcPr>
          <w:p w14:paraId="23B6BE5D" w14:textId="77777777" w:rsidR="007C3BB7" w:rsidRPr="00407731" w:rsidRDefault="007C3BB7"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Percent of Reserves</w:t>
            </w:r>
          </w:p>
        </w:tc>
      </w:tr>
      <w:tr w:rsidR="007C3BB7" w:rsidRPr="00407731" w14:paraId="4087502C" w14:textId="77777777" w:rsidTr="00A349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5" w:type="pct"/>
            <w:vAlign w:val="center"/>
          </w:tcPr>
          <w:p w14:paraId="221B59F5" w14:textId="77777777" w:rsidR="007C3BB7" w:rsidRPr="00407731" w:rsidRDefault="007C3BB7" w:rsidP="00E31465">
            <w:pPr>
              <w:rPr>
                <w:rFonts w:cs="Arial"/>
              </w:rPr>
            </w:pPr>
            <w:r w:rsidRPr="00407731">
              <w:rPr>
                <w:rFonts w:cs="Arial"/>
              </w:rPr>
              <w:t>201</w:t>
            </w:r>
            <w:r w:rsidR="00515618">
              <w:rPr>
                <w:rFonts w:cs="Arial"/>
              </w:rPr>
              <w:t>9</w:t>
            </w:r>
            <w:r w:rsidR="00714FE2">
              <w:rPr>
                <w:rFonts w:cs="Arial"/>
              </w:rPr>
              <w:t>–</w:t>
            </w:r>
            <w:r w:rsidR="00515618">
              <w:rPr>
                <w:rFonts w:cs="Arial"/>
              </w:rPr>
              <w:t>20</w:t>
            </w:r>
            <w:r w:rsidRPr="00407731">
              <w:rPr>
                <w:rFonts w:cs="Arial"/>
              </w:rPr>
              <w:t xml:space="preserve"> Audit</w:t>
            </w:r>
          </w:p>
        </w:tc>
        <w:tc>
          <w:tcPr>
            <w:tcW w:w="561" w:type="pct"/>
            <w:vAlign w:val="center"/>
          </w:tcPr>
          <w:p w14:paraId="0E56D477" w14:textId="77777777" w:rsidR="007C3BB7" w:rsidRPr="00407731" w:rsidRDefault="00D02048"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$2,530,116</w:t>
            </w:r>
          </w:p>
        </w:tc>
        <w:tc>
          <w:tcPr>
            <w:tcW w:w="742" w:type="pct"/>
            <w:vAlign w:val="center"/>
          </w:tcPr>
          <w:p w14:paraId="34217F25" w14:textId="77777777" w:rsidR="007C3BB7" w:rsidRPr="00407731" w:rsidRDefault="00D02048"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$2,689,503</w:t>
            </w:r>
          </w:p>
        </w:tc>
        <w:tc>
          <w:tcPr>
            <w:tcW w:w="576" w:type="pct"/>
            <w:vAlign w:val="center"/>
          </w:tcPr>
          <w:p w14:paraId="041784D6" w14:textId="77777777" w:rsidR="007C3BB7" w:rsidRPr="00407731" w:rsidRDefault="00D02048"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($159,387)</w:t>
            </w:r>
          </w:p>
        </w:tc>
        <w:tc>
          <w:tcPr>
            <w:tcW w:w="502" w:type="pct"/>
            <w:vAlign w:val="center"/>
          </w:tcPr>
          <w:p w14:paraId="154FC9C8" w14:textId="77777777" w:rsidR="007C3BB7" w:rsidRPr="00407731" w:rsidRDefault="00D02048"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0.86</w:t>
            </w:r>
          </w:p>
        </w:tc>
        <w:tc>
          <w:tcPr>
            <w:tcW w:w="348" w:type="pct"/>
            <w:vAlign w:val="center"/>
          </w:tcPr>
          <w:p w14:paraId="30FCAE70" w14:textId="77777777" w:rsidR="007C3BB7" w:rsidRPr="00407731" w:rsidRDefault="00D02048"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1.16</w:t>
            </w:r>
          </w:p>
        </w:tc>
        <w:tc>
          <w:tcPr>
            <w:tcW w:w="650" w:type="pct"/>
            <w:vAlign w:val="center"/>
          </w:tcPr>
          <w:p w14:paraId="68BCBBAD" w14:textId="77777777" w:rsidR="007C3BB7" w:rsidRPr="00407731" w:rsidRDefault="00C21FA0"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93.10%</w:t>
            </w:r>
          </w:p>
        </w:tc>
        <w:tc>
          <w:tcPr>
            <w:tcW w:w="588" w:type="pct"/>
            <w:vAlign w:val="center"/>
          </w:tcPr>
          <w:p w14:paraId="2B78D682" w14:textId="77777777" w:rsidR="007C3BB7" w:rsidRPr="00407731" w:rsidRDefault="00C21FA0"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($64,144)</w:t>
            </w:r>
          </w:p>
        </w:tc>
        <w:tc>
          <w:tcPr>
            <w:tcW w:w="548" w:type="pct"/>
            <w:vAlign w:val="center"/>
          </w:tcPr>
          <w:p w14:paraId="55C9F9F7" w14:textId="77777777" w:rsidR="007C3BB7" w:rsidRPr="00407731" w:rsidRDefault="00C21FA0"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r>
      <w:tr w:rsidR="007C3BB7" w:rsidRPr="00407731" w14:paraId="45C99E86" w14:textId="77777777" w:rsidTr="00A34996">
        <w:trPr>
          <w:cantSplit/>
        </w:trPr>
        <w:tc>
          <w:tcPr>
            <w:cnfStyle w:val="001000000000" w:firstRow="0" w:lastRow="0" w:firstColumn="1" w:lastColumn="0" w:oddVBand="0" w:evenVBand="0" w:oddHBand="0" w:evenHBand="0" w:firstRowFirstColumn="0" w:firstRowLastColumn="0" w:lastRowFirstColumn="0" w:lastRowLastColumn="0"/>
            <w:tcW w:w="485" w:type="pct"/>
            <w:vAlign w:val="center"/>
          </w:tcPr>
          <w:p w14:paraId="221B80DA" w14:textId="77777777" w:rsidR="007C3BB7" w:rsidRPr="00407731" w:rsidRDefault="007C3BB7" w:rsidP="00E31465">
            <w:pPr>
              <w:rPr>
                <w:rFonts w:cs="Arial"/>
              </w:rPr>
            </w:pPr>
            <w:r w:rsidRPr="00407731">
              <w:rPr>
                <w:rFonts w:cs="Arial"/>
              </w:rPr>
              <w:t>20</w:t>
            </w:r>
            <w:r w:rsidR="00515618">
              <w:rPr>
                <w:rFonts w:cs="Arial"/>
              </w:rPr>
              <w:t>20</w:t>
            </w:r>
            <w:r w:rsidR="00714FE2">
              <w:rPr>
                <w:rFonts w:cs="Arial"/>
              </w:rPr>
              <w:t>–</w:t>
            </w:r>
            <w:r w:rsidR="007D1D53">
              <w:rPr>
                <w:rFonts w:cs="Arial"/>
              </w:rPr>
              <w:t>2</w:t>
            </w:r>
            <w:r w:rsidR="00515618">
              <w:rPr>
                <w:rFonts w:cs="Arial"/>
              </w:rPr>
              <w:t>1</w:t>
            </w:r>
            <w:r w:rsidRPr="00407731">
              <w:rPr>
                <w:rFonts w:cs="Arial"/>
              </w:rPr>
              <w:t xml:space="preserve"> Budget</w:t>
            </w:r>
          </w:p>
        </w:tc>
        <w:tc>
          <w:tcPr>
            <w:tcW w:w="561" w:type="pct"/>
            <w:vAlign w:val="center"/>
          </w:tcPr>
          <w:p w14:paraId="142AEF02" w14:textId="77777777" w:rsidR="007C3BB7" w:rsidRPr="00407731" w:rsidRDefault="007C3BB7"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w:t>
            </w:r>
            <w:r w:rsidR="00C21FA0">
              <w:rPr>
                <w:rFonts w:cs="Arial"/>
              </w:rPr>
              <w:t>2,993,512</w:t>
            </w:r>
          </w:p>
        </w:tc>
        <w:tc>
          <w:tcPr>
            <w:tcW w:w="742" w:type="pct"/>
            <w:vAlign w:val="center"/>
          </w:tcPr>
          <w:p w14:paraId="4E1FE1F6" w14:textId="77777777" w:rsidR="007C3BB7" w:rsidRPr="00407731" w:rsidRDefault="007C3BB7"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w:t>
            </w:r>
            <w:r w:rsidR="00C21FA0">
              <w:rPr>
                <w:rFonts w:cs="Arial"/>
              </w:rPr>
              <w:t>2,933,642</w:t>
            </w:r>
          </w:p>
        </w:tc>
        <w:tc>
          <w:tcPr>
            <w:tcW w:w="576" w:type="pct"/>
            <w:vAlign w:val="center"/>
          </w:tcPr>
          <w:p w14:paraId="382C8A16" w14:textId="77777777" w:rsidR="007C3BB7" w:rsidRPr="00407731" w:rsidRDefault="007C3BB7"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w:t>
            </w:r>
            <w:r w:rsidR="00C21FA0">
              <w:rPr>
                <w:rFonts w:cs="Arial"/>
              </w:rPr>
              <w:t>59,870</w:t>
            </w:r>
          </w:p>
        </w:tc>
        <w:tc>
          <w:tcPr>
            <w:tcW w:w="502" w:type="pct"/>
            <w:vAlign w:val="center"/>
          </w:tcPr>
          <w:p w14:paraId="1FBA412A" w14:textId="77777777" w:rsidR="007C3BB7" w:rsidRPr="00407731" w:rsidRDefault="007C3BB7"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NA</w:t>
            </w:r>
          </w:p>
        </w:tc>
        <w:tc>
          <w:tcPr>
            <w:tcW w:w="348" w:type="pct"/>
            <w:vAlign w:val="center"/>
          </w:tcPr>
          <w:p w14:paraId="4762B390" w14:textId="77777777" w:rsidR="007C3BB7" w:rsidRPr="00407731" w:rsidRDefault="007C3BB7"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NA</w:t>
            </w:r>
          </w:p>
        </w:tc>
        <w:tc>
          <w:tcPr>
            <w:tcW w:w="650" w:type="pct"/>
            <w:vAlign w:val="center"/>
          </w:tcPr>
          <w:p w14:paraId="308F63D8" w14:textId="77777777" w:rsidR="007C3BB7" w:rsidRPr="00407731" w:rsidRDefault="00C21FA0"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96</w:t>
            </w:r>
            <w:r w:rsidR="007C3BB7" w:rsidRPr="00407731">
              <w:rPr>
                <w:rFonts w:cs="Arial"/>
              </w:rPr>
              <w:t>%</w:t>
            </w:r>
          </w:p>
        </w:tc>
        <w:tc>
          <w:tcPr>
            <w:tcW w:w="588" w:type="pct"/>
            <w:vAlign w:val="center"/>
          </w:tcPr>
          <w:p w14:paraId="07F628B8" w14:textId="77777777" w:rsidR="007C3BB7" w:rsidRPr="00407731" w:rsidRDefault="007C3BB7"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w:t>
            </w:r>
            <w:r w:rsidR="007D1D53">
              <w:rPr>
                <w:rFonts w:cs="Arial"/>
              </w:rPr>
              <w:t>13</w:t>
            </w:r>
            <w:r w:rsidR="00C21FA0">
              <w:rPr>
                <w:rFonts w:cs="Arial"/>
              </w:rPr>
              <w:t>3</w:t>
            </w:r>
            <w:r w:rsidR="007D1D53">
              <w:rPr>
                <w:rFonts w:cs="Arial"/>
              </w:rPr>
              <w:t>,</w:t>
            </w:r>
            <w:r w:rsidR="00C21FA0">
              <w:rPr>
                <w:rFonts w:cs="Arial"/>
              </w:rPr>
              <w:t>862</w:t>
            </w:r>
          </w:p>
        </w:tc>
        <w:tc>
          <w:tcPr>
            <w:tcW w:w="548" w:type="pct"/>
            <w:vAlign w:val="center"/>
          </w:tcPr>
          <w:p w14:paraId="0984C6C1" w14:textId="77777777" w:rsidR="007C3BB7" w:rsidRPr="00407731" w:rsidRDefault="00C21FA0"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4.56</w:t>
            </w:r>
            <w:r w:rsidR="007C3BB7" w:rsidRPr="00407731">
              <w:rPr>
                <w:rFonts w:cs="Arial"/>
              </w:rPr>
              <w:t>%</w:t>
            </w:r>
          </w:p>
        </w:tc>
      </w:tr>
      <w:tr w:rsidR="007C3BB7" w:rsidRPr="00407731" w14:paraId="6EFD965C" w14:textId="77777777" w:rsidTr="00A349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5" w:type="pct"/>
            <w:vAlign w:val="center"/>
          </w:tcPr>
          <w:p w14:paraId="62D34E4C" w14:textId="77777777" w:rsidR="007C3BB7" w:rsidRPr="00407731" w:rsidRDefault="00714FE2" w:rsidP="00E31465">
            <w:pPr>
              <w:rPr>
                <w:rFonts w:cs="Arial"/>
              </w:rPr>
            </w:pPr>
            <w:r>
              <w:rPr>
                <w:rFonts w:cs="Arial"/>
              </w:rPr>
              <w:t>20</w:t>
            </w:r>
            <w:r w:rsidR="00515618">
              <w:rPr>
                <w:rFonts w:cs="Arial"/>
              </w:rPr>
              <w:t>20</w:t>
            </w:r>
            <w:r>
              <w:rPr>
                <w:rFonts w:cs="Arial"/>
              </w:rPr>
              <w:t>–</w:t>
            </w:r>
            <w:r w:rsidR="007D1D53">
              <w:rPr>
                <w:rFonts w:cs="Arial"/>
              </w:rPr>
              <w:t>2</w:t>
            </w:r>
            <w:r w:rsidR="00515618">
              <w:rPr>
                <w:rFonts w:cs="Arial"/>
              </w:rPr>
              <w:t>1</w:t>
            </w:r>
            <w:r w:rsidR="007C3BB7" w:rsidRPr="00407731">
              <w:rPr>
                <w:rFonts w:cs="Arial"/>
              </w:rPr>
              <w:t xml:space="preserve"> 2</w:t>
            </w:r>
            <w:r w:rsidR="001D0D17" w:rsidRPr="001D0D17">
              <w:rPr>
                <w:rFonts w:cs="Arial"/>
              </w:rPr>
              <w:t>nd</w:t>
            </w:r>
            <w:r w:rsidR="007C3BB7" w:rsidRPr="001D0D17">
              <w:rPr>
                <w:rFonts w:cs="Arial"/>
              </w:rPr>
              <w:t xml:space="preserve"> </w:t>
            </w:r>
            <w:r w:rsidR="007C3BB7" w:rsidRPr="00407731">
              <w:rPr>
                <w:rFonts w:cs="Arial"/>
              </w:rPr>
              <w:t>Interim</w:t>
            </w:r>
          </w:p>
        </w:tc>
        <w:tc>
          <w:tcPr>
            <w:tcW w:w="561" w:type="pct"/>
            <w:vAlign w:val="center"/>
          </w:tcPr>
          <w:p w14:paraId="5F6FAEB8" w14:textId="77777777" w:rsidR="007C3BB7" w:rsidRPr="00407731" w:rsidRDefault="007C3BB7"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07731">
              <w:rPr>
                <w:rFonts w:cs="Arial"/>
              </w:rPr>
              <w:t>$</w:t>
            </w:r>
            <w:r w:rsidR="00C21FA0">
              <w:rPr>
                <w:rFonts w:cs="Arial"/>
              </w:rPr>
              <w:t>3,165,976</w:t>
            </w:r>
          </w:p>
        </w:tc>
        <w:tc>
          <w:tcPr>
            <w:tcW w:w="742" w:type="pct"/>
            <w:vAlign w:val="center"/>
          </w:tcPr>
          <w:p w14:paraId="5A8EC560" w14:textId="77777777" w:rsidR="007C3BB7" w:rsidRPr="00407731" w:rsidRDefault="007C3BB7"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07731">
              <w:rPr>
                <w:rFonts w:cs="Arial"/>
              </w:rPr>
              <w:t>$</w:t>
            </w:r>
            <w:r w:rsidR="00C21FA0">
              <w:rPr>
                <w:rFonts w:cs="Arial"/>
              </w:rPr>
              <w:t>2,983,794</w:t>
            </w:r>
          </w:p>
        </w:tc>
        <w:tc>
          <w:tcPr>
            <w:tcW w:w="576" w:type="pct"/>
            <w:vAlign w:val="center"/>
          </w:tcPr>
          <w:p w14:paraId="3236C95F" w14:textId="77777777" w:rsidR="007C3BB7" w:rsidRPr="00407731" w:rsidRDefault="007C3BB7"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07731">
              <w:rPr>
                <w:rFonts w:cs="Arial"/>
              </w:rPr>
              <w:t>$</w:t>
            </w:r>
            <w:r w:rsidR="00C21FA0">
              <w:rPr>
                <w:rFonts w:cs="Arial"/>
              </w:rPr>
              <w:t>182,182</w:t>
            </w:r>
          </w:p>
        </w:tc>
        <w:tc>
          <w:tcPr>
            <w:tcW w:w="502" w:type="pct"/>
            <w:vAlign w:val="center"/>
          </w:tcPr>
          <w:p w14:paraId="7AD7FEA6" w14:textId="77777777" w:rsidR="007C3BB7" w:rsidRPr="00407731" w:rsidRDefault="007C3BB7"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07731">
              <w:rPr>
                <w:rFonts w:cs="Arial"/>
              </w:rPr>
              <w:t>NA</w:t>
            </w:r>
          </w:p>
        </w:tc>
        <w:tc>
          <w:tcPr>
            <w:tcW w:w="348" w:type="pct"/>
            <w:vAlign w:val="center"/>
          </w:tcPr>
          <w:p w14:paraId="4B512EE6" w14:textId="77777777" w:rsidR="007C3BB7" w:rsidRPr="00407731" w:rsidRDefault="007C3BB7"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07731">
              <w:rPr>
                <w:rFonts w:cs="Arial"/>
              </w:rPr>
              <w:t>NA</w:t>
            </w:r>
          </w:p>
        </w:tc>
        <w:tc>
          <w:tcPr>
            <w:tcW w:w="650" w:type="pct"/>
            <w:vAlign w:val="center"/>
          </w:tcPr>
          <w:p w14:paraId="04810C7E" w14:textId="77777777" w:rsidR="007C3BB7" w:rsidRPr="00A34996" w:rsidRDefault="004E4875"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B3C74">
              <w:rPr>
                <w:rFonts w:cs="Arial"/>
              </w:rPr>
              <w:t>95.</w:t>
            </w:r>
            <w:r w:rsidR="00AB3C74" w:rsidRPr="00AB3C74">
              <w:rPr>
                <w:rFonts w:cs="Arial"/>
              </w:rPr>
              <w:t>51</w:t>
            </w:r>
            <w:r w:rsidR="001F4207" w:rsidRPr="00AB3C74">
              <w:rPr>
                <w:rFonts w:cs="Arial"/>
              </w:rPr>
              <w:t>%</w:t>
            </w:r>
          </w:p>
        </w:tc>
        <w:tc>
          <w:tcPr>
            <w:tcW w:w="588" w:type="pct"/>
            <w:vAlign w:val="center"/>
          </w:tcPr>
          <w:p w14:paraId="65C8F691" w14:textId="77777777" w:rsidR="007C3BB7" w:rsidRPr="00A34996" w:rsidRDefault="00714FE2"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C21FA0">
              <w:rPr>
                <w:rFonts w:cs="Arial"/>
              </w:rPr>
              <w:t>118,038</w:t>
            </w:r>
          </w:p>
        </w:tc>
        <w:tc>
          <w:tcPr>
            <w:tcW w:w="548" w:type="pct"/>
            <w:vAlign w:val="center"/>
          </w:tcPr>
          <w:p w14:paraId="69A80CBD" w14:textId="77777777" w:rsidR="007C3BB7" w:rsidRPr="00407731" w:rsidRDefault="00C21FA0"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3.96</w:t>
            </w:r>
            <w:r w:rsidR="007C3BB7" w:rsidRPr="00407731">
              <w:rPr>
                <w:rFonts w:cs="Arial"/>
              </w:rPr>
              <w:t>%</w:t>
            </w:r>
          </w:p>
        </w:tc>
      </w:tr>
    </w:tbl>
    <w:p w14:paraId="117E3040" w14:textId="0F256C71" w:rsidR="0012162F" w:rsidRPr="00C06FC9" w:rsidRDefault="00C06FC9" w:rsidP="00C06FC9">
      <w:pPr>
        <w:spacing w:before="240"/>
      </w:pPr>
      <w:r w:rsidRPr="00A34996">
        <w:t xml:space="preserve">California Department of Education, Charter Schools Division, </w:t>
      </w:r>
      <w:r w:rsidR="00EA651F">
        <w:t>August</w:t>
      </w:r>
      <w:r w:rsidRPr="00A34996">
        <w:t xml:space="preserve"> 202</w:t>
      </w:r>
      <w:r>
        <w:t>1</w:t>
      </w:r>
    </w:p>
    <w:p w14:paraId="310DBF39" w14:textId="77777777" w:rsidR="0012162F" w:rsidRDefault="0012162F" w:rsidP="00E31465">
      <w:pPr>
        <w:ind w:firstLine="720"/>
        <w:rPr>
          <w:sz w:val="16"/>
          <w:szCs w:val="16"/>
        </w:rPr>
        <w:sectPr w:rsidR="0012162F" w:rsidSect="00A34996">
          <w:pgSz w:w="15840" w:h="12240" w:orient="landscape"/>
          <w:pgMar w:top="1440" w:right="1440" w:bottom="1440" w:left="1440" w:header="720" w:footer="720" w:gutter="0"/>
          <w:cols w:space="720"/>
          <w:docGrid w:linePitch="326"/>
        </w:sectPr>
      </w:pPr>
    </w:p>
    <w:p w14:paraId="776DBB7B" w14:textId="77777777" w:rsidR="0012162F" w:rsidRDefault="00DA0267" w:rsidP="00A34996">
      <w:pPr>
        <w:pStyle w:val="Heading3"/>
      </w:pPr>
      <w:r>
        <w:lastRenderedPageBreak/>
        <w:t>High Tech Middle Mesa</w:t>
      </w:r>
    </w:p>
    <w:p w14:paraId="47BE4C5A" w14:textId="77777777" w:rsidR="0012162F" w:rsidRDefault="0012162F" w:rsidP="00E31465">
      <w:pPr>
        <w:pStyle w:val="ListParagraph"/>
        <w:numPr>
          <w:ilvl w:val="0"/>
          <w:numId w:val="5"/>
        </w:numPr>
        <w:spacing w:after="240"/>
      </w:pPr>
      <w:r>
        <w:t xml:space="preserve">Charter </w:t>
      </w:r>
      <w:r w:rsidR="00DA0267">
        <w:t>Term Expires</w:t>
      </w:r>
      <w:r>
        <w:t>: 6/30/20</w:t>
      </w:r>
      <w:r w:rsidR="009019BE">
        <w:t>2</w:t>
      </w:r>
      <w:r w:rsidR="00DA0267">
        <w:t>3</w:t>
      </w:r>
    </w:p>
    <w:p w14:paraId="6A83FD79" w14:textId="77777777" w:rsidR="0012162F" w:rsidRDefault="0012162F" w:rsidP="00E31465">
      <w:pPr>
        <w:pStyle w:val="ListParagraph"/>
        <w:numPr>
          <w:ilvl w:val="0"/>
          <w:numId w:val="5"/>
        </w:numPr>
        <w:spacing w:after="240"/>
      </w:pPr>
      <w:r>
        <w:t xml:space="preserve">Grades Authorized to Serve: </w:t>
      </w:r>
      <w:r w:rsidRPr="00C46875">
        <w:t>6–</w:t>
      </w:r>
      <w:r w:rsidR="00300806">
        <w:t>8</w:t>
      </w:r>
    </w:p>
    <w:p w14:paraId="649FF08F" w14:textId="77777777" w:rsidR="0012162F" w:rsidRDefault="0012162F" w:rsidP="00E31465">
      <w:pPr>
        <w:pStyle w:val="ListParagraph"/>
        <w:numPr>
          <w:ilvl w:val="0"/>
          <w:numId w:val="5"/>
        </w:numPr>
        <w:spacing w:after="240"/>
      </w:pPr>
      <w:r>
        <w:t>201</w:t>
      </w:r>
      <w:r w:rsidR="00DA0267">
        <w:t>9</w:t>
      </w:r>
      <w:r>
        <w:t>–</w:t>
      </w:r>
      <w:r w:rsidR="00DA0267">
        <w:t>20</w:t>
      </w:r>
      <w:r>
        <w:t xml:space="preserve"> P-2 ADA: </w:t>
      </w:r>
      <w:r w:rsidR="00DA0267">
        <w:t>109.23</w:t>
      </w:r>
    </w:p>
    <w:p w14:paraId="66DC837A" w14:textId="77777777" w:rsidR="0012162F" w:rsidRDefault="0012162F" w:rsidP="00E31465">
      <w:pPr>
        <w:pStyle w:val="ListParagraph"/>
        <w:numPr>
          <w:ilvl w:val="0"/>
          <w:numId w:val="5"/>
        </w:numPr>
        <w:spacing w:after="240"/>
      </w:pPr>
      <w:r>
        <w:t>20</w:t>
      </w:r>
      <w:r w:rsidR="002A73BC">
        <w:t>20</w:t>
      </w:r>
      <w:r>
        <w:t>–2</w:t>
      </w:r>
      <w:r w:rsidR="002A73BC">
        <w:t>1</w:t>
      </w:r>
      <w:r>
        <w:t xml:space="preserve"> P-2 ADA: </w:t>
      </w:r>
      <w:r w:rsidR="00FF2E6C" w:rsidRPr="00FF2E6C">
        <w:t>214</w:t>
      </w:r>
    </w:p>
    <w:p w14:paraId="34ACBDE1" w14:textId="77777777" w:rsidR="0012162F" w:rsidRDefault="0012162F" w:rsidP="00E174FC">
      <w:pPr>
        <w:pStyle w:val="Heading4"/>
      </w:pPr>
      <w:r>
        <w:t>Fiscal Concerns</w:t>
      </w:r>
    </w:p>
    <w:p w14:paraId="61FD436B" w14:textId="77777777" w:rsidR="0012162F" w:rsidRDefault="002A73BC" w:rsidP="00E31465">
      <w:pPr>
        <w:spacing w:after="100" w:afterAutospacing="1"/>
      </w:pPr>
      <w:r>
        <w:t>HTMM’s</w:t>
      </w:r>
      <w:r w:rsidRPr="00391D2E">
        <w:t xml:space="preserve"> 20</w:t>
      </w:r>
      <w:r>
        <w:t>20</w:t>
      </w:r>
      <w:r w:rsidRPr="00391D2E">
        <w:t>–</w:t>
      </w:r>
      <w:r>
        <w:t xml:space="preserve">21 </w:t>
      </w:r>
      <w:r w:rsidRPr="00391D2E">
        <w:t>second interim r</w:t>
      </w:r>
      <w:r>
        <w:t xml:space="preserve">eport indicates that HTMM is projecting a positive ending fund </w:t>
      </w:r>
      <w:r w:rsidRPr="00391D2E">
        <w:t>balance of $</w:t>
      </w:r>
      <w:r>
        <w:t>81,379 with 3.62</w:t>
      </w:r>
      <w:r w:rsidRPr="00391D2E">
        <w:t xml:space="preserve"> percent </w:t>
      </w:r>
      <w:r>
        <w:t xml:space="preserve">in </w:t>
      </w:r>
      <w:r w:rsidRPr="00391D2E">
        <w:t>reserve</w:t>
      </w:r>
      <w:r>
        <w:t>s</w:t>
      </w:r>
      <w:r w:rsidRPr="00391D2E">
        <w:t xml:space="preserve"> for FY 20</w:t>
      </w:r>
      <w:r>
        <w:t>20</w:t>
      </w:r>
      <w:r w:rsidRPr="00391D2E">
        <w:t>–</w:t>
      </w:r>
      <w:r>
        <w:t xml:space="preserve">21, which is below the recommended </w:t>
      </w:r>
      <w:r w:rsidR="00E174FC">
        <w:t>5</w:t>
      </w:r>
      <w:r>
        <w:t xml:space="preserve"> percent in reserves outlined in the MOU between HTMM and the SBE. </w:t>
      </w:r>
      <w:bookmarkStart w:id="2" w:name="_Hlk74735873"/>
      <w:r w:rsidRPr="007C012C">
        <w:t xml:space="preserve">The CDE will continue to monitor the </w:t>
      </w:r>
      <w:r>
        <w:t>HTMM</w:t>
      </w:r>
      <w:r w:rsidRPr="007C012C">
        <w:t xml:space="preserve"> budget, and may recommend that the SBE take appropriate action, as deemed necessary.</w:t>
      </w:r>
      <w:bookmarkEnd w:id="2"/>
    </w:p>
    <w:p w14:paraId="4C10422D" w14:textId="77777777" w:rsidR="00FF2E6C" w:rsidRPr="00EF0B58" w:rsidRDefault="00FF2E6C" w:rsidP="00E174FC">
      <w:pPr>
        <w:pStyle w:val="Heading4"/>
      </w:pPr>
      <w:r w:rsidRPr="00EF0B58">
        <w:t>Charter School Update</w:t>
      </w:r>
    </w:p>
    <w:p w14:paraId="21CD022E" w14:textId="00601EA9" w:rsidR="002A73BC" w:rsidRPr="00391D2E" w:rsidRDefault="00FF2E6C" w:rsidP="00E31465">
      <w:pPr>
        <w:spacing w:after="100" w:afterAutospacing="1"/>
      </w:pPr>
      <w:r w:rsidRPr="00EF0B58">
        <w:t xml:space="preserve">HTMM </w:t>
      </w:r>
      <w:r w:rsidR="002D50E5" w:rsidRPr="00EF0B58">
        <w:t>submitted its 2021–22 preliminary budget report on June 30, 2021</w:t>
      </w:r>
      <w:r w:rsidR="00AD155C" w:rsidRPr="00EF0B58">
        <w:t xml:space="preserve">. Its preliminary budget report </w:t>
      </w:r>
      <w:r w:rsidR="002D50E5" w:rsidRPr="00EF0B58">
        <w:t>reflects significant changes in beginning fund balance, which indicate</w:t>
      </w:r>
      <w:r w:rsidR="00AD155C" w:rsidRPr="00EF0B58">
        <w:t>s</w:t>
      </w:r>
      <w:r w:rsidR="002D50E5" w:rsidRPr="00EF0B58">
        <w:t xml:space="preserve"> that HTMM is projecting a positive ending fund balance of $532,546 with 15.81 percent in reserves in FY 2021–22. Given the most recent financial information provided by HTMM, the CDE concludes that HTMM’s financial health is stronger than reflected in the 2021–22 preliminary budget</w:t>
      </w:r>
      <w:r w:rsidRPr="00EF0B58">
        <w:t>.</w:t>
      </w:r>
    </w:p>
    <w:p w14:paraId="50D97182" w14:textId="77777777" w:rsidR="00162FDB" w:rsidRPr="000F6628" w:rsidRDefault="00162FDB" w:rsidP="000F6628">
      <w:pPr>
        <w:pStyle w:val="ListParagraph"/>
        <w:numPr>
          <w:ilvl w:val="0"/>
          <w:numId w:val="12"/>
        </w:numPr>
        <w:spacing w:after="240"/>
        <w:contextualSpacing w:val="0"/>
        <w:rPr>
          <w:color w:val="FF0000"/>
        </w:rPr>
        <w:sectPr w:rsidR="00162FDB" w:rsidRPr="000F6628" w:rsidSect="00A34996">
          <w:pgSz w:w="12240" w:h="15840"/>
          <w:pgMar w:top="720" w:right="1440" w:bottom="1440" w:left="1440" w:header="720" w:footer="720" w:gutter="0"/>
          <w:cols w:space="720"/>
        </w:sectPr>
      </w:pPr>
    </w:p>
    <w:p w14:paraId="40E4570D" w14:textId="77777777" w:rsidR="007310DB" w:rsidRPr="007050FA" w:rsidRDefault="002A73BC" w:rsidP="00E174FC">
      <w:pPr>
        <w:pStyle w:val="Heading4"/>
      </w:pPr>
      <w:r w:rsidRPr="007050FA">
        <w:lastRenderedPageBreak/>
        <w:t>High Tech Middle Mesa</w:t>
      </w:r>
      <w:r w:rsidR="007310DB" w:rsidRPr="007050FA">
        <w:t xml:space="preserve"> Financial Highlights</w:t>
      </w:r>
    </w:p>
    <w:p w14:paraId="12EC6ADD" w14:textId="77777777" w:rsidR="007310DB" w:rsidRDefault="007310DB" w:rsidP="00E31465">
      <w:r>
        <w:t>NA</w:t>
      </w:r>
      <w:r w:rsidR="00A34996">
        <w:t>:</w:t>
      </w:r>
      <w:r>
        <w:t xml:space="preserve"> Not Applicable</w:t>
      </w: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nancial Highlights"/>
        <w:tblDescription w:val="Financial Highlights High Tech Middle Mesa"/>
      </w:tblPr>
      <w:tblGrid>
        <w:gridCol w:w="1256"/>
        <w:gridCol w:w="1453"/>
        <w:gridCol w:w="1922"/>
        <w:gridCol w:w="1492"/>
        <w:gridCol w:w="1300"/>
        <w:gridCol w:w="901"/>
        <w:gridCol w:w="1684"/>
        <w:gridCol w:w="1523"/>
        <w:gridCol w:w="1419"/>
      </w:tblGrid>
      <w:tr w:rsidR="007310DB" w:rsidRPr="00407731" w14:paraId="303AC152" w14:textId="77777777" w:rsidTr="00A3499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85" w:type="pct"/>
            <w:tcBorders>
              <w:top w:val="none" w:sz="0" w:space="0" w:color="auto"/>
              <w:left w:val="none" w:sz="0" w:space="0" w:color="auto"/>
              <w:bottom w:val="none" w:sz="0" w:space="0" w:color="auto"/>
              <w:right w:val="none" w:sz="0" w:space="0" w:color="auto"/>
            </w:tcBorders>
            <w:vAlign w:val="center"/>
          </w:tcPr>
          <w:p w14:paraId="12CC4B4C" w14:textId="77777777" w:rsidR="007310DB" w:rsidRPr="00407731" w:rsidRDefault="007310DB" w:rsidP="00E31465">
            <w:pPr>
              <w:jc w:val="center"/>
              <w:rPr>
                <w:rFonts w:cs="Arial"/>
                <w:b w:val="0"/>
              </w:rPr>
            </w:pPr>
            <w:r w:rsidRPr="00407731">
              <w:rPr>
                <w:rFonts w:cs="Arial"/>
              </w:rPr>
              <w:t>F</w:t>
            </w:r>
            <w:r w:rsidR="000F6628">
              <w:rPr>
                <w:rFonts w:cs="Arial"/>
              </w:rPr>
              <w:t xml:space="preserve">iscal Year </w:t>
            </w:r>
            <w:r w:rsidRPr="00407731">
              <w:rPr>
                <w:rFonts w:cs="Arial"/>
              </w:rPr>
              <w:t>/ Source</w:t>
            </w:r>
          </w:p>
        </w:tc>
        <w:tc>
          <w:tcPr>
            <w:tcW w:w="561" w:type="pct"/>
            <w:tcBorders>
              <w:top w:val="none" w:sz="0" w:space="0" w:color="auto"/>
              <w:left w:val="none" w:sz="0" w:space="0" w:color="auto"/>
              <w:bottom w:val="none" w:sz="0" w:space="0" w:color="auto"/>
              <w:right w:val="none" w:sz="0" w:space="0" w:color="auto"/>
            </w:tcBorders>
            <w:vAlign w:val="center"/>
          </w:tcPr>
          <w:p w14:paraId="42716020" w14:textId="77777777" w:rsidR="007310DB" w:rsidRPr="00407731"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Total Revenues</w:t>
            </w:r>
          </w:p>
        </w:tc>
        <w:tc>
          <w:tcPr>
            <w:tcW w:w="742" w:type="pct"/>
            <w:tcBorders>
              <w:top w:val="none" w:sz="0" w:space="0" w:color="auto"/>
              <w:left w:val="none" w:sz="0" w:space="0" w:color="auto"/>
              <w:bottom w:val="none" w:sz="0" w:space="0" w:color="auto"/>
              <w:right w:val="none" w:sz="0" w:space="0" w:color="auto"/>
            </w:tcBorders>
            <w:vAlign w:val="center"/>
          </w:tcPr>
          <w:p w14:paraId="12818A56" w14:textId="77777777" w:rsidR="007310DB" w:rsidRPr="00407731"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Total Expenditures</w:t>
            </w:r>
          </w:p>
        </w:tc>
        <w:tc>
          <w:tcPr>
            <w:tcW w:w="576" w:type="pct"/>
            <w:tcBorders>
              <w:top w:val="none" w:sz="0" w:space="0" w:color="auto"/>
              <w:left w:val="none" w:sz="0" w:space="0" w:color="auto"/>
              <w:bottom w:val="none" w:sz="0" w:space="0" w:color="auto"/>
              <w:right w:val="none" w:sz="0" w:space="0" w:color="auto"/>
            </w:tcBorders>
            <w:vAlign w:val="center"/>
          </w:tcPr>
          <w:p w14:paraId="0EA4CF80" w14:textId="77777777" w:rsidR="007310DB" w:rsidRPr="00407731"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Net Operating Surplus (Deficit)</w:t>
            </w:r>
          </w:p>
        </w:tc>
        <w:tc>
          <w:tcPr>
            <w:tcW w:w="502" w:type="pct"/>
            <w:tcBorders>
              <w:top w:val="none" w:sz="0" w:space="0" w:color="auto"/>
              <w:left w:val="none" w:sz="0" w:space="0" w:color="auto"/>
              <w:bottom w:val="none" w:sz="0" w:space="0" w:color="auto"/>
              <w:right w:val="none" w:sz="0" w:space="0" w:color="auto"/>
            </w:tcBorders>
            <w:vAlign w:val="center"/>
          </w:tcPr>
          <w:p w14:paraId="63B91533" w14:textId="77777777" w:rsidR="007310DB" w:rsidRPr="00407731"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Working Capital Ratio</w:t>
            </w:r>
          </w:p>
        </w:tc>
        <w:tc>
          <w:tcPr>
            <w:tcW w:w="348" w:type="pct"/>
            <w:tcBorders>
              <w:top w:val="none" w:sz="0" w:space="0" w:color="auto"/>
              <w:left w:val="none" w:sz="0" w:space="0" w:color="auto"/>
              <w:bottom w:val="none" w:sz="0" w:space="0" w:color="auto"/>
              <w:right w:val="none" w:sz="0" w:space="0" w:color="auto"/>
            </w:tcBorders>
            <w:vAlign w:val="center"/>
          </w:tcPr>
          <w:p w14:paraId="4E6F2C1B" w14:textId="77777777" w:rsidR="007310DB" w:rsidRPr="00407731"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Debt Ratio</w:t>
            </w:r>
          </w:p>
        </w:tc>
        <w:tc>
          <w:tcPr>
            <w:tcW w:w="650" w:type="pct"/>
            <w:tcBorders>
              <w:top w:val="none" w:sz="0" w:space="0" w:color="auto"/>
              <w:left w:val="none" w:sz="0" w:space="0" w:color="auto"/>
              <w:bottom w:val="none" w:sz="0" w:space="0" w:color="auto"/>
              <w:right w:val="none" w:sz="0" w:space="0" w:color="auto"/>
            </w:tcBorders>
            <w:vAlign w:val="center"/>
          </w:tcPr>
          <w:p w14:paraId="19FBD4D6" w14:textId="77777777" w:rsidR="007310DB" w:rsidRPr="00407731"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Attendance Ratio</w:t>
            </w:r>
          </w:p>
        </w:tc>
        <w:tc>
          <w:tcPr>
            <w:tcW w:w="588" w:type="pct"/>
            <w:tcBorders>
              <w:top w:val="none" w:sz="0" w:space="0" w:color="auto"/>
              <w:left w:val="none" w:sz="0" w:space="0" w:color="auto"/>
              <w:bottom w:val="none" w:sz="0" w:space="0" w:color="auto"/>
              <w:right w:val="none" w:sz="0" w:space="0" w:color="auto"/>
            </w:tcBorders>
            <w:vAlign w:val="center"/>
          </w:tcPr>
          <w:p w14:paraId="6D20E517" w14:textId="77777777" w:rsidR="007310DB" w:rsidRPr="00407731"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Ending Fund Balance</w:t>
            </w:r>
          </w:p>
        </w:tc>
        <w:tc>
          <w:tcPr>
            <w:tcW w:w="548" w:type="pct"/>
            <w:tcBorders>
              <w:top w:val="none" w:sz="0" w:space="0" w:color="auto"/>
              <w:left w:val="none" w:sz="0" w:space="0" w:color="auto"/>
              <w:bottom w:val="none" w:sz="0" w:space="0" w:color="auto"/>
              <w:right w:val="none" w:sz="0" w:space="0" w:color="auto"/>
            </w:tcBorders>
            <w:vAlign w:val="center"/>
          </w:tcPr>
          <w:p w14:paraId="22018AE9" w14:textId="77777777" w:rsidR="007310DB" w:rsidRPr="00407731"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07731">
              <w:rPr>
                <w:rFonts w:cs="Arial"/>
              </w:rPr>
              <w:t>Percent of Reserves</w:t>
            </w:r>
          </w:p>
        </w:tc>
      </w:tr>
      <w:tr w:rsidR="007310DB" w:rsidRPr="00407731" w14:paraId="17B714A7" w14:textId="77777777" w:rsidTr="00A349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5" w:type="pct"/>
            <w:vAlign w:val="center"/>
          </w:tcPr>
          <w:p w14:paraId="591734DD" w14:textId="77777777" w:rsidR="007310DB" w:rsidRPr="00407731" w:rsidRDefault="007310DB" w:rsidP="00E31465">
            <w:pPr>
              <w:rPr>
                <w:rFonts w:cs="Arial"/>
              </w:rPr>
            </w:pPr>
            <w:r w:rsidRPr="00407731">
              <w:rPr>
                <w:rFonts w:cs="Arial"/>
              </w:rPr>
              <w:t>201</w:t>
            </w:r>
            <w:r w:rsidR="00CA607F">
              <w:rPr>
                <w:rFonts w:cs="Arial"/>
              </w:rPr>
              <w:t>9</w:t>
            </w:r>
            <w:r>
              <w:rPr>
                <w:rFonts w:cs="Arial"/>
              </w:rPr>
              <w:t>–</w:t>
            </w:r>
            <w:r w:rsidR="00CA607F">
              <w:rPr>
                <w:rFonts w:cs="Arial"/>
              </w:rPr>
              <w:t>20</w:t>
            </w:r>
            <w:r w:rsidRPr="00407731">
              <w:rPr>
                <w:rFonts w:cs="Arial"/>
              </w:rPr>
              <w:t xml:space="preserve"> Audit</w:t>
            </w:r>
          </w:p>
        </w:tc>
        <w:tc>
          <w:tcPr>
            <w:tcW w:w="561" w:type="pct"/>
            <w:vAlign w:val="center"/>
          </w:tcPr>
          <w:p w14:paraId="6A53E676" w14:textId="77777777" w:rsidR="007310DB" w:rsidRPr="00407731" w:rsidRDefault="00A921AB"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r w:rsidR="00757DB8">
              <w:rPr>
                <w:rFonts w:cs="Arial"/>
              </w:rPr>
              <w:t>549,524</w:t>
            </w:r>
          </w:p>
        </w:tc>
        <w:tc>
          <w:tcPr>
            <w:tcW w:w="742" w:type="pct"/>
            <w:vAlign w:val="center"/>
          </w:tcPr>
          <w:p w14:paraId="2FBD3774" w14:textId="77777777" w:rsidR="007310DB" w:rsidRPr="00407731" w:rsidRDefault="00757DB8"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$1,628,207</w:t>
            </w:r>
          </w:p>
        </w:tc>
        <w:tc>
          <w:tcPr>
            <w:tcW w:w="576" w:type="pct"/>
            <w:vAlign w:val="center"/>
          </w:tcPr>
          <w:p w14:paraId="090516EA" w14:textId="77777777" w:rsidR="007310DB" w:rsidRPr="00407731" w:rsidRDefault="00757DB8"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($78,683)</w:t>
            </w:r>
          </w:p>
        </w:tc>
        <w:tc>
          <w:tcPr>
            <w:tcW w:w="502" w:type="pct"/>
            <w:vAlign w:val="center"/>
          </w:tcPr>
          <w:p w14:paraId="234CC435" w14:textId="77777777" w:rsidR="007310DB" w:rsidRPr="00407731" w:rsidRDefault="00757DB8"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0.78</w:t>
            </w:r>
          </w:p>
        </w:tc>
        <w:tc>
          <w:tcPr>
            <w:tcW w:w="348" w:type="pct"/>
            <w:vAlign w:val="center"/>
          </w:tcPr>
          <w:p w14:paraId="530FFDBE" w14:textId="77777777" w:rsidR="007310DB" w:rsidRPr="00407731" w:rsidRDefault="007050FA"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1.05</w:t>
            </w:r>
          </w:p>
        </w:tc>
        <w:tc>
          <w:tcPr>
            <w:tcW w:w="650" w:type="pct"/>
            <w:vAlign w:val="center"/>
          </w:tcPr>
          <w:p w14:paraId="27864FB8" w14:textId="77777777" w:rsidR="007310DB" w:rsidRPr="00407731" w:rsidRDefault="007050FA"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95.80%</w:t>
            </w:r>
          </w:p>
        </w:tc>
        <w:tc>
          <w:tcPr>
            <w:tcW w:w="588" w:type="pct"/>
            <w:vAlign w:val="center"/>
          </w:tcPr>
          <w:p w14:paraId="66AD1CAF" w14:textId="77777777" w:rsidR="007310DB" w:rsidRPr="00407731" w:rsidRDefault="007050FA"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($21,387)</w:t>
            </w:r>
          </w:p>
        </w:tc>
        <w:tc>
          <w:tcPr>
            <w:tcW w:w="548" w:type="pct"/>
            <w:vAlign w:val="center"/>
          </w:tcPr>
          <w:p w14:paraId="1A32536C" w14:textId="77777777" w:rsidR="007310DB" w:rsidRPr="00407731" w:rsidRDefault="007050FA"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r>
      <w:tr w:rsidR="007310DB" w:rsidRPr="00407731" w14:paraId="6AD39F29" w14:textId="77777777" w:rsidTr="00A34996">
        <w:trPr>
          <w:cantSplit/>
        </w:trPr>
        <w:tc>
          <w:tcPr>
            <w:cnfStyle w:val="001000000000" w:firstRow="0" w:lastRow="0" w:firstColumn="1" w:lastColumn="0" w:oddVBand="0" w:evenVBand="0" w:oddHBand="0" w:evenHBand="0" w:firstRowFirstColumn="0" w:firstRowLastColumn="0" w:lastRowFirstColumn="0" w:lastRowLastColumn="0"/>
            <w:tcW w:w="485" w:type="pct"/>
            <w:vAlign w:val="center"/>
          </w:tcPr>
          <w:p w14:paraId="65A009E8" w14:textId="77777777" w:rsidR="007310DB" w:rsidRPr="00407731" w:rsidRDefault="007310DB" w:rsidP="00E31465">
            <w:pPr>
              <w:rPr>
                <w:rFonts w:cs="Arial"/>
              </w:rPr>
            </w:pPr>
            <w:r w:rsidRPr="00407731">
              <w:rPr>
                <w:rFonts w:cs="Arial"/>
              </w:rPr>
              <w:t>20</w:t>
            </w:r>
            <w:r w:rsidR="00CA607F">
              <w:rPr>
                <w:rFonts w:cs="Arial"/>
              </w:rPr>
              <w:t>20</w:t>
            </w:r>
            <w:r>
              <w:rPr>
                <w:rFonts w:cs="Arial"/>
              </w:rPr>
              <w:t>–2</w:t>
            </w:r>
            <w:r w:rsidR="00CA607F">
              <w:rPr>
                <w:rFonts w:cs="Arial"/>
              </w:rPr>
              <w:t>1</w:t>
            </w:r>
            <w:r w:rsidRPr="00407731">
              <w:rPr>
                <w:rFonts w:cs="Arial"/>
              </w:rPr>
              <w:t xml:space="preserve"> Budget</w:t>
            </w:r>
          </w:p>
        </w:tc>
        <w:tc>
          <w:tcPr>
            <w:tcW w:w="561" w:type="pct"/>
            <w:vAlign w:val="center"/>
          </w:tcPr>
          <w:p w14:paraId="47A8EECF" w14:textId="77777777" w:rsidR="007310DB" w:rsidRPr="00407731"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w:t>
            </w:r>
            <w:r w:rsidR="007050FA">
              <w:rPr>
                <w:rFonts w:cs="Arial"/>
              </w:rPr>
              <w:t>2,243,642</w:t>
            </w:r>
          </w:p>
        </w:tc>
        <w:tc>
          <w:tcPr>
            <w:tcW w:w="742" w:type="pct"/>
            <w:vAlign w:val="center"/>
          </w:tcPr>
          <w:p w14:paraId="36DE59C2" w14:textId="77777777" w:rsidR="007310DB" w:rsidRPr="00407731"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w:t>
            </w:r>
            <w:r w:rsidR="007050FA">
              <w:rPr>
                <w:rFonts w:cs="Arial"/>
              </w:rPr>
              <w:t>2,198,769</w:t>
            </w:r>
          </w:p>
        </w:tc>
        <w:tc>
          <w:tcPr>
            <w:tcW w:w="576" w:type="pct"/>
            <w:vAlign w:val="center"/>
          </w:tcPr>
          <w:p w14:paraId="0B264A29" w14:textId="77777777" w:rsidR="007310DB" w:rsidRPr="00407731"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w:t>
            </w:r>
            <w:r w:rsidR="007050FA">
              <w:rPr>
                <w:rFonts w:cs="Arial"/>
              </w:rPr>
              <w:t>44,873</w:t>
            </w:r>
          </w:p>
        </w:tc>
        <w:tc>
          <w:tcPr>
            <w:tcW w:w="502" w:type="pct"/>
            <w:vAlign w:val="center"/>
          </w:tcPr>
          <w:p w14:paraId="56F7C2D6" w14:textId="77777777" w:rsidR="007310DB" w:rsidRPr="00407731"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NA</w:t>
            </w:r>
          </w:p>
        </w:tc>
        <w:tc>
          <w:tcPr>
            <w:tcW w:w="348" w:type="pct"/>
            <w:vAlign w:val="center"/>
          </w:tcPr>
          <w:p w14:paraId="79FA7191" w14:textId="77777777" w:rsidR="007310DB" w:rsidRPr="00407731"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NA</w:t>
            </w:r>
          </w:p>
        </w:tc>
        <w:tc>
          <w:tcPr>
            <w:tcW w:w="650" w:type="pct"/>
            <w:vAlign w:val="center"/>
          </w:tcPr>
          <w:p w14:paraId="17E3C21D" w14:textId="77777777" w:rsidR="007310DB" w:rsidRPr="00407731"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2670C7">
              <w:rPr>
                <w:rFonts w:cs="Arial"/>
              </w:rPr>
              <w:t>9</w:t>
            </w:r>
            <w:r w:rsidR="007050FA">
              <w:rPr>
                <w:rFonts w:cs="Arial"/>
              </w:rPr>
              <w:t>6</w:t>
            </w:r>
            <w:r w:rsidRPr="00407731">
              <w:rPr>
                <w:rFonts w:cs="Arial"/>
              </w:rPr>
              <w:t>%</w:t>
            </w:r>
          </w:p>
        </w:tc>
        <w:tc>
          <w:tcPr>
            <w:tcW w:w="588" w:type="pct"/>
            <w:vAlign w:val="center"/>
          </w:tcPr>
          <w:p w14:paraId="179A7E85" w14:textId="77777777" w:rsidR="007310DB" w:rsidRPr="00407731"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07731">
              <w:rPr>
                <w:rFonts w:cs="Arial"/>
              </w:rPr>
              <w:t>$</w:t>
            </w:r>
            <w:r w:rsidR="007050FA">
              <w:rPr>
                <w:rFonts w:cs="Arial"/>
              </w:rPr>
              <w:t>90,948</w:t>
            </w:r>
          </w:p>
        </w:tc>
        <w:tc>
          <w:tcPr>
            <w:tcW w:w="548" w:type="pct"/>
            <w:vAlign w:val="center"/>
          </w:tcPr>
          <w:p w14:paraId="1CF47FB2" w14:textId="77777777" w:rsidR="007310DB" w:rsidRPr="00407731" w:rsidRDefault="007050FA"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4.14</w:t>
            </w:r>
            <w:r w:rsidR="007310DB" w:rsidRPr="00407731">
              <w:rPr>
                <w:rFonts w:cs="Arial"/>
              </w:rPr>
              <w:t>%</w:t>
            </w:r>
          </w:p>
        </w:tc>
      </w:tr>
      <w:tr w:rsidR="007310DB" w:rsidRPr="00407731" w14:paraId="514348E6" w14:textId="77777777" w:rsidTr="00A349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5" w:type="pct"/>
            <w:vAlign w:val="center"/>
          </w:tcPr>
          <w:p w14:paraId="538DDD62" w14:textId="77777777" w:rsidR="007310DB" w:rsidRPr="00407731" w:rsidRDefault="007310DB" w:rsidP="00E31465">
            <w:pPr>
              <w:rPr>
                <w:rFonts w:cs="Arial"/>
              </w:rPr>
            </w:pPr>
            <w:r>
              <w:rPr>
                <w:rFonts w:cs="Arial"/>
              </w:rPr>
              <w:t>20</w:t>
            </w:r>
            <w:r w:rsidR="00CA607F">
              <w:rPr>
                <w:rFonts w:cs="Arial"/>
              </w:rPr>
              <w:t>20</w:t>
            </w:r>
            <w:r>
              <w:rPr>
                <w:rFonts w:cs="Arial"/>
              </w:rPr>
              <w:t>–2</w:t>
            </w:r>
            <w:r w:rsidR="00CA607F">
              <w:rPr>
                <w:rFonts w:cs="Arial"/>
              </w:rPr>
              <w:t>1</w:t>
            </w:r>
            <w:r w:rsidRPr="00407731">
              <w:rPr>
                <w:rFonts w:cs="Arial"/>
              </w:rPr>
              <w:t xml:space="preserve"> 2</w:t>
            </w:r>
            <w:r w:rsidRPr="001D0D17">
              <w:rPr>
                <w:rFonts w:cs="Arial"/>
              </w:rPr>
              <w:t xml:space="preserve">nd </w:t>
            </w:r>
            <w:r w:rsidRPr="00407731">
              <w:rPr>
                <w:rFonts w:cs="Arial"/>
              </w:rPr>
              <w:t>Interim</w:t>
            </w:r>
          </w:p>
        </w:tc>
        <w:tc>
          <w:tcPr>
            <w:tcW w:w="561" w:type="pct"/>
            <w:vAlign w:val="center"/>
          </w:tcPr>
          <w:p w14:paraId="0472CB40" w14:textId="77777777" w:rsidR="007310DB" w:rsidRPr="00407731"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07731">
              <w:rPr>
                <w:rFonts w:cs="Arial"/>
              </w:rPr>
              <w:t>$</w:t>
            </w:r>
            <w:r w:rsidR="007050FA">
              <w:rPr>
                <w:rFonts w:cs="Arial"/>
              </w:rPr>
              <w:t>2,349,434</w:t>
            </w:r>
          </w:p>
        </w:tc>
        <w:tc>
          <w:tcPr>
            <w:tcW w:w="742" w:type="pct"/>
            <w:vAlign w:val="center"/>
          </w:tcPr>
          <w:p w14:paraId="42EC1723" w14:textId="77777777" w:rsidR="007310DB" w:rsidRPr="00407731"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07731">
              <w:rPr>
                <w:rFonts w:cs="Arial"/>
              </w:rPr>
              <w:t>$</w:t>
            </w:r>
            <w:r w:rsidR="007050FA">
              <w:rPr>
                <w:rFonts w:cs="Arial"/>
              </w:rPr>
              <w:t>2,246,668</w:t>
            </w:r>
          </w:p>
        </w:tc>
        <w:tc>
          <w:tcPr>
            <w:tcW w:w="576" w:type="pct"/>
            <w:vAlign w:val="center"/>
          </w:tcPr>
          <w:p w14:paraId="76407F17" w14:textId="77777777" w:rsidR="007310DB" w:rsidRPr="00407731"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07731">
              <w:rPr>
                <w:rFonts w:cs="Arial"/>
              </w:rPr>
              <w:t>$</w:t>
            </w:r>
            <w:r w:rsidR="007050FA">
              <w:rPr>
                <w:rFonts w:cs="Arial"/>
              </w:rPr>
              <w:t>102,766</w:t>
            </w:r>
          </w:p>
        </w:tc>
        <w:tc>
          <w:tcPr>
            <w:tcW w:w="502" w:type="pct"/>
            <w:vAlign w:val="center"/>
          </w:tcPr>
          <w:p w14:paraId="23588C58" w14:textId="77777777" w:rsidR="007310DB" w:rsidRPr="00407731"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07731">
              <w:rPr>
                <w:rFonts w:cs="Arial"/>
              </w:rPr>
              <w:t>NA</w:t>
            </w:r>
          </w:p>
        </w:tc>
        <w:tc>
          <w:tcPr>
            <w:tcW w:w="348" w:type="pct"/>
            <w:vAlign w:val="center"/>
          </w:tcPr>
          <w:p w14:paraId="170CD088" w14:textId="77777777"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NA</w:t>
            </w:r>
          </w:p>
        </w:tc>
        <w:tc>
          <w:tcPr>
            <w:tcW w:w="650" w:type="pct"/>
            <w:vAlign w:val="center"/>
          </w:tcPr>
          <w:p w14:paraId="61A8AC99" w14:textId="77777777"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9</w:t>
            </w:r>
            <w:r w:rsidR="00FF2E6C">
              <w:rPr>
                <w:rFonts w:cs="Arial"/>
              </w:rPr>
              <w:t>1.85</w:t>
            </w:r>
            <w:r w:rsidRPr="00A34996">
              <w:rPr>
                <w:rFonts w:cs="Arial"/>
              </w:rPr>
              <w:t>%</w:t>
            </w:r>
          </w:p>
        </w:tc>
        <w:tc>
          <w:tcPr>
            <w:tcW w:w="588" w:type="pct"/>
            <w:vAlign w:val="center"/>
          </w:tcPr>
          <w:p w14:paraId="1EF25675" w14:textId="77777777"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7050FA">
              <w:rPr>
                <w:rFonts w:cs="Arial"/>
              </w:rPr>
              <w:t>81,379</w:t>
            </w:r>
          </w:p>
        </w:tc>
        <w:tc>
          <w:tcPr>
            <w:tcW w:w="548" w:type="pct"/>
            <w:vAlign w:val="center"/>
          </w:tcPr>
          <w:p w14:paraId="51EB770F" w14:textId="77777777" w:rsidR="007310DB" w:rsidRPr="00407731" w:rsidRDefault="007050FA"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3.62</w:t>
            </w:r>
            <w:r w:rsidR="007310DB" w:rsidRPr="00407731">
              <w:rPr>
                <w:rFonts w:cs="Arial"/>
              </w:rPr>
              <w:t>%</w:t>
            </w:r>
          </w:p>
        </w:tc>
      </w:tr>
    </w:tbl>
    <w:p w14:paraId="1D508037" w14:textId="739B9966" w:rsidR="00C06FC9" w:rsidRPr="00A34996" w:rsidRDefault="00C06FC9" w:rsidP="00C06FC9">
      <w:pPr>
        <w:spacing w:before="240"/>
      </w:pPr>
      <w:r w:rsidRPr="00A34996">
        <w:t xml:space="preserve">California Department of Education, Charter Schools Division, </w:t>
      </w:r>
      <w:r w:rsidR="00EA651F">
        <w:t>August</w:t>
      </w:r>
      <w:r w:rsidRPr="00A34996">
        <w:t xml:space="preserve"> 202</w:t>
      </w:r>
      <w:r>
        <w:t>1</w:t>
      </w:r>
    </w:p>
    <w:p w14:paraId="34537D98" w14:textId="77777777" w:rsidR="00C06FC9" w:rsidRPr="00C06FC9" w:rsidRDefault="00C06FC9" w:rsidP="00C06FC9">
      <w:pPr>
        <w:sectPr w:rsidR="00C06FC9" w:rsidRPr="00C06FC9" w:rsidSect="00A34996">
          <w:pgSz w:w="15840" w:h="12240" w:orient="landscape"/>
          <w:pgMar w:top="1440" w:right="1440" w:bottom="1440" w:left="1440" w:header="720" w:footer="720" w:gutter="0"/>
          <w:cols w:space="720"/>
          <w:docGrid w:linePitch="326"/>
        </w:sectPr>
      </w:pPr>
    </w:p>
    <w:p w14:paraId="0206123B" w14:textId="77777777" w:rsidR="007050FA" w:rsidRDefault="007050FA" w:rsidP="007050FA">
      <w:pPr>
        <w:pStyle w:val="Heading3"/>
      </w:pPr>
      <w:r>
        <w:lastRenderedPageBreak/>
        <w:t>Olive Grove</w:t>
      </w:r>
      <w:r w:rsidRPr="00990D3E">
        <w:rPr>
          <w:rFonts w:cs="Arial"/>
        </w:rPr>
        <w:t xml:space="preserve"> </w:t>
      </w:r>
      <w:r>
        <w:rPr>
          <w:rFonts w:cs="Arial"/>
        </w:rPr>
        <w:t>Charter – Lompoc</w:t>
      </w:r>
    </w:p>
    <w:p w14:paraId="3DF60506" w14:textId="77777777" w:rsidR="007050FA" w:rsidRPr="00D270A8" w:rsidRDefault="007050FA" w:rsidP="007050FA">
      <w:pPr>
        <w:pStyle w:val="ListParagraph"/>
        <w:numPr>
          <w:ilvl w:val="0"/>
          <w:numId w:val="10"/>
        </w:numPr>
      </w:pPr>
      <w:r w:rsidRPr="00D270A8">
        <w:t>Charter Term Expires: 6/30/202</w:t>
      </w:r>
      <w:r>
        <w:t>3</w:t>
      </w:r>
    </w:p>
    <w:p w14:paraId="222B9BBD" w14:textId="77777777" w:rsidR="007050FA" w:rsidRPr="00D270A8" w:rsidRDefault="007050FA" w:rsidP="007050FA">
      <w:pPr>
        <w:pStyle w:val="ListParagraph"/>
        <w:numPr>
          <w:ilvl w:val="0"/>
          <w:numId w:val="10"/>
        </w:numPr>
      </w:pPr>
      <w:r w:rsidRPr="00D270A8">
        <w:t xml:space="preserve">Grades Authorized to Serve: </w:t>
      </w:r>
      <w:r>
        <w:t>K</w:t>
      </w:r>
      <w:r w:rsidRPr="00D270A8">
        <w:t>–12</w:t>
      </w:r>
    </w:p>
    <w:p w14:paraId="7E0262FF" w14:textId="77777777" w:rsidR="007050FA" w:rsidRPr="00D270A8" w:rsidRDefault="007050FA" w:rsidP="007050FA">
      <w:pPr>
        <w:pStyle w:val="ListParagraph"/>
        <w:numPr>
          <w:ilvl w:val="0"/>
          <w:numId w:val="10"/>
        </w:numPr>
      </w:pPr>
      <w:r w:rsidRPr="00D270A8">
        <w:t>201</w:t>
      </w:r>
      <w:r>
        <w:t>9–20</w:t>
      </w:r>
      <w:r w:rsidRPr="00D270A8">
        <w:t xml:space="preserve"> P-2 ADA: </w:t>
      </w:r>
      <w:r>
        <w:t>128.62</w:t>
      </w:r>
    </w:p>
    <w:p w14:paraId="3C9CB976" w14:textId="77777777" w:rsidR="007050FA" w:rsidRPr="00D270A8" w:rsidRDefault="007050FA" w:rsidP="007050FA">
      <w:pPr>
        <w:pStyle w:val="ListParagraph"/>
        <w:numPr>
          <w:ilvl w:val="0"/>
          <w:numId w:val="10"/>
        </w:numPr>
        <w:spacing w:after="100" w:afterAutospacing="1"/>
      </w:pPr>
      <w:r>
        <w:t>2020–21</w:t>
      </w:r>
      <w:r w:rsidRPr="00D270A8">
        <w:t xml:space="preserve"> P-2 ADA: </w:t>
      </w:r>
      <w:r w:rsidR="00FF2E6C" w:rsidRPr="00FF2E6C">
        <w:t>133.78</w:t>
      </w:r>
    </w:p>
    <w:p w14:paraId="6383C233" w14:textId="77777777" w:rsidR="007050FA" w:rsidRDefault="007050FA" w:rsidP="00E174FC">
      <w:pPr>
        <w:pStyle w:val="Heading4"/>
      </w:pPr>
      <w:r>
        <w:t>Fiscal Concerns</w:t>
      </w:r>
    </w:p>
    <w:p w14:paraId="50BE12AA" w14:textId="77777777" w:rsidR="007050FA" w:rsidRDefault="007050FA" w:rsidP="00E174FC">
      <w:pPr>
        <w:spacing w:after="240"/>
      </w:pPr>
      <w:r w:rsidRPr="007050FA">
        <w:t>OGCL’s 20</w:t>
      </w:r>
      <w:r>
        <w:t>20</w:t>
      </w:r>
      <w:r w:rsidRPr="007050FA">
        <w:t>–2</w:t>
      </w:r>
      <w:r>
        <w:t>1</w:t>
      </w:r>
      <w:r w:rsidRPr="007050FA">
        <w:t xml:space="preserve"> second interim report indicates that OGCL is projecting a </w:t>
      </w:r>
      <w:r>
        <w:t>posi</w:t>
      </w:r>
      <w:r w:rsidRPr="007050FA">
        <w:t>tive ending fund balance of $</w:t>
      </w:r>
      <w:r>
        <w:t>74,748</w:t>
      </w:r>
      <w:r w:rsidRPr="007050FA">
        <w:t xml:space="preserve"> with </w:t>
      </w:r>
      <w:r>
        <w:t>4.23</w:t>
      </w:r>
      <w:r w:rsidRPr="007050FA">
        <w:t xml:space="preserve"> percent in reserves for FY 20</w:t>
      </w:r>
      <w:r>
        <w:t>20</w:t>
      </w:r>
      <w:r w:rsidRPr="007050FA">
        <w:t>–2</w:t>
      </w:r>
      <w:r>
        <w:t>1</w:t>
      </w:r>
      <w:r w:rsidRPr="007050FA">
        <w:t xml:space="preserve">, which is below the recommended </w:t>
      </w:r>
      <w:r w:rsidR="00E174FC" w:rsidRPr="00E174FC">
        <w:t>5</w:t>
      </w:r>
      <w:r w:rsidRPr="007050FA">
        <w:t xml:space="preserve"> percent in reserves outlined in the MOU between OGCL and the SBE.</w:t>
      </w:r>
      <w:r w:rsidR="00B41212">
        <w:t xml:space="preserve"> </w:t>
      </w:r>
      <w:r w:rsidR="00B41212" w:rsidRPr="00B41212">
        <w:t xml:space="preserve">The CDE will continue to monitor the </w:t>
      </w:r>
      <w:r w:rsidR="00B41212">
        <w:t xml:space="preserve">OGCL </w:t>
      </w:r>
      <w:r w:rsidR="00B41212" w:rsidRPr="00B41212">
        <w:t>budget, and may recommend that the SBE take appropriate action, as deemed necessary.</w:t>
      </w:r>
    </w:p>
    <w:p w14:paraId="26DEF26E" w14:textId="77777777" w:rsidR="00F34984" w:rsidRPr="00EF0B58" w:rsidRDefault="00F34984" w:rsidP="00E174FC">
      <w:pPr>
        <w:pStyle w:val="Heading4"/>
      </w:pPr>
      <w:r w:rsidRPr="00EF0B58">
        <w:t>Charter School Update</w:t>
      </w:r>
    </w:p>
    <w:p w14:paraId="5207244D" w14:textId="7C1CDFEA" w:rsidR="007050FA" w:rsidRDefault="00F34984" w:rsidP="00E174FC">
      <w:pPr>
        <w:rPr>
          <w:rFonts w:eastAsiaTheme="majorEastAsia" w:cstheme="majorBidi"/>
          <w:noProof/>
          <w:sz w:val="36"/>
          <w:szCs w:val="26"/>
        </w:rPr>
      </w:pPr>
      <w:r w:rsidRPr="00EF0B58">
        <w:t>OGCL</w:t>
      </w:r>
      <w:r w:rsidR="00A75A28" w:rsidRPr="00EF0B58">
        <w:t xml:space="preserve"> submitted its 2021–22 preliminary budget report on June 16, 2021</w:t>
      </w:r>
      <w:r w:rsidR="00AD155C" w:rsidRPr="00EF0B58">
        <w:t>. Its preliminary budget report</w:t>
      </w:r>
      <w:r w:rsidR="00A75A28" w:rsidRPr="00EF0B58">
        <w:t xml:space="preserve"> reflects significant changes in beginning fund balance, which indicate</w:t>
      </w:r>
      <w:r w:rsidR="00AD155C" w:rsidRPr="00EF0B58">
        <w:t>s</w:t>
      </w:r>
      <w:r w:rsidR="00A75A28" w:rsidRPr="00EF0B58">
        <w:t xml:space="preserve"> that OGCL is projecting a positive ending fund balance of $363,099 with 22.23 percent in reserves in FY 2021–22. Given the most recent financial information provided by OGCL, the CDE concludes that OGCL’s financial health is stronger than reflected in the 2021–22 preliminary budget.</w:t>
      </w:r>
      <w:r w:rsidR="007050FA">
        <w:br w:type="page"/>
      </w:r>
    </w:p>
    <w:p w14:paraId="77087C9B" w14:textId="77777777" w:rsidR="004E2933" w:rsidRDefault="004E2933" w:rsidP="00C06FC9">
      <w:pPr>
        <w:pStyle w:val="Heading2"/>
        <w:sectPr w:rsidR="004E2933" w:rsidSect="00A34996">
          <w:pgSz w:w="12240" w:h="15840"/>
          <w:pgMar w:top="720" w:right="1440" w:bottom="1440" w:left="1440" w:header="720" w:footer="720" w:gutter="0"/>
          <w:cols w:space="720"/>
        </w:sectPr>
      </w:pPr>
    </w:p>
    <w:p w14:paraId="1BA12FF6" w14:textId="77777777" w:rsidR="001D3CFD" w:rsidRPr="00C749BC" w:rsidRDefault="00B41212" w:rsidP="00C749BC">
      <w:pPr>
        <w:pStyle w:val="Heading2"/>
      </w:pPr>
      <w:r w:rsidRPr="00C749BC">
        <w:lastRenderedPageBreak/>
        <w:t>Olive Grove Charter – Lompoc</w:t>
      </w:r>
      <w:r w:rsidR="004E2933" w:rsidRPr="00C749BC">
        <w:t xml:space="preserve"> </w:t>
      </w:r>
      <w:r w:rsidR="003321A8" w:rsidRPr="00C749BC">
        <w:t>Financial Highlights</w:t>
      </w:r>
    </w:p>
    <w:p w14:paraId="11B9A857" w14:textId="77777777" w:rsidR="00EA4DF4" w:rsidRPr="00EA4DF4" w:rsidRDefault="00EA4DF4" w:rsidP="00E31465">
      <w:r>
        <w:t>N</w:t>
      </w:r>
      <w:r w:rsidR="00EA651B">
        <w:t>A</w:t>
      </w:r>
      <w:r w:rsidR="00975887">
        <w:t xml:space="preserve">: </w:t>
      </w:r>
      <w:r>
        <w:t xml:space="preserve">Not </w:t>
      </w:r>
      <w:r w:rsidR="00EA651B">
        <w:t>Applicable</w:t>
      </w: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nancial Highlights"/>
        <w:tblDescription w:val="Financial Highlights Olive Grove Charter - Lompoc"/>
      </w:tblPr>
      <w:tblGrid>
        <w:gridCol w:w="1169"/>
        <w:gridCol w:w="1547"/>
        <w:gridCol w:w="1880"/>
        <w:gridCol w:w="1505"/>
        <w:gridCol w:w="1308"/>
        <w:gridCol w:w="966"/>
        <w:gridCol w:w="1658"/>
        <w:gridCol w:w="1505"/>
        <w:gridCol w:w="1412"/>
      </w:tblGrid>
      <w:tr w:rsidR="003321A8" w:rsidRPr="004E2933" w14:paraId="45D81189" w14:textId="77777777" w:rsidTr="00DC5A7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1" w:type="pct"/>
            <w:tcBorders>
              <w:top w:val="none" w:sz="0" w:space="0" w:color="auto"/>
              <w:left w:val="none" w:sz="0" w:space="0" w:color="auto"/>
              <w:bottom w:val="none" w:sz="0" w:space="0" w:color="auto"/>
              <w:right w:val="none" w:sz="0" w:space="0" w:color="auto"/>
            </w:tcBorders>
            <w:vAlign w:val="center"/>
          </w:tcPr>
          <w:p w14:paraId="1A7BDF62" w14:textId="77777777" w:rsidR="003321A8" w:rsidRPr="004E2933" w:rsidRDefault="003321A8" w:rsidP="00E31465">
            <w:pPr>
              <w:jc w:val="center"/>
              <w:rPr>
                <w:rFonts w:cs="Arial"/>
                <w:b w:val="0"/>
              </w:rPr>
            </w:pPr>
            <w:r w:rsidRPr="004E2933">
              <w:rPr>
                <w:rFonts w:cs="Arial"/>
              </w:rPr>
              <w:t>F</w:t>
            </w:r>
            <w:r w:rsidR="00975887">
              <w:rPr>
                <w:rFonts w:cs="Arial"/>
              </w:rPr>
              <w:t>iscal Year</w:t>
            </w:r>
            <w:r w:rsidRPr="004E2933">
              <w:rPr>
                <w:rFonts w:cs="Arial"/>
              </w:rPr>
              <w:t xml:space="preserve"> / Source</w:t>
            </w:r>
          </w:p>
        </w:tc>
        <w:tc>
          <w:tcPr>
            <w:tcW w:w="597" w:type="pct"/>
            <w:tcBorders>
              <w:top w:val="none" w:sz="0" w:space="0" w:color="auto"/>
              <w:left w:val="none" w:sz="0" w:space="0" w:color="auto"/>
              <w:bottom w:val="none" w:sz="0" w:space="0" w:color="auto"/>
              <w:right w:val="none" w:sz="0" w:space="0" w:color="auto"/>
            </w:tcBorders>
            <w:vAlign w:val="center"/>
          </w:tcPr>
          <w:p w14:paraId="1D357AE9" w14:textId="77777777" w:rsidR="003321A8" w:rsidRPr="004E2933" w:rsidRDefault="003321A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E2933">
              <w:rPr>
                <w:rFonts w:cs="Arial"/>
              </w:rPr>
              <w:t>Total Revenues</w:t>
            </w:r>
          </w:p>
        </w:tc>
        <w:tc>
          <w:tcPr>
            <w:tcW w:w="726" w:type="pct"/>
            <w:tcBorders>
              <w:top w:val="none" w:sz="0" w:space="0" w:color="auto"/>
              <w:left w:val="none" w:sz="0" w:space="0" w:color="auto"/>
              <w:bottom w:val="none" w:sz="0" w:space="0" w:color="auto"/>
              <w:right w:val="none" w:sz="0" w:space="0" w:color="auto"/>
            </w:tcBorders>
            <w:vAlign w:val="center"/>
          </w:tcPr>
          <w:p w14:paraId="27B8FAFD" w14:textId="77777777" w:rsidR="003321A8" w:rsidRPr="004E2933" w:rsidRDefault="003321A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E2933">
              <w:rPr>
                <w:rFonts w:cs="Arial"/>
              </w:rPr>
              <w:t>Total Expenditures</w:t>
            </w:r>
          </w:p>
        </w:tc>
        <w:tc>
          <w:tcPr>
            <w:tcW w:w="581" w:type="pct"/>
            <w:tcBorders>
              <w:top w:val="none" w:sz="0" w:space="0" w:color="auto"/>
              <w:left w:val="none" w:sz="0" w:space="0" w:color="auto"/>
              <w:bottom w:val="none" w:sz="0" w:space="0" w:color="auto"/>
              <w:right w:val="none" w:sz="0" w:space="0" w:color="auto"/>
            </w:tcBorders>
            <w:vAlign w:val="center"/>
          </w:tcPr>
          <w:p w14:paraId="7E81742E" w14:textId="77777777" w:rsidR="003321A8" w:rsidRPr="004E2933" w:rsidRDefault="003321A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E2933">
              <w:rPr>
                <w:rFonts w:cs="Arial"/>
              </w:rPr>
              <w:t>Net Operating Surplus (Deficit)</w:t>
            </w:r>
          </w:p>
        </w:tc>
        <w:tc>
          <w:tcPr>
            <w:tcW w:w="505" w:type="pct"/>
            <w:tcBorders>
              <w:top w:val="none" w:sz="0" w:space="0" w:color="auto"/>
              <w:left w:val="none" w:sz="0" w:space="0" w:color="auto"/>
              <w:bottom w:val="none" w:sz="0" w:space="0" w:color="auto"/>
              <w:right w:val="none" w:sz="0" w:space="0" w:color="auto"/>
            </w:tcBorders>
            <w:vAlign w:val="center"/>
          </w:tcPr>
          <w:p w14:paraId="4752F25C" w14:textId="77777777" w:rsidR="003321A8" w:rsidRPr="004E2933" w:rsidRDefault="003321A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E2933">
              <w:rPr>
                <w:rFonts w:cs="Arial"/>
              </w:rPr>
              <w:t>Working Capital Ratio</w:t>
            </w:r>
          </w:p>
        </w:tc>
        <w:tc>
          <w:tcPr>
            <w:tcW w:w="373" w:type="pct"/>
            <w:tcBorders>
              <w:top w:val="none" w:sz="0" w:space="0" w:color="auto"/>
              <w:left w:val="none" w:sz="0" w:space="0" w:color="auto"/>
              <w:bottom w:val="none" w:sz="0" w:space="0" w:color="auto"/>
              <w:right w:val="none" w:sz="0" w:space="0" w:color="auto"/>
            </w:tcBorders>
            <w:vAlign w:val="center"/>
          </w:tcPr>
          <w:p w14:paraId="542891C1" w14:textId="77777777" w:rsidR="003321A8" w:rsidRPr="004E2933" w:rsidRDefault="003321A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E2933">
              <w:rPr>
                <w:rFonts w:cs="Arial"/>
              </w:rPr>
              <w:t>Debt Ratio</w:t>
            </w:r>
          </w:p>
        </w:tc>
        <w:tc>
          <w:tcPr>
            <w:tcW w:w="640" w:type="pct"/>
            <w:tcBorders>
              <w:top w:val="none" w:sz="0" w:space="0" w:color="auto"/>
              <w:left w:val="none" w:sz="0" w:space="0" w:color="auto"/>
              <w:bottom w:val="none" w:sz="0" w:space="0" w:color="auto"/>
              <w:right w:val="none" w:sz="0" w:space="0" w:color="auto"/>
            </w:tcBorders>
            <w:vAlign w:val="center"/>
          </w:tcPr>
          <w:p w14:paraId="336C8D41" w14:textId="77777777" w:rsidR="003321A8" w:rsidRPr="004E2933" w:rsidRDefault="003321A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E2933">
              <w:rPr>
                <w:rFonts w:cs="Arial"/>
              </w:rPr>
              <w:t>Attendance Ratio</w:t>
            </w:r>
          </w:p>
        </w:tc>
        <w:tc>
          <w:tcPr>
            <w:tcW w:w="581" w:type="pct"/>
            <w:tcBorders>
              <w:top w:val="none" w:sz="0" w:space="0" w:color="auto"/>
              <w:left w:val="none" w:sz="0" w:space="0" w:color="auto"/>
              <w:bottom w:val="none" w:sz="0" w:space="0" w:color="auto"/>
              <w:right w:val="none" w:sz="0" w:space="0" w:color="auto"/>
            </w:tcBorders>
            <w:vAlign w:val="center"/>
          </w:tcPr>
          <w:p w14:paraId="6673BEEB" w14:textId="77777777" w:rsidR="003321A8" w:rsidRPr="004E2933" w:rsidRDefault="003321A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E2933">
              <w:rPr>
                <w:rFonts w:cs="Arial"/>
              </w:rPr>
              <w:t>Ending Fund Balance</w:t>
            </w:r>
          </w:p>
        </w:tc>
        <w:tc>
          <w:tcPr>
            <w:tcW w:w="545" w:type="pct"/>
            <w:tcBorders>
              <w:top w:val="none" w:sz="0" w:space="0" w:color="auto"/>
              <w:left w:val="none" w:sz="0" w:space="0" w:color="auto"/>
              <w:bottom w:val="none" w:sz="0" w:space="0" w:color="auto"/>
              <w:right w:val="none" w:sz="0" w:space="0" w:color="auto"/>
            </w:tcBorders>
            <w:vAlign w:val="center"/>
          </w:tcPr>
          <w:p w14:paraId="01702214" w14:textId="77777777" w:rsidR="003321A8" w:rsidRPr="004E2933" w:rsidRDefault="003321A8" w:rsidP="00E31465">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4E2933">
              <w:rPr>
                <w:rFonts w:cs="Arial"/>
              </w:rPr>
              <w:t>Percent of Reserves</w:t>
            </w:r>
          </w:p>
        </w:tc>
      </w:tr>
      <w:tr w:rsidR="003321A8" w:rsidRPr="004E2933" w14:paraId="50993661" w14:textId="77777777" w:rsidTr="009758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14:paraId="0D259E6C" w14:textId="77777777" w:rsidR="003321A8" w:rsidRPr="004E2933" w:rsidRDefault="00EA4DF4" w:rsidP="00E31465">
            <w:pPr>
              <w:rPr>
                <w:rFonts w:cs="Arial"/>
              </w:rPr>
            </w:pPr>
            <w:r>
              <w:rPr>
                <w:rFonts w:cs="Arial"/>
              </w:rPr>
              <w:t>201</w:t>
            </w:r>
            <w:r w:rsidR="00B41212">
              <w:rPr>
                <w:rFonts w:cs="Arial"/>
              </w:rPr>
              <w:t>9</w:t>
            </w:r>
            <w:r>
              <w:rPr>
                <w:rFonts w:cs="Arial"/>
              </w:rPr>
              <w:t>–</w:t>
            </w:r>
            <w:r w:rsidR="00B41212">
              <w:rPr>
                <w:rFonts w:cs="Arial"/>
              </w:rPr>
              <w:t>20</w:t>
            </w:r>
            <w:r w:rsidR="003321A8" w:rsidRPr="004E2933">
              <w:rPr>
                <w:rFonts w:cs="Arial"/>
              </w:rPr>
              <w:t xml:space="preserve"> Audit</w:t>
            </w:r>
          </w:p>
        </w:tc>
        <w:tc>
          <w:tcPr>
            <w:tcW w:w="597" w:type="pct"/>
            <w:vAlign w:val="center"/>
          </w:tcPr>
          <w:p w14:paraId="773B5884" w14:textId="77777777" w:rsidR="003321A8" w:rsidRPr="004E2933" w:rsidRDefault="00B41212"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$2,151,282</w:t>
            </w:r>
          </w:p>
        </w:tc>
        <w:tc>
          <w:tcPr>
            <w:tcW w:w="726" w:type="pct"/>
            <w:vAlign w:val="center"/>
          </w:tcPr>
          <w:p w14:paraId="3ABFC480" w14:textId="77777777" w:rsidR="003321A8" w:rsidRPr="004E2933" w:rsidRDefault="00B41212"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$2,152,673</w:t>
            </w:r>
          </w:p>
        </w:tc>
        <w:tc>
          <w:tcPr>
            <w:tcW w:w="581" w:type="pct"/>
            <w:vAlign w:val="center"/>
          </w:tcPr>
          <w:p w14:paraId="69E248C6" w14:textId="77777777" w:rsidR="003321A8" w:rsidRPr="004E2933" w:rsidRDefault="00B41212"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($1,391)</w:t>
            </w:r>
          </w:p>
        </w:tc>
        <w:tc>
          <w:tcPr>
            <w:tcW w:w="505" w:type="pct"/>
            <w:vAlign w:val="center"/>
          </w:tcPr>
          <w:p w14:paraId="290ED1D0" w14:textId="77777777" w:rsidR="003321A8" w:rsidRPr="004E2933" w:rsidRDefault="00B41212"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0.91</w:t>
            </w:r>
          </w:p>
        </w:tc>
        <w:tc>
          <w:tcPr>
            <w:tcW w:w="373" w:type="pct"/>
            <w:vAlign w:val="center"/>
          </w:tcPr>
          <w:p w14:paraId="3893D209" w14:textId="77777777" w:rsidR="003321A8" w:rsidRPr="004E2933" w:rsidRDefault="00B41212"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0.81</w:t>
            </w:r>
          </w:p>
        </w:tc>
        <w:tc>
          <w:tcPr>
            <w:tcW w:w="640" w:type="pct"/>
            <w:vAlign w:val="center"/>
          </w:tcPr>
          <w:p w14:paraId="19ED62F6" w14:textId="77777777" w:rsidR="003321A8" w:rsidRPr="004E2933" w:rsidRDefault="00B41212"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93.20%</w:t>
            </w:r>
          </w:p>
        </w:tc>
        <w:tc>
          <w:tcPr>
            <w:tcW w:w="581" w:type="pct"/>
            <w:vAlign w:val="center"/>
          </w:tcPr>
          <w:p w14:paraId="42FA39FB" w14:textId="77777777" w:rsidR="003321A8" w:rsidRPr="004E2933" w:rsidRDefault="00B41212"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$72,589</w:t>
            </w:r>
          </w:p>
        </w:tc>
        <w:tc>
          <w:tcPr>
            <w:tcW w:w="545" w:type="pct"/>
            <w:vAlign w:val="center"/>
          </w:tcPr>
          <w:p w14:paraId="148F1805" w14:textId="77777777" w:rsidR="003321A8" w:rsidRPr="004E2933" w:rsidRDefault="00B41212"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3.37%</w:t>
            </w:r>
          </w:p>
        </w:tc>
      </w:tr>
      <w:tr w:rsidR="003321A8" w:rsidRPr="004E2933" w14:paraId="5807613E" w14:textId="77777777" w:rsidTr="00975887">
        <w:trPr>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14:paraId="20C81AC8" w14:textId="77777777" w:rsidR="003321A8" w:rsidRPr="004E2933" w:rsidRDefault="003321A8" w:rsidP="00E31465">
            <w:pPr>
              <w:rPr>
                <w:rFonts w:cs="Arial"/>
              </w:rPr>
            </w:pPr>
            <w:r w:rsidRPr="004E2933">
              <w:rPr>
                <w:rFonts w:cs="Arial"/>
              </w:rPr>
              <w:t>20</w:t>
            </w:r>
            <w:r w:rsidR="00B41212">
              <w:rPr>
                <w:rFonts w:cs="Arial"/>
              </w:rPr>
              <w:t>20</w:t>
            </w:r>
            <w:r w:rsidR="00EA4DF4">
              <w:rPr>
                <w:rFonts w:cs="Arial"/>
              </w:rPr>
              <w:t>–</w:t>
            </w:r>
            <w:r w:rsidR="00EA651B">
              <w:rPr>
                <w:rFonts w:cs="Arial"/>
              </w:rPr>
              <w:t>2</w:t>
            </w:r>
            <w:r w:rsidR="00B41212">
              <w:rPr>
                <w:rFonts w:cs="Arial"/>
              </w:rPr>
              <w:t>1</w:t>
            </w:r>
            <w:r w:rsidRPr="004E2933">
              <w:rPr>
                <w:rFonts w:cs="Arial"/>
              </w:rPr>
              <w:t xml:space="preserve"> Budget</w:t>
            </w:r>
          </w:p>
        </w:tc>
        <w:tc>
          <w:tcPr>
            <w:tcW w:w="597" w:type="pct"/>
            <w:vAlign w:val="center"/>
          </w:tcPr>
          <w:p w14:paraId="37B82194" w14:textId="77777777" w:rsidR="003321A8" w:rsidRPr="004E2933" w:rsidRDefault="00EA4DF4"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009C2C61">
              <w:rPr>
                <w:rFonts w:cs="Arial"/>
              </w:rPr>
              <w:t>1,644,105</w:t>
            </w:r>
          </w:p>
        </w:tc>
        <w:tc>
          <w:tcPr>
            <w:tcW w:w="726" w:type="pct"/>
            <w:vAlign w:val="center"/>
          </w:tcPr>
          <w:p w14:paraId="2DED0A13" w14:textId="77777777" w:rsidR="003321A8" w:rsidRPr="004E2933" w:rsidRDefault="00EA4DF4"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009C2C61">
              <w:rPr>
                <w:rFonts w:cs="Arial"/>
              </w:rPr>
              <w:t>1,646,769</w:t>
            </w:r>
          </w:p>
        </w:tc>
        <w:tc>
          <w:tcPr>
            <w:tcW w:w="581" w:type="pct"/>
            <w:vAlign w:val="center"/>
          </w:tcPr>
          <w:p w14:paraId="79A85689" w14:textId="77777777" w:rsidR="003321A8" w:rsidRPr="004E2933" w:rsidRDefault="009C2C61"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00EA4DF4">
              <w:rPr>
                <w:rFonts w:cs="Arial"/>
              </w:rPr>
              <w:t>$</w:t>
            </w:r>
            <w:r>
              <w:rPr>
                <w:rFonts w:cs="Arial"/>
              </w:rPr>
              <w:t>2,663)</w:t>
            </w:r>
          </w:p>
        </w:tc>
        <w:tc>
          <w:tcPr>
            <w:tcW w:w="505" w:type="pct"/>
            <w:vAlign w:val="center"/>
          </w:tcPr>
          <w:p w14:paraId="4A0CCB97" w14:textId="77777777" w:rsidR="003321A8" w:rsidRPr="004E2933" w:rsidRDefault="003321A8"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E2933">
              <w:rPr>
                <w:rFonts w:cs="Arial"/>
              </w:rPr>
              <w:t>NA</w:t>
            </w:r>
          </w:p>
        </w:tc>
        <w:tc>
          <w:tcPr>
            <w:tcW w:w="373" w:type="pct"/>
            <w:vAlign w:val="center"/>
          </w:tcPr>
          <w:p w14:paraId="67EB4994" w14:textId="77777777" w:rsidR="003321A8" w:rsidRPr="004E2933" w:rsidRDefault="003321A8"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4E2933">
              <w:rPr>
                <w:rFonts w:cs="Arial"/>
              </w:rPr>
              <w:t>NA</w:t>
            </w:r>
          </w:p>
        </w:tc>
        <w:tc>
          <w:tcPr>
            <w:tcW w:w="640" w:type="pct"/>
            <w:vAlign w:val="center"/>
          </w:tcPr>
          <w:p w14:paraId="487297EB" w14:textId="77777777" w:rsidR="003321A8" w:rsidRPr="004E2933" w:rsidRDefault="00036411"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94</w:t>
            </w:r>
            <w:r w:rsidR="00990D3E" w:rsidRPr="002D0818">
              <w:rPr>
                <w:rFonts w:cs="Arial"/>
              </w:rPr>
              <w:t>%</w:t>
            </w:r>
          </w:p>
        </w:tc>
        <w:tc>
          <w:tcPr>
            <w:tcW w:w="581" w:type="pct"/>
            <w:vAlign w:val="center"/>
          </w:tcPr>
          <w:p w14:paraId="6F3AF473" w14:textId="77777777" w:rsidR="003321A8" w:rsidRPr="004E2933" w:rsidRDefault="00EA4DF4"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009C2C61">
              <w:rPr>
                <w:rFonts w:cs="Arial"/>
              </w:rPr>
              <w:t>73,190</w:t>
            </w:r>
          </w:p>
        </w:tc>
        <w:tc>
          <w:tcPr>
            <w:tcW w:w="545" w:type="pct"/>
            <w:vAlign w:val="center"/>
          </w:tcPr>
          <w:p w14:paraId="43C0D710" w14:textId="77777777" w:rsidR="003321A8" w:rsidRPr="004E2933" w:rsidRDefault="009C2C61"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4.44</w:t>
            </w:r>
            <w:r w:rsidR="00EA4DF4">
              <w:rPr>
                <w:rFonts w:cs="Arial"/>
              </w:rPr>
              <w:t>%</w:t>
            </w:r>
          </w:p>
        </w:tc>
      </w:tr>
      <w:tr w:rsidR="003321A8" w:rsidRPr="004E2933" w14:paraId="68E8D9C7" w14:textId="77777777" w:rsidTr="009758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14:paraId="2E2A7EF6" w14:textId="77777777" w:rsidR="003321A8" w:rsidRPr="004E2933" w:rsidRDefault="00EA4DF4" w:rsidP="00E31465">
            <w:pPr>
              <w:rPr>
                <w:rFonts w:cs="Arial"/>
              </w:rPr>
            </w:pPr>
            <w:r>
              <w:rPr>
                <w:rFonts w:cs="Arial"/>
              </w:rPr>
              <w:t>20</w:t>
            </w:r>
            <w:r w:rsidR="00B41212">
              <w:rPr>
                <w:rFonts w:cs="Arial"/>
              </w:rPr>
              <w:t>20</w:t>
            </w:r>
            <w:r>
              <w:rPr>
                <w:rFonts w:cs="Arial"/>
              </w:rPr>
              <w:t>–</w:t>
            </w:r>
            <w:r w:rsidR="00EA651B">
              <w:rPr>
                <w:rFonts w:cs="Arial"/>
              </w:rPr>
              <w:t>2</w:t>
            </w:r>
            <w:r w:rsidR="00B41212">
              <w:rPr>
                <w:rFonts w:cs="Arial"/>
              </w:rPr>
              <w:t>1</w:t>
            </w:r>
            <w:r w:rsidR="003321A8" w:rsidRPr="004E2933">
              <w:rPr>
                <w:rFonts w:cs="Arial"/>
              </w:rPr>
              <w:t xml:space="preserve"> 2nd Interim</w:t>
            </w:r>
          </w:p>
        </w:tc>
        <w:tc>
          <w:tcPr>
            <w:tcW w:w="597" w:type="pct"/>
            <w:vAlign w:val="center"/>
          </w:tcPr>
          <w:p w14:paraId="2F556B60" w14:textId="77777777" w:rsidR="003321A8" w:rsidRPr="004E2933" w:rsidRDefault="00990D3E"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w:t>
            </w:r>
            <w:r w:rsidR="009C2C61">
              <w:rPr>
                <w:rFonts w:cs="Arial"/>
              </w:rPr>
              <w:t>1,769,054</w:t>
            </w:r>
          </w:p>
        </w:tc>
        <w:tc>
          <w:tcPr>
            <w:tcW w:w="726" w:type="pct"/>
            <w:vAlign w:val="center"/>
          </w:tcPr>
          <w:p w14:paraId="7B050AB4" w14:textId="77777777" w:rsidR="003321A8" w:rsidRPr="004E2933" w:rsidRDefault="00990D3E"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w:t>
            </w:r>
            <w:r w:rsidR="009C2C61">
              <w:rPr>
                <w:rFonts w:cs="Arial"/>
              </w:rPr>
              <w:t>1,766,896</w:t>
            </w:r>
          </w:p>
        </w:tc>
        <w:tc>
          <w:tcPr>
            <w:tcW w:w="581" w:type="pct"/>
            <w:vAlign w:val="center"/>
          </w:tcPr>
          <w:p w14:paraId="0B788A83" w14:textId="77777777" w:rsidR="003321A8" w:rsidRPr="004E2933" w:rsidRDefault="00990D3E"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w:t>
            </w:r>
            <w:r w:rsidR="009C2C61">
              <w:rPr>
                <w:rFonts w:cs="Arial"/>
              </w:rPr>
              <w:t>2,158</w:t>
            </w:r>
          </w:p>
        </w:tc>
        <w:tc>
          <w:tcPr>
            <w:tcW w:w="505" w:type="pct"/>
            <w:vAlign w:val="center"/>
          </w:tcPr>
          <w:p w14:paraId="2A668574" w14:textId="77777777" w:rsidR="003321A8" w:rsidRPr="004E2933" w:rsidRDefault="003321A8"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E2933">
              <w:rPr>
                <w:rFonts w:cs="Arial"/>
              </w:rPr>
              <w:t>NA</w:t>
            </w:r>
          </w:p>
        </w:tc>
        <w:tc>
          <w:tcPr>
            <w:tcW w:w="373" w:type="pct"/>
            <w:vAlign w:val="center"/>
          </w:tcPr>
          <w:p w14:paraId="3A1A8005" w14:textId="77777777" w:rsidR="003321A8" w:rsidRPr="004E2933" w:rsidRDefault="003321A8"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4E2933">
              <w:rPr>
                <w:rFonts w:cs="Arial"/>
              </w:rPr>
              <w:t>NA</w:t>
            </w:r>
          </w:p>
        </w:tc>
        <w:tc>
          <w:tcPr>
            <w:tcW w:w="640" w:type="pct"/>
            <w:vAlign w:val="center"/>
          </w:tcPr>
          <w:p w14:paraId="25AE013B" w14:textId="77777777" w:rsidR="003321A8" w:rsidRPr="00A34996" w:rsidRDefault="009D5128"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100.60</w:t>
            </w:r>
            <w:r w:rsidR="00990D3E" w:rsidRPr="00A34996">
              <w:rPr>
                <w:rFonts w:cs="Arial"/>
              </w:rPr>
              <w:t>%</w:t>
            </w:r>
          </w:p>
        </w:tc>
        <w:tc>
          <w:tcPr>
            <w:tcW w:w="581" w:type="pct"/>
            <w:vAlign w:val="center"/>
          </w:tcPr>
          <w:p w14:paraId="1F71FDDE" w14:textId="77777777" w:rsidR="003321A8" w:rsidRPr="00A34996" w:rsidRDefault="00990D3E"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9C2C61">
              <w:rPr>
                <w:rFonts w:cs="Arial"/>
              </w:rPr>
              <w:t>74,748</w:t>
            </w:r>
          </w:p>
        </w:tc>
        <w:tc>
          <w:tcPr>
            <w:tcW w:w="545" w:type="pct"/>
            <w:vAlign w:val="center"/>
          </w:tcPr>
          <w:p w14:paraId="7324E16C" w14:textId="77777777" w:rsidR="003321A8" w:rsidRPr="004E2933" w:rsidRDefault="009C2C61"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4.23</w:t>
            </w:r>
            <w:r w:rsidR="00990D3E">
              <w:rPr>
                <w:rFonts w:cs="Arial"/>
              </w:rPr>
              <w:t>%</w:t>
            </w:r>
          </w:p>
        </w:tc>
      </w:tr>
    </w:tbl>
    <w:p w14:paraId="47F796B6" w14:textId="4DDD5E1A" w:rsidR="00C06FC9" w:rsidRPr="00A34996" w:rsidRDefault="00C06FC9" w:rsidP="00C06FC9">
      <w:pPr>
        <w:spacing w:before="240"/>
      </w:pPr>
      <w:r w:rsidRPr="00A34996">
        <w:t xml:space="preserve">California Department of Education, Charter Schools Division, </w:t>
      </w:r>
      <w:r w:rsidR="00EA651F">
        <w:t>August</w:t>
      </w:r>
      <w:r w:rsidRPr="00A34996">
        <w:t xml:space="preserve"> 202</w:t>
      </w:r>
      <w:r>
        <w:t>1</w:t>
      </w:r>
    </w:p>
    <w:p w14:paraId="005DA1C8" w14:textId="77777777" w:rsidR="00C06FC9" w:rsidRDefault="00C06FC9" w:rsidP="00E31465">
      <w:pPr>
        <w:sectPr w:rsidR="00C06FC9" w:rsidSect="00A34996">
          <w:pgSz w:w="15840" w:h="12240" w:orient="landscape"/>
          <w:pgMar w:top="1440" w:right="1440" w:bottom="1440" w:left="1440" w:header="720" w:footer="720" w:gutter="0"/>
          <w:cols w:space="720"/>
          <w:docGrid w:linePitch="326"/>
        </w:sectPr>
      </w:pPr>
    </w:p>
    <w:p w14:paraId="23142B15" w14:textId="77777777" w:rsidR="00B41212" w:rsidRDefault="00B41212" w:rsidP="00C06FC9">
      <w:pPr>
        <w:pStyle w:val="Heading2"/>
      </w:pPr>
      <w:r>
        <w:lastRenderedPageBreak/>
        <w:t>Poor Financial Condition</w:t>
      </w:r>
    </w:p>
    <w:p w14:paraId="57C58BA9" w14:textId="77777777" w:rsidR="00B41212" w:rsidRDefault="00C06FC9" w:rsidP="00B41212">
      <w:pPr>
        <w:spacing w:after="100" w:afterAutospacing="1"/>
        <w:rPr>
          <w:rFonts w:cs="Arial"/>
        </w:rPr>
      </w:pPr>
      <w:r>
        <w:rPr>
          <w:rFonts w:cs="Arial"/>
        </w:rPr>
        <w:t>A c</w:t>
      </w:r>
      <w:r w:rsidR="00B41212" w:rsidRPr="00BC16C2">
        <w:rPr>
          <w:rFonts w:cs="Arial"/>
        </w:rPr>
        <w:t xml:space="preserve">harter school in poor financial condition </w:t>
      </w:r>
      <w:r w:rsidR="009C2C61">
        <w:rPr>
          <w:rFonts w:cs="Arial"/>
        </w:rPr>
        <w:t>is</w:t>
      </w:r>
      <w:r w:rsidR="00B41212" w:rsidRPr="00BC16C2">
        <w:rPr>
          <w:rFonts w:cs="Arial"/>
        </w:rPr>
        <w:t xml:space="preserve"> in danger of jeopardizing </w:t>
      </w:r>
      <w:r w:rsidR="00214833">
        <w:rPr>
          <w:rFonts w:cs="Arial"/>
        </w:rPr>
        <w:t>its</w:t>
      </w:r>
      <w:r w:rsidR="00B41212" w:rsidRPr="00BC16C2">
        <w:rPr>
          <w:rFonts w:cs="Arial"/>
        </w:rPr>
        <w:t xml:space="preserve"> fiscal operations going forward. Timely and appropriate action by the charter school</w:t>
      </w:r>
      <w:r w:rsidR="00B41212">
        <w:rPr>
          <w:rFonts w:cs="Arial"/>
        </w:rPr>
        <w:t>’s board is</w:t>
      </w:r>
      <w:r w:rsidR="00B41212" w:rsidRPr="00BC16C2">
        <w:rPr>
          <w:rFonts w:cs="Arial"/>
        </w:rPr>
        <w:t xml:space="preserve"> critical in addressing and mitigating the serious decline in financial condition. Specifically, </w:t>
      </w:r>
      <w:r>
        <w:rPr>
          <w:rFonts w:cs="Arial"/>
        </w:rPr>
        <w:t xml:space="preserve">a </w:t>
      </w:r>
      <w:r w:rsidR="00B41212">
        <w:rPr>
          <w:rFonts w:cs="Arial"/>
        </w:rPr>
        <w:t xml:space="preserve">charter school in poor financial condition may have a </w:t>
      </w:r>
      <w:r w:rsidR="00B41212" w:rsidRPr="00BC16C2">
        <w:rPr>
          <w:rFonts w:cs="Arial"/>
        </w:rPr>
        <w:t>negative fund balance</w:t>
      </w:r>
      <w:r w:rsidR="00B41212">
        <w:rPr>
          <w:rFonts w:cs="Arial"/>
        </w:rPr>
        <w:t xml:space="preserve">, no reserves, an inadequate cash balance, and a high debt level. </w:t>
      </w:r>
      <w:r w:rsidR="00B41212" w:rsidRPr="00BC16C2">
        <w:rPr>
          <w:rFonts w:cs="Arial"/>
        </w:rPr>
        <w:t xml:space="preserve">The </w:t>
      </w:r>
      <w:r w:rsidR="00B41212">
        <w:rPr>
          <w:rFonts w:cs="Arial"/>
        </w:rPr>
        <w:t xml:space="preserve">SBE-authorized </w:t>
      </w:r>
      <w:r w:rsidR="00B41212" w:rsidRPr="00BC16C2">
        <w:rPr>
          <w:rFonts w:cs="Arial"/>
        </w:rPr>
        <w:t>charter school</w:t>
      </w:r>
      <w:r w:rsidR="00B41212">
        <w:rPr>
          <w:rFonts w:cs="Arial"/>
        </w:rPr>
        <w:t xml:space="preserve"> in poor financial condition </w:t>
      </w:r>
      <w:r w:rsidR="00214833">
        <w:rPr>
          <w:rFonts w:cs="Arial"/>
        </w:rPr>
        <w:t>is</w:t>
      </w:r>
      <w:r w:rsidR="00B41212">
        <w:rPr>
          <w:rFonts w:cs="Arial"/>
        </w:rPr>
        <w:t xml:space="preserve"> as follow:</w:t>
      </w:r>
    </w:p>
    <w:p w14:paraId="508BC21D" w14:textId="77777777" w:rsidR="00B41212" w:rsidRPr="00714FE2" w:rsidRDefault="00B41212" w:rsidP="00B41212">
      <w:pPr>
        <w:pStyle w:val="ListParagraph"/>
        <w:numPr>
          <w:ilvl w:val="0"/>
          <w:numId w:val="2"/>
        </w:numPr>
        <w:shd w:val="clear" w:color="auto" w:fill="FFFFFF"/>
        <w:spacing w:after="100" w:afterAutospacing="1"/>
        <w:ind w:left="360" w:firstLine="0"/>
        <w:contextualSpacing w:val="0"/>
      </w:pPr>
      <w:r w:rsidRPr="00861A80">
        <w:rPr>
          <w:rFonts w:cs="Arial"/>
          <w:color w:val="000000"/>
        </w:rPr>
        <w:t>Prepa Tec Los Angeles High</w:t>
      </w:r>
      <w:r>
        <w:rPr>
          <w:rFonts w:cs="Arial"/>
          <w:color w:val="000000"/>
        </w:rPr>
        <w:t xml:space="preserve"> (</w:t>
      </w:r>
      <w:r w:rsidRPr="00814B6C">
        <w:t>PTLAH</w:t>
      </w:r>
      <w:r>
        <w:t>)</w:t>
      </w:r>
    </w:p>
    <w:p w14:paraId="1CA2A5B5" w14:textId="77777777" w:rsidR="007310DB" w:rsidRDefault="007310DB" w:rsidP="00E31465">
      <w:pPr>
        <w:pStyle w:val="Heading3"/>
      </w:pPr>
      <w:r>
        <w:t>Prepa Tec Los Angeles High</w:t>
      </w:r>
    </w:p>
    <w:p w14:paraId="26BBDC0F" w14:textId="77777777" w:rsidR="007310DB" w:rsidRPr="00D270A8" w:rsidRDefault="007310DB" w:rsidP="00E31465">
      <w:pPr>
        <w:pStyle w:val="ListParagraph"/>
        <w:numPr>
          <w:ilvl w:val="0"/>
          <w:numId w:val="10"/>
        </w:numPr>
      </w:pPr>
      <w:r w:rsidRPr="00D270A8">
        <w:t>Charter Term Expires: 6/30/2021</w:t>
      </w:r>
    </w:p>
    <w:p w14:paraId="0FF5F3FC" w14:textId="77777777" w:rsidR="007310DB" w:rsidRPr="00D270A8" w:rsidRDefault="007310DB" w:rsidP="00E31465">
      <w:pPr>
        <w:pStyle w:val="ListParagraph"/>
        <w:numPr>
          <w:ilvl w:val="0"/>
          <w:numId w:val="10"/>
        </w:numPr>
      </w:pPr>
      <w:r w:rsidRPr="00D270A8">
        <w:t>Grades Authorized to Serve: 9–12</w:t>
      </w:r>
    </w:p>
    <w:p w14:paraId="699DB76D" w14:textId="77777777" w:rsidR="007310DB" w:rsidRPr="00D270A8" w:rsidRDefault="007310DB" w:rsidP="00E31465">
      <w:pPr>
        <w:pStyle w:val="ListParagraph"/>
        <w:numPr>
          <w:ilvl w:val="0"/>
          <w:numId w:val="10"/>
        </w:numPr>
      </w:pPr>
      <w:r w:rsidRPr="00D270A8">
        <w:t>201</w:t>
      </w:r>
      <w:r w:rsidR="00214833">
        <w:t>9</w:t>
      </w:r>
      <w:r>
        <w:t>–</w:t>
      </w:r>
      <w:r w:rsidR="00214833">
        <w:t>20</w:t>
      </w:r>
      <w:r w:rsidRPr="00D270A8">
        <w:t xml:space="preserve"> P-2 ADA: </w:t>
      </w:r>
      <w:r w:rsidR="00214833">
        <w:t>317.30</w:t>
      </w:r>
    </w:p>
    <w:p w14:paraId="6292C93B" w14:textId="77777777" w:rsidR="007310DB" w:rsidRPr="00343B89" w:rsidRDefault="007310DB" w:rsidP="00E31465">
      <w:pPr>
        <w:pStyle w:val="ListParagraph"/>
        <w:numPr>
          <w:ilvl w:val="0"/>
          <w:numId w:val="10"/>
        </w:numPr>
        <w:spacing w:after="100" w:afterAutospacing="1"/>
      </w:pPr>
      <w:r w:rsidRPr="00343B89">
        <w:t>20</w:t>
      </w:r>
      <w:r w:rsidR="00214833" w:rsidRPr="00343B89">
        <w:t>20</w:t>
      </w:r>
      <w:r w:rsidRPr="00343B89">
        <w:t>–</w:t>
      </w:r>
      <w:r w:rsidR="006A1E09" w:rsidRPr="00343B89">
        <w:t>2</w:t>
      </w:r>
      <w:r w:rsidR="00214833" w:rsidRPr="00343B89">
        <w:t>1</w:t>
      </w:r>
      <w:r w:rsidRPr="00343B89">
        <w:t xml:space="preserve"> P-2 ADA: </w:t>
      </w:r>
      <w:r w:rsidR="009D5128" w:rsidRPr="00343B89">
        <w:t>317.30</w:t>
      </w:r>
    </w:p>
    <w:p w14:paraId="343EC735" w14:textId="77777777" w:rsidR="007310DB" w:rsidRPr="00343B89" w:rsidRDefault="007310DB" w:rsidP="00E174FC">
      <w:pPr>
        <w:pStyle w:val="Heading4"/>
      </w:pPr>
      <w:r w:rsidRPr="00343B89">
        <w:t>Fiscal Concerns</w:t>
      </w:r>
    </w:p>
    <w:p w14:paraId="23D3BED9" w14:textId="0D4D62F3" w:rsidR="00CF246C" w:rsidRDefault="007310DB" w:rsidP="00CF246C">
      <w:pPr>
        <w:spacing w:after="100" w:afterAutospacing="1"/>
        <w:rPr>
          <w:rFonts w:cs="Arial"/>
        </w:rPr>
      </w:pPr>
      <w:r w:rsidRPr="00343B89">
        <w:t>PTLAH’s 20</w:t>
      </w:r>
      <w:r w:rsidR="001A2D22" w:rsidRPr="00343B89">
        <w:t>20</w:t>
      </w:r>
      <w:r w:rsidRPr="00343B89">
        <w:t>–</w:t>
      </w:r>
      <w:r w:rsidR="002050C8" w:rsidRPr="00343B89">
        <w:t>2</w:t>
      </w:r>
      <w:r w:rsidR="001A2D22" w:rsidRPr="00343B89">
        <w:t>1</w:t>
      </w:r>
      <w:r w:rsidRPr="00343B89">
        <w:t xml:space="preserve"> second interim report </w:t>
      </w:r>
      <w:r w:rsidR="00975887" w:rsidRPr="00343B89">
        <w:t xml:space="preserve">indicates that </w:t>
      </w:r>
      <w:r w:rsidR="00DC5A78">
        <w:t>it</w:t>
      </w:r>
      <w:r w:rsidR="00975887" w:rsidRPr="00343B89">
        <w:t xml:space="preserve"> is projecting</w:t>
      </w:r>
      <w:r w:rsidRPr="00343B89">
        <w:t xml:space="preserve"> a negative ending fund balance of $</w:t>
      </w:r>
      <w:r w:rsidR="0054277E" w:rsidRPr="00343B89">
        <w:t>322,448</w:t>
      </w:r>
      <w:r w:rsidRPr="00343B89">
        <w:t xml:space="preserve"> with </w:t>
      </w:r>
      <w:r w:rsidR="00C06FC9">
        <w:t>0</w:t>
      </w:r>
      <w:r w:rsidRPr="00343B89">
        <w:t xml:space="preserve"> percent </w:t>
      </w:r>
      <w:r w:rsidR="00975887" w:rsidRPr="00343B89">
        <w:t xml:space="preserve">in </w:t>
      </w:r>
      <w:r w:rsidRPr="00343B89">
        <w:t>reserve</w:t>
      </w:r>
      <w:r w:rsidR="00975887" w:rsidRPr="00343B89">
        <w:t>s</w:t>
      </w:r>
      <w:r w:rsidRPr="00343B89">
        <w:t xml:space="preserve"> for FY 20</w:t>
      </w:r>
      <w:r w:rsidR="0054277E" w:rsidRPr="00343B89">
        <w:t>20</w:t>
      </w:r>
      <w:r w:rsidRPr="00343B89">
        <w:t>–</w:t>
      </w:r>
      <w:r w:rsidR="00814B6C" w:rsidRPr="00343B89">
        <w:t>2</w:t>
      </w:r>
      <w:r w:rsidR="0054277E" w:rsidRPr="00343B89">
        <w:t>1</w:t>
      </w:r>
      <w:r w:rsidRPr="00343B89">
        <w:t xml:space="preserve">, which is below the recommended </w:t>
      </w:r>
      <w:r w:rsidR="00C06FC9">
        <w:t>5</w:t>
      </w:r>
      <w:r w:rsidRPr="00343B89">
        <w:t xml:space="preserve"> percent in reserves outlined in the MOU between PTLAH and the SBE. PTLAH </w:t>
      </w:r>
      <w:r w:rsidR="00975887" w:rsidRPr="00343B89">
        <w:t>has been</w:t>
      </w:r>
      <w:r w:rsidRPr="00343B89">
        <w:t xml:space="preserve"> considered to be in poor financial condition since its inception in FY 2016–17.</w:t>
      </w:r>
      <w:r w:rsidR="0054277E" w:rsidRPr="00343B89">
        <w:t xml:space="preserve"> </w:t>
      </w:r>
      <w:r w:rsidRPr="00343B89">
        <w:t xml:space="preserve">The CDE notes that as of </w:t>
      </w:r>
      <w:r w:rsidR="00814B6C" w:rsidRPr="00343B89">
        <w:t>January</w:t>
      </w:r>
      <w:r w:rsidRPr="00343B89">
        <w:t xml:space="preserve"> </w:t>
      </w:r>
      <w:r w:rsidR="0054277E" w:rsidRPr="00343B89">
        <w:t>31</w:t>
      </w:r>
      <w:r w:rsidRPr="00343B89">
        <w:t>, 20</w:t>
      </w:r>
      <w:r w:rsidR="0054277E" w:rsidRPr="00343B89">
        <w:t>21</w:t>
      </w:r>
      <w:r w:rsidRPr="00343B89">
        <w:t>, PTLAH</w:t>
      </w:r>
      <w:r w:rsidR="0054277E" w:rsidRPr="00343B89">
        <w:t>’s debt ratio was 3.09 and current ratio was negative 0.03</w:t>
      </w:r>
      <w:r w:rsidRPr="00343B89">
        <w:t xml:space="preserve">. </w:t>
      </w:r>
      <w:r w:rsidR="006F727B">
        <w:t>Additionally, as of this date</w:t>
      </w:r>
      <w:r w:rsidR="00C06FC9">
        <w:t>, P</w:t>
      </w:r>
      <w:r w:rsidRPr="00343B89">
        <w:t>TLAH’s net assets were negative $</w:t>
      </w:r>
      <w:r w:rsidR="0054277E" w:rsidRPr="00343B89">
        <w:t>770,577</w:t>
      </w:r>
      <w:r w:rsidR="00C06FC9">
        <w:t xml:space="preserve">; </w:t>
      </w:r>
      <w:r w:rsidR="0054277E" w:rsidRPr="00343B89">
        <w:t xml:space="preserve">PTLAH relies heavily on short term financing to cover cash shortage. </w:t>
      </w:r>
      <w:r w:rsidR="00DC5A78">
        <w:t xml:space="preserve">Additionally, the CDE notes that it has </w:t>
      </w:r>
      <w:r w:rsidR="00343B89" w:rsidRPr="00343B89">
        <w:t xml:space="preserve">sent four letters of fiscal concern and one 30-day notice </w:t>
      </w:r>
      <w:r w:rsidR="00C06FC9">
        <w:t xml:space="preserve">to the school </w:t>
      </w:r>
      <w:r w:rsidR="00343B89" w:rsidRPr="00343B89">
        <w:t xml:space="preserve">in regards to declining pupil enrollment, </w:t>
      </w:r>
      <w:r w:rsidR="00C06FC9">
        <w:t>lack of</w:t>
      </w:r>
      <w:r w:rsidR="00343B89" w:rsidRPr="00343B89">
        <w:t xml:space="preserve"> reserves, and negative ending fund balances on preliminary budget reports and interim reports. Although PTLAH has </w:t>
      </w:r>
      <w:r w:rsidR="00343B89" w:rsidRPr="00C0182D">
        <w:rPr>
          <w:rFonts w:cs="Arial"/>
        </w:rPr>
        <w:t xml:space="preserve">responded to all letters of concern and </w:t>
      </w:r>
      <w:r w:rsidR="00C06FC9">
        <w:rPr>
          <w:rFonts w:cs="Arial"/>
        </w:rPr>
        <w:t xml:space="preserve">the </w:t>
      </w:r>
      <w:r w:rsidR="00343B89" w:rsidRPr="00C0182D">
        <w:rPr>
          <w:rFonts w:cs="Arial"/>
        </w:rPr>
        <w:t>30-day notice, the CDE notes that PTLAH has remained in poor financial condition throughout the term of its current charter</w:t>
      </w:r>
      <w:r w:rsidR="00CF246C">
        <w:rPr>
          <w:rFonts w:cs="Arial"/>
        </w:rPr>
        <w:t>.</w:t>
      </w:r>
    </w:p>
    <w:p w14:paraId="5E06D320" w14:textId="56E4D532" w:rsidR="009D5128" w:rsidRDefault="009D5128" w:rsidP="00CF246C">
      <w:pPr>
        <w:pStyle w:val="Heading4"/>
      </w:pPr>
      <w:r>
        <w:t>Chart</w:t>
      </w:r>
      <w:r w:rsidR="00343B89">
        <w:t>e</w:t>
      </w:r>
      <w:r>
        <w:t>r School Update</w:t>
      </w:r>
    </w:p>
    <w:p w14:paraId="46DE48CB" w14:textId="2B241C30" w:rsidR="009D5128" w:rsidRPr="007B7BEE" w:rsidRDefault="00343B89" w:rsidP="007B7BEE">
      <w:pPr>
        <w:spacing w:after="240"/>
        <w:rPr>
          <w:rFonts w:cs="Arial"/>
        </w:rPr>
      </w:pPr>
      <w:r w:rsidRPr="00C0182D">
        <w:rPr>
          <w:rFonts w:cs="Arial"/>
        </w:rPr>
        <w:t xml:space="preserve">On May 13, 2021, PTLAH’s petition for renewal was denied by the </w:t>
      </w:r>
      <w:r w:rsidR="00C06FC9">
        <w:rPr>
          <w:rFonts w:cs="Arial"/>
        </w:rPr>
        <w:t>SBE</w:t>
      </w:r>
      <w:r w:rsidRPr="00C0182D">
        <w:rPr>
          <w:rFonts w:cs="Arial"/>
        </w:rPr>
        <w:t xml:space="preserve">. </w:t>
      </w:r>
      <w:r w:rsidR="007B7BEE">
        <w:rPr>
          <w:rFonts w:cs="Arial"/>
        </w:rPr>
        <w:t xml:space="preserve">As of June 30, 2021, PTLAH is no longer operational. </w:t>
      </w:r>
    </w:p>
    <w:p w14:paraId="589B693D" w14:textId="77777777" w:rsidR="009D5128" w:rsidRDefault="009D5128" w:rsidP="00E174FC">
      <w:pPr>
        <w:pStyle w:val="Heading4"/>
      </w:pPr>
      <w:r>
        <w:t>California Department of Education Follow Up</w:t>
      </w:r>
    </w:p>
    <w:p w14:paraId="5D212CAA" w14:textId="77777777" w:rsidR="009D5128" w:rsidRDefault="009D5128" w:rsidP="009D5128">
      <w:pPr>
        <w:spacing w:after="100" w:afterAutospacing="1"/>
      </w:pPr>
      <w:r w:rsidRPr="00B21BCA">
        <w:t xml:space="preserve">On </w:t>
      </w:r>
      <w:r w:rsidR="00343B89">
        <w:t>May 20</w:t>
      </w:r>
      <w:r>
        <w:t>, 202</w:t>
      </w:r>
      <w:r w:rsidR="00343B89">
        <w:t>1</w:t>
      </w:r>
      <w:r>
        <w:t xml:space="preserve">, the </w:t>
      </w:r>
      <w:r w:rsidR="00C06FC9">
        <w:t>CDE</w:t>
      </w:r>
      <w:r>
        <w:t xml:space="preserve"> issued the </w:t>
      </w:r>
      <w:r w:rsidR="00343B89">
        <w:t>PTLAH</w:t>
      </w:r>
      <w:r>
        <w:t xml:space="preserve"> Board written notice to invoke closure procedures, which included the following:</w:t>
      </w:r>
    </w:p>
    <w:p w14:paraId="5CBB57FD" w14:textId="77777777" w:rsidR="009D5128" w:rsidRPr="00587E6B" w:rsidRDefault="009D5128" w:rsidP="009D5128">
      <w:pPr>
        <w:pStyle w:val="ListParagraph"/>
        <w:numPr>
          <w:ilvl w:val="0"/>
          <w:numId w:val="12"/>
        </w:numPr>
        <w:spacing w:after="240"/>
        <w:contextualSpacing w:val="0"/>
      </w:pPr>
      <w:r w:rsidRPr="000F6628">
        <w:rPr>
          <w:szCs w:val="23"/>
        </w:rPr>
        <w:lastRenderedPageBreak/>
        <w:t>Return grant funds and restricted categorical funds to their source in accordance with the terms of the grant</w:t>
      </w:r>
      <w:r w:rsidR="00DC5A78">
        <w:rPr>
          <w:szCs w:val="23"/>
        </w:rPr>
        <w:t>,</w:t>
      </w:r>
      <w:r w:rsidRPr="000F6628">
        <w:rPr>
          <w:szCs w:val="23"/>
        </w:rPr>
        <w:t xml:space="preserve"> or state and federal law as appropriate. Federal grants must be closed out, including the filing of the required Final Expenditure Reports and Final Performance Reports. Federal Forms 269 and 269a may apply if </w:t>
      </w:r>
      <w:r w:rsidR="00343B89">
        <w:rPr>
          <w:szCs w:val="23"/>
        </w:rPr>
        <w:t>PTLAH</w:t>
      </w:r>
      <w:r w:rsidRPr="000F6628">
        <w:rPr>
          <w:szCs w:val="23"/>
        </w:rPr>
        <w:t xml:space="preserve"> was receiving funds directly from the U.S. Department of Education.</w:t>
      </w:r>
    </w:p>
    <w:p w14:paraId="1A2B63C6" w14:textId="77777777" w:rsidR="009D5128" w:rsidRPr="003D1042" w:rsidRDefault="009D5128" w:rsidP="009D5128">
      <w:pPr>
        <w:pStyle w:val="ListParagraph"/>
        <w:numPr>
          <w:ilvl w:val="0"/>
          <w:numId w:val="12"/>
        </w:numPr>
        <w:spacing w:after="240"/>
        <w:contextualSpacing w:val="0"/>
      </w:pPr>
      <w:r w:rsidRPr="000F6628">
        <w:rPr>
          <w:szCs w:val="23"/>
        </w:rPr>
        <w:t>Close all financial records of the school effective June 30, 202</w:t>
      </w:r>
      <w:r w:rsidR="00343B89">
        <w:rPr>
          <w:szCs w:val="23"/>
        </w:rPr>
        <w:t>1</w:t>
      </w:r>
      <w:r w:rsidRPr="000F6628">
        <w:rPr>
          <w:szCs w:val="23"/>
        </w:rPr>
        <w:t>. Develop a plan to close out all financial records for FY 20</w:t>
      </w:r>
      <w:r w:rsidR="00343B89">
        <w:rPr>
          <w:szCs w:val="23"/>
        </w:rPr>
        <w:t>20</w:t>
      </w:r>
      <w:r w:rsidRPr="000F6628">
        <w:rPr>
          <w:szCs w:val="23"/>
        </w:rPr>
        <w:t>–2</w:t>
      </w:r>
      <w:r w:rsidR="00343B89">
        <w:rPr>
          <w:szCs w:val="23"/>
        </w:rPr>
        <w:t>1</w:t>
      </w:r>
      <w:r w:rsidRPr="000F6628">
        <w:rPr>
          <w:szCs w:val="23"/>
        </w:rPr>
        <w:t>.</w:t>
      </w:r>
    </w:p>
    <w:p w14:paraId="0D9F54C3" w14:textId="77777777" w:rsidR="009D5128" w:rsidRPr="00587E6B" w:rsidRDefault="009D5128" w:rsidP="009D5128">
      <w:pPr>
        <w:pStyle w:val="ListParagraph"/>
        <w:numPr>
          <w:ilvl w:val="0"/>
          <w:numId w:val="12"/>
        </w:numPr>
        <w:spacing w:after="240"/>
        <w:contextualSpacing w:val="0"/>
      </w:pPr>
      <w:r w:rsidRPr="000F6628">
        <w:rPr>
          <w:szCs w:val="23"/>
        </w:rPr>
        <w:t xml:space="preserve">Provide the CDE </w:t>
      </w:r>
      <w:r>
        <w:rPr>
          <w:szCs w:val="23"/>
        </w:rPr>
        <w:t xml:space="preserve">with </w:t>
      </w:r>
      <w:r w:rsidRPr="000F6628">
        <w:rPr>
          <w:szCs w:val="23"/>
        </w:rPr>
        <w:t xml:space="preserve">a description of current and projected payroll and payroll benefits commitments through closure, including a list of each employee and their job duties, and a projection of the funds necessary </w:t>
      </w:r>
      <w:r>
        <w:rPr>
          <w:szCs w:val="23"/>
        </w:rPr>
        <w:t>for the following</w:t>
      </w:r>
      <w:r w:rsidRPr="000F6628">
        <w:rPr>
          <w:szCs w:val="23"/>
        </w:rPr>
        <w:t>: (1) transition the pupils and records; (2) complete all administrative closure related tasks; and (3) complete contracts and grants.</w:t>
      </w:r>
    </w:p>
    <w:p w14:paraId="3483684D" w14:textId="77777777" w:rsidR="009D5128" w:rsidRPr="00587E6B" w:rsidRDefault="009D5128" w:rsidP="009D5128">
      <w:pPr>
        <w:pStyle w:val="ListParagraph"/>
        <w:numPr>
          <w:ilvl w:val="0"/>
          <w:numId w:val="12"/>
        </w:numPr>
        <w:spacing w:after="240"/>
        <w:contextualSpacing w:val="0"/>
      </w:pPr>
      <w:r w:rsidRPr="000F6628">
        <w:rPr>
          <w:szCs w:val="23"/>
        </w:rPr>
        <w:t>Provide the CDE with notice of any outstanding payments to staff and the method by which the school will make the payments.</w:t>
      </w:r>
    </w:p>
    <w:p w14:paraId="304512F0" w14:textId="77777777" w:rsidR="009D5128" w:rsidRPr="003D1042" w:rsidRDefault="009D5128" w:rsidP="009D5128">
      <w:pPr>
        <w:pStyle w:val="ListParagraph"/>
        <w:numPr>
          <w:ilvl w:val="0"/>
          <w:numId w:val="12"/>
        </w:numPr>
        <w:spacing w:after="240"/>
        <w:contextualSpacing w:val="0"/>
      </w:pPr>
      <w:r w:rsidRPr="000F6628">
        <w:rPr>
          <w:szCs w:val="23"/>
        </w:rPr>
        <w:t xml:space="preserve">Notify all funding sources (including charitable partners), all current and former contractors (such as a charter management organization, education management organization, food service provider, instructional service provider, or transportation service provider), and lenders of </w:t>
      </w:r>
      <w:r w:rsidR="00343B89">
        <w:rPr>
          <w:szCs w:val="23"/>
        </w:rPr>
        <w:t>PTLAH</w:t>
      </w:r>
      <w:r w:rsidRPr="000F6628">
        <w:rPr>
          <w:szCs w:val="23"/>
        </w:rPr>
        <w:t>’s closure.</w:t>
      </w:r>
    </w:p>
    <w:p w14:paraId="64F4472B" w14:textId="77777777" w:rsidR="009D5128" w:rsidRPr="003D1042" w:rsidRDefault="009D5128" w:rsidP="009D5128">
      <w:pPr>
        <w:pStyle w:val="ListParagraph"/>
        <w:numPr>
          <w:ilvl w:val="0"/>
          <w:numId w:val="12"/>
        </w:numPr>
        <w:spacing w:after="240"/>
        <w:contextualSpacing w:val="0"/>
      </w:pPr>
      <w:r w:rsidRPr="000F6628">
        <w:rPr>
          <w:szCs w:val="23"/>
        </w:rPr>
        <w:t xml:space="preserve">Notify the CDE in electronic format of all pending litigation to which </w:t>
      </w:r>
      <w:r w:rsidR="00343B89">
        <w:rPr>
          <w:szCs w:val="23"/>
        </w:rPr>
        <w:t>PTLAH</w:t>
      </w:r>
      <w:r w:rsidRPr="000F6628">
        <w:rPr>
          <w:szCs w:val="23"/>
        </w:rPr>
        <w:t xml:space="preserve"> is a party.</w:t>
      </w:r>
    </w:p>
    <w:p w14:paraId="0A5B2F7D" w14:textId="77777777" w:rsidR="009D5128" w:rsidRPr="003D1042" w:rsidRDefault="009D5128" w:rsidP="009D5128">
      <w:pPr>
        <w:pStyle w:val="ListParagraph"/>
        <w:numPr>
          <w:ilvl w:val="0"/>
          <w:numId w:val="12"/>
        </w:numPr>
        <w:spacing w:after="240"/>
        <w:contextualSpacing w:val="0"/>
      </w:pPr>
      <w:r w:rsidRPr="000F6628">
        <w:rPr>
          <w:szCs w:val="23"/>
        </w:rPr>
        <w:t>Prepare a comprehensive list of creditors and debtors</w:t>
      </w:r>
      <w:r w:rsidR="003D0CE0">
        <w:rPr>
          <w:szCs w:val="23"/>
        </w:rPr>
        <w:t>,</w:t>
      </w:r>
      <w:r w:rsidRPr="000F6628">
        <w:rPr>
          <w:szCs w:val="23"/>
        </w:rPr>
        <w:t xml:space="preserve"> and </w:t>
      </w:r>
      <w:r w:rsidR="003D0CE0">
        <w:rPr>
          <w:szCs w:val="23"/>
        </w:rPr>
        <w:t xml:space="preserve">a </w:t>
      </w:r>
      <w:r w:rsidRPr="000F6628">
        <w:rPr>
          <w:szCs w:val="23"/>
        </w:rPr>
        <w:t>comprehensive inventory of all assets.</w:t>
      </w:r>
    </w:p>
    <w:p w14:paraId="67399358" w14:textId="77777777" w:rsidR="009D5128" w:rsidRPr="00DE7B37" w:rsidRDefault="009D5128" w:rsidP="009D5128">
      <w:pPr>
        <w:pStyle w:val="ListParagraph"/>
        <w:numPr>
          <w:ilvl w:val="0"/>
          <w:numId w:val="12"/>
        </w:numPr>
        <w:spacing w:after="240"/>
        <w:contextualSpacing w:val="0"/>
      </w:pPr>
      <w:r w:rsidRPr="000F6628">
        <w:rPr>
          <w:szCs w:val="23"/>
        </w:rPr>
        <w:t xml:space="preserve">Prepare a plan for the proposed disposal of all property owned by </w:t>
      </w:r>
      <w:r w:rsidR="00343B89">
        <w:rPr>
          <w:szCs w:val="23"/>
        </w:rPr>
        <w:t>PTLAH</w:t>
      </w:r>
      <w:r w:rsidRPr="000F6628">
        <w:rPr>
          <w:szCs w:val="23"/>
        </w:rPr>
        <w:t xml:space="preserve"> (and acquired with public funds) in order to maximize revenue in accordance with law; payment of any and all liabilities and the disbursement of any remaining assets of </w:t>
      </w:r>
      <w:r w:rsidR="00343B89">
        <w:rPr>
          <w:szCs w:val="23"/>
        </w:rPr>
        <w:t>PTLAH</w:t>
      </w:r>
      <w:r w:rsidRPr="000F6628">
        <w:rPr>
          <w:szCs w:val="23"/>
        </w:rPr>
        <w:t xml:space="preserve">; and liquidation of assets to pay off any and all outstanding liabilities, bearing in mind that assets paid for by state funds may be transferred in accordance with the nonprofit corporation’s bylaws to another public agency such as another charter school. Assets donated to </w:t>
      </w:r>
      <w:r w:rsidR="00343B89">
        <w:rPr>
          <w:szCs w:val="23"/>
        </w:rPr>
        <w:t>PTLAH</w:t>
      </w:r>
      <w:r w:rsidRPr="000F6628">
        <w:rPr>
          <w:szCs w:val="23"/>
        </w:rPr>
        <w:t xml:space="preserve"> may be returned to donors or disposed of in accordance with donor’s wishes. Net assets (after the payment of outstanding liabilities), if any, may be transferred to another public agency such as another charter school.</w:t>
      </w:r>
    </w:p>
    <w:p w14:paraId="26D67501" w14:textId="77777777" w:rsidR="009D5128" w:rsidRPr="000F6628" w:rsidRDefault="009D5128" w:rsidP="009D5128">
      <w:pPr>
        <w:pStyle w:val="ListParagraph"/>
        <w:numPr>
          <w:ilvl w:val="0"/>
          <w:numId w:val="12"/>
        </w:numPr>
        <w:spacing w:after="240"/>
        <w:contextualSpacing w:val="0"/>
        <w:rPr>
          <w:color w:val="FF0000"/>
        </w:rPr>
        <w:sectPr w:rsidR="009D5128" w:rsidRPr="000F6628" w:rsidSect="00A34996">
          <w:pgSz w:w="12240" w:h="15840"/>
          <w:pgMar w:top="720" w:right="1440" w:bottom="1440" w:left="1440" w:header="720" w:footer="720" w:gutter="0"/>
          <w:cols w:space="720"/>
        </w:sectPr>
      </w:pPr>
      <w:r w:rsidRPr="000F6628">
        <w:rPr>
          <w:szCs w:val="23"/>
        </w:rPr>
        <w:t xml:space="preserve">Arrange for final closure audits to be paid for from the special reserve or bond revenue. The auditor engaged to perform the audit shall be from the list of approved school auditors maintained by the California State Controller’s Office and shall be approved by the CDE. The audit, at a minimum, shall determine the disposition of all assets and liabilities of </w:t>
      </w:r>
      <w:r w:rsidR="00343B89">
        <w:rPr>
          <w:szCs w:val="23"/>
        </w:rPr>
        <w:t>PTLAH</w:t>
      </w:r>
      <w:r w:rsidRPr="000F6628">
        <w:rPr>
          <w:szCs w:val="23"/>
        </w:rPr>
        <w:t xml:space="preserve"> and shall verify the </w:t>
      </w:r>
      <w:r w:rsidR="00343B89">
        <w:rPr>
          <w:szCs w:val="23"/>
        </w:rPr>
        <w:t>PTLAH</w:t>
      </w:r>
      <w:r w:rsidRPr="000F6628">
        <w:rPr>
          <w:szCs w:val="23"/>
        </w:rPr>
        <w:t xml:space="preserve">’s comprehensive list of creditors and debtors, and the amounts owed or owing, as </w:t>
      </w:r>
      <w:r w:rsidRPr="000F6628">
        <w:rPr>
          <w:szCs w:val="23"/>
        </w:rPr>
        <w:lastRenderedPageBreak/>
        <w:t xml:space="preserve">well as verify </w:t>
      </w:r>
      <w:r w:rsidR="00343B89">
        <w:rPr>
          <w:szCs w:val="23"/>
        </w:rPr>
        <w:t>PTLAH</w:t>
      </w:r>
      <w:r w:rsidRPr="000F6628">
        <w:rPr>
          <w:szCs w:val="23"/>
        </w:rPr>
        <w:t>’s comprehensive list of all assets by source, noting any restrictions on each asset’s use.</w:t>
      </w:r>
    </w:p>
    <w:p w14:paraId="7A541C46" w14:textId="77777777" w:rsidR="007310DB" w:rsidRDefault="007310DB" w:rsidP="00C06FC9">
      <w:pPr>
        <w:pStyle w:val="Heading4"/>
      </w:pPr>
      <w:r w:rsidRPr="00A75084">
        <w:lastRenderedPageBreak/>
        <w:t>P</w:t>
      </w:r>
      <w:r>
        <w:t xml:space="preserve">repa </w:t>
      </w:r>
      <w:r w:rsidRPr="00A75084">
        <w:t>T</w:t>
      </w:r>
      <w:r>
        <w:t xml:space="preserve">ec </w:t>
      </w:r>
      <w:r w:rsidRPr="00A75084">
        <w:t>L</w:t>
      </w:r>
      <w:r>
        <w:t xml:space="preserve">os </w:t>
      </w:r>
      <w:r w:rsidRPr="00A75084">
        <w:t>A</w:t>
      </w:r>
      <w:r>
        <w:t xml:space="preserve">ngeles </w:t>
      </w:r>
      <w:r w:rsidRPr="00A75084">
        <w:t>H</w:t>
      </w:r>
      <w:r>
        <w:t>igh</w:t>
      </w:r>
      <w:r w:rsidRPr="00A75084">
        <w:t xml:space="preserve"> Financial Highlights</w:t>
      </w:r>
    </w:p>
    <w:p w14:paraId="07CDB300" w14:textId="77777777" w:rsidR="00A34996" w:rsidRPr="00A34996" w:rsidRDefault="00A34996" w:rsidP="00A34996">
      <w:r w:rsidRPr="00A34996">
        <w:t>NA: Not Applicable</w:t>
      </w: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nancial Highlights"/>
        <w:tblDescription w:val="Financial Highlights Prepa Tec Los Angeles High"/>
      </w:tblPr>
      <w:tblGrid>
        <w:gridCol w:w="1169"/>
        <w:gridCol w:w="1547"/>
        <w:gridCol w:w="1880"/>
        <w:gridCol w:w="1505"/>
        <w:gridCol w:w="1308"/>
        <w:gridCol w:w="966"/>
        <w:gridCol w:w="1658"/>
        <w:gridCol w:w="1505"/>
        <w:gridCol w:w="1412"/>
      </w:tblGrid>
      <w:tr w:rsidR="00A34996" w:rsidRPr="00A34996" w14:paraId="086A33B7" w14:textId="77777777" w:rsidTr="00A3499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1" w:type="pct"/>
            <w:tcBorders>
              <w:top w:val="none" w:sz="0" w:space="0" w:color="auto"/>
              <w:left w:val="none" w:sz="0" w:space="0" w:color="auto"/>
              <w:bottom w:val="none" w:sz="0" w:space="0" w:color="auto"/>
              <w:right w:val="none" w:sz="0" w:space="0" w:color="auto"/>
            </w:tcBorders>
            <w:vAlign w:val="center"/>
          </w:tcPr>
          <w:p w14:paraId="7958CD5B" w14:textId="77777777" w:rsidR="007310DB" w:rsidRPr="00A34996" w:rsidRDefault="007310DB" w:rsidP="00E31465">
            <w:pPr>
              <w:jc w:val="center"/>
              <w:rPr>
                <w:rFonts w:cs="Arial"/>
                <w:b w:val="0"/>
                <w:color w:val="auto"/>
              </w:rPr>
            </w:pPr>
            <w:r w:rsidRPr="00A34996">
              <w:rPr>
                <w:rFonts w:cs="Arial"/>
                <w:color w:val="auto"/>
              </w:rPr>
              <w:t>F</w:t>
            </w:r>
            <w:r w:rsidR="00A34996" w:rsidRPr="00A34996">
              <w:rPr>
                <w:rFonts w:cs="Arial"/>
                <w:color w:val="auto"/>
              </w:rPr>
              <w:t>iscal Year</w:t>
            </w:r>
            <w:r w:rsidRPr="00A34996">
              <w:rPr>
                <w:rFonts w:cs="Arial"/>
                <w:color w:val="auto"/>
              </w:rPr>
              <w:t xml:space="preserve"> / Source</w:t>
            </w:r>
          </w:p>
        </w:tc>
        <w:tc>
          <w:tcPr>
            <w:tcW w:w="597" w:type="pct"/>
            <w:tcBorders>
              <w:top w:val="none" w:sz="0" w:space="0" w:color="auto"/>
              <w:left w:val="none" w:sz="0" w:space="0" w:color="auto"/>
              <w:bottom w:val="none" w:sz="0" w:space="0" w:color="auto"/>
              <w:right w:val="none" w:sz="0" w:space="0" w:color="auto"/>
            </w:tcBorders>
            <w:vAlign w:val="center"/>
          </w:tcPr>
          <w:p w14:paraId="5ECB0B67" w14:textId="77777777" w:rsidR="007310DB" w:rsidRPr="00A34996"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34996">
              <w:rPr>
                <w:rFonts w:cs="Arial"/>
                <w:color w:val="auto"/>
              </w:rPr>
              <w:t>Total Revenues</w:t>
            </w:r>
          </w:p>
        </w:tc>
        <w:tc>
          <w:tcPr>
            <w:tcW w:w="726" w:type="pct"/>
            <w:tcBorders>
              <w:top w:val="none" w:sz="0" w:space="0" w:color="auto"/>
              <w:left w:val="none" w:sz="0" w:space="0" w:color="auto"/>
              <w:bottom w:val="none" w:sz="0" w:space="0" w:color="auto"/>
              <w:right w:val="none" w:sz="0" w:space="0" w:color="auto"/>
            </w:tcBorders>
            <w:vAlign w:val="center"/>
          </w:tcPr>
          <w:p w14:paraId="2E814543" w14:textId="77777777" w:rsidR="007310DB" w:rsidRPr="00A34996"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34996">
              <w:rPr>
                <w:rFonts w:cs="Arial"/>
                <w:color w:val="auto"/>
              </w:rPr>
              <w:t>Total Expenditures</w:t>
            </w:r>
          </w:p>
        </w:tc>
        <w:tc>
          <w:tcPr>
            <w:tcW w:w="581" w:type="pct"/>
            <w:tcBorders>
              <w:top w:val="none" w:sz="0" w:space="0" w:color="auto"/>
              <w:left w:val="none" w:sz="0" w:space="0" w:color="auto"/>
              <w:bottom w:val="none" w:sz="0" w:space="0" w:color="auto"/>
              <w:right w:val="none" w:sz="0" w:space="0" w:color="auto"/>
            </w:tcBorders>
            <w:vAlign w:val="center"/>
          </w:tcPr>
          <w:p w14:paraId="304AE2D3" w14:textId="77777777" w:rsidR="007310DB" w:rsidRPr="00A34996"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34996">
              <w:rPr>
                <w:rFonts w:cs="Arial"/>
                <w:color w:val="auto"/>
              </w:rPr>
              <w:t>Net Operating Surplus (Deficit)</w:t>
            </w:r>
          </w:p>
        </w:tc>
        <w:tc>
          <w:tcPr>
            <w:tcW w:w="505" w:type="pct"/>
            <w:tcBorders>
              <w:top w:val="none" w:sz="0" w:space="0" w:color="auto"/>
              <w:left w:val="none" w:sz="0" w:space="0" w:color="auto"/>
              <w:bottom w:val="none" w:sz="0" w:space="0" w:color="auto"/>
              <w:right w:val="none" w:sz="0" w:space="0" w:color="auto"/>
            </w:tcBorders>
            <w:vAlign w:val="center"/>
          </w:tcPr>
          <w:p w14:paraId="43EC7711" w14:textId="77777777" w:rsidR="007310DB" w:rsidRPr="00A34996"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34996">
              <w:rPr>
                <w:rFonts w:cs="Arial"/>
                <w:color w:val="auto"/>
              </w:rPr>
              <w:t>Working Capital Ratio</w:t>
            </w:r>
          </w:p>
        </w:tc>
        <w:tc>
          <w:tcPr>
            <w:tcW w:w="373" w:type="pct"/>
            <w:tcBorders>
              <w:top w:val="none" w:sz="0" w:space="0" w:color="auto"/>
              <w:left w:val="none" w:sz="0" w:space="0" w:color="auto"/>
              <w:bottom w:val="none" w:sz="0" w:space="0" w:color="auto"/>
              <w:right w:val="none" w:sz="0" w:space="0" w:color="auto"/>
            </w:tcBorders>
            <w:vAlign w:val="center"/>
          </w:tcPr>
          <w:p w14:paraId="61A0ACC7" w14:textId="77777777" w:rsidR="007310DB" w:rsidRPr="00A34996"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34996">
              <w:rPr>
                <w:rFonts w:cs="Arial"/>
                <w:color w:val="auto"/>
              </w:rPr>
              <w:t>Debt Ratio</w:t>
            </w:r>
          </w:p>
        </w:tc>
        <w:tc>
          <w:tcPr>
            <w:tcW w:w="640" w:type="pct"/>
            <w:tcBorders>
              <w:top w:val="none" w:sz="0" w:space="0" w:color="auto"/>
              <w:left w:val="none" w:sz="0" w:space="0" w:color="auto"/>
              <w:bottom w:val="none" w:sz="0" w:space="0" w:color="auto"/>
              <w:right w:val="none" w:sz="0" w:space="0" w:color="auto"/>
            </w:tcBorders>
            <w:vAlign w:val="center"/>
          </w:tcPr>
          <w:p w14:paraId="6C1133D2" w14:textId="77777777" w:rsidR="007310DB" w:rsidRPr="00A34996"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34996">
              <w:rPr>
                <w:rFonts w:cs="Arial"/>
                <w:color w:val="auto"/>
              </w:rPr>
              <w:t>Attendance Ratio</w:t>
            </w:r>
          </w:p>
        </w:tc>
        <w:tc>
          <w:tcPr>
            <w:tcW w:w="581" w:type="pct"/>
            <w:tcBorders>
              <w:top w:val="none" w:sz="0" w:space="0" w:color="auto"/>
              <w:left w:val="none" w:sz="0" w:space="0" w:color="auto"/>
              <w:bottom w:val="none" w:sz="0" w:space="0" w:color="auto"/>
              <w:right w:val="none" w:sz="0" w:space="0" w:color="auto"/>
            </w:tcBorders>
            <w:vAlign w:val="center"/>
          </w:tcPr>
          <w:p w14:paraId="6AFDDDD9" w14:textId="77777777" w:rsidR="007310DB" w:rsidRPr="00A34996"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34996">
              <w:rPr>
                <w:rFonts w:cs="Arial"/>
                <w:color w:val="auto"/>
              </w:rPr>
              <w:t>Ending Fund Balance</w:t>
            </w:r>
          </w:p>
        </w:tc>
        <w:tc>
          <w:tcPr>
            <w:tcW w:w="545" w:type="pct"/>
            <w:tcBorders>
              <w:top w:val="none" w:sz="0" w:space="0" w:color="auto"/>
              <w:left w:val="none" w:sz="0" w:space="0" w:color="auto"/>
              <w:bottom w:val="none" w:sz="0" w:space="0" w:color="auto"/>
              <w:right w:val="none" w:sz="0" w:space="0" w:color="auto"/>
            </w:tcBorders>
            <w:vAlign w:val="center"/>
          </w:tcPr>
          <w:p w14:paraId="2834B0AA" w14:textId="77777777" w:rsidR="007310DB" w:rsidRPr="00A34996" w:rsidRDefault="007310DB" w:rsidP="00E3146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A34996">
              <w:rPr>
                <w:rFonts w:cs="Arial"/>
                <w:color w:val="auto"/>
              </w:rPr>
              <w:t>Percent of Reserves</w:t>
            </w:r>
          </w:p>
        </w:tc>
      </w:tr>
      <w:tr w:rsidR="00A34996" w:rsidRPr="00A34996" w14:paraId="03264793" w14:textId="77777777" w:rsidTr="00A349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14:paraId="6D4EB1AB" w14:textId="77777777" w:rsidR="007310DB" w:rsidRPr="00A34996" w:rsidRDefault="007310DB" w:rsidP="00E31465">
            <w:pPr>
              <w:rPr>
                <w:rFonts w:cs="Arial"/>
              </w:rPr>
            </w:pPr>
            <w:r w:rsidRPr="00A34996">
              <w:rPr>
                <w:rFonts w:cs="Arial"/>
              </w:rPr>
              <w:t>201</w:t>
            </w:r>
            <w:r w:rsidR="00C00EFA">
              <w:rPr>
                <w:rFonts w:cs="Arial"/>
              </w:rPr>
              <w:t>9</w:t>
            </w:r>
            <w:r w:rsidRPr="00A34996">
              <w:rPr>
                <w:rFonts w:cs="Arial"/>
              </w:rPr>
              <w:t>–</w:t>
            </w:r>
            <w:r w:rsidR="00C00EFA">
              <w:rPr>
                <w:rFonts w:cs="Arial"/>
              </w:rPr>
              <w:t>20</w:t>
            </w:r>
            <w:r w:rsidRPr="00A34996">
              <w:rPr>
                <w:rFonts w:cs="Arial"/>
              </w:rPr>
              <w:t xml:space="preserve"> Audit</w:t>
            </w:r>
          </w:p>
        </w:tc>
        <w:tc>
          <w:tcPr>
            <w:tcW w:w="597" w:type="pct"/>
            <w:vAlign w:val="center"/>
          </w:tcPr>
          <w:p w14:paraId="7F02E42E" w14:textId="77777777"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C00EFA">
              <w:rPr>
                <w:rFonts w:cs="Arial"/>
              </w:rPr>
              <w:t>5,140,908</w:t>
            </w:r>
          </w:p>
        </w:tc>
        <w:tc>
          <w:tcPr>
            <w:tcW w:w="726" w:type="pct"/>
            <w:vAlign w:val="center"/>
          </w:tcPr>
          <w:p w14:paraId="2CF8AAAE" w14:textId="77777777"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C00EFA">
              <w:rPr>
                <w:rFonts w:cs="Arial"/>
              </w:rPr>
              <w:t>5,074,142</w:t>
            </w:r>
          </w:p>
        </w:tc>
        <w:tc>
          <w:tcPr>
            <w:tcW w:w="581" w:type="pct"/>
            <w:vAlign w:val="center"/>
          </w:tcPr>
          <w:p w14:paraId="5AB89353" w14:textId="77777777"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C00EFA">
              <w:rPr>
                <w:rFonts w:cs="Arial"/>
              </w:rPr>
              <w:t>66,766</w:t>
            </w:r>
          </w:p>
        </w:tc>
        <w:tc>
          <w:tcPr>
            <w:tcW w:w="505" w:type="pct"/>
            <w:vAlign w:val="center"/>
          </w:tcPr>
          <w:p w14:paraId="75F8C73E" w14:textId="77777777"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0.</w:t>
            </w:r>
            <w:r w:rsidR="00C00EFA">
              <w:rPr>
                <w:rFonts w:cs="Arial"/>
              </w:rPr>
              <w:t>60</w:t>
            </w:r>
          </w:p>
        </w:tc>
        <w:tc>
          <w:tcPr>
            <w:tcW w:w="373" w:type="pct"/>
            <w:vAlign w:val="center"/>
          </w:tcPr>
          <w:p w14:paraId="64008B89" w14:textId="77777777"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1</w:t>
            </w:r>
            <w:r w:rsidR="00C00EFA">
              <w:rPr>
                <w:rFonts w:cs="Arial"/>
              </w:rPr>
              <w:t>.26</w:t>
            </w:r>
          </w:p>
        </w:tc>
        <w:tc>
          <w:tcPr>
            <w:tcW w:w="640" w:type="pct"/>
            <w:vAlign w:val="center"/>
          </w:tcPr>
          <w:p w14:paraId="03F5E3E9" w14:textId="77777777"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9</w:t>
            </w:r>
            <w:r w:rsidR="00C00EFA">
              <w:rPr>
                <w:rFonts w:cs="Arial"/>
              </w:rPr>
              <w:t>0.10%</w:t>
            </w:r>
          </w:p>
        </w:tc>
        <w:tc>
          <w:tcPr>
            <w:tcW w:w="581" w:type="pct"/>
            <w:vAlign w:val="center"/>
          </w:tcPr>
          <w:p w14:paraId="0B350CA8" w14:textId="77777777" w:rsidR="007310DB" w:rsidRPr="00A34996" w:rsidRDefault="009962DE"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7310DB" w:rsidRPr="00A34996">
              <w:rPr>
                <w:rFonts w:cs="Arial"/>
              </w:rPr>
              <w:t>$</w:t>
            </w:r>
            <w:r w:rsidRPr="00A34996">
              <w:rPr>
                <w:rFonts w:cs="Arial"/>
              </w:rPr>
              <w:t>4</w:t>
            </w:r>
            <w:r w:rsidR="00C00EFA">
              <w:rPr>
                <w:rFonts w:cs="Arial"/>
              </w:rPr>
              <w:t>23,026</w:t>
            </w:r>
            <w:r w:rsidRPr="00A34996">
              <w:rPr>
                <w:rFonts w:cs="Arial"/>
              </w:rPr>
              <w:t>)</w:t>
            </w:r>
          </w:p>
        </w:tc>
        <w:tc>
          <w:tcPr>
            <w:tcW w:w="545" w:type="pct"/>
            <w:vAlign w:val="center"/>
          </w:tcPr>
          <w:p w14:paraId="0D33468D" w14:textId="77777777"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0%</w:t>
            </w:r>
          </w:p>
        </w:tc>
      </w:tr>
      <w:tr w:rsidR="00A34996" w:rsidRPr="00A34996" w14:paraId="4AD234F8" w14:textId="77777777" w:rsidTr="00A34996">
        <w:trPr>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14:paraId="6E94764A" w14:textId="77777777" w:rsidR="007310DB" w:rsidRPr="00A34996" w:rsidRDefault="007310DB" w:rsidP="00E31465">
            <w:pPr>
              <w:rPr>
                <w:rFonts w:cs="Arial"/>
              </w:rPr>
            </w:pPr>
            <w:r w:rsidRPr="00A34996">
              <w:rPr>
                <w:rFonts w:cs="Arial"/>
              </w:rPr>
              <w:t>20</w:t>
            </w:r>
            <w:r w:rsidR="00C00EFA">
              <w:rPr>
                <w:rFonts w:cs="Arial"/>
              </w:rPr>
              <w:t>20</w:t>
            </w:r>
            <w:r w:rsidRPr="00A34996">
              <w:rPr>
                <w:rFonts w:cs="Arial"/>
              </w:rPr>
              <w:t>–</w:t>
            </w:r>
            <w:r w:rsidR="009962DE" w:rsidRPr="00A34996">
              <w:rPr>
                <w:rFonts w:cs="Arial"/>
              </w:rPr>
              <w:t>2</w:t>
            </w:r>
            <w:r w:rsidR="00C00EFA">
              <w:rPr>
                <w:rFonts w:cs="Arial"/>
              </w:rPr>
              <w:t>1</w:t>
            </w:r>
            <w:r w:rsidRPr="00A34996">
              <w:rPr>
                <w:rFonts w:cs="Arial"/>
              </w:rPr>
              <w:t xml:space="preserve"> Budget</w:t>
            </w:r>
          </w:p>
        </w:tc>
        <w:tc>
          <w:tcPr>
            <w:tcW w:w="597" w:type="pct"/>
            <w:vAlign w:val="center"/>
          </w:tcPr>
          <w:p w14:paraId="508AF550" w14:textId="77777777" w:rsidR="007310DB" w:rsidRPr="00A34996"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34996">
              <w:rPr>
                <w:rFonts w:cs="Arial"/>
              </w:rPr>
              <w:t>$</w:t>
            </w:r>
            <w:r w:rsidR="00C00EFA">
              <w:rPr>
                <w:rFonts w:cs="Arial"/>
              </w:rPr>
              <w:t>5,445,170</w:t>
            </w:r>
          </w:p>
        </w:tc>
        <w:tc>
          <w:tcPr>
            <w:tcW w:w="726" w:type="pct"/>
            <w:vAlign w:val="center"/>
          </w:tcPr>
          <w:p w14:paraId="7DF1D55A" w14:textId="77777777" w:rsidR="007310DB" w:rsidRPr="00A34996"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34996">
              <w:rPr>
                <w:rFonts w:cs="Arial"/>
              </w:rPr>
              <w:t>$</w:t>
            </w:r>
            <w:r w:rsidR="009962DE" w:rsidRPr="00A34996">
              <w:rPr>
                <w:rFonts w:cs="Arial"/>
              </w:rPr>
              <w:t>5,</w:t>
            </w:r>
            <w:r w:rsidR="00C00EFA">
              <w:rPr>
                <w:rFonts w:cs="Arial"/>
              </w:rPr>
              <w:t>395,479</w:t>
            </w:r>
          </w:p>
        </w:tc>
        <w:tc>
          <w:tcPr>
            <w:tcW w:w="581" w:type="pct"/>
            <w:vAlign w:val="center"/>
          </w:tcPr>
          <w:p w14:paraId="4192CEFD" w14:textId="77777777" w:rsidR="007310DB" w:rsidRPr="00A34996"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34996">
              <w:rPr>
                <w:rFonts w:cs="Arial"/>
              </w:rPr>
              <w:t>$</w:t>
            </w:r>
            <w:r w:rsidR="008B61DC">
              <w:rPr>
                <w:rFonts w:cs="Arial"/>
              </w:rPr>
              <w:t>49,691</w:t>
            </w:r>
          </w:p>
        </w:tc>
        <w:tc>
          <w:tcPr>
            <w:tcW w:w="505" w:type="pct"/>
            <w:vAlign w:val="center"/>
          </w:tcPr>
          <w:p w14:paraId="381B8BF7" w14:textId="77777777" w:rsidR="007310DB" w:rsidRPr="00A34996"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34996">
              <w:rPr>
                <w:rFonts w:cs="Arial"/>
              </w:rPr>
              <w:t>NA</w:t>
            </w:r>
          </w:p>
        </w:tc>
        <w:tc>
          <w:tcPr>
            <w:tcW w:w="373" w:type="pct"/>
            <w:vAlign w:val="center"/>
          </w:tcPr>
          <w:p w14:paraId="13D54439" w14:textId="77777777" w:rsidR="007310DB" w:rsidRPr="00A34996"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34996">
              <w:rPr>
                <w:rFonts w:cs="Arial"/>
              </w:rPr>
              <w:t>NA</w:t>
            </w:r>
          </w:p>
        </w:tc>
        <w:tc>
          <w:tcPr>
            <w:tcW w:w="640" w:type="pct"/>
            <w:vAlign w:val="center"/>
          </w:tcPr>
          <w:p w14:paraId="77A6E8BD" w14:textId="77777777" w:rsidR="007310DB" w:rsidRPr="00A34996" w:rsidRDefault="007310DB" w:rsidP="00E31465">
            <w:pPr>
              <w:jc w:val="center"/>
              <w:cnfStyle w:val="000000000000" w:firstRow="0" w:lastRow="0" w:firstColumn="0" w:lastColumn="0" w:oddVBand="0" w:evenVBand="0" w:oddHBand="0" w:evenHBand="0" w:firstRowFirstColumn="0" w:firstRowLastColumn="0" w:lastRowFirstColumn="0" w:lastRowLastColumn="0"/>
              <w:rPr>
                <w:rFonts w:cs="Arial"/>
              </w:rPr>
            </w:pPr>
            <w:r w:rsidRPr="00A34996">
              <w:rPr>
                <w:rFonts w:cs="Arial"/>
              </w:rPr>
              <w:t>9</w:t>
            </w:r>
            <w:r w:rsidR="008B61DC">
              <w:rPr>
                <w:rFonts w:cs="Arial"/>
              </w:rPr>
              <w:t>7.93</w:t>
            </w:r>
            <w:r w:rsidRPr="00A34996">
              <w:rPr>
                <w:rFonts w:cs="Arial"/>
              </w:rPr>
              <w:t>%</w:t>
            </w:r>
          </w:p>
        </w:tc>
        <w:tc>
          <w:tcPr>
            <w:tcW w:w="581" w:type="pct"/>
            <w:vAlign w:val="center"/>
          </w:tcPr>
          <w:p w14:paraId="593B970A" w14:textId="77777777" w:rsidR="007310DB" w:rsidRPr="00A34996" w:rsidRDefault="008B61DC"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007310DB" w:rsidRPr="00A34996">
              <w:rPr>
                <w:rFonts w:cs="Arial"/>
              </w:rPr>
              <w:t>$</w:t>
            </w:r>
            <w:r>
              <w:rPr>
                <w:rFonts w:cs="Arial"/>
              </w:rPr>
              <w:t>416,573)</w:t>
            </w:r>
          </w:p>
        </w:tc>
        <w:tc>
          <w:tcPr>
            <w:tcW w:w="545" w:type="pct"/>
            <w:vAlign w:val="center"/>
          </w:tcPr>
          <w:p w14:paraId="5E1E488D" w14:textId="77777777" w:rsidR="007310DB" w:rsidRPr="00A34996" w:rsidRDefault="008B61DC" w:rsidP="00E31465">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r w:rsidR="007310DB" w:rsidRPr="00A34996">
              <w:rPr>
                <w:rFonts w:cs="Arial"/>
              </w:rPr>
              <w:t>%</w:t>
            </w:r>
          </w:p>
        </w:tc>
      </w:tr>
      <w:tr w:rsidR="00A34996" w:rsidRPr="00A34996" w14:paraId="5E8C005E" w14:textId="77777777" w:rsidTr="00A349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1" w:type="pct"/>
            <w:vAlign w:val="center"/>
          </w:tcPr>
          <w:p w14:paraId="7D46EF92" w14:textId="77777777" w:rsidR="007310DB" w:rsidRPr="00A34996" w:rsidRDefault="007310DB" w:rsidP="00E31465">
            <w:pPr>
              <w:rPr>
                <w:rFonts w:cs="Arial"/>
              </w:rPr>
            </w:pPr>
            <w:r w:rsidRPr="00A34996">
              <w:rPr>
                <w:rFonts w:cs="Arial"/>
              </w:rPr>
              <w:t>20</w:t>
            </w:r>
            <w:r w:rsidR="00C00EFA">
              <w:rPr>
                <w:rFonts w:cs="Arial"/>
              </w:rPr>
              <w:t>20</w:t>
            </w:r>
            <w:r w:rsidRPr="00A34996">
              <w:rPr>
                <w:rFonts w:cs="Arial"/>
              </w:rPr>
              <w:t>–</w:t>
            </w:r>
            <w:r w:rsidR="009962DE" w:rsidRPr="00A34996">
              <w:rPr>
                <w:rFonts w:cs="Arial"/>
              </w:rPr>
              <w:t>2</w:t>
            </w:r>
            <w:r w:rsidR="00C00EFA">
              <w:rPr>
                <w:rFonts w:cs="Arial"/>
              </w:rPr>
              <w:t>1</w:t>
            </w:r>
            <w:r w:rsidRPr="00A34996">
              <w:rPr>
                <w:rFonts w:cs="Arial"/>
              </w:rPr>
              <w:t xml:space="preserve"> 2nd Interim</w:t>
            </w:r>
          </w:p>
        </w:tc>
        <w:tc>
          <w:tcPr>
            <w:tcW w:w="597" w:type="pct"/>
            <w:vAlign w:val="center"/>
          </w:tcPr>
          <w:p w14:paraId="2561C04F" w14:textId="77777777"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9962DE" w:rsidRPr="00A34996">
              <w:rPr>
                <w:rFonts w:cs="Arial"/>
              </w:rPr>
              <w:t>5,</w:t>
            </w:r>
            <w:r w:rsidR="008B61DC">
              <w:rPr>
                <w:rFonts w:cs="Arial"/>
              </w:rPr>
              <w:t>898,818</w:t>
            </w:r>
          </w:p>
        </w:tc>
        <w:tc>
          <w:tcPr>
            <w:tcW w:w="726" w:type="pct"/>
            <w:vAlign w:val="center"/>
          </w:tcPr>
          <w:p w14:paraId="321B4B60" w14:textId="77777777"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8B61DC">
              <w:rPr>
                <w:rFonts w:cs="Arial"/>
              </w:rPr>
              <w:t>5,798,241</w:t>
            </w:r>
          </w:p>
        </w:tc>
        <w:tc>
          <w:tcPr>
            <w:tcW w:w="581" w:type="pct"/>
            <w:vAlign w:val="center"/>
          </w:tcPr>
          <w:p w14:paraId="5C276FF3" w14:textId="77777777"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9962DE" w:rsidRPr="00A34996">
              <w:rPr>
                <w:rFonts w:cs="Arial"/>
              </w:rPr>
              <w:t>1</w:t>
            </w:r>
            <w:r w:rsidR="008B61DC">
              <w:rPr>
                <w:rFonts w:cs="Arial"/>
              </w:rPr>
              <w:t>00,577</w:t>
            </w:r>
          </w:p>
        </w:tc>
        <w:tc>
          <w:tcPr>
            <w:tcW w:w="505" w:type="pct"/>
            <w:vAlign w:val="center"/>
          </w:tcPr>
          <w:p w14:paraId="6FFEA174" w14:textId="77777777"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NA</w:t>
            </w:r>
          </w:p>
        </w:tc>
        <w:tc>
          <w:tcPr>
            <w:tcW w:w="373" w:type="pct"/>
            <w:vAlign w:val="center"/>
          </w:tcPr>
          <w:p w14:paraId="1684D9BA" w14:textId="77777777"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NA</w:t>
            </w:r>
          </w:p>
        </w:tc>
        <w:tc>
          <w:tcPr>
            <w:tcW w:w="640" w:type="pct"/>
            <w:vAlign w:val="center"/>
          </w:tcPr>
          <w:p w14:paraId="01A16E58" w14:textId="77777777" w:rsidR="007310DB" w:rsidRPr="00A34996" w:rsidRDefault="00C00EFA" w:rsidP="00E31465">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97.93%</w:t>
            </w:r>
          </w:p>
        </w:tc>
        <w:tc>
          <w:tcPr>
            <w:tcW w:w="581" w:type="pct"/>
            <w:vAlign w:val="center"/>
          </w:tcPr>
          <w:p w14:paraId="2912DB2B" w14:textId="77777777"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w:t>
            </w:r>
            <w:r w:rsidR="008B61DC">
              <w:rPr>
                <w:rFonts w:cs="Arial"/>
              </w:rPr>
              <w:t>322,448</w:t>
            </w:r>
            <w:r w:rsidRPr="00A34996">
              <w:rPr>
                <w:rFonts w:cs="Arial"/>
              </w:rPr>
              <w:t>)</w:t>
            </w:r>
          </w:p>
        </w:tc>
        <w:tc>
          <w:tcPr>
            <w:tcW w:w="545" w:type="pct"/>
            <w:vAlign w:val="center"/>
          </w:tcPr>
          <w:p w14:paraId="536ED91D" w14:textId="77777777" w:rsidR="007310DB" w:rsidRPr="00A34996" w:rsidRDefault="007310DB" w:rsidP="00E31465">
            <w:pPr>
              <w:jc w:val="center"/>
              <w:cnfStyle w:val="000000100000" w:firstRow="0" w:lastRow="0" w:firstColumn="0" w:lastColumn="0" w:oddVBand="0" w:evenVBand="0" w:oddHBand="1" w:evenHBand="0" w:firstRowFirstColumn="0" w:firstRowLastColumn="0" w:lastRowFirstColumn="0" w:lastRowLastColumn="0"/>
              <w:rPr>
                <w:rFonts w:cs="Arial"/>
              </w:rPr>
            </w:pPr>
            <w:r w:rsidRPr="00A34996">
              <w:rPr>
                <w:rFonts w:cs="Arial"/>
              </w:rPr>
              <w:t>0%</w:t>
            </w:r>
          </w:p>
        </w:tc>
      </w:tr>
    </w:tbl>
    <w:p w14:paraId="3BF6FB9A" w14:textId="21B42C9F" w:rsidR="00EB00F8" w:rsidRPr="00A34996" w:rsidRDefault="007310DB" w:rsidP="00E31465">
      <w:pPr>
        <w:spacing w:before="240"/>
      </w:pPr>
      <w:r w:rsidRPr="00A34996">
        <w:t xml:space="preserve">California Department of Education, </w:t>
      </w:r>
      <w:r w:rsidR="00A34996" w:rsidRPr="00A34996">
        <w:t xml:space="preserve">Charter Schools Division, </w:t>
      </w:r>
      <w:r w:rsidR="00EA651F">
        <w:t>August</w:t>
      </w:r>
      <w:r w:rsidRPr="00A34996">
        <w:t xml:space="preserve"> 20</w:t>
      </w:r>
      <w:r w:rsidR="009962DE" w:rsidRPr="00A34996">
        <w:t>2</w:t>
      </w:r>
      <w:r w:rsidR="008B61DC">
        <w:t>1</w:t>
      </w:r>
    </w:p>
    <w:sectPr w:rsidR="00EB00F8" w:rsidRPr="00A34996" w:rsidSect="00A34996">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D54FB" w14:textId="77777777" w:rsidR="00EC0BC1" w:rsidRDefault="00EC0BC1" w:rsidP="00F84197">
      <w:r>
        <w:separator/>
      </w:r>
    </w:p>
  </w:endnote>
  <w:endnote w:type="continuationSeparator" w:id="0">
    <w:p w14:paraId="759FE505" w14:textId="77777777" w:rsidR="00EC0BC1" w:rsidRDefault="00EC0BC1" w:rsidP="00F8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DED11" w14:textId="77777777" w:rsidR="00EC0BC1" w:rsidRDefault="00EC0BC1" w:rsidP="00F84197">
      <w:r>
        <w:separator/>
      </w:r>
    </w:p>
  </w:footnote>
  <w:footnote w:type="continuationSeparator" w:id="0">
    <w:p w14:paraId="44EE3807" w14:textId="77777777" w:rsidR="00EC0BC1" w:rsidRDefault="00EC0BC1" w:rsidP="00F84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518D" w14:textId="6B414556" w:rsidR="003A161B" w:rsidRDefault="003A161B" w:rsidP="00F61978">
    <w:pPr>
      <w:pStyle w:val="Header"/>
      <w:jc w:val="right"/>
    </w:pPr>
    <w:r w:rsidRPr="00F61978">
      <w:t>memo-</w:t>
    </w:r>
    <w:r w:rsidRPr="00CF246C">
      <w:t>oab-csd-</w:t>
    </w:r>
    <w:r w:rsidR="00EA651F">
      <w:t>aug</w:t>
    </w:r>
    <w:r w:rsidRPr="00CF246C">
      <w:t>2</w:t>
    </w:r>
    <w:r w:rsidR="00252C11" w:rsidRPr="00CF246C">
      <w:t>1</w:t>
    </w:r>
    <w:r w:rsidRPr="00CF246C">
      <w:t>item0</w:t>
    </w:r>
    <w:r w:rsidR="00EA651F">
      <w:t>2</w:t>
    </w:r>
  </w:p>
  <w:p w14:paraId="1331473F" w14:textId="77777777" w:rsidR="003A161B" w:rsidRPr="00F61978" w:rsidRDefault="003A161B" w:rsidP="00F61978">
    <w:pPr>
      <w:pStyle w:val="Header"/>
      <w:jc w:val="right"/>
    </w:pPr>
    <w:r>
      <w:t>Attachment 1</w:t>
    </w:r>
  </w:p>
  <w:p w14:paraId="6486F821" w14:textId="77777777" w:rsidR="003A161B" w:rsidRPr="00F61978" w:rsidRDefault="003A161B" w:rsidP="00F61978">
    <w:pPr>
      <w:tabs>
        <w:tab w:val="center" w:pos="4680"/>
        <w:tab w:val="right" w:pos="9360"/>
      </w:tabs>
      <w:spacing w:after="100" w:afterAutospacing="1"/>
      <w:jc w:val="right"/>
    </w:pPr>
    <w:r w:rsidRPr="00F61978">
      <w:t xml:space="preserve">Page </w:t>
    </w:r>
    <w:r w:rsidRPr="00F61978">
      <w:fldChar w:fldCharType="begin"/>
    </w:r>
    <w:r w:rsidRPr="00F61978">
      <w:instrText xml:space="preserve"> PAGE   \* MERGEFORMAT </w:instrText>
    </w:r>
    <w:r w:rsidRPr="00F61978">
      <w:fldChar w:fldCharType="separate"/>
    </w:r>
    <w:r>
      <w:rPr>
        <w:noProof/>
      </w:rPr>
      <w:t>10</w:t>
    </w:r>
    <w:r w:rsidRPr="00F61978">
      <w:fldChar w:fldCharType="end"/>
    </w:r>
    <w:r w:rsidRPr="00F61978">
      <w:t xml:space="preserve"> of </w:t>
    </w:r>
    <w:r w:rsidR="00EC0BC1">
      <w:fldChar w:fldCharType="begin"/>
    </w:r>
    <w:r w:rsidR="00EC0BC1">
      <w:instrText xml:space="preserve"> NUMPAGES   \* MERGEFORMAT </w:instrText>
    </w:r>
    <w:r w:rsidR="00EC0BC1">
      <w:fldChar w:fldCharType="separate"/>
    </w:r>
    <w:r>
      <w:rPr>
        <w:noProof/>
      </w:rPr>
      <w:t>10</w:t>
    </w:r>
    <w:r w:rsidR="00EC0B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761"/>
    <w:multiLevelType w:val="hybridMultilevel"/>
    <w:tmpl w:val="E592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4561F"/>
    <w:multiLevelType w:val="hybridMultilevel"/>
    <w:tmpl w:val="4360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35970"/>
    <w:multiLevelType w:val="hybridMultilevel"/>
    <w:tmpl w:val="DF5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664FB"/>
    <w:multiLevelType w:val="hybridMultilevel"/>
    <w:tmpl w:val="8730D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3B3078"/>
    <w:multiLevelType w:val="hybridMultilevel"/>
    <w:tmpl w:val="3CA4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E5227"/>
    <w:multiLevelType w:val="hybridMultilevel"/>
    <w:tmpl w:val="B9AA3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3A77AE"/>
    <w:multiLevelType w:val="hybridMultilevel"/>
    <w:tmpl w:val="316A1358"/>
    <w:lvl w:ilvl="0" w:tplc="8FA67D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F33895"/>
    <w:multiLevelType w:val="hybridMultilevel"/>
    <w:tmpl w:val="B352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300D1"/>
    <w:multiLevelType w:val="hybridMultilevel"/>
    <w:tmpl w:val="FD4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65E02"/>
    <w:multiLevelType w:val="hybridMultilevel"/>
    <w:tmpl w:val="F4DE9D3C"/>
    <w:lvl w:ilvl="0" w:tplc="97869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F37E5"/>
    <w:multiLevelType w:val="hybridMultilevel"/>
    <w:tmpl w:val="F4C0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D1EA6"/>
    <w:multiLevelType w:val="hybridMultilevel"/>
    <w:tmpl w:val="EE1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4"/>
  </w:num>
  <w:num w:numId="8">
    <w:abstractNumId w:val="7"/>
  </w:num>
  <w:num w:numId="9">
    <w:abstractNumId w:val="11"/>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40"/>
    <w:rsid w:val="0000439B"/>
    <w:rsid w:val="0001738B"/>
    <w:rsid w:val="00036411"/>
    <w:rsid w:val="00044BA8"/>
    <w:rsid w:val="00053A91"/>
    <w:rsid w:val="00053B2A"/>
    <w:rsid w:val="00054876"/>
    <w:rsid w:val="00055979"/>
    <w:rsid w:val="00057A96"/>
    <w:rsid w:val="00077927"/>
    <w:rsid w:val="00087FB6"/>
    <w:rsid w:val="0009091C"/>
    <w:rsid w:val="00090E17"/>
    <w:rsid w:val="000B491B"/>
    <w:rsid w:val="000B7813"/>
    <w:rsid w:val="000B7D95"/>
    <w:rsid w:val="000C139F"/>
    <w:rsid w:val="000C1869"/>
    <w:rsid w:val="000D281B"/>
    <w:rsid w:val="000E2147"/>
    <w:rsid w:val="000E5069"/>
    <w:rsid w:val="000F6628"/>
    <w:rsid w:val="001108ED"/>
    <w:rsid w:val="00120155"/>
    <w:rsid w:val="0012162F"/>
    <w:rsid w:val="0013141B"/>
    <w:rsid w:val="0013271A"/>
    <w:rsid w:val="00143030"/>
    <w:rsid w:val="0016173B"/>
    <w:rsid w:val="00162FDB"/>
    <w:rsid w:val="001648E9"/>
    <w:rsid w:val="00167837"/>
    <w:rsid w:val="0016783C"/>
    <w:rsid w:val="00184DEF"/>
    <w:rsid w:val="001A2D22"/>
    <w:rsid w:val="001A6670"/>
    <w:rsid w:val="001B52EE"/>
    <w:rsid w:val="001D0C76"/>
    <w:rsid w:val="001D0D17"/>
    <w:rsid w:val="001D3CFD"/>
    <w:rsid w:val="001D4396"/>
    <w:rsid w:val="001E6340"/>
    <w:rsid w:val="001E7E1F"/>
    <w:rsid w:val="001F4207"/>
    <w:rsid w:val="002050C8"/>
    <w:rsid w:val="00210BB7"/>
    <w:rsid w:val="0021425B"/>
    <w:rsid w:val="00214833"/>
    <w:rsid w:val="002232EF"/>
    <w:rsid w:val="002408E4"/>
    <w:rsid w:val="00241311"/>
    <w:rsid w:val="002521CA"/>
    <w:rsid w:val="00252C11"/>
    <w:rsid w:val="00256699"/>
    <w:rsid w:val="002670C7"/>
    <w:rsid w:val="0028003E"/>
    <w:rsid w:val="00282DC5"/>
    <w:rsid w:val="0029286A"/>
    <w:rsid w:val="002A2142"/>
    <w:rsid w:val="002A73BC"/>
    <w:rsid w:val="002D0818"/>
    <w:rsid w:val="002D0A84"/>
    <w:rsid w:val="002D50E5"/>
    <w:rsid w:val="002E0854"/>
    <w:rsid w:val="002E6A6A"/>
    <w:rsid w:val="002F5B62"/>
    <w:rsid w:val="00300806"/>
    <w:rsid w:val="003163D0"/>
    <w:rsid w:val="00316E96"/>
    <w:rsid w:val="00321D49"/>
    <w:rsid w:val="00322C00"/>
    <w:rsid w:val="00324140"/>
    <w:rsid w:val="00325EAA"/>
    <w:rsid w:val="003321A8"/>
    <w:rsid w:val="0033616F"/>
    <w:rsid w:val="00343B89"/>
    <w:rsid w:val="00364C1F"/>
    <w:rsid w:val="00382423"/>
    <w:rsid w:val="00385AA6"/>
    <w:rsid w:val="0039186B"/>
    <w:rsid w:val="00391D2E"/>
    <w:rsid w:val="003A161B"/>
    <w:rsid w:val="003B759F"/>
    <w:rsid w:val="003C2146"/>
    <w:rsid w:val="003D0CE0"/>
    <w:rsid w:val="003D1042"/>
    <w:rsid w:val="003D3054"/>
    <w:rsid w:val="003D35FD"/>
    <w:rsid w:val="003E3B94"/>
    <w:rsid w:val="00407731"/>
    <w:rsid w:val="0041514D"/>
    <w:rsid w:val="004206BB"/>
    <w:rsid w:val="0042374A"/>
    <w:rsid w:val="00424433"/>
    <w:rsid w:val="00427F8E"/>
    <w:rsid w:val="004413D7"/>
    <w:rsid w:val="004444BF"/>
    <w:rsid w:val="00447BF6"/>
    <w:rsid w:val="00450DE4"/>
    <w:rsid w:val="0045448A"/>
    <w:rsid w:val="00461A12"/>
    <w:rsid w:val="00465951"/>
    <w:rsid w:val="00474A2F"/>
    <w:rsid w:val="00476B0E"/>
    <w:rsid w:val="00480417"/>
    <w:rsid w:val="004A6B59"/>
    <w:rsid w:val="004B0582"/>
    <w:rsid w:val="004B154E"/>
    <w:rsid w:val="004C6121"/>
    <w:rsid w:val="004C6FEA"/>
    <w:rsid w:val="004E121C"/>
    <w:rsid w:val="004E2933"/>
    <w:rsid w:val="004E4875"/>
    <w:rsid w:val="004E5904"/>
    <w:rsid w:val="004E5F9C"/>
    <w:rsid w:val="004E7793"/>
    <w:rsid w:val="004F37E1"/>
    <w:rsid w:val="00510C33"/>
    <w:rsid w:val="005138B9"/>
    <w:rsid w:val="0051479B"/>
    <w:rsid w:val="00515618"/>
    <w:rsid w:val="005401B2"/>
    <w:rsid w:val="0054277E"/>
    <w:rsid w:val="0054334A"/>
    <w:rsid w:val="00544351"/>
    <w:rsid w:val="005700FA"/>
    <w:rsid w:val="005716EF"/>
    <w:rsid w:val="00584768"/>
    <w:rsid w:val="00586C01"/>
    <w:rsid w:val="0058760F"/>
    <w:rsid w:val="00587E6B"/>
    <w:rsid w:val="005A727F"/>
    <w:rsid w:val="005B1325"/>
    <w:rsid w:val="005D600A"/>
    <w:rsid w:val="005E23FB"/>
    <w:rsid w:val="005F22CD"/>
    <w:rsid w:val="005F325C"/>
    <w:rsid w:val="00624C4D"/>
    <w:rsid w:val="006332BB"/>
    <w:rsid w:val="00654F89"/>
    <w:rsid w:val="0066032B"/>
    <w:rsid w:val="006667FE"/>
    <w:rsid w:val="00680588"/>
    <w:rsid w:val="00681207"/>
    <w:rsid w:val="00697EE9"/>
    <w:rsid w:val="006A1E09"/>
    <w:rsid w:val="006B07E7"/>
    <w:rsid w:val="006D01A6"/>
    <w:rsid w:val="006E4313"/>
    <w:rsid w:val="006F0CDD"/>
    <w:rsid w:val="006F727B"/>
    <w:rsid w:val="0070290D"/>
    <w:rsid w:val="007050FA"/>
    <w:rsid w:val="00714FE2"/>
    <w:rsid w:val="007270BA"/>
    <w:rsid w:val="00727FCF"/>
    <w:rsid w:val="007310DB"/>
    <w:rsid w:val="00732DF6"/>
    <w:rsid w:val="0074109F"/>
    <w:rsid w:val="00757DB8"/>
    <w:rsid w:val="00766997"/>
    <w:rsid w:val="00796F8E"/>
    <w:rsid w:val="007A2653"/>
    <w:rsid w:val="007B7BEE"/>
    <w:rsid w:val="007C012C"/>
    <w:rsid w:val="007C1393"/>
    <w:rsid w:val="007C235A"/>
    <w:rsid w:val="007C3BB7"/>
    <w:rsid w:val="007D0502"/>
    <w:rsid w:val="007D0D9B"/>
    <w:rsid w:val="007D1D53"/>
    <w:rsid w:val="007D74C0"/>
    <w:rsid w:val="008106F3"/>
    <w:rsid w:val="00812B57"/>
    <w:rsid w:val="00814B6C"/>
    <w:rsid w:val="00814FFE"/>
    <w:rsid w:val="00815147"/>
    <w:rsid w:val="008154B9"/>
    <w:rsid w:val="008213F2"/>
    <w:rsid w:val="00822110"/>
    <w:rsid w:val="008250AC"/>
    <w:rsid w:val="008424F4"/>
    <w:rsid w:val="00861A80"/>
    <w:rsid w:val="00873D17"/>
    <w:rsid w:val="008818CA"/>
    <w:rsid w:val="008B1135"/>
    <w:rsid w:val="008B61DC"/>
    <w:rsid w:val="008B67AD"/>
    <w:rsid w:val="008C45FE"/>
    <w:rsid w:val="008C5565"/>
    <w:rsid w:val="008D2B05"/>
    <w:rsid w:val="008E543A"/>
    <w:rsid w:val="008F4589"/>
    <w:rsid w:val="008F6CA0"/>
    <w:rsid w:val="009019BE"/>
    <w:rsid w:val="00915370"/>
    <w:rsid w:val="00917EB2"/>
    <w:rsid w:val="0093596C"/>
    <w:rsid w:val="00957D56"/>
    <w:rsid w:val="00963290"/>
    <w:rsid w:val="0097066D"/>
    <w:rsid w:val="00975887"/>
    <w:rsid w:val="00982A10"/>
    <w:rsid w:val="00986551"/>
    <w:rsid w:val="00986B30"/>
    <w:rsid w:val="00990D3E"/>
    <w:rsid w:val="00995D1D"/>
    <w:rsid w:val="009962DE"/>
    <w:rsid w:val="009A3FBD"/>
    <w:rsid w:val="009C2C61"/>
    <w:rsid w:val="009C325C"/>
    <w:rsid w:val="009C766A"/>
    <w:rsid w:val="009D5128"/>
    <w:rsid w:val="009F22F7"/>
    <w:rsid w:val="00A00F39"/>
    <w:rsid w:val="00A01F6B"/>
    <w:rsid w:val="00A05C28"/>
    <w:rsid w:val="00A11875"/>
    <w:rsid w:val="00A31CA9"/>
    <w:rsid w:val="00A34996"/>
    <w:rsid w:val="00A35C73"/>
    <w:rsid w:val="00A435CF"/>
    <w:rsid w:val="00A653D3"/>
    <w:rsid w:val="00A75084"/>
    <w:rsid w:val="00A75A28"/>
    <w:rsid w:val="00A921AB"/>
    <w:rsid w:val="00AA07F4"/>
    <w:rsid w:val="00AB3C74"/>
    <w:rsid w:val="00AB4C92"/>
    <w:rsid w:val="00AC0904"/>
    <w:rsid w:val="00AD155C"/>
    <w:rsid w:val="00AD3501"/>
    <w:rsid w:val="00AE1BB0"/>
    <w:rsid w:val="00AE7DCD"/>
    <w:rsid w:val="00AF22B1"/>
    <w:rsid w:val="00B1746C"/>
    <w:rsid w:val="00B21BCA"/>
    <w:rsid w:val="00B41212"/>
    <w:rsid w:val="00B652A6"/>
    <w:rsid w:val="00B66519"/>
    <w:rsid w:val="00B843CB"/>
    <w:rsid w:val="00BC1502"/>
    <w:rsid w:val="00BC3667"/>
    <w:rsid w:val="00BC376B"/>
    <w:rsid w:val="00BC4070"/>
    <w:rsid w:val="00BC5F51"/>
    <w:rsid w:val="00BC7ED3"/>
    <w:rsid w:val="00BD7045"/>
    <w:rsid w:val="00BE5A48"/>
    <w:rsid w:val="00BF4286"/>
    <w:rsid w:val="00BF7F32"/>
    <w:rsid w:val="00C00EFA"/>
    <w:rsid w:val="00C0133C"/>
    <w:rsid w:val="00C06FC9"/>
    <w:rsid w:val="00C20634"/>
    <w:rsid w:val="00C21802"/>
    <w:rsid w:val="00C21FA0"/>
    <w:rsid w:val="00C37FAD"/>
    <w:rsid w:val="00C420BB"/>
    <w:rsid w:val="00C46875"/>
    <w:rsid w:val="00C5666F"/>
    <w:rsid w:val="00C61F78"/>
    <w:rsid w:val="00C7045D"/>
    <w:rsid w:val="00C749BC"/>
    <w:rsid w:val="00CA359A"/>
    <w:rsid w:val="00CA607F"/>
    <w:rsid w:val="00CC3116"/>
    <w:rsid w:val="00CC5474"/>
    <w:rsid w:val="00CF246C"/>
    <w:rsid w:val="00D02048"/>
    <w:rsid w:val="00D042D4"/>
    <w:rsid w:val="00D07EA8"/>
    <w:rsid w:val="00D22B8F"/>
    <w:rsid w:val="00D270A8"/>
    <w:rsid w:val="00D36A69"/>
    <w:rsid w:val="00D43FB8"/>
    <w:rsid w:val="00D46338"/>
    <w:rsid w:val="00D569B3"/>
    <w:rsid w:val="00D6794C"/>
    <w:rsid w:val="00D742AD"/>
    <w:rsid w:val="00D81E7D"/>
    <w:rsid w:val="00D859A5"/>
    <w:rsid w:val="00DA0267"/>
    <w:rsid w:val="00DC5A78"/>
    <w:rsid w:val="00DC5FAA"/>
    <w:rsid w:val="00DD6097"/>
    <w:rsid w:val="00DE0EB7"/>
    <w:rsid w:val="00DE7B37"/>
    <w:rsid w:val="00E174FC"/>
    <w:rsid w:val="00E305F7"/>
    <w:rsid w:val="00E31465"/>
    <w:rsid w:val="00E32FDC"/>
    <w:rsid w:val="00E37B32"/>
    <w:rsid w:val="00E4143C"/>
    <w:rsid w:val="00E604DD"/>
    <w:rsid w:val="00E81D09"/>
    <w:rsid w:val="00E832AD"/>
    <w:rsid w:val="00EA3FA7"/>
    <w:rsid w:val="00EA4DF4"/>
    <w:rsid w:val="00EA651B"/>
    <w:rsid w:val="00EA651F"/>
    <w:rsid w:val="00EB00F8"/>
    <w:rsid w:val="00EC0BC1"/>
    <w:rsid w:val="00EC3FF1"/>
    <w:rsid w:val="00ED07A0"/>
    <w:rsid w:val="00ED143D"/>
    <w:rsid w:val="00ED1BDB"/>
    <w:rsid w:val="00EF0B58"/>
    <w:rsid w:val="00EF3B2C"/>
    <w:rsid w:val="00EF40E4"/>
    <w:rsid w:val="00F04B97"/>
    <w:rsid w:val="00F06887"/>
    <w:rsid w:val="00F147CD"/>
    <w:rsid w:val="00F2229F"/>
    <w:rsid w:val="00F34984"/>
    <w:rsid w:val="00F37CA7"/>
    <w:rsid w:val="00F431A0"/>
    <w:rsid w:val="00F508DD"/>
    <w:rsid w:val="00F61978"/>
    <w:rsid w:val="00F70704"/>
    <w:rsid w:val="00F84197"/>
    <w:rsid w:val="00F85A77"/>
    <w:rsid w:val="00FA342F"/>
    <w:rsid w:val="00FA4B5F"/>
    <w:rsid w:val="00FA6E5C"/>
    <w:rsid w:val="00FB1582"/>
    <w:rsid w:val="00FD402F"/>
    <w:rsid w:val="00FD40A5"/>
    <w:rsid w:val="00FD76CA"/>
    <w:rsid w:val="00FE1B05"/>
    <w:rsid w:val="00FF2E6C"/>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8CA66"/>
  <w15:chartTrackingRefBased/>
  <w15:docId w15:val="{E38F77F6-2A7D-43EC-ABE7-CD2C4943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C06FC9"/>
    <w:pPr>
      <w:keepNext/>
      <w:keepLines/>
      <w:spacing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06FC9"/>
    <w:pPr>
      <w:keepNext/>
      <w:keepLines/>
      <w:spacing w:before="240" w:after="240"/>
      <w:outlineLvl w:val="1"/>
    </w:pPr>
    <w:rPr>
      <w:rFonts w:eastAsiaTheme="majorEastAsia" w:cstheme="majorBidi"/>
      <w:b/>
      <w:noProof/>
      <w:sz w:val="36"/>
      <w:szCs w:val="26"/>
    </w:rPr>
  </w:style>
  <w:style w:type="paragraph" w:styleId="Heading3">
    <w:name w:val="heading 3"/>
    <w:basedOn w:val="Normal"/>
    <w:next w:val="Normal"/>
    <w:link w:val="Heading3Char"/>
    <w:autoRedefine/>
    <w:uiPriority w:val="9"/>
    <w:unhideWhenUsed/>
    <w:qFormat/>
    <w:rsid w:val="000B491B"/>
    <w:pPr>
      <w:keepNext/>
      <w:keepLines/>
      <w:spacing w:before="40" w:after="100" w:afterAutospacing="1"/>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C749BC"/>
    <w:pPr>
      <w:keepNext/>
      <w:keepLines/>
      <w:spacing w:after="100" w:afterAutospacing="1"/>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E31465"/>
    <w:pPr>
      <w:keepNext/>
      <w:keepLines/>
      <w:spacing w:before="100" w:beforeAutospacing="1" w:after="100" w:afterAutospacing="1"/>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C06FC9"/>
    <w:rPr>
      <w:rFonts w:ascii="Arial" w:eastAsiaTheme="majorEastAsia" w:hAnsi="Arial" w:cstheme="majorBidi"/>
      <w:b/>
      <w:noProof/>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06FC9"/>
    <w:rPr>
      <w:rFonts w:ascii="Arial" w:eastAsiaTheme="majorEastAsia" w:hAnsi="Arial" w:cstheme="majorBidi"/>
      <w:b/>
      <w:sz w:val="40"/>
      <w:szCs w:val="32"/>
    </w:rPr>
  </w:style>
  <w:style w:type="paragraph" w:styleId="Header">
    <w:name w:val="header"/>
    <w:basedOn w:val="Normal"/>
    <w:link w:val="HeaderChar"/>
    <w:uiPriority w:val="99"/>
    <w:unhideWhenUsed/>
    <w:rsid w:val="00F84197"/>
    <w:pPr>
      <w:tabs>
        <w:tab w:val="center" w:pos="4680"/>
        <w:tab w:val="right" w:pos="9360"/>
      </w:tabs>
    </w:pPr>
  </w:style>
  <w:style w:type="character" w:customStyle="1" w:styleId="HeaderChar">
    <w:name w:val="Header Char"/>
    <w:basedOn w:val="DefaultParagraphFont"/>
    <w:link w:val="Header"/>
    <w:uiPriority w:val="99"/>
    <w:rsid w:val="00F84197"/>
    <w:rPr>
      <w:rFonts w:ascii="Arial" w:eastAsia="Times New Roman" w:hAnsi="Arial" w:cs="Times New Roman"/>
      <w:sz w:val="24"/>
      <w:szCs w:val="24"/>
    </w:rPr>
  </w:style>
  <w:style w:type="paragraph" w:styleId="Footer">
    <w:name w:val="footer"/>
    <w:basedOn w:val="Normal"/>
    <w:link w:val="FooterChar"/>
    <w:uiPriority w:val="99"/>
    <w:unhideWhenUsed/>
    <w:rsid w:val="00F84197"/>
    <w:pPr>
      <w:tabs>
        <w:tab w:val="center" w:pos="4680"/>
        <w:tab w:val="right" w:pos="9360"/>
      </w:tabs>
    </w:pPr>
  </w:style>
  <w:style w:type="character" w:customStyle="1" w:styleId="FooterChar">
    <w:name w:val="Footer Char"/>
    <w:basedOn w:val="DefaultParagraphFont"/>
    <w:link w:val="Footer"/>
    <w:uiPriority w:val="99"/>
    <w:rsid w:val="00F84197"/>
    <w:rPr>
      <w:rFonts w:ascii="Arial" w:eastAsia="Times New Roman" w:hAnsi="Arial" w:cs="Times New Roman"/>
      <w:sz w:val="24"/>
      <w:szCs w:val="24"/>
    </w:rPr>
  </w:style>
  <w:style w:type="paragraph" w:styleId="ListParagraph">
    <w:name w:val="List Paragraph"/>
    <w:basedOn w:val="Normal"/>
    <w:uiPriority w:val="34"/>
    <w:qFormat/>
    <w:rsid w:val="001A6670"/>
    <w:pPr>
      <w:ind w:left="720"/>
      <w:contextualSpacing/>
    </w:pPr>
  </w:style>
  <w:style w:type="table" w:styleId="TableGrid">
    <w:name w:val="Table Grid"/>
    <w:basedOn w:val="TableNormal"/>
    <w:uiPriority w:val="39"/>
    <w:rsid w:val="000B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B491B"/>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C749BC"/>
    <w:rPr>
      <w:rFonts w:ascii="Arial" w:eastAsiaTheme="majorEastAsia" w:hAnsi="Arial" w:cstheme="majorBidi"/>
      <w:b/>
      <w:iCs/>
      <w:sz w:val="28"/>
      <w:szCs w:val="24"/>
    </w:rPr>
  </w:style>
  <w:style w:type="table" w:styleId="GridTable4">
    <w:name w:val="Grid Table 4"/>
    <w:basedOn w:val="TableNormal"/>
    <w:uiPriority w:val="49"/>
    <w:rsid w:val="00E314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rsid w:val="00E31465"/>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DC5A78"/>
    <w:rPr>
      <w:sz w:val="16"/>
      <w:szCs w:val="16"/>
    </w:rPr>
  </w:style>
  <w:style w:type="paragraph" w:styleId="CommentText">
    <w:name w:val="annotation text"/>
    <w:basedOn w:val="Normal"/>
    <w:link w:val="CommentTextChar"/>
    <w:uiPriority w:val="99"/>
    <w:semiHidden/>
    <w:unhideWhenUsed/>
    <w:rsid w:val="00DC5A78"/>
    <w:rPr>
      <w:sz w:val="20"/>
      <w:szCs w:val="20"/>
    </w:rPr>
  </w:style>
  <w:style w:type="character" w:customStyle="1" w:styleId="CommentTextChar">
    <w:name w:val="Comment Text Char"/>
    <w:basedOn w:val="DefaultParagraphFont"/>
    <w:link w:val="CommentText"/>
    <w:uiPriority w:val="99"/>
    <w:semiHidden/>
    <w:rsid w:val="00DC5A7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C5A78"/>
    <w:rPr>
      <w:b/>
      <w:bCs/>
    </w:rPr>
  </w:style>
  <w:style w:type="character" w:customStyle="1" w:styleId="CommentSubjectChar">
    <w:name w:val="Comment Subject Char"/>
    <w:basedOn w:val="CommentTextChar"/>
    <w:link w:val="CommentSubject"/>
    <w:uiPriority w:val="99"/>
    <w:semiHidden/>
    <w:rsid w:val="00DC5A7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779678">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119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D21AF-3FC1-4808-802E-D62B46E1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12</Pages>
  <Words>2034</Words>
  <Characters>11599</Characters>
  <DocSecurity>0</DocSecurity>
  <Lines>96</Lines>
  <Paragraphs>27</Paragraphs>
  <ScaleCrop>false</ScaleCrop>
  <HeadingPairs>
    <vt:vector size="2" baseType="variant">
      <vt:variant>
        <vt:lpstr>Title</vt:lpstr>
      </vt:variant>
      <vt:variant>
        <vt:i4>1</vt:i4>
      </vt:variant>
    </vt:vector>
  </HeadingPairs>
  <TitlesOfParts>
    <vt:vector size="1" baseType="lpstr">
      <vt:lpstr>August 2021 Memo OAB CSD Item 02 Attachment 1 - Information Memorandum (CA State Board of Education)</vt:lpstr>
    </vt:vector>
  </TitlesOfParts>
  <Company>California State Board of Education</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2021 Memo OAB CSD Item 02 Attachment 1 - Information Memorandum (CA State Board of Education)</dc:title>
  <dc:subject>State Board of Education-Authorized Charter Schools in Fair or Poor Financial Condition.</dc:subject>
  <dc:creator/>
  <cp:keywords/>
  <dc:description/>
  <cp:lastPrinted>2019-07-31T21:13:00Z</cp:lastPrinted>
  <dcterms:created xsi:type="dcterms:W3CDTF">2021-07-08T21:51:00Z</dcterms:created>
  <dcterms:modified xsi:type="dcterms:W3CDTF">2021-08-03T20:32:00Z</dcterms:modified>
  <cp:category/>
</cp:coreProperties>
</file>