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8A58" w14:textId="77777777" w:rsidR="00DB318E" w:rsidRDefault="00DB318E" w:rsidP="00DB318E">
      <w:pPr>
        <w:pStyle w:val="Header"/>
        <w:jc w:val="right"/>
        <w:rPr>
          <w:rFonts w:ascii="Arial" w:hAnsi="Arial" w:cs="Arial"/>
        </w:rPr>
      </w:pPr>
      <w:r>
        <w:rPr>
          <w:rFonts w:ascii="Arial" w:hAnsi="Arial" w:cs="Arial"/>
        </w:rPr>
        <w:t>sssb-cctd-aug22item01a01</w:t>
      </w:r>
    </w:p>
    <w:p w14:paraId="4AD418A0" w14:textId="77777777" w:rsidR="00DB318E" w:rsidRPr="00D05AD8" w:rsidRDefault="00DB318E" w:rsidP="00DB318E">
      <w:pPr>
        <w:pStyle w:val="Header"/>
        <w:jc w:val="right"/>
        <w:rPr>
          <w:rFonts w:ascii="Arial" w:hAnsi="Arial" w:cs="Arial"/>
        </w:rPr>
      </w:pPr>
      <w:r w:rsidRPr="00D05AD8">
        <w:rPr>
          <w:rFonts w:ascii="Arial" w:hAnsi="Arial" w:cs="Arial"/>
        </w:rPr>
        <w:t>Attachment 1</w:t>
      </w:r>
    </w:p>
    <w:p w14:paraId="45C196FA" w14:textId="77777777" w:rsidR="00DB318E" w:rsidRPr="00D05AD8" w:rsidRDefault="00DB318E" w:rsidP="00DB318E">
      <w:pPr>
        <w:pStyle w:val="Header"/>
        <w:spacing w:after="360"/>
        <w:jc w:val="right"/>
        <w:rPr>
          <w:rFonts w:ascii="Arial" w:hAnsi="Arial" w:cs="Arial"/>
        </w:rPr>
      </w:pPr>
      <w:r w:rsidRPr="00D05AD8">
        <w:rPr>
          <w:rFonts w:ascii="Arial" w:hAnsi="Arial" w:cs="Arial"/>
        </w:rPr>
        <w:t xml:space="preserve">Page </w:t>
      </w:r>
      <w:r w:rsidRPr="00D05AD8">
        <w:rPr>
          <w:rFonts w:ascii="Arial" w:hAnsi="Arial" w:cs="Arial"/>
        </w:rPr>
        <w:fldChar w:fldCharType="begin"/>
      </w:r>
      <w:r w:rsidRPr="00D05AD8">
        <w:rPr>
          <w:rFonts w:ascii="Arial" w:hAnsi="Arial" w:cs="Arial"/>
        </w:rPr>
        <w:instrText xml:space="preserve"> PAGE   \* MERGEFORMAT </w:instrText>
      </w:r>
      <w:r w:rsidRPr="00D05AD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1</w:t>
      </w:r>
      <w:r w:rsidRPr="00D05AD8">
        <w:rPr>
          <w:rFonts w:ascii="Arial" w:hAnsi="Arial" w:cs="Arial"/>
          <w:noProof/>
        </w:rPr>
        <w:fldChar w:fldCharType="end"/>
      </w:r>
      <w:r w:rsidRPr="00D05AD8">
        <w:rPr>
          <w:rFonts w:ascii="Arial" w:hAnsi="Arial" w:cs="Arial"/>
          <w:noProof/>
        </w:rPr>
        <w:t xml:space="preserve"> of </w:t>
      </w:r>
      <w:r>
        <w:rPr>
          <w:rFonts w:ascii="Arial" w:hAnsi="Arial" w:cs="Arial"/>
          <w:noProof/>
        </w:rPr>
        <w:t>3</w:t>
      </w:r>
    </w:p>
    <w:p w14:paraId="11331C5A" w14:textId="26653C6C" w:rsidR="00BE4AD6" w:rsidRPr="00B42A28" w:rsidRDefault="002F4E0B" w:rsidP="00B42A28">
      <w:pPr>
        <w:pStyle w:val="Heading1"/>
        <w:rPr>
          <w:sz w:val="36"/>
        </w:rPr>
      </w:pPr>
      <w:bookmarkStart w:id="0" w:name="_GoBack"/>
      <w:bookmarkEnd w:id="0"/>
      <w:r w:rsidRPr="00B42A28">
        <w:rPr>
          <w:sz w:val="36"/>
        </w:rPr>
        <w:t xml:space="preserve">Attachment 1: </w:t>
      </w:r>
      <w:r w:rsidR="002216DC" w:rsidRPr="00B42A28">
        <w:rPr>
          <w:sz w:val="36"/>
        </w:rPr>
        <w:t>California Community Schools Partnership Program</w:t>
      </w:r>
      <w:r w:rsidR="00BE4AD6" w:rsidRPr="00B42A28">
        <w:rPr>
          <w:sz w:val="36"/>
        </w:rPr>
        <w:t xml:space="preserve"> Timeline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Description w:val="CCSPP Draft Grount Round Timeline for FY 2021-22 through 2027-28"/>
      </w:tblPr>
      <w:tblGrid>
        <w:gridCol w:w="2609"/>
        <w:gridCol w:w="2301"/>
        <w:gridCol w:w="2300"/>
        <w:gridCol w:w="2300"/>
        <w:gridCol w:w="2300"/>
        <w:gridCol w:w="2300"/>
        <w:gridCol w:w="2300"/>
        <w:gridCol w:w="2300"/>
      </w:tblGrid>
      <w:tr w:rsidR="00B42A28" w:rsidRPr="00B42A28" w14:paraId="5F069D71" w14:textId="77777777" w:rsidTr="004B06DC">
        <w:trPr>
          <w:cantSplit/>
          <w:trHeight w:val="647"/>
          <w:tblHeader/>
        </w:trPr>
        <w:tc>
          <w:tcPr>
            <w:tcW w:w="2609" w:type="dxa"/>
            <w:shd w:val="clear" w:color="auto" w:fill="353535" w:themeFill="background2" w:themeFillShade="40"/>
            <w:vAlign w:val="center"/>
          </w:tcPr>
          <w:p w14:paraId="70D36097" w14:textId="77777777" w:rsidR="00FC7C38" w:rsidRPr="00B42A28" w:rsidRDefault="00E45BBA" w:rsidP="00B42A28">
            <w:pPr>
              <w:jc w:val="center"/>
              <w:rPr>
                <w:rFonts w:ascii="Arial" w:hAnsi="Arial" w:cs="Arial"/>
                <w:b/>
              </w:rPr>
            </w:pPr>
            <w:r w:rsidRPr="00B42A28">
              <w:rPr>
                <w:rFonts w:ascii="Arial" w:hAnsi="Arial" w:cs="Arial"/>
                <w:b/>
              </w:rPr>
              <w:t>Grant/Contract Type</w:t>
            </w:r>
          </w:p>
        </w:tc>
        <w:tc>
          <w:tcPr>
            <w:tcW w:w="2301" w:type="dxa"/>
            <w:shd w:val="clear" w:color="auto" w:fill="353535" w:themeFill="background2" w:themeFillShade="40"/>
            <w:vAlign w:val="center"/>
          </w:tcPr>
          <w:p w14:paraId="782D6E06" w14:textId="77777777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2021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2300" w:type="dxa"/>
            <w:shd w:val="clear" w:color="auto" w:fill="353535" w:themeFill="background2" w:themeFillShade="40"/>
            <w:vAlign w:val="center"/>
          </w:tcPr>
          <w:p w14:paraId="01E2CF0D" w14:textId="77777777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2022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</w:p>
        </w:tc>
        <w:tc>
          <w:tcPr>
            <w:tcW w:w="2300" w:type="dxa"/>
            <w:shd w:val="clear" w:color="auto" w:fill="353535" w:themeFill="background2" w:themeFillShade="40"/>
            <w:vAlign w:val="center"/>
          </w:tcPr>
          <w:p w14:paraId="752DC45E" w14:textId="77777777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2023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2300" w:type="dxa"/>
            <w:shd w:val="clear" w:color="auto" w:fill="353535" w:themeFill="background2" w:themeFillShade="40"/>
            <w:vAlign w:val="center"/>
          </w:tcPr>
          <w:p w14:paraId="77D32F27" w14:textId="41D18AD0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2024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="004C33FF" w:rsidRPr="00B42A28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shd w:val="clear" w:color="auto" w:fill="353535" w:themeFill="background2" w:themeFillShade="40"/>
            <w:vAlign w:val="center"/>
          </w:tcPr>
          <w:p w14:paraId="7BC4D663" w14:textId="77777777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2025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26</w:t>
            </w:r>
          </w:p>
        </w:tc>
        <w:tc>
          <w:tcPr>
            <w:tcW w:w="2300" w:type="dxa"/>
            <w:shd w:val="clear" w:color="auto" w:fill="353535" w:themeFill="background2" w:themeFillShade="40"/>
            <w:vAlign w:val="center"/>
          </w:tcPr>
          <w:p w14:paraId="49619178" w14:textId="77777777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2026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27</w:t>
            </w:r>
          </w:p>
        </w:tc>
        <w:tc>
          <w:tcPr>
            <w:tcW w:w="2300" w:type="dxa"/>
            <w:shd w:val="clear" w:color="auto" w:fill="353535" w:themeFill="background2" w:themeFillShade="40"/>
            <w:vAlign w:val="center"/>
          </w:tcPr>
          <w:p w14:paraId="3F168C06" w14:textId="2F58F96C" w:rsidR="00FC7C38" w:rsidRPr="00B42A28" w:rsidRDefault="00BA3BF2" w:rsidP="00B42A28">
            <w:pPr>
              <w:pStyle w:val="TableStyle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2027</w:t>
            </w:r>
            <w:r w:rsidR="002216DC" w:rsidRPr="00B42A28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B42A28">
              <w:rPr>
                <w:rFonts w:ascii="Arial" w:hAnsi="Arial" w:cs="Arial"/>
                <w:color w:val="auto"/>
                <w:sz w:val="24"/>
                <w:szCs w:val="24"/>
              </w:rPr>
              <w:t>28</w:t>
            </w:r>
            <w:r w:rsidR="00405C8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A616B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="00405C85">
              <w:rPr>
                <w:rFonts w:ascii="Arial" w:hAnsi="Arial" w:cs="Arial"/>
                <w:color w:val="auto"/>
                <w:sz w:val="24"/>
                <w:szCs w:val="24"/>
              </w:rPr>
              <w:t>+)*</w:t>
            </w:r>
            <w:proofErr w:type="gramEnd"/>
          </w:p>
        </w:tc>
      </w:tr>
      <w:tr w:rsidR="006F6C96" w:rsidRPr="00B42A28" w14:paraId="4AEB3072" w14:textId="77777777" w:rsidTr="004B06DC">
        <w:trPr>
          <w:cantSplit/>
          <w:trHeight w:val="697"/>
        </w:trPr>
        <w:tc>
          <w:tcPr>
            <w:tcW w:w="2609" w:type="dxa"/>
            <w:shd w:val="clear" w:color="auto" w:fill="C0C0C0" w:themeFill="background2" w:themeFillShade="E6"/>
          </w:tcPr>
          <w:p w14:paraId="1BD2DB09" w14:textId="77777777" w:rsidR="004D4612" w:rsidRPr="00B42A28" w:rsidRDefault="004D4612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2020–21: Round 1</w:t>
            </w:r>
          </w:p>
          <w:p w14:paraId="032999BA" w14:textId="77777777" w:rsidR="004D4612" w:rsidRPr="00B42A28" w:rsidRDefault="004D4612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$45,000,000</w:t>
            </w:r>
          </w:p>
          <w:p w14:paraId="6DFB238C" w14:textId="4639BF5B" w:rsidR="004D4612" w:rsidRPr="00B42A28" w:rsidRDefault="00AB35B9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2216DC" w:rsidRPr="00B42A28">
              <w:rPr>
                <w:rFonts w:ascii="Arial" w:hAnsi="Arial" w:cs="Arial"/>
                <w:sz w:val="24"/>
                <w:szCs w:val="24"/>
              </w:rPr>
              <w:t>Elementary and Secondary School Emergency Relief</w:t>
            </w:r>
            <w:r w:rsidR="004D4612" w:rsidRPr="00B42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DC" w:rsidRPr="00B42A28">
              <w:rPr>
                <w:rFonts w:ascii="Arial" w:hAnsi="Arial" w:cs="Arial"/>
                <w:sz w:val="24"/>
                <w:szCs w:val="24"/>
              </w:rPr>
              <w:t xml:space="preserve">Fund </w:t>
            </w:r>
            <w:r w:rsidR="004D4612" w:rsidRPr="00B42A28">
              <w:rPr>
                <w:rFonts w:ascii="Arial" w:hAnsi="Arial" w:cs="Arial"/>
                <w:sz w:val="24"/>
                <w:szCs w:val="24"/>
              </w:rPr>
              <w:t>(COVID)</w:t>
            </w:r>
          </w:p>
        </w:tc>
        <w:tc>
          <w:tcPr>
            <w:tcW w:w="2301" w:type="dxa"/>
            <w:shd w:val="clear" w:color="auto" w:fill="C0C0C0" w:themeFill="background2" w:themeFillShade="E6"/>
          </w:tcPr>
          <w:p w14:paraId="568FADCB" w14:textId="77777777" w:rsidR="004D4612" w:rsidRPr="00B42A28" w:rsidRDefault="004D4612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113C8B" w:rsidRPr="00B42A28">
              <w:rPr>
                <w:rFonts w:ascii="Arial" w:hAnsi="Arial" w:cs="Arial"/>
                <w:sz w:val="24"/>
                <w:szCs w:val="24"/>
              </w:rPr>
              <w:t>local educational agencies (</w:t>
            </w:r>
            <w:r w:rsidRPr="00B42A28">
              <w:rPr>
                <w:rFonts w:ascii="Arial" w:hAnsi="Arial" w:cs="Arial"/>
                <w:sz w:val="24"/>
                <w:szCs w:val="24"/>
              </w:rPr>
              <w:t>LEA</w:t>
            </w:r>
            <w:r w:rsidR="00113C8B" w:rsidRPr="00B42A28">
              <w:rPr>
                <w:rFonts w:ascii="Arial" w:hAnsi="Arial" w:cs="Arial"/>
                <w:sz w:val="24"/>
                <w:szCs w:val="24"/>
              </w:rPr>
              <w:t>s)</w:t>
            </w:r>
          </w:p>
          <w:p w14:paraId="610B1FEF" w14:textId="77777777" w:rsidR="004D4612" w:rsidRPr="00B42A28" w:rsidRDefault="004D4612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1 contract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02D4EFD7" w14:textId="77777777" w:rsidR="004D4612" w:rsidRPr="00B42A28" w:rsidRDefault="004D4612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Close Round 1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3E01C0AE" w14:textId="77777777" w:rsidR="004D4612" w:rsidRPr="00B42A28" w:rsidRDefault="00E45BBA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6449A82E" w14:textId="77777777" w:rsidR="004D4612" w:rsidRPr="00B42A28" w:rsidRDefault="00E45BBA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78C5DCCD" w14:textId="77777777" w:rsidR="004D4612" w:rsidRPr="00B42A28" w:rsidRDefault="00E45BBA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59B49A7C" w14:textId="77777777" w:rsidR="004D4612" w:rsidRPr="00B42A28" w:rsidRDefault="00E45BBA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00976430" w14:textId="77777777" w:rsidR="004D4612" w:rsidRPr="00B42A28" w:rsidRDefault="00E45BBA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C2BC4" w:rsidRPr="00B42A28" w14:paraId="66A790CC" w14:textId="77777777" w:rsidTr="001050D8">
        <w:trPr>
          <w:cantSplit/>
          <w:trHeight w:val="697"/>
        </w:trPr>
        <w:tc>
          <w:tcPr>
            <w:tcW w:w="2609" w:type="dxa"/>
            <w:shd w:val="clear" w:color="auto" w:fill="D5D5D5" w:themeFill="background2"/>
          </w:tcPr>
          <w:p w14:paraId="3BAE694C" w14:textId="77777777" w:rsidR="00CC2BC4" w:rsidRPr="00B42A28" w:rsidRDefault="00CC2BC4" w:rsidP="00CC2BC4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Planning Grants</w:t>
            </w:r>
          </w:p>
          <w:p w14:paraId="2D0A4C6C" w14:textId="77777777" w:rsidR="00CC2BC4" w:rsidRPr="00B42A28" w:rsidRDefault="00CC2BC4" w:rsidP="00CC2BC4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10% = </w:t>
            </w:r>
          </w:p>
          <w:p w14:paraId="6B9A244F" w14:textId="0C746715" w:rsidR="00CC2BC4" w:rsidRPr="00B42A28" w:rsidRDefault="00CC2BC4" w:rsidP="00CC2BC4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(Up to 1,347 grants available at $200,000 per qualifying entity [QE])</w:t>
            </w:r>
          </w:p>
          <w:p w14:paraId="136FE450" w14:textId="77777777" w:rsidR="00CC2BC4" w:rsidRPr="00B42A28" w:rsidRDefault="00CC2BC4" w:rsidP="00CC2BC4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</w:p>
          <w:p w14:paraId="46967D0C" w14:textId="77777777" w:rsidR="00CC2BC4" w:rsidRPr="00B42A28" w:rsidRDefault="00CC2BC4" w:rsidP="00CC2BC4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Matching – 1/3</w:t>
            </w:r>
          </w:p>
        </w:tc>
        <w:tc>
          <w:tcPr>
            <w:tcW w:w="2301" w:type="dxa"/>
          </w:tcPr>
          <w:p w14:paraId="63512228" w14:textId="75803347" w:rsidR="00CC2BC4" w:rsidRPr="00532BF8" w:rsidRDefault="00532BF8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1F43C2">
              <w:rPr>
                <w:rFonts w:ascii="Arial" w:hAnsi="Arial" w:cs="Arial"/>
                <w:sz w:val="24"/>
                <w:szCs w:val="24"/>
              </w:rPr>
              <w:t>SBE approved 192 planning grants</w:t>
            </w:r>
            <w:r w:rsidR="001F43C2">
              <w:rPr>
                <w:rFonts w:ascii="Arial" w:hAnsi="Arial" w:cs="Arial"/>
                <w:sz w:val="24"/>
                <w:szCs w:val="24"/>
              </w:rPr>
              <w:t>,</w:t>
            </w:r>
            <w:r w:rsidRPr="001F43C2">
              <w:rPr>
                <w:rFonts w:ascii="Arial" w:hAnsi="Arial" w:cs="Arial"/>
                <w:sz w:val="24"/>
                <w:szCs w:val="24"/>
              </w:rPr>
              <w:t xml:space="preserve"> at May 2022 meeting.</w:t>
            </w:r>
          </w:p>
        </w:tc>
        <w:tc>
          <w:tcPr>
            <w:tcW w:w="2300" w:type="dxa"/>
          </w:tcPr>
          <w:p w14:paraId="05966E43" w14:textId="035F4E8E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1: Year 1</w:t>
            </w:r>
          </w:p>
          <w:p w14:paraId="7FF5E875" w14:textId="7710BC94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(Up to $200,000 per QE for up to 2 years)</w:t>
            </w:r>
          </w:p>
        </w:tc>
        <w:tc>
          <w:tcPr>
            <w:tcW w:w="2300" w:type="dxa"/>
          </w:tcPr>
          <w:p w14:paraId="581F7B77" w14:textId="0D063D09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1: Year 2</w:t>
            </w:r>
          </w:p>
          <w:p w14:paraId="2415D629" w14:textId="1A21D529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2: Year 1 (Up to $200,000 per QE for up to 2 years) of Planning Grant funds remaining from Round 1</w:t>
            </w:r>
          </w:p>
        </w:tc>
        <w:tc>
          <w:tcPr>
            <w:tcW w:w="2300" w:type="dxa"/>
            <w:shd w:val="clear" w:color="auto" w:fill="FFFFFF" w:themeFill="background1"/>
          </w:tcPr>
          <w:p w14:paraId="7DB90B63" w14:textId="256B6368" w:rsidR="00CC2BC4" w:rsidRPr="00B42A28" w:rsidRDefault="00BA1489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 2</w:t>
            </w:r>
            <w:r w:rsidR="00CC2BC4" w:rsidRPr="00B42A28">
              <w:rPr>
                <w:rFonts w:ascii="Arial" w:hAnsi="Arial" w:cs="Arial"/>
                <w:sz w:val="24"/>
                <w:szCs w:val="24"/>
              </w:rPr>
              <w:t>: Year 2</w:t>
            </w:r>
          </w:p>
          <w:p w14:paraId="3EF6CDC0" w14:textId="77777777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74C59F35" w14:textId="39228E47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C0C0C0" w:themeFill="background2" w:themeFillShade="E6"/>
          </w:tcPr>
          <w:p w14:paraId="5C79BCEC" w14:textId="7D7680CE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N/A – Only 2 </w:t>
            </w:r>
            <w:r w:rsidR="0067217E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Pr="00B42A28">
              <w:rPr>
                <w:rFonts w:ascii="Arial" w:hAnsi="Arial" w:cs="Arial"/>
                <w:sz w:val="24"/>
                <w:szCs w:val="24"/>
              </w:rPr>
              <w:t>rounds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45518F90" w14:textId="17D5EB9B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N/A – Only 2 </w:t>
            </w:r>
            <w:r w:rsidR="00A82D45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Pr="00B42A28">
              <w:rPr>
                <w:rFonts w:ascii="Arial" w:hAnsi="Arial" w:cs="Arial"/>
                <w:sz w:val="24"/>
                <w:szCs w:val="24"/>
              </w:rPr>
              <w:t>rounds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64FD5B61" w14:textId="0813CDAB" w:rsidR="00CC2BC4" w:rsidRPr="00B42A28" w:rsidRDefault="00CC2BC4" w:rsidP="00CC2BC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N/A – Only 2 </w:t>
            </w:r>
            <w:r w:rsidR="00A82D45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Pr="00B42A28">
              <w:rPr>
                <w:rFonts w:ascii="Arial" w:hAnsi="Arial" w:cs="Arial"/>
                <w:sz w:val="24"/>
                <w:szCs w:val="24"/>
              </w:rPr>
              <w:t>rounds</w:t>
            </w:r>
          </w:p>
        </w:tc>
      </w:tr>
      <w:tr w:rsidR="00635AA8" w:rsidRPr="00B42A28" w14:paraId="70D3C4A0" w14:textId="77777777" w:rsidTr="004B06DC">
        <w:trPr>
          <w:cantSplit/>
          <w:trHeight w:val="1400"/>
        </w:trPr>
        <w:tc>
          <w:tcPr>
            <w:tcW w:w="2609" w:type="dxa"/>
            <w:shd w:val="clear" w:color="auto" w:fill="D5D5D5" w:themeFill="background2"/>
          </w:tcPr>
          <w:p w14:paraId="456AC5EA" w14:textId="79ABD9F0" w:rsidR="00635AA8" w:rsidRPr="00B42A28" w:rsidRDefault="00635AA8" w:rsidP="00635AA8">
            <w:pPr>
              <w:pStyle w:val="TableStyle1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B42A28">
              <w:rPr>
                <w:rFonts w:ascii="Arial" w:hAnsi="Arial" w:cs="Arial"/>
                <w:sz w:val="24"/>
                <w:szCs w:val="24"/>
                <w:lang w:val="fr-FR"/>
              </w:rPr>
              <w:t>Implementation</w:t>
            </w:r>
            <w:proofErr w:type="spellEnd"/>
            <w:r w:rsidR="00BA1489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B42A28">
              <w:rPr>
                <w:rFonts w:ascii="Arial" w:hAnsi="Arial" w:cs="Arial"/>
                <w:sz w:val="24"/>
                <w:szCs w:val="24"/>
                <w:lang w:val="fr-FR"/>
              </w:rPr>
              <w:t>Grants</w:t>
            </w:r>
          </w:p>
          <w:p w14:paraId="2C3779C0" w14:textId="77777777" w:rsidR="00635AA8" w:rsidRPr="00B42A28" w:rsidRDefault="00635AA8" w:rsidP="00635AA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70% = </w:t>
            </w:r>
          </w:p>
          <w:p w14:paraId="6746891F" w14:textId="53873079" w:rsidR="00635AA8" w:rsidRPr="00B42A28" w:rsidRDefault="00635AA8" w:rsidP="00635AA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(Up to $500,000 annually</w:t>
            </w:r>
            <w:r>
              <w:rPr>
                <w:rFonts w:ascii="Arial" w:hAnsi="Arial" w:cs="Arial"/>
                <w:sz w:val="24"/>
                <w:szCs w:val="24"/>
              </w:rPr>
              <w:t>, for 5 years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per </w:t>
            </w:r>
            <w:r w:rsidR="001C7577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proofErr w:type="gramStart"/>
            <w:r w:rsidR="001C7577">
              <w:rPr>
                <w:rFonts w:ascii="Arial" w:hAnsi="Arial" w:cs="Arial"/>
                <w:sz w:val="24"/>
                <w:szCs w:val="24"/>
              </w:rPr>
              <w:t>school</w:t>
            </w:r>
            <w:r w:rsidRPr="00B42A2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8076A51" w14:textId="77777777" w:rsidR="00635AA8" w:rsidRPr="00B42A28" w:rsidRDefault="00635AA8" w:rsidP="00635AA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</w:p>
          <w:p w14:paraId="127D2B87" w14:textId="39457435" w:rsidR="00635AA8" w:rsidRPr="00B42A28" w:rsidRDefault="00635AA8" w:rsidP="00635AA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Matching – 1/3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5F594BFB" w14:textId="2341B6DB" w:rsidR="00635AA8" w:rsidRPr="00532BF8" w:rsidRDefault="00532BF8" w:rsidP="00635AA8">
            <w:pPr>
              <w:rPr>
                <w:rFonts w:ascii="Arial" w:hAnsi="Arial" w:cs="Arial"/>
              </w:rPr>
            </w:pPr>
            <w:r w:rsidRPr="006201C9">
              <w:rPr>
                <w:rFonts w:ascii="Arial" w:hAnsi="Arial" w:cs="Arial"/>
              </w:rPr>
              <w:t>SBE approved</w:t>
            </w:r>
            <w:r w:rsidR="006201C9">
              <w:rPr>
                <w:rFonts w:ascii="Arial" w:hAnsi="Arial" w:cs="Arial"/>
              </w:rPr>
              <w:t xml:space="preserve"> </w:t>
            </w:r>
            <w:r w:rsidR="009F05EA">
              <w:rPr>
                <w:rFonts w:ascii="Arial" w:hAnsi="Arial" w:cs="Arial"/>
              </w:rPr>
              <w:t>76</w:t>
            </w:r>
            <w:r w:rsidRPr="001F43C2">
              <w:rPr>
                <w:rFonts w:ascii="Arial" w:hAnsi="Arial" w:cs="Arial"/>
              </w:rPr>
              <w:t xml:space="preserve"> implementation grants to LEAs for a total of 438 schools</w:t>
            </w:r>
            <w:r w:rsidR="001F43C2">
              <w:rPr>
                <w:rFonts w:ascii="Arial" w:hAnsi="Arial" w:cs="Arial"/>
              </w:rPr>
              <w:t>,</w:t>
            </w:r>
            <w:r w:rsidRPr="001F43C2">
              <w:rPr>
                <w:rFonts w:ascii="Arial" w:hAnsi="Arial" w:cs="Arial"/>
              </w:rPr>
              <w:t xml:space="preserve"> at May 2022 meeting.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107505E8" w14:textId="2CC83996" w:rsidR="00635AA8" w:rsidRPr="00B42A28" w:rsidRDefault="00635AA8" w:rsidP="00635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Cohort</w:t>
            </w:r>
            <w:r w:rsidRPr="00B42A28">
              <w:rPr>
                <w:rFonts w:ascii="Arial" w:hAnsi="Arial" w:cs="Arial"/>
              </w:rPr>
              <w:t xml:space="preserve"> 1: </w:t>
            </w:r>
          </w:p>
          <w:p w14:paraId="57681FB0" w14:textId="74705FE8" w:rsidR="00635AA8" w:rsidRPr="00B42A28" w:rsidRDefault="00635AA8" w:rsidP="00635AA8">
            <w:pPr>
              <w:rPr>
                <w:rFonts w:ascii="Arial" w:hAnsi="Arial" w:cs="Arial"/>
              </w:rPr>
            </w:pPr>
            <w:r w:rsidRPr="00B42A28">
              <w:rPr>
                <w:rFonts w:ascii="Arial" w:hAnsi="Arial" w:cs="Arial"/>
              </w:rPr>
              <w:t>-</w:t>
            </w:r>
            <w:r w:rsidRPr="00B42A28" w:rsidDel="00EE5F08">
              <w:rPr>
                <w:rFonts w:ascii="Arial" w:hAnsi="Arial" w:cs="Arial"/>
              </w:rPr>
              <w:t xml:space="preserve"> </w:t>
            </w:r>
            <w:r w:rsidRPr="00B42A28">
              <w:rPr>
                <w:rFonts w:ascii="Arial" w:hAnsi="Arial" w:cs="Arial"/>
              </w:rPr>
              <w:t>QEs (e.g. LEAs) that currently operate Community Schools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570B77C" w14:textId="52AE8A00" w:rsidR="00635AA8" w:rsidRPr="00BA1489" w:rsidRDefault="00635AA8" w:rsidP="00635AA8">
            <w:pPr>
              <w:rPr>
                <w:rFonts w:ascii="Arial" w:hAnsi="Arial" w:cs="Arial"/>
              </w:rPr>
            </w:pPr>
            <w:r w:rsidRPr="00BA1489">
              <w:rPr>
                <w:rFonts w:ascii="Arial" w:hAnsi="Arial" w:cs="Arial"/>
              </w:rPr>
              <w:t xml:space="preserve">Cohort 2: </w:t>
            </w:r>
          </w:p>
          <w:p w14:paraId="603BE5EA" w14:textId="77777777" w:rsidR="00635AA8" w:rsidRPr="00BA1489" w:rsidRDefault="00635AA8" w:rsidP="00635AA8">
            <w:pPr>
              <w:rPr>
                <w:rFonts w:ascii="Arial" w:hAnsi="Arial" w:cs="Arial"/>
              </w:rPr>
            </w:pPr>
            <w:r w:rsidRPr="00BA1489">
              <w:rPr>
                <w:rFonts w:ascii="Arial" w:hAnsi="Arial" w:cs="Arial"/>
              </w:rPr>
              <w:t xml:space="preserve">-QEs that currently operate Community Schools </w:t>
            </w:r>
          </w:p>
          <w:p w14:paraId="060DE58F" w14:textId="769CDFD5" w:rsidR="00635AA8" w:rsidRPr="00BA1489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A1489">
              <w:rPr>
                <w:rFonts w:ascii="Arial" w:hAnsi="Arial" w:cs="Arial"/>
                <w:sz w:val="24"/>
                <w:szCs w:val="24"/>
              </w:rPr>
              <w:t>-</w:t>
            </w:r>
            <w:r w:rsidR="00BA1489">
              <w:rPr>
                <w:rFonts w:ascii="Arial" w:hAnsi="Arial" w:cs="Arial"/>
                <w:sz w:val="24"/>
                <w:szCs w:val="24"/>
              </w:rPr>
              <w:t>Cohort</w:t>
            </w:r>
            <w:r w:rsidRPr="00BA1489">
              <w:rPr>
                <w:rFonts w:ascii="Arial" w:hAnsi="Arial" w:cs="Arial"/>
                <w:sz w:val="24"/>
                <w:szCs w:val="24"/>
              </w:rPr>
              <w:t xml:space="preserve"> 1 Planning grantees that completed the Planning Grant requirements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415E8A4A" w14:textId="5DE49F47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3: </w:t>
            </w:r>
          </w:p>
          <w:p w14:paraId="62EBFF77" w14:textId="77777777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-QEs that currently operate Community Schools</w:t>
            </w:r>
          </w:p>
          <w:p w14:paraId="44EA9386" w14:textId="7C7BADBA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-</w:t>
            </w:r>
            <w:r w:rsidR="00BA1489"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1 or 2 Planning grantees that completed the Planning Grant requirements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7E489D19" w14:textId="52DB8A07" w:rsidR="00635AA8" w:rsidRPr="00B42A28" w:rsidRDefault="00F82DDD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635AA8">
              <w:rPr>
                <w:rFonts w:ascii="Arial" w:hAnsi="Arial" w:cs="Arial"/>
                <w:sz w:val="24"/>
                <w:szCs w:val="24"/>
              </w:rPr>
              <w:t>Cohort</w:t>
            </w:r>
            <w:r w:rsidR="00635AA8" w:rsidRPr="00B42A28">
              <w:rPr>
                <w:rFonts w:ascii="Arial" w:hAnsi="Arial" w:cs="Arial"/>
                <w:sz w:val="24"/>
                <w:szCs w:val="24"/>
              </w:rPr>
              <w:t xml:space="preserve"> 4:</w:t>
            </w:r>
          </w:p>
          <w:p w14:paraId="42BFD0E7" w14:textId="77777777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-QEs that currently operate Community Schools</w:t>
            </w:r>
          </w:p>
          <w:p w14:paraId="762A60FB" w14:textId="0E423BB4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-</w:t>
            </w:r>
            <w:r w:rsidR="00BA1489"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2 Planning grantees that completed the Planning Grant requirements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D852CA6" w14:textId="041EA3C6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1 and 2 Planning grantees to receive funds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690E9E17" w14:textId="73F11E27" w:rsidR="00635AA8" w:rsidRPr="00B42A28" w:rsidRDefault="00635AA8" w:rsidP="00635AA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Cohort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1 and 2 Planning grantees to receive funds</w:t>
            </w:r>
          </w:p>
        </w:tc>
      </w:tr>
      <w:tr w:rsidR="00F17338" w:rsidRPr="00B42A28" w14:paraId="43B3D9C3" w14:textId="77777777" w:rsidTr="009B0E0E">
        <w:trPr>
          <w:cantSplit/>
          <w:trHeight w:val="725"/>
        </w:trPr>
        <w:tc>
          <w:tcPr>
            <w:tcW w:w="2609" w:type="dxa"/>
            <w:shd w:val="clear" w:color="auto" w:fill="D5D5D5" w:themeFill="background2"/>
          </w:tcPr>
          <w:p w14:paraId="072B1A07" w14:textId="1A2F85A0" w:rsidR="00F17338" w:rsidRPr="00B42A28" w:rsidRDefault="00ED4E97" w:rsidP="00F1733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2-Year Extension</w:t>
            </w:r>
            <w:r w:rsidR="00F17338" w:rsidRPr="00B42A28">
              <w:rPr>
                <w:rFonts w:ascii="Arial" w:hAnsi="Arial" w:cs="Arial"/>
                <w:sz w:val="24"/>
                <w:szCs w:val="24"/>
              </w:rPr>
              <w:t xml:space="preserve"> Grants</w:t>
            </w:r>
            <w:r w:rsidR="00621D82">
              <w:rPr>
                <w:rFonts w:ascii="Arial" w:hAnsi="Arial" w:cs="Arial"/>
                <w:sz w:val="24"/>
                <w:szCs w:val="24"/>
              </w:rPr>
              <w:t>***</w:t>
            </w:r>
          </w:p>
          <w:p w14:paraId="1B92213D" w14:textId="77777777" w:rsidR="00F17338" w:rsidRPr="00B42A28" w:rsidRDefault="00F17338" w:rsidP="00F1733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20%</w:t>
            </w:r>
            <w:r w:rsidR="002216DC" w:rsidRPr="00B42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A28">
              <w:rPr>
                <w:rFonts w:ascii="Arial" w:hAnsi="Arial" w:cs="Arial"/>
                <w:sz w:val="24"/>
                <w:szCs w:val="24"/>
              </w:rPr>
              <w:t>=</w:t>
            </w:r>
            <w:r w:rsidR="002216DC" w:rsidRPr="00B42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11D875" w14:textId="1F730377" w:rsidR="00F17338" w:rsidRPr="00B42A28" w:rsidRDefault="00177468" w:rsidP="00F1733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(Up to $100</w:t>
            </w:r>
            <w:r w:rsidR="002216DC" w:rsidRPr="00B42A28">
              <w:rPr>
                <w:rFonts w:ascii="Arial" w:hAnsi="Arial" w:cs="Arial"/>
                <w:sz w:val="24"/>
                <w:szCs w:val="24"/>
              </w:rPr>
              <w:t>,000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annually</w:t>
            </w:r>
            <w:r w:rsidR="001A6C90" w:rsidRPr="00B42A28">
              <w:rPr>
                <w:rFonts w:ascii="Arial" w:hAnsi="Arial" w:cs="Arial"/>
                <w:sz w:val="24"/>
                <w:szCs w:val="24"/>
              </w:rPr>
              <w:t xml:space="preserve"> for QEs)</w:t>
            </w:r>
          </w:p>
          <w:p w14:paraId="57A9DC4A" w14:textId="77777777" w:rsidR="00224E16" w:rsidRPr="00B42A28" w:rsidRDefault="00224E16" w:rsidP="00F1733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</w:p>
          <w:p w14:paraId="2A74F048" w14:textId="77777777" w:rsidR="00F17338" w:rsidRPr="00B42A28" w:rsidRDefault="00F17338" w:rsidP="00F1733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Matching – 1:1</w:t>
            </w:r>
          </w:p>
        </w:tc>
        <w:tc>
          <w:tcPr>
            <w:tcW w:w="2301" w:type="dxa"/>
            <w:shd w:val="clear" w:color="auto" w:fill="C0C0C0" w:themeFill="background2" w:themeFillShade="E6"/>
          </w:tcPr>
          <w:p w14:paraId="03A4FCE7" w14:textId="71F2B238" w:rsidR="009C076A" w:rsidRDefault="00F17338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N/A – </w:t>
            </w:r>
            <w:r w:rsidR="009B0E0E">
              <w:rPr>
                <w:rFonts w:ascii="Arial" w:hAnsi="Arial" w:cs="Arial"/>
                <w:sz w:val="24"/>
                <w:szCs w:val="24"/>
              </w:rPr>
              <w:t>Starts</w:t>
            </w:r>
            <w:r w:rsidR="00EC1D0F" w:rsidRPr="00B42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A28">
              <w:rPr>
                <w:rFonts w:ascii="Arial" w:hAnsi="Arial" w:cs="Arial"/>
                <w:sz w:val="24"/>
                <w:szCs w:val="24"/>
              </w:rPr>
              <w:t>in 202</w:t>
            </w:r>
            <w:r w:rsidR="009B0E0E">
              <w:rPr>
                <w:rFonts w:ascii="Arial" w:hAnsi="Arial" w:cs="Arial"/>
                <w:sz w:val="24"/>
                <w:szCs w:val="24"/>
              </w:rPr>
              <w:t>5</w:t>
            </w:r>
            <w:r w:rsidR="009F47B0">
              <w:rPr>
                <w:rFonts w:ascii="Arial" w:hAnsi="Arial" w:cs="Arial"/>
                <w:sz w:val="24"/>
                <w:szCs w:val="24"/>
              </w:rPr>
              <w:t>-</w:t>
            </w:r>
            <w:r w:rsidRPr="00B42A28">
              <w:rPr>
                <w:rFonts w:ascii="Arial" w:hAnsi="Arial" w:cs="Arial"/>
                <w:sz w:val="24"/>
                <w:szCs w:val="24"/>
              </w:rPr>
              <w:t>2</w:t>
            </w:r>
            <w:r w:rsidR="009B0E0E">
              <w:rPr>
                <w:rFonts w:ascii="Arial" w:hAnsi="Arial" w:cs="Arial"/>
                <w:sz w:val="24"/>
                <w:szCs w:val="24"/>
              </w:rPr>
              <w:t>6</w:t>
            </w:r>
            <w:r w:rsidR="00CC40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912B3D" w14:textId="77777777" w:rsidR="00D025F8" w:rsidRDefault="00D025F8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6332B51F" w14:textId="4AA5D2B4" w:rsidR="00F17338" w:rsidRPr="00B42A28" w:rsidRDefault="00CC4094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C076A">
              <w:rPr>
                <w:rFonts w:ascii="Arial" w:hAnsi="Arial" w:cs="Arial"/>
                <w:sz w:val="24"/>
                <w:szCs w:val="24"/>
              </w:rPr>
              <w:t xml:space="preserve">i.e. first year following 5-year implementation grants) </w:t>
            </w:r>
          </w:p>
        </w:tc>
        <w:tc>
          <w:tcPr>
            <w:tcW w:w="2300" w:type="dxa"/>
            <w:shd w:val="clear" w:color="auto" w:fill="C0C0C0" w:themeFill="background2" w:themeFillShade="E6"/>
          </w:tcPr>
          <w:p w14:paraId="53ED3AF1" w14:textId="5DC16521" w:rsidR="00D025F8" w:rsidRDefault="00D025F8" w:rsidP="00D025F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 – Starts in 202</w:t>
            </w:r>
            <w:r w:rsidR="009B0E0E">
              <w:rPr>
                <w:rFonts w:ascii="Arial" w:hAnsi="Arial" w:cs="Arial"/>
                <w:sz w:val="24"/>
                <w:szCs w:val="24"/>
              </w:rPr>
              <w:t>5</w:t>
            </w:r>
            <w:r w:rsidR="009F47B0">
              <w:rPr>
                <w:rFonts w:ascii="Arial" w:hAnsi="Arial" w:cs="Arial"/>
                <w:sz w:val="24"/>
                <w:szCs w:val="24"/>
              </w:rPr>
              <w:t>-</w:t>
            </w:r>
            <w:r w:rsidRPr="00B42A28">
              <w:rPr>
                <w:rFonts w:ascii="Arial" w:hAnsi="Arial" w:cs="Arial"/>
                <w:sz w:val="24"/>
                <w:szCs w:val="24"/>
              </w:rPr>
              <w:t>2</w:t>
            </w:r>
            <w:r w:rsidR="009B0E0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5B6498" w14:textId="2A387BAC" w:rsidR="00F17338" w:rsidRPr="00B42A28" w:rsidRDefault="00F17338" w:rsidP="00F17338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shd w:val="clear" w:color="auto" w:fill="C0C0C0" w:themeFill="background2" w:themeFillShade="E6"/>
          </w:tcPr>
          <w:p w14:paraId="241C6912" w14:textId="3CEF4681" w:rsidR="00D025F8" w:rsidRDefault="00D025F8" w:rsidP="00D025F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N/A – Starts in 202</w:t>
            </w:r>
            <w:r w:rsidR="009B0E0E">
              <w:rPr>
                <w:rFonts w:ascii="Arial" w:hAnsi="Arial" w:cs="Arial"/>
                <w:sz w:val="24"/>
                <w:szCs w:val="24"/>
              </w:rPr>
              <w:t>5</w:t>
            </w:r>
            <w:r w:rsidR="009F47B0">
              <w:rPr>
                <w:rFonts w:ascii="Arial" w:hAnsi="Arial" w:cs="Arial"/>
                <w:sz w:val="24"/>
                <w:szCs w:val="24"/>
              </w:rPr>
              <w:t>-</w:t>
            </w:r>
            <w:r w:rsidRPr="00B42A28">
              <w:rPr>
                <w:rFonts w:ascii="Arial" w:hAnsi="Arial" w:cs="Arial"/>
                <w:sz w:val="24"/>
                <w:szCs w:val="24"/>
              </w:rPr>
              <w:t>2</w:t>
            </w:r>
            <w:r w:rsidR="009B0E0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ED822" w14:textId="11D499C9" w:rsidR="00F17338" w:rsidRPr="00B42A28" w:rsidRDefault="00F17338" w:rsidP="00F17338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5B5D3B89" w14:textId="73C013EA" w:rsidR="009F47B0" w:rsidRPr="003537F2" w:rsidRDefault="00D025F8" w:rsidP="009F47B0">
            <w:pPr>
              <w:rPr>
                <w:rFonts w:ascii="Arial" w:hAnsi="Arial" w:cs="Arial"/>
              </w:rPr>
            </w:pPr>
            <w:r w:rsidRPr="009F47B0">
              <w:rPr>
                <w:rFonts w:ascii="Arial" w:hAnsi="Arial" w:cs="Arial"/>
              </w:rPr>
              <w:t>N/A – Starts in 202</w:t>
            </w:r>
            <w:r w:rsidR="009B0E0E">
              <w:rPr>
                <w:rFonts w:ascii="Arial" w:hAnsi="Arial" w:cs="Arial"/>
              </w:rPr>
              <w:t>5</w:t>
            </w:r>
            <w:r w:rsidRPr="009F47B0">
              <w:rPr>
                <w:rFonts w:ascii="Arial" w:hAnsi="Arial" w:cs="Arial"/>
              </w:rPr>
              <w:t>-2</w:t>
            </w:r>
            <w:r w:rsidR="009B0E0E">
              <w:rPr>
                <w:rFonts w:ascii="Arial" w:hAnsi="Arial" w:cs="Arial"/>
              </w:rPr>
              <w:t>6</w:t>
            </w:r>
          </w:p>
          <w:p w14:paraId="58D7CEA0" w14:textId="5D067256" w:rsidR="009F47B0" w:rsidRPr="00B42A28" w:rsidRDefault="009F47B0" w:rsidP="009F47B0"/>
        </w:tc>
        <w:tc>
          <w:tcPr>
            <w:tcW w:w="2300" w:type="dxa"/>
            <w:shd w:val="clear" w:color="auto" w:fill="auto"/>
          </w:tcPr>
          <w:p w14:paraId="320B9DA4" w14:textId="77777777" w:rsidR="009B0E0E" w:rsidRPr="00B42A28" w:rsidRDefault="009B0E0E" w:rsidP="009B0E0E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02AB5E72" w14:textId="77777777" w:rsidR="009B0E0E" w:rsidRPr="00B42A28" w:rsidRDefault="009B0E0E" w:rsidP="009B0E0E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1D19B89C" w14:textId="15055854" w:rsidR="009F47B0" w:rsidRDefault="009B0E0E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Funds available to QEs</w:t>
            </w:r>
            <w:r>
              <w:rPr>
                <w:rFonts w:ascii="Arial" w:hAnsi="Arial" w:cs="Arial"/>
                <w:sz w:val="24"/>
                <w:szCs w:val="24"/>
              </w:rPr>
              <w:t>, to extend implementation grants by 2 years</w:t>
            </w:r>
            <w:r w:rsidR="00C33C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C76D1C" w14:textId="77777777" w:rsidR="009F47B0" w:rsidRDefault="009F47B0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13066B18" w14:textId="7ECBF6C9" w:rsidR="009F47B0" w:rsidRPr="00B42A28" w:rsidRDefault="009F47B0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8472C51" w14:textId="4A40DC40" w:rsidR="00F17338" w:rsidRPr="00B42A28" w:rsidRDefault="00B64270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5D7C0CE5" w14:textId="354E5898" w:rsidR="00177468" w:rsidRPr="00B42A28" w:rsidRDefault="00177468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7B079590" w14:textId="75701555" w:rsidR="00F17338" w:rsidRPr="00B42A28" w:rsidRDefault="00177468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 xml:space="preserve">Funds available to </w:t>
            </w:r>
            <w:r w:rsidR="00CE2D42" w:rsidRPr="00B42A28">
              <w:rPr>
                <w:rFonts w:ascii="Arial" w:hAnsi="Arial" w:cs="Arial"/>
                <w:sz w:val="24"/>
                <w:szCs w:val="24"/>
              </w:rPr>
              <w:t>QE</w:t>
            </w:r>
            <w:r w:rsidRPr="00B42A28">
              <w:rPr>
                <w:rFonts w:ascii="Arial" w:hAnsi="Arial" w:cs="Arial"/>
                <w:sz w:val="24"/>
                <w:szCs w:val="24"/>
              </w:rPr>
              <w:t>s</w:t>
            </w:r>
            <w:r w:rsidR="00D95CFC">
              <w:rPr>
                <w:rFonts w:ascii="Arial" w:hAnsi="Arial" w:cs="Arial"/>
                <w:sz w:val="24"/>
                <w:szCs w:val="24"/>
              </w:rPr>
              <w:t>, to extend implementation grants by 2 years.</w:t>
            </w:r>
          </w:p>
        </w:tc>
        <w:tc>
          <w:tcPr>
            <w:tcW w:w="2300" w:type="dxa"/>
          </w:tcPr>
          <w:p w14:paraId="6D01B67D" w14:textId="64483300" w:rsidR="00F17338" w:rsidRPr="00B42A28" w:rsidRDefault="00B64270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75C2B8F1" w14:textId="77777777" w:rsidR="00F17338" w:rsidRPr="00B42A28" w:rsidRDefault="00F17338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4A3DE62B" w14:textId="573E707A" w:rsidR="00F17338" w:rsidRPr="00B42A28" w:rsidRDefault="00C33CD7" w:rsidP="00F1733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(Note: First </w:t>
            </w:r>
            <w:r w:rsidR="001544FD">
              <w:rPr>
                <w:rFonts w:ascii="Arial" w:hAnsi="Arial" w:cs="Arial"/>
                <w:sz w:val="24"/>
                <w:szCs w:val="24"/>
              </w:rPr>
              <w:t>year</w:t>
            </w:r>
            <w:r w:rsidR="00DA7F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post 5-year grant period for implementation grants Cohort 1)</w:t>
            </w:r>
          </w:p>
        </w:tc>
      </w:tr>
      <w:tr w:rsidR="00A82D45" w:rsidRPr="00B42A28" w14:paraId="2A58A2CB" w14:textId="77777777" w:rsidTr="004B06DC">
        <w:trPr>
          <w:cantSplit/>
          <w:trHeight w:val="1085"/>
        </w:trPr>
        <w:tc>
          <w:tcPr>
            <w:tcW w:w="2609" w:type="dxa"/>
            <w:shd w:val="clear" w:color="auto" w:fill="D5D5D5" w:themeFill="background2"/>
          </w:tcPr>
          <w:p w14:paraId="4FB1AC68" w14:textId="77777777" w:rsidR="00A82D45" w:rsidRDefault="00A82D45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for coordination (COEs)</w:t>
            </w:r>
          </w:p>
          <w:p w14:paraId="40E08228" w14:textId="77777777" w:rsidR="00B47091" w:rsidRDefault="00A82D45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$140,000,000 </w:t>
            </w:r>
          </w:p>
          <w:p w14:paraId="52E0810D" w14:textId="7F24C683" w:rsidR="00A82D45" w:rsidRDefault="00A82D45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 least $200,000 and up to $500,000</w:t>
            </w:r>
            <w:r w:rsidR="00387C0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annually for </w:t>
            </w:r>
            <w:r w:rsidR="00387C08">
              <w:rPr>
                <w:rFonts w:ascii="Arial" w:hAnsi="Arial" w:cs="Arial"/>
                <w:sz w:val="24"/>
                <w:szCs w:val="24"/>
              </w:rPr>
              <w:t>7 years)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09C3AD16" w14:textId="77777777" w:rsidR="00A82D45" w:rsidRPr="00B42A28" w:rsidRDefault="00A82D45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41CC480A" w14:textId="77777777" w:rsidR="00A82D45" w:rsidRDefault="00A82D45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42687885" w14:textId="77777777" w:rsidR="00A82D45" w:rsidRDefault="00A82D45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32D3E4E8" w14:textId="54F47CE6" w:rsidR="00A82D45" w:rsidRPr="00B42A28" w:rsidRDefault="00A82D45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via allocation to COEs for coordination with county-level agencies and partners on behalf of CCSPP grantees.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7CD133A3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00B6EF07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06016FCD" w14:textId="04FC87EF" w:rsidR="00A82D45" w:rsidRPr="00B42A28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via allocation to COEs for coordination with county-level agencies and partners on behalf of CCSPP grantees.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66F78BA1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41B4807A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002AC4F2" w14:textId="44B1B2DE" w:rsidR="00A82D45" w:rsidRPr="00B42A28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via allocation to COEs for coordination with county-level agencies and partners on behalf of CCSPP grantees.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7027D3B9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42F261AF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03D2379B" w14:textId="679A4B9E" w:rsidR="00A82D45" w:rsidRPr="00B42A28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via allocation to COEs for coordination with county-level agencies and partners on behalf of CCSPP grantees.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553CC75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1AD7791A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32ABF7EC" w14:textId="574D90B1" w:rsidR="00A82D45" w:rsidRPr="00B42A28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via allocation to COEs for coordination with county-level agencies and partners on behalf of CCSPP grantees.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5B4C39F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12C18521" w14:textId="77777777" w:rsidR="00A82D45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0A52ECF1" w14:textId="251CF8B7" w:rsidR="00A82D45" w:rsidRPr="00B42A28" w:rsidRDefault="00A82D45" w:rsidP="00A82D4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via allocation to COEs for coordination with county-level agencies and partners on behalf of CCSPP grantees.</w:t>
            </w:r>
          </w:p>
        </w:tc>
      </w:tr>
      <w:tr w:rsidR="004B06DC" w:rsidRPr="00B42A28" w14:paraId="63432A3F" w14:textId="77777777" w:rsidTr="00690069">
        <w:trPr>
          <w:cantSplit/>
          <w:trHeight w:val="1085"/>
        </w:trPr>
        <w:tc>
          <w:tcPr>
            <w:tcW w:w="2609" w:type="dxa"/>
            <w:shd w:val="clear" w:color="auto" w:fill="D5D5D5" w:themeFill="background2"/>
          </w:tcPr>
          <w:p w14:paraId="65B5D505" w14:textId="45A7EDF4" w:rsidR="004B06DC" w:rsidRPr="00B42A28" w:rsidRDefault="004B06DC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</w:t>
            </w:r>
            <w:r w:rsidRPr="00B42A28">
              <w:rPr>
                <w:rFonts w:ascii="Arial" w:hAnsi="Arial" w:cs="Arial"/>
                <w:sz w:val="24"/>
                <w:szCs w:val="24"/>
              </w:rPr>
              <w:t>Technical Assistance Center (LEAs)</w:t>
            </w:r>
          </w:p>
          <w:p w14:paraId="0BBA1017" w14:textId="11C99839" w:rsidR="004B06DC" w:rsidRPr="00B42A28" w:rsidRDefault="004B06DC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24,000</w:t>
            </w:r>
            <w:r w:rsidRPr="00B42A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2301" w:type="dxa"/>
            <w:shd w:val="clear" w:color="auto" w:fill="auto"/>
          </w:tcPr>
          <w:p w14:paraId="23518BAC" w14:textId="6745183D" w:rsidR="004B06DC" w:rsidRPr="00B42A28" w:rsidRDefault="006201C9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SBE approved contract award</w:t>
            </w:r>
            <w:r w:rsidR="00001BC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May 2022 meeting.</w:t>
            </w:r>
          </w:p>
        </w:tc>
        <w:tc>
          <w:tcPr>
            <w:tcW w:w="2300" w:type="dxa"/>
            <w:shd w:val="clear" w:color="auto" w:fill="auto"/>
          </w:tcPr>
          <w:p w14:paraId="0089EE55" w14:textId="77777777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12,000,000</w:t>
            </w:r>
          </w:p>
          <w:p w14:paraId="4688E4DB" w14:textId="77777777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7001442A" w14:textId="19069281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</w:t>
            </w:r>
            <w:r w:rsidR="002B3D52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contract for the Lead Technical Assistance Center consortium (TAC)</w:t>
            </w:r>
          </w:p>
        </w:tc>
        <w:tc>
          <w:tcPr>
            <w:tcW w:w="2300" w:type="dxa"/>
            <w:shd w:val="clear" w:color="auto" w:fill="auto"/>
          </w:tcPr>
          <w:p w14:paraId="38681470" w14:textId="1F51E6C7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0DCD338" w14:textId="27D3FEA5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8FF5527" w14:textId="77777777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12,000,000</w:t>
            </w:r>
          </w:p>
          <w:p w14:paraId="06729CE7" w14:textId="77777777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4E5DF7AC" w14:textId="524D1D00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</w:t>
            </w:r>
            <w:r w:rsidR="002B3D52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contract </w:t>
            </w:r>
            <w:r w:rsidR="002B3D52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the Lead Technical Assistance Center consortium (TAC)</w:t>
            </w:r>
          </w:p>
        </w:tc>
        <w:tc>
          <w:tcPr>
            <w:tcW w:w="2300" w:type="dxa"/>
            <w:shd w:val="clear" w:color="auto" w:fill="auto"/>
          </w:tcPr>
          <w:p w14:paraId="53C7496C" w14:textId="2B4BFBF6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55404A5" w14:textId="1F771075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6DC" w:rsidRPr="00B42A28" w14:paraId="556228E0" w14:textId="77777777" w:rsidTr="004B06DC">
        <w:trPr>
          <w:cantSplit/>
          <w:trHeight w:val="1085"/>
        </w:trPr>
        <w:tc>
          <w:tcPr>
            <w:tcW w:w="2609" w:type="dxa"/>
            <w:shd w:val="clear" w:color="auto" w:fill="D5D5D5" w:themeFill="background2"/>
          </w:tcPr>
          <w:p w14:paraId="5D8000A4" w14:textId="10673EE3" w:rsidR="004B06DC" w:rsidRPr="00B42A28" w:rsidRDefault="004B06DC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Pr="00B42A28">
              <w:rPr>
                <w:rFonts w:ascii="Arial" w:hAnsi="Arial" w:cs="Arial"/>
                <w:sz w:val="24"/>
                <w:szCs w:val="24"/>
              </w:rPr>
              <w:t>Technical Assistance Centers (LEAs)</w:t>
            </w:r>
          </w:p>
          <w:p w14:paraId="056D2179" w14:textId="5A0BA0AB" w:rsidR="004B06DC" w:rsidRDefault="004B06DC" w:rsidP="004B06DC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B42A2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B42A28">
              <w:rPr>
                <w:rFonts w:ascii="Arial" w:hAnsi="Arial" w:cs="Arial"/>
                <w:sz w:val="24"/>
                <w:szCs w:val="24"/>
              </w:rPr>
              <w:t>,833,000</w:t>
            </w:r>
            <w:r w:rsidR="003B339E">
              <w:rPr>
                <w:rFonts w:ascii="Arial" w:hAnsi="Arial" w:cs="Arial"/>
                <w:sz w:val="24"/>
                <w:szCs w:val="24"/>
              </w:rPr>
              <w:t>***</w:t>
            </w:r>
            <w:r w:rsidR="00621D8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46A9C6BE" w14:textId="6F392543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1A959866" w14:textId="30EF2488" w:rsidR="004B06DC" w:rsidRPr="00B42A28" w:rsidRDefault="00562FEF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78043EB8" w14:textId="77777777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7A3A522B" w14:textId="7B3668B6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Regional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TAC</w:t>
            </w:r>
            <w:r w:rsidR="002B3D52">
              <w:rPr>
                <w:rFonts w:ascii="Arial" w:hAnsi="Arial" w:cs="Arial"/>
                <w:sz w:val="24"/>
                <w:szCs w:val="24"/>
              </w:rPr>
              <w:t>s. 3-year contracts, for at least $5,000,000.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A6F3216" w14:textId="43C675A3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06E13037" w14:textId="2363A995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4DABAAB4" w14:textId="77777777" w:rsidR="00562FEF" w:rsidRPr="00B42A28" w:rsidRDefault="00562FEF" w:rsidP="00562FE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  <w:p w14:paraId="4DC09B86" w14:textId="77777777" w:rsidR="00562FEF" w:rsidRPr="00B42A28" w:rsidRDefault="00562FEF" w:rsidP="00562FE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080366A1" w14:textId="711B3F3D" w:rsidR="004B06DC" w:rsidRPr="00B42A28" w:rsidRDefault="00562FEF" w:rsidP="00562FE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Regional</w:t>
            </w:r>
            <w:r w:rsidRPr="00B42A28">
              <w:rPr>
                <w:rFonts w:ascii="Arial" w:hAnsi="Arial" w:cs="Arial"/>
                <w:sz w:val="24"/>
                <w:szCs w:val="24"/>
              </w:rPr>
              <w:t xml:space="preserve"> TAC</w:t>
            </w:r>
            <w:r>
              <w:rPr>
                <w:rFonts w:ascii="Arial" w:hAnsi="Arial" w:cs="Arial"/>
                <w:sz w:val="24"/>
                <w:szCs w:val="24"/>
              </w:rPr>
              <w:t>s. 3-year contracts, for at least $5,000,000.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0584EE42" w14:textId="4CC9E1CD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57B4FD31" w14:textId="0D30403A" w:rsidR="004B06DC" w:rsidRPr="00B42A28" w:rsidRDefault="004B06DC" w:rsidP="004B06DC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B899D7" w14:textId="73D77DF3" w:rsidR="004D4612" w:rsidRDefault="00AD706D" w:rsidP="00B42A28">
      <w:pPr>
        <w:pStyle w:val="Body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</w:t>
      </w:r>
      <w:r w:rsidR="00B42A28">
        <w:rPr>
          <w:rFonts w:ascii="Arial" w:hAnsi="Arial" w:cs="Arial"/>
          <w:sz w:val="24"/>
          <w:szCs w:val="24"/>
        </w:rPr>
        <w:t xml:space="preserve">ed by the California Department of Education, </w:t>
      </w:r>
      <w:r>
        <w:rPr>
          <w:rFonts w:ascii="Arial" w:hAnsi="Arial" w:cs="Arial"/>
          <w:sz w:val="24"/>
          <w:szCs w:val="24"/>
        </w:rPr>
        <w:t>August</w:t>
      </w:r>
      <w:r w:rsidR="00B42A2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</w:p>
    <w:p w14:paraId="1FA22EEF" w14:textId="77777777" w:rsidR="00AD706D" w:rsidRDefault="00AD706D" w:rsidP="00B42A28">
      <w:pPr>
        <w:pStyle w:val="Body"/>
        <w:spacing w:before="120"/>
        <w:rPr>
          <w:rFonts w:ascii="Arial" w:hAnsi="Arial" w:cs="Arial"/>
          <w:sz w:val="24"/>
          <w:szCs w:val="24"/>
        </w:rPr>
      </w:pPr>
    </w:p>
    <w:p w14:paraId="15E9B323" w14:textId="14A66E47" w:rsidR="00AD706D" w:rsidRDefault="003B339E" w:rsidP="003B339E">
      <w:pPr>
        <w:pStyle w:val="Body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AD706D">
        <w:rPr>
          <w:rFonts w:ascii="Arial" w:hAnsi="Arial" w:cs="Arial"/>
          <w:sz w:val="24"/>
          <w:szCs w:val="24"/>
        </w:rPr>
        <w:t xml:space="preserve">In 2022, </w:t>
      </w:r>
      <w:r w:rsidR="005E6A6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Legislature </w:t>
      </w:r>
      <w:r w:rsidR="00980538">
        <w:rPr>
          <w:rFonts w:ascii="Arial" w:hAnsi="Arial" w:cs="Arial"/>
          <w:sz w:val="24"/>
          <w:szCs w:val="24"/>
        </w:rPr>
        <w:t xml:space="preserve">allocated an </w:t>
      </w:r>
      <w:r w:rsidR="00980538" w:rsidRPr="00BA1489">
        <w:rPr>
          <w:rFonts w:ascii="Arial" w:hAnsi="Arial" w:cs="Arial"/>
          <w:sz w:val="24"/>
          <w:szCs w:val="24"/>
        </w:rPr>
        <w:t xml:space="preserve">additional </w:t>
      </w:r>
      <w:r w:rsidR="00BA1489" w:rsidRPr="00BA1489">
        <w:rPr>
          <w:sz w:val="24"/>
          <w:szCs w:val="24"/>
        </w:rPr>
        <w:t>$1,132,554,000</w:t>
      </w:r>
      <w:r w:rsidR="00BA1489" w:rsidRPr="00BA1489">
        <w:rPr>
          <w:rFonts w:cs="Arial"/>
          <w:sz w:val="24"/>
          <w:szCs w:val="24"/>
        </w:rPr>
        <w:t xml:space="preserve"> for implementation and extension grants (includ</w:t>
      </w:r>
      <w:r w:rsidR="00BA1489">
        <w:rPr>
          <w:rFonts w:cs="Arial"/>
          <w:sz w:val="24"/>
          <w:szCs w:val="24"/>
        </w:rPr>
        <w:t>ing</w:t>
      </w:r>
      <w:r w:rsidR="00BA1489" w:rsidRPr="00BA1489">
        <w:rPr>
          <w:rFonts w:cs="Arial"/>
          <w:sz w:val="24"/>
          <w:szCs w:val="24"/>
        </w:rPr>
        <w:t xml:space="preserve"> $140,000,000 allocated for grants to COEs for coordination</w:t>
      </w:r>
      <w:r w:rsidR="00BA1489">
        <w:rPr>
          <w:rFonts w:cs="Arial"/>
          <w:sz w:val="24"/>
          <w:szCs w:val="24"/>
        </w:rPr>
        <w:t>) and extended the overall program timeline through the 2030-31 fiscal year.</w:t>
      </w:r>
    </w:p>
    <w:p w14:paraId="41213E85" w14:textId="4B58AE08" w:rsidR="003B339E" w:rsidRDefault="003B339E" w:rsidP="00B42A28">
      <w:pPr>
        <w:pStyle w:val="Body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D95CFC">
        <w:rPr>
          <w:rFonts w:ascii="Arial" w:hAnsi="Arial" w:cs="Arial"/>
          <w:sz w:val="24"/>
          <w:szCs w:val="24"/>
        </w:rPr>
        <w:t>Per statute, implementation grant funds must be held in reserve for planning grantees.</w:t>
      </w:r>
    </w:p>
    <w:p w14:paraId="1779736A" w14:textId="3D6B61FB" w:rsidR="00621D82" w:rsidRDefault="003B339E" w:rsidP="00B42A28">
      <w:pPr>
        <w:pStyle w:val="Body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  <w:r w:rsidR="00621D82">
        <w:rPr>
          <w:rFonts w:ascii="Arial" w:hAnsi="Arial" w:cs="Arial"/>
          <w:sz w:val="24"/>
          <w:szCs w:val="24"/>
        </w:rPr>
        <w:t xml:space="preserve">In 2022, ‘coordination’ grants </w:t>
      </w:r>
      <w:r w:rsidR="00A16E1B">
        <w:rPr>
          <w:rFonts w:ascii="Arial" w:hAnsi="Arial" w:cs="Arial"/>
          <w:sz w:val="24"/>
          <w:szCs w:val="24"/>
        </w:rPr>
        <w:t xml:space="preserve">were </w:t>
      </w:r>
      <w:r w:rsidR="00621D82">
        <w:rPr>
          <w:rFonts w:ascii="Arial" w:hAnsi="Arial" w:cs="Arial"/>
          <w:sz w:val="24"/>
          <w:szCs w:val="24"/>
        </w:rPr>
        <w:t>replaced with 2-year extension grants for implementation grantees.</w:t>
      </w:r>
      <w:r w:rsidR="00226FB8">
        <w:rPr>
          <w:rFonts w:ascii="Arial" w:hAnsi="Arial" w:cs="Arial"/>
          <w:sz w:val="24"/>
          <w:szCs w:val="24"/>
        </w:rPr>
        <w:t xml:space="preserve"> Statute allows for these grants to start in 2025-26. </w:t>
      </w:r>
      <w:r w:rsidR="00185199">
        <w:rPr>
          <w:rFonts w:ascii="Arial" w:hAnsi="Arial" w:cs="Arial"/>
          <w:sz w:val="24"/>
          <w:szCs w:val="24"/>
        </w:rPr>
        <w:t xml:space="preserve">Note: </w:t>
      </w:r>
      <w:r w:rsidR="00DA5922">
        <w:rPr>
          <w:rFonts w:ascii="Arial" w:hAnsi="Arial" w:cs="Arial"/>
          <w:sz w:val="24"/>
          <w:szCs w:val="24"/>
        </w:rPr>
        <w:t>T</w:t>
      </w:r>
      <w:r w:rsidR="00226FB8">
        <w:rPr>
          <w:rFonts w:ascii="Arial" w:hAnsi="Arial" w:cs="Arial"/>
          <w:sz w:val="24"/>
          <w:szCs w:val="24"/>
        </w:rPr>
        <w:t>he first fiscal year that implementation grantees would be ready for extensions (i.e. 5-year implementation grant periods have ended) is 2027-28.</w:t>
      </w:r>
    </w:p>
    <w:p w14:paraId="3A40BBE9" w14:textId="2707A35B" w:rsidR="003B339E" w:rsidRPr="00BE4AD6" w:rsidRDefault="00621D82" w:rsidP="00B42A28">
      <w:pPr>
        <w:pStyle w:val="Body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  <w:r w:rsidR="003B339E">
        <w:rPr>
          <w:rFonts w:ascii="Arial" w:hAnsi="Arial" w:cs="Arial"/>
          <w:sz w:val="24"/>
          <w:szCs w:val="24"/>
        </w:rPr>
        <w:t>8 Regional Technical Assistance Center contracts to be approved by the SBE at the November 2022 meeting.</w:t>
      </w:r>
      <w:r w:rsidR="006109B4">
        <w:rPr>
          <w:rFonts w:ascii="Arial" w:hAnsi="Arial" w:cs="Arial"/>
          <w:sz w:val="24"/>
          <w:szCs w:val="24"/>
        </w:rPr>
        <w:t xml:space="preserve"> </w:t>
      </w:r>
      <w:r w:rsidR="00562FEF">
        <w:rPr>
          <w:rFonts w:ascii="Arial" w:hAnsi="Arial" w:cs="Arial"/>
          <w:sz w:val="24"/>
          <w:szCs w:val="24"/>
        </w:rPr>
        <w:t xml:space="preserve">3-year contracts for at least $5,000,000. See </w:t>
      </w:r>
      <w:r w:rsidR="001C7577">
        <w:rPr>
          <w:rFonts w:ascii="Arial" w:hAnsi="Arial" w:cs="Arial"/>
          <w:sz w:val="24"/>
          <w:szCs w:val="24"/>
        </w:rPr>
        <w:t xml:space="preserve">August </w:t>
      </w:r>
      <w:r w:rsidR="00562FEF">
        <w:rPr>
          <w:rFonts w:ascii="Arial" w:hAnsi="Arial" w:cs="Arial"/>
          <w:sz w:val="24"/>
          <w:szCs w:val="24"/>
        </w:rPr>
        <w:t>memo for factors that will be considered for contract amounts above $5,000,000.</w:t>
      </w:r>
    </w:p>
    <w:sectPr w:rsidR="003B339E" w:rsidRPr="00BE4AD6" w:rsidSect="00DB318E">
      <w:headerReference w:type="default" r:id="rId8"/>
      <w:pgSz w:w="20160" w:h="12240" w:orient="landscape" w:code="5"/>
      <w:pgMar w:top="432" w:right="720" w:bottom="43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40BD" w14:textId="77777777" w:rsidR="00C20DCF" w:rsidRDefault="00C20DCF">
      <w:r>
        <w:separator/>
      </w:r>
    </w:p>
  </w:endnote>
  <w:endnote w:type="continuationSeparator" w:id="0">
    <w:p w14:paraId="6EB2024E" w14:textId="77777777" w:rsidR="00C20DCF" w:rsidRDefault="00C2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7301" w14:textId="77777777" w:rsidR="00C20DCF" w:rsidRDefault="00C20DCF">
      <w:r>
        <w:separator/>
      </w:r>
    </w:p>
  </w:footnote>
  <w:footnote w:type="continuationSeparator" w:id="0">
    <w:p w14:paraId="0712F4F6" w14:textId="77777777" w:rsidR="00C20DCF" w:rsidRDefault="00C2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A11E" w14:textId="2BDC5D11" w:rsidR="00B42A28" w:rsidRDefault="00027997" w:rsidP="002F4E0B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s</w:t>
    </w:r>
    <w:r w:rsidR="00876B7A">
      <w:rPr>
        <w:rFonts w:ascii="Arial" w:hAnsi="Arial" w:cs="Arial"/>
      </w:rPr>
      <w:t>ss</w:t>
    </w:r>
    <w:r>
      <w:rPr>
        <w:rFonts w:ascii="Arial" w:hAnsi="Arial" w:cs="Arial"/>
      </w:rPr>
      <w:t>b</w:t>
    </w:r>
    <w:r w:rsidR="00B42A28">
      <w:rPr>
        <w:rFonts w:ascii="Arial" w:hAnsi="Arial" w:cs="Arial"/>
      </w:rPr>
      <w:t>-cctd-</w:t>
    </w:r>
    <w:r w:rsidR="002A4CC5">
      <w:rPr>
        <w:rFonts w:ascii="Arial" w:hAnsi="Arial" w:cs="Arial"/>
      </w:rPr>
      <w:t>aug</w:t>
    </w:r>
    <w:r w:rsidR="00B42A28">
      <w:rPr>
        <w:rFonts w:ascii="Arial" w:hAnsi="Arial" w:cs="Arial"/>
      </w:rPr>
      <w:t>2</w:t>
    </w:r>
    <w:r w:rsidR="002A4CC5">
      <w:rPr>
        <w:rFonts w:ascii="Arial" w:hAnsi="Arial" w:cs="Arial"/>
      </w:rPr>
      <w:t>2</w:t>
    </w:r>
    <w:r w:rsidR="00B42A28">
      <w:rPr>
        <w:rFonts w:ascii="Arial" w:hAnsi="Arial" w:cs="Arial"/>
      </w:rPr>
      <w:t>item01a01</w:t>
    </w:r>
  </w:p>
  <w:p w14:paraId="3A8B2290" w14:textId="5F37D224" w:rsidR="002F4E0B" w:rsidRPr="00D05AD8" w:rsidRDefault="002F4E0B" w:rsidP="002F4E0B">
    <w:pPr>
      <w:pStyle w:val="Header"/>
      <w:jc w:val="right"/>
      <w:rPr>
        <w:rFonts w:ascii="Arial" w:hAnsi="Arial" w:cs="Arial"/>
      </w:rPr>
    </w:pPr>
    <w:r w:rsidRPr="00D05AD8">
      <w:rPr>
        <w:rFonts w:ascii="Arial" w:hAnsi="Arial" w:cs="Arial"/>
      </w:rPr>
      <w:t>Attachment 1</w:t>
    </w:r>
  </w:p>
  <w:p w14:paraId="06B9D318" w14:textId="77B6676F" w:rsidR="002F4E0B" w:rsidRPr="00D05AD8" w:rsidRDefault="002F4E0B" w:rsidP="00B42A28">
    <w:pPr>
      <w:pStyle w:val="Header"/>
      <w:spacing w:after="360"/>
      <w:jc w:val="right"/>
      <w:rPr>
        <w:rFonts w:ascii="Arial" w:hAnsi="Arial" w:cs="Arial"/>
      </w:rPr>
    </w:pPr>
    <w:r w:rsidRPr="00D05AD8">
      <w:rPr>
        <w:rFonts w:ascii="Arial" w:hAnsi="Arial" w:cs="Arial"/>
      </w:rPr>
      <w:t xml:space="preserve">Page </w:t>
    </w:r>
    <w:r w:rsidRPr="00D05AD8">
      <w:rPr>
        <w:rFonts w:ascii="Arial" w:hAnsi="Arial" w:cs="Arial"/>
      </w:rPr>
      <w:fldChar w:fldCharType="begin"/>
    </w:r>
    <w:r w:rsidRPr="00D05AD8">
      <w:rPr>
        <w:rFonts w:ascii="Arial" w:hAnsi="Arial" w:cs="Arial"/>
      </w:rPr>
      <w:instrText xml:space="preserve"> PAGE   \* MERGEFORMAT </w:instrText>
    </w:r>
    <w:r w:rsidRPr="00D05AD8">
      <w:rPr>
        <w:rFonts w:ascii="Arial" w:hAnsi="Arial" w:cs="Arial"/>
      </w:rPr>
      <w:fldChar w:fldCharType="separate"/>
    </w:r>
    <w:r w:rsidRPr="00D05AD8">
      <w:rPr>
        <w:rFonts w:ascii="Arial" w:hAnsi="Arial" w:cs="Arial"/>
        <w:noProof/>
      </w:rPr>
      <w:t>1</w:t>
    </w:r>
    <w:r w:rsidRPr="00D05AD8">
      <w:rPr>
        <w:rFonts w:ascii="Arial" w:hAnsi="Arial" w:cs="Arial"/>
        <w:noProof/>
      </w:rPr>
      <w:fldChar w:fldCharType="end"/>
    </w:r>
    <w:r w:rsidRPr="00D05AD8">
      <w:rPr>
        <w:rFonts w:ascii="Arial" w:hAnsi="Arial" w:cs="Arial"/>
        <w:noProof/>
      </w:rPr>
      <w:t xml:space="preserve"> of </w:t>
    </w:r>
    <w:r w:rsidR="00F82DDD">
      <w:rPr>
        <w:rFonts w:ascii="Arial" w:hAnsi="Arial" w:cs="Arial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C1E"/>
    <w:multiLevelType w:val="hybridMultilevel"/>
    <w:tmpl w:val="8632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7FBB"/>
    <w:multiLevelType w:val="hybridMultilevel"/>
    <w:tmpl w:val="1AA6C7DA"/>
    <w:lvl w:ilvl="0" w:tplc="D940F148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38"/>
    <w:rsid w:val="00001BC7"/>
    <w:rsid w:val="00027997"/>
    <w:rsid w:val="0005405C"/>
    <w:rsid w:val="000A00E3"/>
    <w:rsid w:val="000E2627"/>
    <w:rsid w:val="001050D8"/>
    <w:rsid w:val="00113C8B"/>
    <w:rsid w:val="001544FD"/>
    <w:rsid w:val="00177468"/>
    <w:rsid w:val="00185199"/>
    <w:rsid w:val="001A6C90"/>
    <w:rsid w:val="001B3BB9"/>
    <w:rsid w:val="001C7577"/>
    <w:rsid w:val="001F43C2"/>
    <w:rsid w:val="002216DC"/>
    <w:rsid w:val="00224E16"/>
    <w:rsid w:val="00226FB8"/>
    <w:rsid w:val="0025146B"/>
    <w:rsid w:val="002A4CC5"/>
    <w:rsid w:val="002A616B"/>
    <w:rsid w:val="002B3D52"/>
    <w:rsid w:val="002F4E0B"/>
    <w:rsid w:val="00301155"/>
    <w:rsid w:val="00301232"/>
    <w:rsid w:val="00333914"/>
    <w:rsid w:val="00351617"/>
    <w:rsid w:val="003537F2"/>
    <w:rsid w:val="00387C08"/>
    <w:rsid w:val="003A6294"/>
    <w:rsid w:val="003B339E"/>
    <w:rsid w:val="00405C85"/>
    <w:rsid w:val="004B06DC"/>
    <w:rsid w:val="004C33FF"/>
    <w:rsid w:val="004D4612"/>
    <w:rsid w:val="00532BF8"/>
    <w:rsid w:val="00562FEF"/>
    <w:rsid w:val="00567EB3"/>
    <w:rsid w:val="00580DA5"/>
    <w:rsid w:val="005D0FA5"/>
    <w:rsid w:val="005E6A6E"/>
    <w:rsid w:val="006109B4"/>
    <w:rsid w:val="006201C9"/>
    <w:rsid w:val="00621D82"/>
    <w:rsid w:val="00626083"/>
    <w:rsid w:val="00635AA8"/>
    <w:rsid w:val="0067217E"/>
    <w:rsid w:val="00690069"/>
    <w:rsid w:val="00696FAE"/>
    <w:rsid w:val="006E1C18"/>
    <w:rsid w:val="006F6C96"/>
    <w:rsid w:val="007021BF"/>
    <w:rsid w:val="00750C15"/>
    <w:rsid w:val="00816FE8"/>
    <w:rsid w:val="00825BD5"/>
    <w:rsid w:val="00876B7A"/>
    <w:rsid w:val="008E3BB7"/>
    <w:rsid w:val="00900D09"/>
    <w:rsid w:val="00904FA3"/>
    <w:rsid w:val="00914B1E"/>
    <w:rsid w:val="00950482"/>
    <w:rsid w:val="00980538"/>
    <w:rsid w:val="009B0E0E"/>
    <w:rsid w:val="009C076A"/>
    <w:rsid w:val="009C13E2"/>
    <w:rsid w:val="009F05EA"/>
    <w:rsid w:val="009F47B0"/>
    <w:rsid w:val="00A16E1B"/>
    <w:rsid w:val="00A47CC9"/>
    <w:rsid w:val="00A82D45"/>
    <w:rsid w:val="00AB35B9"/>
    <w:rsid w:val="00AD706D"/>
    <w:rsid w:val="00B42A28"/>
    <w:rsid w:val="00B47091"/>
    <w:rsid w:val="00B64270"/>
    <w:rsid w:val="00BA1489"/>
    <w:rsid w:val="00BA3BF2"/>
    <w:rsid w:val="00BA6639"/>
    <w:rsid w:val="00BE4430"/>
    <w:rsid w:val="00BE4AD6"/>
    <w:rsid w:val="00BE5946"/>
    <w:rsid w:val="00C20DCF"/>
    <w:rsid w:val="00C33CD7"/>
    <w:rsid w:val="00CC2BC4"/>
    <w:rsid w:val="00CC4094"/>
    <w:rsid w:val="00CE2D42"/>
    <w:rsid w:val="00D025F8"/>
    <w:rsid w:val="00D05AD8"/>
    <w:rsid w:val="00D31E52"/>
    <w:rsid w:val="00D662EB"/>
    <w:rsid w:val="00D7048A"/>
    <w:rsid w:val="00D86243"/>
    <w:rsid w:val="00D953EC"/>
    <w:rsid w:val="00D95CFC"/>
    <w:rsid w:val="00DA5922"/>
    <w:rsid w:val="00DA7FE5"/>
    <w:rsid w:val="00DB318E"/>
    <w:rsid w:val="00DC45CB"/>
    <w:rsid w:val="00DE0227"/>
    <w:rsid w:val="00E03677"/>
    <w:rsid w:val="00E45BBA"/>
    <w:rsid w:val="00E70FE4"/>
    <w:rsid w:val="00EC1D0F"/>
    <w:rsid w:val="00ED4E97"/>
    <w:rsid w:val="00EE5F08"/>
    <w:rsid w:val="00F17338"/>
    <w:rsid w:val="00F752E5"/>
    <w:rsid w:val="00F82DDD"/>
    <w:rsid w:val="00F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5A33B69"/>
  <w15:docId w15:val="{A5102CAF-882D-4BD3-A7F0-E7FB899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A28"/>
    <w:pPr>
      <w:spacing w:after="24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E4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A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AD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0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C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2A28"/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580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88BF-34F3-4809-8017-727FCEE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2021 Agenda Item 17 Attachment 1 - Meeting Agendas (CA State Board of Education)</vt:lpstr>
    </vt:vector>
  </TitlesOfParts>
  <Company>California State Board of Education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2022 Memo SSSB CCTD Item 01 Attachment 1 - Information Memorandum (CA State Board of Education)</dc:title>
  <dc:subject>California Community Schools Partnership Program Timeline.</dc:subject>
  <dc:creator/>
  <cp:keywords/>
  <dc:description/>
  <dcterms:created xsi:type="dcterms:W3CDTF">2022-08-19T20:02:00Z</dcterms:created>
  <dcterms:modified xsi:type="dcterms:W3CDTF">2022-08-19T21:00:00Z</dcterms:modified>
  <cp:category/>
</cp:coreProperties>
</file>