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0A2C" w14:textId="77777777" w:rsidR="00057A96" w:rsidRDefault="00057A96" w:rsidP="00057A96">
      <w:r>
        <w:t>California Department of Education</w:t>
      </w:r>
    </w:p>
    <w:p w14:paraId="769AE30B" w14:textId="77777777" w:rsidR="00057A96" w:rsidRDefault="00057A96" w:rsidP="00057A96">
      <w:r>
        <w:t>Executive Office</w:t>
      </w:r>
    </w:p>
    <w:p w14:paraId="2F050B84" w14:textId="77777777" w:rsidR="00982A10" w:rsidRDefault="00057A96" w:rsidP="00982A10">
      <w:r>
        <w:t>SBE-00</w:t>
      </w:r>
      <w:r w:rsidR="00BC376B">
        <w:t>2</w:t>
      </w:r>
      <w:r>
        <w:t xml:space="preserve"> (REV. 1</w:t>
      </w:r>
      <w:r w:rsidR="000C139F">
        <w:t>1</w:t>
      </w:r>
      <w:r>
        <w:t>/2017)</w:t>
      </w:r>
    </w:p>
    <w:p w14:paraId="6F979DCB" w14:textId="48858D8B" w:rsidR="00982A10" w:rsidRDefault="00982A10" w:rsidP="00982A10">
      <w:r>
        <w:br w:type="column"/>
      </w:r>
      <w:r w:rsidR="00C14098" w:rsidRPr="005E4BF5">
        <w:t>memo-im</w:t>
      </w:r>
      <w:r w:rsidR="00EF16D4" w:rsidRPr="005E4BF5">
        <w:t>a</w:t>
      </w:r>
      <w:r w:rsidR="00C14098" w:rsidRPr="005E4BF5">
        <w:t>b-adad-</w:t>
      </w:r>
      <w:r w:rsidR="006028E0">
        <w:t>jun</w:t>
      </w:r>
      <w:r w:rsidR="00B17237" w:rsidRPr="005E4BF5">
        <w:t>2</w:t>
      </w:r>
      <w:r w:rsidR="00316875" w:rsidRPr="005E4BF5">
        <w:t>3</w:t>
      </w:r>
      <w:r w:rsidR="00C14098" w:rsidRPr="005E4BF5">
        <w:t>item0</w:t>
      </w:r>
      <w:r w:rsidR="003D62BD" w:rsidRPr="005E4BF5">
        <w:t>1</w:t>
      </w:r>
    </w:p>
    <w:p w14:paraId="268D6298" w14:textId="77777777" w:rsidR="00982A10" w:rsidRDefault="00982A10" w:rsidP="002E654F">
      <w:pPr>
        <w:pStyle w:val="Heading1"/>
        <w:sectPr w:rsidR="00982A10" w:rsidSect="00982A10">
          <w:type w:val="continuous"/>
          <w:pgSz w:w="12240" w:h="15840"/>
          <w:pgMar w:top="720" w:right="1440" w:bottom="1440" w:left="1440" w:header="720" w:footer="720" w:gutter="0"/>
          <w:cols w:num="2" w:space="144" w:equalWidth="0">
            <w:col w:w="5760" w:space="144"/>
            <w:col w:w="3456"/>
          </w:cols>
        </w:sectPr>
      </w:pPr>
    </w:p>
    <w:p w14:paraId="190C1FC9" w14:textId="77777777" w:rsidR="00057A96" w:rsidRPr="00390D7B" w:rsidRDefault="00BC376B" w:rsidP="002E654F">
      <w:pPr>
        <w:pStyle w:val="Heading1"/>
      </w:pPr>
      <w:r w:rsidRPr="002E654F">
        <w:t>MEMORANDUM</w:t>
      </w:r>
    </w:p>
    <w:p w14:paraId="012C2F33" w14:textId="6BBD9B2D" w:rsidR="00057A96" w:rsidRPr="008B1135" w:rsidRDefault="008F6CA0" w:rsidP="005E7463">
      <w:pPr>
        <w:pStyle w:val="MessageHeader"/>
      </w:pPr>
      <w:r w:rsidRPr="008F6CA0">
        <w:rPr>
          <w:b/>
        </w:rPr>
        <w:t>DATE:</w:t>
      </w:r>
      <w:r>
        <w:tab/>
      </w:r>
      <w:r w:rsidR="005E4BF5" w:rsidRPr="005E4BF5">
        <w:t>June</w:t>
      </w:r>
      <w:r w:rsidR="00316875" w:rsidRPr="005E4BF5">
        <w:t xml:space="preserve"> </w:t>
      </w:r>
      <w:r w:rsidR="00DC0182" w:rsidRPr="00DC0182">
        <w:t>1</w:t>
      </w:r>
      <w:r w:rsidR="008C707C">
        <w:t>6</w:t>
      </w:r>
      <w:r w:rsidR="00316875" w:rsidRPr="005E4BF5">
        <w:t>, 2023</w:t>
      </w:r>
    </w:p>
    <w:p w14:paraId="171B6E74" w14:textId="38A635AE" w:rsidR="00057A96" w:rsidRPr="00C61F78" w:rsidRDefault="00057A96" w:rsidP="005E7463">
      <w:pPr>
        <w:pStyle w:val="MessageHeader"/>
      </w:pPr>
      <w:r w:rsidRPr="008B1135">
        <w:rPr>
          <w:b/>
        </w:rPr>
        <w:t>TO:</w:t>
      </w:r>
      <w:r w:rsidRPr="00C61F78">
        <w:rPr>
          <w:b/>
        </w:rPr>
        <w:tab/>
      </w:r>
      <w:r w:rsidRPr="00C61F78">
        <w:t>MEMBERS, State Board of Education</w:t>
      </w:r>
    </w:p>
    <w:p w14:paraId="12691117" w14:textId="77777777" w:rsidR="00057A96" w:rsidRPr="0033616F" w:rsidRDefault="00057A96" w:rsidP="005E7463">
      <w:pPr>
        <w:pStyle w:val="MessageHeader"/>
      </w:pPr>
      <w:r w:rsidRPr="008B1135">
        <w:rPr>
          <w:b/>
        </w:rPr>
        <w:t>FROM:</w:t>
      </w:r>
      <w:r w:rsidR="00C61F78">
        <w:tab/>
        <w:t>TO</w:t>
      </w:r>
      <w:r w:rsidR="001D4A5B">
        <w:t>NY THURMOND</w:t>
      </w:r>
      <w:r w:rsidR="00C61F78">
        <w:t xml:space="preserve">, </w:t>
      </w:r>
      <w:r w:rsidRPr="0033616F">
        <w:t>State Superintendent of Public Instruction</w:t>
      </w:r>
    </w:p>
    <w:p w14:paraId="63C16021" w14:textId="78C3AD3A" w:rsidR="00597CBE" w:rsidRPr="0033616F" w:rsidRDefault="00057A96" w:rsidP="005E7463">
      <w:pPr>
        <w:pStyle w:val="MessageHeader"/>
      </w:pPr>
      <w:r w:rsidRPr="008B1135">
        <w:rPr>
          <w:b/>
        </w:rPr>
        <w:t>SUBJECT:</w:t>
      </w:r>
      <w:r>
        <w:tab/>
      </w:r>
      <w:r w:rsidR="00BC1859">
        <w:t xml:space="preserve">California Assessment of Student Performance and Progress and English Language Proficiency Assessments </w:t>
      </w:r>
      <w:r w:rsidR="009E505F">
        <w:t>for</w:t>
      </w:r>
      <w:r w:rsidR="00BC1859">
        <w:t xml:space="preserve"> California Student Score Reports </w:t>
      </w:r>
      <w:r w:rsidR="00E44C6F">
        <w:t>Redesign and Development</w:t>
      </w:r>
      <w:r w:rsidR="00BC1859">
        <w:t>.</w:t>
      </w:r>
    </w:p>
    <w:p w14:paraId="0C91C019" w14:textId="77777777" w:rsidR="00057A96" w:rsidRPr="008B1135" w:rsidRDefault="00474A2F" w:rsidP="009B13A1">
      <w:pPr>
        <w:pStyle w:val="Heading2"/>
        <w:spacing w:before="240" w:after="240"/>
        <w:rPr>
          <w:sz w:val="36"/>
          <w:szCs w:val="36"/>
        </w:rPr>
      </w:pPr>
      <w:r w:rsidRPr="64D8C2CF">
        <w:rPr>
          <w:sz w:val="36"/>
          <w:szCs w:val="36"/>
        </w:rPr>
        <w:t>Summary o</w:t>
      </w:r>
      <w:r w:rsidR="00057A96" w:rsidRPr="64D8C2CF">
        <w:rPr>
          <w:sz w:val="36"/>
          <w:szCs w:val="36"/>
        </w:rPr>
        <w:t>f Key Issues</w:t>
      </w:r>
    </w:p>
    <w:p w14:paraId="17E255EE" w14:textId="76C9BC98" w:rsidR="006673CA" w:rsidRDefault="00157976" w:rsidP="006673CA">
      <w:pPr>
        <w:spacing w:before="240" w:after="240"/>
      </w:pPr>
      <w:r w:rsidRPr="000F1205">
        <w:t>This memo</w:t>
      </w:r>
      <w:r w:rsidR="002F4698" w:rsidRPr="00210762">
        <w:t>randum</w:t>
      </w:r>
      <w:r w:rsidRPr="000F1205">
        <w:t xml:space="preserve"> provide</w:t>
      </w:r>
      <w:r w:rsidR="00644618">
        <w:t>s</w:t>
      </w:r>
      <w:r w:rsidRPr="000F1205">
        <w:t xml:space="preserve"> an update on the </w:t>
      </w:r>
      <w:r w:rsidR="00C06E79">
        <w:t>redesign</w:t>
      </w:r>
      <w:r w:rsidR="0012473A">
        <w:t xml:space="preserve"> </w:t>
      </w:r>
      <w:r w:rsidR="00E44C6F">
        <w:t xml:space="preserve">and development </w:t>
      </w:r>
      <w:r w:rsidR="0012473A">
        <w:t xml:space="preserve">of </w:t>
      </w:r>
      <w:r w:rsidR="00B836E0">
        <w:t>the</w:t>
      </w:r>
      <w:r w:rsidR="0012473A">
        <w:t xml:space="preserve"> </w:t>
      </w:r>
      <w:r w:rsidR="512CF38D">
        <w:t>Student Score Reports (SSRs) for the</w:t>
      </w:r>
      <w:r w:rsidR="0012473A">
        <w:t xml:space="preserve"> California Assessment </w:t>
      </w:r>
      <w:r w:rsidR="00292483">
        <w:t xml:space="preserve">of Student Performance and Progress (CAASPP) and </w:t>
      </w:r>
      <w:r w:rsidR="1B04FDEB">
        <w:t xml:space="preserve">the </w:t>
      </w:r>
      <w:r w:rsidR="00292483">
        <w:t xml:space="preserve">English Language Proficiency Assessments </w:t>
      </w:r>
      <w:r w:rsidR="009E505F">
        <w:t>for</w:t>
      </w:r>
      <w:r w:rsidR="00292483">
        <w:t xml:space="preserve"> California (ELPAC)</w:t>
      </w:r>
      <w:r w:rsidR="00BB6727">
        <w:t>.</w:t>
      </w:r>
    </w:p>
    <w:p w14:paraId="1CA16DD2" w14:textId="28A553EB" w:rsidR="00C14098" w:rsidRPr="00C14098" w:rsidRDefault="409B52E7" w:rsidP="002414FB">
      <w:pPr>
        <w:pStyle w:val="Heading3"/>
      </w:pPr>
      <w:r>
        <w:t>Background</w:t>
      </w:r>
    </w:p>
    <w:p w14:paraId="2A951C6A" w14:textId="037D0EA8" w:rsidR="00175B2D" w:rsidRDefault="00602B22" w:rsidP="00175B2D">
      <w:pPr>
        <w:spacing w:before="240" w:after="240"/>
        <w:rPr>
          <w:rFonts w:eastAsia="Calibri"/>
        </w:rPr>
      </w:pPr>
      <w:r w:rsidRPr="00163830">
        <w:t xml:space="preserve">Beginning </w:t>
      </w:r>
      <w:r w:rsidR="00FA3302" w:rsidRPr="00163830">
        <w:t>i</w:t>
      </w:r>
      <w:r w:rsidR="00D937AD" w:rsidRPr="00163830">
        <w:t>n 201</w:t>
      </w:r>
      <w:r w:rsidR="00104FDA" w:rsidRPr="00163830">
        <w:t>4</w:t>
      </w:r>
      <w:r w:rsidR="00F84DED" w:rsidRPr="00163830">
        <w:t xml:space="preserve"> and</w:t>
      </w:r>
      <w:r w:rsidR="00104FDA" w:rsidRPr="00163830">
        <w:t xml:space="preserve"> </w:t>
      </w:r>
      <w:r w:rsidR="00A83AA4" w:rsidRPr="00163830">
        <w:t xml:space="preserve">in </w:t>
      </w:r>
      <w:r w:rsidR="00104FDA" w:rsidRPr="00163830">
        <w:t>subsequent years</w:t>
      </w:r>
      <w:r w:rsidR="00F84DED" w:rsidRPr="00163830">
        <w:t xml:space="preserve"> through 2022</w:t>
      </w:r>
      <w:r w:rsidR="00C46832" w:rsidRPr="00163830">
        <w:t>,</w:t>
      </w:r>
      <w:r w:rsidR="00104FDA" w:rsidRPr="00163830">
        <w:t xml:space="preserve"> the </w:t>
      </w:r>
      <w:r w:rsidR="002731BC" w:rsidRPr="00163830">
        <w:t>California Department of Education (</w:t>
      </w:r>
      <w:r w:rsidR="00104FDA" w:rsidRPr="00163830">
        <w:t>CDE</w:t>
      </w:r>
      <w:r w:rsidR="002731BC" w:rsidRPr="00163830">
        <w:t>)</w:t>
      </w:r>
      <w:r w:rsidR="00104FDA" w:rsidRPr="00163830">
        <w:t xml:space="preserve"> has brought forth </w:t>
      </w:r>
      <w:r w:rsidR="002043E5" w:rsidRPr="00163830">
        <w:t>new SSR</w:t>
      </w:r>
      <w:r w:rsidR="004C7F69" w:rsidRPr="00163830">
        <w:t>s</w:t>
      </w:r>
      <w:r w:rsidR="002043E5" w:rsidRPr="00163830">
        <w:t xml:space="preserve"> for approval by the California State Board of Education</w:t>
      </w:r>
      <w:r w:rsidR="00F84DED" w:rsidRPr="00163830">
        <w:t xml:space="preserve"> (SBE</w:t>
      </w:r>
      <w:r w:rsidR="00FA3302" w:rsidRPr="00163830">
        <w:t>)</w:t>
      </w:r>
      <w:r w:rsidR="004C7F69" w:rsidRPr="00163830">
        <w:t xml:space="preserve"> as new </w:t>
      </w:r>
      <w:r w:rsidR="000C7CAD" w:rsidRPr="00163830">
        <w:t xml:space="preserve">assessments </w:t>
      </w:r>
      <w:r w:rsidR="00113C24" w:rsidRPr="00163830">
        <w:t>have been</w:t>
      </w:r>
      <w:r w:rsidR="000C7CAD" w:rsidRPr="00163830">
        <w:t xml:space="preserve"> operationalized</w:t>
      </w:r>
      <w:r w:rsidR="00745BD3" w:rsidRPr="00163830">
        <w:t xml:space="preserve"> as shown in </w:t>
      </w:r>
      <w:r w:rsidR="00E22E54" w:rsidRPr="00163830">
        <w:t>t</w:t>
      </w:r>
      <w:r w:rsidR="00745BD3" w:rsidRPr="00163830">
        <w:t>able</w:t>
      </w:r>
      <w:r w:rsidR="00E22E54" w:rsidRPr="00163830">
        <w:rPr>
          <w:rFonts w:eastAsia="Arial" w:cs="Arial"/>
        </w:rPr>
        <w:t> </w:t>
      </w:r>
      <w:r w:rsidR="00745BD3" w:rsidRPr="00163830">
        <w:t>1</w:t>
      </w:r>
      <w:r w:rsidR="00FA3302" w:rsidRPr="00163830">
        <w:t>.</w:t>
      </w:r>
    </w:p>
    <w:p w14:paraId="50F9AA8D" w14:textId="77777777" w:rsidR="00D26A53" w:rsidRPr="001B6F9D" w:rsidRDefault="00D26A53" w:rsidP="001B6F9D">
      <w:pPr>
        <w:pStyle w:val="Heading4"/>
        <w:rPr>
          <w:b w:val="0"/>
          <w:bCs w:val="0"/>
        </w:rPr>
      </w:pPr>
      <w:r w:rsidRPr="001B6F9D">
        <w:rPr>
          <w:b w:val="0"/>
          <w:bCs w:val="0"/>
        </w:rPr>
        <w:t>Table 1: First Year of Operational Testing by Assessment Program</w:t>
      </w:r>
    </w:p>
    <w:tbl>
      <w:tblPr>
        <w:tblStyle w:val="TableGrid"/>
        <w:tblW w:w="9445" w:type="dxa"/>
        <w:tblLook w:val="04A0" w:firstRow="1" w:lastRow="0" w:firstColumn="1" w:lastColumn="0" w:noHBand="0" w:noVBand="1"/>
        <w:tblDescription w:val="Table 1 displays the First Year of Operational Testing by Assessment Program."/>
      </w:tblPr>
      <w:tblGrid>
        <w:gridCol w:w="2425"/>
        <w:gridCol w:w="7020"/>
      </w:tblGrid>
      <w:tr w:rsidR="00D26A53" w:rsidRPr="00F073FB" w14:paraId="0EF558F3" w14:textId="77777777" w:rsidTr="00A34F50">
        <w:trPr>
          <w:cantSplit/>
          <w:tblHeader/>
        </w:trPr>
        <w:tc>
          <w:tcPr>
            <w:tcW w:w="2425" w:type="dxa"/>
            <w:shd w:val="clear" w:color="auto" w:fill="D9D9D9" w:themeFill="background1" w:themeFillShade="D9"/>
            <w:tcMar>
              <w:top w:w="43" w:type="dxa"/>
              <w:left w:w="115" w:type="dxa"/>
              <w:bottom w:w="43" w:type="dxa"/>
              <w:right w:w="115" w:type="dxa"/>
            </w:tcMar>
            <w:vAlign w:val="center"/>
          </w:tcPr>
          <w:p w14:paraId="1510B1C0" w14:textId="77777777" w:rsidR="00D26A53" w:rsidRPr="00163830" w:rsidRDefault="00D26A53" w:rsidP="00A34F50">
            <w:pPr>
              <w:keepNext/>
              <w:spacing w:before="240" w:after="240"/>
              <w:contextualSpacing/>
              <w:jc w:val="center"/>
              <w:rPr>
                <w:rFonts w:eastAsia="Calibri"/>
                <w:b/>
                <w:bCs/>
              </w:rPr>
            </w:pPr>
            <w:r w:rsidRPr="00163830">
              <w:rPr>
                <w:rFonts w:eastAsia="Calibri"/>
                <w:b/>
                <w:bCs/>
              </w:rPr>
              <w:t xml:space="preserve">School Year of First Operational Administration </w:t>
            </w:r>
          </w:p>
        </w:tc>
        <w:tc>
          <w:tcPr>
            <w:tcW w:w="7020" w:type="dxa"/>
            <w:shd w:val="clear" w:color="auto" w:fill="D9D9D9" w:themeFill="background1" w:themeFillShade="D9"/>
            <w:vAlign w:val="center"/>
          </w:tcPr>
          <w:p w14:paraId="3C7FD403" w14:textId="77777777" w:rsidR="00D26A53" w:rsidRPr="00163830" w:rsidRDefault="00D26A53" w:rsidP="00A34F50">
            <w:pPr>
              <w:keepNext/>
              <w:spacing w:before="240" w:after="240"/>
              <w:contextualSpacing/>
              <w:jc w:val="center"/>
              <w:rPr>
                <w:rFonts w:eastAsia="Calibri"/>
                <w:b/>
                <w:bCs/>
              </w:rPr>
            </w:pPr>
            <w:r w:rsidRPr="00163830">
              <w:rPr>
                <w:rFonts w:eastAsia="Calibri"/>
                <w:b/>
                <w:bCs/>
              </w:rPr>
              <w:t>Assessment</w:t>
            </w:r>
          </w:p>
        </w:tc>
      </w:tr>
      <w:tr w:rsidR="00D26A53" w:rsidRPr="0004216E" w14:paraId="054145F3" w14:textId="77777777" w:rsidTr="00A34F50">
        <w:trPr>
          <w:cantSplit/>
        </w:trPr>
        <w:tc>
          <w:tcPr>
            <w:tcW w:w="2425" w:type="dxa"/>
            <w:shd w:val="clear" w:color="auto" w:fill="F2F2F2" w:themeFill="background1" w:themeFillShade="F2"/>
            <w:tcMar>
              <w:top w:w="43" w:type="dxa"/>
              <w:left w:w="115" w:type="dxa"/>
              <w:bottom w:w="43" w:type="dxa"/>
              <w:right w:w="115" w:type="dxa"/>
            </w:tcMar>
            <w:vAlign w:val="center"/>
          </w:tcPr>
          <w:p w14:paraId="75621E4B" w14:textId="77777777" w:rsidR="00D26A53" w:rsidRPr="00163830" w:rsidRDefault="00D26A53" w:rsidP="00A34F50">
            <w:pPr>
              <w:spacing w:before="240" w:after="240"/>
              <w:contextualSpacing/>
              <w:jc w:val="center"/>
              <w:rPr>
                <w:rFonts w:eastAsia="Calibri"/>
              </w:rPr>
            </w:pPr>
            <w:r w:rsidRPr="00163830">
              <w:t>2014–15</w:t>
            </w:r>
          </w:p>
        </w:tc>
        <w:tc>
          <w:tcPr>
            <w:tcW w:w="7020" w:type="dxa"/>
            <w:shd w:val="clear" w:color="auto" w:fill="F2F2F2" w:themeFill="background1" w:themeFillShade="F2"/>
            <w:vAlign w:val="center"/>
          </w:tcPr>
          <w:p w14:paraId="5031100B" w14:textId="2907712D" w:rsidR="00D26A53" w:rsidRPr="00163830" w:rsidRDefault="00D26A53" w:rsidP="00A34F50">
            <w:pPr>
              <w:spacing w:before="240" w:after="240"/>
              <w:contextualSpacing/>
            </w:pPr>
            <w:r w:rsidRPr="00163830">
              <w:t>Smarter Balanced Summative Assessments for English language arts</w:t>
            </w:r>
            <w:r w:rsidR="00765FE5" w:rsidRPr="00163830">
              <w:t>/literacy</w:t>
            </w:r>
            <w:r w:rsidRPr="00163830">
              <w:t xml:space="preserve"> (ELA) and mathematics</w:t>
            </w:r>
          </w:p>
        </w:tc>
      </w:tr>
      <w:tr w:rsidR="00D26A53" w:rsidRPr="0004216E" w14:paraId="18DBA004" w14:textId="77777777" w:rsidTr="00A34F50">
        <w:trPr>
          <w:cantSplit/>
        </w:trPr>
        <w:tc>
          <w:tcPr>
            <w:tcW w:w="2425" w:type="dxa"/>
            <w:shd w:val="clear" w:color="auto" w:fill="FFFFFF" w:themeFill="background1"/>
            <w:tcMar>
              <w:top w:w="43" w:type="dxa"/>
              <w:left w:w="115" w:type="dxa"/>
              <w:bottom w:w="43" w:type="dxa"/>
              <w:right w:w="115" w:type="dxa"/>
            </w:tcMar>
            <w:vAlign w:val="center"/>
          </w:tcPr>
          <w:p w14:paraId="3425277C" w14:textId="77777777" w:rsidR="00D26A53" w:rsidRPr="00163830" w:rsidRDefault="00D26A53" w:rsidP="00A34F50">
            <w:pPr>
              <w:spacing w:before="240" w:after="240"/>
              <w:contextualSpacing/>
              <w:jc w:val="center"/>
              <w:rPr>
                <w:rFonts w:eastAsia="Calibri"/>
              </w:rPr>
            </w:pPr>
            <w:r w:rsidRPr="00163830">
              <w:t>2015–16</w:t>
            </w:r>
          </w:p>
        </w:tc>
        <w:tc>
          <w:tcPr>
            <w:tcW w:w="7020" w:type="dxa"/>
            <w:shd w:val="clear" w:color="auto" w:fill="FFFFFF" w:themeFill="background1"/>
            <w:vAlign w:val="center"/>
          </w:tcPr>
          <w:p w14:paraId="1068A055" w14:textId="77777777" w:rsidR="00D26A53" w:rsidRPr="00163830" w:rsidRDefault="00D26A53" w:rsidP="00A34F50">
            <w:pPr>
              <w:spacing w:before="240" w:after="240"/>
              <w:contextualSpacing/>
            </w:pPr>
            <w:r w:rsidRPr="00163830">
              <w:t xml:space="preserve">California Alternate Assessments for ELA and mathematics </w:t>
            </w:r>
          </w:p>
        </w:tc>
      </w:tr>
      <w:tr w:rsidR="00D26A53" w:rsidRPr="0004216E" w14:paraId="4B8C9FC1" w14:textId="77777777" w:rsidTr="00A34F50">
        <w:trPr>
          <w:cantSplit/>
        </w:trPr>
        <w:tc>
          <w:tcPr>
            <w:tcW w:w="2425" w:type="dxa"/>
            <w:shd w:val="clear" w:color="auto" w:fill="F2F2F2" w:themeFill="background1" w:themeFillShade="F2"/>
            <w:tcMar>
              <w:top w:w="43" w:type="dxa"/>
              <w:left w:w="115" w:type="dxa"/>
              <w:bottom w:w="43" w:type="dxa"/>
              <w:right w:w="115" w:type="dxa"/>
            </w:tcMar>
            <w:vAlign w:val="center"/>
          </w:tcPr>
          <w:p w14:paraId="3C9689B4" w14:textId="77777777" w:rsidR="00D26A53" w:rsidRPr="00163830" w:rsidRDefault="00D26A53" w:rsidP="00A34F50">
            <w:pPr>
              <w:spacing w:before="240" w:after="240"/>
              <w:contextualSpacing/>
              <w:jc w:val="center"/>
            </w:pPr>
            <w:r w:rsidRPr="00163830">
              <w:t>2017–18</w:t>
            </w:r>
          </w:p>
        </w:tc>
        <w:tc>
          <w:tcPr>
            <w:tcW w:w="7020" w:type="dxa"/>
            <w:shd w:val="clear" w:color="auto" w:fill="F2F2F2" w:themeFill="background1" w:themeFillShade="F2"/>
            <w:vAlign w:val="center"/>
          </w:tcPr>
          <w:p w14:paraId="762D8678" w14:textId="77777777" w:rsidR="00D26A53" w:rsidRPr="00163830" w:rsidRDefault="00D26A53" w:rsidP="00A34F50">
            <w:pPr>
              <w:spacing w:before="240" w:after="240"/>
              <w:contextualSpacing/>
            </w:pPr>
            <w:r w:rsidRPr="00163830">
              <w:t>Summative ELPAC (paper-pencil)</w:t>
            </w:r>
          </w:p>
        </w:tc>
      </w:tr>
      <w:tr w:rsidR="00D26A53" w:rsidRPr="0004216E" w14:paraId="6C0C5B4D" w14:textId="77777777" w:rsidTr="00A34F50">
        <w:trPr>
          <w:cantSplit/>
        </w:trPr>
        <w:tc>
          <w:tcPr>
            <w:tcW w:w="2425" w:type="dxa"/>
            <w:tcMar>
              <w:top w:w="43" w:type="dxa"/>
              <w:left w:w="115" w:type="dxa"/>
              <w:bottom w:w="43" w:type="dxa"/>
              <w:right w:w="115" w:type="dxa"/>
            </w:tcMar>
            <w:vAlign w:val="center"/>
          </w:tcPr>
          <w:p w14:paraId="6CD99A2F" w14:textId="77777777" w:rsidR="00D26A53" w:rsidRPr="00163830" w:rsidRDefault="00D26A53" w:rsidP="00A34F50">
            <w:pPr>
              <w:spacing w:before="240" w:after="240"/>
              <w:contextualSpacing/>
              <w:jc w:val="center"/>
              <w:rPr>
                <w:rFonts w:eastAsia="Calibri"/>
              </w:rPr>
            </w:pPr>
            <w:r w:rsidRPr="00163830">
              <w:t>2018–19</w:t>
            </w:r>
          </w:p>
        </w:tc>
        <w:tc>
          <w:tcPr>
            <w:tcW w:w="7020" w:type="dxa"/>
            <w:vAlign w:val="center"/>
          </w:tcPr>
          <w:p w14:paraId="72FCEC91" w14:textId="77777777" w:rsidR="00D26A53" w:rsidRPr="00163830" w:rsidRDefault="00D26A53" w:rsidP="00A34F50">
            <w:pPr>
              <w:spacing w:before="240" w:after="240"/>
              <w:contextualSpacing/>
            </w:pPr>
            <w:r w:rsidRPr="00163830">
              <w:t>Initial ELPAC (paper-pencil)</w:t>
            </w:r>
          </w:p>
        </w:tc>
      </w:tr>
      <w:tr w:rsidR="00D26A53" w:rsidRPr="0004216E" w14:paraId="67545523" w14:textId="77777777" w:rsidTr="00A34F50">
        <w:trPr>
          <w:cantSplit/>
        </w:trPr>
        <w:tc>
          <w:tcPr>
            <w:tcW w:w="2425" w:type="dxa"/>
            <w:shd w:val="clear" w:color="auto" w:fill="F2F2F2" w:themeFill="background1" w:themeFillShade="F2"/>
            <w:tcMar>
              <w:top w:w="43" w:type="dxa"/>
              <w:left w:w="115" w:type="dxa"/>
              <w:bottom w:w="43" w:type="dxa"/>
              <w:right w:w="115" w:type="dxa"/>
            </w:tcMar>
            <w:vAlign w:val="center"/>
          </w:tcPr>
          <w:p w14:paraId="31179714" w14:textId="77777777" w:rsidR="00D26A53" w:rsidRPr="00163830" w:rsidRDefault="00D26A53" w:rsidP="00A34F50">
            <w:pPr>
              <w:spacing w:before="240" w:after="240"/>
              <w:contextualSpacing/>
              <w:jc w:val="center"/>
            </w:pPr>
            <w:r w:rsidRPr="00163830">
              <w:t>2019–20</w:t>
            </w:r>
          </w:p>
        </w:tc>
        <w:tc>
          <w:tcPr>
            <w:tcW w:w="7020" w:type="dxa"/>
            <w:shd w:val="clear" w:color="auto" w:fill="F2F2F2" w:themeFill="background1" w:themeFillShade="F2"/>
            <w:vAlign w:val="center"/>
          </w:tcPr>
          <w:p w14:paraId="710BA8B6" w14:textId="77777777" w:rsidR="00D26A53" w:rsidRPr="00163830" w:rsidRDefault="00D26A53" w:rsidP="00A34F50">
            <w:pPr>
              <w:spacing w:before="240" w:after="240"/>
              <w:contextualSpacing/>
            </w:pPr>
            <w:r w:rsidRPr="00163830">
              <w:t>Summative ELPAC (computer-based)</w:t>
            </w:r>
          </w:p>
        </w:tc>
      </w:tr>
      <w:tr w:rsidR="00D26A53" w:rsidRPr="0004216E" w14:paraId="26462970" w14:textId="77777777" w:rsidTr="00A34F50">
        <w:trPr>
          <w:cantSplit/>
        </w:trPr>
        <w:tc>
          <w:tcPr>
            <w:tcW w:w="2425" w:type="dxa"/>
            <w:shd w:val="clear" w:color="auto" w:fill="FFFFFF" w:themeFill="background1"/>
            <w:tcMar>
              <w:top w:w="43" w:type="dxa"/>
              <w:left w:w="115" w:type="dxa"/>
              <w:bottom w:w="43" w:type="dxa"/>
              <w:right w:w="115" w:type="dxa"/>
            </w:tcMar>
            <w:vAlign w:val="center"/>
          </w:tcPr>
          <w:p w14:paraId="295305D8" w14:textId="77777777" w:rsidR="00D26A53" w:rsidRPr="00163830" w:rsidRDefault="00D26A53" w:rsidP="00A34F50">
            <w:pPr>
              <w:spacing w:before="240" w:after="240"/>
              <w:contextualSpacing/>
              <w:jc w:val="center"/>
            </w:pPr>
            <w:r w:rsidRPr="00163830">
              <w:t>2020–21</w:t>
            </w:r>
          </w:p>
        </w:tc>
        <w:tc>
          <w:tcPr>
            <w:tcW w:w="7020" w:type="dxa"/>
            <w:shd w:val="clear" w:color="auto" w:fill="FFFFFF" w:themeFill="background1"/>
            <w:vAlign w:val="center"/>
          </w:tcPr>
          <w:p w14:paraId="7113F90C" w14:textId="77777777" w:rsidR="00D26A53" w:rsidRPr="00163830" w:rsidRDefault="00D26A53" w:rsidP="00A34F50">
            <w:pPr>
              <w:spacing w:before="240" w:after="240"/>
              <w:contextualSpacing/>
            </w:pPr>
            <w:r w:rsidRPr="00163830">
              <w:t>Initial ELPAC (computer-based)</w:t>
            </w:r>
          </w:p>
        </w:tc>
      </w:tr>
      <w:tr w:rsidR="00D26A53" w:rsidRPr="00163830" w14:paraId="0ABE8C04" w14:textId="77777777">
        <w:trPr>
          <w:cantSplit/>
        </w:trPr>
        <w:tc>
          <w:tcPr>
            <w:tcW w:w="2425" w:type="dxa"/>
            <w:shd w:val="clear" w:color="auto" w:fill="FFFFFF" w:themeFill="background1"/>
            <w:tcMar>
              <w:top w:w="43" w:type="dxa"/>
              <w:left w:w="115" w:type="dxa"/>
              <w:bottom w:w="43" w:type="dxa"/>
              <w:right w:w="115" w:type="dxa"/>
            </w:tcMar>
            <w:vAlign w:val="center"/>
          </w:tcPr>
          <w:p w14:paraId="6CB06CB3" w14:textId="77777777" w:rsidR="00D26A53" w:rsidRPr="00163830" w:rsidRDefault="00D26A53" w:rsidP="00A34F50">
            <w:pPr>
              <w:spacing w:before="240" w:after="240"/>
              <w:contextualSpacing/>
              <w:jc w:val="center"/>
            </w:pPr>
            <w:r w:rsidRPr="00163830">
              <w:lastRenderedPageBreak/>
              <w:t>2020–21</w:t>
            </w:r>
          </w:p>
        </w:tc>
        <w:tc>
          <w:tcPr>
            <w:tcW w:w="7020" w:type="dxa"/>
            <w:shd w:val="clear" w:color="auto" w:fill="FFFFFF" w:themeFill="background1"/>
            <w:vAlign w:val="center"/>
          </w:tcPr>
          <w:p w14:paraId="47470603" w14:textId="77777777" w:rsidR="00D26A53" w:rsidRPr="00163830" w:rsidRDefault="00D26A53" w:rsidP="00A34F50">
            <w:pPr>
              <w:spacing w:before="240" w:after="240"/>
              <w:contextualSpacing/>
            </w:pPr>
            <w:r w:rsidRPr="00163830">
              <w:t>Adjusted blueprint form—Smarter Balanced Summative Assessments for ELA and mathematics</w:t>
            </w:r>
          </w:p>
        </w:tc>
      </w:tr>
      <w:tr w:rsidR="00D26A53" w:rsidRPr="00163830" w14:paraId="4611007B" w14:textId="77777777" w:rsidTr="00A34F50">
        <w:trPr>
          <w:cantSplit/>
        </w:trPr>
        <w:tc>
          <w:tcPr>
            <w:tcW w:w="2425" w:type="dxa"/>
            <w:shd w:val="clear" w:color="auto" w:fill="F2F2F2" w:themeFill="background1" w:themeFillShade="F2"/>
            <w:tcMar>
              <w:top w:w="43" w:type="dxa"/>
              <w:left w:w="115" w:type="dxa"/>
              <w:bottom w:w="43" w:type="dxa"/>
              <w:right w:w="115" w:type="dxa"/>
            </w:tcMar>
            <w:vAlign w:val="center"/>
          </w:tcPr>
          <w:p w14:paraId="4B0E30A5" w14:textId="77777777" w:rsidR="00D26A53" w:rsidRPr="00163830" w:rsidRDefault="00D26A53" w:rsidP="00A34F50">
            <w:pPr>
              <w:spacing w:before="240" w:after="240"/>
              <w:contextualSpacing/>
              <w:jc w:val="center"/>
            </w:pPr>
            <w:r w:rsidRPr="00163830">
              <w:t>2021–22</w:t>
            </w:r>
          </w:p>
        </w:tc>
        <w:tc>
          <w:tcPr>
            <w:tcW w:w="7020" w:type="dxa"/>
            <w:shd w:val="clear" w:color="auto" w:fill="F2F2F2" w:themeFill="background1" w:themeFillShade="F2"/>
            <w:vAlign w:val="center"/>
          </w:tcPr>
          <w:p w14:paraId="7A6D16CF" w14:textId="03E2282C" w:rsidR="00D26A53" w:rsidRPr="00163830" w:rsidRDefault="002731BC" w:rsidP="00A34F50">
            <w:pPr>
              <w:spacing w:before="240" w:after="240"/>
              <w:contextualSpacing/>
            </w:pPr>
            <w:r w:rsidRPr="00163830">
              <w:t>California Alternate Assessment (</w:t>
            </w:r>
            <w:r w:rsidR="00D26A53" w:rsidRPr="00163830">
              <w:t>CAA</w:t>
            </w:r>
            <w:r w:rsidRPr="00163830">
              <w:t>)</w:t>
            </w:r>
            <w:r w:rsidR="00D26A53" w:rsidRPr="00163830">
              <w:t xml:space="preserve"> for Science</w:t>
            </w:r>
          </w:p>
        </w:tc>
      </w:tr>
      <w:tr w:rsidR="00D26A53" w:rsidRPr="00163830" w14:paraId="206F8CB5" w14:textId="77777777" w:rsidTr="00A34F50">
        <w:trPr>
          <w:cantSplit/>
        </w:trPr>
        <w:tc>
          <w:tcPr>
            <w:tcW w:w="2425" w:type="dxa"/>
            <w:tcMar>
              <w:top w:w="43" w:type="dxa"/>
              <w:left w:w="115" w:type="dxa"/>
              <w:bottom w:w="43" w:type="dxa"/>
              <w:right w:w="115" w:type="dxa"/>
            </w:tcMar>
            <w:vAlign w:val="center"/>
          </w:tcPr>
          <w:p w14:paraId="154C3D23" w14:textId="77777777" w:rsidR="00D26A53" w:rsidRPr="00163830" w:rsidRDefault="00D26A53" w:rsidP="00A34F50">
            <w:pPr>
              <w:spacing w:before="240" w:after="240"/>
              <w:contextualSpacing/>
              <w:jc w:val="center"/>
              <w:rPr>
                <w:rFonts w:eastAsia="Calibri"/>
              </w:rPr>
            </w:pPr>
            <w:r w:rsidRPr="00163830">
              <w:t>2021–22</w:t>
            </w:r>
          </w:p>
        </w:tc>
        <w:tc>
          <w:tcPr>
            <w:tcW w:w="7020" w:type="dxa"/>
            <w:vAlign w:val="center"/>
          </w:tcPr>
          <w:p w14:paraId="28D22203" w14:textId="77777777" w:rsidR="00D26A53" w:rsidRPr="00163830" w:rsidRDefault="00D26A53" w:rsidP="00A34F50">
            <w:pPr>
              <w:spacing w:before="240" w:after="240"/>
              <w:contextualSpacing/>
            </w:pPr>
            <w:r w:rsidRPr="00163830">
              <w:t>Summative Alternate ELPAC</w:t>
            </w:r>
          </w:p>
        </w:tc>
      </w:tr>
      <w:tr w:rsidR="00D26A53" w:rsidRPr="00163830" w14:paraId="6E99C75A" w14:textId="77777777" w:rsidTr="00A34F50">
        <w:trPr>
          <w:cantSplit/>
        </w:trPr>
        <w:tc>
          <w:tcPr>
            <w:tcW w:w="2425" w:type="dxa"/>
            <w:shd w:val="clear" w:color="auto" w:fill="F2F2F2" w:themeFill="background1" w:themeFillShade="F2"/>
            <w:tcMar>
              <w:top w:w="43" w:type="dxa"/>
              <w:left w:w="115" w:type="dxa"/>
              <w:bottom w:w="43" w:type="dxa"/>
              <w:right w:w="115" w:type="dxa"/>
            </w:tcMar>
            <w:vAlign w:val="center"/>
          </w:tcPr>
          <w:p w14:paraId="7275B765" w14:textId="77777777" w:rsidR="00D26A53" w:rsidRPr="00163830" w:rsidRDefault="00D26A53" w:rsidP="00A34F50">
            <w:pPr>
              <w:spacing w:before="240" w:after="240"/>
              <w:contextualSpacing/>
              <w:jc w:val="center"/>
            </w:pPr>
            <w:r w:rsidRPr="00163830">
              <w:t>2022–23</w:t>
            </w:r>
          </w:p>
        </w:tc>
        <w:tc>
          <w:tcPr>
            <w:tcW w:w="7020" w:type="dxa"/>
            <w:shd w:val="clear" w:color="auto" w:fill="F2F2F2" w:themeFill="background1" w:themeFillShade="F2"/>
            <w:vAlign w:val="center"/>
          </w:tcPr>
          <w:p w14:paraId="29098E03" w14:textId="77777777" w:rsidR="00D26A53" w:rsidRPr="00163830" w:rsidRDefault="00D26A53" w:rsidP="00A34F50">
            <w:pPr>
              <w:spacing w:before="240" w:after="240"/>
              <w:contextualSpacing/>
            </w:pPr>
            <w:r w:rsidRPr="00163830">
              <w:t>Initial Alternate ELPAC</w:t>
            </w:r>
          </w:p>
        </w:tc>
      </w:tr>
      <w:tr w:rsidR="00175B2D" w:rsidRPr="00163830" w14:paraId="5A3451A4" w14:textId="77777777" w:rsidTr="00A34F50">
        <w:trPr>
          <w:cantSplit/>
        </w:trPr>
        <w:tc>
          <w:tcPr>
            <w:tcW w:w="2425" w:type="dxa"/>
            <w:tcMar>
              <w:top w:w="43" w:type="dxa"/>
              <w:left w:w="115" w:type="dxa"/>
              <w:bottom w:w="43" w:type="dxa"/>
              <w:right w:w="115" w:type="dxa"/>
            </w:tcMar>
            <w:vAlign w:val="center"/>
          </w:tcPr>
          <w:p w14:paraId="6F6509BC" w14:textId="2932EFC2" w:rsidR="00175B2D" w:rsidRPr="00163830" w:rsidRDefault="00175B2D" w:rsidP="00A34F50">
            <w:pPr>
              <w:spacing w:before="240" w:after="240"/>
              <w:contextualSpacing/>
              <w:jc w:val="center"/>
            </w:pPr>
            <w:r w:rsidRPr="00163830">
              <w:t>2024–25</w:t>
            </w:r>
          </w:p>
        </w:tc>
        <w:tc>
          <w:tcPr>
            <w:tcW w:w="7020" w:type="dxa"/>
            <w:vAlign w:val="center"/>
          </w:tcPr>
          <w:p w14:paraId="12336EF4" w14:textId="3ACDC4DD" w:rsidR="00175B2D" w:rsidRPr="00163830" w:rsidRDefault="00175B2D" w:rsidP="00A34F50">
            <w:pPr>
              <w:spacing w:before="240" w:after="240"/>
              <w:contextualSpacing/>
            </w:pPr>
            <w:r w:rsidRPr="00163830">
              <w:t xml:space="preserve">Expanded </w:t>
            </w:r>
            <w:r w:rsidR="003422E9" w:rsidRPr="00163830">
              <w:t>California Spanish Assessment (</w:t>
            </w:r>
            <w:r w:rsidRPr="00163830">
              <w:t>CSA</w:t>
            </w:r>
            <w:r w:rsidR="003422E9" w:rsidRPr="00163830">
              <w:t>)</w:t>
            </w:r>
            <w:r w:rsidR="00167AA6" w:rsidRPr="00163830">
              <w:rPr>
                <w:rFonts w:cs="Arial"/>
              </w:rPr>
              <w:t>—</w:t>
            </w:r>
            <w:r w:rsidRPr="00163830">
              <w:t>including Speaking and Full-Write</w:t>
            </w:r>
          </w:p>
        </w:tc>
      </w:tr>
    </w:tbl>
    <w:p w14:paraId="67A46182" w14:textId="433919E3" w:rsidR="5BF228E7" w:rsidRDefault="2618899D" w:rsidP="005570D8">
      <w:pPr>
        <w:spacing w:before="240" w:after="240"/>
        <w:rPr>
          <w:rFonts w:eastAsia="Calibri"/>
        </w:rPr>
      </w:pPr>
      <w:r w:rsidRPr="00163830">
        <w:t>In September</w:t>
      </w:r>
      <w:r w:rsidRPr="00163830">
        <w:rPr>
          <w:rFonts w:eastAsia="Calibri"/>
        </w:rPr>
        <w:t xml:space="preserve"> 2019, the CDE </w:t>
      </w:r>
      <w:r w:rsidR="001E2B81" w:rsidRPr="00163830">
        <w:rPr>
          <w:rFonts w:eastAsia="Calibri"/>
        </w:rPr>
        <w:t>expanded distribution options to include an electronic reporting process for the delivery of SSRs</w:t>
      </w:r>
      <w:r w:rsidR="009620B0" w:rsidRPr="00163830">
        <w:rPr>
          <w:rFonts w:eastAsia="Calibri"/>
        </w:rPr>
        <w:t xml:space="preserve">. </w:t>
      </w:r>
      <w:r w:rsidR="00F86C54" w:rsidRPr="00163830">
        <w:rPr>
          <w:rFonts w:eastAsia="Calibri"/>
        </w:rPr>
        <w:t>An</w:t>
      </w:r>
      <w:r w:rsidR="001E2B81" w:rsidRPr="00163830">
        <w:rPr>
          <w:rFonts w:eastAsia="Calibri"/>
        </w:rPr>
        <w:t xml:space="preserve"> update to the design of </w:t>
      </w:r>
      <w:r w:rsidR="009A1330" w:rsidRPr="00163830">
        <w:rPr>
          <w:rFonts w:eastAsia="Calibri"/>
        </w:rPr>
        <w:t xml:space="preserve">the </w:t>
      </w:r>
      <w:r w:rsidR="00816142" w:rsidRPr="00163830">
        <w:rPr>
          <w:rFonts w:eastAsia="Calibri"/>
        </w:rPr>
        <w:t xml:space="preserve">2019–20 </w:t>
      </w:r>
      <w:r w:rsidR="009A1330" w:rsidRPr="00163830">
        <w:rPr>
          <w:rFonts w:eastAsia="Calibri"/>
        </w:rPr>
        <w:t>CAASPP and ELPAC SSRs</w:t>
      </w:r>
      <w:r w:rsidR="008C7765" w:rsidRPr="00163830">
        <w:rPr>
          <w:rFonts w:eastAsia="Calibri"/>
        </w:rPr>
        <w:t xml:space="preserve"> </w:t>
      </w:r>
      <w:r w:rsidR="00C62E58" w:rsidRPr="00163830">
        <w:rPr>
          <w:rFonts w:eastAsia="Calibri"/>
        </w:rPr>
        <w:t xml:space="preserve">was </w:t>
      </w:r>
      <w:r w:rsidR="000C43DF" w:rsidRPr="00163830">
        <w:rPr>
          <w:rFonts w:eastAsia="Calibri"/>
        </w:rPr>
        <w:t xml:space="preserve">needed to address ease of use and </w:t>
      </w:r>
      <w:r w:rsidR="00EA1E51" w:rsidRPr="00163830">
        <w:rPr>
          <w:rFonts w:eastAsia="Calibri"/>
        </w:rPr>
        <w:t>increase accessibility</w:t>
      </w:r>
      <w:r w:rsidR="009A1330" w:rsidRPr="00163830">
        <w:rPr>
          <w:rFonts w:eastAsia="Calibri"/>
        </w:rPr>
        <w:t>.</w:t>
      </w:r>
      <w:r w:rsidRPr="00163830">
        <w:rPr>
          <w:rFonts w:eastAsia="Calibri"/>
        </w:rPr>
        <w:t xml:space="preserve"> More information can be found in</w:t>
      </w:r>
      <w:r w:rsidRPr="00163830" w:rsidDel="00002A50">
        <w:rPr>
          <w:rFonts w:eastAsia="Calibri"/>
        </w:rPr>
        <w:t xml:space="preserve"> </w:t>
      </w:r>
      <w:r w:rsidR="00002A50" w:rsidRPr="00163830">
        <w:rPr>
          <w:rFonts w:eastAsia="Calibri"/>
        </w:rPr>
        <w:t xml:space="preserve">Item </w:t>
      </w:r>
      <w:r w:rsidRPr="00163830">
        <w:rPr>
          <w:rFonts w:eastAsia="Calibri"/>
        </w:rPr>
        <w:t>03 of the</w:t>
      </w:r>
      <w:r w:rsidRPr="276C9930">
        <w:rPr>
          <w:rFonts w:eastAsia="Calibri"/>
        </w:rPr>
        <w:t xml:space="preserve"> September 2019 SBE agenda at </w:t>
      </w:r>
      <w:hyperlink r:id="rId11" w:tooltip="This link opens the September 2019 SBE Agenda.">
        <w:r w:rsidR="561F526D" w:rsidRPr="4244A755">
          <w:rPr>
            <w:rFonts w:eastAsia="Calibri"/>
            <w:color w:val="0000FF"/>
            <w:u w:val="single"/>
          </w:rPr>
          <w:t>https://www.cde.ca.gov/be/ag/ag/yr19/agenda201909.asp</w:t>
        </w:r>
      </w:hyperlink>
      <w:r w:rsidR="561F526D" w:rsidRPr="4244A755">
        <w:rPr>
          <w:rFonts w:eastAsia="Calibri"/>
        </w:rPr>
        <w:t>.</w:t>
      </w:r>
      <w:r w:rsidRPr="276C9930">
        <w:rPr>
          <w:rFonts w:eastAsia="Calibri"/>
        </w:rPr>
        <w:t xml:space="preserve"> All local educational agencies (LEAs) have the option to deliver their SSRs to parents and guardians electronically, print them locally, or purchase paper SSRs from </w:t>
      </w:r>
      <w:r w:rsidR="00494A1E" w:rsidRPr="00163830">
        <w:rPr>
          <w:rFonts w:eastAsia="Calibri"/>
        </w:rPr>
        <w:t xml:space="preserve">the assessment contractor </w:t>
      </w:r>
      <w:r w:rsidRPr="00163830">
        <w:rPr>
          <w:rFonts w:eastAsia="Calibri"/>
        </w:rPr>
        <w:t xml:space="preserve">ETS. </w:t>
      </w:r>
    </w:p>
    <w:p w14:paraId="24E4CF97" w14:textId="60D7B848" w:rsidR="3926BAEE" w:rsidRDefault="1B3362D3" w:rsidP="3F4B5CE1">
      <w:pPr>
        <w:spacing w:before="240" w:after="240"/>
        <w:rPr>
          <w:rFonts w:eastAsia="Calibri"/>
        </w:rPr>
      </w:pPr>
      <w:r w:rsidRPr="00163830">
        <w:rPr>
          <w:rFonts w:eastAsia="Calibri"/>
        </w:rPr>
        <w:t>T</w:t>
      </w:r>
      <w:r w:rsidR="0724FBA0" w:rsidRPr="00163830">
        <w:rPr>
          <w:rFonts w:eastAsia="Calibri"/>
        </w:rPr>
        <w:t xml:space="preserve">he </w:t>
      </w:r>
      <w:r w:rsidR="06AE3C1D" w:rsidRPr="00163830">
        <w:rPr>
          <w:rFonts w:eastAsia="Calibri"/>
        </w:rPr>
        <w:t>CAA for Science</w:t>
      </w:r>
      <w:r w:rsidR="128D0F8D" w:rsidRPr="00163830">
        <w:rPr>
          <w:rFonts w:eastAsia="Calibri"/>
        </w:rPr>
        <w:t xml:space="preserve"> and</w:t>
      </w:r>
      <w:r w:rsidR="331399E8" w:rsidRPr="00163830">
        <w:rPr>
          <w:rFonts w:eastAsia="Calibri"/>
        </w:rPr>
        <w:t xml:space="preserve"> Summative Alternate ELPAC </w:t>
      </w:r>
      <w:r w:rsidR="745FFE9F" w:rsidRPr="00163830">
        <w:rPr>
          <w:rFonts w:eastAsia="Calibri"/>
        </w:rPr>
        <w:t xml:space="preserve">were </w:t>
      </w:r>
      <w:r w:rsidR="6AF11EB8" w:rsidRPr="00163830">
        <w:rPr>
          <w:rFonts w:eastAsia="Calibri"/>
        </w:rPr>
        <w:t xml:space="preserve">originally </w:t>
      </w:r>
      <w:r w:rsidR="2B7E8191" w:rsidRPr="00163830">
        <w:rPr>
          <w:rFonts w:eastAsia="Calibri"/>
        </w:rPr>
        <w:t>schedule</w:t>
      </w:r>
      <w:r w:rsidR="5648A590" w:rsidRPr="00163830">
        <w:rPr>
          <w:rFonts w:eastAsia="Calibri"/>
        </w:rPr>
        <w:t>d</w:t>
      </w:r>
      <w:r w:rsidR="2B7E8191" w:rsidRPr="00163830">
        <w:rPr>
          <w:rFonts w:eastAsia="Calibri"/>
        </w:rPr>
        <w:t xml:space="preserve"> to </w:t>
      </w:r>
      <w:r w:rsidR="62DE181D" w:rsidRPr="00163830">
        <w:rPr>
          <w:rFonts w:eastAsia="Calibri"/>
        </w:rPr>
        <w:t xml:space="preserve">launch </w:t>
      </w:r>
      <w:r w:rsidR="1CE27F5A" w:rsidRPr="00163830">
        <w:rPr>
          <w:rFonts w:eastAsia="Calibri"/>
        </w:rPr>
        <w:t xml:space="preserve">in the </w:t>
      </w:r>
      <w:r w:rsidR="0A8B22EE" w:rsidRPr="00163830">
        <w:rPr>
          <w:rFonts w:eastAsia="Calibri"/>
        </w:rPr>
        <w:t>2019–20</w:t>
      </w:r>
      <w:r w:rsidR="1CE27F5A" w:rsidRPr="00163830">
        <w:rPr>
          <w:rFonts w:eastAsia="Calibri"/>
        </w:rPr>
        <w:t xml:space="preserve"> school year. </w:t>
      </w:r>
      <w:r w:rsidR="5648A590" w:rsidRPr="00163830">
        <w:rPr>
          <w:rFonts w:eastAsia="Calibri"/>
        </w:rPr>
        <w:t xml:space="preserve">However, due to factors </w:t>
      </w:r>
      <w:r w:rsidR="5648A590" w:rsidRPr="00163830">
        <w:t xml:space="preserve">surrounding the </w:t>
      </w:r>
      <w:r w:rsidR="5648A590" w:rsidRPr="00163830">
        <w:rPr>
          <w:rFonts w:eastAsia="Calibri" w:cs="Arial"/>
        </w:rPr>
        <w:t>novel coronavirus (</w:t>
      </w:r>
      <w:r w:rsidR="753103B5" w:rsidRPr="00163830">
        <w:rPr>
          <w:rFonts w:eastAsia="Calibri" w:cs="Arial"/>
        </w:rPr>
        <w:t>COVID</w:t>
      </w:r>
      <w:r w:rsidR="08BBD827" w:rsidRPr="00163830">
        <w:rPr>
          <w:rFonts w:eastAsia="Calibri" w:cs="Arial"/>
        </w:rPr>
        <w:t>-</w:t>
      </w:r>
      <w:r w:rsidR="753103B5" w:rsidRPr="00163830">
        <w:rPr>
          <w:rFonts w:eastAsia="Calibri" w:cs="Arial"/>
        </w:rPr>
        <w:t>19</w:t>
      </w:r>
      <w:r w:rsidR="5648A590" w:rsidRPr="00163830">
        <w:rPr>
          <w:rFonts w:eastAsia="Calibri" w:cs="Arial"/>
        </w:rPr>
        <w:t xml:space="preserve">) </w:t>
      </w:r>
      <w:r w:rsidR="5648A590" w:rsidRPr="00163830">
        <w:t>pandemic</w:t>
      </w:r>
      <w:r w:rsidR="38A0BDFC" w:rsidRPr="00163830">
        <w:t>,</w:t>
      </w:r>
      <w:r w:rsidR="5648A590" w:rsidRPr="00163830">
        <w:rPr>
          <w:rFonts w:eastAsia="Calibri"/>
        </w:rPr>
        <w:t xml:space="preserve"> the operationalization </w:t>
      </w:r>
      <w:r w:rsidR="75FC039C" w:rsidRPr="00163830">
        <w:rPr>
          <w:rFonts w:eastAsia="Calibri"/>
        </w:rPr>
        <w:t xml:space="preserve">of </w:t>
      </w:r>
      <w:r w:rsidR="5648A590" w:rsidRPr="00163830">
        <w:rPr>
          <w:rFonts w:eastAsia="Calibri"/>
        </w:rPr>
        <w:t xml:space="preserve">these two assessments </w:t>
      </w:r>
      <w:r w:rsidR="19E24ADD" w:rsidRPr="00163830">
        <w:rPr>
          <w:rFonts w:eastAsia="Calibri"/>
        </w:rPr>
        <w:t xml:space="preserve">was </w:t>
      </w:r>
      <w:r w:rsidR="5648A590" w:rsidRPr="00163830">
        <w:rPr>
          <w:rFonts w:eastAsia="Calibri"/>
        </w:rPr>
        <w:t>delayed un</w:t>
      </w:r>
      <w:r w:rsidR="3A587D29" w:rsidRPr="00163830">
        <w:rPr>
          <w:rFonts w:eastAsia="Calibri"/>
        </w:rPr>
        <w:t xml:space="preserve">til </w:t>
      </w:r>
      <w:r w:rsidR="0A8B22EE" w:rsidRPr="00163830">
        <w:rPr>
          <w:rFonts w:eastAsia="Calibri"/>
        </w:rPr>
        <w:t>2021</w:t>
      </w:r>
      <w:r w:rsidR="7822DBCD" w:rsidRPr="00163830">
        <w:rPr>
          <w:rFonts w:eastAsia="Calibri"/>
        </w:rPr>
        <w:t>–22</w:t>
      </w:r>
      <w:r w:rsidR="46A6E3C6" w:rsidRPr="00163830">
        <w:rPr>
          <w:rFonts w:eastAsia="Calibri"/>
        </w:rPr>
        <w:t>.</w:t>
      </w:r>
      <w:r w:rsidR="331399E8" w:rsidRPr="00163830">
        <w:rPr>
          <w:rFonts w:eastAsia="Calibri"/>
        </w:rPr>
        <w:t xml:space="preserve"> </w:t>
      </w:r>
      <w:r w:rsidR="464A8D54" w:rsidRPr="00163830">
        <w:rPr>
          <w:rFonts w:eastAsia="Calibri"/>
        </w:rPr>
        <w:t xml:space="preserve">The </w:t>
      </w:r>
      <w:r w:rsidR="77A6522E" w:rsidRPr="00163830">
        <w:rPr>
          <w:rFonts w:eastAsia="Calibri"/>
        </w:rPr>
        <w:t xml:space="preserve">Initial Alternate ELPAC was </w:t>
      </w:r>
      <w:r w:rsidR="24BA470B" w:rsidRPr="00163830">
        <w:rPr>
          <w:rFonts w:eastAsia="Calibri"/>
        </w:rPr>
        <w:t xml:space="preserve">launched </w:t>
      </w:r>
      <w:r w:rsidR="3908DF8B" w:rsidRPr="00163830">
        <w:rPr>
          <w:rFonts w:eastAsia="Calibri"/>
        </w:rPr>
        <w:t xml:space="preserve">in the </w:t>
      </w:r>
      <w:r w:rsidR="385BF63C" w:rsidRPr="00163830">
        <w:rPr>
          <w:rFonts w:eastAsia="Calibri"/>
        </w:rPr>
        <w:t xml:space="preserve">2022–23 school year. </w:t>
      </w:r>
      <w:r w:rsidR="1CA73514" w:rsidRPr="00163830">
        <w:rPr>
          <w:rFonts w:eastAsia="Calibri"/>
        </w:rPr>
        <w:t xml:space="preserve">In September 2022, the SBE approved the CAASPP and ELPAC SSRs for the 2022–23 administration. The SSR documents approved by the SBE in September are located at </w:t>
      </w:r>
      <w:hyperlink r:id="rId12" w:tooltip="This link opens the SSR documents approved by the SBE in September 2022.">
        <w:r w:rsidR="12076A1E" w:rsidRPr="00163830">
          <w:rPr>
            <w:rStyle w:val="Hyperlink"/>
            <w:rFonts w:eastAsia="Calibri"/>
          </w:rPr>
          <w:t>https://www.cde.ca.gov/be/ag/ag/yr22/documents/sep22item04a4rev.pdf</w:t>
        </w:r>
      </w:hyperlink>
      <w:r w:rsidR="2F726C6E" w:rsidRPr="00163830">
        <w:rPr>
          <w:rStyle w:val="Hyperlink"/>
          <w:rFonts w:eastAsia="Calibri"/>
        </w:rPr>
        <w:t>.</w:t>
      </w:r>
    </w:p>
    <w:p w14:paraId="01177E21" w14:textId="4D8745D1" w:rsidR="41F131EC" w:rsidRPr="00163830" w:rsidRDefault="41F131EC" w:rsidP="451F3B9B">
      <w:pPr>
        <w:spacing w:before="240" w:after="240"/>
        <w:rPr>
          <w:rFonts w:eastAsia="Arial" w:cs="Arial"/>
          <w:u w:val="single"/>
        </w:rPr>
      </w:pPr>
      <w:r w:rsidRPr="00163830">
        <w:rPr>
          <w:rFonts w:eastAsia="Calibri"/>
        </w:rPr>
        <w:t xml:space="preserve">In November 2022, the CDE informed the SBE that the </w:t>
      </w:r>
      <w:r w:rsidR="33E77166" w:rsidRPr="00163830">
        <w:rPr>
          <w:rFonts w:eastAsia="Calibri"/>
        </w:rPr>
        <w:t>CDE and ETS would</w:t>
      </w:r>
      <w:r w:rsidRPr="00163830">
        <w:rPr>
          <w:rFonts w:eastAsia="Calibri"/>
        </w:rPr>
        <w:t xml:space="preserve"> begin work on </w:t>
      </w:r>
      <w:r w:rsidR="34AB4114" w:rsidRPr="00163830">
        <w:rPr>
          <w:rFonts w:eastAsia="Calibri"/>
        </w:rPr>
        <w:t>redesigning</w:t>
      </w:r>
      <w:r w:rsidRPr="00163830">
        <w:rPr>
          <w:rFonts w:eastAsia="Calibri"/>
        </w:rPr>
        <w:t xml:space="preserve"> the CAASPP and ELPAC SSRs </w:t>
      </w:r>
      <w:r w:rsidR="503C58C1" w:rsidRPr="00163830">
        <w:rPr>
          <w:rFonts w:eastAsia="Calibri"/>
        </w:rPr>
        <w:t>for</w:t>
      </w:r>
      <w:r w:rsidRPr="00163830">
        <w:rPr>
          <w:rFonts w:eastAsia="Calibri"/>
        </w:rPr>
        <w:t xml:space="preserve"> the 2023–24 administration. </w:t>
      </w:r>
      <w:r w:rsidR="3F9434FE" w:rsidRPr="00163830">
        <w:rPr>
          <w:rFonts w:eastAsia="Calibri"/>
        </w:rPr>
        <w:t>The redesign o</w:t>
      </w:r>
      <w:r w:rsidR="0F240FC0" w:rsidRPr="00163830">
        <w:rPr>
          <w:rFonts w:eastAsia="Calibri"/>
        </w:rPr>
        <w:t>f SSRs</w:t>
      </w:r>
      <w:r w:rsidR="3F9434FE" w:rsidRPr="00163830">
        <w:rPr>
          <w:rFonts w:eastAsia="Calibri"/>
        </w:rPr>
        <w:t xml:space="preserve"> </w:t>
      </w:r>
      <w:r w:rsidR="0F240FC0" w:rsidRPr="00163830">
        <w:rPr>
          <w:rFonts w:eastAsia="Calibri"/>
        </w:rPr>
        <w:t xml:space="preserve">has been planned to follow or coincide </w:t>
      </w:r>
      <w:r w:rsidR="00084C36" w:rsidRPr="00163830">
        <w:rPr>
          <w:rFonts w:eastAsia="Calibri"/>
        </w:rPr>
        <w:t>with</w:t>
      </w:r>
      <w:r w:rsidR="0F240FC0" w:rsidRPr="00163830">
        <w:rPr>
          <w:rFonts w:eastAsia="Calibri"/>
        </w:rPr>
        <w:t xml:space="preserve"> other test development activities, </w:t>
      </w:r>
      <w:r w:rsidR="7488A959" w:rsidRPr="00163830">
        <w:rPr>
          <w:rFonts w:eastAsia="Calibri"/>
        </w:rPr>
        <w:t>such as the rel</w:t>
      </w:r>
      <w:r w:rsidR="44BDFEF0" w:rsidRPr="00163830">
        <w:rPr>
          <w:rFonts w:eastAsia="Calibri"/>
        </w:rPr>
        <w:t>e</w:t>
      </w:r>
      <w:r w:rsidR="7488A959" w:rsidRPr="00163830">
        <w:rPr>
          <w:rFonts w:eastAsia="Calibri"/>
        </w:rPr>
        <w:t>ase of the operational Summative Alternate ELPAC,</w:t>
      </w:r>
      <w:r w:rsidR="0F240FC0" w:rsidRPr="00163830">
        <w:rPr>
          <w:rFonts w:eastAsia="Calibri"/>
        </w:rPr>
        <w:t xml:space="preserve"> the reporting o</w:t>
      </w:r>
      <w:r w:rsidR="2156A37D" w:rsidRPr="00163830">
        <w:rPr>
          <w:rFonts w:eastAsia="Calibri"/>
        </w:rPr>
        <w:t>f</w:t>
      </w:r>
      <w:r w:rsidR="0F240FC0" w:rsidRPr="00163830">
        <w:rPr>
          <w:rFonts w:eastAsia="Calibri"/>
        </w:rPr>
        <w:t xml:space="preserve"> Lexile</w:t>
      </w:r>
      <w:r w:rsidR="20F113C9" w:rsidRPr="00163830">
        <w:rPr>
          <w:b/>
          <w:vertAlign w:val="superscript"/>
        </w:rPr>
        <w:t>®</w:t>
      </w:r>
      <w:r w:rsidR="0F240FC0" w:rsidRPr="00163830">
        <w:rPr>
          <w:rFonts w:eastAsia="Calibri"/>
        </w:rPr>
        <w:t xml:space="preserve"> and Quantile</w:t>
      </w:r>
      <w:r w:rsidR="3D97D3E1" w:rsidRPr="00163830">
        <w:rPr>
          <w:b/>
          <w:vertAlign w:val="superscript"/>
        </w:rPr>
        <w:t>®</w:t>
      </w:r>
      <w:r w:rsidR="0F240FC0" w:rsidRPr="00163830">
        <w:rPr>
          <w:rFonts w:eastAsia="Calibri"/>
        </w:rPr>
        <w:t xml:space="preserve"> </w:t>
      </w:r>
      <w:r w:rsidR="6300B9DA" w:rsidRPr="00163830">
        <w:rPr>
          <w:rFonts w:eastAsia="Calibri"/>
        </w:rPr>
        <w:t>measures</w:t>
      </w:r>
      <w:r w:rsidR="71A02CF2" w:rsidRPr="00163830">
        <w:rPr>
          <w:rFonts w:eastAsia="Calibri"/>
        </w:rPr>
        <w:t>,</w:t>
      </w:r>
      <w:r w:rsidR="6300B9DA" w:rsidRPr="00163830">
        <w:rPr>
          <w:rFonts w:eastAsia="Calibri"/>
        </w:rPr>
        <w:t xml:space="preserve"> and the implementation of composite claim results for the Smar</w:t>
      </w:r>
      <w:r w:rsidR="0531AAC6" w:rsidRPr="00163830">
        <w:rPr>
          <w:rFonts w:eastAsia="Calibri"/>
        </w:rPr>
        <w:t xml:space="preserve">ter Balanced </w:t>
      </w:r>
      <w:r w:rsidR="00E95C62" w:rsidRPr="00163830">
        <w:rPr>
          <w:rFonts w:eastAsia="Calibri"/>
        </w:rPr>
        <w:t>Summative</w:t>
      </w:r>
      <w:r w:rsidR="0531AAC6" w:rsidRPr="00163830" w:rsidDel="00E95C62">
        <w:rPr>
          <w:rFonts w:eastAsia="Calibri"/>
        </w:rPr>
        <w:t xml:space="preserve"> </w:t>
      </w:r>
      <w:r w:rsidR="00E95C62" w:rsidRPr="00163830">
        <w:rPr>
          <w:rFonts w:eastAsia="Calibri"/>
        </w:rPr>
        <w:t xml:space="preserve">Assessments </w:t>
      </w:r>
      <w:r w:rsidR="00E13A4F" w:rsidRPr="00163830">
        <w:rPr>
          <w:rFonts w:eastAsia="Calibri"/>
        </w:rPr>
        <w:t>for</w:t>
      </w:r>
      <w:r w:rsidR="0531AAC6" w:rsidRPr="00163830">
        <w:rPr>
          <w:rFonts w:eastAsia="Calibri"/>
        </w:rPr>
        <w:t xml:space="preserve"> ELA and mathematics.</w:t>
      </w:r>
      <w:r w:rsidR="43CAC4EF" w:rsidRPr="00163830">
        <w:rPr>
          <w:rFonts w:eastAsia="Calibri"/>
        </w:rPr>
        <w:t xml:space="preserve"> </w:t>
      </w:r>
      <w:r w:rsidR="585DB296" w:rsidRPr="00163830">
        <w:rPr>
          <w:rFonts w:eastAsia="Calibri"/>
        </w:rPr>
        <w:t>A</w:t>
      </w:r>
      <w:r w:rsidR="004D5117" w:rsidRPr="00163830">
        <w:rPr>
          <w:rFonts w:eastAsia="Calibri"/>
        </w:rPr>
        <w:t xml:space="preserve">ll CAASPP and ELPAC assessments </w:t>
      </w:r>
      <w:r w:rsidR="0047393D" w:rsidRPr="00163830">
        <w:rPr>
          <w:rFonts w:eastAsia="Calibri"/>
        </w:rPr>
        <w:t xml:space="preserve">will be operational with individual student results reported </w:t>
      </w:r>
      <w:r w:rsidR="00F0161E" w:rsidRPr="00163830">
        <w:rPr>
          <w:rFonts w:eastAsia="Calibri"/>
        </w:rPr>
        <w:t xml:space="preserve">using </w:t>
      </w:r>
      <w:r w:rsidR="00DF2DDD" w:rsidRPr="00163830">
        <w:rPr>
          <w:rFonts w:eastAsia="Calibri"/>
        </w:rPr>
        <w:t>the redesigned</w:t>
      </w:r>
      <w:r w:rsidR="0047393D" w:rsidRPr="00163830">
        <w:rPr>
          <w:rFonts w:eastAsia="Calibri"/>
        </w:rPr>
        <w:t xml:space="preserve"> SSRs </w:t>
      </w:r>
      <w:r w:rsidR="008457B6" w:rsidRPr="00163830">
        <w:rPr>
          <w:rFonts w:eastAsia="Calibri"/>
        </w:rPr>
        <w:t xml:space="preserve">after </w:t>
      </w:r>
      <w:r w:rsidR="0047393D" w:rsidRPr="00163830">
        <w:rPr>
          <w:rFonts w:eastAsia="Calibri"/>
        </w:rPr>
        <w:t>the proposed SSR</w:t>
      </w:r>
      <w:r w:rsidR="00E83B8A" w:rsidRPr="00163830">
        <w:rPr>
          <w:rFonts w:eastAsia="Calibri"/>
        </w:rPr>
        <w:t>s</w:t>
      </w:r>
      <w:r w:rsidR="0047393D" w:rsidRPr="00163830">
        <w:rPr>
          <w:rFonts w:eastAsia="Calibri"/>
        </w:rPr>
        <w:t xml:space="preserve"> </w:t>
      </w:r>
      <w:r w:rsidR="0047393D" w:rsidRPr="00163830" w:rsidDel="004E5758">
        <w:rPr>
          <w:rFonts w:eastAsia="Calibri"/>
        </w:rPr>
        <w:t xml:space="preserve">are </w:t>
      </w:r>
      <w:r w:rsidR="004E5758" w:rsidRPr="00163830">
        <w:rPr>
          <w:rFonts w:eastAsia="Calibri"/>
        </w:rPr>
        <w:t xml:space="preserve">approved </w:t>
      </w:r>
      <w:r w:rsidR="00E22F41" w:rsidRPr="00163830">
        <w:rPr>
          <w:rFonts w:eastAsia="Calibri"/>
        </w:rPr>
        <w:t>by the SBE in September 2023</w:t>
      </w:r>
      <w:r w:rsidR="00185F4C" w:rsidRPr="00163830">
        <w:rPr>
          <w:rFonts w:eastAsia="Calibri"/>
        </w:rPr>
        <w:t>.</w:t>
      </w:r>
      <w:r w:rsidR="006A6296" w:rsidRPr="00163830">
        <w:rPr>
          <w:rFonts w:eastAsia="Calibri"/>
        </w:rPr>
        <w:t xml:space="preserve"> </w:t>
      </w:r>
      <w:r w:rsidR="445A5AAE" w:rsidRPr="00163830">
        <w:rPr>
          <w:rFonts w:eastAsia="Calibri"/>
        </w:rPr>
        <w:t>A timeline of events s</w:t>
      </w:r>
      <w:r w:rsidR="445A5AAE" w:rsidRPr="00163830">
        <w:rPr>
          <w:rFonts w:eastAsia="Arial" w:cs="Arial"/>
        </w:rPr>
        <w:t xml:space="preserve">urrounding this redesign was provided in </w:t>
      </w:r>
      <w:r w:rsidR="00903F8A" w:rsidRPr="00163830">
        <w:rPr>
          <w:rFonts w:eastAsia="Arial" w:cs="Arial"/>
        </w:rPr>
        <w:t xml:space="preserve">Item </w:t>
      </w:r>
      <w:r w:rsidR="0AB9E15D" w:rsidRPr="00163830">
        <w:rPr>
          <w:rFonts w:eastAsia="Arial" w:cs="Arial"/>
        </w:rPr>
        <w:t xml:space="preserve">12 of </w:t>
      </w:r>
      <w:r w:rsidR="445A5AAE" w:rsidRPr="00163830">
        <w:rPr>
          <w:rFonts w:eastAsia="Arial" w:cs="Arial"/>
        </w:rPr>
        <w:t>the November</w:t>
      </w:r>
      <w:r w:rsidR="2A59AED0" w:rsidRPr="00163830">
        <w:rPr>
          <w:rFonts w:eastAsia="Arial" w:cs="Arial"/>
        </w:rPr>
        <w:t xml:space="preserve"> 2022</w:t>
      </w:r>
      <w:r w:rsidR="445A5AAE" w:rsidRPr="00163830">
        <w:rPr>
          <w:rFonts w:eastAsia="Arial" w:cs="Arial"/>
        </w:rPr>
        <w:t xml:space="preserve"> SBE </w:t>
      </w:r>
      <w:r w:rsidR="0F6E9CB7" w:rsidRPr="00163830">
        <w:rPr>
          <w:rFonts w:eastAsia="Arial" w:cs="Arial"/>
        </w:rPr>
        <w:t xml:space="preserve">meeting </w:t>
      </w:r>
      <w:r w:rsidR="4E8AB198" w:rsidRPr="00163830">
        <w:rPr>
          <w:rFonts w:eastAsia="Arial" w:cs="Arial"/>
        </w:rPr>
        <w:t>at</w:t>
      </w:r>
      <w:r w:rsidR="2F630F2C" w:rsidRPr="00163830">
        <w:rPr>
          <w:rFonts w:eastAsia="Arial" w:cs="Arial"/>
        </w:rPr>
        <w:t xml:space="preserve"> </w:t>
      </w:r>
      <w:hyperlink r:id="rId13" w:tooltip="This link opens Item 12 of the November 2022 SBE meeting." w:history="1">
        <w:r w:rsidR="00314B4E" w:rsidRPr="00163830">
          <w:rPr>
            <w:rStyle w:val="Hyperlink"/>
            <w:rFonts w:eastAsia="Arial" w:cs="Arial"/>
          </w:rPr>
          <w:t>https://www.cde.ca.gov/be/ag/ag/yr22/documents/nov22item12rev.docx</w:t>
        </w:r>
      </w:hyperlink>
      <w:r w:rsidR="65244EE0" w:rsidRPr="00163830">
        <w:rPr>
          <w:rFonts w:eastAsia="Arial" w:cs="Arial"/>
        </w:rPr>
        <w:t>.</w:t>
      </w:r>
      <w:r w:rsidR="0088011A" w:rsidRPr="00163830" w:rsidDel="0088011A">
        <w:t xml:space="preserve"> </w:t>
      </w:r>
    </w:p>
    <w:p w14:paraId="6C4557C2" w14:textId="748363D4" w:rsidR="5BF228E7" w:rsidRDefault="2618899D" w:rsidP="276C9930">
      <w:pPr>
        <w:spacing w:before="240" w:after="240"/>
        <w:rPr>
          <w:rFonts w:eastAsia="Calibri"/>
        </w:rPr>
      </w:pPr>
      <w:r w:rsidRPr="00163830">
        <w:rPr>
          <w:rFonts w:eastAsia="Calibri"/>
        </w:rPr>
        <w:t>Samples of</w:t>
      </w:r>
      <w:r w:rsidR="00D72C9B" w:rsidRPr="00163830">
        <w:rPr>
          <w:rFonts w:eastAsia="Calibri"/>
        </w:rPr>
        <w:t xml:space="preserve"> all the</w:t>
      </w:r>
      <w:r w:rsidRPr="00163830">
        <w:rPr>
          <w:rFonts w:eastAsia="Calibri"/>
        </w:rPr>
        <w:t xml:space="preserve"> 2022–</w:t>
      </w:r>
      <w:r w:rsidRPr="00163830">
        <w:rPr>
          <w:rFonts w:eastAsia="Calibri" w:cs="Arial"/>
        </w:rPr>
        <w:t>23 SSRs</w:t>
      </w:r>
      <w:r w:rsidR="00B107FD" w:rsidRPr="00163830">
        <w:rPr>
          <w:rFonts w:eastAsia="Calibri" w:cs="Arial"/>
        </w:rPr>
        <w:t>,</w:t>
      </w:r>
      <w:r w:rsidRPr="00163830">
        <w:rPr>
          <w:rFonts w:eastAsia="Calibri" w:cs="Arial"/>
        </w:rPr>
        <w:t xml:space="preserve"> </w:t>
      </w:r>
      <w:r w:rsidR="00D72C9B" w:rsidRPr="00163830">
        <w:rPr>
          <w:rFonts w:eastAsia="Calibri" w:cs="Arial"/>
        </w:rPr>
        <w:t>including translated versions</w:t>
      </w:r>
      <w:r w:rsidR="00B107FD" w:rsidRPr="00163830">
        <w:rPr>
          <w:rFonts w:eastAsia="Calibri" w:cs="Arial"/>
        </w:rPr>
        <w:t>,</w:t>
      </w:r>
      <w:r w:rsidR="00D72C9B" w:rsidRPr="00163830">
        <w:rPr>
          <w:rFonts w:eastAsia="Calibri" w:cs="Arial"/>
        </w:rPr>
        <w:t xml:space="preserve"> </w:t>
      </w:r>
      <w:r w:rsidRPr="00163830">
        <w:rPr>
          <w:rFonts w:eastAsia="Calibri" w:cs="Arial"/>
        </w:rPr>
        <w:t xml:space="preserve">can be found on the CAASPP </w:t>
      </w:r>
      <w:r w:rsidR="00BE59DF" w:rsidRPr="00163830">
        <w:rPr>
          <w:rFonts w:eastAsia="Calibri" w:cs="Arial"/>
        </w:rPr>
        <w:t xml:space="preserve">web page </w:t>
      </w:r>
      <w:r w:rsidRPr="00163830">
        <w:rPr>
          <w:rFonts w:eastAsia="Calibri" w:cs="Arial"/>
        </w:rPr>
        <w:t xml:space="preserve">at </w:t>
      </w:r>
      <w:hyperlink r:id="rId14" w:tooltip="This link opens the CAASPP Student Score Report web page.">
        <w:r w:rsidR="002B5B36" w:rsidRPr="00163830">
          <w:rPr>
            <w:rStyle w:val="Hyperlink"/>
            <w:rFonts w:cs="Arial"/>
          </w:rPr>
          <w:t>https://www.caaspp.org/administration/reporting/student-score-</w:t>
        </w:r>
        <w:r w:rsidR="002B5B36" w:rsidRPr="00163830">
          <w:rPr>
            <w:rStyle w:val="Hyperlink"/>
            <w:rFonts w:cs="Arial"/>
          </w:rPr>
          <w:lastRenderedPageBreak/>
          <w:t>report.html</w:t>
        </w:r>
      </w:hyperlink>
      <w:r w:rsidR="002B5B36" w:rsidRPr="00163830">
        <w:rPr>
          <w:rFonts w:cs="Arial"/>
        </w:rPr>
        <w:t xml:space="preserve"> </w:t>
      </w:r>
      <w:r w:rsidRPr="00163830">
        <w:rPr>
          <w:rFonts w:eastAsia="Calibri" w:cs="Arial"/>
        </w:rPr>
        <w:t xml:space="preserve">and the ELPAC </w:t>
      </w:r>
      <w:r w:rsidR="00BE59DF" w:rsidRPr="00163830">
        <w:rPr>
          <w:rFonts w:eastAsia="Calibri" w:cs="Arial"/>
        </w:rPr>
        <w:t>web page</w:t>
      </w:r>
      <w:r w:rsidR="00BE59DF" w:rsidRPr="451F3B9B">
        <w:rPr>
          <w:rFonts w:eastAsia="Calibri" w:cs="Arial"/>
        </w:rPr>
        <w:t xml:space="preserve"> </w:t>
      </w:r>
      <w:r w:rsidRPr="451F3B9B">
        <w:rPr>
          <w:rFonts w:eastAsia="Calibri" w:cs="Arial"/>
        </w:rPr>
        <w:t xml:space="preserve">at </w:t>
      </w:r>
      <w:hyperlink r:id="rId15" w:tooltip="This link opens the ELPAC Sample Student Score Reports web page.">
        <w:r w:rsidR="4DFC481A" w:rsidRPr="6F783E61">
          <w:rPr>
            <w:rStyle w:val="Hyperlink"/>
          </w:rPr>
          <w:t>https://www.elpac.org/test-administration/reporting/sample-student-score-reports/</w:t>
        </w:r>
      </w:hyperlink>
      <w:r w:rsidR="27808DE8">
        <w:t>.</w:t>
      </w:r>
    </w:p>
    <w:p w14:paraId="7CD88B2C" w14:textId="5CF75A41" w:rsidR="5BF228E7" w:rsidRDefault="69E9DA28" w:rsidP="17DC9C21">
      <w:pPr>
        <w:spacing w:before="240" w:after="240"/>
        <w:rPr>
          <w:rFonts w:eastAsia="Arial" w:cs="Arial"/>
          <w:color w:val="000000" w:themeColor="text1"/>
        </w:rPr>
      </w:pPr>
      <w:r w:rsidRPr="276C9930">
        <w:rPr>
          <w:rFonts w:eastAsia="Arial" w:cs="Arial"/>
          <w:color w:val="000000" w:themeColor="text1"/>
        </w:rPr>
        <w:t xml:space="preserve">The high-level timeline of activities for the </w:t>
      </w:r>
      <w:r w:rsidR="00104B95" w:rsidRPr="00163830">
        <w:rPr>
          <w:rFonts w:eastAsia="Arial" w:cs="Arial"/>
          <w:color w:val="000000" w:themeColor="text1"/>
        </w:rPr>
        <w:t>SSR</w:t>
      </w:r>
      <w:r w:rsidR="00104B95">
        <w:rPr>
          <w:rFonts w:eastAsia="Arial" w:cs="Arial"/>
          <w:color w:val="000000" w:themeColor="text1"/>
        </w:rPr>
        <w:t xml:space="preserve"> </w:t>
      </w:r>
      <w:r w:rsidRPr="276C9930">
        <w:rPr>
          <w:rFonts w:eastAsia="Arial" w:cs="Arial"/>
          <w:color w:val="000000" w:themeColor="text1"/>
        </w:rPr>
        <w:t xml:space="preserve">redesign effort is presented in </w:t>
      </w:r>
      <w:r w:rsidR="003925E6">
        <w:rPr>
          <w:rFonts w:eastAsia="Arial" w:cs="Arial"/>
          <w:color w:val="000000" w:themeColor="text1"/>
        </w:rPr>
        <w:t>t</w:t>
      </w:r>
      <w:r w:rsidR="003925E6" w:rsidRPr="276C9930">
        <w:rPr>
          <w:rFonts w:eastAsia="Arial" w:cs="Arial"/>
          <w:color w:val="000000" w:themeColor="text1"/>
        </w:rPr>
        <w:t xml:space="preserve">able </w:t>
      </w:r>
      <w:r w:rsidR="00E871A1">
        <w:rPr>
          <w:rFonts w:eastAsia="Arial" w:cs="Arial"/>
          <w:color w:val="000000" w:themeColor="text1"/>
        </w:rPr>
        <w:t>2</w:t>
      </w:r>
      <w:r w:rsidRPr="276C9930">
        <w:rPr>
          <w:rFonts w:eastAsia="Arial" w:cs="Arial"/>
          <w:color w:val="000000" w:themeColor="text1"/>
        </w:rPr>
        <w:t>.</w:t>
      </w:r>
    </w:p>
    <w:p w14:paraId="0811E37D" w14:textId="3E4D2B96" w:rsidR="5BF228E7" w:rsidRPr="001B6F9D" w:rsidRDefault="69E9DA28" w:rsidP="001B6F9D">
      <w:pPr>
        <w:pStyle w:val="Heading4"/>
        <w:rPr>
          <w:b w:val="0"/>
          <w:bCs w:val="0"/>
        </w:rPr>
      </w:pPr>
      <w:r w:rsidRPr="001B6F9D">
        <w:rPr>
          <w:b w:val="0"/>
          <w:bCs w:val="0"/>
        </w:rPr>
        <w:t xml:space="preserve">Table </w:t>
      </w:r>
      <w:r w:rsidR="00E871A1" w:rsidRPr="001B6F9D">
        <w:rPr>
          <w:b w:val="0"/>
          <w:bCs w:val="0"/>
        </w:rPr>
        <w:t>2</w:t>
      </w:r>
      <w:r w:rsidRPr="001B6F9D">
        <w:rPr>
          <w:b w:val="0"/>
          <w:bCs w:val="0"/>
        </w:rPr>
        <w:t xml:space="preserve">. </w:t>
      </w:r>
      <w:r w:rsidR="00D61156" w:rsidRPr="001B6F9D">
        <w:rPr>
          <w:b w:val="0"/>
          <w:bCs w:val="0"/>
        </w:rPr>
        <w:t xml:space="preserve">2023–24 </w:t>
      </w:r>
      <w:r w:rsidRPr="001B6F9D">
        <w:rPr>
          <w:b w:val="0"/>
          <w:bCs w:val="0"/>
        </w:rPr>
        <w:t>Student Score Report Redesign Timeline</w:t>
      </w:r>
    </w:p>
    <w:tbl>
      <w:tblPr>
        <w:tblStyle w:val="GridTable6Colorful"/>
        <w:tblW w:w="0" w:type="auto"/>
        <w:tblLayout w:type="fixed"/>
        <w:tblLook w:val="04A0" w:firstRow="1" w:lastRow="0" w:firstColumn="1" w:lastColumn="0" w:noHBand="0" w:noVBand="1"/>
        <w:tblDescription w:val="Table 2 displays the 2023–24 Student Score Report Redesign Timeline."/>
      </w:tblPr>
      <w:tblGrid>
        <w:gridCol w:w="2229"/>
        <w:gridCol w:w="5415"/>
        <w:gridCol w:w="1716"/>
      </w:tblGrid>
      <w:tr w:rsidR="5BF228E7" w:rsidRPr="00D354FA" w14:paraId="30AE1BBE" w14:textId="77777777" w:rsidTr="003164F4">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Mar>
              <w:top w:w="30" w:type="dxa"/>
              <w:left w:w="105" w:type="dxa"/>
              <w:bottom w:w="30" w:type="dxa"/>
              <w:right w:w="105" w:type="dxa"/>
            </w:tcMar>
          </w:tcPr>
          <w:p w14:paraId="4B47C6F3" w14:textId="05B4FC12" w:rsidR="5BF228E7" w:rsidRPr="00D354FA" w:rsidRDefault="5BF228E7" w:rsidP="00D13216">
            <w:pPr>
              <w:spacing w:before="120" w:after="120"/>
              <w:jc w:val="center"/>
              <w:rPr>
                <w:rFonts w:eastAsia="Arial" w:cs="Arial"/>
              </w:rPr>
            </w:pPr>
            <w:r w:rsidRPr="00D354FA">
              <w:rPr>
                <w:rFonts w:eastAsia="Arial" w:cs="Arial"/>
              </w:rPr>
              <w:t>Date</w:t>
            </w:r>
          </w:p>
        </w:tc>
        <w:tc>
          <w:tcPr>
            <w:tcW w:w="5415"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Mar>
              <w:top w:w="30" w:type="dxa"/>
              <w:left w:w="105" w:type="dxa"/>
              <w:bottom w:w="30" w:type="dxa"/>
              <w:right w:w="105" w:type="dxa"/>
            </w:tcMar>
          </w:tcPr>
          <w:p w14:paraId="08F64F1F" w14:textId="11E5B92B" w:rsidR="5BF228E7" w:rsidRPr="00D354FA" w:rsidRDefault="5BF228E7" w:rsidP="00D13216">
            <w:pPr>
              <w:spacing w:before="120" w:after="12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D354FA">
              <w:rPr>
                <w:rFonts w:eastAsia="Arial" w:cs="Arial"/>
              </w:rPr>
              <w:t>Activity</w:t>
            </w:r>
          </w:p>
        </w:tc>
        <w:tc>
          <w:tcPr>
            <w:tcW w:w="1716"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Mar>
              <w:top w:w="30" w:type="dxa"/>
              <w:left w:w="105" w:type="dxa"/>
              <w:bottom w:w="30" w:type="dxa"/>
              <w:right w:w="105" w:type="dxa"/>
            </w:tcMar>
          </w:tcPr>
          <w:p w14:paraId="6E4076C4" w14:textId="003025DC" w:rsidR="1B50113C" w:rsidRPr="00D354FA" w:rsidRDefault="1B50113C" w:rsidP="00D13216">
            <w:pPr>
              <w:spacing w:before="120" w:after="120"/>
              <w:jc w:val="center"/>
              <w:cnfStyle w:val="100000000000" w:firstRow="1" w:lastRow="0" w:firstColumn="0" w:lastColumn="0" w:oddVBand="0" w:evenVBand="0" w:oddHBand="0" w:evenHBand="0" w:firstRowFirstColumn="0" w:firstRowLastColumn="0" w:lastRowFirstColumn="0" w:lastRowLastColumn="0"/>
              <w:rPr>
                <w:rFonts w:eastAsia="Arial" w:cs="Arial"/>
              </w:rPr>
            </w:pPr>
            <w:r w:rsidRPr="00D354FA">
              <w:rPr>
                <w:rFonts w:eastAsia="Arial" w:cs="Arial"/>
              </w:rPr>
              <w:t>Status</w:t>
            </w:r>
          </w:p>
        </w:tc>
      </w:tr>
      <w:tr w:rsidR="5BF228E7" w14:paraId="7BCD1567" w14:textId="77777777" w:rsidTr="003164F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477D78AA" w14:textId="6FB70E22" w:rsidR="5BF228E7" w:rsidRPr="008D75E1" w:rsidRDefault="5BF228E7" w:rsidP="00D13216">
            <w:pPr>
              <w:spacing w:before="120" w:after="120"/>
              <w:rPr>
                <w:rFonts w:eastAsia="Arial" w:cs="Arial"/>
              </w:rPr>
            </w:pPr>
            <w:r w:rsidRPr="008D75E1">
              <w:rPr>
                <w:rFonts w:eastAsia="Arial" w:cs="Arial"/>
              </w:rPr>
              <w:t>September–November 2022</w:t>
            </w:r>
          </w:p>
        </w:tc>
        <w:tc>
          <w:tcPr>
            <w:tcW w:w="5415"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5B4B2AD6" w14:textId="3FFD9F7D" w:rsidR="5BF228E7" w:rsidRPr="00163830" w:rsidRDefault="31F1392C" w:rsidP="00D1321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00163830">
              <w:rPr>
                <w:rFonts w:eastAsia="Arial" w:cs="Arial"/>
              </w:rPr>
              <w:t>ETS d</w:t>
            </w:r>
            <w:r w:rsidR="1D6B59DC" w:rsidRPr="00163830">
              <w:rPr>
                <w:rFonts w:eastAsia="Arial" w:cs="Arial"/>
              </w:rPr>
              <w:t>evelop</w:t>
            </w:r>
            <w:r w:rsidR="18EAB910" w:rsidRPr="00163830">
              <w:rPr>
                <w:rFonts w:eastAsia="Arial" w:cs="Arial"/>
              </w:rPr>
              <w:t>ed</w:t>
            </w:r>
            <w:r w:rsidR="5BF228E7" w:rsidRPr="00163830">
              <w:rPr>
                <w:rFonts w:eastAsia="Arial" w:cs="Arial"/>
              </w:rPr>
              <w:t xml:space="preserve"> concept design options</w:t>
            </w:r>
          </w:p>
        </w:tc>
        <w:tc>
          <w:tcPr>
            <w:tcW w:w="1716"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69DD5888" w14:textId="0F0BF908" w:rsidR="479B7BD4" w:rsidRDefault="479B7BD4" w:rsidP="00D1321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5BF228E7">
              <w:rPr>
                <w:rFonts w:eastAsia="Arial" w:cs="Arial"/>
              </w:rPr>
              <w:t>Completed</w:t>
            </w:r>
          </w:p>
        </w:tc>
      </w:tr>
      <w:tr w:rsidR="5BF228E7" w14:paraId="7B5A2B60" w14:textId="77777777" w:rsidTr="003164F4">
        <w:trPr>
          <w:cantSplit/>
          <w:trHeight w:val="300"/>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tcMar>
              <w:top w:w="30" w:type="dxa"/>
              <w:left w:w="105" w:type="dxa"/>
              <w:bottom w:w="30" w:type="dxa"/>
              <w:right w:w="105" w:type="dxa"/>
            </w:tcMar>
          </w:tcPr>
          <w:p w14:paraId="3ED368F6" w14:textId="14DC27C6" w:rsidR="5BF228E7" w:rsidRPr="008D75E1" w:rsidRDefault="5BF228E7" w:rsidP="00D13216">
            <w:pPr>
              <w:spacing w:before="120" w:after="120"/>
              <w:rPr>
                <w:rFonts w:eastAsia="Arial" w:cs="Arial"/>
              </w:rPr>
            </w:pPr>
            <w:r w:rsidRPr="008D75E1">
              <w:rPr>
                <w:rFonts w:eastAsia="Arial" w:cs="Arial"/>
              </w:rPr>
              <w:t>December 2022–January 2023</w:t>
            </w:r>
          </w:p>
        </w:tc>
        <w:tc>
          <w:tcPr>
            <w:tcW w:w="5415" w:type="dxa"/>
            <w:tcBorders>
              <w:top w:val="single" w:sz="6" w:space="0" w:color="666666"/>
              <w:left w:val="single" w:sz="6" w:space="0" w:color="666666"/>
              <w:bottom w:val="single" w:sz="6" w:space="0" w:color="666666"/>
              <w:right w:val="single" w:sz="6" w:space="0" w:color="666666"/>
            </w:tcBorders>
            <w:tcMar>
              <w:top w:w="30" w:type="dxa"/>
              <w:left w:w="105" w:type="dxa"/>
              <w:bottom w:w="30" w:type="dxa"/>
              <w:right w:w="105" w:type="dxa"/>
            </w:tcMar>
          </w:tcPr>
          <w:p w14:paraId="15EF4157" w14:textId="7FDC4B35" w:rsidR="5BF228E7" w:rsidRPr="00163830" w:rsidRDefault="52AFF257" w:rsidP="00D13216">
            <w:pPr>
              <w:spacing w:before="120" w:after="120"/>
              <w:cnfStyle w:val="000000000000" w:firstRow="0" w:lastRow="0" w:firstColumn="0" w:lastColumn="0" w:oddVBand="0" w:evenVBand="0" w:oddHBand="0" w:evenHBand="0" w:firstRowFirstColumn="0" w:firstRowLastColumn="0" w:lastRowFirstColumn="0" w:lastRowLastColumn="0"/>
              <w:rPr>
                <w:rFonts w:eastAsia="Arial" w:cs="Arial"/>
              </w:rPr>
            </w:pPr>
            <w:r w:rsidRPr="00163830">
              <w:rPr>
                <w:rFonts w:eastAsia="Arial" w:cs="Arial"/>
              </w:rPr>
              <w:t>ETS c</w:t>
            </w:r>
            <w:r w:rsidR="1D6B59DC" w:rsidRPr="00163830">
              <w:rPr>
                <w:rFonts w:eastAsia="Arial" w:cs="Arial"/>
              </w:rPr>
              <w:t>onduct</w:t>
            </w:r>
            <w:r w:rsidR="1194D706" w:rsidRPr="00163830">
              <w:rPr>
                <w:rFonts w:eastAsia="Arial" w:cs="Arial"/>
              </w:rPr>
              <w:t>ed</w:t>
            </w:r>
            <w:r w:rsidR="5BF228E7" w:rsidRPr="00163830">
              <w:rPr>
                <w:rFonts w:eastAsia="Arial" w:cs="Arial"/>
              </w:rPr>
              <w:t xml:space="preserve"> formal focus groups with the concept design options</w:t>
            </w:r>
          </w:p>
        </w:tc>
        <w:tc>
          <w:tcPr>
            <w:tcW w:w="1716" w:type="dxa"/>
            <w:tcBorders>
              <w:top w:val="single" w:sz="6" w:space="0" w:color="666666"/>
              <w:left w:val="single" w:sz="6" w:space="0" w:color="666666"/>
              <w:bottom w:val="single" w:sz="6" w:space="0" w:color="666666"/>
              <w:right w:val="single" w:sz="6" w:space="0" w:color="666666"/>
            </w:tcBorders>
            <w:tcMar>
              <w:top w:w="30" w:type="dxa"/>
              <w:left w:w="105" w:type="dxa"/>
              <w:bottom w:w="30" w:type="dxa"/>
              <w:right w:w="105" w:type="dxa"/>
            </w:tcMar>
          </w:tcPr>
          <w:p w14:paraId="144FD652" w14:textId="0EC023DC" w:rsidR="5BF228E7" w:rsidRDefault="485F4B82" w:rsidP="00D13216">
            <w:pPr>
              <w:spacing w:before="120" w:after="120"/>
              <w:cnfStyle w:val="000000000000" w:firstRow="0" w:lastRow="0" w:firstColumn="0" w:lastColumn="0" w:oddVBand="0" w:evenVBand="0" w:oddHBand="0" w:evenHBand="0" w:firstRowFirstColumn="0" w:firstRowLastColumn="0" w:lastRowFirstColumn="0" w:lastRowLastColumn="0"/>
              <w:rPr>
                <w:rFonts w:eastAsia="Arial" w:cs="Arial"/>
              </w:rPr>
            </w:pPr>
            <w:r w:rsidRPr="5BF228E7">
              <w:rPr>
                <w:rFonts w:eastAsia="Arial" w:cs="Arial"/>
              </w:rPr>
              <w:t>Complete</w:t>
            </w:r>
            <w:r w:rsidR="00A13D02">
              <w:rPr>
                <w:rFonts w:eastAsia="Arial" w:cs="Arial"/>
              </w:rPr>
              <w:t>d</w:t>
            </w:r>
          </w:p>
        </w:tc>
      </w:tr>
      <w:tr w:rsidR="5BF228E7" w14:paraId="09B9EE13" w14:textId="77777777" w:rsidTr="003164F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28221AE4" w14:textId="76B0CBDD" w:rsidR="5BF228E7" w:rsidRPr="008D75E1" w:rsidRDefault="5BF228E7" w:rsidP="00D13216">
            <w:pPr>
              <w:spacing w:before="120" w:after="120"/>
              <w:rPr>
                <w:rFonts w:eastAsia="Arial" w:cs="Arial"/>
              </w:rPr>
            </w:pPr>
            <w:r w:rsidRPr="008D75E1">
              <w:rPr>
                <w:rFonts w:eastAsia="Arial" w:cs="Arial"/>
              </w:rPr>
              <w:t>February</w:t>
            </w:r>
            <w:r w:rsidR="002D5FC4" w:rsidRPr="008D75E1">
              <w:rPr>
                <w:rFonts w:eastAsia="Arial" w:cs="Arial"/>
              </w:rPr>
              <w:t>–</w:t>
            </w:r>
            <w:r w:rsidR="009E68EE">
              <w:rPr>
                <w:rFonts w:eastAsia="Arial" w:cs="Arial"/>
              </w:rPr>
              <w:t>May</w:t>
            </w:r>
            <w:r w:rsidRPr="008D75E1">
              <w:rPr>
                <w:rFonts w:eastAsia="Arial" w:cs="Arial"/>
              </w:rPr>
              <w:t xml:space="preserve"> 2023</w:t>
            </w:r>
          </w:p>
        </w:tc>
        <w:tc>
          <w:tcPr>
            <w:tcW w:w="5415"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4889C578" w14:textId="59440293" w:rsidR="00D10AE5" w:rsidRPr="00163830" w:rsidRDefault="66594B4C" w:rsidP="00D13216">
            <w:pPr>
              <w:pStyle w:val="ListParagraph"/>
              <w:numPr>
                <w:ilvl w:val="0"/>
                <w:numId w:val="7"/>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eastAsia="Arial" w:cs="Arial"/>
              </w:rPr>
            </w:pPr>
            <w:r w:rsidRPr="00163830">
              <w:rPr>
                <w:rFonts w:eastAsia="Arial" w:cs="Arial"/>
              </w:rPr>
              <w:t xml:space="preserve">ETS </w:t>
            </w:r>
            <w:r w:rsidR="004A451C" w:rsidRPr="00163830">
              <w:rPr>
                <w:rFonts w:eastAsia="Arial" w:cs="Arial"/>
              </w:rPr>
              <w:t xml:space="preserve">continued to collect feedback </w:t>
            </w:r>
            <w:r w:rsidR="0047393D" w:rsidRPr="00163830">
              <w:rPr>
                <w:rFonts w:eastAsia="Arial" w:cs="Arial"/>
              </w:rPr>
              <w:t xml:space="preserve">on concept design options </w:t>
            </w:r>
            <w:r w:rsidR="004A451C" w:rsidRPr="00163830">
              <w:rPr>
                <w:rFonts w:eastAsia="Arial" w:cs="Arial"/>
              </w:rPr>
              <w:t>from</w:t>
            </w:r>
            <w:r w:rsidRPr="00163830">
              <w:rPr>
                <w:rFonts w:eastAsia="Arial" w:cs="Arial"/>
              </w:rPr>
              <w:t xml:space="preserve"> </w:t>
            </w:r>
            <w:r w:rsidR="000E520C" w:rsidRPr="00163830">
              <w:rPr>
                <w:rFonts w:eastAsia="Arial" w:cs="Arial"/>
              </w:rPr>
              <w:t xml:space="preserve">parents and educators </w:t>
            </w:r>
            <w:r w:rsidR="00DE3AC5" w:rsidRPr="00163830">
              <w:rPr>
                <w:rFonts w:eastAsia="Arial" w:cs="Arial"/>
              </w:rPr>
              <w:t>through online surveys</w:t>
            </w:r>
          </w:p>
          <w:p w14:paraId="6BB83348" w14:textId="413E376D" w:rsidR="5BF228E7" w:rsidRPr="00163830" w:rsidRDefault="00D10AE5" w:rsidP="0020504C">
            <w:pPr>
              <w:pStyle w:val="ListParagraph"/>
              <w:numPr>
                <w:ilvl w:val="0"/>
                <w:numId w:val="7"/>
              </w:num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00163830">
              <w:rPr>
                <w:rFonts w:eastAsia="Arial" w:cs="Arial"/>
              </w:rPr>
              <w:t xml:space="preserve">ETS </w:t>
            </w:r>
            <w:r w:rsidR="66594B4C" w:rsidRPr="00163830">
              <w:rPr>
                <w:rFonts w:eastAsia="Arial" w:cs="Arial"/>
              </w:rPr>
              <w:t>p</w:t>
            </w:r>
            <w:r w:rsidR="1D6B59DC" w:rsidRPr="00163830">
              <w:rPr>
                <w:rFonts w:eastAsia="Arial" w:cs="Arial"/>
              </w:rPr>
              <w:t>rovide</w:t>
            </w:r>
            <w:r w:rsidR="6F46CAF7" w:rsidRPr="00163830">
              <w:rPr>
                <w:rFonts w:eastAsia="Arial" w:cs="Arial"/>
              </w:rPr>
              <w:t>d</w:t>
            </w:r>
            <w:r w:rsidR="5BF228E7" w:rsidRPr="00163830">
              <w:rPr>
                <w:rFonts w:eastAsia="Arial" w:cs="Arial"/>
              </w:rPr>
              <w:t xml:space="preserve"> the CDE with feedback on the concept design options</w:t>
            </w:r>
          </w:p>
        </w:tc>
        <w:tc>
          <w:tcPr>
            <w:tcW w:w="1716"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1F47AC15" w14:textId="405A8DE5" w:rsidR="5BF228E7" w:rsidRDefault="103337E6" w:rsidP="00D1321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5BF228E7">
              <w:rPr>
                <w:rFonts w:eastAsia="Arial" w:cs="Arial"/>
              </w:rPr>
              <w:t>Completed</w:t>
            </w:r>
          </w:p>
        </w:tc>
      </w:tr>
      <w:tr w:rsidR="5BF228E7" w14:paraId="0FF8B1FB" w14:textId="77777777" w:rsidTr="003164F4">
        <w:trPr>
          <w:cantSplit/>
          <w:trHeight w:val="300"/>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tcMar>
              <w:top w:w="30" w:type="dxa"/>
              <w:left w:w="105" w:type="dxa"/>
              <w:bottom w:w="30" w:type="dxa"/>
              <w:right w:w="105" w:type="dxa"/>
            </w:tcMar>
          </w:tcPr>
          <w:p w14:paraId="59B9A6D7" w14:textId="1E540FF9" w:rsidR="5BF228E7" w:rsidRPr="008D75E1" w:rsidRDefault="5BF228E7" w:rsidP="00D13216">
            <w:pPr>
              <w:spacing w:before="120" w:after="120"/>
              <w:rPr>
                <w:rFonts w:eastAsia="Arial" w:cs="Arial"/>
              </w:rPr>
            </w:pPr>
            <w:r w:rsidRPr="008D75E1">
              <w:rPr>
                <w:rFonts w:eastAsia="Arial" w:cs="Arial"/>
              </w:rPr>
              <w:t>April 2023</w:t>
            </w:r>
          </w:p>
        </w:tc>
        <w:tc>
          <w:tcPr>
            <w:tcW w:w="5415" w:type="dxa"/>
            <w:tcBorders>
              <w:top w:val="single" w:sz="6" w:space="0" w:color="666666"/>
              <w:left w:val="single" w:sz="6" w:space="0" w:color="666666"/>
              <w:bottom w:val="single" w:sz="6" w:space="0" w:color="666666"/>
              <w:right w:val="single" w:sz="6" w:space="0" w:color="666666"/>
            </w:tcBorders>
            <w:tcMar>
              <w:top w:w="30" w:type="dxa"/>
              <w:left w:w="105" w:type="dxa"/>
              <w:bottom w:w="30" w:type="dxa"/>
              <w:right w:w="105" w:type="dxa"/>
            </w:tcMar>
          </w:tcPr>
          <w:p w14:paraId="6DCE6195" w14:textId="0AE11E27" w:rsidR="5BF228E7" w:rsidRPr="00163830" w:rsidRDefault="008E8F3C" w:rsidP="00D13216">
            <w:pPr>
              <w:spacing w:before="120" w:after="120"/>
              <w:cnfStyle w:val="000000000000" w:firstRow="0" w:lastRow="0" w:firstColumn="0" w:lastColumn="0" w:oddVBand="0" w:evenVBand="0" w:oddHBand="0" w:evenHBand="0" w:firstRowFirstColumn="0" w:firstRowLastColumn="0" w:lastRowFirstColumn="0" w:lastRowLastColumn="0"/>
              <w:rPr>
                <w:rFonts w:eastAsia="Arial" w:cs="Arial"/>
              </w:rPr>
            </w:pPr>
            <w:r w:rsidRPr="00163830">
              <w:rPr>
                <w:rFonts w:eastAsia="Arial" w:cs="Arial"/>
              </w:rPr>
              <w:t xml:space="preserve">Smarter Balanced </w:t>
            </w:r>
            <w:r w:rsidR="104F023F" w:rsidRPr="00163830">
              <w:rPr>
                <w:rFonts w:eastAsia="Arial" w:cs="Arial"/>
              </w:rPr>
              <w:t>Consortium</w:t>
            </w:r>
            <w:r w:rsidR="0259B5CC" w:rsidRPr="00163830">
              <w:rPr>
                <w:rFonts w:eastAsia="Arial" w:cs="Arial"/>
              </w:rPr>
              <w:t xml:space="preserve"> (Consortium)</w:t>
            </w:r>
            <w:r w:rsidR="104F023F" w:rsidRPr="00163830">
              <w:rPr>
                <w:rFonts w:eastAsia="Arial" w:cs="Arial"/>
              </w:rPr>
              <w:t xml:space="preserve"> </w:t>
            </w:r>
            <w:r w:rsidR="56E25F3E" w:rsidRPr="00163830">
              <w:rPr>
                <w:rFonts w:eastAsia="Arial" w:cs="Arial"/>
              </w:rPr>
              <w:t>discuss</w:t>
            </w:r>
            <w:r w:rsidR="0C87AD8B" w:rsidRPr="00163830">
              <w:rPr>
                <w:rFonts w:eastAsia="Arial" w:cs="Arial"/>
              </w:rPr>
              <w:t>ed</w:t>
            </w:r>
            <w:r w:rsidR="104F023F" w:rsidRPr="00163830">
              <w:rPr>
                <w:rFonts w:eastAsia="Arial" w:cs="Arial"/>
              </w:rPr>
              <w:t xml:space="preserve"> the proposed composite claims for ELA and mathematics</w:t>
            </w:r>
            <w:r w:rsidR="3C55AC72" w:rsidRPr="00163830">
              <w:rPr>
                <w:rFonts w:eastAsia="Arial" w:cs="Arial"/>
              </w:rPr>
              <w:t xml:space="preserve"> at the Technical Advisory Committee Meeting and Collaboration Conference</w:t>
            </w:r>
          </w:p>
        </w:tc>
        <w:tc>
          <w:tcPr>
            <w:tcW w:w="1716" w:type="dxa"/>
            <w:tcBorders>
              <w:top w:val="single" w:sz="6" w:space="0" w:color="666666"/>
              <w:left w:val="single" w:sz="6" w:space="0" w:color="666666"/>
              <w:bottom w:val="single" w:sz="6" w:space="0" w:color="666666"/>
              <w:right w:val="single" w:sz="6" w:space="0" w:color="666666"/>
            </w:tcBorders>
            <w:tcMar>
              <w:top w:w="30" w:type="dxa"/>
              <w:left w:w="105" w:type="dxa"/>
              <w:bottom w:w="30" w:type="dxa"/>
              <w:right w:w="105" w:type="dxa"/>
            </w:tcMar>
          </w:tcPr>
          <w:p w14:paraId="339A0EF4" w14:textId="001C8E52" w:rsidR="5BF228E7" w:rsidRDefault="65060B9A" w:rsidP="00D13216">
            <w:pPr>
              <w:spacing w:before="120" w:after="120"/>
              <w:cnfStyle w:val="000000000000" w:firstRow="0" w:lastRow="0" w:firstColumn="0" w:lastColumn="0" w:oddVBand="0" w:evenVBand="0" w:oddHBand="0" w:evenHBand="0" w:firstRowFirstColumn="0" w:firstRowLastColumn="0" w:lastRowFirstColumn="0" w:lastRowLastColumn="0"/>
              <w:rPr>
                <w:rFonts w:eastAsia="Arial" w:cs="Arial"/>
              </w:rPr>
            </w:pPr>
            <w:r w:rsidRPr="5BF228E7">
              <w:rPr>
                <w:rFonts w:eastAsia="Arial" w:cs="Arial"/>
              </w:rPr>
              <w:t>Completed</w:t>
            </w:r>
          </w:p>
        </w:tc>
      </w:tr>
      <w:tr w:rsidR="5BF228E7" w14:paraId="46C8A581" w14:textId="77777777" w:rsidTr="003164F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4A95C312" w14:textId="0A78F9BC" w:rsidR="5BF228E7" w:rsidRPr="008D75E1" w:rsidRDefault="5BF228E7" w:rsidP="00D13216">
            <w:pPr>
              <w:spacing w:before="120" w:after="120"/>
              <w:rPr>
                <w:rFonts w:eastAsia="Arial" w:cs="Arial"/>
              </w:rPr>
            </w:pPr>
            <w:r w:rsidRPr="008D75E1">
              <w:rPr>
                <w:rFonts w:eastAsia="Arial" w:cs="Arial"/>
              </w:rPr>
              <w:t>May 2023</w:t>
            </w:r>
          </w:p>
        </w:tc>
        <w:tc>
          <w:tcPr>
            <w:tcW w:w="5415"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1B1D9E84" w14:textId="472A1EE8" w:rsidR="5BF228E7" w:rsidRPr="00163830" w:rsidRDefault="5BF228E7" w:rsidP="185F3C41">
            <w:pPr>
              <w:pStyle w:val="ListParagraph"/>
              <w:numPr>
                <w:ilvl w:val="0"/>
                <w:numId w:val="6"/>
              </w:numPr>
              <w:spacing w:before="120" w:after="120"/>
              <w:contextualSpacing w:val="0"/>
              <w:cnfStyle w:val="000000100000" w:firstRow="0" w:lastRow="0" w:firstColumn="0" w:lastColumn="0" w:oddVBand="0" w:evenVBand="0" w:oddHBand="1" w:evenHBand="0" w:firstRowFirstColumn="0" w:firstRowLastColumn="0" w:lastRowFirstColumn="0" w:lastRowLastColumn="0"/>
              <w:rPr>
                <w:rFonts w:eastAsia="Arial" w:cs="Arial"/>
              </w:rPr>
            </w:pPr>
            <w:r w:rsidRPr="00163830">
              <w:rPr>
                <w:rFonts w:eastAsia="Arial" w:cs="Arial"/>
              </w:rPr>
              <w:t xml:space="preserve">Consortium </w:t>
            </w:r>
            <w:r w:rsidR="1D6B59DC" w:rsidRPr="00163830">
              <w:rPr>
                <w:rFonts w:eastAsia="Arial" w:cs="Arial"/>
              </w:rPr>
              <w:t>confirm</w:t>
            </w:r>
            <w:r w:rsidR="22B6A093" w:rsidRPr="00163830">
              <w:rPr>
                <w:rFonts w:eastAsia="Arial" w:cs="Arial"/>
              </w:rPr>
              <w:t>ed</w:t>
            </w:r>
            <w:r w:rsidRPr="00163830">
              <w:rPr>
                <w:rFonts w:eastAsia="Arial" w:cs="Arial"/>
              </w:rPr>
              <w:t xml:space="preserve"> composite claims for ELA and mathematics and </w:t>
            </w:r>
            <w:r w:rsidR="308934A9" w:rsidRPr="00163830">
              <w:rPr>
                <w:rFonts w:eastAsia="Arial" w:cs="Arial"/>
              </w:rPr>
              <w:t xml:space="preserve">the CDE </w:t>
            </w:r>
            <w:r w:rsidR="70D9659D" w:rsidRPr="00163830">
              <w:rPr>
                <w:rFonts w:eastAsia="Arial" w:cs="Arial"/>
              </w:rPr>
              <w:t>provide</w:t>
            </w:r>
            <w:r w:rsidR="1C025435" w:rsidRPr="00163830">
              <w:rPr>
                <w:rFonts w:eastAsia="Arial" w:cs="Arial"/>
              </w:rPr>
              <w:t>d</w:t>
            </w:r>
            <w:r w:rsidRPr="00163830">
              <w:rPr>
                <w:rFonts w:eastAsia="Arial" w:cs="Arial"/>
              </w:rPr>
              <w:t xml:space="preserve"> </w:t>
            </w:r>
            <w:r w:rsidR="005C050F" w:rsidRPr="00163830">
              <w:rPr>
                <w:rFonts w:eastAsia="Arial" w:cs="Arial"/>
              </w:rPr>
              <w:t xml:space="preserve">an update </w:t>
            </w:r>
            <w:r w:rsidR="00D36142" w:rsidRPr="00163830">
              <w:rPr>
                <w:rFonts w:eastAsia="Arial" w:cs="Arial"/>
              </w:rPr>
              <w:t>in the May SBE item</w:t>
            </w:r>
          </w:p>
          <w:p w14:paraId="33B3386A" w14:textId="5C22FBF2" w:rsidR="5BF228E7" w:rsidRPr="00163830" w:rsidRDefault="0906C71B" w:rsidP="0020504C">
            <w:pPr>
              <w:pStyle w:val="ListParagraph"/>
              <w:numPr>
                <w:ilvl w:val="0"/>
                <w:numId w:val="6"/>
              </w:num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00163830">
              <w:rPr>
                <w:rFonts w:eastAsia="Arial" w:cs="Arial"/>
              </w:rPr>
              <w:t xml:space="preserve">CDE gathered feedback on the SSR concept design options from the Technical Advisory Group, the Assessment Interest Holders, and </w:t>
            </w:r>
            <w:r w:rsidR="12AF3620" w:rsidRPr="00163830">
              <w:rPr>
                <w:rFonts w:eastAsia="Arial" w:cs="Arial"/>
              </w:rPr>
              <w:t>Regional Assessment Network</w:t>
            </w:r>
          </w:p>
        </w:tc>
        <w:tc>
          <w:tcPr>
            <w:tcW w:w="1716"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5AA5BB63" w14:textId="7FE005D0" w:rsidR="5BF228E7" w:rsidRDefault="65060B9A" w:rsidP="00D1321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5BF228E7">
              <w:rPr>
                <w:rFonts w:eastAsia="Arial" w:cs="Arial"/>
              </w:rPr>
              <w:t>Completed</w:t>
            </w:r>
          </w:p>
        </w:tc>
      </w:tr>
      <w:tr w:rsidR="5BF228E7" w14:paraId="61514C51" w14:textId="77777777" w:rsidTr="003164F4">
        <w:trPr>
          <w:cantSplit/>
          <w:trHeight w:val="300"/>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tcMar>
              <w:top w:w="30" w:type="dxa"/>
              <w:left w:w="105" w:type="dxa"/>
              <w:bottom w:w="30" w:type="dxa"/>
              <w:right w:w="105" w:type="dxa"/>
            </w:tcMar>
          </w:tcPr>
          <w:p w14:paraId="611CD976" w14:textId="62F02C7F" w:rsidR="5BF228E7" w:rsidRPr="008D75E1" w:rsidRDefault="5BF228E7" w:rsidP="00D13216">
            <w:pPr>
              <w:spacing w:before="120" w:after="120"/>
              <w:rPr>
                <w:rFonts w:eastAsia="Arial" w:cs="Arial"/>
              </w:rPr>
            </w:pPr>
            <w:r w:rsidRPr="008D75E1">
              <w:rPr>
                <w:rFonts w:eastAsia="Arial" w:cs="Arial"/>
              </w:rPr>
              <w:t>June 2023</w:t>
            </w:r>
          </w:p>
        </w:tc>
        <w:tc>
          <w:tcPr>
            <w:tcW w:w="5415" w:type="dxa"/>
            <w:tcBorders>
              <w:top w:val="single" w:sz="6" w:space="0" w:color="666666"/>
              <w:left w:val="single" w:sz="6" w:space="0" w:color="666666"/>
              <w:bottom w:val="single" w:sz="6" w:space="0" w:color="666666"/>
              <w:right w:val="single" w:sz="6" w:space="0" w:color="666666"/>
            </w:tcBorders>
            <w:tcMar>
              <w:top w:w="30" w:type="dxa"/>
              <w:left w:w="105" w:type="dxa"/>
              <w:bottom w:w="30" w:type="dxa"/>
              <w:right w:w="105" w:type="dxa"/>
            </w:tcMar>
          </w:tcPr>
          <w:p w14:paraId="6B80E56B" w14:textId="7E9A48FE" w:rsidR="5BF228E7" w:rsidRPr="00163830" w:rsidRDefault="3C4B79E3" w:rsidP="00D13216">
            <w:pPr>
              <w:spacing w:before="120" w:after="120"/>
              <w:cnfStyle w:val="000000000000" w:firstRow="0" w:lastRow="0" w:firstColumn="0" w:lastColumn="0" w:oddVBand="0" w:evenVBand="0" w:oddHBand="0" w:evenHBand="0" w:firstRowFirstColumn="0" w:firstRowLastColumn="0" w:lastRowFirstColumn="0" w:lastRowLastColumn="0"/>
              <w:rPr>
                <w:rFonts w:eastAsia="Arial" w:cs="Arial"/>
              </w:rPr>
            </w:pPr>
            <w:r w:rsidRPr="00163830">
              <w:rPr>
                <w:rFonts w:eastAsia="Arial" w:cs="Arial"/>
              </w:rPr>
              <w:t>CDE p</w:t>
            </w:r>
            <w:r w:rsidR="1D6B59DC" w:rsidRPr="00163830">
              <w:rPr>
                <w:rFonts w:eastAsia="Arial" w:cs="Arial"/>
              </w:rPr>
              <w:t>rovide</w:t>
            </w:r>
            <w:r w:rsidR="7B29705D" w:rsidRPr="00163830">
              <w:rPr>
                <w:rFonts w:eastAsia="Arial" w:cs="Arial"/>
              </w:rPr>
              <w:t>d</w:t>
            </w:r>
            <w:r w:rsidR="5BF228E7" w:rsidRPr="00163830">
              <w:rPr>
                <w:rFonts w:eastAsia="Arial" w:cs="Arial"/>
              </w:rPr>
              <w:t xml:space="preserve"> a</w:t>
            </w:r>
            <w:r w:rsidR="00024E57" w:rsidRPr="00163830" w:rsidDel="006D0485">
              <w:rPr>
                <w:rFonts w:eastAsia="Arial" w:cs="Arial"/>
              </w:rPr>
              <w:t>n</w:t>
            </w:r>
            <w:r w:rsidR="5BF228E7" w:rsidRPr="00163830">
              <w:rPr>
                <w:rFonts w:eastAsia="Arial" w:cs="Arial"/>
              </w:rPr>
              <w:t xml:space="preserve"> SBE June Memorandum with design updates and SSR </w:t>
            </w:r>
            <w:r w:rsidR="00071AFF" w:rsidRPr="00163830">
              <w:rPr>
                <w:rFonts w:eastAsia="Arial" w:cs="Arial"/>
              </w:rPr>
              <w:t>samples</w:t>
            </w:r>
          </w:p>
        </w:tc>
        <w:tc>
          <w:tcPr>
            <w:tcW w:w="1716" w:type="dxa"/>
            <w:tcBorders>
              <w:top w:val="single" w:sz="6" w:space="0" w:color="666666"/>
              <w:left w:val="single" w:sz="6" w:space="0" w:color="666666"/>
              <w:bottom w:val="single" w:sz="6" w:space="0" w:color="666666"/>
              <w:right w:val="single" w:sz="6" w:space="0" w:color="666666"/>
            </w:tcBorders>
            <w:tcMar>
              <w:top w:w="30" w:type="dxa"/>
              <w:left w:w="105" w:type="dxa"/>
              <w:bottom w:w="30" w:type="dxa"/>
              <w:right w:w="105" w:type="dxa"/>
            </w:tcMar>
          </w:tcPr>
          <w:p w14:paraId="5C95E590" w14:textId="2AD57F70" w:rsidR="5BF228E7" w:rsidRDefault="1A3FD06C" w:rsidP="00D13216">
            <w:pPr>
              <w:spacing w:before="120" w:after="120"/>
              <w:cnfStyle w:val="000000000000" w:firstRow="0" w:lastRow="0" w:firstColumn="0" w:lastColumn="0" w:oddVBand="0" w:evenVBand="0" w:oddHBand="0" w:evenHBand="0" w:firstRowFirstColumn="0" w:firstRowLastColumn="0" w:lastRowFirstColumn="0" w:lastRowLastColumn="0"/>
              <w:rPr>
                <w:rFonts w:eastAsia="Arial" w:cs="Arial"/>
              </w:rPr>
            </w:pPr>
            <w:r w:rsidRPr="5BF228E7">
              <w:rPr>
                <w:rFonts w:eastAsia="Arial" w:cs="Arial"/>
              </w:rPr>
              <w:t>Completed</w:t>
            </w:r>
          </w:p>
        </w:tc>
      </w:tr>
      <w:tr w:rsidR="5BF228E7" w14:paraId="30D4D4D5" w14:textId="77777777" w:rsidTr="003164F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4E57B83D" w14:textId="79B540AF" w:rsidR="5BF228E7" w:rsidRPr="008D75E1" w:rsidRDefault="5BF228E7" w:rsidP="00D13216">
            <w:pPr>
              <w:spacing w:before="120" w:after="120"/>
              <w:rPr>
                <w:rFonts w:eastAsia="Arial" w:cs="Arial"/>
              </w:rPr>
            </w:pPr>
            <w:r w:rsidRPr="008D75E1">
              <w:rPr>
                <w:rFonts w:eastAsia="Arial" w:cs="Arial"/>
              </w:rPr>
              <w:t>July 2023</w:t>
            </w:r>
          </w:p>
        </w:tc>
        <w:tc>
          <w:tcPr>
            <w:tcW w:w="5415"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10CD70D8" w14:textId="20AE2683" w:rsidR="5BF228E7" w:rsidRPr="00163830" w:rsidRDefault="6A749A48" w:rsidP="00D1321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00163830">
              <w:rPr>
                <w:rFonts w:eastAsia="Arial" w:cs="Arial"/>
              </w:rPr>
              <w:t xml:space="preserve">CDE </w:t>
            </w:r>
            <w:r w:rsidR="002A66BA" w:rsidRPr="00163830">
              <w:rPr>
                <w:rFonts w:eastAsia="Arial" w:cs="Arial"/>
              </w:rPr>
              <w:t xml:space="preserve">will </w:t>
            </w:r>
            <w:r w:rsidR="0533696F" w:rsidRPr="00163830">
              <w:rPr>
                <w:rFonts w:eastAsia="Arial" w:cs="Arial"/>
              </w:rPr>
              <w:t>p</w:t>
            </w:r>
            <w:r w:rsidR="312CA72C" w:rsidRPr="00163830">
              <w:rPr>
                <w:rFonts w:eastAsia="Arial" w:cs="Arial"/>
              </w:rPr>
              <w:t>rovide</w:t>
            </w:r>
            <w:r w:rsidR="00396BE3" w:rsidRPr="00163830">
              <w:rPr>
                <w:rFonts w:eastAsia="Arial" w:cs="Arial"/>
              </w:rPr>
              <w:t xml:space="preserve"> </w:t>
            </w:r>
            <w:r w:rsidR="00906CC0" w:rsidRPr="00163830">
              <w:rPr>
                <w:rFonts w:eastAsia="Arial" w:cs="Arial"/>
              </w:rPr>
              <w:t xml:space="preserve">status of </w:t>
            </w:r>
            <w:r w:rsidR="5BF228E7" w:rsidRPr="00163830">
              <w:rPr>
                <w:rFonts w:eastAsia="Arial" w:cs="Arial"/>
              </w:rPr>
              <w:t xml:space="preserve">the SSR redesign </w:t>
            </w:r>
            <w:r w:rsidR="001A08C2" w:rsidRPr="00163830">
              <w:rPr>
                <w:rFonts w:eastAsia="Arial" w:cs="Arial"/>
              </w:rPr>
              <w:t xml:space="preserve">in </w:t>
            </w:r>
            <w:r w:rsidR="5BF228E7" w:rsidRPr="00163830">
              <w:rPr>
                <w:rFonts w:eastAsia="Arial" w:cs="Arial"/>
              </w:rPr>
              <w:t xml:space="preserve">the July 2023 SBE item </w:t>
            </w:r>
            <w:r w:rsidR="00343FF0" w:rsidRPr="00163830">
              <w:rPr>
                <w:rFonts w:eastAsia="Arial" w:cs="Arial"/>
              </w:rPr>
              <w:t xml:space="preserve">to </w:t>
            </w:r>
            <w:r w:rsidR="005D446B" w:rsidRPr="00163830">
              <w:rPr>
                <w:rFonts w:eastAsia="Arial" w:cs="Arial"/>
              </w:rPr>
              <w:t>allow</w:t>
            </w:r>
            <w:r w:rsidR="00343FF0" w:rsidRPr="00163830">
              <w:rPr>
                <w:rFonts w:eastAsia="Arial" w:cs="Arial"/>
              </w:rPr>
              <w:t xml:space="preserve"> </w:t>
            </w:r>
            <w:r w:rsidR="00837661" w:rsidRPr="00163830">
              <w:rPr>
                <w:rFonts w:eastAsia="Arial" w:cs="Arial"/>
              </w:rPr>
              <w:t xml:space="preserve">an </w:t>
            </w:r>
            <w:r w:rsidR="00343FF0" w:rsidRPr="00163830">
              <w:rPr>
                <w:rFonts w:eastAsia="Arial" w:cs="Arial"/>
              </w:rPr>
              <w:t xml:space="preserve">opportunity </w:t>
            </w:r>
            <w:r w:rsidR="5BF228E7" w:rsidRPr="00163830">
              <w:rPr>
                <w:rFonts w:eastAsia="Arial" w:cs="Arial"/>
              </w:rPr>
              <w:t>for feedback and discussion</w:t>
            </w:r>
          </w:p>
        </w:tc>
        <w:tc>
          <w:tcPr>
            <w:tcW w:w="1716"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4BDAFE8F" w14:textId="4420DB7A" w:rsidR="2709CEED" w:rsidRDefault="2709CEED" w:rsidP="00D1321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5BF228E7">
              <w:rPr>
                <w:rFonts w:eastAsia="Arial" w:cs="Arial"/>
              </w:rPr>
              <w:t>To be completed</w:t>
            </w:r>
          </w:p>
        </w:tc>
      </w:tr>
      <w:tr w:rsidR="5BF228E7" w14:paraId="5D0333AD" w14:textId="77777777" w:rsidTr="003164F4">
        <w:trPr>
          <w:cantSplit/>
          <w:trHeight w:val="300"/>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30" w:type="dxa"/>
              <w:left w:w="105" w:type="dxa"/>
              <w:bottom w:w="30" w:type="dxa"/>
              <w:right w:w="105" w:type="dxa"/>
            </w:tcMar>
          </w:tcPr>
          <w:p w14:paraId="1B8EF0CD" w14:textId="73E7E470" w:rsidR="5BF228E7" w:rsidRPr="008D75E1" w:rsidRDefault="5BF228E7" w:rsidP="00D13216">
            <w:pPr>
              <w:spacing w:before="120" w:after="120"/>
              <w:rPr>
                <w:rFonts w:eastAsia="Arial" w:cs="Arial"/>
              </w:rPr>
            </w:pPr>
            <w:r w:rsidRPr="008D75E1">
              <w:rPr>
                <w:rFonts w:eastAsia="Arial" w:cs="Arial"/>
              </w:rPr>
              <w:lastRenderedPageBreak/>
              <w:t>August 2023</w:t>
            </w:r>
          </w:p>
        </w:tc>
        <w:tc>
          <w:tcPr>
            <w:tcW w:w="5415"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30" w:type="dxa"/>
              <w:left w:w="105" w:type="dxa"/>
              <w:bottom w:w="30" w:type="dxa"/>
              <w:right w:w="105" w:type="dxa"/>
            </w:tcMar>
          </w:tcPr>
          <w:p w14:paraId="1717DA72" w14:textId="1CB42BA7" w:rsidR="5BF228E7" w:rsidRPr="00163830" w:rsidRDefault="389794BE" w:rsidP="00D13216">
            <w:pPr>
              <w:spacing w:before="120" w:after="120"/>
              <w:cnfStyle w:val="000000000000" w:firstRow="0" w:lastRow="0" w:firstColumn="0" w:lastColumn="0" w:oddVBand="0" w:evenVBand="0" w:oddHBand="0" w:evenHBand="0" w:firstRowFirstColumn="0" w:firstRowLastColumn="0" w:lastRowFirstColumn="0" w:lastRowLastColumn="0"/>
              <w:rPr>
                <w:rFonts w:eastAsia="Arial" w:cs="Arial"/>
              </w:rPr>
            </w:pPr>
            <w:r w:rsidRPr="00163830">
              <w:rPr>
                <w:rFonts w:eastAsia="Arial" w:cs="Arial"/>
              </w:rPr>
              <w:t xml:space="preserve">CDE and ETS </w:t>
            </w:r>
            <w:r w:rsidR="002A66BA" w:rsidRPr="00163830">
              <w:rPr>
                <w:rFonts w:eastAsia="Arial" w:cs="Arial"/>
              </w:rPr>
              <w:t xml:space="preserve">will </w:t>
            </w:r>
            <w:r w:rsidRPr="00163830">
              <w:rPr>
                <w:rFonts w:eastAsia="Arial" w:cs="Arial"/>
              </w:rPr>
              <w:t>u</w:t>
            </w:r>
            <w:r w:rsidR="002D20BB" w:rsidRPr="00163830">
              <w:rPr>
                <w:rFonts w:eastAsia="Arial" w:cs="Arial"/>
              </w:rPr>
              <w:t>pdate SSR design</w:t>
            </w:r>
            <w:r w:rsidR="00FE1918" w:rsidRPr="00163830">
              <w:rPr>
                <w:rFonts w:eastAsia="Arial" w:cs="Arial"/>
              </w:rPr>
              <w:t>s</w:t>
            </w:r>
            <w:r w:rsidR="002D20BB" w:rsidRPr="00163830">
              <w:rPr>
                <w:rFonts w:eastAsia="Arial" w:cs="Arial"/>
              </w:rPr>
              <w:t xml:space="preserve"> to incorporate any feedback from July 2023 </w:t>
            </w:r>
            <w:r w:rsidR="00D10AE5" w:rsidRPr="00163830">
              <w:rPr>
                <w:rFonts w:eastAsia="Arial" w:cs="Arial"/>
              </w:rPr>
              <w:t xml:space="preserve">SBE </w:t>
            </w:r>
            <w:r w:rsidR="002D20BB" w:rsidRPr="00163830">
              <w:rPr>
                <w:rFonts w:eastAsia="Arial" w:cs="Arial"/>
              </w:rPr>
              <w:t>meeting</w:t>
            </w:r>
            <w:r w:rsidR="005542B2" w:rsidRPr="00163830">
              <w:rPr>
                <w:rFonts w:eastAsia="Arial" w:cs="Arial"/>
              </w:rPr>
              <w:t xml:space="preserve">, </w:t>
            </w:r>
            <w:r w:rsidR="00784124" w:rsidRPr="00163830">
              <w:rPr>
                <w:rFonts w:eastAsia="Arial" w:cs="Arial"/>
              </w:rPr>
              <w:t xml:space="preserve">and finalize </w:t>
            </w:r>
            <w:r w:rsidR="5BF228E7" w:rsidRPr="00163830">
              <w:rPr>
                <w:rFonts w:eastAsia="Arial" w:cs="Arial"/>
              </w:rPr>
              <w:t>SBE item for September 2023 meeting</w:t>
            </w:r>
          </w:p>
        </w:tc>
        <w:tc>
          <w:tcPr>
            <w:tcW w:w="1716"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30" w:type="dxa"/>
              <w:left w:w="105" w:type="dxa"/>
              <w:bottom w:w="30" w:type="dxa"/>
              <w:right w:w="105" w:type="dxa"/>
            </w:tcMar>
          </w:tcPr>
          <w:p w14:paraId="49B63598" w14:textId="54468E12" w:rsidR="73B76537" w:rsidRDefault="73B76537" w:rsidP="00D13216">
            <w:pPr>
              <w:spacing w:before="120" w:after="120"/>
              <w:cnfStyle w:val="000000000000" w:firstRow="0" w:lastRow="0" w:firstColumn="0" w:lastColumn="0" w:oddVBand="0" w:evenVBand="0" w:oddHBand="0" w:evenHBand="0" w:firstRowFirstColumn="0" w:firstRowLastColumn="0" w:lastRowFirstColumn="0" w:lastRowLastColumn="0"/>
              <w:rPr>
                <w:rFonts w:eastAsia="Arial" w:cs="Arial"/>
              </w:rPr>
            </w:pPr>
            <w:r w:rsidRPr="5BF228E7">
              <w:rPr>
                <w:rFonts w:eastAsia="Arial" w:cs="Arial"/>
              </w:rPr>
              <w:t>To be completed</w:t>
            </w:r>
          </w:p>
        </w:tc>
      </w:tr>
      <w:tr w:rsidR="5BF228E7" w14:paraId="0A2F61D0" w14:textId="77777777" w:rsidTr="003164F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0C03471E" w14:textId="7FD3EBB8" w:rsidR="5BF228E7" w:rsidRPr="008D75E1" w:rsidRDefault="5BF228E7" w:rsidP="00D13216">
            <w:pPr>
              <w:spacing w:before="120" w:after="120"/>
              <w:rPr>
                <w:rFonts w:eastAsia="Arial" w:cs="Arial"/>
              </w:rPr>
            </w:pPr>
            <w:r w:rsidRPr="008D75E1">
              <w:rPr>
                <w:rFonts w:eastAsia="Arial" w:cs="Arial"/>
              </w:rPr>
              <w:t>September 2023</w:t>
            </w:r>
          </w:p>
        </w:tc>
        <w:tc>
          <w:tcPr>
            <w:tcW w:w="5415"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2FCFA7B7" w14:textId="5D7124C3" w:rsidR="5BF228E7" w:rsidRPr="00163830" w:rsidRDefault="53CB0F85" w:rsidP="00D1321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00163830">
              <w:rPr>
                <w:rFonts w:eastAsia="Arial" w:cs="Arial"/>
              </w:rPr>
              <w:t xml:space="preserve">CDE </w:t>
            </w:r>
            <w:r w:rsidR="007E1A97" w:rsidRPr="00163830">
              <w:rPr>
                <w:rFonts w:eastAsia="Arial" w:cs="Arial"/>
              </w:rPr>
              <w:t xml:space="preserve">will </w:t>
            </w:r>
            <w:r w:rsidRPr="00163830">
              <w:rPr>
                <w:rFonts w:eastAsia="Arial" w:cs="Arial"/>
              </w:rPr>
              <w:t>p</w:t>
            </w:r>
            <w:r w:rsidR="5BF228E7" w:rsidRPr="00163830">
              <w:rPr>
                <w:rFonts w:eastAsia="Arial" w:cs="Arial"/>
              </w:rPr>
              <w:t xml:space="preserve">resent the recommended </w:t>
            </w:r>
            <w:r w:rsidR="404315B7" w:rsidRPr="00163830">
              <w:rPr>
                <w:rFonts w:eastAsia="Arial" w:cs="Arial"/>
              </w:rPr>
              <w:t>redesign</w:t>
            </w:r>
            <w:r w:rsidR="5BF228E7" w:rsidRPr="00163830">
              <w:rPr>
                <w:rFonts w:eastAsia="Arial" w:cs="Arial"/>
              </w:rPr>
              <w:t xml:space="preserve"> </w:t>
            </w:r>
            <w:r w:rsidR="00AD6848" w:rsidRPr="00163830">
              <w:rPr>
                <w:rFonts w:eastAsia="Arial" w:cs="Arial"/>
              </w:rPr>
              <w:t>of</w:t>
            </w:r>
            <w:r w:rsidR="5BF228E7" w:rsidRPr="00163830">
              <w:rPr>
                <w:rFonts w:eastAsia="Arial" w:cs="Arial"/>
              </w:rPr>
              <w:t xml:space="preserve"> the SSRs at the September SBE board meeting for approval</w:t>
            </w:r>
          </w:p>
        </w:tc>
        <w:tc>
          <w:tcPr>
            <w:tcW w:w="1716"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5401A499" w14:textId="337B41AF" w:rsidR="0E24F177" w:rsidRDefault="0E24F177" w:rsidP="00D1321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5BF228E7">
              <w:rPr>
                <w:rFonts w:eastAsia="Arial" w:cs="Arial"/>
              </w:rPr>
              <w:t>To be completed</w:t>
            </w:r>
          </w:p>
        </w:tc>
      </w:tr>
      <w:tr w:rsidR="5BF228E7" w14:paraId="1B8CED9A" w14:textId="77777777" w:rsidTr="003164F4">
        <w:trPr>
          <w:cantSplit/>
          <w:trHeight w:val="300"/>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30" w:type="dxa"/>
              <w:left w:w="105" w:type="dxa"/>
              <w:bottom w:w="30" w:type="dxa"/>
              <w:right w:w="105" w:type="dxa"/>
            </w:tcMar>
          </w:tcPr>
          <w:p w14:paraId="011D453C" w14:textId="16F9544A" w:rsidR="5BF228E7" w:rsidRPr="008D75E1" w:rsidRDefault="5BF228E7" w:rsidP="00D13216">
            <w:pPr>
              <w:spacing w:before="120" w:after="120"/>
              <w:rPr>
                <w:rFonts w:eastAsia="Arial" w:cs="Arial"/>
              </w:rPr>
            </w:pPr>
            <w:r w:rsidRPr="008D75E1">
              <w:rPr>
                <w:rFonts w:eastAsia="Arial" w:cs="Arial"/>
              </w:rPr>
              <w:t>October 2023–April 2024</w:t>
            </w:r>
          </w:p>
        </w:tc>
        <w:tc>
          <w:tcPr>
            <w:tcW w:w="5415"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30" w:type="dxa"/>
              <w:left w:w="105" w:type="dxa"/>
              <w:bottom w:w="30" w:type="dxa"/>
              <w:right w:w="105" w:type="dxa"/>
            </w:tcMar>
          </w:tcPr>
          <w:p w14:paraId="331E5096" w14:textId="33222C4D" w:rsidR="5BF228E7" w:rsidRPr="00163830" w:rsidRDefault="2C583F67" w:rsidP="00D13216">
            <w:pPr>
              <w:spacing w:before="120" w:after="120"/>
              <w:cnfStyle w:val="000000000000" w:firstRow="0" w:lastRow="0" w:firstColumn="0" w:lastColumn="0" w:oddVBand="0" w:evenVBand="0" w:oddHBand="0" w:evenHBand="0" w:firstRowFirstColumn="0" w:firstRowLastColumn="0" w:lastRowFirstColumn="0" w:lastRowLastColumn="0"/>
              <w:rPr>
                <w:rFonts w:eastAsia="Arial" w:cs="Arial"/>
              </w:rPr>
            </w:pPr>
            <w:r w:rsidRPr="00163830">
              <w:rPr>
                <w:rFonts w:eastAsia="Arial" w:cs="Arial"/>
              </w:rPr>
              <w:t xml:space="preserve">ETS </w:t>
            </w:r>
            <w:r w:rsidR="00F16ED4" w:rsidRPr="00163830">
              <w:rPr>
                <w:rFonts w:eastAsia="Arial" w:cs="Arial"/>
              </w:rPr>
              <w:t xml:space="preserve">will </w:t>
            </w:r>
            <w:r w:rsidR="25408E1D" w:rsidRPr="00163830">
              <w:rPr>
                <w:rFonts w:eastAsia="Arial" w:cs="Arial"/>
              </w:rPr>
              <w:t>p</w:t>
            </w:r>
            <w:r w:rsidR="560319AB" w:rsidRPr="00163830">
              <w:rPr>
                <w:rFonts w:eastAsia="Arial" w:cs="Arial"/>
              </w:rPr>
              <w:t>rogram</w:t>
            </w:r>
            <w:r w:rsidR="5BF228E7" w:rsidRPr="00163830">
              <w:rPr>
                <w:rFonts w:eastAsia="Arial" w:cs="Arial"/>
              </w:rPr>
              <w:t xml:space="preserve"> the system with the new SSRs and translate into the required languages other than English</w:t>
            </w:r>
          </w:p>
        </w:tc>
        <w:tc>
          <w:tcPr>
            <w:tcW w:w="1716"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30" w:type="dxa"/>
              <w:left w:w="105" w:type="dxa"/>
              <w:bottom w:w="30" w:type="dxa"/>
              <w:right w:w="105" w:type="dxa"/>
            </w:tcMar>
          </w:tcPr>
          <w:p w14:paraId="5336D514" w14:textId="69F3C2B3" w:rsidR="47759FEE" w:rsidRDefault="47759FEE" w:rsidP="00D13216">
            <w:pPr>
              <w:spacing w:before="120" w:after="120"/>
              <w:cnfStyle w:val="000000000000" w:firstRow="0" w:lastRow="0" w:firstColumn="0" w:lastColumn="0" w:oddVBand="0" w:evenVBand="0" w:oddHBand="0" w:evenHBand="0" w:firstRowFirstColumn="0" w:firstRowLastColumn="0" w:lastRowFirstColumn="0" w:lastRowLastColumn="0"/>
              <w:rPr>
                <w:rFonts w:eastAsia="Arial" w:cs="Arial"/>
              </w:rPr>
            </w:pPr>
            <w:r w:rsidRPr="5BF228E7">
              <w:rPr>
                <w:rFonts w:eastAsia="Arial" w:cs="Arial"/>
              </w:rPr>
              <w:t>To be completed</w:t>
            </w:r>
          </w:p>
        </w:tc>
      </w:tr>
      <w:tr w:rsidR="5BF228E7" w14:paraId="28E3DD73" w14:textId="77777777" w:rsidTr="003164F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229"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61DBD589" w14:textId="3C5443BD" w:rsidR="5BF228E7" w:rsidRPr="008D75E1" w:rsidRDefault="5BF228E7" w:rsidP="00D13216">
            <w:pPr>
              <w:spacing w:before="120" w:after="120"/>
              <w:rPr>
                <w:rFonts w:eastAsia="Arial" w:cs="Arial"/>
              </w:rPr>
            </w:pPr>
            <w:r w:rsidRPr="008D75E1">
              <w:rPr>
                <w:rFonts w:eastAsia="Arial" w:cs="Arial"/>
              </w:rPr>
              <w:t>Spring 2024</w:t>
            </w:r>
          </w:p>
        </w:tc>
        <w:tc>
          <w:tcPr>
            <w:tcW w:w="5415"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26C71EBB" w14:textId="23A16839" w:rsidR="5BF228E7" w:rsidRPr="00163830" w:rsidRDefault="05AD7CAB" w:rsidP="00D1321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00163830">
              <w:rPr>
                <w:rFonts w:eastAsia="Arial" w:cs="Arial"/>
              </w:rPr>
              <w:t xml:space="preserve">CDE </w:t>
            </w:r>
            <w:r w:rsidR="005C6AB0" w:rsidRPr="00163830">
              <w:rPr>
                <w:rFonts w:eastAsia="Arial" w:cs="Arial"/>
              </w:rPr>
              <w:t xml:space="preserve">will </w:t>
            </w:r>
            <w:r w:rsidR="78A12BED" w:rsidRPr="00163830">
              <w:rPr>
                <w:rFonts w:eastAsia="Arial" w:cs="Arial"/>
              </w:rPr>
              <w:t>r</w:t>
            </w:r>
            <w:r w:rsidR="560319AB" w:rsidRPr="00163830">
              <w:rPr>
                <w:rFonts w:eastAsia="Arial" w:cs="Arial"/>
              </w:rPr>
              <w:t>elease</w:t>
            </w:r>
            <w:r w:rsidR="5BF228E7" w:rsidRPr="00163830">
              <w:rPr>
                <w:rFonts w:eastAsia="Arial" w:cs="Arial"/>
              </w:rPr>
              <w:t xml:space="preserve"> </w:t>
            </w:r>
            <w:r w:rsidR="005C6AB0" w:rsidRPr="00163830">
              <w:rPr>
                <w:rFonts w:eastAsia="Arial" w:cs="Arial"/>
              </w:rPr>
              <w:t xml:space="preserve">SBE approved </w:t>
            </w:r>
            <w:r w:rsidR="5BF228E7" w:rsidRPr="00163830">
              <w:rPr>
                <w:rFonts w:eastAsia="Arial" w:cs="Arial"/>
              </w:rPr>
              <w:t>SSRs for the 2023–24 summative assessments</w:t>
            </w:r>
          </w:p>
        </w:tc>
        <w:tc>
          <w:tcPr>
            <w:tcW w:w="1716" w:type="dxa"/>
            <w:tcBorders>
              <w:top w:val="single" w:sz="6" w:space="0" w:color="666666"/>
              <w:left w:val="single" w:sz="6" w:space="0" w:color="666666"/>
              <w:bottom w:val="single" w:sz="6" w:space="0" w:color="666666"/>
              <w:right w:val="single" w:sz="6" w:space="0" w:color="666666"/>
            </w:tcBorders>
            <w:shd w:val="clear" w:color="auto" w:fill="F2F2F2" w:themeFill="background1" w:themeFillShade="F2"/>
            <w:tcMar>
              <w:top w:w="30" w:type="dxa"/>
              <w:left w:w="105" w:type="dxa"/>
              <w:bottom w:w="30" w:type="dxa"/>
              <w:right w:w="105" w:type="dxa"/>
            </w:tcMar>
          </w:tcPr>
          <w:p w14:paraId="588D4605" w14:textId="5E1F119B" w:rsidR="641C6006" w:rsidRDefault="641C6006" w:rsidP="00D1321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rPr>
            </w:pPr>
            <w:r w:rsidRPr="5BF228E7">
              <w:rPr>
                <w:rFonts w:eastAsia="Arial" w:cs="Arial"/>
              </w:rPr>
              <w:t>To be completed</w:t>
            </w:r>
          </w:p>
        </w:tc>
      </w:tr>
    </w:tbl>
    <w:p w14:paraId="1354B3A4" w14:textId="3F3DD5ED" w:rsidR="00185839" w:rsidRPr="00163830" w:rsidRDefault="7D3DFA68" w:rsidP="276C9930">
      <w:pPr>
        <w:spacing w:before="240" w:after="240"/>
        <w:rPr>
          <w:rFonts w:eastAsia="Arial" w:cs="Arial"/>
          <w:color w:val="000000" w:themeColor="text1"/>
        </w:rPr>
      </w:pPr>
      <w:r>
        <w:t xml:space="preserve">The </w:t>
      </w:r>
      <w:r w:rsidR="00FE2A06">
        <w:t xml:space="preserve">CDE </w:t>
      </w:r>
      <w:r>
        <w:t xml:space="preserve">and assessment contractor ETS continue work on the redesign and development of the SSRs for the CAASPP and ELPAC. The redesigned SSRs are planned </w:t>
      </w:r>
      <w:r w:rsidRPr="276C9930">
        <w:rPr>
          <w:rFonts w:eastAsia="Calibri" w:cs="Arial"/>
        </w:rPr>
        <w:t xml:space="preserve">to go into effect beginning in the 2023–24 school year. </w:t>
      </w:r>
      <w:r w:rsidR="00AF1D5B" w:rsidRPr="4BB09E00">
        <w:rPr>
          <w:rFonts w:eastAsia="Calibri" w:cs="Arial"/>
        </w:rPr>
        <w:t>The Initial ELPAC and the Initial Alternate ELPAC testing window starts in early July and will use the previously SBE</w:t>
      </w:r>
      <w:r w:rsidR="00AF1D5B">
        <w:rPr>
          <w:rFonts w:eastAsia="Calibri" w:cs="Arial"/>
        </w:rPr>
        <w:t>-</w:t>
      </w:r>
      <w:r w:rsidR="00AF1D5B" w:rsidRPr="4BB09E00">
        <w:rPr>
          <w:rFonts w:eastAsia="Calibri" w:cs="Arial"/>
        </w:rPr>
        <w:t xml:space="preserve">approved 2022–23 designs for 2023–24. Since the newly revised SSRs will not be considered for approval </w:t>
      </w:r>
      <w:r w:rsidR="00AF1D5B" w:rsidRPr="00163830">
        <w:rPr>
          <w:rFonts w:eastAsia="Calibri" w:cs="Arial"/>
        </w:rPr>
        <w:t>by the SBE until September</w:t>
      </w:r>
      <w:r w:rsidR="00FD729A" w:rsidRPr="00163830">
        <w:rPr>
          <w:rFonts w:eastAsia="Calibri" w:cs="Arial"/>
        </w:rPr>
        <w:t xml:space="preserve"> 2023</w:t>
      </w:r>
      <w:r w:rsidR="00AF1D5B" w:rsidRPr="00163830">
        <w:rPr>
          <w:rFonts w:eastAsia="Calibri" w:cs="Arial"/>
        </w:rPr>
        <w:t>, implementation of the redesigned Initial ELPAC SSRs will not begin until the 2024–25 school year.</w:t>
      </w:r>
      <w:r w:rsidR="00EA4D45" w:rsidRPr="00163830">
        <w:rPr>
          <w:rFonts w:eastAsia="Calibri" w:cs="Arial"/>
        </w:rPr>
        <w:t xml:space="preserve"> </w:t>
      </w:r>
    </w:p>
    <w:p w14:paraId="376A66FF" w14:textId="133901AF" w:rsidR="00185839" w:rsidRDefault="3BE5BEB5" w:rsidP="276C9930">
      <w:pPr>
        <w:spacing w:before="240" w:after="240"/>
        <w:rPr>
          <w:rFonts w:eastAsia="Calibri" w:cs="Arial"/>
        </w:rPr>
      </w:pPr>
      <w:r w:rsidRPr="00163830">
        <w:rPr>
          <w:rFonts w:eastAsia="Calibri" w:cs="Arial"/>
        </w:rPr>
        <w:t xml:space="preserve">Attachment 1 to this memorandum includes two sample Student Score Reports—one grade </w:t>
      </w:r>
      <w:r w:rsidR="00DF4090" w:rsidRPr="00163830">
        <w:rPr>
          <w:rFonts w:eastAsia="Calibri" w:cs="Arial"/>
        </w:rPr>
        <w:t xml:space="preserve">five </w:t>
      </w:r>
      <w:r w:rsidRPr="00163830">
        <w:rPr>
          <w:rFonts w:eastAsia="Calibri" w:cs="Arial"/>
        </w:rPr>
        <w:t xml:space="preserve">CAASPP SSR and one grade </w:t>
      </w:r>
      <w:r w:rsidR="00DF4090" w:rsidRPr="00163830">
        <w:rPr>
          <w:rFonts w:eastAsia="Calibri" w:cs="Arial"/>
        </w:rPr>
        <w:t xml:space="preserve">five </w:t>
      </w:r>
      <w:r w:rsidR="77B41827" w:rsidRPr="00163830">
        <w:rPr>
          <w:rFonts w:eastAsia="Calibri" w:cs="Arial"/>
        </w:rPr>
        <w:t xml:space="preserve">Summative </w:t>
      </w:r>
      <w:r w:rsidRPr="00163830">
        <w:rPr>
          <w:rFonts w:eastAsia="Calibri" w:cs="Arial"/>
        </w:rPr>
        <w:t xml:space="preserve">ELPAC SSR—with proposed revisions for the SBE’s review. </w:t>
      </w:r>
      <w:r w:rsidR="00444D68" w:rsidRPr="00163830">
        <w:rPr>
          <w:rFonts w:eastAsia="Calibri" w:cs="Arial"/>
        </w:rPr>
        <w:t>All proposed revisions will also be reflected in the SSRs for the CAASPP and ELPAC alternate assessments.</w:t>
      </w:r>
      <w:r w:rsidR="00444D68">
        <w:rPr>
          <w:rFonts w:eastAsia="Calibri" w:cs="Arial"/>
        </w:rPr>
        <w:t xml:space="preserve"> </w:t>
      </w:r>
      <w:r w:rsidRPr="59F09E28">
        <w:rPr>
          <w:rFonts w:eastAsia="Calibri" w:cs="Arial"/>
        </w:rPr>
        <w:t>The CDE will dedicate time during the July SBE meeting for the SBE to provide feedback on the proposed revisions to the CAASPP and ELPAC SSRs</w:t>
      </w:r>
      <w:r w:rsidR="34534902" w:rsidRPr="59F09E28">
        <w:rPr>
          <w:rFonts w:eastAsia="Calibri" w:cs="Arial"/>
        </w:rPr>
        <w:t>.</w:t>
      </w:r>
    </w:p>
    <w:p w14:paraId="0AAEE201" w14:textId="00A665A1" w:rsidR="00582A88" w:rsidRPr="00AD17F5" w:rsidRDefault="00582A88" w:rsidP="00582A88">
      <w:pPr>
        <w:pStyle w:val="Heading3"/>
      </w:pPr>
      <w:r w:rsidRPr="0094443B">
        <w:t xml:space="preserve">Summary of </w:t>
      </w:r>
      <w:r w:rsidR="074B4CBA" w:rsidRPr="59F09E28">
        <w:rPr>
          <w:bCs/>
        </w:rPr>
        <w:t xml:space="preserve">Proposed </w:t>
      </w:r>
      <w:r w:rsidR="7052AE23" w:rsidRPr="0094443B">
        <w:t>Student</w:t>
      </w:r>
      <w:r w:rsidRPr="0094443B">
        <w:t xml:space="preserve"> Score Report </w:t>
      </w:r>
      <w:r w:rsidR="126D80F9" w:rsidRPr="59F09E28">
        <w:rPr>
          <w:bCs/>
        </w:rPr>
        <w:t>Revisions</w:t>
      </w:r>
    </w:p>
    <w:p w14:paraId="54C15C14" w14:textId="5B4EE3BD" w:rsidR="00A67190" w:rsidRPr="00163830" w:rsidRDefault="1D13092A" w:rsidP="0F9CCE6E">
      <w:pPr>
        <w:spacing w:before="240" w:after="240"/>
        <w:rPr>
          <w:rFonts w:eastAsia="Calibri" w:cs="Arial"/>
        </w:rPr>
      </w:pPr>
      <w:r w:rsidRPr="4BB09E00">
        <w:rPr>
          <w:rFonts w:eastAsia="Calibri" w:cs="Arial"/>
        </w:rPr>
        <w:t xml:space="preserve">All proposed revisions to CAASPP and ELPAC SSRs </w:t>
      </w:r>
      <w:r w:rsidR="004CA1AB" w:rsidRPr="4BB09E00">
        <w:rPr>
          <w:rFonts w:eastAsia="Calibri" w:cs="Arial"/>
        </w:rPr>
        <w:t xml:space="preserve">originate from feedback gathered </w:t>
      </w:r>
      <w:r w:rsidR="4BA749BE" w:rsidRPr="4BB09E00">
        <w:rPr>
          <w:rFonts w:eastAsia="Calibri" w:cs="Arial"/>
        </w:rPr>
        <w:t xml:space="preserve">from parents, guardians, students, educators, and interest holders. </w:t>
      </w:r>
      <w:r w:rsidR="649CE1A9" w:rsidRPr="4CA319D6">
        <w:rPr>
          <w:rFonts w:eastAsia="Calibri" w:cs="Arial"/>
        </w:rPr>
        <w:t xml:space="preserve">Throughout all </w:t>
      </w:r>
      <w:r w:rsidR="1AA1B4AE" w:rsidRPr="4CA319D6">
        <w:rPr>
          <w:rFonts w:eastAsia="Calibri" w:cs="Arial"/>
        </w:rPr>
        <w:t xml:space="preserve">proposed </w:t>
      </w:r>
      <w:r w:rsidR="649CE1A9" w:rsidRPr="4CA319D6">
        <w:rPr>
          <w:rFonts w:eastAsia="Calibri" w:cs="Arial"/>
        </w:rPr>
        <w:t>CAASPP and ELPAC SSR</w:t>
      </w:r>
      <w:r w:rsidR="1AA1B4AE" w:rsidRPr="4CA319D6">
        <w:rPr>
          <w:rFonts w:eastAsia="Calibri" w:cs="Arial"/>
        </w:rPr>
        <w:t xml:space="preserve"> revision</w:t>
      </w:r>
      <w:r w:rsidR="649CE1A9" w:rsidRPr="4CA319D6">
        <w:rPr>
          <w:rFonts w:eastAsia="Calibri" w:cs="Arial"/>
        </w:rPr>
        <w:t xml:space="preserve">s, efforts have been made to </w:t>
      </w:r>
      <w:r w:rsidR="5514A105" w:rsidRPr="4CA319D6">
        <w:rPr>
          <w:rFonts w:eastAsia="Calibri" w:cs="Arial"/>
        </w:rPr>
        <w:t>reduce</w:t>
      </w:r>
      <w:r w:rsidR="649CE1A9" w:rsidRPr="4CA319D6">
        <w:rPr>
          <w:rFonts w:eastAsia="Calibri" w:cs="Arial"/>
        </w:rPr>
        <w:t xml:space="preserve"> </w:t>
      </w:r>
      <w:r w:rsidR="7898EAF2" w:rsidRPr="4CA319D6">
        <w:rPr>
          <w:rFonts w:eastAsia="Calibri" w:cs="Arial"/>
        </w:rPr>
        <w:t xml:space="preserve">the amount of text and </w:t>
      </w:r>
      <w:r w:rsidR="5514A105" w:rsidRPr="4CA319D6">
        <w:rPr>
          <w:rFonts w:eastAsia="Calibri" w:cs="Arial"/>
        </w:rPr>
        <w:t xml:space="preserve">improve </w:t>
      </w:r>
      <w:r w:rsidR="7898EAF2" w:rsidRPr="4CA319D6">
        <w:rPr>
          <w:rFonts w:eastAsia="Calibri" w:cs="Arial"/>
        </w:rPr>
        <w:t xml:space="preserve">the clarity of language so that </w:t>
      </w:r>
      <w:r w:rsidR="371F3562" w:rsidRPr="4CA319D6">
        <w:rPr>
          <w:rFonts w:eastAsia="Calibri" w:cs="Arial"/>
        </w:rPr>
        <w:t>all SSRs are c</w:t>
      </w:r>
      <w:r w:rsidR="50B28A3C" w:rsidRPr="4CA319D6">
        <w:rPr>
          <w:rFonts w:eastAsia="Calibri" w:cs="Arial"/>
        </w:rPr>
        <w:t xml:space="preserve">lear, concise, </w:t>
      </w:r>
      <w:r w:rsidR="50B28A3C" w:rsidRPr="00163830">
        <w:rPr>
          <w:rFonts w:eastAsia="Calibri" w:cs="Arial"/>
        </w:rPr>
        <w:t>and informative to all students, parents, and guardians.</w:t>
      </w:r>
      <w:r w:rsidR="000A6204" w:rsidRPr="00163830">
        <w:rPr>
          <w:rFonts w:eastAsia="Calibri" w:cs="Arial"/>
        </w:rPr>
        <w:t xml:space="preserve"> </w:t>
      </w:r>
    </w:p>
    <w:p w14:paraId="26FFA8E8" w14:textId="1EC3994C" w:rsidR="00A67190" w:rsidRPr="00163830" w:rsidRDefault="45E8156A" w:rsidP="0F9CCE6E">
      <w:pPr>
        <w:spacing w:before="240" w:after="240"/>
        <w:rPr>
          <w:rFonts w:eastAsia="Calibri" w:cs="Arial"/>
        </w:rPr>
      </w:pPr>
      <w:r w:rsidRPr="00163830">
        <w:rPr>
          <w:rFonts w:eastAsia="Calibri" w:cs="Arial"/>
        </w:rPr>
        <w:t>A list co</w:t>
      </w:r>
      <w:r w:rsidR="4EA32243" w:rsidRPr="00163830">
        <w:rPr>
          <w:rFonts w:eastAsia="Calibri" w:cs="Arial"/>
        </w:rPr>
        <w:t>m</w:t>
      </w:r>
      <w:r w:rsidRPr="00163830">
        <w:rPr>
          <w:rFonts w:eastAsia="Calibri" w:cs="Arial"/>
        </w:rPr>
        <w:t xml:space="preserve">paring the key elements of the 2022–23 SSRs to the </w:t>
      </w:r>
      <w:r w:rsidR="2970DC64" w:rsidRPr="00163830">
        <w:rPr>
          <w:rFonts w:eastAsia="Calibri" w:cs="Arial"/>
        </w:rPr>
        <w:t>p</w:t>
      </w:r>
      <w:r w:rsidRPr="00163830">
        <w:t xml:space="preserve">roposed </w:t>
      </w:r>
      <w:r w:rsidR="5589C612" w:rsidRPr="00163830">
        <w:t>r</w:t>
      </w:r>
      <w:r w:rsidRPr="00163830">
        <w:t>evisions to the 2023–24 SSRs</w:t>
      </w:r>
      <w:r w:rsidRPr="00163830">
        <w:rPr>
          <w:rFonts w:eastAsia="Calibri" w:cs="Arial"/>
        </w:rPr>
        <w:t xml:space="preserve"> is found in table </w:t>
      </w:r>
      <w:r w:rsidR="00E871A1" w:rsidRPr="00163830">
        <w:rPr>
          <w:rFonts w:eastAsia="Calibri" w:cs="Arial"/>
        </w:rPr>
        <w:t>3</w:t>
      </w:r>
      <w:r w:rsidRPr="00163830">
        <w:rPr>
          <w:rFonts w:eastAsia="Calibri" w:cs="Arial"/>
        </w:rPr>
        <w:t>.</w:t>
      </w:r>
    </w:p>
    <w:p w14:paraId="69ED4976" w14:textId="75D4F5DA" w:rsidR="6AEF8CB9" w:rsidRPr="001B6F9D" w:rsidRDefault="3928496D" w:rsidP="001B6F9D">
      <w:pPr>
        <w:pStyle w:val="Heading4"/>
        <w:rPr>
          <w:b w:val="0"/>
          <w:bCs w:val="0"/>
        </w:rPr>
      </w:pPr>
      <w:r w:rsidRPr="001B6F9D">
        <w:rPr>
          <w:b w:val="0"/>
          <w:bCs w:val="0"/>
        </w:rPr>
        <w:lastRenderedPageBreak/>
        <w:t xml:space="preserve">Table </w:t>
      </w:r>
      <w:r w:rsidR="00E871A1" w:rsidRPr="001B6F9D">
        <w:rPr>
          <w:b w:val="0"/>
          <w:bCs w:val="0"/>
        </w:rPr>
        <w:t>3</w:t>
      </w:r>
      <w:r w:rsidRPr="001B6F9D">
        <w:rPr>
          <w:b w:val="0"/>
          <w:bCs w:val="0"/>
        </w:rPr>
        <w:t xml:space="preserve">. </w:t>
      </w:r>
      <w:r w:rsidR="6AEF8CB9" w:rsidRPr="001B6F9D">
        <w:rPr>
          <w:b w:val="0"/>
          <w:bCs w:val="0"/>
        </w:rPr>
        <w:t>2022–23 SSRs Compared to Proposed Revisions to Key Elements</w:t>
      </w:r>
      <w:r w:rsidR="131AD91E" w:rsidRPr="001B6F9D">
        <w:rPr>
          <w:b w:val="0"/>
          <w:bCs w:val="0"/>
        </w:rPr>
        <w:t xml:space="preserve"> of 2023–24 SSRs</w:t>
      </w:r>
    </w:p>
    <w:tbl>
      <w:tblPr>
        <w:tblStyle w:val="TableGrid"/>
        <w:tblW w:w="0" w:type="auto"/>
        <w:tblLook w:val="04A0" w:firstRow="1" w:lastRow="0" w:firstColumn="1" w:lastColumn="0" w:noHBand="0" w:noVBand="1"/>
        <w:tblDescription w:val="Table 3 displays the 2022–23 SSRs Compared to Proposed Revisions to Key Elements of 2023–24 SSRs."/>
      </w:tblPr>
      <w:tblGrid>
        <w:gridCol w:w="2370"/>
        <w:gridCol w:w="3475"/>
        <w:gridCol w:w="3505"/>
      </w:tblGrid>
      <w:tr w:rsidR="000C1237" w:rsidRPr="00163830" w14:paraId="6114A1AB" w14:textId="77777777" w:rsidTr="75CC0015">
        <w:trPr>
          <w:cantSplit/>
          <w:trHeight w:val="300"/>
          <w:tblHeader/>
        </w:trPr>
        <w:tc>
          <w:tcPr>
            <w:tcW w:w="2370" w:type="dxa"/>
            <w:shd w:val="clear" w:color="auto" w:fill="BFBFBF" w:themeFill="background1" w:themeFillShade="BF"/>
            <w:tcMar>
              <w:top w:w="72" w:type="dxa"/>
              <w:left w:w="115" w:type="dxa"/>
              <w:bottom w:w="72" w:type="dxa"/>
              <w:right w:w="115" w:type="dxa"/>
            </w:tcMar>
          </w:tcPr>
          <w:p w14:paraId="15CB5253" w14:textId="42B63F11" w:rsidR="003D2961" w:rsidRPr="00163830" w:rsidRDefault="003D2961" w:rsidP="008921EA">
            <w:pPr>
              <w:jc w:val="center"/>
              <w:rPr>
                <w:b/>
              </w:rPr>
            </w:pPr>
            <w:r w:rsidRPr="00163830">
              <w:rPr>
                <w:b/>
              </w:rPr>
              <w:t>SSR Element</w:t>
            </w:r>
          </w:p>
        </w:tc>
        <w:tc>
          <w:tcPr>
            <w:tcW w:w="3475" w:type="dxa"/>
            <w:shd w:val="clear" w:color="auto" w:fill="BFBFBF" w:themeFill="background1" w:themeFillShade="BF"/>
            <w:tcMar>
              <w:top w:w="72" w:type="dxa"/>
              <w:left w:w="115" w:type="dxa"/>
              <w:bottom w:w="72" w:type="dxa"/>
              <w:right w:w="115" w:type="dxa"/>
            </w:tcMar>
          </w:tcPr>
          <w:p w14:paraId="6F8141A5" w14:textId="4B415F94" w:rsidR="003D2961" w:rsidRPr="00163830" w:rsidRDefault="003D2961" w:rsidP="008921EA">
            <w:pPr>
              <w:jc w:val="center"/>
              <w:rPr>
                <w:b/>
              </w:rPr>
            </w:pPr>
            <w:r w:rsidRPr="00163830">
              <w:rPr>
                <w:b/>
              </w:rPr>
              <w:t xml:space="preserve">Current Reporting on </w:t>
            </w:r>
            <w:r w:rsidR="00445E10" w:rsidRPr="00163830">
              <w:rPr>
                <w:b/>
              </w:rPr>
              <w:br/>
            </w:r>
            <w:r w:rsidRPr="00163830">
              <w:rPr>
                <w:b/>
              </w:rPr>
              <w:t>2022–23 SSRs</w:t>
            </w:r>
          </w:p>
        </w:tc>
        <w:tc>
          <w:tcPr>
            <w:tcW w:w="3505" w:type="dxa"/>
            <w:shd w:val="clear" w:color="auto" w:fill="BFBFBF" w:themeFill="background1" w:themeFillShade="BF"/>
            <w:tcMar>
              <w:top w:w="72" w:type="dxa"/>
              <w:left w:w="115" w:type="dxa"/>
              <w:bottom w:w="72" w:type="dxa"/>
              <w:right w:w="115" w:type="dxa"/>
            </w:tcMar>
          </w:tcPr>
          <w:p w14:paraId="1F85045B" w14:textId="769C2542" w:rsidR="003D2961" w:rsidRPr="00163830" w:rsidRDefault="003D2961" w:rsidP="008921EA">
            <w:pPr>
              <w:jc w:val="center"/>
              <w:rPr>
                <w:b/>
              </w:rPr>
            </w:pPr>
            <w:r w:rsidRPr="00163830">
              <w:rPr>
                <w:b/>
              </w:rPr>
              <w:t>Proposed Revision for 2023–24 SSRs</w:t>
            </w:r>
          </w:p>
        </w:tc>
      </w:tr>
      <w:tr w:rsidR="000C1237" w:rsidRPr="00163830" w14:paraId="5CE7FB8A" w14:textId="77777777" w:rsidTr="75CC0015">
        <w:trPr>
          <w:cantSplit/>
          <w:trHeight w:val="300"/>
        </w:trPr>
        <w:tc>
          <w:tcPr>
            <w:tcW w:w="2370" w:type="dxa"/>
            <w:shd w:val="clear" w:color="auto" w:fill="D9D9D9" w:themeFill="background1" w:themeFillShade="D9"/>
            <w:tcMar>
              <w:top w:w="72" w:type="dxa"/>
              <w:left w:w="115" w:type="dxa"/>
              <w:bottom w:w="72" w:type="dxa"/>
              <w:right w:w="115" w:type="dxa"/>
            </w:tcMar>
          </w:tcPr>
          <w:p w14:paraId="63D98A45" w14:textId="7FC6258C" w:rsidR="003D2961" w:rsidRPr="00163830" w:rsidRDefault="003D2961" w:rsidP="008921EA">
            <w:pPr>
              <w:rPr>
                <w:b/>
              </w:rPr>
            </w:pPr>
            <w:r w:rsidRPr="00163830">
              <w:rPr>
                <w:b/>
              </w:rPr>
              <w:t>Score Comparison</w:t>
            </w:r>
          </w:p>
        </w:tc>
        <w:tc>
          <w:tcPr>
            <w:tcW w:w="3475" w:type="dxa"/>
            <w:shd w:val="clear" w:color="auto" w:fill="D9D9D9" w:themeFill="background1" w:themeFillShade="D9"/>
            <w:tcMar>
              <w:top w:w="72" w:type="dxa"/>
              <w:left w:w="115" w:type="dxa"/>
              <w:bottom w:w="72" w:type="dxa"/>
              <w:right w:w="115" w:type="dxa"/>
            </w:tcMar>
          </w:tcPr>
          <w:p w14:paraId="6A3EC1C9" w14:textId="00A131A3" w:rsidR="003D2961" w:rsidRPr="00163830" w:rsidRDefault="2E370091" w:rsidP="008921EA">
            <w:r w:rsidRPr="00163830">
              <w:t>Score Comparison is u</w:t>
            </w:r>
            <w:r w:rsidR="20869895" w:rsidRPr="00163830">
              <w:t>n</w:t>
            </w:r>
            <w:r w:rsidR="5F19CE90" w:rsidRPr="00163830">
              <w:t>available due to school and state averages in 2019–20 and 2020–21</w:t>
            </w:r>
            <w:r w:rsidR="035603B1" w:rsidRPr="00163830">
              <w:t xml:space="preserve"> </w:t>
            </w:r>
            <w:r w:rsidR="5F19CE90" w:rsidRPr="00163830">
              <w:t xml:space="preserve">not </w:t>
            </w:r>
            <w:r w:rsidR="01F29606" w:rsidRPr="00163830">
              <w:t xml:space="preserve">being </w:t>
            </w:r>
            <w:r w:rsidR="5F19CE90" w:rsidRPr="00163830">
              <w:t xml:space="preserve">appropriate for comparison due to factors surrounding the </w:t>
            </w:r>
            <w:r w:rsidR="01DF6A0A" w:rsidRPr="00163830">
              <w:rPr>
                <w:rFonts w:eastAsia="Calibri" w:cs="Arial"/>
              </w:rPr>
              <w:t>COVID</w:t>
            </w:r>
            <w:r w:rsidR="7FC8FC26" w:rsidRPr="00163830">
              <w:rPr>
                <w:rFonts w:eastAsia="Calibri" w:cs="Arial"/>
              </w:rPr>
              <w:t>-</w:t>
            </w:r>
            <w:r w:rsidR="01DF6A0A" w:rsidRPr="00163830">
              <w:rPr>
                <w:rFonts w:eastAsia="Calibri" w:cs="Arial"/>
              </w:rPr>
              <w:t>19</w:t>
            </w:r>
            <w:r w:rsidR="5F19CE90" w:rsidRPr="00163830">
              <w:rPr>
                <w:rFonts w:eastAsia="Calibri" w:cs="Arial"/>
              </w:rPr>
              <w:t xml:space="preserve"> </w:t>
            </w:r>
            <w:r w:rsidR="5F19CE90" w:rsidRPr="00163830">
              <w:t>pandemic</w:t>
            </w:r>
          </w:p>
        </w:tc>
        <w:tc>
          <w:tcPr>
            <w:tcW w:w="3505" w:type="dxa"/>
            <w:shd w:val="clear" w:color="auto" w:fill="D9D9D9" w:themeFill="background1" w:themeFillShade="D9"/>
            <w:tcMar>
              <w:top w:w="72" w:type="dxa"/>
              <w:left w:w="115" w:type="dxa"/>
              <w:bottom w:w="72" w:type="dxa"/>
              <w:right w:w="115" w:type="dxa"/>
            </w:tcMar>
          </w:tcPr>
          <w:p w14:paraId="19FA2CF5" w14:textId="2F64BAD9" w:rsidR="003D2961" w:rsidRPr="00163830" w:rsidRDefault="005A7127" w:rsidP="008921EA">
            <w:pPr>
              <w:spacing w:after="240"/>
            </w:pPr>
            <w:r w:rsidRPr="00163830">
              <w:t>Provide</w:t>
            </w:r>
            <w:r w:rsidR="00B97F1D" w:rsidRPr="00163830">
              <w:t xml:space="preserve"> score comparison </w:t>
            </w:r>
            <w:r w:rsidR="00C73D61" w:rsidRPr="00163830">
              <w:t>using</w:t>
            </w:r>
            <w:r w:rsidRPr="00163830">
              <w:t xml:space="preserve"> s</w:t>
            </w:r>
            <w:r w:rsidR="003D2961" w:rsidRPr="00163830">
              <w:t xml:space="preserve">chool and state scale score averages reported on ELA, mathematics, and science SSRs </w:t>
            </w:r>
          </w:p>
          <w:p w14:paraId="1387AD3F" w14:textId="779EE75B" w:rsidR="003D2961" w:rsidRPr="00163830" w:rsidRDefault="005A7127" w:rsidP="008921EA">
            <w:r w:rsidRPr="00163830">
              <w:t xml:space="preserve">Provide </w:t>
            </w:r>
            <w:r w:rsidR="006342DF" w:rsidRPr="00163830">
              <w:t xml:space="preserve">score comparison using </w:t>
            </w:r>
            <w:r w:rsidR="008C3021" w:rsidRPr="00163830">
              <w:t xml:space="preserve">state </w:t>
            </w:r>
            <w:r w:rsidR="003D2961" w:rsidRPr="00163830">
              <w:t>scale score average provided on CAA for ELA, mathematics, and science SSRs</w:t>
            </w:r>
          </w:p>
        </w:tc>
      </w:tr>
      <w:tr w:rsidR="003D2961" w:rsidRPr="00163830" w14:paraId="6BBA8918" w14:textId="77777777" w:rsidTr="75CC0015">
        <w:trPr>
          <w:cantSplit/>
          <w:trHeight w:val="300"/>
        </w:trPr>
        <w:tc>
          <w:tcPr>
            <w:tcW w:w="2370" w:type="dxa"/>
            <w:tcMar>
              <w:top w:w="72" w:type="dxa"/>
              <w:left w:w="115" w:type="dxa"/>
              <w:bottom w:w="72" w:type="dxa"/>
              <w:right w:w="115" w:type="dxa"/>
            </w:tcMar>
          </w:tcPr>
          <w:p w14:paraId="08817924" w14:textId="6B60A495" w:rsidR="003D2961" w:rsidRPr="00163830" w:rsidRDefault="003D2961" w:rsidP="008921EA">
            <w:pPr>
              <w:rPr>
                <w:b/>
              </w:rPr>
            </w:pPr>
            <w:r w:rsidRPr="00163830">
              <w:rPr>
                <w:b/>
              </w:rPr>
              <w:t>Student’s Score History</w:t>
            </w:r>
            <w:r w:rsidR="75618CDE" w:rsidRPr="00163830">
              <w:rPr>
                <w:b/>
                <w:bCs/>
              </w:rPr>
              <w:t xml:space="preserve"> (ELA, math</w:t>
            </w:r>
            <w:r w:rsidR="00EF6620" w:rsidRPr="00163830">
              <w:rPr>
                <w:b/>
                <w:bCs/>
              </w:rPr>
              <w:t>ematics</w:t>
            </w:r>
            <w:r w:rsidR="75618CDE" w:rsidRPr="00163830">
              <w:rPr>
                <w:b/>
                <w:bCs/>
              </w:rPr>
              <w:t>, and Spanish only)</w:t>
            </w:r>
          </w:p>
        </w:tc>
        <w:tc>
          <w:tcPr>
            <w:tcW w:w="3475" w:type="dxa"/>
            <w:tcMar>
              <w:top w:w="72" w:type="dxa"/>
              <w:left w:w="115" w:type="dxa"/>
              <w:bottom w:w="72" w:type="dxa"/>
              <w:right w:w="115" w:type="dxa"/>
            </w:tcMar>
          </w:tcPr>
          <w:p w14:paraId="3745098F" w14:textId="30EAD8BB" w:rsidR="003D2961" w:rsidRPr="00163830" w:rsidRDefault="004B2A99" w:rsidP="008921EA">
            <w:r w:rsidRPr="00163830">
              <w:t>Provide</w:t>
            </w:r>
            <w:r w:rsidR="00AD3581" w:rsidRPr="00163830">
              <w:t>d</w:t>
            </w:r>
            <w:r w:rsidRPr="00163830">
              <w:t xml:space="preserve"> s</w:t>
            </w:r>
            <w:r w:rsidR="003D2961" w:rsidRPr="00163830">
              <w:t xml:space="preserve">cale scores and achievement levels for prior three years stated in </w:t>
            </w:r>
            <w:r w:rsidR="00892FDD" w:rsidRPr="00163830">
              <w:t xml:space="preserve">the </w:t>
            </w:r>
            <w:r w:rsidR="003D2961" w:rsidRPr="00163830">
              <w:t>Score History section</w:t>
            </w:r>
          </w:p>
        </w:tc>
        <w:tc>
          <w:tcPr>
            <w:tcW w:w="3505" w:type="dxa"/>
            <w:tcMar>
              <w:top w:w="72" w:type="dxa"/>
              <w:left w:w="115" w:type="dxa"/>
              <w:bottom w:w="72" w:type="dxa"/>
              <w:right w:w="115" w:type="dxa"/>
            </w:tcMar>
          </w:tcPr>
          <w:p w14:paraId="522C4D82" w14:textId="29D8AB4C" w:rsidR="003D2961" w:rsidRPr="00163830" w:rsidRDefault="00AD3581" w:rsidP="008921EA">
            <w:r w:rsidRPr="00163830">
              <w:t>Provide s</w:t>
            </w:r>
            <w:r w:rsidR="003D2961" w:rsidRPr="00163830">
              <w:t xml:space="preserve">cale scores and achievement levels for prior three years listed in </w:t>
            </w:r>
            <w:r w:rsidR="0008512C" w:rsidRPr="00163830">
              <w:t xml:space="preserve">a </w:t>
            </w:r>
            <w:r w:rsidR="003D2961" w:rsidRPr="00163830">
              <w:t xml:space="preserve">table and displayed in a graph in </w:t>
            </w:r>
            <w:r w:rsidR="00892FDD" w:rsidRPr="00163830">
              <w:t xml:space="preserve">the </w:t>
            </w:r>
            <w:r w:rsidR="003D2961" w:rsidRPr="00163830">
              <w:t>Score History section</w:t>
            </w:r>
          </w:p>
        </w:tc>
      </w:tr>
      <w:tr w:rsidR="000C1237" w:rsidRPr="00163830" w14:paraId="2E136627" w14:textId="77777777" w:rsidTr="75CC0015">
        <w:trPr>
          <w:cantSplit/>
          <w:trHeight w:val="300"/>
        </w:trPr>
        <w:tc>
          <w:tcPr>
            <w:tcW w:w="2370" w:type="dxa"/>
            <w:shd w:val="clear" w:color="auto" w:fill="D9D9D9" w:themeFill="background1" w:themeFillShade="D9"/>
            <w:tcMar>
              <w:top w:w="72" w:type="dxa"/>
              <w:left w:w="115" w:type="dxa"/>
              <w:bottom w:w="72" w:type="dxa"/>
              <w:right w:w="115" w:type="dxa"/>
            </w:tcMar>
          </w:tcPr>
          <w:p w14:paraId="3FAB578A" w14:textId="74620415" w:rsidR="003D2961" w:rsidRPr="00163830" w:rsidRDefault="003D2961" w:rsidP="008921EA">
            <w:pPr>
              <w:rPr>
                <w:b/>
              </w:rPr>
            </w:pPr>
            <w:r w:rsidRPr="00163830">
              <w:rPr>
                <w:b/>
              </w:rPr>
              <w:t>Student’s Lexile</w:t>
            </w:r>
            <w:r w:rsidRPr="00163830">
              <w:rPr>
                <w:b/>
                <w:vertAlign w:val="superscript"/>
              </w:rPr>
              <w:t>®</w:t>
            </w:r>
            <w:r w:rsidRPr="00163830">
              <w:rPr>
                <w:b/>
              </w:rPr>
              <w:t xml:space="preserve"> and Quantile</w:t>
            </w:r>
            <w:r w:rsidRPr="00163830">
              <w:rPr>
                <w:b/>
                <w:vertAlign w:val="superscript"/>
              </w:rPr>
              <w:t>®</w:t>
            </w:r>
            <w:r w:rsidRPr="00163830">
              <w:rPr>
                <w:b/>
              </w:rPr>
              <w:t xml:space="preserve"> Measures</w:t>
            </w:r>
          </w:p>
        </w:tc>
        <w:tc>
          <w:tcPr>
            <w:tcW w:w="3475" w:type="dxa"/>
            <w:shd w:val="clear" w:color="auto" w:fill="D9D9D9" w:themeFill="background1" w:themeFillShade="D9"/>
            <w:tcMar>
              <w:top w:w="72" w:type="dxa"/>
              <w:left w:w="115" w:type="dxa"/>
              <w:bottom w:w="72" w:type="dxa"/>
              <w:right w:w="115" w:type="dxa"/>
            </w:tcMar>
          </w:tcPr>
          <w:p w14:paraId="18E08287" w14:textId="7E31FFC7" w:rsidR="003D2961" w:rsidRPr="00163830" w:rsidRDefault="003D2961" w:rsidP="008921EA">
            <w:r w:rsidRPr="00163830">
              <w:t>Provided in a separate Lexile</w:t>
            </w:r>
            <w:r w:rsidRPr="00163830">
              <w:rPr>
                <w:b/>
                <w:vertAlign w:val="superscript"/>
              </w:rPr>
              <w:t>®</w:t>
            </w:r>
            <w:r w:rsidRPr="00163830">
              <w:t xml:space="preserve"> and Quantile</w:t>
            </w:r>
            <w:r w:rsidRPr="00163830">
              <w:rPr>
                <w:b/>
                <w:vertAlign w:val="superscript"/>
              </w:rPr>
              <w:t>®</w:t>
            </w:r>
            <w:r w:rsidRPr="00163830">
              <w:t xml:space="preserve"> Measures Report</w:t>
            </w:r>
          </w:p>
        </w:tc>
        <w:tc>
          <w:tcPr>
            <w:tcW w:w="3505" w:type="dxa"/>
            <w:shd w:val="clear" w:color="auto" w:fill="D9D9D9" w:themeFill="background1" w:themeFillShade="D9"/>
            <w:tcMar>
              <w:top w:w="72" w:type="dxa"/>
              <w:left w:w="115" w:type="dxa"/>
              <w:bottom w:w="72" w:type="dxa"/>
              <w:right w:w="115" w:type="dxa"/>
            </w:tcMar>
          </w:tcPr>
          <w:p w14:paraId="44AA159D" w14:textId="4CA4756F" w:rsidR="003D2961" w:rsidRPr="00163830" w:rsidRDefault="39A938C6" w:rsidP="008921EA">
            <w:r w:rsidRPr="00163830">
              <w:t>Incorporate</w:t>
            </w:r>
            <w:r w:rsidR="0646B2BA" w:rsidRPr="00163830">
              <w:t xml:space="preserve"> </w:t>
            </w:r>
            <w:r w:rsidR="000E555B" w:rsidRPr="00163830">
              <w:t>Lexile</w:t>
            </w:r>
            <w:r w:rsidR="000E555B" w:rsidRPr="00163830">
              <w:rPr>
                <w:b/>
                <w:vertAlign w:val="superscript"/>
              </w:rPr>
              <w:t>®</w:t>
            </w:r>
            <w:r w:rsidR="000E555B" w:rsidRPr="00163830">
              <w:t xml:space="preserve"> and Quantile</w:t>
            </w:r>
            <w:r w:rsidR="000E555B" w:rsidRPr="00163830">
              <w:rPr>
                <w:b/>
                <w:vertAlign w:val="superscript"/>
              </w:rPr>
              <w:t>®</w:t>
            </w:r>
            <w:r w:rsidR="000E555B" w:rsidRPr="00163830">
              <w:t xml:space="preserve"> measures </w:t>
            </w:r>
            <w:r w:rsidR="00A06DF1" w:rsidRPr="00163830">
              <w:t>i</w:t>
            </w:r>
            <w:r w:rsidR="003D2961" w:rsidRPr="00163830">
              <w:t>n</w:t>
            </w:r>
            <w:r w:rsidR="07670FE1" w:rsidRPr="00163830">
              <w:t>to</w:t>
            </w:r>
            <w:r w:rsidR="003D2961" w:rsidRPr="00163830">
              <w:t xml:space="preserve"> the CAASPP SSR</w:t>
            </w:r>
            <w:r w:rsidR="00A06DF1" w:rsidRPr="00163830">
              <w:t xml:space="preserve"> with ELA and mathematics results</w:t>
            </w:r>
          </w:p>
        </w:tc>
      </w:tr>
      <w:tr w:rsidR="003D2961" w:rsidRPr="00163830" w14:paraId="66C95AED" w14:textId="77777777" w:rsidTr="75CC0015">
        <w:trPr>
          <w:cantSplit/>
          <w:trHeight w:val="300"/>
        </w:trPr>
        <w:tc>
          <w:tcPr>
            <w:tcW w:w="2370" w:type="dxa"/>
            <w:tcMar>
              <w:top w:w="72" w:type="dxa"/>
              <w:left w:w="115" w:type="dxa"/>
              <w:bottom w:w="72" w:type="dxa"/>
              <w:right w:w="115" w:type="dxa"/>
            </w:tcMar>
          </w:tcPr>
          <w:p w14:paraId="1DE0D603" w14:textId="5C8963D2" w:rsidR="003D2961" w:rsidRPr="00163830" w:rsidRDefault="003D2961" w:rsidP="008921EA">
            <w:r w:rsidRPr="00163830">
              <w:rPr>
                <w:b/>
              </w:rPr>
              <w:t>Writing Extended Response</w:t>
            </w:r>
            <w:r w:rsidR="0072333A" w:rsidRPr="00163830">
              <w:rPr>
                <w:b/>
              </w:rPr>
              <w:t xml:space="preserve"> Results</w:t>
            </w:r>
          </w:p>
        </w:tc>
        <w:tc>
          <w:tcPr>
            <w:tcW w:w="3475" w:type="dxa"/>
            <w:tcMar>
              <w:top w:w="72" w:type="dxa"/>
              <w:left w:w="115" w:type="dxa"/>
              <w:bottom w:w="72" w:type="dxa"/>
              <w:right w:w="115" w:type="dxa"/>
            </w:tcMar>
          </w:tcPr>
          <w:p w14:paraId="72290FAF" w14:textId="305E5419" w:rsidR="003D2961" w:rsidRPr="00163830" w:rsidRDefault="002B7394" w:rsidP="008921EA">
            <w:r w:rsidRPr="00163830">
              <w:t>Reported to the student’s educators through the California Educator Reporting System (CERS) but n</w:t>
            </w:r>
            <w:r w:rsidR="0072333A" w:rsidRPr="00163830">
              <w:t>ot reported on SSR</w:t>
            </w:r>
          </w:p>
        </w:tc>
        <w:tc>
          <w:tcPr>
            <w:tcW w:w="3505" w:type="dxa"/>
            <w:tcMar>
              <w:top w:w="72" w:type="dxa"/>
              <w:left w:w="115" w:type="dxa"/>
              <w:bottom w:w="72" w:type="dxa"/>
              <w:right w:w="115" w:type="dxa"/>
            </w:tcMar>
          </w:tcPr>
          <w:p w14:paraId="52DC94AD" w14:textId="1EC234D0" w:rsidR="003D2961" w:rsidRPr="00163830" w:rsidRDefault="0072333A" w:rsidP="008921EA">
            <w:r w:rsidRPr="00163830">
              <w:t xml:space="preserve">Report </w:t>
            </w:r>
            <w:r w:rsidR="002B7394" w:rsidRPr="00163830">
              <w:t xml:space="preserve">in </w:t>
            </w:r>
            <w:r w:rsidR="00BE608F" w:rsidRPr="00163830">
              <w:t>both</w:t>
            </w:r>
            <w:r w:rsidR="008702F3" w:rsidRPr="00163830">
              <w:t xml:space="preserve"> the </w:t>
            </w:r>
            <w:r w:rsidR="002B7394" w:rsidRPr="00163830">
              <w:t xml:space="preserve">CERS and </w:t>
            </w:r>
            <w:r w:rsidRPr="00163830">
              <w:t>on</w:t>
            </w:r>
            <w:r w:rsidR="002B7394" w:rsidRPr="00163830">
              <w:t xml:space="preserve"> </w:t>
            </w:r>
            <w:r w:rsidR="1083CCF3" w:rsidRPr="00163830">
              <w:t>the</w:t>
            </w:r>
            <w:r w:rsidR="3CD9A49A" w:rsidRPr="00163830">
              <w:t xml:space="preserve"> </w:t>
            </w:r>
            <w:r w:rsidR="1083CCF3" w:rsidRPr="00163830">
              <w:t>CAASPP</w:t>
            </w:r>
            <w:r w:rsidRPr="00163830">
              <w:t xml:space="preserve"> SSR for students who take the Smarter Balanced </w:t>
            </w:r>
            <w:r w:rsidR="00141E59" w:rsidRPr="00163830">
              <w:t xml:space="preserve">Summative Assessment </w:t>
            </w:r>
            <w:r w:rsidRPr="00163830">
              <w:t>in ELA</w:t>
            </w:r>
          </w:p>
        </w:tc>
      </w:tr>
      <w:tr w:rsidR="000C1237" w14:paraId="15409734" w14:textId="77777777" w:rsidTr="75CC0015">
        <w:trPr>
          <w:cantSplit/>
          <w:trHeight w:val="300"/>
        </w:trPr>
        <w:tc>
          <w:tcPr>
            <w:tcW w:w="2370" w:type="dxa"/>
            <w:shd w:val="clear" w:color="auto" w:fill="D9D9D9" w:themeFill="background1" w:themeFillShade="D9"/>
            <w:tcMar>
              <w:top w:w="72" w:type="dxa"/>
              <w:left w:w="115" w:type="dxa"/>
              <w:bottom w:w="72" w:type="dxa"/>
              <w:right w:w="115" w:type="dxa"/>
            </w:tcMar>
          </w:tcPr>
          <w:p w14:paraId="3191FC32" w14:textId="1C3DD2A3" w:rsidR="0072333A" w:rsidRPr="00163830" w:rsidRDefault="0072333A" w:rsidP="008921EA">
            <w:r w:rsidRPr="00163830">
              <w:rPr>
                <w:b/>
              </w:rPr>
              <w:t>SSR Delivery</w:t>
            </w:r>
          </w:p>
        </w:tc>
        <w:tc>
          <w:tcPr>
            <w:tcW w:w="3475" w:type="dxa"/>
            <w:shd w:val="clear" w:color="auto" w:fill="D9D9D9" w:themeFill="background1" w:themeFillShade="D9"/>
            <w:tcMar>
              <w:top w:w="72" w:type="dxa"/>
              <w:left w:w="115" w:type="dxa"/>
              <w:bottom w:w="72" w:type="dxa"/>
              <w:right w:w="115" w:type="dxa"/>
            </w:tcMar>
          </w:tcPr>
          <w:p w14:paraId="0AC67093" w14:textId="5AA1D130" w:rsidR="0072333A" w:rsidRPr="00163830" w:rsidRDefault="0072333A" w:rsidP="008921EA">
            <w:pPr>
              <w:spacing w:after="240"/>
            </w:pPr>
            <w:r w:rsidRPr="00163830">
              <w:t>Students taking ELA, mathematics, and science assessments receive three separate reports: one for ELA and mathematics, another for science, and another for the Lexile</w:t>
            </w:r>
            <w:r w:rsidRPr="00163830">
              <w:rPr>
                <w:b/>
                <w:vertAlign w:val="superscript"/>
              </w:rPr>
              <w:t>®</w:t>
            </w:r>
            <w:r w:rsidRPr="00163830">
              <w:t xml:space="preserve"> and Quantile</w:t>
            </w:r>
            <w:r w:rsidRPr="00163830">
              <w:rPr>
                <w:b/>
                <w:vertAlign w:val="superscript"/>
              </w:rPr>
              <w:t>®</w:t>
            </w:r>
            <w:r w:rsidRPr="00163830">
              <w:t xml:space="preserve"> measures</w:t>
            </w:r>
          </w:p>
          <w:p w14:paraId="0403AE2D" w14:textId="0E43A880" w:rsidR="0072333A" w:rsidRPr="00163830" w:rsidRDefault="0072333A" w:rsidP="008921EA">
            <w:r w:rsidRPr="00163830">
              <w:t>SSRs available electronically in PDF format</w:t>
            </w:r>
            <w:r w:rsidR="68913394" w:rsidRPr="00163830">
              <w:t xml:space="preserve"> </w:t>
            </w:r>
          </w:p>
        </w:tc>
        <w:tc>
          <w:tcPr>
            <w:tcW w:w="3505" w:type="dxa"/>
            <w:shd w:val="clear" w:color="auto" w:fill="D9D9D9" w:themeFill="background1" w:themeFillShade="D9"/>
            <w:tcMar>
              <w:top w:w="72" w:type="dxa"/>
              <w:left w:w="115" w:type="dxa"/>
              <w:bottom w:w="72" w:type="dxa"/>
              <w:right w:w="115" w:type="dxa"/>
            </w:tcMar>
          </w:tcPr>
          <w:p w14:paraId="28097744" w14:textId="195F3A63" w:rsidR="0072333A" w:rsidRPr="00163830" w:rsidRDefault="0072333A" w:rsidP="008921EA">
            <w:pPr>
              <w:spacing w:after="240"/>
            </w:pPr>
            <w:r w:rsidRPr="00163830">
              <w:t>Students</w:t>
            </w:r>
            <w:r w:rsidR="0015451C" w:rsidRPr="00163830">
              <w:t xml:space="preserve"> will</w:t>
            </w:r>
            <w:r w:rsidRPr="00163830">
              <w:t xml:space="preserve"> receive one report that includes ELA, math</w:t>
            </w:r>
            <w:r w:rsidR="0015451C" w:rsidRPr="00163830">
              <w:t>ematics</w:t>
            </w:r>
            <w:r w:rsidRPr="00163830">
              <w:t xml:space="preserve">, </w:t>
            </w:r>
            <w:r w:rsidR="00A06DF1" w:rsidRPr="00163830">
              <w:t xml:space="preserve">and </w:t>
            </w:r>
            <w:r w:rsidRPr="00163830">
              <w:t>science results</w:t>
            </w:r>
            <w:r w:rsidR="00A06DF1" w:rsidRPr="00163830">
              <w:t>,</w:t>
            </w:r>
            <w:r w:rsidRPr="00163830">
              <w:t xml:space="preserve"> </w:t>
            </w:r>
            <w:r w:rsidR="55BBD8DA" w:rsidRPr="00163830">
              <w:t>including</w:t>
            </w:r>
            <w:r w:rsidRPr="00163830">
              <w:t xml:space="preserve"> Lexile</w:t>
            </w:r>
            <w:r w:rsidRPr="00163830">
              <w:rPr>
                <w:b/>
                <w:vertAlign w:val="superscript"/>
              </w:rPr>
              <w:t>®</w:t>
            </w:r>
            <w:r w:rsidRPr="00163830">
              <w:t xml:space="preserve"> and Quantile</w:t>
            </w:r>
            <w:r w:rsidRPr="00163830">
              <w:rPr>
                <w:b/>
                <w:vertAlign w:val="superscript"/>
              </w:rPr>
              <w:t>®</w:t>
            </w:r>
            <w:r w:rsidRPr="00163830">
              <w:t xml:space="preserve"> measures</w:t>
            </w:r>
            <w:r w:rsidR="000C6224" w:rsidRPr="00163830">
              <w:t xml:space="preserve"> as appropriate</w:t>
            </w:r>
          </w:p>
          <w:p w14:paraId="294FA767" w14:textId="66587894" w:rsidR="0072333A" w:rsidRPr="00163830" w:rsidRDefault="0072333A" w:rsidP="008921EA">
            <w:r w:rsidRPr="00163830">
              <w:t>SSRs available electronically in PDF and HTML format</w:t>
            </w:r>
            <w:r w:rsidR="00470859" w:rsidRPr="00163830">
              <w:t>s</w:t>
            </w:r>
          </w:p>
        </w:tc>
      </w:tr>
    </w:tbl>
    <w:p w14:paraId="40B8A031" w14:textId="5E78E6B8" w:rsidR="34DC38AB" w:rsidRPr="00163830" w:rsidRDefault="34DC38AB" w:rsidP="0F9CCE6E">
      <w:pPr>
        <w:spacing w:before="240" w:after="240"/>
        <w:rPr>
          <w:rFonts w:eastAsia="Calibri" w:cs="Arial"/>
          <w:strike/>
        </w:rPr>
      </w:pPr>
      <w:r w:rsidRPr="00163830">
        <w:rPr>
          <w:rFonts w:eastAsia="Calibri" w:cs="Arial"/>
        </w:rPr>
        <w:lastRenderedPageBreak/>
        <w:t xml:space="preserve">A list of proposed revisions to the key elements of the 2023–24 SSRs by assessment program can be found in table </w:t>
      </w:r>
      <w:r w:rsidR="00D9780D" w:rsidRPr="00163830">
        <w:rPr>
          <w:rFonts w:eastAsia="Calibri" w:cs="Arial"/>
        </w:rPr>
        <w:t>4</w:t>
      </w:r>
      <w:r w:rsidRPr="00163830">
        <w:rPr>
          <w:rFonts w:eastAsia="Calibri" w:cs="Arial"/>
        </w:rPr>
        <w:t>.</w:t>
      </w:r>
    </w:p>
    <w:p w14:paraId="03BF6B46" w14:textId="01178312" w:rsidR="005923F3" w:rsidRPr="001B6F9D" w:rsidRDefault="3928496D" w:rsidP="001B6F9D">
      <w:pPr>
        <w:pStyle w:val="Heading4"/>
        <w:rPr>
          <w:b w:val="0"/>
          <w:bCs w:val="0"/>
        </w:rPr>
      </w:pPr>
      <w:r w:rsidRPr="001B6F9D">
        <w:rPr>
          <w:b w:val="0"/>
          <w:bCs w:val="0"/>
        </w:rPr>
        <w:t xml:space="preserve">Table </w:t>
      </w:r>
      <w:r w:rsidR="00D9780D" w:rsidRPr="001B6F9D">
        <w:rPr>
          <w:b w:val="0"/>
          <w:bCs w:val="0"/>
        </w:rPr>
        <w:t>4</w:t>
      </w:r>
      <w:r w:rsidRPr="001B6F9D">
        <w:rPr>
          <w:b w:val="0"/>
          <w:bCs w:val="0"/>
        </w:rPr>
        <w:t xml:space="preserve">. Summary of </w:t>
      </w:r>
      <w:r w:rsidR="41A4EB19" w:rsidRPr="001B6F9D">
        <w:rPr>
          <w:b w:val="0"/>
          <w:bCs w:val="0"/>
        </w:rPr>
        <w:t xml:space="preserve">Proposed Revisions to SSR </w:t>
      </w:r>
      <w:r w:rsidR="69EABDDD" w:rsidRPr="001B6F9D">
        <w:rPr>
          <w:b w:val="0"/>
          <w:bCs w:val="0"/>
        </w:rPr>
        <w:t xml:space="preserve">Key </w:t>
      </w:r>
      <w:r w:rsidR="41A4EB19" w:rsidRPr="001B6F9D">
        <w:rPr>
          <w:b w:val="0"/>
          <w:bCs w:val="0"/>
        </w:rPr>
        <w:t>Elements</w:t>
      </w:r>
      <w:r w:rsidRPr="001B6F9D">
        <w:rPr>
          <w:b w:val="0"/>
          <w:bCs w:val="0"/>
        </w:rPr>
        <w:t xml:space="preserve"> by Assessment Program</w:t>
      </w:r>
    </w:p>
    <w:tbl>
      <w:tblPr>
        <w:tblStyle w:val="TableGrid"/>
        <w:tblW w:w="0" w:type="auto"/>
        <w:jc w:val="center"/>
        <w:tblLook w:val="04A0" w:firstRow="1" w:lastRow="0" w:firstColumn="1" w:lastColumn="0" w:noHBand="0" w:noVBand="1"/>
        <w:tblDescription w:val="Table 4 displays a Summary of Proposed Revisions to SSR Key Elements by    Assessment Program."/>
      </w:tblPr>
      <w:tblGrid>
        <w:gridCol w:w="2965"/>
        <w:gridCol w:w="2487"/>
        <w:gridCol w:w="1623"/>
        <w:gridCol w:w="2275"/>
      </w:tblGrid>
      <w:tr w:rsidR="008C3AB6" w14:paraId="78F9366B" w14:textId="77777777" w:rsidTr="00A47CE3">
        <w:trPr>
          <w:trHeight w:val="300"/>
          <w:tblHeader/>
          <w:jc w:val="center"/>
        </w:trPr>
        <w:tc>
          <w:tcPr>
            <w:tcW w:w="2965" w:type="dxa"/>
            <w:shd w:val="clear" w:color="auto" w:fill="BFBFBF" w:themeFill="background1" w:themeFillShade="BF"/>
            <w:tcMar>
              <w:top w:w="43" w:type="dxa"/>
              <w:left w:w="72" w:type="dxa"/>
              <w:bottom w:w="43" w:type="dxa"/>
              <w:right w:w="72" w:type="dxa"/>
            </w:tcMar>
            <w:vAlign w:val="center"/>
          </w:tcPr>
          <w:p w14:paraId="4749ED30" w14:textId="76B1F1E0" w:rsidR="5EA2571D" w:rsidRDefault="5EA2571D" w:rsidP="00A50F66">
            <w:pPr>
              <w:jc w:val="center"/>
              <w:rPr>
                <w:rFonts w:eastAsia="Calibri" w:cs="Arial"/>
                <w:b/>
                <w:bCs/>
              </w:rPr>
            </w:pPr>
            <w:r w:rsidRPr="5EA2571D">
              <w:rPr>
                <w:rFonts w:eastAsia="Calibri" w:cs="Arial"/>
                <w:b/>
                <w:bCs/>
              </w:rPr>
              <w:t>Assessment Program</w:t>
            </w:r>
          </w:p>
        </w:tc>
        <w:tc>
          <w:tcPr>
            <w:tcW w:w="2487" w:type="dxa"/>
            <w:shd w:val="clear" w:color="auto" w:fill="BFBFBF" w:themeFill="background1" w:themeFillShade="BF"/>
            <w:tcMar>
              <w:top w:w="43" w:type="dxa"/>
              <w:left w:w="72" w:type="dxa"/>
              <w:bottom w:w="43" w:type="dxa"/>
              <w:right w:w="72" w:type="dxa"/>
            </w:tcMar>
            <w:vAlign w:val="center"/>
          </w:tcPr>
          <w:p w14:paraId="341E6E35" w14:textId="57D84672" w:rsidR="5EA2571D" w:rsidRDefault="3C47C949" w:rsidP="00A50F66">
            <w:pPr>
              <w:jc w:val="center"/>
              <w:rPr>
                <w:rFonts w:eastAsia="Calibri" w:cs="Arial"/>
                <w:b/>
                <w:bCs/>
              </w:rPr>
            </w:pPr>
            <w:r w:rsidRPr="5BF228E7">
              <w:rPr>
                <w:rFonts w:eastAsia="Calibri" w:cs="Arial"/>
                <w:b/>
                <w:bCs/>
              </w:rPr>
              <w:t>Score Comparison</w:t>
            </w:r>
          </w:p>
        </w:tc>
        <w:tc>
          <w:tcPr>
            <w:tcW w:w="1623" w:type="dxa"/>
            <w:shd w:val="clear" w:color="auto" w:fill="BFBFBF" w:themeFill="background1" w:themeFillShade="BF"/>
            <w:tcMar>
              <w:top w:w="43" w:type="dxa"/>
              <w:left w:w="72" w:type="dxa"/>
              <w:bottom w:w="43" w:type="dxa"/>
              <w:right w:w="72" w:type="dxa"/>
            </w:tcMar>
            <w:vAlign w:val="center"/>
          </w:tcPr>
          <w:p w14:paraId="1D772472" w14:textId="52DCDA56" w:rsidR="5EA2571D" w:rsidRDefault="5EA2571D" w:rsidP="00A50F66">
            <w:pPr>
              <w:jc w:val="center"/>
              <w:rPr>
                <w:rFonts w:eastAsia="Calibri" w:cs="Arial"/>
                <w:b/>
                <w:bCs/>
              </w:rPr>
            </w:pPr>
            <w:r w:rsidRPr="5EA2571D">
              <w:rPr>
                <w:rFonts w:eastAsia="Calibri" w:cs="Arial"/>
                <w:b/>
                <w:bCs/>
              </w:rPr>
              <w:t>Student’s Score History</w:t>
            </w:r>
          </w:p>
        </w:tc>
        <w:tc>
          <w:tcPr>
            <w:tcW w:w="2275" w:type="dxa"/>
            <w:shd w:val="clear" w:color="auto" w:fill="BFBFBF" w:themeFill="background1" w:themeFillShade="BF"/>
            <w:tcMar>
              <w:top w:w="43" w:type="dxa"/>
              <w:left w:w="72" w:type="dxa"/>
              <w:bottom w:w="43" w:type="dxa"/>
              <w:right w:w="72" w:type="dxa"/>
            </w:tcMar>
            <w:vAlign w:val="center"/>
          </w:tcPr>
          <w:p w14:paraId="3850592B" w14:textId="662B8529" w:rsidR="5EA2571D" w:rsidRPr="00683DFD" w:rsidRDefault="5EA2571D" w:rsidP="00A50F66">
            <w:pPr>
              <w:jc w:val="center"/>
              <w:rPr>
                <w:rFonts w:eastAsia="Calibri" w:cs="Arial"/>
                <w:b/>
                <w:bCs/>
              </w:rPr>
            </w:pPr>
            <w:r w:rsidRPr="00683DFD">
              <w:rPr>
                <w:rFonts w:eastAsia="Calibri" w:cs="Arial"/>
                <w:b/>
                <w:bCs/>
              </w:rPr>
              <w:t>Student’s Lexile</w:t>
            </w:r>
            <w:r w:rsidR="00683DFD" w:rsidRPr="00683DFD">
              <w:rPr>
                <w:b/>
                <w:vertAlign w:val="superscript"/>
              </w:rPr>
              <w:t>®</w:t>
            </w:r>
            <w:r w:rsidRPr="00683DFD">
              <w:rPr>
                <w:rFonts w:eastAsia="Calibri" w:cs="Arial"/>
                <w:b/>
                <w:bCs/>
              </w:rPr>
              <w:t xml:space="preserve"> and Quantile</w:t>
            </w:r>
            <w:r w:rsidR="00683DFD" w:rsidRPr="00683DFD">
              <w:rPr>
                <w:b/>
                <w:vertAlign w:val="superscript"/>
              </w:rPr>
              <w:t>®</w:t>
            </w:r>
            <w:r w:rsidRPr="00683DFD">
              <w:rPr>
                <w:rFonts w:eastAsia="Calibri" w:cs="Arial"/>
                <w:b/>
                <w:bCs/>
              </w:rPr>
              <w:t xml:space="preserve"> Measures</w:t>
            </w:r>
          </w:p>
        </w:tc>
      </w:tr>
      <w:tr w:rsidR="008C3AB6" w14:paraId="755E529D" w14:textId="77777777" w:rsidTr="00A47CE3">
        <w:trPr>
          <w:trHeight w:val="300"/>
          <w:jc w:val="center"/>
        </w:trPr>
        <w:tc>
          <w:tcPr>
            <w:tcW w:w="2965" w:type="dxa"/>
            <w:shd w:val="clear" w:color="auto" w:fill="F2F2F2" w:themeFill="background1" w:themeFillShade="F2"/>
            <w:tcMar>
              <w:top w:w="43" w:type="dxa"/>
              <w:left w:w="72" w:type="dxa"/>
              <w:bottom w:w="43" w:type="dxa"/>
              <w:right w:w="72" w:type="dxa"/>
            </w:tcMar>
            <w:vAlign w:val="center"/>
          </w:tcPr>
          <w:p w14:paraId="6C30A63E" w14:textId="3A2116FE" w:rsidR="5EA2571D" w:rsidRDefault="5EA2571D" w:rsidP="00A50F66">
            <w:pPr>
              <w:rPr>
                <w:rFonts w:eastAsia="Calibri" w:cs="Arial"/>
                <w:b/>
                <w:bCs/>
              </w:rPr>
            </w:pPr>
            <w:r w:rsidRPr="5EA2571D">
              <w:rPr>
                <w:rFonts w:eastAsia="Calibri" w:cs="Arial"/>
                <w:b/>
                <w:bCs/>
              </w:rPr>
              <w:t xml:space="preserve">Smarter Balanced </w:t>
            </w:r>
            <w:r w:rsidR="003A34A4" w:rsidRPr="00163830">
              <w:rPr>
                <w:rFonts w:eastAsia="Calibri" w:cs="Arial"/>
                <w:b/>
                <w:bCs/>
              </w:rPr>
              <w:t>Summative</w:t>
            </w:r>
            <w:r w:rsidR="003A34A4">
              <w:rPr>
                <w:rFonts w:eastAsia="Calibri" w:cs="Arial"/>
                <w:b/>
                <w:bCs/>
              </w:rPr>
              <w:t xml:space="preserve"> </w:t>
            </w:r>
            <w:r w:rsidRPr="5EA2571D">
              <w:rPr>
                <w:rFonts w:eastAsia="Calibri" w:cs="Arial"/>
                <w:b/>
                <w:bCs/>
              </w:rPr>
              <w:t>Assessments for ELA and mathematics</w:t>
            </w:r>
          </w:p>
        </w:tc>
        <w:tc>
          <w:tcPr>
            <w:tcW w:w="2487" w:type="dxa"/>
            <w:shd w:val="clear" w:color="auto" w:fill="F2F2F2" w:themeFill="background1" w:themeFillShade="F2"/>
            <w:tcMar>
              <w:top w:w="43" w:type="dxa"/>
              <w:left w:w="72" w:type="dxa"/>
              <w:bottom w:w="43" w:type="dxa"/>
              <w:right w:w="72" w:type="dxa"/>
            </w:tcMar>
            <w:vAlign w:val="center"/>
          </w:tcPr>
          <w:p w14:paraId="2575C757" w14:textId="2DC32838" w:rsidR="5EA2571D" w:rsidRDefault="0F811888" w:rsidP="00A50F66">
            <w:pPr>
              <w:jc w:val="center"/>
              <w:rPr>
                <w:rFonts w:eastAsia="Calibri" w:cs="Arial"/>
              </w:rPr>
            </w:pPr>
            <w:r w:rsidRPr="5BF228E7">
              <w:rPr>
                <w:rFonts w:eastAsia="Calibri" w:cs="Arial"/>
              </w:rPr>
              <w:t>School and state</w:t>
            </w:r>
            <w:r w:rsidR="3593B256" w:rsidRPr="5BF228E7">
              <w:rPr>
                <w:rFonts w:eastAsia="Calibri" w:cs="Arial"/>
              </w:rPr>
              <w:t xml:space="preserve"> </w:t>
            </w:r>
            <w:r w:rsidR="1AD22E80" w:rsidRPr="5BF228E7">
              <w:rPr>
                <w:rFonts w:eastAsia="Calibri" w:cs="Arial"/>
              </w:rPr>
              <w:t>scale score averages</w:t>
            </w:r>
          </w:p>
        </w:tc>
        <w:tc>
          <w:tcPr>
            <w:tcW w:w="1623" w:type="dxa"/>
            <w:shd w:val="clear" w:color="auto" w:fill="F2F2F2" w:themeFill="background1" w:themeFillShade="F2"/>
            <w:tcMar>
              <w:top w:w="43" w:type="dxa"/>
              <w:left w:w="72" w:type="dxa"/>
              <w:bottom w:w="43" w:type="dxa"/>
              <w:right w:w="72" w:type="dxa"/>
            </w:tcMar>
            <w:vAlign w:val="center"/>
          </w:tcPr>
          <w:p w14:paraId="06C1F31C" w14:textId="55B2E2B5" w:rsidR="5EA2571D" w:rsidRDefault="5EA2571D" w:rsidP="00A50F66">
            <w:pPr>
              <w:jc w:val="center"/>
              <w:rPr>
                <w:rFonts w:eastAsia="Calibri" w:cs="Arial"/>
              </w:rPr>
            </w:pPr>
            <w:r w:rsidRPr="5EA2571D">
              <w:rPr>
                <w:rFonts w:eastAsia="Calibri" w:cs="Arial"/>
              </w:rPr>
              <w:t xml:space="preserve">Grades </w:t>
            </w:r>
            <w:r w:rsidR="00312DB4">
              <w:rPr>
                <w:rFonts w:eastAsia="Calibri" w:cs="Arial"/>
              </w:rPr>
              <w:t>4–8</w:t>
            </w:r>
          </w:p>
        </w:tc>
        <w:tc>
          <w:tcPr>
            <w:tcW w:w="2275" w:type="dxa"/>
            <w:shd w:val="clear" w:color="auto" w:fill="F2F2F2" w:themeFill="background1" w:themeFillShade="F2"/>
            <w:tcMar>
              <w:top w:w="43" w:type="dxa"/>
              <w:left w:w="72" w:type="dxa"/>
              <w:bottom w:w="43" w:type="dxa"/>
              <w:right w:w="72" w:type="dxa"/>
            </w:tcMar>
            <w:vAlign w:val="center"/>
          </w:tcPr>
          <w:p w14:paraId="30F3AE87" w14:textId="7991B02E" w:rsidR="5EA2571D" w:rsidRDefault="7582B831" w:rsidP="00A50F66">
            <w:pPr>
              <w:jc w:val="center"/>
              <w:rPr>
                <w:rFonts w:eastAsia="Calibri"/>
              </w:rPr>
            </w:pPr>
            <w:r w:rsidRPr="5BF228E7">
              <w:rPr>
                <w:rFonts w:eastAsia="Calibri" w:cs="Arial"/>
              </w:rPr>
              <w:t xml:space="preserve">Grades </w:t>
            </w:r>
            <w:r w:rsidR="004874B9">
              <w:rPr>
                <w:rFonts w:eastAsia="Calibri" w:cs="Arial"/>
              </w:rPr>
              <w:t>3–8</w:t>
            </w:r>
            <w:r w:rsidRPr="5BF228E7">
              <w:rPr>
                <w:rFonts w:eastAsia="Calibri" w:cs="Arial"/>
              </w:rPr>
              <w:t xml:space="preserve"> and </w:t>
            </w:r>
            <w:r w:rsidR="004874B9">
              <w:rPr>
                <w:rFonts w:eastAsia="Calibri" w:cs="Arial"/>
              </w:rPr>
              <w:t>11</w:t>
            </w:r>
          </w:p>
        </w:tc>
      </w:tr>
      <w:tr w:rsidR="5EA2571D" w14:paraId="0FABE231" w14:textId="77777777" w:rsidTr="00A47CE3">
        <w:trPr>
          <w:trHeight w:val="300"/>
          <w:jc w:val="center"/>
        </w:trPr>
        <w:tc>
          <w:tcPr>
            <w:tcW w:w="2965" w:type="dxa"/>
            <w:tcMar>
              <w:top w:w="43" w:type="dxa"/>
              <w:left w:w="72" w:type="dxa"/>
              <w:bottom w:w="43" w:type="dxa"/>
              <w:right w:w="72" w:type="dxa"/>
            </w:tcMar>
            <w:vAlign w:val="center"/>
          </w:tcPr>
          <w:p w14:paraId="5DEC7834" w14:textId="70EA95D0" w:rsidR="5EA2571D" w:rsidRDefault="5EA2571D" w:rsidP="00A50F66">
            <w:pPr>
              <w:rPr>
                <w:rFonts w:eastAsia="Calibri" w:cs="Arial"/>
                <w:b/>
                <w:bCs/>
              </w:rPr>
            </w:pPr>
            <w:r w:rsidRPr="5EA2571D">
              <w:rPr>
                <w:rFonts w:eastAsia="Calibri" w:cs="Arial"/>
                <w:b/>
                <w:bCs/>
              </w:rPr>
              <w:t>CAA for ELA and mathematics</w:t>
            </w:r>
          </w:p>
        </w:tc>
        <w:tc>
          <w:tcPr>
            <w:tcW w:w="2487" w:type="dxa"/>
            <w:tcMar>
              <w:top w:w="43" w:type="dxa"/>
              <w:left w:w="72" w:type="dxa"/>
              <w:bottom w:w="43" w:type="dxa"/>
              <w:right w:w="72" w:type="dxa"/>
            </w:tcMar>
            <w:vAlign w:val="center"/>
          </w:tcPr>
          <w:p w14:paraId="1F472586" w14:textId="616B611A" w:rsidR="5EA2571D" w:rsidRDefault="6FE7A0B3" w:rsidP="00A50F66">
            <w:pPr>
              <w:jc w:val="center"/>
              <w:rPr>
                <w:rFonts w:eastAsia="Calibri" w:cs="Arial"/>
              </w:rPr>
            </w:pPr>
            <w:r w:rsidRPr="5BF228E7">
              <w:rPr>
                <w:rFonts w:eastAsia="Calibri" w:cs="Arial"/>
              </w:rPr>
              <w:t xml:space="preserve">State </w:t>
            </w:r>
            <w:r w:rsidR="343198C9" w:rsidRPr="5BF228E7">
              <w:rPr>
                <w:rFonts w:eastAsia="Calibri" w:cs="Arial"/>
              </w:rPr>
              <w:t xml:space="preserve">scale score </w:t>
            </w:r>
            <w:r w:rsidR="223F6065" w:rsidRPr="5BF228E7">
              <w:rPr>
                <w:rFonts w:eastAsia="Calibri" w:cs="Arial"/>
              </w:rPr>
              <w:t xml:space="preserve">average </w:t>
            </w:r>
            <w:r w:rsidRPr="5BF228E7">
              <w:rPr>
                <w:rFonts w:eastAsia="Calibri" w:cs="Arial"/>
              </w:rPr>
              <w:t>only</w:t>
            </w:r>
          </w:p>
        </w:tc>
        <w:tc>
          <w:tcPr>
            <w:tcW w:w="1623" w:type="dxa"/>
            <w:tcMar>
              <w:top w:w="43" w:type="dxa"/>
              <w:left w:w="72" w:type="dxa"/>
              <w:bottom w:w="43" w:type="dxa"/>
              <w:right w:w="72" w:type="dxa"/>
            </w:tcMar>
            <w:vAlign w:val="center"/>
          </w:tcPr>
          <w:p w14:paraId="2144E491" w14:textId="4EC08880" w:rsidR="5EA2571D" w:rsidRDefault="5EA2571D" w:rsidP="00A50F66">
            <w:pPr>
              <w:jc w:val="center"/>
              <w:rPr>
                <w:rFonts w:eastAsia="Calibri" w:cs="Arial"/>
              </w:rPr>
            </w:pPr>
            <w:r w:rsidRPr="5EA2571D">
              <w:rPr>
                <w:rFonts w:eastAsia="Calibri" w:cs="Arial"/>
              </w:rPr>
              <w:t xml:space="preserve">Grades </w:t>
            </w:r>
            <w:r w:rsidR="00312DB4">
              <w:rPr>
                <w:rFonts w:eastAsia="Calibri" w:cs="Arial"/>
              </w:rPr>
              <w:t>4–8</w:t>
            </w:r>
          </w:p>
        </w:tc>
        <w:tc>
          <w:tcPr>
            <w:tcW w:w="2275" w:type="dxa"/>
            <w:tcMar>
              <w:top w:w="43" w:type="dxa"/>
              <w:left w:w="72" w:type="dxa"/>
              <w:bottom w:w="43" w:type="dxa"/>
              <w:right w:w="72" w:type="dxa"/>
            </w:tcMar>
            <w:vAlign w:val="center"/>
          </w:tcPr>
          <w:p w14:paraId="1BE20A64" w14:textId="2286EAF1" w:rsidR="5EA2571D" w:rsidRDefault="5EA2571D" w:rsidP="00A50F66">
            <w:pPr>
              <w:jc w:val="center"/>
              <w:rPr>
                <w:rFonts w:eastAsia="Calibri" w:cs="Arial"/>
              </w:rPr>
            </w:pPr>
            <w:r w:rsidRPr="5EA2571D">
              <w:rPr>
                <w:rFonts w:eastAsia="Calibri" w:cs="Arial"/>
              </w:rPr>
              <w:t>N/</w:t>
            </w:r>
            <w:r w:rsidR="47BB0215" w:rsidRPr="7CDEF45F">
              <w:rPr>
                <w:rFonts w:eastAsia="Calibri" w:cs="Arial"/>
              </w:rPr>
              <w:t>A</w:t>
            </w:r>
            <w:r w:rsidR="008822A0">
              <w:rPr>
                <w:rStyle w:val="FootnoteReference"/>
                <w:rFonts w:eastAsia="Calibri" w:cs="Arial"/>
              </w:rPr>
              <w:footnoteReference w:id="2"/>
            </w:r>
          </w:p>
        </w:tc>
      </w:tr>
      <w:tr w:rsidR="008C3AB6" w14:paraId="21370FBD" w14:textId="77777777" w:rsidTr="00A47CE3">
        <w:trPr>
          <w:trHeight w:val="300"/>
          <w:jc w:val="center"/>
        </w:trPr>
        <w:tc>
          <w:tcPr>
            <w:tcW w:w="2965" w:type="dxa"/>
            <w:shd w:val="clear" w:color="auto" w:fill="F2F2F2" w:themeFill="background1" w:themeFillShade="F2"/>
            <w:tcMar>
              <w:top w:w="43" w:type="dxa"/>
              <w:left w:w="72" w:type="dxa"/>
              <w:bottom w:w="43" w:type="dxa"/>
              <w:right w:w="72" w:type="dxa"/>
            </w:tcMar>
            <w:vAlign w:val="center"/>
          </w:tcPr>
          <w:p w14:paraId="54DA753F" w14:textId="670A2A89" w:rsidR="5EA2571D" w:rsidRDefault="5EA2571D" w:rsidP="00A50F66">
            <w:pPr>
              <w:rPr>
                <w:rFonts w:eastAsia="Calibri" w:cs="Arial"/>
                <w:b/>
                <w:bCs/>
              </w:rPr>
            </w:pPr>
            <w:r w:rsidRPr="5EA2571D">
              <w:rPr>
                <w:rFonts w:eastAsia="Calibri" w:cs="Arial"/>
                <w:b/>
                <w:bCs/>
              </w:rPr>
              <w:t>California Science Test</w:t>
            </w:r>
            <w:r w:rsidR="003F0449">
              <w:rPr>
                <w:rFonts w:eastAsia="Calibri" w:cs="Arial"/>
                <w:b/>
                <w:bCs/>
              </w:rPr>
              <w:t xml:space="preserve"> (CAST)</w:t>
            </w:r>
          </w:p>
        </w:tc>
        <w:tc>
          <w:tcPr>
            <w:tcW w:w="2487" w:type="dxa"/>
            <w:shd w:val="clear" w:color="auto" w:fill="F2F2F2" w:themeFill="background1" w:themeFillShade="F2"/>
            <w:tcMar>
              <w:top w:w="43" w:type="dxa"/>
              <w:left w:w="72" w:type="dxa"/>
              <w:bottom w:w="43" w:type="dxa"/>
              <w:right w:w="72" w:type="dxa"/>
            </w:tcMar>
            <w:vAlign w:val="center"/>
          </w:tcPr>
          <w:p w14:paraId="6E338664" w14:textId="52B05740" w:rsidR="5EA2571D" w:rsidRDefault="1FC360B9" w:rsidP="00A50F66">
            <w:pPr>
              <w:jc w:val="center"/>
              <w:rPr>
                <w:rFonts w:eastAsia="Calibri" w:cs="Arial"/>
              </w:rPr>
            </w:pPr>
            <w:r w:rsidRPr="5BF228E7">
              <w:rPr>
                <w:rFonts w:eastAsia="Calibri" w:cs="Arial"/>
              </w:rPr>
              <w:t>School and state scale score averages</w:t>
            </w:r>
          </w:p>
        </w:tc>
        <w:tc>
          <w:tcPr>
            <w:tcW w:w="1623" w:type="dxa"/>
            <w:shd w:val="clear" w:color="auto" w:fill="F2F2F2" w:themeFill="background1" w:themeFillShade="F2"/>
            <w:tcMar>
              <w:top w:w="43" w:type="dxa"/>
              <w:left w:w="72" w:type="dxa"/>
              <w:bottom w:w="43" w:type="dxa"/>
              <w:right w:w="72" w:type="dxa"/>
            </w:tcMar>
            <w:vAlign w:val="center"/>
          </w:tcPr>
          <w:p w14:paraId="2D4985FD" w14:textId="44D82532" w:rsidR="5EA2571D" w:rsidRDefault="5EA2571D" w:rsidP="00A50F66">
            <w:pPr>
              <w:jc w:val="center"/>
              <w:rPr>
                <w:rFonts w:eastAsia="Calibri" w:cs="Arial"/>
              </w:rPr>
            </w:pPr>
            <w:r w:rsidRPr="5EA2571D">
              <w:rPr>
                <w:rFonts w:eastAsia="Calibri" w:cs="Arial"/>
              </w:rPr>
              <w:t>N/A</w:t>
            </w:r>
          </w:p>
        </w:tc>
        <w:tc>
          <w:tcPr>
            <w:tcW w:w="2275" w:type="dxa"/>
            <w:shd w:val="clear" w:color="auto" w:fill="F2F2F2" w:themeFill="background1" w:themeFillShade="F2"/>
            <w:tcMar>
              <w:top w:w="43" w:type="dxa"/>
              <w:left w:w="72" w:type="dxa"/>
              <w:bottom w:w="43" w:type="dxa"/>
              <w:right w:w="72" w:type="dxa"/>
            </w:tcMar>
            <w:vAlign w:val="center"/>
          </w:tcPr>
          <w:p w14:paraId="29CCC1EE" w14:textId="49D367AC" w:rsidR="5EA2571D" w:rsidRDefault="5EA2571D" w:rsidP="00A50F66">
            <w:pPr>
              <w:jc w:val="center"/>
              <w:rPr>
                <w:rFonts w:eastAsia="Calibri" w:cs="Arial"/>
              </w:rPr>
            </w:pPr>
            <w:r w:rsidRPr="5EA2571D">
              <w:rPr>
                <w:rFonts w:eastAsia="Calibri" w:cs="Arial"/>
              </w:rPr>
              <w:t>N/A</w:t>
            </w:r>
          </w:p>
        </w:tc>
      </w:tr>
      <w:tr w:rsidR="5EA2571D" w14:paraId="2FF51DF6" w14:textId="77777777" w:rsidTr="00A47CE3">
        <w:trPr>
          <w:trHeight w:val="300"/>
          <w:jc w:val="center"/>
        </w:trPr>
        <w:tc>
          <w:tcPr>
            <w:tcW w:w="2965" w:type="dxa"/>
            <w:tcMar>
              <w:top w:w="43" w:type="dxa"/>
              <w:left w:w="72" w:type="dxa"/>
              <w:bottom w:w="43" w:type="dxa"/>
              <w:right w:w="72" w:type="dxa"/>
            </w:tcMar>
            <w:vAlign w:val="center"/>
          </w:tcPr>
          <w:p w14:paraId="4E8AC87E" w14:textId="6EFB58A7" w:rsidR="5EA2571D" w:rsidRDefault="5EA2571D" w:rsidP="00A50F66">
            <w:pPr>
              <w:rPr>
                <w:rFonts w:eastAsia="Calibri" w:cs="Arial"/>
                <w:b/>
                <w:bCs/>
              </w:rPr>
            </w:pPr>
            <w:r w:rsidRPr="5EA2571D">
              <w:rPr>
                <w:rFonts w:eastAsia="Calibri" w:cs="Arial"/>
                <w:b/>
                <w:bCs/>
              </w:rPr>
              <w:t>CAA for Science</w:t>
            </w:r>
          </w:p>
        </w:tc>
        <w:tc>
          <w:tcPr>
            <w:tcW w:w="2487" w:type="dxa"/>
            <w:tcMar>
              <w:top w:w="43" w:type="dxa"/>
              <w:left w:w="72" w:type="dxa"/>
              <w:bottom w:w="43" w:type="dxa"/>
              <w:right w:w="72" w:type="dxa"/>
            </w:tcMar>
            <w:vAlign w:val="center"/>
          </w:tcPr>
          <w:p w14:paraId="5FEC62B4" w14:textId="69B0C4CD" w:rsidR="5EA2571D" w:rsidRDefault="49CD0196" w:rsidP="00A50F66">
            <w:pPr>
              <w:jc w:val="center"/>
              <w:rPr>
                <w:rFonts w:eastAsia="Calibri" w:cs="Arial"/>
              </w:rPr>
            </w:pPr>
            <w:r w:rsidRPr="5BF228E7">
              <w:rPr>
                <w:rFonts w:eastAsia="Calibri" w:cs="Arial"/>
              </w:rPr>
              <w:t>State scale score average only</w:t>
            </w:r>
          </w:p>
        </w:tc>
        <w:tc>
          <w:tcPr>
            <w:tcW w:w="1623" w:type="dxa"/>
            <w:tcMar>
              <w:top w:w="43" w:type="dxa"/>
              <w:left w:w="72" w:type="dxa"/>
              <w:bottom w:w="43" w:type="dxa"/>
              <w:right w:w="72" w:type="dxa"/>
            </w:tcMar>
            <w:vAlign w:val="center"/>
          </w:tcPr>
          <w:p w14:paraId="34EC9617" w14:textId="4FD84219" w:rsidR="5EA2571D" w:rsidRDefault="5EA2571D" w:rsidP="00A50F66">
            <w:pPr>
              <w:jc w:val="center"/>
              <w:rPr>
                <w:rFonts w:eastAsia="Calibri" w:cs="Arial"/>
              </w:rPr>
            </w:pPr>
            <w:r w:rsidRPr="5EA2571D">
              <w:rPr>
                <w:rFonts w:eastAsia="Calibri" w:cs="Arial"/>
              </w:rPr>
              <w:t>N/A</w:t>
            </w:r>
          </w:p>
        </w:tc>
        <w:tc>
          <w:tcPr>
            <w:tcW w:w="2275" w:type="dxa"/>
            <w:tcMar>
              <w:top w:w="43" w:type="dxa"/>
              <w:left w:w="72" w:type="dxa"/>
              <w:bottom w:w="43" w:type="dxa"/>
              <w:right w:w="72" w:type="dxa"/>
            </w:tcMar>
            <w:vAlign w:val="center"/>
          </w:tcPr>
          <w:p w14:paraId="703AEFCE" w14:textId="7D2526B9" w:rsidR="5EA2571D" w:rsidRDefault="5EA2571D" w:rsidP="00A50F66">
            <w:pPr>
              <w:jc w:val="center"/>
              <w:rPr>
                <w:rFonts w:eastAsia="Calibri" w:cs="Arial"/>
              </w:rPr>
            </w:pPr>
            <w:r w:rsidRPr="5EA2571D">
              <w:rPr>
                <w:rFonts w:eastAsia="Calibri" w:cs="Arial"/>
              </w:rPr>
              <w:t>N/A</w:t>
            </w:r>
          </w:p>
        </w:tc>
      </w:tr>
      <w:tr w:rsidR="008C3AB6" w14:paraId="72BF8A70" w14:textId="77777777" w:rsidTr="00A47CE3">
        <w:trPr>
          <w:trHeight w:val="300"/>
          <w:jc w:val="center"/>
        </w:trPr>
        <w:tc>
          <w:tcPr>
            <w:tcW w:w="2965" w:type="dxa"/>
            <w:shd w:val="clear" w:color="auto" w:fill="F2F2F2" w:themeFill="background1" w:themeFillShade="F2"/>
            <w:tcMar>
              <w:top w:w="43" w:type="dxa"/>
              <w:left w:w="72" w:type="dxa"/>
              <w:bottom w:w="43" w:type="dxa"/>
              <w:right w:w="72" w:type="dxa"/>
            </w:tcMar>
            <w:vAlign w:val="center"/>
          </w:tcPr>
          <w:p w14:paraId="4DADC900" w14:textId="7FA2018B" w:rsidR="5EA2571D" w:rsidRDefault="00AA1927" w:rsidP="00A50F66">
            <w:pPr>
              <w:rPr>
                <w:rFonts w:eastAsia="Calibri" w:cs="Arial"/>
                <w:b/>
                <w:bCs/>
              </w:rPr>
            </w:pPr>
            <w:r>
              <w:rPr>
                <w:rFonts w:eastAsia="Calibri" w:cs="Arial"/>
                <w:b/>
                <w:bCs/>
              </w:rPr>
              <w:t>CSA</w:t>
            </w:r>
          </w:p>
        </w:tc>
        <w:tc>
          <w:tcPr>
            <w:tcW w:w="2487" w:type="dxa"/>
            <w:shd w:val="clear" w:color="auto" w:fill="F2F2F2" w:themeFill="background1" w:themeFillShade="F2"/>
            <w:tcMar>
              <w:top w:w="43" w:type="dxa"/>
              <w:left w:w="72" w:type="dxa"/>
              <w:bottom w:w="43" w:type="dxa"/>
              <w:right w:w="72" w:type="dxa"/>
            </w:tcMar>
            <w:vAlign w:val="center"/>
          </w:tcPr>
          <w:p w14:paraId="4F418BD6" w14:textId="2FC25B7C" w:rsidR="5EA2571D" w:rsidRDefault="5EA2571D" w:rsidP="00A50F66">
            <w:pPr>
              <w:jc w:val="center"/>
              <w:rPr>
                <w:rFonts w:eastAsia="Calibri" w:cs="Arial"/>
              </w:rPr>
            </w:pPr>
            <w:r w:rsidRPr="5EA2571D">
              <w:rPr>
                <w:rFonts w:eastAsia="Calibri" w:cs="Arial"/>
              </w:rPr>
              <w:t>N/A</w:t>
            </w:r>
          </w:p>
        </w:tc>
        <w:tc>
          <w:tcPr>
            <w:tcW w:w="1623" w:type="dxa"/>
            <w:shd w:val="clear" w:color="auto" w:fill="F2F2F2" w:themeFill="background1" w:themeFillShade="F2"/>
            <w:tcMar>
              <w:top w:w="43" w:type="dxa"/>
              <w:left w:w="72" w:type="dxa"/>
              <w:bottom w:w="43" w:type="dxa"/>
              <w:right w:w="72" w:type="dxa"/>
            </w:tcMar>
            <w:vAlign w:val="center"/>
          </w:tcPr>
          <w:p w14:paraId="65541BC4" w14:textId="1FE5CDCD" w:rsidR="5EA2571D" w:rsidRDefault="5EA2571D" w:rsidP="00A50F66">
            <w:pPr>
              <w:jc w:val="center"/>
              <w:rPr>
                <w:rFonts w:eastAsia="Calibri" w:cs="Arial"/>
              </w:rPr>
            </w:pPr>
            <w:r w:rsidRPr="5EA2571D">
              <w:rPr>
                <w:rFonts w:eastAsia="Calibri" w:cs="Arial"/>
              </w:rPr>
              <w:t xml:space="preserve">Grades </w:t>
            </w:r>
            <w:r w:rsidR="00312DB4">
              <w:rPr>
                <w:rFonts w:eastAsia="Calibri" w:cs="Arial"/>
              </w:rPr>
              <w:t>4–8</w:t>
            </w:r>
          </w:p>
        </w:tc>
        <w:tc>
          <w:tcPr>
            <w:tcW w:w="2275" w:type="dxa"/>
            <w:shd w:val="clear" w:color="auto" w:fill="F2F2F2" w:themeFill="background1" w:themeFillShade="F2"/>
            <w:tcMar>
              <w:top w:w="43" w:type="dxa"/>
              <w:left w:w="72" w:type="dxa"/>
              <w:bottom w:w="43" w:type="dxa"/>
              <w:right w:w="72" w:type="dxa"/>
            </w:tcMar>
            <w:vAlign w:val="center"/>
          </w:tcPr>
          <w:p w14:paraId="6B18ADBB" w14:textId="7FD8C6BE" w:rsidR="5EA2571D" w:rsidRDefault="5EA2571D" w:rsidP="00A50F66">
            <w:pPr>
              <w:jc w:val="center"/>
              <w:rPr>
                <w:rFonts w:eastAsia="Calibri" w:cs="Arial"/>
              </w:rPr>
            </w:pPr>
            <w:r w:rsidRPr="5EA2571D">
              <w:rPr>
                <w:rFonts w:eastAsia="Calibri" w:cs="Arial"/>
              </w:rPr>
              <w:t>N/A</w:t>
            </w:r>
          </w:p>
        </w:tc>
      </w:tr>
      <w:tr w:rsidR="5EA2571D" w14:paraId="1B5B39BE" w14:textId="77777777" w:rsidTr="00A47CE3">
        <w:trPr>
          <w:trHeight w:val="300"/>
          <w:jc w:val="center"/>
        </w:trPr>
        <w:tc>
          <w:tcPr>
            <w:tcW w:w="2965" w:type="dxa"/>
            <w:tcMar>
              <w:top w:w="43" w:type="dxa"/>
              <w:left w:w="72" w:type="dxa"/>
              <w:bottom w:w="43" w:type="dxa"/>
              <w:right w:w="72" w:type="dxa"/>
            </w:tcMar>
            <w:vAlign w:val="center"/>
          </w:tcPr>
          <w:p w14:paraId="369D1A23" w14:textId="0E1C21C6" w:rsidR="5EA2571D" w:rsidRDefault="5EA2571D" w:rsidP="00A50F66">
            <w:pPr>
              <w:rPr>
                <w:rFonts w:eastAsia="Calibri" w:cs="Arial"/>
                <w:b/>
                <w:bCs/>
              </w:rPr>
            </w:pPr>
            <w:r w:rsidRPr="5EA2571D">
              <w:rPr>
                <w:rFonts w:eastAsia="Calibri" w:cs="Arial"/>
                <w:b/>
                <w:bCs/>
              </w:rPr>
              <w:t>Summative ELPAC</w:t>
            </w:r>
          </w:p>
        </w:tc>
        <w:tc>
          <w:tcPr>
            <w:tcW w:w="2487" w:type="dxa"/>
            <w:tcMar>
              <w:top w:w="43" w:type="dxa"/>
              <w:left w:w="72" w:type="dxa"/>
              <w:bottom w:w="43" w:type="dxa"/>
              <w:right w:w="72" w:type="dxa"/>
            </w:tcMar>
            <w:vAlign w:val="center"/>
          </w:tcPr>
          <w:p w14:paraId="1CE1C65A" w14:textId="5E403C5E" w:rsidR="5EA2571D" w:rsidRDefault="7E2DE358" w:rsidP="00A50F66">
            <w:pPr>
              <w:jc w:val="center"/>
              <w:rPr>
                <w:rFonts w:eastAsia="Calibri"/>
              </w:rPr>
            </w:pPr>
            <w:r w:rsidRPr="5BF228E7">
              <w:rPr>
                <w:rFonts w:eastAsia="Calibri"/>
              </w:rPr>
              <w:t>N/A</w:t>
            </w:r>
          </w:p>
        </w:tc>
        <w:tc>
          <w:tcPr>
            <w:tcW w:w="1623" w:type="dxa"/>
            <w:tcMar>
              <w:top w:w="43" w:type="dxa"/>
              <w:left w:w="72" w:type="dxa"/>
              <w:bottom w:w="43" w:type="dxa"/>
              <w:right w:w="72" w:type="dxa"/>
            </w:tcMar>
            <w:vAlign w:val="center"/>
          </w:tcPr>
          <w:p w14:paraId="45C5EA42" w14:textId="46C7729B" w:rsidR="5EA2571D" w:rsidRDefault="45723CB0" w:rsidP="00A50F66">
            <w:pPr>
              <w:jc w:val="center"/>
              <w:rPr>
                <w:rFonts w:eastAsia="Calibri" w:cs="Arial"/>
              </w:rPr>
            </w:pPr>
            <w:r w:rsidRPr="5BF228E7">
              <w:rPr>
                <w:rFonts w:eastAsia="Calibri" w:cs="Arial"/>
              </w:rPr>
              <w:t>K–</w:t>
            </w:r>
            <w:r w:rsidR="258E0BA3" w:rsidRPr="7CDEF45F">
              <w:rPr>
                <w:rFonts w:eastAsia="Calibri" w:cs="Arial"/>
              </w:rPr>
              <w:t>12</w:t>
            </w:r>
            <w:r w:rsidR="00964781">
              <w:rPr>
                <w:rStyle w:val="FootnoteReference"/>
                <w:rFonts w:eastAsia="Calibri" w:cs="Arial"/>
              </w:rPr>
              <w:footnoteReference w:id="3"/>
            </w:r>
          </w:p>
        </w:tc>
        <w:tc>
          <w:tcPr>
            <w:tcW w:w="2275" w:type="dxa"/>
            <w:tcMar>
              <w:top w:w="43" w:type="dxa"/>
              <w:left w:w="72" w:type="dxa"/>
              <w:bottom w:w="43" w:type="dxa"/>
              <w:right w:w="72" w:type="dxa"/>
            </w:tcMar>
            <w:vAlign w:val="center"/>
          </w:tcPr>
          <w:p w14:paraId="644840EE" w14:textId="7A0B7E1D" w:rsidR="5EA2571D" w:rsidRDefault="5EA2571D" w:rsidP="00A50F66">
            <w:pPr>
              <w:jc w:val="center"/>
              <w:rPr>
                <w:rFonts w:eastAsia="Calibri" w:cs="Arial"/>
              </w:rPr>
            </w:pPr>
            <w:r w:rsidRPr="5EA2571D">
              <w:rPr>
                <w:rFonts w:eastAsia="Calibri"/>
              </w:rPr>
              <w:t>N/A</w:t>
            </w:r>
          </w:p>
        </w:tc>
      </w:tr>
      <w:tr w:rsidR="008C3AB6" w14:paraId="545A8CB0" w14:textId="77777777" w:rsidTr="00A47CE3">
        <w:trPr>
          <w:trHeight w:val="300"/>
          <w:jc w:val="center"/>
        </w:trPr>
        <w:tc>
          <w:tcPr>
            <w:tcW w:w="2965" w:type="dxa"/>
            <w:shd w:val="clear" w:color="auto" w:fill="F2F2F2" w:themeFill="background1" w:themeFillShade="F2"/>
            <w:tcMar>
              <w:top w:w="43" w:type="dxa"/>
              <w:left w:w="72" w:type="dxa"/>
              <w:bottom w:w="43" w:type="dxa"/>
              <w:right w:w="72" w:type="dxa"/>
            </w:tcMar>
            <w:vAlign w:val="center"/>
          </w:tcPr>
          <w:p w14:paraId="0334CA3A" w14:textId="0CBC4C4D" w:rsidR="5EA2571D" w:rsidRDefault="5EA2571D" w:rsidP="00A50F66">
            <w:pPr>
              <w:rPr>
                <w:rFonts w:eastAsia="Calibri" w:cs="Arial"/>
                <w:b/>
                <w:bCs/>
              </w:rPr>
            </w:pPr>
            <w:r w:rsidRPr="5EA2571D">
              <w:rPr>
                <w:rFonts w:eastAsia="Calibri" w:cs="Arial"/>
                <w:b/>
                <w:bCs/>
              </w:rPr>
              <w:t>Summative Alternate ELPAC</w:t>
            </w:r>
          </w:p>
        </w:tc>
        <w:tc>
          <w:tcPr>
            <w:tcW w:w="2487" w:type="dxa"/>
            <w:shd w:val="clear" w:color="auto" w:fill="F2F2F2" w:themeFill="background1" w:themeFillShade="F2"/>
            <w:tcMar>
              <w:top w:w="43" w:type="dxa"/>
              <w:left w:w="72" w:type="dxa"/>
              <w:bottom w:w="43" w:type="dxa"/>
              <w:right w:w="72" w:type="dxa"/>
            </w:tcMar>
            <w:vAlign w:val="center"/>
          </w:tcPr>
          <w:p w14:paraId="53133321" w14:textId="6E1E00ED" w:rsidR="5EA2571D" w:rsidRDefault="12A4B14B" w:rsidP="00A50F66">
            <w:pPr>
              <w:jc w:val="center"/>
              <w:rPr>
                <w:rFonts w:eastAsia="Calibri"/>
              </w:rPr>
            </w:pPr>
            <w:r w:rsidRPr="5BF228E7">
              <w:rPr>
                <w:rFonts w:eastAsia="Calibri"/>
              </w:rPr>
              <w:t>N/A</w:t>
            </w:r>
          </w:p>
        </w:tc>
        <w:tc>
          <w:tcPr>
            <w:tcW w:w="1623" w:type="dxa"/>
            <w:shd w:val="clear" w:color="auto" w:fill="F2F2F2" w:themeFill="background1" w:themeFillShade="F2"/>
            <w:tcMar>
              <w:top w:w="43" w:type="dxa"/>
              <w:left w:w="72" w:type="dxa"/>
              <w:bottom w:w="43" w:type="dxa"/>
              <w:right w:w="72" w:type="dxa"/>
            </w:tcMar>
            <w:vAlign w:val="center"/>
          </w:tcPr>
          <w:p w14:paraId="35CD44E8" w14:textId="6627F5FF" w:rsidR="5EA2571D" w:rsidRDefault="02E04BD6" w:rsidP="00A50F66">
            <w:pPr>
              <w:jc w:val="center"/>
              <w:rPr>
                <w:rFonts w:eastAsia="Calibri"/>
              </w:rPr>
            </w:pPr>
            <w:r w:rsidRPr="5BF228E7">
              <w:rPr>
                <w:rFonts w:eastAsia="Calibri" w:cs="Arial"/>
              </w:rPr>
              <w:t>K–12</w:t>
            </w:r>
          </w:p>
        </w:tc>
        <w:tc>
          <w:tcPr>
            <w:tcW w:w="2275" w:type="dxa"/>
            <w:shd w:val="clear" w:color="auto" w:fill="F2F2F2" w:themeFill="background1" w:themeFillShade="F2"/>
            <w:tcMar>
              <w:top w:w="43" w:type="dxa"/>
              <w:left w:w="72" w:type="dxa"/>
              <w:bottom w:w="43" w:type="dxa"/>
              <w:right w:w="72" w:type="dxa"/>
            </w:tcMar>
            <w:vAlign w:val="center"/>
          </w:tcPr>
          <w:p w14:paraId="100305CA" w14:textId="4BFD89CF" w:rsidR="5EA2571D" w:rsidRDefault="5EA2571D" w:rsidP="00A50F66">
            <w:pPr>
              <w:jc w:val="center"/>
              <w:rPr>
                <w:rFonts w:eastAsia="Calibri"/>
              </w:rPr>
            </w:pPr>
            <w:r w:rsidRPr="5EA2571D">
              <w:rPr>
                <w:rFonts w:eastAsia="Calibri"/>
              </w:rPr>
              <w:t>N/A</w:t>
            </w:r>
          </w:p>
        </w:tc>
      </w:tr>
      <w:tr w:rsidR="5EA2571D" w14:paraId="22C52DBC" w14:textId="77777777" w:rsidTr="00A47CE3">
        <w:trPr>
          <w:trHeight w:val="300"/>
          <w:jc w:val="center"/>
        </w:trPr>
        <w:tc>
          <w:tcPr>
            <w:tcW w:w="2965" w:type="dxa"/>
            <w:tcMar>
              <w:top w:w="43" w:type="dxa"/>
              <w:left w:w="72" w:type="dxa"/>
              <w:bottom w:w="43" w:type="dxa"/>
              <w:right w:w="72" w:type="dxa"/>
            </w:tcMar>
            <w:vAlign w:val="center"/>
          </w:tcPr>
          <w:p w14:paraId="5AA91641" w14:textId="6022EF5A" w:rsidR="5EA2571D" w:rsidRDefault="5EA2571D" w:rsidP="00A50F66">
            <w:pPr>
              <w:rPr>
                <w:rFonts w:eastAsia="Calibri" w:cs="Arial"/>
                <w:b/>
                <w:bCs/>
              </w:rPr>
            </w:pPr>
            <w:r w:rsidRPr="5EA2571D">
              <w:rPr>
                <w:rFonts w:eastAsia="Calibri" w:cs="Arial"/>
                <w:b/>
                <w:bCs/>
              </w:rPr>
              <w:t>Initial ELPAC</w:t>
            </w:r>
          </w:p>
        </w:tc>
        <w:tc>
          <w:tcPr>
            <w:tcW w:w="2487" w:type="dxa"/>
            <w:tcMar>
              <w:top w:w="43" w:type="dxa"/>
              <w:left w:w="72" w:type="dxa"/>
              <w:bottom w:w="43" w:type="dxa"/>
              <w:right w:w="72" w:type="dxa"/>
            </w:tcMar>
            <w:vAlign w:val="center"/>
          </w:tcPr>
          <w:p w14:paraId="64D934E5" w14:textId="39EE95A2" w:rsidR="5EA2571D" w:rsidRDefault="43C56D9C" w:rsidP="00A50F66">
            <w:pPr>
              <w:jc w:val="center"/>
              <w:rPr>
                <w:rFonts w:eastAsia="Calibri"/>
              </w:rPr>
            </w:pPr>
            <w:r w:rsidRPr="5BF228E7">
              <w:rPr>
                <w:rFonts w:eastAsia="Calibri"/>
              </w:rPr>
              <w:t>N/A</w:t>
            </w:r>
          </w:p>
        </w:tc>
        <w:tc>
          <w:tcPr>
            <w:tcW w:w="1623" w:type="dxa"/>
            <w:tcMar>
              <w:top w:w="43" w:type="dxa"/>
              <w:left w:w="72" w:type="dxa"/>
              <w:bottom w:w="43" w:type="dxa"/>
              <w:right w:w="72" w:type="dxa"/>
            </w:tcMar>
            <w:vAlign w:val="center"/>
          </w:tcPr>
          <w:p w14:paraId="3E054E21" w14:textId="424D9D1F" w:rsidR="5EA2571D" w:rsidRDefault="5EA2571D" w:rsidP="00A50F66">
            <w:pPr>
              <w:jc w:val="center"/>
              <w:rPr>
                <w:rFonts w:eastAsia="Calibri"/>
              </w:rPr>
            </w:pPr>
            <w:r w:rsidRPr="5EA2571D">
              <w:rPr>
                <w:rFonts w:eastAsia="Calibri"/>
              </w:rPr>
              <w:t>N/A</w:t>
            </w:r>
          </w:p>
        </w:tc>
        <w:tc>
          <w:tcPr>
            <w:tcW w:w="2275" w:type="dxa"/>
            <w:tcMar>
              <w:top w:w="43" w:type="dxa"/>
              <w:left w:w="72" w:type="dxa"/>
              <w:bottom w:w="43" w:type="dxa"/>
              <w:right w:w="72" w:type="dxa"/>
            </w:tcMar>
            <w:vAlign w:val="center"/>
          </w:tcPr>
          <w:p w14:paraId="3A279BA2" w14:textId="07924575" w:rsidR="5EA2571D" w:rsidRDefault="5EA2571D" w:rsidP="00A50F66">
            <w:pPr>
              <w:jc w:val="center"/>
              <w:rPr>
                <w:rFonts w:eastAsia="Calibri" w:cs="Arial"/>
              </w:rPr>
            </w:pPr>
            <w:r w:rsidRPr="5EA2571D">
              <w:rPr>
                <w:rFonts w:eastAsia="Calibri"/>
              </w:rPr>
              <w:t>N/A</w:t>
            </w:r>
          </w:p>
        </w:tc>
      </w:tr>
      <w:tr w:rsidR="008C3AB6" w14:paraId="4DB123AD" w14:textId="77777777" w:rsidTr="00A47CE3">
        <w:trPr>
          <w:trHeight w:val="300"/>
          <w:jc w:val="center"/>
        </w:trPr>
        <w:tc>
          <w:tcPr>
            <w:tcW w:w="2965" w:type="dxa"/>
            <w:shd w:val="clear" w:color="auto" w:fill="F2F2F2" w:themeFill="background1" w:themeFillShade="F2"/>
            <w:tcMar>
              <w:top w:w="43" w:type="dxa"/>
              <w:left w:w="72" w:type="dxa"/>
              <w:bottom w:w="43" w:type="dxa"/>
              <w:right w:w="72" w:type="dxa"/>
            </w:tcMar>
            <w:vAlign w:val="center"/>
          </w:tcPr>
          <w:p w14:paraId="0D304C9D" w14:textId="1D27AB4B" w:rsidR="5EA2571D" w:rsidRDefault="5EA2571D" w:rsidP="00A50F66">
            <w:pPr>
              <w:rPr>
                <w:rFonts w:eastAsia="Calibri" w:cs="Arial"/>
                <w:b/>
                <w:bCs/>
              </w:rPr>
            </w:pPr>
            <w:r w:rsidRPr="5EA2571D">
              <w:rPr>
                <w:rFonts w:eastAsia="Calibri" w:cs="Arial"/>
                <w:b/>
                <w:bCs/>
              </w:rPr>
              <w:t>Initial Alternate ELPAC</w:t>
            </w:r>
          </w:p>
        </w:tc>
        <w:tc>
          <w:tcPr>
            <w:tcW w:w="2487" w:type="dxa"/>
            <w:shd w:val="clear" w:color="auto" w:fill="F2F2F2" w:themeFill="background1" w:themeFillShade="F2"/>
            <w:tcMar>
              <w:top w:w="43" w:type="dxa"/>
              <w:left w:w="72" w:type="dxa"/>
              <w:bottom w:w="43" w:type="dxa"/>
              <w:right w:w="72" w:type="dxa"/>
            </w:tcMar>
            <w:vAlign w:val="center"/>
          </w:tcPr>
          <w:p w14:paraId="0DA4B42D" w14:textId="4AB08958" w:rsidR="5EA2571D" w:rsidRDefault="306E9104" w:rsidP="00A50F66">
            <w:pPr>
              <w:jc w:val="center"/>
              <w:rPr>
                <w:rFonts w:eastAsia="Calibri"/>
              </w:rPr>
            </w:pPr>
            <w:r w:rsidRPr="276C9930">
              <w:rPr>
                <w:rFonts w:eastAsia="Calibri"/>
              </w:rPr>
              <w:t>N/A</w:t>
            </w:r>
          </w:p>
        </w:tc>
        <w:tc>
          <w:tcPr>
            <w:tcW w:w="1623" w:type="dxa"/>
            <w:shd w:val="clear" w:color="auto" w:fill="F2F2F2" w:themeFill="background1" w:themeFillShade="F2"/>
            <w:tcMar>
              <w:top w:w="43" w:type="dxa"/>
              <w:left w:w="72" w:type="dxa"/>
              <w:bottom w:w="43" w:type="dxa"/>
              <w:right w:w="72" w:type="dxa"/>
            </w:tcMar>
            <w:vAlign w:val="center"/>
          </w:tcPr>
          <w:p w14:paraId="482DA336" w14:textId="0C329601" w:rsidR="5EA2571D" w:rsidRDefault="5EA2571D" w:rsidP="00A50F66">
            <w:pPr>
              <w:jc w:val="center"/>
              <w:rPr>
                <w:rFonts w:eastAsia="Calibri"/>
              </w:rPr>
            </w:pPr>
            <w:r w:rsidRPr="5EA2571D">
              <w:rPr>
                <w:rFonts w:eastAsia="Calibri"/>
              </w:rPr>
              <w:t>N/A</w:t>
            </w:r>
          </w:p>
        </w:tc>
        <w:tc>
          <w:tcPr>
            <w:tcW w:w="2275" w:type="dxa"/>
            <w:shd w:val="clear" w:color="auto" w:fill="F2F2F2" w:themeFill="background1" w:themeFillShade="F2"/>
            <w:tcMar>
              <w:top w:w="43" w:type="dxa"/>
              <w:left w:w="72" w:type="dxa"/>
              <w:bottom w:w="43" w:type="dxa"/>
              <w:right w:w="72" w:type="dxa"/>
            </w:tcMar>
            <w:vAlign w:val="center"/>
          </w:tcPr>
          <w:p w14:paraId="5A3E1D04" w14:textId="30CAFF04" w:rsidR="5EA2571D" w:rsidRDefault="5EA2571D" w:rsidP="00A50F66">
            <w:pPr>
              <w:jc w:val="center"/>
              <w:rPr>
                <w:rFonts w:eastAsia="Calibri" w:cs="Arial"/>
              </w:rPr>
            </w:pPr>
            <w:r w:rsidRPr="5EA2571D">
              <w:rPr>
                <w:rFonts w:eastAsia="Calibri"/>
              </w:rPr>
              <w:t>N/A</w:t>
            </w:r>
          </w:p>
        </w:tc>
      </w:tr>
    </w:tbl>
    <w:p w14:paraId="40303A25" w14:textId="70F8C04E" w:rsidR="00AD1346" w:rsidRPr="000158E5" w:rsidRDefault="00AD1346" w:rsidP="002B77BF">
      <w:pPr>
        <w:pStyle w:val="Heading4"/>
        <w:keepNext/>
        <w:keepLines/>
        <w:spacing w:before="480"/>
        <w:rPr>
          <w:sz w:val="28"/>
          <w:szCs w:val="28"/>
        </w:rPr>
      </w:pPr>
      <w:bookmarkStart w:id="0" w:name="_Hlk132882432"/>
      <w:r w:rsidRPr="5BF228E7">
        <w:rPr>
          <w:sz w:val="28"/>
          <w:szCs w:val="28"/>
        </w:rPr>
        <w:lastRenderedPageBreak/>
        <w:t>Student’s Score Comparison with School and State Averages</w:t>
      </w:r>
    </w:p>
    <w:p w14:paraId="29219922" w14:textId="58683947" w:rsidR="00CE6598" w:rsidRDefault="3F51CCF6" w:rsidP="002B77BF">
      <w:pPr>
        <w:keepNext/>
        <w:keepLines/>
        <w:spacing w:before="240" w:after="240"/>
        <w:rPr>
          <w:rFonts w:eastAsia="Calibri" w:cs="Arial"/>
        </w:rPr>
      </w:pPr>
      <w:r w:rsidRPr="00163830">
        <w:rPr>
          <w:rFonts w:eastAsia="Calibri" w:cs="Arial"/>
        </w:rPr>
        <w:t xml:space="preserve">School and state </w:t>
      </w:r>
      <w:r w:rsidR="6FB01AB9" w:rsidRPr="00163830">
        <w:rPr>
          <w:rFonts w:eastAsia="Calibri" w:cs="Arial"/>
        </w:rPr>
        <w:t xml:space="preserve">scale score </w:t>
      </w:r>
      <w:r w:rsidRPr="00163830">
        <w:rPr>
          <w:rFonts w:eastAsia="Calibri" w:cs="Arial"/>
        </w:rPr>
        <w:t xml:space="preserve">averages </w:t>
      </w:r>
      <w:r w:rsidR="6FB01AB9" w:rsidRPr="00163830">
        <w:rPr>
          <w:rFonts w:eastAsia="Calibri" w:cs="Arial"/>
        </w:rPr>
        <w:t xml:space="preserve">were provided on </w:t>
      </w:r>
      <w:r w:rsidR="1AA30F40" w:rsidRPr="00163830">
        <w:rPr>
          <w:rFonts w:eastAsia="Calibri" w:cs="Arial"/>
        </w:rPr>
        <w:t>relevant</w:t>
      </w:r>
      <w:r w:rsidR="4E39B2FB" w:rsidRPr="00163830">
        <w:rPr>
          <w:rFonts w:eastAsia="Calibri" w:cs="Arial"/>
        </w:rPr>
        <w:t xml:space="preserve"> </w:t>
      </w:r>
      <w:r w:rsidR="6FB01AB9" w:rsidRPr="00163830">
        <w:rPr>
          <w:rFonts w:eastAsia="Calibri" w:cs="Arial"/>
        </w:rPr>
        <w:t>SSRs prior to</w:t>
      </w:r>
      <w:r w:rsidR="00CA4BF6" w:rsidRPr="00163830">
        <w:rPr>
          <w:rFonts w:eastAsia="Calibri" w:cs="Arial"/>
        </w:rPr>
        <w:t xml:space="preserve"> </w:t>
      </w:r>
      <w:r w:rsidR="00CA4BF6" w:rsidRPr="00163830">
        <w:rPr>
          <w:rFonts w:eastAsia="Calibri" w:cs="Arial"/>
        </w:rPr>
        <w:br/>
      </w:r>
      <w:r w:rsidR="6FB01AB9" w:rsidRPr="00163830">
        <w:rPr>
          <w:rFonts w:eastAsia="Calibri" w:cs="Arial"/>
        </w:rPr>
        <w:t xml:space="preserve">2019–20. </w:t>
      </w:r>
      <w:r w:rsidR="17802237" w:rsidRPr="00163830">
        <w:rPr>
          <w:rFonts w:eastAsia="Calibri" w:cs="Arial"/>
        </w:rPr>
        <w:t xml:space="preserve">Since </w:t>
      </w:r>
      <w:r w:rsidR="3E8E132B" w:rsidRPr="00163830">
        <w:rPr>
          <w:rFonts w:eastAsia="Calibri" w:cs="Arial"/>
        </w:rPr>
        <w:t>t</w:t>
      </w:r>
      <w:r w:rsidR="59B22D5A" w:rsidRPr="00163830">
        <w:rPr>
          <w:rFonts w:eastAsia="Calibri" w:cs="Arial"/>
        </w:rPr>
        <w:t>he</w:t>
      </w:r>
      <w:r w:rsidR="644111A1" w:rsidRPr="00163830">
        <w:rPr>
          <w:rFonts w:eastAsia="Calibri" w:cs="Arial"/>
        </w:rPr>
        <w:t xml:space="preserve"> CDE releases the </w:t>
      </w:r>
      <w:r w:rsidR="17802237" w:rsidRPr="00163830">
        <w:rPr>
          <w:rFonts w:eastAsia="Calibri" w:cs="Arial"/>
        </w:rPr>
        <w:t>SSRs prior to the end of the statewide testing window</w:t>
      </w:r>
      <w:r w:rsidR="34D47174" w:rsidRPr="00163830">
        <w:rPr>
          <w:rFonts w:eastAsia="Calibri" w:cs="Arial"/>
        </w:rPr>
        <w:t>, t</w:t>
      </w:r>
      <w:r w:rsidR="6FB01AB9" w:rsidRPr="00163830">
        <w:rPr>
          <w:rFonts w:eastAsia="Calibri" w:cs="Arial"/>
        </w:rPr>
        <w:t xml:space="preserve">he school and state scale score averages </w:t>
      </w:r>
      <w:r w:rsidR="17802237" w:rsidRPr="00163830">
        <w:rPr>
          <w:rFonts w:eastAsia="Calibri" w:cs="Arial"/>
        </w:rPr>
        <w:t xml:space="preserve">provided </w:t>
      </w:r>
      <w:r w:rsidR="4302BF62" w:rsidRPr="00163830">
        <w:rPr>
          <w:rFonts w:eastAsia="Calibri" w:cs="Arial"/>
        </w:rPr>
        <w:t>were</w:t>
      </w:r>
      <w:r w:rsidR="0FC4BFF9" w:rsidRPr="00163830">
        <w:rPr>
          <w:rFonts w:eastAsia="Calibri" w:cs="Arial"/>
        </w:rPr>
        <w:t xml:space="preserve"> generated using a</w:t>
      </w:r>
      <w:r w:rsidR="3BADB161" w:rsidRPr="00163830">
        <w:rPr>
          <w:rFonts w:eastAsia="Calibri" w:cs="Arial"/>
        </w:rPr>
        <w:t>n average of the prior three years’ results.</w:t>
      </w:r>
      <w:r w:rsidR="17802237" w:rsidRPr="00163830">
        <w:rPr>
          <w:rFonts w:eastAsia="Calibri" w:cs="Arial"/>
        </w:rPr>
        <w:t xml:space="preserve"> </w:t>
      </w:r>
      <w:r w:rsidR="329C4DAD" w:rsidRPr="00163830">
        <w:rPr>
          <w:rFonts w:eastAsia="Calibri" w:cs="Arial"/>
        </w:rPr>
        <w:t>D</w:t>
      </w:r>
      <w:r w:rsidR="6FB01AB9" w:rsidRPr="00163830">
        <w:rPr>
          <w:rFonts w:eastAsia="Calibri" w:cs="Arial"/>
        </w:rPr>
        <w:t xml:space="preserve">ue to the factors surrounding </w:t>
      </w:r>
      <w:r w:rsidR="4C3739C7" w:rsidRPr="00163830">
        <w:rPr>
          <w:rFonts w:eastAsia="Calibri" w:cs="Arial"/>
        </w:rPr>
        <w:t xml:space="preserve">the </w:t>
      </w:r>
      <w:r w:rsidR="5D1C5770" w:rsidRPr="00163830">
        <w:rPr>
          <w:rFonts w:eastAsia="Calibri" w:cs="Arial"/>
        </w:rPr>
        <w:t>COVID</w:t>
      </w:r>
      <w:r w:rsidR="51BB9F5A" w:rsidRPr="00163830">
        <w:rPr>
          <w:rFonts w:eastAsia="Calibri" w:cs="Arial"/>
        </w:rPr>
        <w:t>-</w:t>
      </w:r>
      <w:r w:rsidR="5D1C5770" w:rsidRPr="00163830">
        <w:rPr>
          <w:rFonts w:eastAsia="Calibri" w:cs="Arial"/>
        </w:rPr>
        <w:t>19</w:t>
      </w:r>
      <w:r w:rsidR="6FB01AB9" w:rsidRPr="00163830">
        <w:rPr>
          <w:rFonts w:eastAsia="Calibri" w:cs="Arial"/>
        </w:rPr>
        <w:t xml:space="preserve"> pandemic</w:t>
      </w:r>
      <w:r w:rsidR="17802237" w:rsidRPr="00163830">
        <w:rPr>
          <w:rFonts w:eastAsia="Calibri" w:cs="Arial"/>
        </w:rPr>
        <w:t>, testing was suspended in 2019–20 and</w:t>
      </w:r>
      <w:r w:rsidR="329C4DAD" w:rsidRPr="00163830">
        <w:rPr>
          <w:rFonts w:eastAsia="Calibri" w:cs="Arial"/>
        </w:rPr>
        <w:t xml:space="preserve"> statewide participation in the </w:t>
      </w:r>
      <w:r w:rsidR="00067B16" w:rsidRPr="00163830">
        <w:rPr>
          <w:rFonts w:eastAsia="Calibri" w:cs="Arial"/>
        </w:rPr>
        <w:br/>
      </w:r>
      <w:r w:rsidR="329C4DAD" w:rsidRPr="00163830">
        <w:rPr>
          <w:rFonts w:eastAsia="Calibri" w:cs="Arial"/>
        </w:rPr>
        <w:t>2020–21 CAASPP administration was low. For this reason, using the</w:t>
      </w:r>
      <w:r w:rsidR="252E9A39" w:rsidRPr="00163830">
        <w:rPr>
          <w:rFonts w:eastAsia="Calibri" w:cs="Arial"/>
        </w:rPr>
        <w:t xml:space="preserve"> school and state scale score averages from these</w:t>
      </w:r>
      <w:r w:rsidR="329C4DAD" w:rsidRPr="00163830">
        <w:rPr>
          <w:rFonts w:eastAsia="Calibri" w:cs="Arial"/>
        </w:rPr>
        <w:t xml:space="preserve"> administration years </w:t>
      </w:r>
      <w:r w:rsidR="4302BF62" w:rsidRPr="00163830">
        <w:rPr>
          <w:rFonts w:eastAsia="Calibri" w:cs="Arial"/>
        </w:rPr>
        <w:t>is</w:t>
      </w:r>
      <w:r w:rsidR="252E9A39" w:rsidRPr="00163830">
        <w:rPr>
          <w:rFonts w:eastAsia="Calibri" w:cs="Arial"/>
        </w:rPr>
        <w:t xml:space="preserve"> not appropriate </w:t>
      </w:r>
      <w:r w:rsidR="6FB84492" w:rsidRPr="00163830">
        <w:rPr>
          <w:rFonts w:eastAsia="Calibri" w:cs="Arial"/>
        </w:rPr>
        <w:t xml:space="preserve">as a reference for student achievement </w:t>
      </w:r>
      <w:r w:rsidR="252E9A39" w:rsidRPr="00163830">
        <w:rPr>
          <w:rFonts w:eastAsia="Calibri" w:cs="Arial"/>
        </w:rPr>
        <w:t xml:space="preserve">and the </w:t>
      </w:r>
      <w:r w:rsidR="2923D8A9" w:rsidRPr="00163830">
        <w:rPr>
          <w:rFonts w:eastAsia="Calibri" w:cs="Arial"/>
        </w:rPr>
        <w:t xml:space="preserve">SBE approved that </w:t>
      </w:r>
      <w:r w:rsidR="252E9A39" w:rsidRPr="00163830">
        <w:rPr>
          <w:rFonts w:eastAsia="Calibri" w:cs="Arial"/>
        </w:rPr>
        <w:t xml:space="preserve">school and state </w:t>
      </w:r>
      <w:r w:rsidR="715A7297" w:rsidRPr="00163830">
        <w:rPr>
          <w:rFonts w:eastAsia="Calibri" w:cs="Arial"/>
        </w:rPr>
        <w:t xml:space="preserve">scale score </w:t>
      </w:r>
      <w:r w:rsidR="252E9A39" w:rsidRPr="00163830">
        <w:rPr>
          <w:rFonts w:eastAsia="Calibri" w:cs="Arial"/>
        </w:rPr>
        <w:t xml:space="preserve">averages </w:t>
      </w:r>
      <w:r w:rsidR="2923D8A9" w:rsidRPr="00163830">
        <w:rPr>
          <w:rFonts w:eastAsia="Calibri" w:cs="Arial"/>
        </w:rPr>
        <w:t>be</w:t>
      </w:r>
      <w:r w:rsidR="252E9A39" w:rsidRPr="00163830">
        <w:rPr>
          <w:rFonts w:eastAsia="Calibri" w:cs="Arial"/>
        </w:rPr>
        <w:t xml:space="preserve"> removed from SSRs for the </w:t>
      </w:r>
      <w:r w:rsidR="3A47E334" w:rsidRPr="00163830">
        <w:rPr>
          <w:rFonts w:eastAsia="Calibri" w:cs="Arial"/>
        </w:rPr>
        <w:t>2020–21, 2021–22, and 2022–23 administrations.</w:t>
      </w:r>
      <w:r w:rsidR="3A47E334" w:rsidRPr="75CC0015">
        <w:rPr>
          <w:rFonts w:eastAsia="Calibri" w:cs="Arial"/>
        </w:rPr>
        <w:t xml:space="preserve"> </w:t>
      </w:r>
    </w:p>
    <w:p w14:paraId="4DF16158" w14:textId="5BBD3D54" w:rsidR="00AD1346" w:rsidRDefault="53C8EC9B" w:rsidP="5BF228E7">
      <w:pPr>
        <w:spacing w:before="240" w:after="240"/>
        <w:rPr>
          <w:rFonts w:eastAsia="Calibri" w:cs="Arial"/>
        </w:rPr>
      </w:pPr>
      <w:r>
        <w:rPr>
          <w:rFonts w:eastAsia="Calibri" w:cs="Arial"/>
        </w:rPr>
        <w:t xml:space="preserve">For ELA, mathematics, and science SSRs, the proposed revisions include </w:t>
      </w:r>
      <w:r w:rsidR="6FEFF830">
        <w:rPr>
          <w:rFonts w:eastAsia="Calibri" w:cs="Arial"/>
        </w:rPr>
        <w:t>the return of school and state scale score averages so that</w:t>
      </w:r>
      <w:r>
        <w:rPr>
          <w:rFonts w:eastAsia="Calibri" w:cs="Arial"/>
        </w:rPr>
        <w:t xml:space="preserve"> parents and guardians </w:t>
      </w:r>
      <w:r w:rsidR="6FEFF830">
        <w:rPr>
          <w:rFonts w:eastAsia="Calibri" w:cs="Arial"/>
        </w:rPr>
        <w:t>can</w:t>
      </w:r>
      <w:r>
        <w:rPr>
          <w:rFonts w:eastAsia="Calibri" w:cs="Arial"/>
        </w:rPr>
        <w:t xml:space="preserve"> compare their student’s scale score against the scale score </w:t>
      </w:r>
      <w:r w:rsidRPr="63428459">
        <w:rPr>
          <w:rFonts w:eastAsia="Calibri" w:cs="Arial"/>
        </w:rPr>
        <w:t xml:space="preserve">average </w:t>
      </w:r>
      <w:r>
        <w:rPr>
          <w:rFonts w:eastAsia="Calibri" w:cs="Arial"/>
        </w:rPr>
        <w:t xml:space="preserve">for the student’s school as well as the scale score </w:t>
      </w:r>
      <w:r w:rsidRPr="63428459">
        <w:rPr>
          <w:rFonts w:eastAsia="Calibri" w:cs="Arial"/>
        </w:rPr>
        <w:t xml:space="preserve">average </w:t>
      </w:r>
      <w:r>
        <w:rPr>
          <w:rFonts w:eastAsia="Calibri" w:cs="Arial"/>
        </w:rPr>
        <w:t xml:space="preserve">for the state. </w:t>
      </w:r>
      <w:r w:rsidR="37E66F51" w:rsidRPr="00163830">
        <w:rPr>
          <w:rFonts w:eastAsia="Calibri" w:cs="Arial"/>
        </w:rPr>
        <w:t>Only a small number of students take the CAAs at each school and, in order to protect student privacy</w:t>
      </w:r>
      <w:r w:rsidR="59C5D894" w:rsidRPr="00163830">
        <w:rPr>
          <w:rFonts w:eastAsia="Calibri" w:cs="Arial"/>
        </w:rPr>
        <w:t>,</w:t>
      </w:r>
      <w:r w:rsidR="59C5D894" w:rsidRPr="00D37E55">
        <w:rPr>
          <w:rFonts w:eastAsia="Calibri" w:cs="Arial"/>
        </w:rPr>
        <w:t xml:space="preserve"> only the student's scale scor</w:t>
      </w:r>
      <w:r w:rsidR="60D561E1">
        <w:rPr>
          <w:rFonts w:eastAsia="Calibri" w:cs="Arial"/>
        </w:rPr>
        <w:t xml:space="preserve">e and the state </w:t>
      </w:r>
      <w:r w:rsidR="7865C51C">
        <w:rPr>
          <w:rFonts w:eastAsia="Calibri" w:cs="Arial"/>
        </w:rPr>
        <w:t xml:space="preserve">scale score </w:t>
      </w:r>
      <w:r w:rsidR="7C63CAFD" w:rsidRPr="63428459">
        <w:rPr>
          <w:rFonts w:eastAsia="Calibri" w:cs="Arial"/>
        </w:rPr>
        <w:t xml:space="preserve">average </w:t>
      </w:r>
      <w:r w:rsidR="60D561E1">
        <w:rPr>
          <w:rFonts w:eastAsia="Calibri" w:cs="Arial"/>
        </w:rPr>
        <w:t xml:space="preserve">will be displayed on CAA SSRs. </w:t>
      </w:r>
      <w:r w:rsidR="3C736254">
        <w:rPr>
          <w:rFonts w:eastAsia="Calibri" w:cs="Arial"/>
        </w:rPr>
        <w:t xml:space="preserve">Pages </w:t>
      </w:r>
      <w:r w:rsidR="69E967FA" w:rsidRPr="1A022422">
        <w:rPr>
          <w:rFonts w:eastAsia="Calibri" w:cs="Arial"/>
        </w:rPr>
        <w:t>4 and 5</w:t>
      </w:r>
      <w:r w:rsidR="3C736254">
        <w:rPr>
          <w:rFonts w:eastAsia="Calibri" w:cs="Arial"/>
        </w:rPr>
        <w:t xml:space="preserve"> in Attachment 1 display examples of a student</w:t>
      </w:r>
      <w:r w:rsidR="18834A5C">
        <w:rPr>
          <w:rFonts w:eastAsia="Calibri" w:cs="Arial"/>
        </w:rPr>
        <w:t>’</w:t>
      </w:r>
      <w:r w:rsidR="3C736254">
        <w:rPr>
          <w:rFonts w:eastAsia="Calibri" w:cs="Arial"/>
        </w:rPr>
        <w:t xml:space="preserve">s </w:t>
      </w:r>
      <w:r w:rsidR="22910B5C">
        <w:rPr>
          <w:rFonts w:eastAsia="Calibri" w:cs="Arial"/>
        </w:rPr>
        <w:t xml:space="preserve">scale </w:t>
      </w:r>
      <w:r w:rsidR="3C736254">
        <w:rPr>
          <w:rFonts w:eastAsia="Calibri" w:cs="Arial"/>
        </w:rPr>
        <w:t xml:space="preserve">score comparison for CAASPP. Beginning with the 2024–25 administration, the </w:t>
      </w:r>
      <w:r w:rsidR="44EE8571" w:rsidRPr="006E1470">
        <w:rPr>
          <w:rFonts w:eastAsia="Calibri" w:cs="Arial"/>
        </w:rPr>
        <w:t>scale score</w:t>
      </w:r>
      <w:r w:rsidR="3F11D669" w:rsidRPr="006E1470">
        <w:rPr>
          <w:rFonts w:eastAsia="Calibri" w:cs="Arial"/>
        </w:rPr>
        <w:t xml:space="preserve"> </w:t>
      </w:r>
      <w:r w:rsidR="3C736254" w:rsidRPr="006E1470">
        <w:rPr>
          <w:rFonts w:eastAsia="Calibri" w:cs="Arial"/>
        </w:rPr>
        <w:t>averages</w:t>
      </w:r>
      <w:r w:rsidR="3C736254">
        <w:rPr>
          <w:rFonts w:eastAsia="Calibri" w:cs="Arial"/>
        </w:rPr>
        <w:t xml:space="preserve"> for the school and the state will </w:t>
      </w:r>
      <w:r w:rsidR="55BAD9A2">
        <w:rPr>
          <w:rFonts w:eastAsia="Calibri" w:cs="Arial"/>
        </w:rPr>
        <w:t xml:space="preserve">again </w:t>
      </w:r>
      <w:r w:rsidR="3C736254">
        <w:rPr>
          <w:rFonts w:eastAsia="Calibri" w:cs="Arial"/>
        </w:rPr>
        <w:t>be generated using an average of the prior three years’ results. Due to the factors surrounding the COVID</w:t>
      </w:r>
      <w:r w:rsidR="612BEABD">
        <w:rPr>
          <w:rFonts w:eastAsia="Calibri" w:cs="Arial"/>
        </w:rPr>
        <w:t>-</w:t>
      </w:r>
      <w:r w:rsidR="3C736254">
        <w:rPr>
          <w:rFonts w:eastAsia="Calibri" w:cs="Arial"/>
        </w:rPr>
        <w:t xml:space="preserve">19 pandemic, statewide participation in the </w:t>
      </w:r>
      <w:r w:rsidR="00C71EC2">
        <w:rPr>
          <w:rFonts w:eastAsia="Calibri" w:cs="Arial"/>
        </w:rPr>
        <w:br/>
      </w:r>
      <w:r w:rsidR="3C736254">
        <w:rPr>
          <w:rFonts w:eastAsia="Calibri" w:cs="Arial"/>
        </w:rPr>
        <w:t xml:space="preserve">2020–21 </w:t>
      </w:r>
      <w:r w:rsidR="7AA96165">
        <w:rPr>
          <w:rFonts w:eastAsia="Calibri" w:cs="Arial"/>
        </w:rPr>
        <w:t xml:space="preserve">CAASPP </w:t>
      </w:r>
      <w:r w:rsidR="3C736254">
        <w:rPr>
          <w:rFonts w:eastAsia="Calibri" w:cs="Arial"/>
        </w:rPr>
        <w:t xml:space="preserve">administration was </w:t>
      </w:r>
      <w:r w:rsidR="2F7B01A1">
        <w:rPr>
          <w:rFonts w:eastAsia="Calibri" w:cs="Arial"/>
        </w:rPr>
        <w:t>low</w:t>
      </w:r>
      <w:r w:rsidR="3C736254">
        <w:rPr>
          <w:rFonts w:eastAsia="Calibri" w:cs="Arial"/>
        </w:rPr>
        <w:t xml:space="preserve"> and, for this reason, the 2023–24 averages will be generated using the </w:t>
      </w:r>
      <w:r w:rsidR="44EE8571">
        <w:rPr>
          <w:rFonts w:eastAsia="Calibri" w:cs="Arial"/>
        </w:rPr>
        <w:t xml:space="preserve">school and state </w:t>
      </w:r>
      <w:r w:rsidR="2D8155EF">
        <w:rPr>
          <w:rFonts w:eastAsia="Calibri" w:cs="Arial"/>
        </w:rPr>
        <w:t xml:space="preserve">scale score </w:t>
      </w:r>
      <w:r w:rsidR="3C736254">
        <w:rPr>
          <w:rFonts w:eastAsia="Calibri" w:cs="Arial"/>
        </w:rPr>
        <w:t>averages from 2021–22 and 2022–23</w:t>
      </w:r>
      <w:r w:rsidR="22083BE1">
        <w:rPr>
          <w:rFonts w:eastAsia="Calibri" w:cs="Arial"/>
        </w:rPr>
        <w:t xml:space="preserve"> only</w:t>
      </w:r>
      <w:r w:rsidR="3F11D669">
        <w:rPr>
          <w:rFonts w:eastAsia="Calibri" w:cs="Arial"/>
        </w:rPr>
        <w:t>.</w:t>
      </w:r>
    </w:p>
    <w:p w14:paraId="1AB4A85F" w14:textId="2B3C9373" w:rsidR="005923F3" w:rsidRPr="000158E5" w:rsidRDefault="00CB1D9E" w:rsidP="000158E5">
      <w:pPr>
        <w:pStyle w:val="Heading4"/>
        <w:keepNext/>
        <w:spacing w:before="480"/>
        <w:rPr>
          <w:sz w:val="28"/>
          <w:szCs w:val="28"/>
        </w:rPr>
      </w:pPr>
      <w:r w:rsidRPr="000158E5">
        <w:rPr>
          <w:sz w:val="28"/>
          <w:szCs w:val="28"/>
        </w:rPr>
        <w:t xml:space="preserve">Student’s </w:t>
      </w:r>
      <w:r w:rsidR="00832BEA" w:rsidRPr="000158E5">
        <w:rPr>
          <w:sz w:val="28"/>
          <w:szCs w:val="28"/>
        </w:rPr>
        <w:t>Score History</w:t>
      </w:r>
    </w:p>
    <w:p w14:paraId="2BDE2399" w14:textId="68805178" w:rsidR="00D67DA9" w:rsidRPr="00AE4B06" w:rsidRDefault="005A3010" w:rsidP="59F09E28">
      <w:pPr>
        <w:keepNext/>
        <w:spacing w:before="240"/>
        <w:rPr>
          <w:rFonts w:eastAsia="Calibri" w:cs="Arial"/>
        </w:rPr>
      </w:pPr>
      <w:r w:rsidRPr="00C71876">
        <w:rPr>
          <w:rFonts w:eastAsia="Calibri" w:cs="Arial"/>
        </w:rPr>
        <w:t>T</w:t>
      </w:r>
      <w:r w:rsidR="00D67DA9" w:rsidRPr="00C71876">
        <w:rPr>
          <w:rFonts w:eastAsia="Calibri" w:cs="Arial"/>
        </w:rPr>
        <w:t>he</w:t>
      </w:r>
      <w:r w:rsidRPr="00C71876">
        <w:rPr>
          <w:rFonts w:eastAsia="Calibri" w:cs="Arial"/>
        </w:rPr>
        <w:t xml:space="preserve"> CDE proposes </w:t>
      </w:r>
      <w:r w:rsidR="33E6FCCB" w:rsidRPr="4BB09E00">
        <w:rPr>
          <w:rFonts w:eastAsia="Calibri" w:cs="Arial"/>
        </w:rPr>
        <w:t>updating</w:t>
      </w:r>
      <w:r w:rsidR="004565D8">
        <w:rPr>
          <w:rFonts w:eastAsia="Calibri" w:cs="Arial"/>
        </w:rPr>
        <w:t xml:space="preserve"> </w:t>
      </w:r>
      <w:r w:rsidRPr="00C71876">
        <w:rPr>
          <w:rFonts w:eastAsia="Calibri" w:cs="Arial"/>
        </w:rPr>
        <w:t>the</w:t>
      </w:r>
      <w:r w:rsidR="00D67DA9">
        <w:rPr>
          <w:rFonts w:eastAsia="Calibri" w:cs="Arial"/>
        </w:rPr>
        <w:t xml:space="preserve"> Score History section </w:t>
      </w:r>
      <w:r>
        <w:rPr>
          <w:rFonts w:eastAsia="Calibri" w:cs="Arial"/>
        </w:rPr>
        <w:t xml:space="preserve">on </w:t>
      </w:r>
      <w:r w:rsidR="00EE686D">
        <w:rPr>
          <w:rFonts w:eastAsia="Calibri" w:cs="Arial"/>
        </w:rPr>
        <w:t>relevant</w:t>
      </w:r>
      <w:r>
        <w:rPr>
          <w:rFonts w:eastAsia="Calibri" w:cs="Arial"/>
        </w:rPr>
        <w:t xml:space="preserve"> CAASPP and ELPAC SSRs</w:t>
      </w:r>
      <w:bookmarkEnd w:id="0"/>
      <w:r>
        <w:rPr>
          <w:rFonts w:eastAsia="Calibri" w:cs="Arial"/>
        </w:rPr>
        <w:t xml:space="preserve">. </w:t>
      </w:r>
      <w:r w:rsidR="4F76C6C5" w:rsidRPr="4BB09E00">
        <w:rPr>
          <w:rFonts w:eastAsia="Calibri" w:cs="Arial"/>
        </w:rPr>
        <w:t xml:space="preserve">In </w:t>
      </w:r>
      <w:r w:rsidR="002E25A2" w:rsidRPr="00163830">
        <w:rPr>
          <w:rFonts w:eastAsia="Calibri" w:cs="Arial"/>
        </w:rPr>
        <w:t xml:space="preserve">response to parent feedback </w:t>
      </w:r>
      <w:r w:rsidR="00AE3815" w:rsidRPr="00163830">
        <w:rPr>
          <w:rFonts w:eastAsia="Calibri" w:cs="Arial"/>
        </w:rPr>
        <w:t>requesting</w:t>
      </w:r>
      <w:r w:rsidR="002E25A2" w:rsidRPr="00163830">
        <w:rPr>
          <w:rFonts w:eastAsia="Calibri" w:cs="Arial"/>
        </w:rPr>
        <w:t xml:space="preserve"> more detailed information </w:t>
      </w:r>
      <w:r w:rsidR="00AE3815" w:rsidRPr="00163830">
        <w:rPr>
          <w:rFonts w:eastAsia="Calibri" w:cs="Arial"/>
        </w:rPr>
        <w:t xml:space="preserve">regarding </w:t>
      </w:r>
      <w:r w:rsidR="4F76C6C5" w:rsidRPr="00163830">
        <w:rPr>
          <w:rFonts w:eastAsia="Calibri" w:cs="Arial"/>
        </w:rPr>
        <w:t>a student’s progress</w:t>
      </w:r>
      <w:r w:rsidR="600620CA" w:rsidRPr="00163830">
        <w:rPr>
          <w:rFonts w:eastAsia="Calibri" w:cs="Arial"/>
        </w:rPr>
        <w:t>,</w:t>
      </w:r>
      <w:r w:rsidR="2671549A" w:rsidRPr="00163830">
        <w:rPr>
          <w:rFonts w:eastAsia="Calibri" w:cs="Arial"/>
        </w:rPr>
        <w:t xml:space="preserve"> </w:t>
      </w:r>
      <w:r w:rsidR="4846DC3A" w:rsidRPr="00163830">
        <w:rPr>
          <w:rFonts w:eastAsia="Calibri" w:cs="Arial"/>
        </w:rPr>
        <w:t>the proposed changes to</w:t>
      </w:r>
      <w:r w:rsidR="007F1E72" w:rsidRPr="00163830" w:rsidDel="00AE3815">
        <w:rPr>
          <w:rFonts w:eastAsia="Calibri" w:cs="Arial"/>
        </w:rPr>
        <w:t xml:space="preserve"> </w:t>
      </w:r>
      <w:r w:rsidR="00AE3815" w:rsidRPr="00163830">
        <w:rPr>
          <w:rFonts w:eastAsia="Calibri" w:cs="Arial"/>
        </w:rPr>
        <w:t>the Score History</w:t>
      </w:r>
      <w:r w:rsidR="00AE3815">
        <w:rPr>
          <w:rFonts w:eastAsia="Calibri" w:cs="Arial"/>
        </w:rPr>
        <w:t xml:space="preserve"> </w:t>
      </w:r>
      <w:r w:rsidR="007F1E72">
        <w:rPr>
          <w:rFonts w:eastAsia="Calibri" w:cs="Arial"/>
        </w:rPr>
        <w:t>section</w:t>
      </w:r>
      <w:r w:rsidR="4846DC3A" w:rsidRPr="4BB09E00">
        <w:rPr>
          <w:rFonts w:eastAsia="Calibri" w:cs="Arial"/>
        </w:rPr>
        <w:t xml:space="preserve"> include</w:t>
      </w:r>
      <w:r w:rsidR="00D67DA9">
        <w:rPr>
          <w:rFonts w:eastAsia="Calibri" w:cs="Arial"/>
        </w:rPr>
        <w:t xml:space="preserve"> a </w:t>
      </w:r>
      <w:r w:rsidR="5C7EB8C7" w:rsidRPr="3B1CC723">
        <w:rPr>
          <w:rFonts w:eastAsia="Calibri" w:cs="Arial"/>
        </w:rPr>
        <w:t xml:space="preserve">table and graphic </w:t>
      </w:r>
      <w:r w:rsidR="1DDEA68F" w:rsidRPr="3B1CC723">
        <w:rPr>
          <w:rFonts w:eastAsia="Calibri" w:cs="Arial"/>
        </w:rPr>
        <w:t>that</w:t>
      </w:r>
      <w:r w:rsidR="00D67DA9">
        <w:rPr>
          <w:rFonts w:eastAsia="Calibri" w:cs="Arial"/>
        </w:rPr>
        <w:t xml:space="preserve"> display </w:t>
      </w:r>
      <w:bookmarkStart w:id="1" w:name="_Hlk132882453"/>
      <w:r w:rsidR="00D67DA9">
        <w:rPr>
          <w:rFonts w:eastAsia="Calibri" w:cs="Arial"/>
        </w:rPr>
        <w:t>the student’s current-year test result compared to the preceding two years</w:t>
      </w:r>
      <w:bookmarkEnd w:id="1"/>
      <w:r w:rsidR="00D67DA9">
        <w:rPr>
          <w:rFonts w:eastAsia="Calibri" w:cs="Arial"/>
        </w:rPr>
        <w:t xml:space="preserve">, if available. </w:t>
      </w:r>
      <w:r w:rsidR="00EB3A59">
        <w:rPr>
          <w:rFonts w:eastAsia="Calibri" w:cs="Arial"/>
        </w:rPr>
        <w:t>Pr</w:t>
      </w:r>
      <w:r w:rsidR="00D62A0E">
        <w:rPr>
          <w:rFonts w:eastAsia="Calibri" w:cs="Arial"/>
        </w:rPr>
        <w:t xml:space="preserve">eviously, the Score History section only listed the </w:t>
      </w:r>
      <w:r w:rsidR="008F7DFF">
        <w:rPr>
          <w:rFonts w:eastAsia="Calibri" w:cs="Arial"/>
        </w:rPr>
        <w:t xml:space="preserve">student’s </w:t>
      </w:r>
      <w:r w:rsidR="00D62A0E">
        <w:rPr>
          <w:rFonts w:eastAsia="Calibri" w:cs="Arial"/>
        </w:rPr>
        <w:t>scores and achievement levels from the preceding two years</w:t>
      </w:r>
      <w:r w:rsidR="008F7DFF">
        <w:rPr>
          <w:rFonts w:eastAsia="Calibri" w:cs="Arial"/>
        </w:rPr>
        <w:t xml:space="preserve">, if available. </w:t>
      </w:r>
      <w:r w:rsidR="7210BF34" w:rsidRPr="3B1CC723">
        <w:rPr>
          <w:rFonts w:eastAsia="Calibri" w:cs="Arial"/>
        </w:rPr>
        <w:t xml:space="preserve">As displayed </w:t>
      </w:r>
      <w:r w:rsidR="00C842AC" w:rsidRPr="3B1CC723">
        <w:rPr>
          <w:rFonts w:eastAsia="Calibri" w:cs="Arial"/>
        </w:rPr>
        <w:t xml:space="preserve">in </w:t>
      </w:r>
      <w:r w:rsidR="7210BF34" w:rsidRPr="3B1CC723">
        <w:rPr>
          <w:rFonts w:eastAsia="Calibri" w:cs="Arial"/>
        </w:rPr>
        <w:t xml:space="preserve">table </w:t>
      </w:r>
      <w:r w:rsidR="00D9780D">
        <w:rPr>
          <w:rFonts w:eastAsia="Calibri" w:cs="Arial"/>
        </w:rPr>
        <w:t>4</w:t>
      </w:r>
      <w:r w:rsidR="7210BF34" w:rsidRPr="3B1CC723">
        <w:rPr>
          <w:rFonts w:eastAsia="Calibri" w:cs="Arial"/>
        </w:rPr>
        <w:t>, t</w:t>
      </w:r>
      <w:r w:rsidR="1A0C9046" w:rsidRPr="3B1CC723">
        <w:rPr>
          <w:rFonts w:eastAsia="Calibri" w:cs="Arial"/>
        </w:rPr>
        <w:t>he</w:t>
      </w:r>
      <w:r w:rsidR="00F604AA">
        <w:rPr>
          <w:rFonts w:eastAsia="Calibri" w:cs="Arial"/>
        </w:rPr>
        <w:t xml:space="preserve"> Score History section </w:t>
      </w:r>
      <w:r w:rsidR="007F1E72">
        <w:rPr>
          <w:rFonts w:eastAsia="Calibri" w:cs="Arial"/>
        </w:rPr>
        <w:t xml:space="preserve">will </w:t>
      </w:r>
      <w:r w:rsidR="00F604AA">
        <w:rPr>
          <w:rFonts w:eastAsia="Calibri" w:cs="Arial"/>
        </w:rPr>
        <w:t>appear</w:t>
      </w:r>
      <w:r w:rsidR="00001E07">
        <w:rPr>
          <w:rFonts w:eastAsia="Calibri" w:cs="Arial"/>
        </w:rPr>
        <w:t xml:space="preserve"> </w:t>
      </w:r>
      <w:r w:rsidR="007B73E7">
        <w:rPr>
          <w:rFonts w:eastAsia="Calibri" w:cs="Arial"/>
        </w:rPr>
        <w:t>in</w:t>
      </w:r>
      <w:r w:rsidR="00F604AA" w:rsidRPr="2C39CF11">
        <w:rPr>
          <w:rFonts w:eastAsia="Calibri" w:cs="Arial"/>
        </w:rPr>
        <w:t xml:space="preserve"> </w:t>
      </w:r>
      <w:r w:rsidR="59241D0C" w:rsidRPr="3B1CC723">
        <w:rPr>
          <w:rFonts w:eastAsia="Calibri" w:cs="Arial"/>
        </w:rPr>
        <w:t xml:space="preserve">SSRs for </w:t>
      </w:r>
      <w:r w:rsidR="007B73E7">
        <w:rPr>
          <w:rFonts w:eastAsia="Calibri" w:cs="Arial"/>
        </w:rPr>
        <w:t>grades</w:t>
      </w:r>
      <w:r w:rsidR="002800DA" w:rsidRPr="3A22A574">
        <w:rPr>
          <w:rFonts w:eastAsia="Calibri" w:cs="Arial"/>
        </w:rPr>
        <w:t xml:space="preserve"> four through eight</w:t>
      </w:r>
      <w:r w:rsidR="002800DA">
        <w:rPr>
          <w:rFonts w:eastAsia="Calibri" w:cs="Arial"/>
        </w:rPr>
        <w:t xml:space="preserve"> </w:t>
      </w:r>
      <w:r w:rsidR="08F9A2F8" w:rsidRPr="3B1CC723">
        <w:rPr>
          <w:rFonts w:eastAsia="Calibri" w:cs="Arial"/>
        </w:rPr>
        <w:t>for</w:t>
      </w:r>
      <w:r w:rsidR="22C1B9D1" w:rsidRPr="3B1CC723">
        <w:rPr>
          <w:rFonts w:eastAsia="Calibri" w:cs="Arial"/>
        </w:rPr>
        <w:t xml:space="preserve"> </w:t>
      </w:r>
      <w:r w:rsidR="0000680C">
        <w:rPr>
          <w:rFonts w:eastAsia="Calibri" w:cs="Arial"/>
        </w:rPr>
        <w:t xml:space="preserve">Smarter Balanced </w:t>
      </w:r>
      <w:r w:rsidR="00D841D9" w:rsidRPr="00163830">
        <w:rPr>
          <w:rFonts w:eastAsia="Calibri" w:cs="Arial"/>
        </w:rPr>
        <w:t>Summative Assessments for</w:t>
      </w:r>
      <w:r w:rsidR="00D841D9">
        <w:rPr>
          <w:rFonts w:eastAsia="Calibri" w:cs="Arial"/>
        </w:rPr>
        <w:t xml:space="preserve"> </w:t>
      </w:r>
      <w:r w:rsidR="0000680C">
        <w:rPr>
          <w:rFonts w:eastAsia="Calibri" w:cs="Arial"/>
        </w:rPr>
        <w:t xml:space="preserve">ELA and mathematics </w:t>
      </w:r>
      <w:r w:rsidR="703E0EEE" w:rsidRPr="3B1CC723">
        <w:rPr>
          <w:rFonts w:eastAsia="Calibri" w:cs="Arial"/>
        </w:rPr>
        <w:t>and</w:t>
      </w:r>
      <w:r w:rsidR="22C1B9D1" w:rsidRPr="3B1CC723">
        <w:rPr>
          <w:rFonts w:eastAsia="Calibri" w:cs="Arial"/>
        </w:rPr>
        <w:t xml:space="preserve"> </w:t>
      </w:r>
      <w:r w:rsidR="37AAE634" w:rsidRPr="3B1CC723">
        <w:rPr>
          <w:rFonts w:eastAsia="Calibri" w:cs="Arial"/>
        </w:rPr>
        <w:t xml:space="preserve">the </w:t>
      </w:r>
      <w:r w:rsidR="6196B708" w:rsidRPr="3B1CC723">
        <w:rPr>
          <w:rFonts w:eastAsia="Calibri" w:cs="Arial"/>
        </w:rPr>
        <w:t>CAA</w:t>
      </w:r>
      <w:r w:rsidR="23F3BB1F" w:rsidRPr="3B1CC723">
        <w:rPr>
          <w:rFonts w:eastAsia="Calibri" w:cs="Arial"/>
        </w:rPr>
        <w:t>s</w:t>
      </w:r>
      <w:r w:rsidR="76985EE4" w:rsidRPr="4178AC66">
        <w:rPr>
          <w:rFonts w:eastAsia="Calibri" w:cs="Arial"/>
        </w:rPr>
        <w:t xml:space="preserve"> for ELA and mathematics</w:t>
      </w:r>
      <w:r w:rsidR="6989D76E" w:rsidRPr="3B1CC723">
        <w:rPr>
          <w:rFonts w:eastAsia="Calibri" w:cs="Arial"/>
        </w:rPr>
        <w:t xml:space="preserve">. In addition, the Score History section will appear in </w:t>
      </w:r>
      <w:r w:rsidR="76985EE4" w:rsidRPr="4178AC66">
        <w:rPr>
          <w:rFonts w:eastAsia="Calibri" w:cs="Arial"/>
        </w:rPr>
        <w:t>SSRs</w:t>
      </w:r>
      <w:r w:rsidR="6F7D2D5A" w:rsidRPr="3B1CC723">
        <w:rPr>
          <w:rFonts w:eastAsia="Calibri" w:cs="Arial"/>
        </w:rPr>
        <w:t xml:space="preserve"> </w:t>
      </w:r>
      <w:r w:rsidR="11A7F08E" w:rsidRPr="3B1CC723">
        <w:rPr>
          <w:rFonts w:eastAsia="Calibri" w:cs="Arial"/>
        </w:rPr>
        <w:t xml:space="preserve">for </w:t>
      </w:r>
      <w:r w:rsidR="00977479" w:rsidRPr="5BF228E7">
        <w:rPr>
          <w:rFonts w:eastAsia="Calibri" w:cs="Arial"/>
        </w:rPr>
        <w:t>K–12</w:t>
      </w:r>
      <w:r w:rsidR="00977479">
        <w:rPr>
          <w:rFonts w:eastAsia="Calibri" w:cs="Arial"/>
        </w:rPr>
        <w:t xml:space="preserve"> </w:t>
      </w:r>
      <w:r w:rsidR="13F9A52C" w:rsidRPr="3B1CC723">
        <w:rPr>
          <w:rFonts w:eastAsia="Calibri" w:cs="Arial"/>
        </w:rPr>
        <w:t>for the</w:t>
      </w:r>
      <w:r w:rsidR="5B14D896" w:rsidRPr="3B1CC723">
        <w:rPr>
          <w:rFonts w:eastAsia="Calibri" w:cs="Arial"/>
        </w:rPr>
        <w:t xml:space="preserve"> </w:t>
      </w:r>
      <w:r w:rsidR="48A9D20F" w:rsidRPr="3B1CC723">
        <w:rPr>
          <w:rFonts w:eastAsia="Calibri" w:cs="Arial"/>
        </w:rPr>
        <w:t xml:space="preserve">Summative ELPAC </w:t>
      </w:r>
      <w:r w:rsidR="03F2F0F8" w:rsidRPr="3B1CC723">
        <w:rPr>
          <w:rFonts w:eastAsia="Calibri" w:cs="Arial"/>
        </w:rPr>
        <w:t>and Summative Alternate ELPAC</w:t>
      </w:r>
      <w:r w:rsidR="0C0C7C22" w:rsidRPr="3B1CC723">
        <w:rPr>
          <w:rFonts w:eastAsia="Calibri" w:cs="Arial"/>
        </w:rPr>
        <w:t>.</w:t>
      </w:r>
      <w:r w:rsidR="00F604AA">
        <w:rPr>
          <w:rFonts w:eastAsia="Calibri" w:cs="Arial"/>
        </w:rPr>
        <w:t xml:space="preserve"> </w:t>
      </w:r>
      <w:r w:rsidR="6852C730" w:rsidRPr="00385AA2">
        <w:rPr>
          <w:rFonts w:eastAsia="Calibri" w:cs="Arial"/>
        </w:rPr>
        <w:t xml:space="preserve">Score history is not available for CAST and the CAA for Science since the test is only administered at grades five, eight, and once in high school </w:t>
      </w:r>
      <w:r w:rsidR="0C2C833D" w:rsidRPr="00385AA2">
        <w:rPr>
          <w:rFonts w:eastAsia="Calibri" w:cs="Arial"/>
        </w:rPr>
        <w:t>(grades ten, eleven, or twelve)</w:t>
      </w:r>
      <w:r w:rsidR="00A93757" w:rsidRPr="00385AA2">
        <w:rPr>
          <w:rFonts w:eastAsia="Calibri" w:cs="Arial"/>
        </w:rPr>
        <w:t>,</w:t>
      </w:r>
      <w:r w:rsidR="0C2C833D" w:rsidRPr="00385AA2">
        <w:rPr>
          <w:rFonts w:eastAsia="Calibri" w:cs="Arial"/>
        </w:rPr>
        <w:t xml:space="preserve"> </w:t>
      </w:r>
      <w:r w:rsidR="6852C730" w:rsidRPr="00385AA2">
        <w:rPr>
          <w:rFonts w:eastAsia="Calibri" w:cs="Arial"/>
        </w:rPr>
        <w:t xml:space="preserve">which are not </w:t>
      </w:r>
      <w:r w:rsidR="77C7F07B" w:rsidRPr="00385AA2">
        <w:rPr>
          <w:rFonts w:eastAsia="Calibri" w:cs="Arial"/>
        </w:rPr>
        <w:t>consecutive</w:t>
      </w:r>
      <w:r w:rsidR="49D297A9" w:rsidRPr="00385AA2">
        <w:rPr>
          <w:rFonts w:eastAsia="Calibri" w:cs="Arial"/>
        </w:rPr>
        <w:t xml:space="preserve"> years</w:t>
      </w:r>
      <w:r w:rsidR="61EB1051" w:rsidRPr="00385AA2">
        <w:rPr>
          <w:rFonts w:eastAsia="Calibri" w:cs="Arial"/>
        </w:rPr>
        <w:t>.</w:t>
      </w:r>
      <w:r w:rsidR="634B4A10" w:rsidRPr="3B1CC723">
        <w:rPr>
          <w:rFonts w:eastAsia="Calibri" w:cs="Arial"/>
        </w:rPr>
        <w:t xml:space="preserve"> The Initial ELPAC and Initial Alternate ELPAC are only administered once to each eligible student and SSRs for these tests will not </w:t>
      </w:r>
      <w:r w:rsidR="634B4A10" w:rsidRPr="3B1CC723">
        <w:rPr>
          <w:rFonts w:eastAsia="Calibri" w:cs="Arial"/>
        </w:rPr>
        <w:lastRenderedPageBreak/>
        <w:t>contain a Score History section.</w:t>
      </w:r>
      <w:r w:rsidR="00C8197D" w:rsidRPr="00C8197D">
        <w:rPr>
          <w:rFonts w:eastAsia="Calibri" w:cs="Arial"/>
        </w:rPr>
        <w:t xml:space="preserve"> </w:t>
      </w:r>
      <w:r w:rsidR="00C8197D" w:rsidRPr="00163830">
        <w:rPr>
          <w:rFonts w:eastAsia="Calibri" w:cs="Arial"/>
        </w:rPr>
        <w:t>(Pages 2, 3, and 7 in Attachment 1 display examples of a student’s score history for CAASPP and ELPAC, respectively.)</w:t>
      </w:r>
    </w:p>
    <w:p w14:paraId="321B1737" w14:textId="70095CA4" w:rsidR="00737C88" w:rsidRPr="000158E5" w:rsidRDefault="00737C88" w:rsidP="000158E5">
      <w:pPr>
        <w:pStyle w:val="Heading4"/>
        <w:spacing w:before="480"/>
        <w:rPr>
          <w:sz w:val="28"/>
          <w:szCs w:val="28"/>
        </w:rPr>
      </w:pPr>
      <w:r w:rsidRPr="5BF228E7">
        <w:rPr>
          <w:sz w:val="28"/>
          <w:szCs w:val="28"/>
        </w:rPr>
        <w:t xml:space="preserve">Composite Claim Reporting for the Smarter Balanced </w:t>
      </w:r>
      <w:r w:rsidR="00712801" w:rsidRPr="00163830">
        <w:rPr>
          <w:sz w:val="28"/>
          <w:szCs w:val="28"/>
        </w:rPr>
        <w:t>Summative</w:t>
      </w:r>
      <w:r w:rsidR="00712801">
        <w:rPr>
          <w:sz w:val="28"/>
          <w:szCs w:val="28"/>
        </w:rPr>
        <w:t xml:space="preserve"> </w:t>
      </w:r>
      <w:r w:rsidRPr="5BF228E7">
        <w:rPr>
          <w:sz w:val="28"/>
          <w:szCs w:val="28"/>
        </w:rPr>
        <w:t>Assessments</w:t>
      </w:r>
    </w:p>
    <w:p w14:paraId="438D2344" w14:textId="564F5494" w:rsidR="000A221B" w:rsidRDefault="3C4B2108" w:rsidP="59F09E28">
      <w:pPr>
        <w:spacing w:after="240"/>
        <w:rPr>
          <w:rFonts w:eastAsia="Calibri"/>
        </w:rPr>
      </w:pPr>
      <w:r w:rsidRPr="59F09E28">
        <w:rPr>
          <w:rFonts w:eastAsia="Calibri"/>
        </w:rPr>
        <w:t xml:space="preserve">In response to the COVID-19 pandemic, the </w:t>
      </w:r>
      <w:r w:rsidRPr="00163830">
        <w:rPr>
          <w:rFonts w:eastAsia="Calibri"/>
        </w:rPr>
        <w:t>U.S. Department of Education provided</w:t>
      </w:r>
      <w:r w:rsidRPr="59F09E28">
        <w:rPr>
          <w:rFonts w:eastAsia="Calibri"/>
        </w:rPr>
        <w:t xml:space="preserve"> flexibilities during the 2020–21 school year to support the administration of assessments to provide information to parents, educators, and the public about student performance and to help target resources and supports. Among these flexibilities was the ability of states to </w:t>
      </w:r>
      <w:r w:rsidRPr="00683DFD">
        <w:rPr>
          <w:rFonts w:eastAsia="Calibri"/>
        </w:rPr>
        <w:t>administer a shortened version of the statewide assessments</w:t>
      </w:r>
      <w:r w:rsidR="29BEBD65" w:rsidRPr="2A490BB3">
        <w:rPr>
          <w:rFonts w:eastAsia="Calibri"/>
        </w:rPr>
        <w:t>,</w:t>
      </w:r>
      <w:r w:rsidR="00D55F22">
        <w:rPr>
          <w:rFonts w:eastAsia="Calibri"/>
        </w:rPr>
        <w:t xml:space="preserve"> </w:t>
      </w:r>
      <w:r w:rsidR="00D55F22" w:rsidRPr="00163830">
        <w:rPr>
          <w:rFonts w:eastAsia="Calibri"/>
        </w:rPr>
        <w:t xml:space="preserve">which was </w:t>
      </w:r>
      <w:r w:rsidR="00F32F22" w:rsidRPr="00163830">
        <w:rPr>
          <w:rFonts w:eastAsia="Calibri"/>
        </w:rPr>
        <w:t xml:space="preserve">important as this allowed more flexibility in </w:t>
      </w:r>
      <w:r w:rsidR="00E75E28" w:rsidRPr="00163830">
        <w:rPr>
          <w:rFonts w:eastAsia="Calibri"/>
        </w:rPr>
        <w:t>test administration</w:t>
      </w:r>
      <w:r w:rsidRPr="00163830">
        <w:rPr>
          <w:rFonts w:eastAsia="Calibri"/>
        </w:rPr>
        <w:t>.</w:t>
      </w:r>
      <w:r w:rsidRPr="00683DFD">
        <w:rPr>
          <w:rFonts w:eastAsia="Calibri"/>
        </w:rPr>
        <w:t xml:space="preserve"> In November 2020, the SBE approved the use of the adjusted form blueprint for the Smarter Balanced Summative Assessments for ELA and Mathematics for the 2020–21 administration</w:t>
      </w:r>
      <w:r w:rsidR="00825706" w:rsidRPr="00683DFD">
        <w:rPr>
          <w:rFonts w:eastAsia="Calibri"/>
        </w:rPr>
        <w:t xml:space="preserve"> (found in Item </w:t>
      </w:r>
      <w:r w:rsidR="000512B2" w:rsidRPr="00683DFD">
        <w:rPr>
          <w:rFonts w:eastAsia="Calibri"/>
        </w:rPr>
        <w:t>04</w:t>
      </w:r>
      <w:r w:rsidR="0034079E" w:rsidRPr="00683DFD">
        <w:rPr>
          <w:rFonts w:eastAsia="Calibri"/>
        </w:rPr>
        <w:t xml:space="preserve"> at</w:t>
      </w:r>
      <w:r w:rsidR="002F4B4A">
        <w:t xml:space="preserve"> </w:t>
      </w:r>
      <w:hyperlink r:id="rId16" w:tooltip="This link opens Item 04 of the November 2020 SBE meeting." w:history="1">
        <w:r w:rsidR="002F4B4A" w:rsidRPr="00FF108C">
          <w:rPr>
            <w:rStyle w:val="Hyperlink"/>
          </w:rPr>
          <w:t>https://www.cde.ca.gov/be/ag/ag/yr20/documents/nov20item04.docx</w:t>
        </w:r>
      </w:hyperlink>
      <w:r w:rsidR="458FDFB5" w:rsidRPr="2A490BB3">
        <w:rPr>
          <w:rFonts w:eastAsia="Calibri"/>
        </w:rPr>
        <w:t>)</w:t>
      </w:r>
      <w:r w:rsidR="533C7579" w:rsidRPr="2A490BB3">
        <w:rPr>
          <w:rFonts w:eastAsia="Calibri"/>
        </w:rPr>
        <w:t>.</w:t>
      </w:r>
      <w:r w:rsidR="005348F1" w:rsidRPr="00683DFD">
        <w:rPr>
          <w:rFonts w:eastAsia="Calibri"/>
        </w:rPr>
        <w:t xml:space="preserve"> </w:t>
      </w:r>
      <w:r w:rsidR="000A221B" w:rsidRPr="00683DFD">
        <w:rPr>
          <w:rFonts w:eastAsia="Calibri"/>
        </w:rPr>
        <w:t>I</w:t>
      </w:r>
      <w:r w:rsidRPr="00683DFD">
        <w:rPr>
          <w:rFonts w:eastAsia="Calibri"/>
        </w:rPr>
        <w:t>n September 2021, the SBE approved the continued use of the adjusted form</w:t>
      </w:r>
      <w:r w:rsidRPr="59F09E28">
        <w:rPr>
          <w:rFonts w:eastAsia="Calibri"/>
        </w:rPr>
        <w:t xml:space="preserve"> blueprints for the </w:t>
      </w:r>
      <w:r w:rsidR="00DA4153">
        <w:rPr>
          <w:rFonts w:eastAsia="Calibri"/>
        </w:rPr>
        <w:br/>
      </w:r>
      <w:r w:rsidRPr="59F09E28">
        <w:rPr>
          <w:rFonts w:eastAsia="Calibri"/>
        </w:rPr>
        <w:t xml:space="preserve">2021–22 administration </w:t>
      </w:r>
      <w:r w:rsidR="00267F24">
        <w:rPr>
          <w:rFonts w:eastAsia="Calibri"/>
        </w:rPr>
        <w:t xml:space="preserve">and </w:t>
      </w:r>
      <w:r w:rsidR="34C377E9" w:rsidRPr="59F09E28">
        <w:rPr>
          <w:rFonts w:eastAsia="Arial" w:cs="Arial"/>
          <w:color w:val="000000" w:themeColor="text1"/>
        </w:rPr>
        <w:t xml:space="preserve">until the Consortium approves any further changes to the adjusted form </w:t>
      </w:r>
      <w:r w:rsidR="34C377E9" w:rsidRPr="001C5166">
        <w:rPr>
          <w:rFonts w:eastAsia="Arial" w:cs="Arial"/>
        </w:rPr>
        <w:t>blueprints</w:t>
      </w:r>
      <w:r w:rsidR="00943C8F">
        <w:rPr>
          <w:rFonts w:eastAsia="Arial" w:cs="Arial"/>
        </w:rPr>
        <w:t xml:space="preserve"> (found in Item</w:t>
      </w:r>
      <w:r w:rsidR="00332E41">
        <w:rPr>
          <w:rFonts w:eastAsia="Arial" w:cs="Arial"/>
        </w:rPr>
        <w:t> </w:t>
      </w:r>
      <w:r w:rsidR="00943C8F">
        <w:rPr>
          <w:rFonts w:eastAsia="Arial" w:cs="Arial"/>
        </w:rPr>
        <w:t>02</w:t>
      </w:r>
      <w:r w:rsidR="00004D21">
        <w:rPr>
          <w:rFonts w:eastAsia="Arial" w:cs="Arial"/>
        </w:rPr>
        <w:t xml:space="preserve"> </w:t>
      </w:r>
      <w:r w:rsidR="00943C8F">
        <w:rPr>
          <w:rFonts w:eastAsia="Arial" w:cs="Arial"/>
        </w:rPr>
        <w:t xml:space="preserve">at </w:t>
      </w:r>
      <w:hyperlink r:id="rId17" w:tooltip="This link opens Item 02 of the September 2021 SBE meeting.">
        <w:r w:rsidR="3AFCC43D" w:rsidRPr="76E64D1C">
          <w:rPr>
            <w:rStyle w:val="Hyperlink"/>
            <w:rFonts w:eastAsia="Arial" w:cs="Arial"/>
          </w:rPr>
          <w:t>https://www.cde.ca.gov/be/ag/ag/yr21/documents/sep21item02.docx</w:t>
        </w:r>
      </w:hyperlink>
      <w:r w:rsidR="3AFCC43D" w:rsidRPr="76E64D1C">
        <w:rPr>
          <w:rFonts w:eastAsia="Arial" w:cs="Arial"/>
        </w:rPr>
        <w:t>)</w:t>
      </w:r>
      <w:r w:rsidR="468B17FC" w:rsidRPr="76E64D1C">
        <w:rPr>
          <w:rFonts w:eastAsia="Calibri"/>
        </w:rPr>
        <w:t>.</w:t>
      </w:r>
    </w:p>
    <w:p w14:paraId="0762FEAB" w14:textId="5976AD15" w:rsidR="00737C88" w:rsidRPr="00AE4B06" w:rsidRDefault="73ED9AE7" w:rsidP="276C9930">
      <w:pPr>
        <w:spacing w:after="240"/>
        <w:rPr>
          <w:rFonts w:eastAsia="Calibri"/>
        </w:rPr>
      </w:pPr>
      <w:r w:rsidRPr="59F09E28">
        <w:rPr>
          <w:rFonts w:eastAsia="Calibri"/>
        </w:rPr>
        <w:t xml:space="preserve">The adjusted form blueprints reduced the overall testing time for students and schools while providing a valid measure of student achievement in ELA and mathematics. While the adjusted form blueprint reduced the number of questions on the Smarter Balanced </w:t>
      </w:r>
      <w:r w:rsidR="00FA0423">
        <w:rPr>
          <w:rFonts w:eastAsia="Calibri"/>
        </w:rPr>
        <w:t>S</w:t>
      </w:r>
      <w:r w:rsidR="00FA0423" w:rsidRPr="59F09E28">
        <w:rPr>
          <w:rFonts w:eastAsia="Calibri"/>
        </w:rPr>
        <w:t xml:space="preserve">ummative </w:t>
      </w:r>
      <w:r w:rsidR="00FA0423">
        <w:rPr>
          <w:rFonts w:eastAsia="Calibri"/>
        </w:rPr>
        <w:t>A</w:t>
      </w:r>
      <w:r w:rsidR="795B6CF2" w:rsidRPr="276C9930">
        <w:rPr>
          <w:rFonts w:eastAsia="Calibri"/>
        </w:rPr>
        <w:t>ssessments</w:t>
      </w:r>
      <w:r w:rsidRPr="59F09E28">
        <w:rPr>
          <w:rFonts w:eastAsia="Calibri"/>
        </w:rPr>
        <w:t xml:space="preserve"> by approximately 50</w:t>
      </w:r>
      <w:r w:rsidR="7B2AE0B1" w:rsidRPr="59F09E28">
        <w:rPr>
          <w:rFonts w:eastAsia="Calibri"/>
        </w:rPr>
        <w:t xml:space="preserve"> percent</w:t>
      </w:r>
      <w:r w:rsidRPr="59F09E28">
        <w:rPr>
          <w:rFonts w:eastAsia="Calibri"/>
        </w:rPr>
        <w:t xml:space="preserve">, the reduction of items on </w:t>
      </w:r>
      <w:r w:rsidRPr="59F09E28">
        <w:rPr>
          <w:rStyle w:val="normaltextrun"/>
          <w:rFonts w:cs="Arial"/>
        </w:rPr>
        <w:t>the adjusted form blueprint did not allow for reliable claim result reporting at the individual student level</w:t>
      </w:r>
      <w:r w:rsidR="537013DB" w:rsidRPr="59F09E28">
        <w:rPr>
          <w:rStyle w:val="normaltextrun"/>
          <w:rFonts w:cs="Arial"/>
        </w:rPr>
        <w:t xml:space="preserve"> for the</w:t>
      </w:r>
      <w:r w:rsidR="64F62A10" w:rsidRPr="59F09E28">
        <w:rPr>
          <w:rStyle w:val="normaltextrun"/>
          <w:rFonts w:cs="Arial"/>
        </w:rPr>
        <w:t xml:space="preserve"> </w:t>
      </w:r>
      <w:r w:rsidR="3E48E634" w:rsidRPr="59F09E28">
        <w:rPr>
          <w:rStyle w:val="normaltextrun"/>
          <w:rFonts w:cs="Arial"/>
        </w:rPr>
        <w:t xml:space="preserve">2020–21, 2021–22, and 2022–23 </w:t>
      </w:r>
      <w:r w:rsidR="4A30C1A2" w:rsidRPr="59F09E28">
        <w:rPr>
          <w:rStyle w:val="normaltextrun"/>
          <w:rFonts w:cs="Arial"/>
        </w:rPr>
        <w:t>administrations.</w:t>
      </w:r>
    </w:p>
    <w:p w14:paraId="54566209" w14:textId="4A2674A5" w:rsidR="00737C88" w:rsidRPr="00AE4B06" w:rsidRDefault="306AA679" w:rsidP="21EBDC02">
      <w:pPr>
        <w:spacing w:after="240"/>
        <w:rPr>
          <w:rFonts w:eastAsia="Calibri"/>
        </w:rPr>
      </w:pPr>
      <w:r w:rsidRPr="59F09E28">
        <w:rPr>
          <w:rStyle w:val="normaltextrun"/>
          <w:rFonts w:cs="Arial"/>
        </w:rPr>
        <w:t>I</w:t>
      </w:r>
      <w:r w:rsidR="3E48E634" w:rsidRPr="59F09E28">
        <w:rPr>
          <w:rStyle w:val="normaltextrun"/>
          <w:rFonts w:cs="Arial"/>
        </w:rPr>
        <w:t>n</w:t>
      </w:r>
      <w:r w:rsidR="00737C88" w:rsidRPr="00B31C5F">
        <w:rPr>
          <w:rStyle w:val="normaltextrun"/>
          <w:rFonts w:cs="Arial"/>
        </w:rPr>
        <w:t xml:space="preserve"> May 2023, the Smarter Balanced Assessment Consortium </w:t>
      </w:r>
      <w:r w:rsidR="00BE3C63">
        <w:rPr>
          <w:rStyle w:val="normaltextrun"/>
          <w:rFonts w:cs="Arial"/>
        </w:rPr>
        <w:t>confirmed</w:t>
      </w:r>
      <w:r w:rsidR="00737C88" w:rsidRPr="00B31C5F">
        <w:rPr>
          <w:rStyle w:val="normaltextrun"/>
          <w:rFonts w:cs="Arial"/>
        </w:rPr>
        <w:t xml:space="preserve"> the reporting of composite </w:t>
      </w:r>
      <w:r w:rsidR="2CA2A28E" w:rsidRPr="59F09E28">
        <w:rPr>
          <w:rStyle w:val="normaltextrun"/>
          <w:rFonts w:cs="Arial"/>
        </w:rPr>
        <w:t>claim</w:t>
      </w:r>
      <w:r w:rsidR="00737C88" w:rsidRPr="00B31C5F">
        <w:rPr>
          <w:rStyle w:val="normaltextrun"/>
          <w:rFonts w:cs="Arial"/>
        </w:rPr>
        <w:t xml:space="preserve"> results for the ELA and mathematics adjusted form blueprint.</w:t>
      </w:r>
      <w:r w:rsidR="00737C88">
        <w:rPr>
          <w:rStyle w:val="normaltextrun"/>
          <w:rFonts w:cs="Arial"/>
        </w:rPr>
        <w:t xml:space="preserve"> </w:t>
      </w:r>
      <w:r w:rsidR="3E48E634" w:rsidRPr="59F09E28">
        <w:rPr>
          <w:rStyle w:val="normaltextrun"/>
          <w:rFonts w:cs="Arial"/>
        </w:rPr>
        <w:t xml:space="preserve">The </w:t>
      </w:r>
      <w:r w:rsidR="7FCBA594" w:rsidRPr="59F09E28">
        <w:rPr>
          <w:rStyle w:val="normaltextrun"/>
          <w:rFonts w:cs="Arial"/>
        </w:rPr>
        <w:t>proposed</w:t>
      </w:r>
      <w:r w:rsidR="00737C88" w:rsidRPr="00200E59">
        <w:rPr>
          <w:rStyle w:val="normaltextrun"/>
          <w:rFonts w:cs="Arial"/>
        </w:rPr>
        <w:t xml:space="preserve"> </w:t>
      </w:r>
      <w:r w:rsidR="00737C88" w:rsidRPr="00163830">
        <w:rPr>
          <w:rStyle w:val="normaltextrun"/>
          <w:rFonts w:cs="Arial"/>
        </w:rPr>
        <w:t xml:space="preserve">2023–24 </w:t>
      </w:r>
      <w:r w:rsidR="006E403C" w:rsidRPr="00163830">
        <w:rPr>
          <w:rStyle w:val="normaltextrun"/>
          <w:rFonts w:cs="Arial"/>
        </w:rPr>
        <w:t xml:space="preserve">CAASPP </w:t>
      </w:r>
      <w:r w:rsidR="00737C88" w:rsidRPr="00163830">
        <w:rPr>
          <w:rStyle w:val="normaltextrun"/>
          <w:rFonts w:cs="Arial"/>
        </w:rPr>
        <w:t>SSRs will include a section focused on</w:t>
      </w:r>
      <w:r w:rsidR="00214CBA" w:rsidRPr="00163830">
        <w:rPr>
          <w:rStyle w:val="normaltextrun"/>
          <w:rFonts w:cs="Arial"/>
        </w:rPr>
        <w:t xml:space="preserve"> the </w:t>
      </w:r>
      <w:r w:rsidR="007B5D8B" w:rsidRPr="00163830">
        <w:rPr>
          <w:rStyle w:val="normaltextrun"/>
          <w:rFonts w:cs="Arial"/>
        </w:rPr>
        <w:t>Smarter Balanced Summative Assessments for ELA and mathematics</w:t>
      </w:r>
      <w:r w:rsidR="00737C88" w:rsidRPr="00163830">
        <w:rPr>
          <w:rStyle w:val="normaltextrun"/>
          <w:rFonts w:cs="Arial"/>
        </w:rPr>
        <w:t xml:space="preserve"> composite claim results</w:t>
      </w:r>
      <w:r w:rsidR="354475C1" w:rsidRPr="00163830">
        <w:rPr>
          <w:rStyle w:val="normaltextrun"/>
          <w:rFonts w:cs="Arial"/>
        </w:rPr>
        <w:t>.</w:t>
      </w:r>
      <w:r w:rsidR="00737C88" w:rsidRPr="00163830">
        <w:rPr>
          <w:rStyle w:val="normaltextrun"/>
          <w:rFonts w:cs="Arial"/>
        </w:rPr>
        <w:t xml:space="preserve"> </w:t>
      </w:r>
      <w:r w:rsidR="001823FA" w:rsidRPr="00163830">
        <w:rPr>
          <w:rStyle w:val="normaltextrun"/>
          <w:rFonts w:cs="Arial"/>
        </w:rPr>
        <w:t xml:space="preserve">Composite claim results will be reported using the same performance levels as the individual claim results—Below Standard, Near Standard, and Above Standard. </w:t>
      </w:r>
      <w:r w:rsidR="00FE1BE1" w:rsidRPr="00163830">
        <w:rPr>
          <w:rStyle w:val="normaltextrun"/>
          <w:rFonts w:cs="Arial"/>
        </w:rPr>
        <w:t xml:space="preserve">Near Standard means that a student’s performance was at standard, slightly above standard, or slightly below standard for the specific </w:t>
      </w:r>
      <w:r w:rsidR="00C1627D" w:rsidRPr="00163830">
        <w:rPr>
          <w:rStyle w:val="normaltextrun"/>
          <w:rFonts w:cs="Arial"/>
        </w:rPr>
        <w:t xml:space="preserve">performance area of the assessment. </w:t>
      </w:r>
      <w:r w:rsidR="00430C26" w:rsidRPr="00163830">
        <w:rPr>
          <w:rStyle w:val="normaltextrun"/>
          <w:rFonts w:cs="Arial"/>
        </w:rPr>
        <w:t>In addition, t</w:t>
      </w:r>
      <w:r w:rsidR="00737C88" w:rsidRPr="00163830">
        <w:rPr>
          <w:rStyle w:val="normaltextrun"/>
          <w:rFonts w:cs="Arial"/>
        </w:rPr>
        <w:t xml:space="preserve">he Starting Smarter website will be updated to include explanations of each composite claim in ELA and </w:t>
      </w:r>
      <w:r w:rsidR="00737C88" w:rsidRPr="00163830">
        <w:rPr>
          <w:rFonts w:eastAsia="Calibri"/>
        </w:rPr>
        <w:t xml:space="preserve">mathematics as well as guidance for understanding </w:t>
      </w:r>
      <w:r w:rsidR="304C4598" w:rsidRPr="00163830">
        <w:rPr>
          <w:rFonts w:eastAsia="Calibri"/>
        </w:rPr>
        <w:t>composite</w:t>
      </w:r>
      <w:r w:rsidR="304C4598" w:rsidRPr="17C3A36B">
        <w:rPr>
          <w:rFonts w:eastAsia="Calibri"/>
        </w:rPr>
        <w:t xml:space="preserve"> </w:t>
      </w:r>
      <w:r w:rsidR="00737C88" w:rsidRPr="00AE4B06">
        <w:rPr>
          <w:rFonts w:eastAsia="Calibri"/>
        </w:rPr>
        <w:t>claim results.</w:t>
      </w:r>
    </w:p>
    <w:p w14:paraId="278B1640" w14:textId="24236F59" w:rsidR="00737C88" w:rsidRDefault="00737C88" w:rsidP="00737C88">
      <w:pPr>
        <w:spacing w:before="240" w:after="240"/>
        <w:rPr>
          <w:rStyle w:val="normaltextrun"/>
          <w:rFonts w:cs="Arial"/>
        </w:rPr>
      </w:pPr>
      <w:r w:rsidRPr="00163830">
        <w:rPr>
          <w:rFonts w:eastAsia="Calibri"/>
        </w:rPr>
        <w:t>For ELA, the</w:t>
      </w:r>
      <w:r w:rsidRPr="00AE4B06">
        <w:rPr>
          <w:rFonts w:eastAsia="Calibri"/>
        </w:rPr>
        <w:t xml:space="preserve"> current Reading and Listening claims will be combined into a single Reading and Listening composite claim, while the Writing and Research claims will be combined into a single Writing and Research composite claim. For mathematics, the Concepts and Procedures claim will remain while the other three claims will be combined into a single Mathematical Practices composite claim.</w:t>
      </w:r>
      <w:r w:rsidR="000A3498" w:rsidRPr="000A3498">
        <w:rPr>
          <w:rFonts w:eastAsia="Calibri" w:cs="Arial"/>
        </w:rPr>
        <w:t xml:space="preserve"> </w:t>
      </w:r>
      <w:r w:rsidR="285DCE5B" w:rsidRPr="25CA5DFC">
        <w:rPr>
          <w:rFonts w:eastAsia="Calibri"/>
        </w:rPr>
        <w:t>Starting</w:t>
      </w:r>
      <w:r w:rsidR="285DCE5B" w:rsidRPr="52D5005F">
        <w:rPr>
          <w:rFonts w:eastAsia="Calibri"/>
        </w:rPr>
        <w:t xml:space="preserve"> with</w:t>
      </w:r>
      <w:r w:rsidR="00B622E2">
        <w:rPr>
          <w:rFonts w:eastAsia="Calibri"/>
        </w:rPr>
        <w:t xml:space="preserve"> the </w:t>
      </w:r>
      <w:r w:rsidR="00DD6766">
        <w:rPr>
          <w:rFonts w:eastAsia="Calibri"/>
        </w:rPr>
        <w:br/>
      </w:r>
      <w:r w:rsidR="00B622E2" w:rsidRPr="25CA5DFC">
        <w:rPr>
          <w:rFonts w:eastAsia="Calibri"/>
        </w:rPr>
        <w:lastRenderedPageBreak/>
        <w:t>202</w:t>
      </w:r>
      <w:r w:rsidR="55A36F17" w:rsidRPr="25CA5DFC">
        <w:rPr>
          <w:rFonts w:eastAsia="Calibri"/>
        </w:rPr>
        <w:t>3</w:t>
      </w:r>
      <w:r w:rsidR="00F80906" w:rsidRPr="25CA5DFC">
        <w:rPr>
          <w:rFonts w:eastAsia="Calibri"/>
        </w:rPr>
        <w:t>–2</w:t>
      </w:r>
      <w:r w:rsidR="1EF8A0F5" w:rsidRPr="25CA5DFC">
        <w:rPr>
          <w:rFonts w:eastAsia="Calibri"/>
        </w:rPr>
        <w:t>4</w:t>
      </w:r>
      <w:r w:rsidR="00F80906">
        <w:rPr>
          <w:rFonts w:eastAsia="Calibri"/>
        </w:rPr>
        <w:t xml:space="preserve"> results, t</w:t>
      </w:r>
      <w:r w:rsidR="00396A83">
        <w:rPr>
          <w:rFonts w:eastAsia="Calibri"/>
        </w:rPr>
        <w:t xml:space="preserve">he </w:t>
      </w:r>
      <w:r w:rsidR="00F658E7">
        <w:rPr>
          <w:rFonts w:eastAsia="Calibri"/>
        </w:rPr>
        <w:t xml:space="preserve">CDE will report </w:t>
      </w:r>
      <w:r w:rsidR="00F658E7" w:rsidRPr="25CA5DFC">
        <w:rPr>
          <w:rFonts w:eastAsia="Calibri"/>
        </w:rPr>
        <w:t>a</w:t>
      </w:r>
      <w:r w:rsidRPr="25CA5DFC">
        <w:rPr>
          <w:rFonts w:eastAsia="Calibri"/>
        </w:rPr>
        <w:t>ggregate</w:t>
      </w:r>
      <w:r w:rsidRPr="00AE4B06">
        <w:rPr>
          <w:rFonts w:eastAsia="Calibri"/>
        </w:rPr>
        <w:t xml:space="preserve"> composite</w:t>
      </w:r>
      <w:r>
        <w:rPr>
          <w:rStyle w:val="normaltextrun"/>
          <w:rFonts w:cs="Arial"/>
        </w:rPr>
        <w:t xml:space="preserve"> claim results for student groups of 11 or more on the Test Results for California’s Assessments website at </w:t>
      </w:r>
      <w:hyperlink r:id="rId18" w:tooltip="This link opens the Test Results for California’s Assessments website.">
        <w:r w:rsidR="1DD620A5" w:rsidRPr="1A022422">
          <w:rPr>
            <w:rStyle w:val="normaltextrun"/>
            <w:rFonts w:cs="Arial"/>
            <w:color w:val="0000FF"/>
            <w:u w:val="single"/>
          </w:rPr>
          <w:t>https://caaspp-elpac.ets.org/</w:t>
        </w:r>
      </w:hyperlink>
      <w:r w:rsidR="1DD620A5" w:rsidRPr="1A022422">
        <w:rPr>
          <w:rStyle w:val="normaltextrun"/>
          <w:rFonts w:cs="Arial"/>
        </w:rPr>
        <w:t>.</w:t>
      </w:r>
      <w:r>
        <w:rPr>
          <w:rStyle w:val="normaltextrun"/>
          <w:rFonts w:cs="Arial"/>
        </w:rPr>
        <w:t xml:space="preserve"> Aggregate results for individual claims will continue to be available for student groups of 30 or more.</w:t>
      </w:r>
      <w:r w:rsidR="00CB719D" w:rsidRPr="00CB719D">
        <w:rPr>
          <w:rFonts w:eastAsia="Calibri" w:cs="Arial"/>
        </w:rPr>
        <w:t xml:space="preserve"> </w:t>
      </w:r>
      <w:r w:rsidR="00CB719D" w:rsidRPr="00163830">
        <w:rPr>
          <w:rFonts w:eastAsia="Calibri" w:cs="Arial"/>
        </w:rPr>
        <w:t>(Attachment 1, pages 2–3, displays examples of a student’s composite cl</w:t>
      </w:r>
      <w:r w:rsidR="00CB719D" w:rsidRPr="00163830">
        <w:rPr>
          <w:rFonts w:eastAsia="Calibri"/>
        </w:rPr>
        <w:t>aim score for ELA and mathematics, respectively.)</w:t>
      </w:r>
    </w:p>
    <w:p w14:paraId="2A086C4E" w14:textId="1907058C" w:rsidR="00CB1D9E" w:rsidRPr="000158E5" w:rsidRDefault="00ED3BFB" w:rsidP="000158E5">
      <w:pPr>
        <w:pStyle w:val="Heading4"/>
        <w:keepNext/>
        <w:spacing w:before="480"/>
        <w:rPr>
          <w:sz w:val="28"/>
        </w:rPr>
      </w:pPr>
      <w:r w:rsidRPr="000158E5">
        <w:rPr>
          <w:sz w:val="28"/>
        </w:rPr>
        <w:t>Lexile</w:t>
      </w:r>
      <w:r w:rsidR="00091160" w:rsidRPr="000158E5">
        <w:rPr>
          <w:sz w:val="28"/>
          <w:vertAlign w:val="superscript"/>
        </w:rPr>
        <w:t>®</w:t>
      </w:r>
      <w:r w:rsidRPr="000158E5">
        <w:rPr>
          <w:sz w:val="28"/>
        </w:rPr>
        <w:t xml:space="preserve"> and Quantile</w:t>
      </w:r>
      <w:r w:rsidR="00091160" w:rsidRPr="000158E5">
        <w:rPr>
          <w:sz w:val="28"/>
          <w:vertAlign w:val="superscript"/>
        </w:rPr>
        <w:t>®</w:t>
      </w:r>
      <w:r w:rsidR="00091160" w:rsidRPr="000158E5">
        <w:rPr>
          <w:sz w:val="28"/>
        </w:rPr>
        <w:t xml:space="preserve"> </w:t>
      </w:r>
      <w:r w:rsidR="29E0E2D3" w:rsidRPr="000158E5">
        <w:rPr>
          <w:sz w:val="28"/>
        </w:rPr>
        <w:t>Measures</w:t>
      </w:r>
    </w:p>
    <w:p w14:paraId="1E4C4A97" w14:textId="2D2D0860" w:rsidR="00C9053D" w:rsidRDefault="354E19C3" w:rsidP="25CA5DFC">
      <w:pPr>
        <w:keepNext/>
        <w:spacing w:before="240" w:after="240"/>
        <w:rPr>
          <w:rFonts w:eastAsia="Calibri" w:cs="Arial"/>
        </w:rPr>
      </w:pPr>
      <w:r w:rsidRPr="353C5240">
        <w:rPr>
          <w:rFonts w:eastAsia="Calibri" w:cs="Arial"/>
        </w:rPr>
        <w:t>Lexile</w:t>
      </w:r>
      <w:r w:rsidR="00977479" w:rsidRPr="00977479">
        <w:rPr>
          <w:vertAlign w:val="superscript"/>
        </w:rPr>
        <w:t>®</w:t>
      </w:r>
      <w:r w:rsidRPr="353C5240">
        <w:rPr>
          <w:rFonts w:eastAsia="Calibri" w:cs="Arial"/>
        </w:rPr>
        <w:t xml:space="preserve"> and Quantile</w:t>
      </w:r>
      <w:r w:rsidR="00977479" w:rsidRPr="00977479">
        <w:rPr>
          <w:vertAlign w:val="superscript"/>
        </w:rPr>
        <w:t>®</w:t>
      </w:r>
      <w:r w:rsidRPr="353C5240">
        <w:rPr>
          <w:rFonts w:eastAsia="Calibri" w:cs="Arial"/>
        </w:rPr>
        <w:t xml:space="preserve"> measures provide a targeted approach for matching students with resources appropriate to their ability. Lexile</w:t>
      </w:r>
      <w:r w:rsidR="00977479" w:rsidRPr="00977479">
        <w:rPr>
          <w:vertAlign w:val="superscript"/>
        </w:rPr>
        <w:t>®</w:t>
      </w:r>
      <w:r w:rsidRPr="353C5240">
        <w:rPr>
          <w:rFonts w:eastAsia="Calibri" w:cs="Arial"/>
        </w:rPr>
        <w:t xml:space="preserve"> measures indicate students' reading abilities and Quantile</w:t>
      </w:r>
      <w:r w:rsidR="00977479" w:rsidRPr="00977479">
        <w:rPr>
          <w:vertAlign w:val="superscript"/>
        </w:rPr>
        <w:t>®</w:t>
      </w:r>
      <w:r w:rsidRPr="353C5240">
        <w:rPr>
          <w:rFonts w:eastAsia="Calibri" w:cs="Arial"/>
        </w:rPr>
        <w:t xml:space="preserve"> measures indicate students' readiness for instruction in mathematics. </w:t>
      </w:r>
      <w:r w:rsidR="735533C4" w:rsidRPr="353C5240">
        <w:rPr>
          <w:rFonts w:eastAsia="Calibri" w:cs="Arial"/>
        </w:rPr>
        <w:t xml:space="preserve">Both measures are based on the student’s scale score in ELA and mathematics, respectively, and do not require a </w:t>
      </w:r>
      <w:r w:rsidR="780FDA49" w:rsidRPr="353C5240">
        <w:rPr>
          <w:rFonts w:eastAsia="Calibri" w:cs="Arial"/>
        </w:rPr>
        <w:t>separate</w:t>
      </w:r>
      <w:r w:rsidR="5002DF9F" w:rsidRPr="353C5240">
        <w:rPr>
          <w:rFonts w:eastAsia="Calibri" w:cs="Arial"/>
        </w:rPr>
        <w:t xml:space="preserve"> </w:t>
      </w:r>
      <w:r w:rsidR="780FDA49" w:rsidRPr="353C5240">
        <w:rPr>
          <w:rFonts w:eastAsia="Calibri" w:cs="Arial"/>
        </w:rPr>
        <w:t>assessment. Currently, these measures are provided in a separate report from the SSR</w:t>
      </w:r>
      <w:r w:rsidR="2267AB36" w:rsidRPr="353C5240">
        <w:rPr>
          <w:rFonts w:eastAsia="Calibri" w:cs="Arial"/>
        </w:rPr>
        <w:t xml:space="preserve"> for optional distribution by LEAs.</w:t>
      </w:r>
      <w:r w:rsidR="2267AB36" w:rsidRPr="353C5240" w:rsidDel="00CB719D">
        <w:rPr>
          <w:rFonts w:eastAsia="Calibri" w:cs="Arial"/>
        </w:rPr>
        <w:t xml:space="preserve"> </w:t>
      </w:r>
      <w:r w:rsidR="004C2E0D" w:rsidRPr="00163830">
        <w:rPr>
          <w:rFonts w:eastAsia="Calibri" w:cs="Arial"/>
        </w:rPr>
        <w:t xml:space="preserve">In an effort </w:t>
      </w:r>
      <w:r w:rsidR="000B574D" w:rsidRPr="00163830">
        <w:rPr>
          <w:rFonts w:eastAsia="Calibri" w:cs="Arial"/>
        </w:rPr>
        <w:t>to provide parents and guardians</w:t>
      </w:r>
      <w:r w:rsidR="002D1993" w:rsidRPr="00163830">
        <w:rPr>
          <w:rFonts w:eastAsia="Calibri" w:cs="Arial"/>
        </w:rPr>
        <w:t xml:space="preserve"> more information</w:t>
      </w:r>
      <w:r w:rsidR="0006060A" w:rsidRPr="00163830">
        <w:rPr>
          <w:rFonts w:eastAsia="Calibri" w:cs="Arial"/>
        </w:rPr>
        <w:t xml:space="preserve"> </w:t>
      </w:r>
      <w:r w:rsidR="00DE25E1" w:rsidRPr="00163830">
        <w:rPr>
          <w:rFonts w:eastAsia="Calibri" w:cs="Arial"/>
        </w:rPr>
        <w:t xml:space="preserve">in understanding their </w:t>
      </w:r>
      <w:r w:rsidR="00F67C94" w:rsidRPr="00163830">
        <w:rPr>
          <w:rFonts w:eastAsia="Calibri" w:cs="Arial"/>
        </w:rPr>
        <w:t xml:space="preserve">child’s achievement, </w:t>
      </w:r>
      <w:r w:rsidR="00DB166F" w:rsidRPr="00163830">
        <w:rPr>
          <w:rFonts w:eastAsia="Calibri" w:cs="Arial"/>
        </w:rPr>
        <w:t>accompanied with</w:t>
      </w:r>
      <w:r w:rsidR="0006060A" w:rsidRPr="00163830">
        <w:rPr>
          <w:rFonts w:eastAsia="Calibri" w:cs="Arial"/>
        </w:rPr>
        <w:t xml:space="preserve"> resources to </w:t>
      </w:r>
      <w:r w:rsidR="00F002CF" w:rsidRPr="00163830">
        <w:rPr>
          <w:rFonts w:eastAsia="Calibri" w:cs="Arial"/>
        </w:rPr>
        <w:t xml:space="preserve">support </w:t>
      </w:r>
      <w:r w:rsidR="00904AD4" w:rsidRPr="00163830">
        <w:rPr>
          <w:rFonts w:eastAsia="Calibri" w:cs="Arial"/>
        </w:rPr>
        <w:t xml:space="preserve">their </w:t>
      </w:r>
      <w:r w:rsidR="00F67C94" w:rsidRPr="00163830">
        <w:rPr>
          <w:rFonts w:eastAsia="Calibri" w:cs="Arial"/>
        </w:rPr>
        <w:t xml:space="preserve">child’s learning, the CDE proposes that </w:t>
      </w:r>
      <w:r w:rsidR="00190EE9" w:rsidRPr="00163830">
        <w:rPr>
          <w:rFonts w:eastAsia="Calibri" w:cs="Arial"/>
        </w:rPr>
        <w:t>Lexile</w:t>
      </w:r>
      <w:r w:rsidR="00977479" w:rsidRPr="00163830">
        <w:rPr>
          <w:vertAlign w:val="superscript"/>
        </w:rPr>
        <w:t>®</w:t>
      </w:r>
      <w:r w:rsidR="00190EE9" w:rsidRPr="00163830">
        <w:rPr>
          <w:rFonts w:eastAsia="Calibri" w:cs="Arial"/>
        </w:rPr>
        <w:t xml:space="preserve"> and Quantile</w:t>
      </w:r>
      <w:r w:rsidR="00977479" w:rsidRPr="00163830">
        <w:rPr>
          <w:vertAlign w:val="superscript"/>
        </w:rPr>
        <w:t>®</w:t>
      </w:r>
      <w:r w:rsidR="00190EE9" w:rsidRPr="00163830">
        <w:rPr>
          <w:rFonts w:eastAsia="Calibri" w:cs="Arial"/>
        </w:rPr>
        <w:t xml:space="preserve"> measures </w:t>
      </w:r>
      <w:r w:rsidR="00F67C94" w:rsidRPr="00163830">
        <w:rPr>
          <w:rFonts w:eastAsia="Calibri" w:cs="Arial"/>
        </w:rPr>
        <w:t>be</w:t>
      </w:r>
      <w:r w:rsidR="00F50DB0" w:rsidRPr="00163830">
        <w:rPr>
          <w:rFonts w:eastAsia="Calibri" w:cs="Arial"/>
        </w:rPr>
        <w:t xml:space="preserve"> </w:t>
      </w:r>
      <w:r w:rsidR="00190EE9" w:rsidRPr="00163830">
        <w:rPr>
          <w:rFonts w:eastAsia="Calibri" w:cs="Arial"/>
        </w:rPr>
        <w:t xml:space="preserve">added to the </w:t>
      </w:r>
      <w:r w:rsidR="0018592D" w:rsidRPr="00163830">
        <w:rPr>
          <w:rFonts w:eastAsia="Calibri" w:cs="Arial"/>
        </w:rPr>
        <w:t xml:space="preserve">CAASPP </w:t>
      </w:r>
      <w:r w:rsidR="00190EE9" w:rsidRPr="00163830">
        <w:rPr>
          <w:rFonts w:eastAsia="Calibri" w:cs="Arial"/>
        </w:rPr>
        <w:t xml:space="preserve">SSR </w:t>
      </w:r>
      <w:r w:rsidR="0018592D" w:rsidRPr="00163830">
        <w:rPr>
          <w:rFonts w:eastAsia="Calibri" w:cs="Arial"/>
        </w:rPr>
        <w:t>with</w:t>
      </w:r>
      <w:r w:rsidR="00190EE9" w:rsidRPr="00163830">
        <w:rPr>
          <w:rFonts w:eastAsia="Calibri" w:cs="Arial"/>
        </w:rPr>
        <w:t xml:space="preserve"> the Smarter Balanced </w:t>
      </w:r>
      <w:r w:rsidR="008F6B8F" w:rsidRPr="00163830">
        <w:rPr>
          <w:rFonts w:eastAsia="Calibri" w:cs="Arial"/>
        </w:rPr>
        <w:t xml:space="preserve">Summative </w:t>
      </w:r>
      <w:r w:rsidR="00190EE9" w:rsidRPr="00163830">
        <w:rPr>
          <w:rFonts w:eastAsia="Calibri" w:cs="Arial"/>
        </w:rPr>
        <w:t>Assessments in ELA and mathematics</w:t>
      </w:r>
      <w:r w:rsidR="00A945B3" w:rsidRPr="00163830">
        <w:rPr>
          <w:rFonts w:eastAsia="Calibri" w:cs="Arial"/>
        </w:rPr>
        <w:t>.</w:t>
      </w:r>
      <w:r w:rsidR="00684A55" w:rsidRPr="00163830">
        <w:rPr>
          <w:rFonts w:eastAsia="Calibri" w:cs="Arial"/>
        </w:rPr>
        <w:t xml:space="preserve"> </w:t>
      </w:r>
      <w:r w:rsidR="00A945B3" w:rsidRPr="00163830">
        <w:rPr>
          <w:rFonts w:eastAsia="Calibri" w:cs="Arial"/>
        </w:rPr>
        <w:t>With these measures provided on the CAASPP SSR,</w:t>
      </w:r>
      <w:r w:rsidR="00684A55" w:rsidRPr="353C5240">
        <w:rPr>
          <w:rFonts w:eastAsia="Calibri" w:cs="Arial"/>
        </w:rPr>
        <w:t xml:space="preserve"> </w:t>
      </w:r>
      <w:r w:rsidR="003513B2" w:rsidRPr="353C5240">
        <w:rPr>
          <w:rFonts w:eastAsia="Calibri" w:cs="Arial"/>
        </w:rPr>
        <w:t>a separate Lexile</w:t>
      </w:r>
      <w:r w:rsidR="00977479" w:rsidRPr="00977479">
        <w:rPr>
          <w:vertAlign w:val="superscript"/>
        </w:rPr>
        <w:t>®</w:t>
      </w:r>
      <w:r w:rsidR="003513B2" w:rsidRPr="353C5240">
        <w:rPr>
          <w:rFonts w:eastAsia="Calibri" w:cs="Arial"/>
        </w:rPr>
        <w:t xml:space="preserve"> and Quantile</w:t>
      </w:r>
      <w:r w:rsidR="00977479" w:rsidRPr="00977479">
        <w:rPr>
          <w:vertAlign w:val="superscript"/>
        </w:rPr>
        <w:t>®</w:t>
      </w:r>
      <w:r w:rsidR="003513B2" w:rsidRPr="005B4812">
        <w:rPr>
          <w:rFonts w:eastAsia="Calibri" w:cs="Arial"/>
        </w:rPr>
        <w:t xml:space="preserve"> </w:t>
      </w:r>
      <w:r w:rsidR="003513B2" w:rsidRPr="353C5240">
        <w:rPr>
          <w:rFonts w:eastAsia="Calibri" w:cs="Arial"/>
        </w:rPr>
        <w:t xml:space="preserve">Measures Report will no longer </w:t>
      </w:r>
      <w:r w:rsidR="005C28C5" w:rsidRPr="353C5240">
        <w:rPr>
          <w:rFonts w:eastAsia="Calibri" w:cs="Arial"/>
        </w:rPr>
        <w:t xml:space="preserve">need </w:t>
      </w:r>
      <w:r w:rsidR="00EC59A0" w:rsidRPr="353C5240">
        <w:rPr>
          <w:rFonts w:eastAsia="Calibri" w:cs="Arial"/>
        </w:rPr>
        <w:t xml:space="preserve">to </w:t>
      </w:r>
      <w:r w:rsidR="003513B2" w:rsidRPr="353C5240">
        <w:rPr>
          <w:rFonts w:eastAsia="Calibri" w:cs="Arial"/>
        </w:rPr>
        <w:t>be produced</w:t>
      </w:r>
      <w:r w:rsidR="00615C6D" w:rsidRPr="00163830">
        <w:rPr>
          <w:rFonts w:eastAsia="Calibri" w:cs="Arial"/>
        </w:rPr>
        <w:t xml:space="preserve">, </w:t>
      </w:r>
      <w:r w:rsidR="0039010F" w:rsidRPr="00163830">
        <w:rPr>
          <w:rFonts w:eastAsia="Calibri" w:cs="Arial"/>
        </w:rPr>
        <w:t xml:space="preserve">simplifying the number of score reports </w:t>
      </w:r>
      <w:r w:rsidR="00B22217" w:rsidRPr="00163830">
        <w:rPr>
          <w:rFonts w:eastAsia="Calibri" w:cs="Arial"/>
        </w:rPr>
        <w:t>for students, parents, guardians, and LEAs</w:t>
      </w:r>
      <w:r w:rsidR="003513B2" w:rsidRPr="00163830">
        <w:rPr>
          <w:rFonts w:eastAsia="Calibri" w:cs="Arial"/>
        </w:rPr>
        <w:t xml:space="preserve">. </w:t>
      </w:r>
      <w:r w:rsidR="00CB719D" w:rsidRPr="00163830">
        <w:rPr>
          <w:rFonts w:eastAsia="Calibri" w:cs="Arial"/>
        </w:rPr>
        <w:t>(Attachment 1, page 4, displays an example of reporting the Lexile</w:t>
      </w:r>
      <w:r w:rsidR="00CB719D" w:rsidRPr="00163830">
        <w:rPr>
          <w:vertAlign w:val="superscript"/>
        </w:rPr>
        <w:t>®</w:t>
      </w:r>
      <w:r w:rsidR="00CB719D" w:rsidRPr="00163830">
        <w:rPr>
          <w:rFonts w:eastAsia="Calibri" w:cs="Arial"/>
        </w:rPr>
        <w:t xml:space="preserve"> and Quantile</w:t>
      </w:r>
      <w:r w:rsidR="00CB719D" w:rsidRPr="00163830">
        <w:rPr>
          <w:vertAlign w:val="superscript"/>
        </w:rPr>
        <w:t>®</w:t>
      </w:r>
      <w:r w:rsidR="00CB719D" w:rsidRPr="00163830">
        <w:rPr>
          <w:rFonts w:eastAsia="Calibri" w:cs="Arial"/>
        </w:rPr>
        <w:t xml:space="preserve"> measures for ELA and mathematics, respectively</w:t>
      </w:r>
      <w:r w:rsidR="00E76F21" w:rsidRPr="00163830">
        <w:rPr>
          <w:rFonts w:eastAsia="Calibri" w:cs="Arial"/>
        </w:rPr>
        <w:t>.</w:t>
      </w:r>
      <w:r w:rsidR="00CB719D" w:rsidRPr="00163830">
        <w:rPr>
          <w:rFonts w:eastAsia="Calibri" w:cs="Arial"/>
        </w:rPr>
        <w:t>)</w:t>
      </w:r>
    </w:p>
    <w:p w14:paraId="51686FC9" w14:textId="5FF82300" w:rsidR="00CB1D9E" w:rsidRPr="000158E5" w:rsidRDefault="00CB1D9E" w:rsidP="000158E5">
      <w:pPr>
        <w:pStyle w:val="Heading4"/>
        <w:spacing w:before="480"/>
        <w:rPr>
          <w:sz w:val="28"/>
        </w:rPr>
      </w:pPr>
      <w:r w:rsidRPr="000158E5">
        <w:rPr>
          <w:sz w:val="28"/>
        </w:rPr>
        <w:t xml:space="preserve">Student’s </w:t>
      </w:r>
      <w:r w:rsidR="007C6AF5" w:rsidRPr="000158E5">
        <w:rPr>
          <w:sz w:val="28"/>
        </w:rPr>
        <w:t>Writing Extended Response</w:t>
      </w:r>
      <w:r w:rsidR="00D1073E" w:rsidRPr="000158E5">
        <w:rPr>
          <w:sz w:val="28"/>
        </w:rPr>
        <w:t xml:space="preserve"> </w:t>
      </w:r>
      <w:r w:rsidR="0059382F" w:rsidRPr="000158E5">
        <w:rPr>
          <w:sz w:val="28"/>
        </w:rPr>
        <w:t xml:space="preserve">Result </w:t>
      </w:r>
      <w:r w:rsidR="00191D2E" w:rsidRPr="000158E5">
        <w:rPr>
          <w:sz w:val="28"/>
        </w:rPr>
        <w:t>for E</w:t>
      </w:r>
      <w:r w:rsidR="00002971">
        <w:rPr>
          <w:sz w:val="28"/>
        </w:rPr>
        <w:t>nglish Language Arts/</w:t>
      </w:r>
      <w:r w:rsidR="00B92491">
        <w:rPr>
          <w:sz w:val="28"/>
        </w:rPr>
        <w:t>L</w:t>
      </w:r>
      <w:r w:rsidR="00002971">
        <w:rPr>
          <w:sz w:val="28"/>
        </w:rPr>
        <w:t>iteracy</w:t>
      </w:r>
    </w:p>
    <w:p w14:paraId="6697C83E" w14:textId="0A0F351F" w:rsidR="17678A00" w:rsidRPr="00F63EC4" w:rsidRDefault="17678A00" w:rsidP="4178AC66">
      <w:pPr>
        <w:spacing w:before="240" w:after="240"/>
        <w:contextualSpacing/>
        <w:rPr>
          <w:rFonts w:eastAsia="Calibri" w:cs="Arial"/>
        </w:rPr>
      </w:pPr>
      <w:r w:rsidRPr="4178AC66">
        <w:rPr>
          <w:rFonts w:eastAsia="Calibri" w:cs="Arial"/>
        </w:rPr>
        <w:t xml:space="preserve">The Smarter </w:t>
      </w:r>
      <w:r w:rsidRPr="00163830">
        <w:rPr>
          <w:rFonts w:eastAsia="Calibri" w:cs="Arial"/>
        </w:rPr>
        <w:t xml:space="preserve">Balanced </w:t>
      </w:r>
      <w:r w:rsidR="004A7E6C" w:rsidRPr="00163830">
        <w:rPr>
          <w:rFonts w:eastAsia="Calibri" w:cs="Arial"/>
        </w:rPr>
        <w:t>Summative Assessment</w:t>
      </w:r>
      <w:r w:rsidRPr="00163830">
        <w:rPr>
          <w:rFonts w:eastAsia="Calibri" w:cs="Arial"/>
        </w:rPr>
        <w:t xml:space="preserve"> for</w:t>
      </w:r>
      <w:r w:rsidRPr="4178AC66">
        <w:rPr>
          <w:rFonts w:eastAsia="Calibri" w:cs="Arial"/>
        </w:rPr>
        <w:t xml:space="preserve"> ELA performance task includes a Writing Extended Response (WER) item, sometimes referred to as the full-write or essay question. The WER item requires students to synthesize information from multiple sources to produce one extended informational, argumentative, or narrative written response. The WER is scored on three traits of writing—</w:t>
      </w:r>
      <w:r w:rsidR="02F79058" w:rsidRPr="1A022422">
        <w:rPr>
          <w:rFonts w:eastAsia="Calibri" w:cs="Arial"/>
        </w:rPr>
        <w:t>o</w:t>
      </w:r>
      <w:r w:rsidR="16F21F33" w:rsidRPr="1A022422">
        <w:rPr>
          <w:rFonts w:eastAsia="Calibri" w:cs="Arial"/>
        </w:rPr>
        <w:t>rganization/</w:t>
      </w:r>
      <w:r w:rsidR="13062482" w:rsidRPr="1A022422">
        <w:rPr>
          <w:rFonts w:eastAsia="Calibri" w:cs="Arial"/>
        </w:rPr>
        <w:t>p</w:t>
      </w:r>
      <w:r w:rsidR="16F21F33" w:rsidRPr="1A022422">
        <w:rPr>
          <w:rFonts w:eastAsia="Calibri" w:cs="Arial"/>
        </w:rPr>
        <w:t xml:space="preserve">urpose, </w:t>
      </w:r>
      <w:r w:rsidR="2C5732D3" w:rsidRPr="1A022422">
        <w:rPr>
          <w:rFonts w:eastAsia="Calibri" w:cs="Arial"/>
        </w:rPr>
        <w:t>e</w:t>
      </w:r>
      <w:r w:rsidR="16F21F33" w:rsidRPr="1A022422">
        <w:rPr>
          <w:rFonts w:eastAsia="Calibri" w:cs="Arial"/>
        </w:rPr>
        <w:t>vidence/</w:t>
      </w:r>
      <w:r w:rsidR="0C91CF97" w:rsidRPr="1A022422">
        <w:rPr>
          <w:rFonts w:eastAsia="Calibri" w:cs="Arial"/>
        </w:rPr>
        <w:t>e</w:t>
      </w:r>
      <w:r w:rsidR="16F21F33" w:rsidRPr="1A022422">
        <w:rPr>
          <w:rFonts w:eastAsia="Calibri" w:cs="Arial"/>
        </w:rPr>
        <w:t>laboration</w:t>
      </w:r>
      <w:r w:rsidRPr="4178AC66">
        <w:rPr>
          <w:rFonts w:eastAsia="Calibri" w:cs="Arial"/>
        </w:rPr>
        <w:t xml:space="preserve">, and </w:t>
      </w:r>
      <w:r w:rsidR="05D457D0" w:rsidRPr="1A022422">
        <w:rPr>
          <w:rFonts w:eastAsia="Calibri" w:cs="Arial"/>
        </w:rPr>
        <w:t>c</w:t>
      </w:r>
      <w:r w:rsidR="16F21F33" w:rsidRPr="1A022422">
        <w:rPr>
          <w:rFonts w:eastAsia="Calibri" w:cs="Arial"/>
        </w:rPr>
        <w:t>onventions.</w:t>
      </w:r>
      <w:r w:rsidRPr="4178AC66">
        <w:rPr>
          <w:rFonts w:eastAsia="Calibri" w:cs="Arial"/>
        </w:rPr>
        <w:t xml:space="preserve"> </w:t>
      </w:r>
      <w:r w:rsidR="00DE5DAC" w:rsidRPr="00163830">
        <w:rPr>
          <w:rFonts w:eastAsia="Calibri" w:cs="Arial"/>
        </w:rPr>
        <w:t>To</w:t>
      </w:r>
      <w:r w:rsidR="00B22217" w:rsidRPr="00163830">
        <w:rPr>
          <w:rFonts w:eastAsia="Calibri" w:cs="Arial"/>
        </w:rPr>
        <w:t xml:space="preserve"> provide </w:t>
      </w:r>
      <w:r w:rsidR="00C80547" w:rsidRPr="00163830">
        <w:rPr>
          <w:rFonts w:eastAsia="Calibri" w:cs="Arial"/>
        </w:rPr>
        <w:t xml:space="preserve">parents and </w:t>
      </w:r>
      <w:r w:rsidR="00163830" w:rsidRPr="00163830">
        <w:rPr>
          <w:rFonts w:eastAsia="Calibri" w:cs="Arial"/>
        </w:rPr>
        <w:t>guardians with</w:t>
      </w:r>
      <w:r w:rsidR="00C80547" w:rsidRPr="00163830">
        <w:rPr>
          <w:rFonts w:eastAsia="Calibri" w:cs="Arial"/>
        </w:rPr>
        <w:t xml:space="preserve"> more detailed information </w:t>
      </w:r>
      <w:r w:rsidR="00C16E58" w:rsidRPr="00163830">
        <w:rPr>
          <w:rFonts w:eastAsia="Calibri" w:cs="Arial"/>
        </w:rPr>
        <w:t xml:space="preserve">on their child’s </w:t>
      </w:r>
      <w:r w:rsidR="00671D7B" w:rsidRPr="00163830">
        <w:rPr>
          <w:rFonts w:eastAsia="Calibri" w:cs="Arial"/>
        </w:rPr>
        <w:t>writing performance,</w:t>
      </w:r>
      <w:r w:rsidR="00671D7B">
        <w:rPr>
          <w:rFonts w:eastAsia="Calibri" w:cs="Arial"/>
        </w:rPr>
        <w:t xml:space="preserve"> t</w:t>
      </w:r>
      <w:r w:rsidRPr="4178AC66">
        <w:rPr>
          <w:rFonts w:eastAsia="Calibri" w:cs="Arial"/>
        </w:rPr>
        <w:t xml:space="preserve">he CDE proposes reporting individual student WER results to parents </w:t>
      </w:r>
      <w:r w:rsidR="0003090D">
        <w:rPr>
          <w:rFonts w:eastAsia="Calibri" w:cs="Arial"/>
        </w:rPr>
        <w:t>and guardians</w:t>
      </w:r>
      <w:r w:rsidRPr="009D3A2C">
        <w:rPr>
          <w:rFonts w:eastAsia="Calibri" w:cs="Arial"/>
        </w:rPr>
        <w:t xml:space="preserve"> </w:t>
      </w:r>
      <w:r w:rsidRPr="00163830">
        <w:rPr>
          <w:rFonts w:eastAsia="Calibri" w:cs="Arial"/>
        </w:rPr>
        <w:t xml:space="preserve">on </w:t>
      </w:r>
      <w:r w:rsidR="003A5565" w:rsidRPr="00163830">
        <w:rPr>
          <w:rFonts w:eastAsia="Calibri" w:cs="Arial"/>
        </w:rPr>
        <w:t xml:space="preserve">CAASPP </w:t>
      </w:r>
      <w:r w:rsidRPr="00163830">
        <w:rPr>
          <w:rFonts w:eastAsia="Calibri" w:cs="Arial"/>
        </w:rPr>
        <w:t>SSR.</w:t>
      </w:r>
      <w:r w:rsidR="00CB719D" w:rsidRPr="00CB719D">
        <w:rPr>
          <w:rFonts w:eastAsia="Calibri" w:cs="Arial"/>
        </w:rPr>
        <w:t xml:space="preserve"> </w:t>
      </w:r>
      <w:r w:rsidR="00CB719D" w:rsidRPr="1A022422">
        <w:rPr>
          <w:rFonts w:eastAsia="Calibri" w:cs="Arial"/>
        </w:rPr>
        <w:t>Page</w:t>
      </w:r>
      <w:r w:rsidR="00CB719D">
        <w:rPr>
          <w:rFonts w:eastAsia="Calibri" w:cs="Arial"/>
        </w:rPr>
        <w:t> </w:t>
      </w:r>
      <w:r w:rsidR="00CB719D" w:rsidRPr="1A022422">
        <w:rPr>
          <w:rFonts w:eastAsia="Calibri" w:cs="Arial"/>
        </w:rPr>
        <w:t>4</w:t>
      </w:r>
      <w:r w:rsidR="00CB719D">
        <w:rPr>
          <w:rFonts w:eastAsia="Calibri" w:cs="Arial"/>
        </w:rPr>
        <w:t xml:space="preserve"> in Attachment</w:t>
      </w:r>
      <w:r w:rsidR="00DD6766" w:rsidRPr="00DD6766">
        <w:rPr>
          <w:rFonts w:eastAsia="Arial" w:cs="Arial"/>
        </w:rPr>
        <w:t> </w:t>
      </w:r>
      <w:r w:rsidR="00CB719D">
        <w:rPr>
          <w:rFonts w:eastAsia="Calibri" w:cs="Arial"/>
        </w:rPr>
        <w:t xml:space="preserve">1 </w:t>
      </w:r>
      <w:r w:rsidR="00CB719D" w:rsidRPr="1A022422">
        <w:rPr>
          <w:rFonts w:eastAsia="Calibri" w:cs="Arial"/>
        </w:rPr>
        <w:t>displays an example</w:t>
      </w:r>
      <w:r w:rsidR="00CB719D">
        <w:rPr>
          <w:rFonts w:eastAsia="Calibri" w:cs="Arial"/>
        </w:rPr>
        <w:t xml:space="preserve"> of reporting a student’s WER score for ELA.</w:t>
      </w:r>
    </w:p>
    <w:p w14:paraId="5B01C1E8" w14:textId="63BAA5D2" w:rsidR="00CC0C73" w:rsidRPr="002F4249" w:rsidRDefault="00671D7B" w:rsidP="002F4249">
      <w:pPr>
        <w:pStyle w:val="Heading3"/>
      </w:pPr>
      <w:r w:rsidRPr="00163830">
        <w:rPr>
          <w:rStyle w:val="Heading3Char"/>
          <w:b/>
        </w:rPr>
        <w:t>Additional</w:t>
      </w:r>
      <w:r w:rsidRPr="59F09E28">
        <w:rPr>
          <w:rStyle w:val="Heading3Char"/>
          <w:b/>
          <w:bCs/>
        </w:rPr>
        <w:t xml:space="preserve"> </w:t>
      </w:r>
      <w:r w:rsidR="1A5E0373" w:rsidRPr="59F09E28">
        <w:rPr>
          <w:rStyle w:val="Heading3Char"/>
          <w:b/>
          <w:bCs/>
        </w:rPr>
        <w:t>Proposed Enhancements</w:t>
      </w:r>
      <w:r w:rsidR="7557B38A" w:rsidRPr="59F09E28">
        <w:rPr>
          <w:rStyle w:val="Heading3Char"/>
          <w:b/>
          <w:bCs/>
        </w:rPr>
        <w:t xml:space="preserve"> to S</w:t>
      </w:r>
      <w:r w:rsidR="5AEF8138" w:rsidRPr="59F09E28">
        <w:rPr>
          <w:rStyle w:val="Heading3Char"/>
          <w:b/>
          <w:bCs/>
        </w:rPr>
        <w:t>tudent Score Reports</w:t>
      </w:r>
    </w:p>
    <w:p w14:paraId="03119A37" w14:textId="3DBC9579" w:rsidR="007C4BB0" w:rsidRDefault="5484941C" w:rsidP="007F15C5">
      <w:pPr>
        <w:spacing w:before="240" w:after="240"/>
        <w:rPr>
          <w:rFonts w:eastAsia="Calibri" w:cs="Arial"/>
        </w:rPr>
      </w:pPr>
      <w:r w:rsidRPr="6218DBC0">
        <w:rPr>
          <w:rFonts w:eastAsia="Calibri" w:cs="Arial"/>
        </w:rPr>
        <w:t>In</w:t>
      </w:r>
      <w:r w:rsidRPr="1274ABEA">
        <w:rPr>
          <w:rFonts w:eastAsia="Calibri" w:cs="Arial"/>
        </w:rPr>
        <w:t xml:space="preserve"> addition to the changes listed above,</w:t>
      </w:r>
      <w:r w:rsidR="6E352B72" w:rsidRPr="52D5005F">
        <w:rPr>
          <w:rFonts w:eastAsia="Calibri" w:cs="Arial"/>
        </w:rPr>
        <w:t xml:space="preserve"> the CDE is </w:t>
      </w:r>
      <w:r w:rsidR="1B451169" w:rsidRPr="6218DBC0">
        <w:rPr>
          <w:rFonts w:eastAsia="Calibri" w:cs="Arial"/>
        </w:rPr>
        <w:t>als</w:t>
      </w:r>
      <w:r w:rsidR="1B451169" w:rsidRPr="00163830">
        <w:rPr>
          <w:rFonts w:eastAsia="Calibri" w:cs="Arial"/>
        </w:rPr>
        <w:t xml:space="preserve">o </w:t>
      </w:r>
      <w:r w:rsidR="00671D7B" w:rsidRPr="00163830">
        <w:rPr>
          <w:rFonts w:eastAsia="Calibri" w:cs="Arial"/>
        </w:rPr>
        <w:t>proposing</w:t>
      </w:r>
      <w:r w:rsidR="00671D7B" w:rsidRPr="52D5005F">
        <w:rPr>
          <w:rFonts w:eastAsia="Calibri" w:cs="Arial"/>
        </w:rPr>
        <w:t xml:space="preserve"> </w:t>
      </w:r>
      <w:r w:rsidR="6E352B72" w:rsidRPr="52D5005F">
        <w:rPr>
          <w:rFonts w:eastAsia="Calibri" w:cs="Arial"/>
        </w:rPr>
        <w:t>the following enhancements</w:t>
      </w:r>
      <w:r w:rsidR="6C2884B3" w:rsidRPr="6218DBC0">
        <w:rPr>
          <w:rFonts w:eastAsia="Calibri" w:cs="Arial"/>
        </w:rPr>
        <w:t xml:space="preserve"> as part of the redesign of all SSRs</w:t>
      </w:r>
      <w:r w:rsidR="6E352B72" w:rsidRPr="6218DBC0">
        <w:rPr>
          <w:rFonts w:eastAsia="Calibri" w:cs="Arial"/>
        </w:rPr>
        <w:t>.</w:t>
      </w:r>
      <w:r w:rsidR="6E352B72" w:rsidRPr="52D5005F">
        <w:rPr>
          <w:rFonts w:eastAsia="Calibri" w:cs="Arial"/>
        </w:rPr>
        <w:t xml:space="preserve"> </w:t>
      </w:r>
      <w:r w:rsidR="007C4BB0">
        <w:rPr>
          <w:rFonts w:eastAsia="Calibri" w:cs="Arial"/>
        </w:rPr>
        <w:t>F</w:t>
      </w:r>
      <w:r w:rsidR="007C4BB0" w:rsidRPr="64D8C2CF">
        <w:rPr>
          <w:rFonts w:eastAsia="Calibri" w:cs="Arial"/>
        </w:rPr>
        <w:t>or schools</w:t>
      </w:r>
      <w:r w:rsidR="007C4BB0">
        <w:rPr>
          <w:rFonts w:eastAsia="Calibri" w:cs="Arial"/>
        </w:rPr>
        <w:t xml:space="preserve"> and LEAs</w:t>
      </w:r>
      <w:r w:rsidR="007C4BB0" w:rsidRPr="64D8C2CF">
        <w:rPr>
          <w:rFonts w:eastAsia="Calibri" w:cs="Arial"/>
        </w:rPr>
        <w:t xml:space="preserve"> </w:t>
      </w:r>
      <w:r w:rsidR="007C4BB0">
        <w:rPr>
          <w:rFonts w:eastAsia="Calibri" w:cs="Arial"/>
        </w:rPr>
        <w:t>that</w:t>
      </w:r>
      <w:r w:rsidR="007C4BB0" w:rsidRPr="64D8C2CF">
        <w:rPr>
          <w:rFonts w:eastAsia="Calibri" w:cs="Arial"/>
        </w:rPr>
        <w:t xml:space="preserve"> deliver SSRs electronically, it is proposed that SSRs are delivered to parent portals as HTML </w:t>
      </w:r>
      <w:r w:rsidR="007C4BB0" w:rsidRPr="64D8C2CF">
        <w:rPr>
          <w:rFonts w:eastAsia="Calibri" w:cs="Arial"/>
        </w:rPr>
        <w:lastRenderedPageBreak/>
        <w:t xml:space="preserve">files </w:t>
      </w:r>
      <w:r w:rsidR="007C4BB0" w:rsidRPr="4178AC66">
        <w:rPr>
          <w:rFonts w:eastAsia="Calibri" w:cs="Arial"/>
        </w:rPr>
        <w:t>in addition to</w:t>
      </w:r>
      <w:r w:rsidR="007C4BB0" w:rsidRPr="64D8C2CF">
        <w:rPr>
          <w:rFonts w:eastAsia="Calibri" w:cs="Arial"/>
        </w:rPr>
        <w:t xml:space="preserve"> PDF files. </w:t>
      </w:r>
      <w:r w:rsidR="00B639B6" w:rsidRPr="00163830">
        <w:rPr>
          <w:rFonts w:eastAsia="Calibri" w:cs="Arial"/>
        </w:rPr>
        <w:t xml:space="preserve">As a growing number of families </w:t>
      </w:r>
      <w:r w:rsidR="002F4B6E" w:rsidRPr="00163830">
        <w:rPr>
          <w:rFonts w:eastAsia="Calibri" w:cs="Arial"/>
        </w:rPr>
        <w:t xml:space="preserve">in California </w:t>
      </w:r>
      <w:r w:rsidR="00B639B6" w:rsidRPr="00163830">
        <w:rPr>
          <w:rFonts w:eastAsia="Calibri" w:cs="Arial"/>
        </w:rPr>
        <w:t>access school communications through a mobile device,</w:t>
      </w:r>
      <w:r w:rsidR="00B639B6">
        <w:rPr>
          <w:rFonts w:eastAsia="Calibri" w:cs="Arial"/>
        </w:rPr>
        <w:t xml:space="preserve"> h</w:t>
      </w:r>
      <w:r w:rsidR="007C4BB0" w:rsidRPr="64D8C2CF">
        <w:rPr>
          <w:rFonts w:eastAsia="Calibri" w:cs="Arial"/>
        </w:rPr>
        <w:t xml:space="preserve">osting electronic SSRs as HTML files allows for more streamlined management of SSRs while allowing students, </w:t>
      </w:r>
      <w:r w:rsidR="007C4BB0" w:rsidRPr="64D8C2CF">
        <w:rPr>
          <w:color w:val="000000" w:themeColor="text1"/>
        </w:rPr>
        <w:t xml:space="preserve">parents, and </w:t>
      </w:r>
      <w:r w:rsidR="007C4BB0" w:rsidRPr="00163830">
        <w:rPr>
          <w:color w:val="000000" w:themeColor="text1"/>
        </w:rPr>
        <w:t xml:space="preserve">guardians access to SSRs from a greater variety of </w:t>
      </w:r>
      <w:r w:rsidR="007C4BB0" w:rsidRPr="00163830">
        <w:rPr>
          <w:rFonts w:eastAsia="Calibri" w:cs="Arial"/>
        </w:rPr>
        <w:t xml:space="preserve">devices. </w:t>
      </w:r>
      <w:r w:rsidR="00172481" w:rsidRPr="00163830">
        <w:rPr>
          <w:rFonts w:eastAsia="Calibri" w:cs="Arial"/>
        </w:rPr>
        <w:t xml:space="preserve">In addition, respondents in the </w:t>
      </w:r>
      <w:r w:rsidR="000F50B4" w:rsidRPr="00163830">
        <w:rPr>
          <w:rFonts w:eastAsia="Calibri" w:cs="Arial"/>
        </w:rPr>
        <w:t xml:space="preserve">parent and guardian </w:t>
      </w:r>
      <w:r w:rsidR="00172481" w:rsidRPr="00163830">
        <w:rPr>
          <w:rFonts w:eastAsia="Calibri" w:cs="Arial"/>
        </w:rPr>
        <w:t xml:space="preserve">focus group mentioned that </w:t>
      </w:r>
      <w:r w:rsidR="000F50B4" w:rsidRPr="00163830">
        <w:rPr>
          <w:rFonts w:eastAsia="Calibri" w:cs="Arial"/>
        </w:rPr>
        <w:t xml:space="preserve">they would like </w:t>
      </w:r>
      <w:r w:rsidR="003A1267" w:rsidRPr="00163830">
        <w:rPr>
          <w:rFonts w:eastAsia="Calibri" w:cs="Arial"/>
        </w:rPr>
        <w:t xml:space="preserve">to be able to easily access their child’s assessment results through </w:t>
      </w:r>
      <w:r w:rsidR="002B20F9" w:rsidRPr="00163830">
        <w:rPr>
          <w:rFonts w:eastAsia="Calibri" w:cs="Arial"/>
        </w:rPr>
        <w:t xml:space="preserve">email, </w:t>
      </w:r>
      <w:r w:rsidR="00884B63" w:rsidRPr="00163830">
        <w:rPr>
          <w:rFonts w:eastAsia="Calibri" w:cs="Arial"/>
        </w:rPr>
        <w:t>text message</w:t>
      </w:r>
      <w:r w:rsidR="002B20F9" w:rsidRPr="00163830">
        <w:rPr>
          <w:rFonts w:eastAsia="Calibri" w:cs="Arial"/>
        </w:rPr>
        <w:t>, and the school portal.</w:t>
      </w:r>
      <w:r w:rsidR="002B20F9">
        <w:rPr>
          <w:rFonts w:eastAsia="Calibri" w:cs="Arial"/>
        </w:rPr>
        <w:t xml:space="preserve"> </w:t>
      </w:r>
      <w:r w:rsidR="007C4BB0" w:rsidRPr="00627BEE">
        <w:rPr>
          <w:rFonts w:eastAsia="Calibri" w:cs="Arial"/>
        </w:rPr>
        <w:t xml:space="preserve">The HTML version of the SSRs includes </w:t>
      </w:r>
      <w:r w:rsidR="007C4BB0">
        <w:rPr>
          <w:rFonts w:eastAsia="Calibri" w:cs="Arial"/>
        </w:rPr>
        <w:t xml:space="preserve">a </w:t>
      </w:r>
      <w:r w:rsidR="007C4BB0" w:rsidRPr="00627BEE">
        <w:rPr>
          <w:rFonts w:eastAsia="Calibri" w:cs="Arial"/>
        </w:rPr>
        <w:t xml:space="preserve">responsive design that changes the format for viewing on mobile phones or tablets, </w:t>
      </w:r>
      <w:r w:rsidR="007C4BB0">
        <w:rPr>
          <w:rFonts w:eastAsia="Calibri" w:cs="Arial"/>
        </w:rPr>
        <w:t xml:space="preserve">and </w:t>
      </w:r>
      <w:r w:rsidR="007C4BB0" w:rsidRPr="00627BEE">
        <w:rPr>
          <w:rFonts w:eastAsia="Calibri" w:cs="Arial"/>
        </w:rPr>
        <w:t xml:space="preserve">devices with smaller screens so parents and guardians </w:t>
      </w:r>
      <w:r w:rsidR="003278BD" w:rsidRPr="00627BEE">
        <w:rPr>
          <w:rFonts w:eastAsia="Calibri" w:cs="Arial"/>
        </w:rPr>
        <w:t>can</w:t>
      </w:r>
      <w:r w:rsidR="007C4BB0" w:rsidRPr="00627BEE">
        <w:rPr>
          <w:rFonts w:eastAsia="Calibri" w:cs="Arial"/>
        </w:rPr>
        <w:t xml:space="preserve"> view the SSR without having to zoom in on specific areas to view the results.</w:t>
      </w:r>
      <w:r w:rsidR="00C37DE1">
        <w:rPr>
          <w:rFonts w:eastAsia="Calibri" w:cs="Arial"/>
        </w:rPr>
        <w:t xml:space="preserve"> </w:t>
      </w:r>
      <w:r w:rsidR="002B20F9" w:rsidRPr="00163830">
        <w:rPr>
          <w:rFonts w:eastAsia="Calibri" w:cs="Arial"/>
        </w:rPr>
        <w:t>The addition of HTML</w:t>
      </w:r>
      <w:r w:rsidR="005B7D5C" w:rsidRPr="00163830">
        <w:rPr>
          <w:rFonts w:eastAsia="Calibri" w:cs="Arial"/>
        </w:rPr>
        <w:t xml:space="preserve"> SSR delivery expands the available ways in which parents and guardians can access SSRs; p</w:t>
      </w:r>
      <w:r w:rsidR="002F4B6E" w:rsidRPr="00163830">
        <w:rPr>
          <w:rFonts w:eastAsia="Calibri" w:cs="Arial"/>
        </w:rPr>
        <w:t>aper SSRs and the electronic delivery of SSRs in PDF format will continue to be available to all LEAs.</w:t>
      </w:r>
    </w:p>
    <w:p w14:paraId="639CDA19" w14:textId="57564B87" w:rsidR="007F15C5" w:rsidRDefault="00657C7B" w:rsidP="009502ED">
      <w:pPr>
        <w:spacing w:before="240" w:after="240"/>
        <w:rPr>
          <w:rFonts w:eastAsia="Calibri" w:cs="Arial"/>
        </w:rPr>
      </w:pPr>
      <w:r w:rsidRPr="4178AC66">
        <w:rPr>
          <w:rFonts w:eastAsia="Calibri" w:cs="Arial"/>
        </w:rPr>
        <w:t xml:space="preserve">For students in </w:t>
      </w:r>
      <w:r w:rsidRPr="001F27B8">
        <w:rPr>
          <w:rFonts w:eastAsia="Calibri" w:cs="Arial"/>
        </w:rPr>
        <w:t>grades</w:t>
      </w:r>
      <w:r w:rsidRPr="4178AC66">
        <w:rPr>
          <w:rFonts w:eastAsia="Calibri" w:cs="Arial"/>
        </w:rPr>
        <w:t xml:space="preserve"> five, eight, and high school, the CDE proposes the consolidation of ELA, mathematics, and science results in one SSR. The combination of these results in one SSR would allow parents </w:t>
      </w:r>
      <w:r>
        <w:rPr>
          <w:rFonts w:eastAsia="Calibri" w:cs="Arial"/>
        </w:rPr>
        <w:t>and guardians</w:t>
      </w:r>
      <w:r w:rsidRPr="001F27B8">
        <w:rPr>
          <w:rFonts w:eastAsia="Calibri" w:cs="Arial"/>
        </w:rPr>
        <w:t xml:space="preserve"> </w:t>
      </w:r>
      <w:r w:rsidRPr="4178AC66">
        <w:rPr>
          <w:rFonts w:eastAsia="Calibri" w:cs="Arial"/>
        </w:rPr>
        <w:t>to access all the CAASPP results for their child, with the exception of the CSA</w:t>
      </w:r>
      <w:r w:rsidRPr="52D5005F">
        <w:rPr>
          <w:rFonts w:eastAsia="Calibri" w:cs="Arial"/>
        </w:rPr>
        <w:t>,</w:t>
      </w:r>
      <w:r w:rsidRPr="4178AC66">
        <w:rPr>
          <w:rFonts w:eastAsia="Calibri" w:cs="Arial"/>
        </w:rPr>
        <w:t xml:space="preserve"> in one report. </w:t>
      </w:r>
      <w:r w:rsidR="00B94757" w:rsidRPr="00163830">
        <w:rPr>
          <w:rFonts w:eastAsia="Calibri" w:cs="Arial"/>
        </w:rPr>
        <w:t>Survey f</w:t>
      </w:r>
      <w:r w:rsidR="00657920" w:rsidRPr="00163830">
        <w:rPr>
          <w:rFonts w:eastAsia="Calibri" w:cs="Arial"/>
        </w:rPr>
        <w:t xml:space="preserve">eedback from LEA testing coordinators was clear that simplifying and consolidating the SSR delivery process would help support families in their ability to access and understand assessment results for their child. </w:t>
      </w:r>
      <w:r w:rsidR="4CABB8D9" w:rsidRPr="00163830">
        <w:rPr>
          <w:rFonts w:eastAsia="Calibri" w:cs="Arial"/>
        </w:rPr>
        <w:t>In</w:t>
      </w:r>
      <w:r w:rsidR="00657920" w:rsidRPr="00163830">
        <w:rPr>
          <w:rFonts w:eastAsia="Calibri" w:cs="Arial"/>
        </w:rPr>
        <w:t xml:space="preserve"> addition,</w:t>
      </w:r>
      <w:r w:rsidR="00657920">
        <w:rPr>
          <w:rFonts w:eastAsia="Calibri" w:cs="Arial"/>
        </w:rPr>
        <w:t xml:space="preserve"> in</w:t>
      </w:r>
      <w:r w:rsidR="4CABB8D9" w:rsidRPr="1A022422">
        <w:rPr>
          <w:rFonts w:eastAsia="Calibri" w:cs="Arial"/>
        </w:rPr>
        <w:t xml:space="preserve">cluding </w:t>
      </w:r>
      <w:r w:rsidR="1BA8B1D0" w:rsidRPr="1A022422">
        <w:rPr>
          <w:rFonts w:eastAsia="Calibri" w:cs="Arial"/>
        </w:rPr>
        <w:t>ELA, mathematics, and science</w:t>
      </w:r>
      <w:r w:rsidRPr="4178AC66">
        <w:rPr>
          <w:rFonts w:eastAsia="Calibri" w:cs="Arial"/>
        </w:rPr>
        <w:t xml:space="preserve"> </w:t>
      </w:r>
      <w:r w:rsidRPr="00163830">
        <w:rPr>
          <w:rFonts w:eastAsia="Calibri" w:cs="Arial"/>
        </w:rPr>
        <w:t xml:space="preserve">results in one SSR </w:t>
      </w:r>
      <w:r w:rsidR="00657920" w:rsidRPr="00163830">
        <w:rPr>
          <w:rFonts w:eastAsia="Calibri" w:cs="Arial"/>
        </w:rPr>
        <w:t>helps</w:t>
      </w:r>
      <w:r w:rsidRPr="00163830">
        <w:rPr>
          <w:rFonts w:eastAsia="Calibri" w:cs="Arial"/>
        </w:rPr>
        <w:t xml:space="preserve"> LEAs more efficiently track the release date of results </w:t>
      </w:r>
      <w:r w:rsidR="005D1797" w:rsidRPr="00163830">
        <w:rPr>
          <w:rFonts w:eastAsia="Calibri" w:cs="Arial"/>
        </w:rPr>
        <w:t>and notify</w:t>
      </w:r>
      <w:r w:rsidR="005D1797">
        <w:rPr>
          <w:rFonts w:eastAsia="Calibri" w:cs="Arial"/>
        </w:rPr>
        <w:t xml:space="preserve"> </w:t>
      </w:r>
      <w:r w:rsidRPr="4178AC66">
        <w:rPr>
          <w:rFonts w:eastAsia="Calibri" w:cs="Arial"/>
        </w:rPr>
        <w:t>families</w:t>
      </w:r>
      <w:r w:rsidR="00FF42BB">
        <w:rPr>
          <w:rFonts w:eastAsia="Calibri" w:cs="Arial"/>
        </w:rPr>
        <w:t xml:space="preserve"> </w:t>
      </w:r>
      <w:r w:rsidR="00FF42BB" w:rsidRPr="00163830">
        <w:rPr>
          <w:rFonts w:eastAsia="Calibri" w:cs="Arial"/>
        </w:rPr>
        <w:t xml:space="preserve">of the availability of results per Section </w:t>
      </w:r>
      <w:r w:rsidR="002D401A" w:rsidRPr="00163830">
        <w:rPr>
          <w:rFonts w:eastAsia="Calibri" w:cs="Arial"/>
        </w:rPr>
        <w:t xml:space="preserve">863 </w:t>
      </w:r>
      <w:r w:rsidR="00E22D5E" w:rsidRPr="00163830">
        <w:rPr>
          <w:rFonts w:eastAsia="Calibri" w:cs="Arial"/>
        </w:rPr>
        <w:t xml:space="preserve">in Title 5 </w:t>
      </w:r>
      <w:r w:rsidR="002D401A" w:rsidRPr="00163830">
        <w:rPr>
          <w:rFonts w:eastAsia="Calibri" w:cs="Arial"/>
        </w:rPr>
        <w:t xml:space="preserve">of the </w:t>
      </w:r>
      <w:r w:rsidR="002D401A" w:rsidRPr="00163830">
        <w:rPr>
          <w:rFonts w:eastAsia="Calibri" w:cs="Arial"/>
          <w:i/>
        </w:rPr>
        <w:t>California Code of Regulations</w:t>
      </w:r>
      <w:r w:rsidRPr="00163830">
        <w:rPr>
          <w:rFonts w:eastAsia="Calibri" w:cs="Arial"/>
        </w:rPr>
        <w:t>.</w:t>
      </w:r>
      <w:r w:rsidR="64AAF1F7" w:rsidRPr="1A022422">
        <w:rPr>
          <w:rFonts w:eastAsia="Calibri" w:cs="Arial"/>
        </w:rPr>
        <w:t xml:space="preserve"> SSRs are currently released to LEAs when all </w:t>
      </w:r>
      <w:r w:rsidR="35353FD0" w:rsidRPr="1A022422">
        <w:rPr>
          <w:rFonts w:eastAsia="Calibri" w:cs="Arial"/>
        </w:rPr>
        <w:t xml:space="preserve">tests </w:t>
      </w:r>
      <w:r w:rsidR="74B35426" w:rsidRPr="1A022422">
        <w:rPr>
          <w:rFonts w:eastAsia="Calibri" w:cs="Arial"/>
        </w:rPr>
        <w:t xml:space="preserve">reported </w:t>
      </w:r>
      <w:r w:rsidR="64AAF1F7" w:rsidRPr="1A022422">
        <w:rPr>
          <w:rFonts w:eastAsia="Calibri" w:cs="Arial"/>
        </w:rPr>
        <w:t>in the SSR</w:t>
      </w:r>
      <w:r w:rsidR="2930B0CD" w:rsidRPr="1A022422">
        <w:rPr>
          <w:rFonts w:eastAsia="Calibri" w:cs="Arial"/>
        </w:rPr>
        <w:t xml:space="preserve"> </w:t>
      </w:r>
      <w:r w:rsidR="46FA1966" w:rsidRPr="1A022422">
        <w:rPr>
          <w:rFonts w:eastAsia="Calibri" w:cs="Arial"/>
        </w:rPr>
        <w:t>are</w:t>
      </w:r>
      <w:r w:rsidR="31201F24" w:rsidRPr="1A022422">
        <w:rPr>
          <w:rFonts w:eastAsia="Calibri" w:cs="Arial"/>
        </w:rPr>
        <w:t xml:space="preserve"> scored. </w:t>
      </w:r>
      <w:r w:rsidR="7C62D66A" w:rsidRPr="1A022422">
        <w:rPr>
          <w:rFonts w:eastAsia="Calibri" w:cs="Arial"/>
        </w:rPr>
        <w:t>T</w:t>
      </w:r>
      <w:r w:rsidR="31201F24" w:rsidRPr="1A022422">
        <w:rPr>
          <w:rFonts w:eastAsia="Calibri" w:cs="Arial"/>
        </w:rPr>
        <w:t>he consolidation of science results with the ELA and mathematics results</w:t>
      </w:r>
      <w:r w:rsidR="10FDA310" w:rsidRPr="1A022422">
        <w:rPr>
          <w:rFonts w:eastAsia="Calibri" w:cs="Arial"/>
        </w:rPr>
        <w:t xml:space="preserve"> may cause a slight delay</w:t>
      </w:r>
      <w:r w:rsidR="3BD32DAB" w:rsidRPr="1A022422">
        <w:rPr>
          <w:rFonts w:eastAsia="Calibri" w:cs="Arial"/>
        </w:rPr>
        <w:t>—usually no more than two to three weeks—</w:t>
      </w:r>
      <w:r w:rsidR="10FDA310" w:rsidRPr="1A022422">
        <w:rPr>
          <w:rFonts w:eastAsia="Calibri" w:cs="Arial"/>
        </w:rPr>
        <w:t xml:space="preserve">in reporting for a small subset of students who complete </w:t>
      </w:r>
      <w:r w:rsidR="515B769A" w:rsidRPr="1A022422">
        <w:rPr>
          <w:rFonts w:eastAsia="Calibri" w:cs="Arial"/>
        </w:rPr>
        <w:t>the assessments on a staggered timeline.</w:t>
      </w:r>
      <w:r w:rsidR="10FDA310" w:rsidRPr="1A022422">
        <w:rPr>
          <w:rFonts w:eastAsia="Calibri" w:cs="Arial"/>
        </w:rPr>
        <w:t xml:space="preserve"> </w:t>
      </w:r>
      <w:r w:rsidR="57185D48" w:rsidRPr="1A022422">
        <w:rPr>
          <w:rFonts w:eastAsia="Calibri" w:cs="Arial"/>
        </w:rPr>
        <w:t xml:space="preserve">The CDE recommends the consolidation of ELA, math, and science </w:t>
      </w:r>
      <w:r w:rsidR="033F0956" w:rsidRPr="58BD44FD">
        <w:rPr>
          <w:rFonts w:eastAsia="Calibri" w:cs="Arial"/>
        </w:rPr>
        <w:t xml:space="preserve">SSRs </w:t>
      </w:r>
      <w:r w:rsidR="57185D48" w:rsidRPr="1A022422">
        <w:rPr>
          <w:rFonts w:eastAsia="Calibri" w:cs="Arial"/>
        </w:rPr>
        <w:t xml:space="preserve">as the benefit </w:t>
      </w:r>
      <w:r w:rsidR="1209063E" w:rsidRPr="1A022422">
        <w:rPr>
          <w:rFonts w:eastAsia="Calibri" w:cs="Arial"/>
        </w:rPr>
        <w:t xml:space="preserve">for all parents </w:t>
      </w:r>
      <w:r w:rsidR="31B92AC0" w:rsidRPr="1A022422">
        <w:rPr>
          <w:rFonts w:eastAsia="Calibri" w:cs="Arial"/>
        </w:rPr>
        <w:t xml:space="preserve">and LEAs </w:t>
      </w:r>
      <w:r w:rsidR="1209063E" w:rsidRPr="1A022422">
        <w:rPr>
          <w:rFonts w:eastAsia="Calibri" w:cs="Arial"/>
        </w:rPr>
        <w:t>in</w:t>
      </w:r>
      <w:r w:rsidR="57185D48" w:rsidRPr="1A022422">
        <w:rPr>
          <w:rFonts w:eastAsia="Calibri" w:cs="Arial"/>
        </w:rPr>
        <w:t xml:space="preserve"> having all results in one SSR outweighs the </w:t>
      </w:r>
      <w:r w:rsidR="1DC669BA" w:rsidRPr="1A022422">
        <w:rPr>
          <w:rFonts w:eastAsia="Calibri" w:cs="Arial"/>
        </w:rPr>
        <w:t>slight delay in reporting</w:t>
      </w:r>
      <w:r w:rsidR="1DC669BA" w:rsidRPr="00163830">
        <w:rPr>
          <w:rFonts w:eastAsia="Calibri" w:cs="Arial"/>
        </w:rPr>
        <w:t>.</w:t>
      </w:r>
      <w:r w:rsidR="00CB719D" w:rsidRPr="00163830">
        <w:rPr>
          <w:rFonts w:eastAsia="Calibri" w:cs="Arial"/>
        </w:rPr>
        <w:t xml:space="preserve"> (Pages 1–5 in Attachment 1 display an example of an SSR with a consolidated report</w:t>
      </w:r>
      <w:r w:rsidR="00E76F21" w:rsidRPr="00163830">
        <w:rPr>
          <w:rFonts w:eastAsia="Calibri" w:cs="Arial"/>
        </w:rPr>
        <w:t>.</w:t>
      </w:r>
      <w:r w:rsidR="00CB719D" w:rsidRPr="00163830">
        <w:rPr>
          <w:rFonts w:eastAsia="Calibri" w:cs="Arial"/>
        </w:rPr>
        <w:t>)</w:t>
      </w:r>
    </w:p>
    <w:p w14:paraId="7F2E8D04" w14:textId="4269F730" w:rsidR="001C17F7" w:rsidRPr="009D3DB4" w:rsidRDefault="006E1219" w:rsidP="00DB7574">
      <w:pPr>
        <w:rPr>
          <w:rFonts w:eastAsia="Calibri" w:cs="Arial"/>
        </w:rPr>
      </w:pPr>
      <w:r>
        <w:rPr>
          <w:rFonts w:eastAsia="Calibri" w:cs="Arial"/>
        </w:rPr>
        <w:t>With</w:t>
      </w:r>
      <w:r w:rsidR="007F15C5">
        <w:rPr>
          <w:rFonts w:eastAsia="Calibri" w:cs="Arial"/>
        </w:rPr>
        <w:t xml:space="preserve"> the proposed revisions</w:t>
      </w:r>
      <w:r w:rsidR="00A54082">
        <w:rPr>
          <w:rFonts w:eastAsia="Calibri" w:cs="Arial"/>
        </w:rPr>
        <w:t xml:space="preserve"> to the SSRs</w:t>
      </w:r>
      <w:r w:rsidR="007F15C5">
        <w:rPr>
          <w:rFonts w:eastAsia="Calibri" w:cs="Arial"/>
        </w:rPr>
        <w:t xml:space="preserve">, parents and guardians will be able to </w:t>
      </w:r>
      <w:r w:rsidR="00154834">
        <w:rPr>
          <w:rFonts w:eastAsia="Calibri" w:cs="Arial"/>
        </w:rPr>
        <w:t xml:space="preserve">learn about the assessments and </w:t>
      </w:r>
      <w:r w:rsidR="00105995">
        <w:rPr>
          <w:rFonts w:eastAsia="Calibri" w:cs="Arial"/>
        </w:rPr>
        <w:t>access</w:t>
      </w:r>
      <w:r w:rsidR="00154834">
        <w:rPr>
          <w:rFonts w:eastAsia="Calibri" w:cs="Arial"/>
        </w:rPr>
        <w:t xml:space="preserve"> resources </w:t>
      </w:r>
      <w:r w:rsidR="00173CF8">
        <w:rPr>
          <w:rFonts w:eastAsia="Calibri" w:cs="Arial"/>
        </w:rPr>
        <w:t>more easily</w:t>
      </w:r>
      <w:r w:rsidR="00154834">
        <w:rPr>
          <w:rFonts w:eastAsia="Calibri" w:cs="Arial"/>
        </w:rPr>
        <w:t xml:space="preserve"> to </w:t>
      </w:r>
      <w:r w:rsidR="00105995">
        <w:rPr>
          <w:rFonts w:eastAsia="Calibri" w:cs="Arial"/>
        </w:rPr>
        <w:t xml:space="preserve">further </w:t>
      </w:r>
      <w:r w:rsidR="00154834">
        <w:rPr>
          <w:rFonts w:eastAsia="Calibri" w:cs="Arial"/>
        </w:rPr>
        <w:t xml:space="preserve">support their child’s </w:t>
      </w:r>
      <w:r w:rsidR="00105995">
        <w:rPr>
          <w:rFonts w:eastAsia="Calibri" w:cs="Arial"/>
        </w:rPr>
        <w:t>learning</w:t>
      </w:r>
      <w:r w:rsidR="00154834">
        <w:rPr>
          <w:rFonts w:eastAsia="Calibri" w:cs="Arial"/>
        </w:rPr>
        <w:t xml:space="preserve">. Each SSR will include links as well as a QR code that will connect parents to </w:t>
      </w:r>
      <w:r w:rsidR="008D756F">
        <w:rPr>
          <w:rFonts w:eastAsia="Calibri" w:cs="Arial"/>
        </w:rPr>
        <w:t xml:space="preserve">the </w:t>
      </w:r>
      <w:r w:rsidR="00154834">
        <w:rPr>
          <w:rFonts w:eastAsia="Calibri" w:cs="Arial"/>
        </w:rPr>
        <w:t>Starting Smarter</w:t>
      </w:r>
      <w:r w:rsidR="008D756F">
        <w:rPr>
          <w:rFonts w:eastAsia="Calibri" w:cs="Arial"/>
        </w:rPr>
        <w:t xml:space="preserve"> website</w:t>
      </w:r>
      <w:r w:rsidR="005F08ED">
        <w:rPr>
          <w:rFonts w:eastAsia="Calibri" w:cs="Arial"/>
        </w:rPr>
        <w:t xml:space="preserve"> </w:t>
      </w:r>
      <w:r w:rsidR="005F08ED" w:rsidRPr="00163830">
        <w:rPr>
          <w:rFonts w:eastAsia="Calibri" w:cs="Arial"/>
        </w:rPr>
        <w:t>where they can access information about the CAASPP and ELPAC assessments as well as resources to help understand their child’s assessment results and</w:t>
      </w:r>
      <w:r w:rsidR="00EB7C8E" w:rsidRPr="00163830">
        <w:rPr>
          <w:rFonts w:eastAsia="Calibri" w:cs="Arial"/>
        </w:rPr>
        <w:t xml:space="preserve"> their child’s learning</w:t>
      </w:r>
      <w:r w:rsidR="42103B33" w:rsidRPr="00163830">
        <w:rPr>
          <w:rFonts w:eastAsia="Calibri" w:cs="Arial"/>
        </w:rPr>
        <w:t>.</w:t>
      </w:r>
      <w:r w:rsidR="007C1178">
        <w:rPr>
          <w:rFonts w:eastAsia="Calibri" w:cs="Arial"/>
        </w:rPr>
        <w:t xml:space="preserve"> </w:t>
      </w:r>
      <w:r w:rsidR="00737C88" w:rsidRPr="64D8C2CF">
        <w:rPr>
          <w:rFonts w:eastAsia="Calibri" w:cs="Arial"/>
        </w:rPr>
        <w:t xml:space="preserve">Enhancements planned for the Starting Smarter website </w:t>
      </w:r>
      <w:r w:rsidR="75104FE8" w:rsidRPr="4BB09E00">
        <w:rPr>
          <w:rFonts w:eastAsia="Calibri" w:cs="Arial"/>
        </w:rPr>
        <w:t xml:space="preserve">at </w:t>
      </w:r>
      <w:hyperlink r:id="rId19" w:tooltip="This link opens the CAASPP Starting Smarter website.">
        <w:r w:rsidR="712C2A14" w:rsidRPr="7615C401">
          <w:rPr>
            <w:rStyle w:val="Hyperlink"/>
            <w:rFonts w:eastAsia="Calibri" w:cs="Arial"/>
          </w:rPr>
          <w:t>https://ca.startingsmarter.org/</w:t>
        </w:r>
      </w:hyperlink>
      <w:r w:rsidR="712C2A14" w:rsidRPr="1A022422">
        <w:rPr>
          <w:rFonts w:eastAsia="Calibri" w:cs="Arial"/>
        </w:rPr>
        <w:t xml:space="preserve"> </w:t>
      </w:r>
      <w:r w:rsidR="09D4D755" w:rsidRPr="1A022422">
        <w:rPr>
          <w:rFonts w:eastAsia="Calibri" w:cs="Arial"/>
        </w:rPr>
        <w:t xml:space="preserve">and </w:t>
      </w:r>
      <w:hyperlink r:id="rId20" w:tooltip="This link opens the ELPAC Starting Smarter website.">
        <w:r w:rsidR="09D4D755" w:rsidRPr="7615C401">
          <w:rPr>
            <w:rStyle w:val="Hyperlink"/>
            <w:rFonts w:eastAsia="Calibri" w:cs="Arial"/>
          </w:rPr>
          <w:t>https://elpac.startingsmarter.org/</w:t>
        </w:r>
      </w:hyperlink>
      <w:r w:rsidR="2DA5334D" w:rsidRPr="4BB09E00">
        <w:rPr>
          <w:rFonts w:eastAsia="Calibri" w:cs="Arial"/>
        </w:rPr>
        <w:t xml:space="preserve"> </w:t>
      </w:r>
      <w:r w:rsidR="0034227D">
        <w:rPr>
          <w:rFonts w:eastAsia="Calibri" w:cs="Arial"/>
        </w:rPr>
        <w:t>will improve the ability of</w:t>
      </w:r>
      <w:r w:rsidR="00737C88" w:rsidRPr="64D8C2CF">
        <w:rPr>
          <w:rFonts w:eastAsia="Calibri" w:cs="Arial"/>
        </w:rPr>
        <w:t xml:space="preserve"> parents </w:t>
      </w:r>
      <w:r w:rsidR="00737C88">
        <w:rPr>
          <w:rFonts w:eastAsia="Calibri" w:cs="Arial"/>
        </w:rPr>
        <w:t>and guardians</w:t>
      </w:r>
      <w:r w:rsidR="00737C88" w:rsidRPr="64D8C2CF">
        <w:rPr>
          <w:rFonts w:eastAsia="Calibri" w:cs="Arial"/>
        </w:rPr>
        <w:t xml:space="preserve"> </w:t>
      </w:r>
      <w:r w:rsidR="0034227D">
        <w:rPr>
          <w:rFonts w:eastAsia="Calibri" w:cs="Arial"/>
        </w:rPr>
        <w:t>to</w:t>
      </w:r>
      <w:r w:rsidR="00737C88" w:rsidRPr="64D8C2CF">
        <w:rPr>
          <w:rFonts w:eastAsia="Calibri" w:cs="Arial"/>
        </w:rPr>
        <w:t xml:space="preserve"> learn about the assessments, understand and interpret student results, access sample test questions, and locate instructional resources to further support their child’s learning and achievement. </w:t>
      </w:r>
      <w:r w:rsidR="00374B1F" w:rsidRPr="00163830">
        <w:rPr>
          <w:rFonts w:eastAsia="Calibri" w:cs="Arial"/>
        </w:rPr>
        <w:t>(Attachment 1, pages 1 and 6, displays an example of the addition of the QR code to a student’s SSR.)</w:t>
      </w:r>
    </w:p>
    <w:p w14:paraId="331DF7BE" w14:textId="77777777" w:rsidR="00057A96" w:rsidRPr="008B1135" w:rsidRDefault="00057A96" w:rsidP="0010429A">
      <w:pPr>
        <w:pStyle w:val="Heading2"/>
        <w:spacing w:before="480" w:after="240"/>
        <w:rPr>
          <w:sz w:val="36"/>
        </w:rPr>
      </w:pPr>
      <w:r w:rsidRPr="008B1135">
        <w:rPr>
          <w:sz w:val="36"/>
        </w:rPr>
        <w:lastRenderedPageBreak/>
        <w:t>Attachment(s)</w:t>
      </w:r>
    </w:p>
    <w:p w14:paraId="1FB5F523" w14:textId="44E9C9B4" w:rsidR="00057A96" w:rsidRPr="00305C48" w:rsidRDefault="00305C48" w:rsidP="00305C48">
      <w:pPr>
        <w:pStyle w:val="ListParagraph"/>
        <w:numPr>
          <w:ilvl w:val="0"/>
          <w:numId w:val="5"/>
        </w:numPr>
        <w:spacing w:after="480"/>
      </w:pPr>
      <w:r>
        <w:t>Attachment 1</w:t>
      </w:r>
      <w:r w:rsidR="7B5C5D34">
        <w:t xml:space="preserve">: </w:t>
      </w:r>
      <w:r w:rsidR="37CE6D78">
        <w:t>Sample</w:t>
      </w:r>
      <w:r w:rsidR="7B5C5D34">
        <w:t xml:space="preserve"> </w:t>
      </w:r>
      <w:r w:rsidR="509411FB">
        <w:t>G</w:t>
      </w:r>
      <w:r w:rsidR="67697854">
        <w:t xml:space="preserve">rade </w:t>
      </w:r>
      <w:r w:rsidR="0EBF217B">
        <w:t>Five</w:t>
      </w:r>
      <w:r w:rsidR="7B5C5D34">
        <w:t xml:space="preserve"> C</w:t>
      </w:r>
      <w:r w:rsidR="001C358B">
        <w:t>alifornia Assessment of Student Performance and Progress</w:t>
      </w:r>
      <w:r w:rsidR="7B5C5D34">
        <w:t xml:space="preserve"> and </w:t>
      </w:r>
      <w:r w:rsidR="509411FB">
        <w:t>Summative</w:t>
      </w:r>
      <w:r w:rsidR="7B5C5D34">
        <w:t xml:space="preserve"> E</w:t>
      </w:r>
      <w:r w:rsidR="001C358B">
        <w:t>nglish Language Proficiency Assessments for California</w:t>
      </w:r>
      <w:r w:rsidR="7B5C5D34">
        <w:t xml:space="preserve"> S</w:t>
      </w:r>
      <w:r w:rsidR="001C358B">
        <w:t>tudent Score Reports</w:t>
      </w:r>
      <w:r w:rsidR="75278FD8">
        <w:t xml:space="preserve"> </w:t>
      </w:r>
      <w:r w:rsidR="509411FB">
        <w:t>with Proposed Revisions</w:t>
      </w:r>
      <w:r w:rsidR="75278FD8">
        <w:t xml:space="preserve"> (</w:t>
      </w:r>
      <w:r w:rsidR="00F04B4D">
        <w:t>7 </w:t>
      </w:r>
      <w:r w:rsidR="75278FD8">
        <w:t>pages)</w:t>
      </w:r>
    </w:p>
    <w:sectPr w:rsidR="00057A96" w:rsidRPr="00305C48" w:rsidSect="009B13A1">
      <w:headerReference w:type="default" r:id="rId21"/>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987F" w14:textId="77777777" w:rsidR="00D47738" w:rsidRDefault="00D47738" w:rsidP="00347205">
      <w:r>
        <w:separator/>
      </w:r>
    </w:p>
  </w:endnote>
  <w:endnote w:type="continuationSeparator" w:id="0">
    <w:p w14:paraId="798DE674" w14:textId="77777777" w:rsidR="00D47738" w:rsidRDefault="00D47738" w:rsidP="00347205">
      <w:r>
        <w:continuationSeparator/>
      </w:r>
    </w:p>
  </w:endnote>
  <w:endnote w:type="continuationNotice" w:id="1">
    <w:p w14:paraId="4323E618" w14:textId="77777777" w:rsidR="00D47738" w:rsidRDefault="00D47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44FC" w14:textId="77777777" w:rsidR="00D47738" w:rsidRDefault="00D47738" w:rsidP="00347205">
      <w:r>
        <w:separator/>
      </w:r>
    </w:p>
  </w:footnote>
  <w:footnote w:type="continuationSeparator" w:id="0">
    <w:p w14:paraId="75053B1A" w14:textId="77777777" w:rsidR="00D47738" w:rsidRDefault="00D47738" w:rsidP="00347205">
      <w:r>
        <w:continuationSeparator/>
      </w:r>
    </w:p>
  </w:footnote>
  <w:footnote w:type="continuationNotice" w:id="1">
    <w:p w14:paraId="345E9C93" w14:textId="77777777" w:rsidR="00D47738" w:rsidRDefault="00D47738"/>
  </w:footnote>
  <w:footnote w:id="2">
    <w:p w14:paraId="10613257" w14:textId="37E8F3C8" w:rsidR="008822A0" w:rsidRPr="00A50F66" w:rsidRDefault="008822A0">
      <w:pPr>
        <w:pStyle w:val="FootnoteText"/>
        <w:rPr>
          <w:sz w:val="24"/>
          <w:szCs w:val="24"/>
        </w:rPr>
      </w:pPr>
      <w:r w:rsidRPr="00A50F66">
        <w:rPr>
          <w:rStyle w:val="FootnoteReference"/>
          <w:sz w:val="24"/>
          <w:szCs w:val="24"/>
        </w:rPr>
        <w:footnoteRef/>
      </w:r>
      <w:r w:rsidRPr="00A50F66">
        <w:rPr>
          <w:sz w:val="24"/>
          <w:szCs w:val="24"/>
        </w:rPr>
        <w:t xml:space="preserve"> </w:t>
      </w:r>
      <w:r w:rsidR="008546A6">
        <w:rPr>
          <w:sz w:val="24"/>
          <w:szCs w:val="24"/>
        </w:rPr>
        <w:t>Not</w:t>
      </w:r>
      <w:r w:rsidR="00D818C7">
        <w:rPr>
          <w:sz w:val="24"/>
          <w:szCs w:val="24"/>
        </w:rPr>
        <w:t xml:space="preserve"> Applicable (N/A)</w:t>
      </w:r>
    </w:p>
  </w:footnote>
  <w:footnote w:id="3">
    <w:p w14:paraId="1BD39AEB" w14:textId="1E4B2671" w:rsidR="00964781" w:rsidRPr="00A50F66" w:rsidRDefault="00964781">
      <w:pPr>
        <w:pStyle w:val="FootnoteText"/>
        <w:rPr>
          <w:sz w:val="24"/>
          <w:szCs w:val="24"/>
        </w:rPr>
      </w:pPr>
      <w:r w:rsidRPr="00A50F66">
        <w:rPr>
          <w:rStyle w:val="FootnoteReference"/>
          <w:sz w:val="24"/>
          <w:szCs w:val="24"/>
        </w:rPr>
        <w:footnoteRef/>
      </w:r>
      <w:r w:rsidRPr="00A50F66">
        <w:rPr>
          <w:sz w:val="24"/>
          <w:szCs w:val="24"/>
        </w:rPr>
        <w:t xml:space="preserve"> </w:t>
      </w:r>
      <w:r w:rsidR="009F0A01">
        <w:rPr>
          <w:sz w:val="24"/>
          <w:szCs w:val="24"/>
        </w:rPr>
        <w:t>Kindergarten through grade 12 (K–</w:t>
      </w:r>
      <w:r w:rsidR="00ED0E79">
        <w:rPr>
          <w:sz w:val="24"/>
          <w:szCs w:val="24"/>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466F" w14:textId="77777777" w:rsidR="009B13A1" w:rsidRDefault="009B13A1" w:rsidP="0010429A">
    <w:pPr>
      <w:pStyle w:val="Header"/>
      <w:jc w:val="right"/>
    </w:pPr>
    <w:r>
      <w:t>memo-imab-adad-jun23item01</w:t>
    </w:r>
  </w:p>
  <w:sdt>
    <w:sdtPr>
      <w:id w:val="-639027818"/>
      <w:docPartObj>
        <w:docPartGallery w:val="Page Numbers (Top of Page)"/>
        <w:docPartUnique/>
      </w:docPartObj>
    </w:sdtPr>
    <w:sdtContent>
      <w:p w14:paraId="5A81D9E7" w14:textId="77777777" w:rsidR="00347205" w:rsidRDefault="009B13A1" w:rsidP="0010429A">
        <w:pPr>
          <w:pStyle w:val="Header"/>
          <w:spacing w:after="360"/>
          <w:jc w:val="right"/>
        </w:pPr>
        <w:r w:rsidRPr="0010429A">
          <w:t xml:space="preserve">Page </w:t>
        </w:r>
        <w:r w:rsidRPr="0010429A">
          <w:rPr>
            <w:bCs/>
          </w:rPr>
          <w:fldChar w:fldCharType="begin"/>
        </w:r>
        <w:r w:rsidRPr="0010429A">
          <w:rPr>
            <w:bCs/>
          </w:rPr>
          <w:instrText xml:space="preserve"> PAGE </w:instrText>
        </w:r>
        <w:r w:rsidRPr="0010429A">
          <w:rPr>
            <w:bCs/>
          </w:rPr>
          <w:fldChar w:fldCharType="separate"/>
        </w:r>
        <w:r w:rsidRPr="0010429A">
          <w:rPr>
            <w:bCs/>
            <w:noProof/>
          </w:rPr>
          <w:t>2</w:t>
        </w:r>
        <w:r w:rsidRPr="0010429A">
          <w:rPr>
            <w:bCs/>
          </w:rPr>
          <w:fldChar w:fldCharType="end"/>
        </w:r>
        <w:r w:rsidRPr="0010429A">
          <w:t xml:space="preserve"> of </w:t>
        </w:r>
        <w:r w:rsidRPr="0010429A">
          <w:rPr>
            <w:bCs/>
          </w:rPr>
          <w:fldChar w:fldCharType="begin"/>
        </w:r>
        <w:r w:rsidRPr="0010429A">
          <w:rPr>
            <w:bCs/>
          </w:rPr>
          <w:instrText xml:space="preserve"> NUMPAGES  </w:instrText>
        </w:r>
        <w:r w:rsidRPr="0010429A">
          <w:rPr>
            <w:bCs/>
          </w:rPr>
          <w:fldChar w:fldCharType="separate"/>
        </w:r>
        <w:r w:rsidRPr="0010429A">
          <w:rPr>
            <w:bCs/>
            <w:noProof/>
          </w:rPr>
          <w:t>2</w:t>
        </w:r>
        <w:r w:rsidRPr="0010429A">
          <w:rPr>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A0CF"/>
    <w:multiLevelType w:val="hybridMultilevel"/>
    <w:tmpl w:val="D8282506"/>
    <w:lvl w:ilvl="0" w:tplc="BA8E5350">
      <w:start w:val="1"/>
      <w:numFmt w:val="bullet"/>
      <w:lvlText w:val=""/>
      <w:lvlJc w:val="left"/>
      <w:pPr>
        <w:ind w:left="720" w:hanging="360"/>
      </w:pPr>
      <w:rPr>
        <w:rFonts w:ascii="Symbol" w:hAnsi="Symbol" w:hint="default"/>
      </w:rPr>
    </w:lvl>
    <w:lvl w:ilvl="1" w:tplc="A2F0718E">
      <w:start w:val="1"/>
      <w:numFmt w:val="bullet"/>
      <w:lvlText w:val="o"/>
      <w:lvlJc w:val="left"/>
      <w:pPr>
        <w:ind w:left="1440" w:hanging="360"/>
      </w:pPr>
      <w:rPr>
        <w:rFonts w:ascii="Courier New" w:hAnsi="Courier New" w:hint="default"/>
      </w:rPr>
    </w:lvl>
    <w:lvl w:ilvl="2" w:tplc="F0663274">
      <w:start w:val="1"/>
      <w:numFmt w:val="bullet"/>
      <w:lvlText w:val=""/>
      <w:lvlJc w:val="left"/>
      <w:pPr>
        <w:ind w:left="2160" w:hanging="360"/>
      </w:pPr>
      <w:rPr>
        <w:rFonts w:ascii="Wingdings" w:hAnsi="Wingdings" w:hint="default"/>
      </w:rPr>
    </w:lvl>
    <w:lvl w:ilvl="3" w:tplc="E2F08E4C">
      <w:start w:val="1"/>
      <w:numFmt w:val="bullet"/>
      <w:lvlText w:val=""/>
      <w:lvlJc w:val="left"/>
      <w:pPr>
        <w:ind w:left="2880" w:hanging="360"/>
      </w:pPr>
      <w:rPr>
        <w:rFonts w:ascii="Symbol" w:hAnsi="Symbol" w:hint="default"/>
      </w:rPr>
    </w:lvl>
    <w:lvl w:ilvl="4" w:tplc="6756A43A">
      <w:start w:val="1"/>
      <w:numFmt w:val="bullet"/>
      <w:lvlText w:val="o"/>
      <w:lvlJc w:val="left"/>
      <w:pPr>
        <w:ind w:left="3600" w:hanging="360"/>
      </w:pPr>
      <w:rPr>
        <w:rFonts w:ascii="Courier New" w:hAnsi="Courier New" w:hint="default"/>
      </w:rPr>
    </w:lvl>
    <w:lvl w:ilvl="5" w:tplc="DF94E8AE">
      <w:start w:val="1"/>
      <w:numFmt w:val="bullet"/>
      <w:lvlText w:val=""/>
      <w:lvlJc w:val="left"/>
      <w:pPr>
        <w:ind w:left="4320" w:hanging="360"/>
      </w:pPr>
      <w:rPr>
        <w:rFonts w:ascii="Wingdings" w:hAnsi="Wingdings" w:hint="default"/>
      </w:rPr>
    </w:lvl>
    <w:lvl w:ilvl="6" w:tplc="009CD7AA">
      <w:start w:val="1"/>
      <w:numFmt w:val="bullet"/>
      <w:lvlText w:val=""/>
      <w:lvlJc w:val="left"/>
      <w:pPr>
        <w:ind w:left="5040" w:hanging="360"/>
      </w:pPr>
      <w:rPr>
        <w:rFonts w:ascii="Symbol" w:hAnsi="Symbol" w:hint="default"/>
      </w:rPr>
    </w:lvl>
    <w:lvl w:ilvl="7" w:tplc="4772720A">
      <w:start w:val="1"/>
      <w:numFmt w:val="bullet"/>
      <w:lvlText w:val="o"/>
      <w:lvlJc w:val="left"/>
      <w:pPr>
        <w:ind w:left="5760" w:hanging="360"/>
      </w:pPr>
      <w:rPr>
        <w:rFonts w:ascii="Courier New" w:hAnsi="Courier New" w:hint="default"/>
      </w:rPr>
    </w:lvl>
    <w:lvl w:ilvl="8" w:tplc="8288FFEE">
      <w:start w:val="1"/>
      <w:numFmt w:val="bullet"/>
      <w:lvlText w:val=""/>
      <w:lvlJc w:val="left"/>
      <w:pPr>
        <w:ind w:left="6480" w:hanging="360"/>
      </w:pPr>
      <w:rPr>
        <w:rFonts w:ascii="Wingdings" w:hAnsi="Wingdings" w:hint="default"/>
      </w:rPr>
    </w:lvl>
  </w:abstractNum>
  <w:abstractNum w:abstractNumId="1" w15:restartNumberingAfterBreak="0">
    <w:nsid w:val="1DC67E08"/>
    <w:multiLevelType w:val="hybridMultilevel"/>
    <w:tmpl w:val="99D6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96412"/>
    <w:multiLevelType w:val="hybridMultilevel"/>
    <w:tmpl w:val="CB2A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77743"/>
    <w:multiLevelType w:val="hybridMultilevel"/>
    <w:tmpl w:val="28D4A8E0"/>
    <w:lvl w:ilvl="0" w:tplc="1A34B1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A74E3"/>
    <w:multiLevelType w:val="hybridMultilevel"/>
    <w:tmpl w:val="097A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626AB"/>
    <w:multiLevelType w:val="hybridMultilevel"/>
    <w:tmpl w:val="6110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D54F66"/>
    <w:multiLevelType w:val="hybridMultilevel"/>
    <w:tmpl w:val="77CE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534884">
    <w:abstractNumId w:val="3"/>
  </w:num>
  <w:num w:numId="2" w16cid:durableId="1065567888">
    <w:abstractNumId w:val="5"/>
  </w:num>
  <w:num w:numId="3" w16cid:durableId="1298803663">
    <w:abstractNumId w:val="4"/>
  </w:num>
  <w:num w:numId="4" w16cid:durableId="1475683268">
    <w:abstractNumId w:val="2"/>
  </w:num>
  <w:num w:numId="5" w16cid:durableId="655652332">
    <w:abstractNumId w:val="1"/>
  </w:num>
  <w:num w:numId="6" w16cid:durableId="1801223084">
    <w:abstractNumId w:val="0"/>
  </w:num>
  <w:num w:numId="7" w16cid:durableId="654067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0AA7"/>
    <w:rsid w:val="000011E4"/>
    <w:rsid w:val="0000133A"/>
    <w:rsid w:val="00001A63"/>
    <w:rsid w:val="00001E07"/>
    <w:rsid w:val="00002592"/>
    <w:rsid w:val="00002971"/>
    <w:rsid w:val="00002A50"/>
    <w:rsid w:val="00004D21"/>
    <w:rsid w:val="0000680C"/>
    <w:rsid w:val="000101D4"/>
    <w:rsid w:val="0001056D"/>
    <w:rsid w:val="00011547"/>
    <w:rsid w:val="000121DD"/>
    <w:rsid w:val="0001566D"/>
    <w:rsid w:val="000158E5"/>
    <w:rsid w:val="0001727D"/>
    <w:rsid w:val="00020D1F"/>
    <w:rsid w:val="00022BA1"/>
    <w:rsid w:val="00023D31"/>
    <w:rsid w:val="00024E57"/>
    <w:rsid w:val="00026A46"/>
    <w:rsid w:val="00027A9B"/>
    <w:rsid w:val="0003039F"/>
    <w:rsid w:val="0003090D"/>
    <w:rsid w:val="00031017"/>
    <w:rsid w:val="000310D2"/>
    <w:rsid w:val="0003346A"/>
    <w:rsid w:val="00034607"/>
    <w:rsid w:val="0003652A"/>
    <w:rsid w:val="00037DDF"/>
    <w:rsid w:val="0004216E"/>
    <w:rsid w:val="00042F9B"/>
    <w:rsid w:val="0004486F"/>
    <w:rsid w:val="00044B22"/>
    <w:rsid w:val="000453FC"/>
    <w:rsid w:val="00046049"/>
    <w:rsid w:val="00046949"/>
    <w:rsid w:val="000512B2"/>
    <w:rsid w:val="00051A83"/>
    <w:rsid w:val="00052783"/>
    <w:rsid w:val="00053752"/>
    <w:rsid w:val="00053B2A"/>
    <w:rsid w:val="0005548A"/>
    <w:rsid w:val="000555A4"/>
    <w:rsid w:val="000568B7"/>
    <w:rsid w:val="00057A96"/>
    <w:rsid w:val="00057CCD"/>
    <w:rsid w:val="000602B1"/>
    <w:rsid w:val="0006044C"/>
    <w:rsid w:val="0006060A"/>
    <w:rsid w:val="00062106"/>
    <w:rsid w:val="000624EA"/>
    <w:rsid w:val="000636C1"/>
    <w:rsid w:val="0006377C"/>
    <w:rsid w:val="00063A95"/>
    <w:rsid w:val="00065148"/>
    <w:rsid w:val="00067258"/>
    <w:rsid w:val="00067360"/>
    <w:rsid w:val="0006763A"/>
    <w:rsid w:val="000678C4"/>
    <w:rsid w:val="00067B16"/>
    <w:rsid w:val="00070E2B"/>
    <w:rsid w:val="00071AFF"/>
    <w:rsid w:val="000723BA"/>
    <w:rsid w:val="0007305D"/>
    <w:rsid w:val="00073C0B"/>
    <w:rsid w:val="00074334"/>
    <w:rsid w:val="00074365"/>
    <w:rsid w:val="00075290"/>
    <w:rsid w:val="0007690A"/>
    <w:rsid w:val="00077927"/>
    <w:rsid w:val="00082A63"/>
    <w:rsid w:val="00084C36"/>
    <w:rsid w:val="0008512C"/>
    <w:rsid w:val="00085CBD"/>
    <w:rsid w:val="000903BC"/>
    <w:rsid w:val="00090AA1"/>
    <w:rsid w:val="00091160"/>
    <w:rsid w:val="00091590"/>
    <w:rsid w:val="00091D81"/>
    <w:rsid w:val="0009236A"/>
    <w:rsid w:val="00094649"/>
    <w:rsid w:val="0009555E"/>
    <w:rsid w:val="000A130D"/>
    <w:rsid w:val="000A16C4"/>
    <w:rsid w:val="000A1D81"/>
    <w:rsid w:val="000A221B"/>
    <w:rsid w:val="000A242C"/>
    <w:rsid w:val="000A3498"/>
    <w:rsid w:val="000A3CBB"/>
    <w:rsid w:val="000A3E98"/>
    <w:rsid w:val="000A5E3B"/>
    <w:rsid w:val="000A6204"/>
    <w:rsid w:val="000B0CD7"/>
    <w:rsid w:val="000B1565"/>
    <w:rsid w:val="000B2845"/>
    <w:rsid w:val="000B2CE4"/>
    <w:rsid w:val="000B47F1"/>
    <w:rsid w:val="000B49E4"/>
    <w:rsid w:val="000B51F4"/>
    <w:rsid w:val="000B574D"/>
    <w:rsid w:val="000B7255"/>
    <w:rsid w:val="000B7591"/>
    <w:rsid w:val="000B7B93"/>
    <w:rsid w:val="000C1237"/>
    <w:rsid w:val="000C139F"/>
    <w:rsid w:val="000C3892"/>
    <w:rsid w:val="000C43DF"/>
    <w:rsid w:val="000C562E"/>
    <w:rsid w:val="000C5B85"/>
    <w:rsid w:val="000C6224"/>
    <w:rsid w:val="000C6E13"/>
    <w:rsid w:val="000C6FEE"/>
    <w:rsid w:val="000C7CAD"/>
    <w:rsid w:val="000D10A6"/>
    <w:rsid w:val="000D13BD"/>
    <w:rsid w:val="000D528F"/>
    <w:rsid w:val="000D52DE"/>
    <w:rsid w:val="000D5469"/>
    <w:rsid w:val="000D7847"/>
    <w:rsid w:val="000E0756"/>
    <w:rsid w:val="000E1C9B"/>
    <w:rsid w:val="000E40D1"/>
    <w:rsid w:val="000E520C"/>
    <w:rsid w:val="000E53A6"/>
    <w:rsid w:val="000E555B"/>
    <w:rsid w:val="000E5704"/>
    <w:rsid w:val="000E57A4"/>
    <w:rsid w:val="000E7EFA"/>
    <w:rsid w:val="000F0182"/>
    <w:rsid w:val="000F05E8"/>
    <w:rsid w:val="000F1061"/>
    <w:rsid w:val="000F1205"/>
    <w:rsid w:val="000F17C8"/>
    <w:rsid w:val="000F1CFD"/>
    <w:rsid w:val="000F2726"/>
    <w:rsid w:val="000F2E00"/>
    <w:rsid w:val="000F30C2"/>
    <w:rsid w:val="000F3D0A"/>
    <w:rsid w:val="000F50B4"/>
    <w:rsid w:val="000F55FD"/>
    <w:rsid w:val="000F668E"/>
    <w:rsid w:val="000F78C7"/>
    <w:rsid w:val="000F7C39"/>
    <w:rsid w:val="00100838"/>
    <w:rsid w:val="00101D89"/>
    <w:rsid w:val="00102610"/>
    <w:rsid w:val="00102C59"/>
    <w:rsid w:val="0010429A"/>
    <w:rsid w:val="001043BF"/>
    <w:rsid w:val="0010483B"/>
    <w:rsid w:val="00104AF6"/>
    <w:rsid w:val="00104B95"/>
    <w:rsid w:val="00104DDE"/>
    <w:rsid w:val="00104E82"/>
    <w:rsid w:val="00104FDA"/>
    <w:rsid w:val="001053A7"/>
    <w:rsid w:val="00105995"/>
    <w:rsid w:val="001066B9"/>
    <w:rsid w:val="00107A12"/>
    <w:rsid w:val="00112F04"/>
    <w:rsid w:val="0011304E"/>
    <w:rsid w:val="00113253"/>
    <w:rsid w:val="001134A7"/>
    <w:rsid w:val="00113627"/>
    <w:rsid w:val="00113C24"/>
    <w:rsid w:val="00113DA4"/>
    <w:rsid w:val="001175B7"/>
    <w:rsid w:val="001202A7"/>
    <w:rsid w:val="00122A5C"/>
    <w:rsid w:val="00122E30"/>
    <w:rsid w:val="0012425E"/>
    <w:rsid w:val="0012473A"/>
    <w:rsid w:val="00124B21"/>
    <w:rsid w:val="00124D3B"/>
    <w:rsid w:val="00131632"/>
    <w:rsid w:val="00131BA1"/>
    <w:rsid w:val="001327AE"/>
    <w:rsid w:val="00132D87"/>
    <w:rsid w:val="001344E9"/>
    <w:rsid w:val="00135D01"/>
    <w:rsid w:val="00136659"/>
    <w:rsid w:val="00137153"/>
    <w:rsid w:val="00137DCE"/>
    <w:rsid w:val="00141844"/>
    <w:rsid w:val="00141E59"/>
    <w:rsid w:val="00142809"/>
    <w:rsid w:val="0014391F"/>
    <w:rsid w:val="0014462C"/>
    <w:rsid w:val="0014635C"/>
    <w:rsid w:val="001471ED"/>
    <w:rsid w:val="00150989"/>
    <w:rsid w:val="001509BD"/>
    <w:rsid w:val="00150EC6"/>
    <w:rsid w:val="0015451C"/>
    <w:rsid w:val="00154834"/>
    <w:rsid w:val="00157976"/>
    <w:rsid w:val="0016173B"/>
    <w:rsid w:val="00163830"/>
    <w:rsid w:val="001648E9"/>
    <w:rsid w:val="00167AA6"/>
    <w:rsid w:val="0016D613"/>
    <w:rsid w:val="00170B02"/>
    <w:rsid w:val="00172481"/>
    <w:rsid w:val="00173CF8"/>
    <w:rsid w:val="00173DF4"/>
    <w:rsid w:val="0017412F"/>
    <w:rsid w:val="00175494"/>
    <w:rsid w:val="00175B2D"/>
    <w:rsid w:val="00176A70"/>
    <w:rsid w:val="001801B8"/>
    <w:rsid w:val="00180436"/>
    <w:rsid w:val="001804A1"/>
    <w:rsid w:val="001823FA"/>
    <w:rsid w:val="00182857"/>
    <w:rsid w:val="0018484C"/>
    <w:rsid w:val="00184AE0"/>
    <w:rsid w:val="00184C2F"/>
    <w:rsid w:val="00184DEF"/>
    <w:rsid w:val="001854F9"/>
    <w:rsid w:val="00185839"/>
    <w:rsid w:val="0018592D"/>
    <w:rsid w:val="00185F4C"/>
    <w:rsid w:val="0018688C"/>
    <w:rsid w:val="00186BC4"/>
    <w:rsid w:val="00190EE9"/>
    <w:rsid w:val="00191D2E"/>
    <w:rsid w:val="001926E0"/>
    <w:rsid w:val="00193EFD"/>
    <w:rsid w:val="001960BB"/>
    <w:rsid w:val="001969E7"/>
    <w:rsid w:val="00197075"/>
    <w:rsid w:val="00197FA0"/>
    <w:rsid w:val="001A0554"/>
    <w:rsid w:val="001A08C2"/>
    <w:rsid w:val="001A1D05"/>
    <w:rsid w:val="001A2B03"/>
    <w:rsid w:val="001A3F19"/>
    <w:rsid w:val="001A43BF"/>
    <w:rsid w:val="001A46D3"/>
    <w:rsid w:val="001A4DE0"/>
    <w:rsid w:val="001A5E8A"/>
    <w:rsid w:val="001A5EE0"/>
    <w:rsid w:val="001A6BC2"/>
    <w:rsid w:val="001B0C1F"/>
    <w:rsid w:val="001B254A"/>
    <w:rsid w:val="001B2C47"/>
    <w:rsid w:val="001B42E2"/>
    <w:rsid w:val="001B4538"/>
    <w:rsid w:val="001B51F0"/>
    <w:rsid w:val="001B65D8"/>
    <w:rsid w:val="001B673E"/>
    <w:rsid w:val="001B6C28"/>
    <w:rsid w:val="001B6F9D"/>
    <w:rsid w:val="001B76EF"/>
    <w:rsid w:val="001C17F7"/>
    <w:rsid w:val="001C29E8"/>
    <w:rsid w:val="001C2A80"/>
    <w:rsid w:val="001C358B"/>
    <w:rsid w:val="001C35C4"/>
    <w:rsid w:val="001C3AC0"/>
    <w:rsid w:val="001C4E95"/>
    <w:rsid w:val="001C5166"/>
    <w:rsid w:val="001C94BD"/>
    <w:rsid w:val="001D0410"/>
    <w:rsid w:val="001D1EA0"/>
    <w:rsid w:val="001D2ED7"/>
    <w:rsid w:val="001D3E6D"/>
    <w:rsid w:val="001D4A5B"/>
    <w:rsid w:val="001D58EF"/>
    <w:rsid w:val="001D5F49"/>
    <w:rsid w:val="001D6C87"/>
    <w:rsid w:val="001D6F3C"/>
    <w:rsid w:val="001E0B94"/>
    <w:rsid w:val="001E0E34"/>
    <w:rsid w:val="001E0F8A"/>
    <w:rsid w:val="001E11F6"/>
    <w:rsid w:val="001E2B81"/>
    <w:rsid w:val="001E7406"/>
    <w:rsid w:val="001E7B66"/>
    <w:rsid w:val="001E7DEF"/>
    <w:rsid w:val="001F122E"/>
    <w:rsid w:val="001F22F8"/>
    <w:rsid w:val="001F27B8"/>
    <w:rsid w:val="001F2B82"/>
    <w:rsid w:val="001F3DF0"/>
    <w:rsid w:val="001F3E05"/>
    <w:rsid w:val="001F46B7"/>
    <w:rsid w:val="001F4BD3"/>
    <w:rsid w:val="001F6D14"/>
    <w:rsid w:val="001F7063"/>
    <w:rsid w:val="00200286"/>
    <w:rsid w:val="00200E59"/>
    <w:rsid w:val="00202F6F"/>
    <w:rsid w:val="0020399B"/>
    <w:rsid w:val="00203FEB"/>
    <w:rsid w:val="00204216"/>
    <w:rsid w:val="002043E5"/>
    <w:rsid w:val="0020504C"/>
    <w:rsid w:val="0021048E"/>
    <w:rsid w:val="00210762"/>
    <w:rsid w:val="00210ADD"/>
    <w:rsid w:val="0021129A"/>
    <w:rsid w:val="0021201C"/>
    <w:rsid w:val="002123C9"/>
    <w:rsid w:val="00212C46"/>
    <w:rsid w:val="00213884"/>
    <w:rsid w:val="00213F06"/>
    <w:rsid w:val="00214CBA"/>
    <w:rsid w:val="00216F48"/>
    <w:rsid w:val="00217081"/>
    <w:rsid w:val="0021726B"/>
    <w:rsid w:val="00217611"/>
    <w:rsid w:val="00217B58"/>
    <w:rsid w:val="00220C5D"/>
    <w:rsid w:val="00223439"/>
    <w:rsid w:val="00224996"/>
    <w:rsid w:val="0022501A"/>
    <w:rsid w:val="00225E93"/>
    <w:rsid w:val="002272CB"/>
    <w:rsid w:val="00230F40"/>
    <w:rsid w:val="002313AC"/>
    <w:rsid w:val="0023174D"/>
    <w:rsid w:val="002339D0"/>
    <w:rsid w:val="002342A6"/>
    <w:rsid w:val="0023707F"/>
    <w:rsid w:val="0023773B"/>
    <w:rsid w:val="002408E4"/>
    <w:rsid w:val="002414FB"/>
    <w:rsid w:val="00244922"/>
    <w:rsid w:val="00244934"/>
    <w:rsid w:val="00244D74"/>
    <w:rsid w:val="002462D0"/>
    <w:rsid w:val="00247057"/>
    <w:rsid w:val="002477C6"/>
    <w:rsid w:val="00250719"/>
    <w:rsid w:val="00251460"/>
    <w:rsid w:val="00251BD5"/>
    <w:rsid w:val="00251E3E"/>
    <w:rsid w:val="00252E77"/>
    <w:rsid w:val="002534C3"/>
    <w:rsid w:val="00253796"/>
    <w:rsid w:val="00253B7B"/>
    <w:rsid w:val="002541C3"/>
    <w:rsid w:val="00255A47"/>
    <w:rsid w:val="00256A98"/>
    <w:rsid w:val="00257FDD"/>
    <w:rsid w:val="002619E8"/>
    <w:rsid w:val="00262808"/>
    <w:rsid w:val="00262A79"/>
    <w:rsid w:val="00262B00"/>
    <w:rsid w:val="002638AF"/>
    <w:rsid w:val="002638F9"/>
    <w:rsid w:val="0026438F"/>
    <w:rsid w:val="0026547E"/>
    <w:rsid w:val="002659B3"/>
    <w:rsid w:val="00265D74"/>
    <w:rsid w:val="00267F24"/>
    <w:rsid w:val="0027286A"/>
    <w:rsid w:val="002731BC"/>
    <w:rsid w:val="002749DC"/>
    <w:rsid w:val="00274F30"/>
    <w:rsid w:val="002800DA"/>
    <w:rsid w:val="002819B8"/>
    <w:rsid w:val="00281A8A"/>
    <w:rsid w:val="002839D9"/>
    <w:rsid w:val="00286990"/>
    <w:rsid w:val="00290428"/>
    <w:rsid w:val="002904CA"/>
    <w:rsid w:val="00290B3A"/>
    <w:rsid w:val="00292483"/>
    <w:rsid w:val="0029286A"/>
    <w:rsid w:val="0029308A"/>
    <w:rsid w:val="00296ADB"/>
    <w:rsid w:val="00296D97"/>
    <w:rsid w:val="002973E1"/>
    <w:rsid w:val="002A0FC4"/>
    <w:rsid w:val="002A255B"/>
    <w:rsid w:val="002A33B1"/>
    <w:rsid w:val="002A33C0"/>
    <w:rsid w:val="002A3FB9"/>
    <w:rsid w:val="002A4D96"/>
    <w:rsid w:val="002A66BA"/>
    <w:rsid w:val="002A7311"/>
    <w:rsid w:val="002B1884"/>
    <w:rsid w:val="002B20F9"/>
    <w:rsid w:val="002B2673"/>
    <w:rsid w:val="002B2EB1"/>
    <w:rsid w:val="002B335B"/>
    <w:rsid w:val="002B5A2E"/>
    <w:rsid w:val="002B5B26"/>
    <w:rsid w:val="002B5B36"/>
    <w:rsid w:val="002B637C"/>
    <w:rsid w:val="002B7394"/>
    <w:rsid w:val="002B77BF"/>
    <w:rsid w:val="002C43B0"/>
    <w:rsid w:val="002C4700"/>
    <w:rsid w:val="002C50F0"/>
    <w:rsid w:val="002C5735"/>
    <w:rsid w:val="002C5866"/>
    <w:rsid w:val="002C5A03"/>
    <w:rsid w:val="002C7508"/>
    <w:rsid w:val="002C7B2A"/>
    <w:rsid w:val="002D0AB8"/>
    <w:rsid w:val="002D111D"/>
    <w:rsid w:val="002D1458"/>
    <w:rsid w:val="002D1993"/>
    <w:rsid w:val="002D2044"/>
    <w:rsid w:val="002D20BB"/>
    <w:rsid w:val="002D31FC"/>
    <w:rsid w:val="002D401A"/>
    <w:rsid w:val="002D43DB"/>
    <w:rsid w:val="002D53CC"/>
    <w:rsid w:val="002D58D7"/>
    <w:rsid w:val="002D5FC4"/>
    <w:rsid w:val="002D5FC9"/>
    <w:rsid w:val="002D6CFF"/>
    <w:rsid w:val="002D72C3"/>
    <w:rsid w:val="002E0D39"/>
    <w:rsid w:val="002E12E2"/>
    <w:rsid w:val="002E25A2"/>
    <w:rsid w:val="002E4160"/>
    <w:rsid w:val="002E4240"/>
    <w:rsid w:val="002E42C1"/>
    <w:rsid w:val="002E4B77"/>
    <w:rsid w:val="002E4CC9"/>
    <w:rsid w:val="002E4CE9"/>
    <w:rsid w:val="002E654F"/>
    <w:rsid w:val="002E69AD"/>
    <w:rsid w:val="002E69B6"/>
    <w:rsid w:val="002E6CE7"/>
    <w:rsid w:val="002F04BA"/>
    <w:rsid w:val="002F22A4"/>
    <w:rsid w:val="002F2AF9"/>
    <w:rsid w:val="002F322F"/>
    <w:rsid w:val="002F4105"/>
    <w:rsid w:val="002F4249"/>
    <w:rsid w:val="002F4698"/>
    <w:rsid w:val="002F4B4A"/>
    <w:rsid w:val="002F4B6E"/>
    <w:rsid w:val="002F4E34"/>
    <w:rsid w:val="002F50A1"/>
    <w:rsid w:val="00300603"/>
    <w:rsid w:val="00302341"/>
    <w:rsid w:val="003028A7"/>
    <w:rsid w:val="00303118"/>
    <w:rsid w:val="0030362C"/>
    <w:rsid w:val="00305A3B"/>
    <w:rsid w:val="00305C48"/>
    <w:rsid w:val="00305EB5"/>
    <w:rsid w:val="00305F00"/>
    <w:rsid w:val="00307557"/>
    <w:rsid w:val="0031149A"/>
    <w:rsid w:val="00312B9F"/>
    <w:rsid w:val="00312DB4"/>
    <w:rsid w:val="00313E96"/>
    <w:rsid w:val="00313EBE"/>
    <w:rsid w:val="00314472"/>
    <w:rsid w:val="00314B4E"/>
    <w:rsid w:val="00314FB3"/>
    <w:rsid w:val="003164F4"/>
    <w:rsid w:val="00316875"/>
    <w:rsid w:val="00317118"/>
    <w:rsid w:val="00321D49"/>
    <w:rsid w:val="00322678"/>
    <w:rsid w:val="00322C00"/>
    <w:rsid w:val="00324A8A"/>
    <w:rsid w:val="00325EAA"/>
    <w:rsid w:val="00326E4D"/>
    <w:rsid w:val="003278BD"/>
    <w:rsid w:val="00330639"/>
    <w:rsid w:val="00331BE4"/>
    <w:rsid w:val="00332E41"/>
    <w:rsid w:val="00335389"/>
    <w:rsid w:val="0033616F"/>
    <w:rsid w:val="00336FCF"/>
    <w:rsid w:val="0034079E"/>
    <w:rsid w:val="00340900"/>
    <w:rsid w:val="0034227D"/>
    <w:rsid w:val="003422E9"/>
    <w:rsid w:val="00343FF0"/>
    <w:rsid w:val="00346563"/>
    <w:rsid w:val="00346594"/>
    <w:rsid w:val="0034660A"/>
    <w:rsid w:val="0034673A"/>
    <w:rsid w:val="00347205"/>
    <w:rsid w:val="00347346"/>
    <w:rsid w:val="00347BA1"/>
    <w:rsid w:val="00347BB3"/>
    <w:rsid w:val="00350417"/>
    <w:rsid w:val="0035080B"/>
    <w:rsid w:val="00350DEA"/>
    <w:rsid w:val="003513B2"/>
    <w:rsid w:val="00351A59"/>
    <w:rsid w:val="00351B1F"/>
    <w:rsid w:val="0035230D"/>
    <w:rsid w:val="00353478"/>
    <w:rsid w:val="00353F69"/>
    <w:rsid w:val="0035441F"/>
    <w:rsid w:val="003545C1"/>
    <w:rsid w:val="00356C13"/>
    <w:rsid w:val="00357347"/>
    <w:rsid w:val="00361090"/>
    <w:rsid w:val="00361F13"/>
    <w:rsid w:val="00362264"/>
    <w:rsid w:val="00363826"/>
    <w:rsid w:val="00364728"/>
    <w:rsid w:val="00364C1F"/>
    <w:rsid w:val="00364DD0"/>
    <w:rsid w:val="00370ACB"/>
    <w:rsid w:val="003729BE"/>
    <w:rsid w:val="00373439"/>
    <w:rsid w:val="003735DF"/>
    <w:rsid w:val="0037420C"/>
    <w:rsid w:val="00374B1F"/>
    <w:rsid w:val="00374B27"/>
    <w:rsid w:val="00375587"/>
    <w:rsid w:val="00375752"/>
    <w:rsid w:val="003801C2"/>
    <w:rsid w:val="00382E15"/>
    <w:rsid w:val="00383823"/>
    <w:rsid w:val="00385A2F"/>
    <w:rsid w:val="00385AA2"/>
    <w:rsid w:val="00386085"/>
    <w:rsid w:val="00386A3E"/>
    <w:rsid w:val="0039010F"/>
    <w:rsid w:val="003902F9"/>
    <w:rsid w:val="00390D7B"/>
    <w:rsid w:val="003914C5"/>
    <w:rsid w:val="003921CF"/>
    <w:rsid w:val="003921EC"/>
    <w:rsid w:val="003925E6"/>
    <w:rsid w:val="00392FFA"/>
    <w:rsid w:val="00393D00"/>
    <w:rsid w:val="003955A3"/>
    <w:rsid w:val="00395C32"/>
    <w:rsid w:val="00396A83"/>
    <w:rsid w:val="00396BE3"/>
    <w:rsid w:val="003A1267"/>
    <w:rsid w:val="003A2E1B"/>
    <w:rsid w:val="003A3460"/>
    <w:rsid w:val="003A34A4"/>
    <w:rsid w:val="003A3F29"/>
    <w:rsid w:val="003A5565"/>
    <w:rsid w:val="003A55BA"/>
    <w:rsid w:val="003A580D"/>
    <w:rsid w:val="003A6915"/>
    <w:rsid w:val="003A6972"/>
    <w:rsid w:val="003A6AF3"/>
    <w:rsid w:val="003A6B49"/>
    <w:rsid w:val="003A7544"/>
    <w:rsid w:val="003A7E21"/>
    <w:rsid w:val="003B07FF"/>
    <w:rsid w:val="003B1948"/>
    <w:rsid w:val="003B1CE4"/>
    <w:rsid w:val="003B37B6"/>
    <w:rsid w:val="003B4B37"/>
    <w:rsid w:val="003B506E"/>
    <w:rsid w:val="003B543C"/>
    <w:rsid w:val="003B5B25"/>
    <w:rsid w:val="003B6CBA"/>
    <w:rsid w:val="003C027C"/>
    <w:rsid w:val="003C1391"/>
    <w:rsid w:val="003C1CE5"/>
    <w:rsid w:val="003C26C8"/>
    <w:rsid w:val="003C29B3"/>
    <w:rsid w:val="003C2AF6"/>
    <w:rsid w:val="003D2368"/>
    <w:rsid w:val="003D2961"/>
    <w:rsid w:val="003D3283"/>
    <w:rsid w:val="003D62BD"/>
    <w:rsid w:val="003E149C"/>
    <w:rsid w:val="003E1D31"/>
    <w:rsid w:val="003E2CF3"/>
    <w:rsid w:val="003E31AB"/>
    <w:rsid w:val="003E35D8"/>
    <w:rsid w:val="003E3A25"/>
    <w:rsid w:val="003E3B94"/>
    <w:rsid w:val="003E3BEB"/>
    <w:rsid w:val="003E4F2E"/>
    <w:rsid w:val="003E541D"/>
    <w:rsid w:val="003E7644"/>
    <w:rsid w:val="003F0449"/>
    <w:rsid w:val="003F0A4D"/>
    <w:rsid w:val="003F0EA0"/>
    <w:rsid w:val="003F132D"/>
    <w:rsid w:val="003F140D"/>
    <w:rsid w:val="003F1866"/>
    <w:rsid w:val="003F20F5"/>
    <w:rsid w:val="003F2301"/>
    <w:rsid w:val="003F2568"/>
    <w:rsid w:val="003F298A"/>
    <w:rsid w:val="003F37CC"/>
    <w:rsid w:val="003F3C05"/>
    <w:rsid w:val="003F3C36"/>
    <w:rsid w:val="003F5F49"/>
    <w:rsid w:val="003F79C3"/>
    <w:rsid w:val="00400792"/>
    <w:rsid w:val="00400FAF"/>
    <w:rsid w:val="004011CE"/>
    <w:rsid w:val="00402F84"/>
    <w:rsid w:val="004037CD"/>
    <w:rsid w:val="00403B02"/>
    <w:rsid w:val="00406797"/>
    <w:rsid w:val="004070B1"/>
    <w:rsid w:val="00413000"/>
    <w:rsid w:val="00413B17"/>
    <w:rsid w:val="00415248"/>
    <w:rsid w:val="00415FD0"/>
    <w:rsid w:val="00416793"/>
    <w:rsid w:val="00417E6B"/>
    <w:rsid w:val="0042002C"/>
    <w:rsid w:val="00420114"/>
    <w:rsid w:val="004213FE"/>
    <w:rsid w:val="00421C65"/>
    <w:rsid w:val="00422253"/>
    <w:rsid w:val="00423CB1"/>
    <w:rsid w:val="004249CF"/>
    <w:rsid w:val="00425062"/>
    <w:rsid w:val="0042649D"/>
    <w:rsid w:val="00426C2E"/>
    <w:rsid w:val="00427777"/>
    <w:rsid w:val="00427FAF"/>
    <w:rsid w:val="0043077C"/>
    <w:rsid w:val="00430C26"/>
    <w:rsid w:val="00430DCA"/>
    <w:rsid w:val="00432C30"/>
    <w:rsid w:val="004333D3"/>
    <w:rsid w:val="00433637"/>
    <w:rsid w:val="00433A2D"/>
    <w:rsid w:val="00434450"/>
    <w:rsid w:val="004357CB"/>
    <w:rsid w:val="00435A22"/>
    <w:rsid w:val="00435E86"/>
    <w:rsid w:val="00440D37"/>
    <w:rsid w:val="0044258C"/>
    <w:rsid w:val="0044347A"/>
    <w:rsid w:val="00443DFE"/>
    <w:rsid w:val="00444D68"/>
    <w:rsid w:val="00445339"/>
    <w:rsid w:val="00445E10"/>
    <w:rsid w:val="0045268B"/>
    <w:rsid w:val="004552E1"/>
    <w:rsid w:val="004564AC"/>
    <w:rsid w:val="004565D8"/>
    <w:rsid w:val="00456BC2"/>
    <w:rsid w:val="004575E1"/>
    <w:rsid w:val="00457F4D"/>
    <w:rsid w:val="00462445"/>
    <w:rsid w:val="004626FB"/>
    <w:rsid w:val="00464A7E"/>
    <w:rsid w:val="0046519B"/>
    <w:rsid w:val="00466D90"/>
    <w:rsid w:val="00470859"/>
    <w:rsid w:val="0047141D"/>
    <w:rsid w:val="004733F3"/>
    <w:rsid w:val="0047373A"/>
    <w:rsid w:val="0047393D"/>
    <w:rsid w:val="00474A2F"/>
    <w:rsid w:val="00475B98"/>
    <w:rsid w:val="004761E8"/>
    <w:rsid w:val="00476BD9"/>
    <w:rsid w:val="00476DAC"/>
    <w:rsid w:val="00477A48"/>
    <w:rsid w:val="00477A4C"/>
    <w:rsid w:val="00477E98"/>
    <w:rsid w:val="00477EFB"/>
    <w:rsid w:val="0048205A"/>
    <w:rsid w:val="004825B7"/>
    <w:rsid w:val="004829A7"/>
    <w:rsid w:val="00483D1E"/>
    <w:rsid w:val="00483F0A"/>
    <w:rsid w:val="004874B9"/>
    <w:rsid w:val="00490030"/>
    <w:rsid w:val="00490AE5"/>
    <w:rsid w:val="00490EA6"/>
    <w:rsid w:val="00493440"/>
    <w:rsid w:val="00494A1E"/>
    <w:rsid w:val="00496545"/>
    <w:rsid w:val="0049721B"/>
    <w:rsid w:val="00497523"/>
    <w:rsid w:val="004A1F39"/>
    <w:rsid w:val="004A2DCE"/>
    <w:rsid w:val="004A451C"/>
    <w:rsid w:val="004A69DE"/>
    <w:rsid w:val="004A6A1E"/>
    <w:rsid w:val="004A7E6C"/>
    <w:rsid w:val="004B21BE"/>
    <w:rsid w:val="004B2A99"/>
    <w:rsid w:val="004B2D27"/>
    <w:rsid w:val="004B2D8B"/>
    <w:rsid w:val="004B314F"/>
    <w:rsid w:val="004B3B92"/>
    <w:rsid w:val="004B6017"/>
    <w:rsid w:val="004B7641"/>
    <w:rsid w:val="004C077E"/>
    <w:rsid w:val="004C1C00"/>
    <w:rsid w:val="004C2E0D"/>
    <w:rsid w:val="004C4577"/>
    <w:rsid w:val="004C52A2"/>
    <w:rsid w:val="004C59AC"/>
    <w:rsid w:val="004C7F69"/>
    <w:rsid w:val="004CA1AB"/>
    <w:rsid w:val="004D1E9C"/>
    <w:rsid w:val="004D20A5"/>
    <w:rsid w:val="004D2B3E"/>
    <w:rsid w:val="004D32B1"/>
    <w:rsid w:val="004D33ED"/>
    <w:rsid w:val="004D3586"/>
    <w:rsid w:val="004D3974"/>
    <w:rsid w:val="004D50C1"/>
    <w:rsid w:val="004D5117"/>
    <w:rsid w:val="004D7442"/>
    <w:rsid w:val="004E09F2"/>
    <w:rsid w:val="004E121C"/>
    <w:rsid w:val="004E12C9"/>
    <w:rsid w:val="004E1E86"/>
    <w:rsid w:val="004E3A0C"/>
    <w:rsid w:val="004E48A8"/>
    <w:rsid w:val="004E5758"/>
    <w:rsid w:val="004E66DF"/>
    <w:rsid w:val="004E6B1F"/>
    <w:rsid w:val="004F0471"/>
    <w:rsid w:val="004F09C2"/>
    <w:rsid w:val="004F17E0"/>
    <w:rsid w:val="004F215D"/>
    <w:rsid w:val="004F355A"/>
    <w:rsid w:val="004F6E6E"/>
    <w:rsid w:val="004F6FF0"/>
    <w:rsid w:val="004F76DF"/>
    <w:rsid w:val="004F7A2C"/>
    <w:rsid w:val="00501BF3"/>
    <w:rsid w:val="00501E79"/>
    <w:rsid w:val="0050304E"/>
    <w:rsid w:val="005031E0"/>
    <w:rsid w:val="0050640D"/>
    <w:rsid w:val="0051028D"/>
    <w:rsid w:val="00510800"/>
    <w:rsid w:val="005118A7"/>
    <w:rsid w:val="00511BAE"/>
    <w:rsid w:val="00511C72"/>
    <w:rsid w:val="00513EB3"/>
    <w:rsid w:val="00514013"/>
    <w:rsid w:val="0051479B"/>
    <w:rsid w:val="00516EAC"/>
    <w:rsid w:val="005208E6"/>
    <w:rsid w:val="005212A5"/>
    <w:rsid w:val="00522268"/>
    <w:rsid w:val="005234FA"/>
    <w:rsid w:val="00523DAF"/>
    <w:rsid w:val="00523F35"/>
    <w:rsid w:val="00524321"/>
    <w:rsid w:val="00524626"/>
    <w:rsid w:val="0052462A"/>
    <w:rsid w:val="0052502A"/>
    <w:rsid w:val="0052581B"/>
    <w:rsid w:val="00527C45"/>
    <w:rsid w:val="005301FE"/>
    <w:rsid w:val="00531475"/>
    <w:rsid w:val="005318B2"/>
    <w:rsid w:val="005326F4"/>
    <w:rsid w:val="00532F12"/>
    <w:rsid w:val="0053316E"/>
    <w:rsid w:val="005335B8"/>
    <w:rsid w:val="005348F1"/>
    <w:rsid w:val="00535109"/>
    <w:rsid w:val="00536366"/>
    <w:rsid w:val="0053636F"/>
    <w:rsid w:val="00536C30"/>
    <w:rsid w:val="005370F8"/>
    <w:rsid w:val="005378A2"/>
    <w:rsid w:val="00542CEF"/>
    <w:rsid w:val="0054325D"/>
    <w:rsid w:val="0054334A"/>
    <w:rsid w:val="00543FEF"/>
    <w:rsid w:val="00545320"/>
    <w:rsid w:val="00546236"/>
    <w:rsid w:val="005462AC"/>
    <w:rsid w:val="0054631C"/>
    <w:rsid w:val="00546C61"/>
    <w:rsid w:val="00546CFE"/>
    <w:rsid w:val="005474A5"/>
    <w:rsid w:val="00547859"/>
    <w:rsid w:val="0055010A"/>
    <w:rsid w:val="005515C6"/>
    <w:rsid w:val="0055353D"/>
    <w:rsid w:val="00553C8E"/>
    <w:rsid w:val="005542B2"/>
    <w:rsid w:val="00555EB9"/>
    <w:rsid w:val="00556662"/>
    <w:rsid w:val="005570D8"/>
    <w:rsid w:val="005574F3"/>
    <w:rsid w:val="005626EA"/>
    <w:rsid w:val="005631B7"/>
    <w:rsid w:val="00564E8C"/>
    <w:rsid w:val="0056FACF"/>
    <w:rsid w:val="00570E4A"/>
    <w:rsid w:val="005715BC"/>
    <w:rsid w:val="0057174D"/>
    <w:rsid w:val="00571C7A"/>
    <w:rsid w:val="00571D70"/>
    <w:rsid w:val="00572DC1"/>
    <w:rsid w:val="00575F8A"/>
    <w:rsid w:val="00576AA8"/>
    <w:rsid w:val="0057783B"/>
    <w:rsid w:val="00577D12"/>
    <w:rsid w:val="00580E7A"/>
    <w:rsid w:val="00581012"/>
    <w:rsid w:val="00581F88"/>
    <w:rsid w:val="00582060"/>
    <w:rsid w:val="005821C0"/>
    <w:rsid w:val="00582A88"/>
    <w:rsid w:val="00584485"/>
    <w:rsid w:val="0058504F"/>
    <w:rsid w:val="005858D8"/>
    <w:rsid w:val="00585A01"/>
    <w:rsid w:val="00591C50"/>
    <w:rsid w:val="005923F3"/>
    <w:rsid w:val="0059281F"/>
    <w:rsid w:val="00592C48"/>
    <w:rsid w:val="0059382F"/>
    <w:rsid w:val="00595C35"/>
    <w:rsid w:val="00595E9C"/>
    <w:rsid w:val="005962DD"/>
    <w:rsid w:val="00597CBE"/>
    <w:rsid w:val="005A3010"/>
    <w:rsid w:val="005A3373"/>
    <w:rsid w:val="005A387F"/>
    <w:rsid w:val="005A7127"/>
    <w:rsid w:val="005A7715"/>
    <w:rsid w:val="005A7B48"/>
    <w:rsid w:val="005B1325"/>
    <w:rsid w:val="005B1EF3"/>
    <w:rsid w:val="005B29E4"/>
    <w:rsid w:val="005B2BB7"/>
    <w:rsid w:val="005B32CF"/>
    <w:rsid w:val="005B4812"/>
    <w:rsid w:val="005B54CF"/>
    <w:rsid w:val="005B7B34"/>
    <w:rsid w:val="005B7BB9"/>
    <w:rsid w:val="005B7D5C"/>
    <w:rsid w:val="005C050F"/>
    <w:rsid w:val="005C06E8"/>
    <w:rsid w:val="005C28C5"/>
    <w:rsid w:val="005C2F17"/>
    <w:rsid w:val="005C3513"/>
    <w:rsid w:val="005C3BC6"/>
    <w:rsid w:val="005C3C43"/>
    <w:rsid w:val="005C3FE4"/>
    <w:rsid w:val="005C423F"/>
    <w:rsid w:val="005C4786"/>
    <w:rsid w:val="005C4A93"/>
    <w:rsid w:val="005C4CF4"/>
    <w:rsid w:val="005C5735"/>
    <w:rsid w:val="005C585B"/>
    <w:rsid w:val="005C5DA3"/>
    <w:rsid w:val="005C67A7"/>
    <w:rsid w:val="005C6AB0"/>
    <w:rsid w:val="005C6E73"/>
    <w:rsid w:val="005D0E57"/>
    <w:rsid w:val="005D10AD"/>
    <w:rsid w:val="005D1797"/>
    <w:rsid w:val="005D1EEE"/>
    <w:rsid w:val="005D2C8A"/>
    <w:rsid w:val="005D305B"/>
    <w:rsid w:val="005D36A6"/>
    <w:rsid w:val="005D446B"/>
    <w:rsid w:val="005D53E1"/>
    <w:rsid w:val="005D600A"/>
    <w:rsid w:val="005D71EC"/>
    <w:rsid w:val="005D7598"/>
    <w:rsid w:val="005E123C"/>
    <w:rsid w:val="005E13C0"/>
    <w:rsid w:val="005E1901"/>
    <w:rsid w:val="005E268D"/>
    <w:rsid w:val="005E3553"/>
    <w:rsid w:val="005E35EA"/>
    <w:rsid w:val="005E4BF5"/>
    <w:rsid w:val="005E5298"/>
    <w:rsid w:val="005E62CA"/>
    <w:rsid w:val="005E70B3"/>
    <w:rsid w:val="005E7463"/>
    <w:rsid w:val="005F01F1"/>
    <w:rsid w:val="005F088B"/>
    <w:rsid w:val="005F08ED"/>
    <w:rsid w:val="005F2437"/>
    <w:rsid w:val="005F35AC"/>
    <w:rsid w:val="005F3C64"/>
    <w:rsid w:val="005F59DC"/>
    <w:rsid w:val="005F72F5"/>
    <w:rsid w:val="005F7A7C"/>
    <w:rsid w:val="00601EE7"/>
    <w:rsid w:val="006028E0"/>
    <w:rsid w:val="00602B22"/>
    <w:rsid w:val="00603870"/>
    <w:rsid w:val="00604651"/>
    <w:rsid w:val="0060750F"/>
    <w:rsid w:val="0061012F"/>
    <w:rsid w:val="006105F6"/>
    <w:rsid w:val="00611939"/>
    <w:rsid w:val="00612324"/>
    <w:rsid w:val="006142ED"/>
    <w:rsid w:val="00615C6D"/>
    <w:rsid w:val="006217F8"/>
    <w:rsid w:val="0062199A"/>
    <w:rsid w:val="00621EDE"/>
    <w:rsid w:val="00621FA2"/>
    <w:rsid w:val="00626BC9"/>
    <w:rsid w:val="00626FC3"/>
    <w:rsid w:val="00627BAA"/>
    <w:rsid w:val="00627BE8"/>
    <w:rsid w:val="00627BEE"/>
    <w:rsid w:val="00631253"/>
    <w:rsid w:val="006332BB"/>
    <w:rsid w:val="006342DF"/>
    <w:rsid w:val="00637E32"/>
    <w:rsid w:val="00640593"/>
    <w:rsid w:val="00640E36"/>
    <w:rsid w:val="006416BF"/>
    <w:rsid w:val="00641D57"/>
    <w:rsid w:val="00642554"/>
    <w:rsid w:val="0064444C"/>
    <w:rsid w:val="00644618"/>
    <w:rsid w:val="00646300"/>
    <w:rsid w:val="00646A24"/>
    <w:rsid w:val="00647E0D"/>
    <w:rsid w:val="006508D9"/>
    <w:rsid w:val="006519D9"/>
    <w:rsid w:val="00651F3A"/>
    <w:rsid w:val="0065206D"/>
    <w:rsid w:val="006534D1"/>
    <w:rsid w:val="00653F1B"/>
    <w:rsid w:val="00654A4E"/>
    <w:rsid w:val="00655BD8"/>
    <w:rsid w:val="00656988"/>
    <w:rsid w:val="00656C62"/>
    <w:rsid w:val="00657920"/>
    <w:rsid w:val="00657C7B"/>
    <w:rsid w:val="00662AAC"/>
    <w:rsid w:val="00663332"/>
    <w:rsid w:val="00664869"/>
    <w:rsid w:val="006673CA"/>
    <w:rsid w:val="00671213"/>
    <w:rsid w:val="00671954"/>
    <w:rsid w:val="00671D7B"/>
    <w:rsid w:val="006721A6"/>
    <w:rsid w:val="0067290B"/>
    <w:rsid w:val="00673619"/>
    <w:rsid w:val="00673D18"/>
    <w:rsid w:val="00673E99"/>
    <w:rsid w:val="00673F95"/>
    <w:rsid w:val="0067508E"/>
    <w:rsid w:val="00681207"/>
    <w:rsid w:val="006812C8"/>
    <w:rsid w:val="00683DFD"/>
    <w:rsid w:val="00683F50"/>
    <w:rsid w:val="00684242"/>
    <w:rsid w:val="00684A46"/>
    <w:rsid w:val="00684A55"/>
    <w:rsid w:val="00685EF7"/>
    <w:rsid w:val="00686CBA"/>
    <w:rsid w:val="006906DD"/>
    <w:rsid w:val="00691A3F"/>
    <w:rsid w:val="00691A90"/>
    <w:rsid w:val="00691AB3"/>
    <w:rsid w:val="00693455"/>
    <w:rsid w:val="00693DD8"/>
    <w:rsid w:val="0069413B"/>
    <w:rsid w:val="006948AC"/>
    <w:rsid w:val="00694AD4"/>
    <w:rsid w:val="00694BC7"/>
    <w:rsid w:val="00697878"/>
    <w:rsid w:val="00697E10"/>
    <w:rsid w:val="006A2245"/>
    <w:rsid w:val="006A30E0"/>
    <w:rsid w:val="006A5096"/>
    <w:rsid w:val="006A5668"/>
    <w:rsid w:val="006A5D9B"/>
    <w:rsid w:val="006A5FE2"/>
    <w:rsid w:val="006A6296"/>
    <w:rsid w:val="006A64E4"/>
    <w:rsid w:val="006A7A5C"/>
    <w:rsid w:val="006B0C23"/>
    <w:rsid w:val="006B201C"/>
    <w:rsid w:val="006B2752"/>
    <w:rsid w:val="006B2B7B"/>
    <w:rsid w:val="006B2E50"/>
    <w:rsid w:val="006B37D5"/>
    <w:rsid w:val="006B3B45"/>
    <w:rsid w:val="006C0241"/>
    <w:rsid w:val="006C2FAF"/>
    <w:rsid w:val="006C33BF"/>
    <w:rsid w:val="006C375C"/>
    <w:rsid w:val="006C3FA4"/>
    <w:rsid w:val="006C4062"/>
    <w:rsid w:val="006C412F"/>
    <w:rsid w:val="006C5A71"/>
    <w:rsid w:val="006C77F5"/>
    <w:rsid w:val="006CA356"/>
    <w:rsid w:val="006D0485"/>
    <w:rsid w:val="006D3BD3"/>
    <w:rsid w:val="006D589A"/>
    <w:rsid w:val="006D78C7"/>
    <w:rsid w:val="006E1219"/>
    <w:rsid w:val="006E1470"/>
    <w:rsid w:val="006E152A"/>
    <w:rsid w:val="006E189E"/>
    <w:rsid w:val="006E30FB"/>
    <w:rsid w:val="006E34EF"/>
    <w:rsid w:val="006E403C"/>
    <w:rsid w:val="006E406F"/>
    <w:rsid w:val="006E5061"/>
    <w:rsid w:val="006E5880"/>
    <w:rsid w:val="006E66B5"/>
    <w:rsid w:val="006E6F20"/>
    <w:rsid w:val="006E7292"/>
    <w:rsid w:val="006E7EA8"/>
    <w:rsid w:val="006E7FA1"/>
    <w:rsid w:val="006F20E2"/>
    <w:rsid w:val="006F285E"/>
    <w:rsid w:val="006F30E6"/>
    <w:rsid w:val="006F3CBB"/>
    <w:rsid w:val="006F3CE6"/>
    <w:rsid w:val="006F3E70"/>
    <w:rsid w:val="006F3E91"/>
    <w:rsid w:val="006F47F3"/>
    <w:rsid w:val="006F793E"/>
    <w:rsid w:val="00700978"/>
    <w:rsid w:val="00700F53"/>
    <w:rsid w:val="00701C1D"/>
    <w:rsid w:val="0070298C"/>
    <w:rsid w:val="007054A2"/>
    <w:rsid w:val="00705652"/>
    <w:rsid w:val="00705FCE"/>
    <w:rsid w:val="00707707"/>
    <w:rsid w:val="0071205E"/>
    <w:rsid w:val="00712801"/>
    <w:rsid w:val="00713775"/>
    <w:rsid w:val="00713EA2"/>
    <w:rsid w:val="00714436"/>
    <w:rsid w:val="0071554D"/>
    <w:rsid w:val="0071689D"/>
    <w:rsid w:val="0072121B"/>
    <w:rsid w:val="00721AB0"/>
    <w:rsid w:val="0072333A"/>
    <w:rsid w:val="00723465"/>
    <w:rsid w:val="007234B4"/>
    <w:rsid w:val="0072357A"/>
    <w:rsid w:val="007304E0"/>
    <w:rsid w:val="00730752"/>
    <w:rsid w:val="00730A31"/>
    <w:rsid w:val="00732AA8"/>
    <w:rsid w:val="00733B00"/>
    <w:rsid w:val="00733E34"/>
    <w:rsid w:val="007344BD"/>
    <w:rsid w:val="00734904"/>
    <w:rsid w:val="0073526E"/>
    <w:rsid w:val="00735270"/>
    <w:rsid w:val="007355A2"/>
    <w:rsid w:val="007362FD"/>
    <w:rsid w:val="0073662B"/>
    <w:rsid w:val="0073777F"/>
    <w:rsid w:val="00737C88"/>
    <w:rsid w:val="007403BD"/>
    <w:rsid w:val="00740D15"/>
    <w:rsid w:val="00741C1C"/>
    <w:rsid w:val="0074552A"/>
    <w:rsid w:val="00745BD3"/>
    <w:rsid w:val="00746AFD"/>
    <w:rsid w:val="00750343"/>
    <w:rsid w:val="00750F6F"/>
    <w:rsid w:val="00752B5B"/>
    <w:rsid w:val="00752EC9"/>
    <w:rsid w:val="00754F8F"/>
    <w:rsid w:val="0075569F"/>
    <w:rsid w:val="0075583F"/>
    <w:rsid w:val="00756048"/>
    <w:rsid w:val="00756D44"/>
    <w:rsid w:val="00757147"/>
    <w:rsid w:val="00757396"/>
    <w:rsid w:val="00757547"/>
    <w:rsid w:val="0076034A"/>
    <w:rsid w:val="00761735"/>
    <w:rsid w:val="0076194D"/>
    <w:rsid w:val="00762187"/>
    <w:rsid w:val="00765791"/>
    <w:rsid w:val="00765FE5"/>
    <w:rsid w:val="007674FE"/>
    <w:rsid w:val="007677D7"/>
    <w:rsid w:val="00771631"/>
    <w:rsid w:val="00771FCD"/>
    <w:rsid w:val="007739F1"/>
    <w:rsid w:val="00773D74"/>
    <w:rsid w:val="007742FE"/>
    <w:rsid w:val="0077476B"/>
    <w:rsid w:val="00774FB2"/>
    <w:rsid w:val="007757F0"/>
    <w:rsid w:val="007769FF"/>
    <w:rsid w:val="007770C2"/>
    <w:rsid w:val="00777722"/>
    <w:rsid w:val="00781D96"/>
    <w:rsid w:val="00782AD4"/>
    <w:rsid w:val="00782D83"/>
    <w:rsid w:val="00784124"/>
    <w:rsid w:val="0079053B"/>
    <w:rsid w:val="0079330B"/>
    <w:rsid w:val="00795B45"/>
    <w:rsid w:val="007971C5"/>
    <w:rsid w:val="00797A19"/>
    <w:rsid w:val="007A083E"/>
    <w:rsid w:val="007A0AD3"/>
    <w:rsid w:val="007A1A1B"/>
    <w:rsid w:val="007A1A36"/>
    <w:rsid w:val="007A2653"/>
    <w:rsid w:val="007A2713"/>
    <w:rsid w:val="007A34E6"/>
    <w:rsid w:val="007A3B2D"/>
    <w:rsid w:val="007A499F"/>
    <w:rsid w:val="007A6058"/>
    <w:rsid w:val="007A673A"/>
    <w:rsid w:val="007A70FF"/>
    <w:rsid w:val="007A7C88"/>
    <w:rsid w:val="007A7D8A"/>
    <w:rsid w:val="007B0970"/>
    <w:rsid w:val="007B14F3"/>
    <w:rsid w:val="007B3250"/>
    <w:rsid w:val="007B3AED"/>
    <w:rsid w:val="007B5D8B"/>
    <w:rsid w:val="007B73E7"/>
    <w:rsid w:val="007B7FCF"/>
    <w:rsid w:val="007C1178"/>
    <w:rsid w:val="007C2AAD"/>
    <w:rsid w:val="007C4BB0"/>
    <w:rsid w:val="007C69A3"/>
    <w:rsid w:val="007C6AF5"/>
    <w:rsid w:val="007C7D6F"/>
    <w:rsid w:val="007C7F1D"/>
    <w:rsid w:val="007D17A0"/>
    <w:rsid w:val="007D18D5"/>
    <w:rsid w:val="007D1CEA"/>
    <w:rsid w:val="007D2593"/>
    <w:rsid w:val="007D2E24"/>
    <w:rsid w:val="007D3206"/>
    <w:rsid w:val="007D4467"/>
    <w:rsid w:val="007D4CB0"/>
    <w:rsid w:val="007D5A91"/>
    <w:rsid w:val="007D6851"/>
    <w:rsid w:val="007E02FB"/>
    <w:rsid w:val="007E1A97"/>
    <w:rsid w:val="007E1BA8"/>
    <w:rsid w:val="007E1C64"/>
    <w:rsid w:val="007E29EA"/>
    <w:rsid w:val="007E363B"/>
    <w:rsid w:val="007E4FCB"/>
    <w:rsid w:val="007E50D9"/>
    <w:rsid w:val="007E55C0"/>
    <w:rsid w:val="007E5F7A"/>
    <w:rsid w:val="007E657A"/>
    <w:rsid w:val="007F126D"/>
    <w:rsid w:val="007F15C5"/>
    <w:rsid w:val="007F16E2"/>
    <w:rsid w:val="007F1E08"/>
    <w:rsid w:val="007F1E72"/>
    <w:rsid w:val="007F2887"/>
    <w:rsid w:val="007F299C"/>
    <w:rsid w:val="007F2C4C"/>
    <w:rsid w:val="007F349B"/>
    <w:rsid w:val="007F39AF"/>
    <w:rsid w:val="007F3EF3"/>
    <w:rsid w:val="007F4D7C"/>
    <w:rsid w:val="007F7A3F"/>
    <w:rsid w:val="008021F1"/>
    <w:rsid w:val="00802771"/>
    <w:rsid w:val="00802C90"/>
    <w:rsid w:val="00802F1C"/>
    <w:rsid w:val="00804756"/>
    <w:rsid w:val="008054D4"/>
    <w:rsid w:val="008057E2"/>
    <w:rsid w:val="00806C77"/>
    <w:rsid w:val="00810AE3"/>
    <w:rsid w:val="00811A4F"/>
    <w:rsid w:val="008123E9"/>
    <w:rsid w:val="00814F67"/>
    <w:rsid w:val="00815558"/>
    <w:rsid w:val="0081560D"/>
    <w:rsid w:val="008157A2"/>
    <w:rsid w:val="00816142"/>
    <w:rsid w:val="0081632F"/>
    <w:rsid w:val="00820AA8"/>
    <w:rsid w:val="008213F2"/>
    <w:rsid w:val="00821FB4"/>
    <w:rsid w:val="00822214"/>
    <w:rsid w:val="00823234"/>
    <w:rsid w:val="00823573"/>
    <w:rsid w:val="008237EA"/>
    <w:rsid w:val="00824B61"/>
    <w:rsid w:val="008256EB"/>
    <w:rsid w:val="00825706"/>
    <w:rsid w:val="00825B4B"/>
    <w:rsid w:val="00826017"/>
    <w:rsid w:val="0082610F"/>
    <w:rsid w:val="00826A94"/>
    <w:rsid w:val="00831EF4"/>
    <w:rsid w:val="0083254A"/>
    <w:rsid w:val="00832BE8"/>
    <w:rsid w:val="00832BEA"/>
    <w:rsid w:val="00833C6A"/>
    <w:rsid w:val="00833DA1"/>
    <w:rsid w:val="00834A75"/>
    <w:rsid w:val="00835EE5"/>
    <w:rsid w:val="00836BF8"/>
    <w:rsid w:val="00837661"/>
    <w:rsid w:val="00837A5D"/>
    <w:rsid w:val="00837E01"/>
    <w:rsid w:val="00840A17"/>
    <w:rsid w:val="00841FB2"/>
    <w:rsid w:val="008457B6"/>
    <w:rsid w:val="00846F95"/>
    <w:rsid w:val="008479CC"/>
    <w:rsid w:val="00854223"/>
    <w:rsid w:val="008545CF"/>
    <w:rsid w:val="008546A6"/>
    <w:rsid w:val="00857815"/>
    <w:rsid w:val="00857C74"/>
    <w:rsid w:val="00863A13"/>
    <w:rsid w:val="00863D29"/>
    <w:rsid w:val="00864AE4"/>
    <w:rsid w:val="00865906"/>
    <w:rsid w:val="00865DD3"/>
    <w:rsid w:val="00867524"/>
    <w:rsid w:val="0086761A"/>
    <w:rsid w:val="00867BF7"/>
    <w:rsid w:val="008702F3"/>
    <w:rsid w:val="00872885"/>
    <w:rsid w:val="0087289A"/>
    <w:rsid w:val="00872A84"/>
    <w:rsid w:val="00872ABF"/>
    <w:rsid w:val="00872D6E"/>
    <w:rsid w:val="00872EDD"/>
    <w:rsid w:val="00873299"/>
    <w:rsid w:val="008734AC"/>
    <w:rsid w:val="008737DF"/>
    <w:rsid w:val="00873824"/>
    <w:rsid w:val="00874427"/>
    <w:rsid w:val="00874A1A"/>
    <w:rsid w:val="008753D6"/>
    <w:rsid w:val="00875C47"/>
    <w:rsid w:val="00875DD4"/>
    <w:rsid w:val="00876B37"/>
    <w:rsid w:val="0087766E"/>
    <w:rsid w:val="0088011A"/>
    <w:rsid w:val="00880B92"/>
    <w:rsid w:val="008822A0"/>
    <w:rsid w:val="00884AB5"/>
    <w:rsid w:val="00884B63"/>
    <w:rsid w:val="00885AD7"/>
    <w:rsid w:val="00887AA4"/>
    <w:rsid w:val="00887DDF"/>
    <w:rsid w:val="0089089E"/>
    <w:rsid w:val="0089196D"/>
    <w:rsid w:val="00891EA9"/>
    <w:rsid w:val="008921EA"/>
    <w:rsid w:val="0089261F"/>
    <w:rsid w:val="00892D98"/>
    <w:rsid w:val="00892FDD"/>
    <w:rsid w:val="008933B2"/>
    <w:rsid w:val="00893448"/>
    <w:rsid w:val="008951E3"/>
    <w:rsid w:val="008962C6"/>
    <w:rsid w:val="0089749B"/>
    <w:rsid w:val="008A05C9"/>
    <w:rsid w:val="008A35D4"/>
    <w:rsid w:val="008A5C04"/>
    <w:rsid w:val="008B1135"/>
    <w:rsid w:val="008B4DC7"/>
    <w:rsid w:val="008B6041"/>
    <w:rsid w:val="008B69E4"/>
    <w:rsid w:val="008B6CCB"/>
    <w:rsid w:val="008C08E5"/>
    <w:rsid w:val="008C3021"/>
    <w:rsid w:val="008C3466"/>
    <w:rsid w:val="008C3604"/>
    <w:rsid w:val="008C3AB6"/>
    <w:rsid w:val="008C56BD"/>
    <w:rsid w:val="008C61D2"/>
    <w:rsid w:val="008C707C"/>
    <w:rsid w:val="008C7765"/>
    <w:rsid w:val="008D18BD"/>
    <w:rsid w:val="008D1DEE"/>
    <w:rsid w:val="008D2B05"/>
    <w:rsid w:val="008D3AFC"/>
    <w:rsid w:val="008D48BC"/>
    <w:rsid w:val="008D533B"/>
    <w:rsid w:val="008D676B"/>
    <w:rsid w:val="008D69A8"/>
    <w:rsid w:val="008D756F"/>
    <w:rsid w:val="008D75E1"/>
    <w:rsid w:val="008D7EAC"/>
    <w:rsid w:val="008E05B4"/>
    <w:rsid w:val="008E136B"/>
    <w:rsid w:val="008E1F4B"/>
    <w:rsid w:val="008E28C6"/>
    <w:rsid w:val="008E4819"/>
    <w:rsid w:val="008E6470"/>
    <w:rsid w:val="008E6E52"/>
    <w:rsid w:val="008E7F61"/>
    <w:rsid w:val="008E8F3C"/>
    <w:rsid w:val="008F0224"/>
    <w:rsid w:val="008F0FB3"/>
    <w:rsid w:val="008F35AF"/>
    <w:rsid w:val="008F4594"/>
    <w:rsid w:val="008F4733"/>
    <w:rsid w:val="008F6904"/>
    <w:rsid w:val="008F6B8F"/>
    <w:rsid w:val="008F6CA0"/>
    <w:rsid w:val="008F7DFF"/>
    <w:rsid w:val="00900BF8"/>
    <w:rsid w:val="00901349"/>
    <w:rsid w:val="0090137A"/>
    <w:rsid w:val="00901950"/>
    <w:rsid w:val="00901C15"/>
    <w:rsid w:val="00903530"/>
    <w:rsid w:val="00903CAB"/>
    <w:rsid w:val="00903F8A"/>
    <w:rsid w:val="00904230"/>
    <w:rsid w:val="00904AD4"/>
    <w:rsid w:val="00906CC0"/>
    <w:rsid w:val="00910992"/>
    <w:rsid w:val="009117F3"/>
    <w:rsid w:val="00912A9B"/>
    <w:rsid w:val="00913E1B"/>
    <w:rsid w:val="009159C2"/>
    <w:rsid w:val="00916786"/>
    <w:rsid w:val="00916CF4"/>
    <w:rsid w:val="00920C76"/>
    <w:rsid w:val="009223CA"/>
    <w:rsid w:val="00924157"/>
    <w:rsid w:val="009250DC"/>
    <w:rsid w:val="0092580B"/>
    <w:rsid w:val="00926FED"/>
    <w:rsid w:val="009276AB"/>
    <w:rsid w:val="00927DAC"/>
    <w:rsid w:val="009304AD"/>
    <w:rsid w:val="00930A9C"/>
    <w:rsid w:val="00931BBF"/>
    <w:rsid w:val="009326DB"/>
    <w:rsid w:val="009328C3"/>
    <w:rsid w:val="00933818"/>
    <w:rsid w:val="00933F2B"/>
    <w:rsid w:val="009345A6"/>
    <w:rsid w:val="0094171E"/>
    <w:rsid w:val="0094300B"/>
    <w:rsid w:val="00943A2A"/>
    <w:rsid w:val="00943C8F"/>
    <w:rsid w:val="00943EE2"/>
    <w:rsid w:val="0094443B"/>
    <w:rsid w:val="009449D1"/>
    <w:rsid w:val="00944F37"/>
    <w:rsid w:val="00945163"/>
    <w:rsid w:val="00945358"/>
    <w:rsid w:val="0094712E"/>
    <w:rsid w:val="009502ED"/>
    <w:rsid w:val="009518CC"/>
    <w:rsid w:val="00951B38"/>
    <w:rsid w:val="0095202D"/>
    <w:rsid w:val="00953FCD"/>
    <w:rsid w:val="00954BC7"/>
    <w:rsid w:val="00956562"/>
    <w:rsid w:val="00956755"/>
    <w:rsid w:val="00957429"/>
    <w:rsid w:val="009579EF"/>
    <w:rsid w:val="009600B7"/>
    <w:rsid w:val="00961D71"/>
    <w:rsid w:val="009620B0"/>
    <w:rsid w:val="0096325D"/>
    <w:rsid w:val="00963290"/>
    <w:rsid w:val="0096379B"/>
    <w:rsid w:val="009637CA"/>
    <w:rsid w:val="00964781"/>
    <w:rsid w:val="0096535F"/>
    <w:rsid w:val="00966A8B"/>
    <w:rsid w:val="0096F51B"/>
    <w:rsid w:val="009705DA"/>
    <w:rsid w:val="00970798"/>
    <w:rsid w:val="00970932"/>
    <w:rsid w:val="00970E85"/>
    <w:rsid w:val="00971E67"/>
    <w:rsid w:val="00973D6E"/>
    <w:rsid w:val="00974C15"/>
    <w:rsid w:val="0097540C"/>
    <w:rsid w:val="00975591"/>
    <w:rsid w:val="00975980"/>
    <w:rsid w:val="00975E29"/>
    <w:rsid w:val="00975F13"/>
    <w:rsid w:val="0097669D"/>
    <w:rsid w:val="00976A60"/>
    <w:rsid w:val="00977479"/>
    <w:rsid w:val="00980D8A"/>
    <w:rsid w:val="00982A10"/>
    <w:rsid w:val="00984622"/>
    <w:rsid w:val="00984C7E"/>
    <w:rsid w:val="009856C7"/>
    <w:rsid w:val="009864EA"/>
    <w:rsid w:val="00986C94"/>
    <w:rsid w:val="00986FC3"/>
    <w:rsid w:val="00990B97"/>
    <w:rsid w:val="00992611"/>
    <w:rsid w:val="009927F5"/>
    <w:rsid w:val="009929D3"/>
    <w:rsid w:val="009937CE"/>
    <w:rsid w:val="00993DC7"/>
    <w:rsid w:val="00994D90"/>
    <w:rsid w:val="009952C4"/>
    <w:rsid w:val="00995550"/>
    <w:rsid w:val="00996709"/>
    <w:rsid w:val="009976C8"/>
    <w:rsid w:val="00997723"/>
    <w:rsid w:val="009A023A"/>
    <w:rsid w:val="009A0BD9"/>
    <w:rsid w:val="009A1330"/>
    <w:rsid w:val="009A5629"/>
    <w:rsid w:val="009A57E8"/>
    <w:rsid w:val="009A6BCE"/>
    <w:rsid w:val="009A7610"/>
    <w:rsid w:val="009B0474"/>
    <w:rsid w:val="009B09FC"/>
    <w:rsid w:val="009B13A1"/>
    <w:rsid w:val="009B3BBB"/>
    <w:rsid w:val="009B66F0"/>
    <w:rsid w:val="009C02D7"/>
    <w:rsid w:val="009C12EE"/>
    <w:rsid w:val="009C327B"/>
    <w:rsid w:val="009C416C"/>
    <w:rsid w:val="009C534B"/>
    <w:rsid w:val="009C5884"/>
    <w:rsid w:val="009C5B55"/>
    <w:rsid w:val="009D0DD9"/>
    <w:rsid w:val="009D333C"/>
    <w:rsid w:val="009D3A2C"/>
    <w:rsid w:val="009D3DB4"/>
    <w:rsid w:val="009D570D"/>
    <w:rsid w:val="009D5F0A"/>
    <w:rsid w:val="009D6477"/>
    <w:rsid w:val="009D7661"/>
    <w:rsid w:val="009D7991"/>
    <w:rsid w:val="009D79AE"/>
    <w:rsid w:val="009E0092"/>
    <w:rsid w:val="009E17BD"/>
    <w:rsid w:val="009E505F"/>
    <w:rsid w:val="009E51E8"/>
    <w:rsid w:val="009E58CC"/>
    <w:rsid w:val="009E5CE3"/>
    <w:rsid w:val="009E68EE"/>
    <w:rsid w:val="009F0A01"/>
    <w:rsid w:val="009F1E56"/>
    <w:rsid w:val="009F27AC"/>
    <w:rsid w:val="009F30AE"/>
    <w:rsid w:val="009F3F99"/>
    <w:rsid w:val="009F4532"/>
    <w:rsid w:val="009F5A57"/>
    <w:rsid w:val="009F5A83"/>
    <w:rsid w:val="00A0113F"/>
    <w:rsid w:val="00A019B2"/>
    <w:rsid w:val="00A0344E"/>
    <w:rsid w:val="00A03C7F"/>
    <w:rsid w:val="00A06DF1"/>
    <w:rsid w:val="00A071D8"/>
    <w:rsid w:val="00A11875"/>
    <w:rsid w:val="00A126CE"/>
    <w:rsid w:val="00A12EA1"/>
    <w:rsid w:val="00A131C9"/>
    <w:rsid w:val="00A13D02"/>
    <w:rsid w:val="00A213FF"/>
    <w:rsid w:val="00A21556"/>
    <w:rsid w:val="00A2587E"/>
    <w:rsid w:val="00A258E6"/>
    <w:rsid w:val="00A26117"/>
    <w:rsid w:val="00A264CF"/>
    <w:rsid w:val="00A275BC"/>
    <w:rsid w:val="00A30E5C"/>
    <w:rsid w:val="00A31889"/>
    <w:rsid w:val="00A319F5"/>
    <w:rsid w:val="00A339A9"/>
    <w:rsid w:val="00A340E0"/>
    <w:rsid w:val="00A34F50"/>
    <w:rsid w:val="00A35C73"/>
    <w:rsid w:val="00A37309"/>
    <w:rsid w:val="00A407A9"/>
    <w:rsid w:val="00A407DD"/>
    <w:rsid w:val="00A41243"/>
    <w:rsid w:val="00A449B5"/>
    <w:rsid w:val="00A4527C"/>
    <w:rsid w:val="00A47CE3"/>
    <w:rsid w:val="00A502D9"/>
    <w:rsid w:val="00A5035B"/>
    <w:rsid w:val="00A50F66"/>
    <w:rsid w:val="00A51ADA"/>
    <w:rsid w:val="00A51C90"/>
    <w:rsid w:val="00A52557"/>
    <w:rsid w:val="00A54082"/>
    <w:rsid w:val="00A54190"/>
    <w:rsid w:val="00A54652"/>
    <w:rsid w:val="00A574CE"/>
    <w:rsid w:val="00A60C42"/>
    <w:rsid w:val="00A611A4"/>
    <w:rsid w:val="00A639DA"/>
    <w:rsid w:val="00A63B8B"/>
    <w:rsid w:val="00A63D50"/>
    <w:rsid w:val="00A63FB9"/>
    <w:rsid w:val="00A67190"/>
    <w:rsid w:val="00A70A73"/>
    <w:rsid w:val="00A72714"/>
    <w:rsid w:val="00A750F5"/>
    <w:rsid w:val="00A7618B"/>
    <w:rsid w:val="00A81A7E"/>
    <w:rsid w:val="00A83AA4"/>
    <w:rsid w:val="00A84A45"/>
    <w:rsid w:val="00A84C93"/>
    <w:rsid w:val="00A86976"/>
    <w:rsid w:val="00A87843"/>
    <w:rsid w:val="00A878F5"/>
    <w:rsid w:val="00A923C2"/>
    <w:rsid w:val="00A92680"/>
    <w:rsid w:val="00A93757"/>
    <w:rsid w:val="00A93DF9"/>
    <w:rsid w:val="00A9439B"/>
    <w:rsid w:val="00A945B3"/>
    <w:rsid w:val="00A94F97"/>
    <w:rsid w:val="00A95188"/>
    <w:rsid w:val="00A95299"/>
    <w:rsid w:val="00A963D6"/>
    <w:rsid w:val="00AA0480"/>
    <w:rsid w:val="00AA070B"/>
    <w:rsid w:val="00AA0FB6"/>
    <w:rsid w:val="00AA1927"/>
    <w:rsid w:val="00AA1FE2"/>
    <w:rsid w:val="00AA20FE"/>
    <w:rsid w:val="00AA2B76"/>
    <w:rsid w:val="00AA2C58"/>
    <w:rsid w:val="00AA33EC"/>
    <w:rsid w:val="00AA4DC6"/>
    <w:rsid w:val="00AA4EB9"/>
    <w:rsid w:val="00AA5478"/>
    <w:rsid w:val="00AA5C90"/>
    <w:rsid w:val="00AA60BA"/>
    <w:rsid w:val="00AA66E6"/>
    <w:rsid w:val="00AA6A18"/>
    <w:rsid w:val="00AA6FDF"/>
    <w:rsid w:val="00AA7419"/>
    <w:rsid w:val="00AB0762"/>
    <w:rsid w:val="00AB0D30"/>
    <w:rsid w:val="00AB0F3E"/>
    <w:rsid w:val="00AB1F10"/>
    <w:rsid w:val="00AB20C3"/>
    <w:rsid w:val="00AB43B6"/>
    <w:rsid w:val="00AB4C92"/>
    <w:rsid w:val="00AB582D"/>
    <w:rsid w:val="00AB5C40"/>
    <w:rsid w:val="00AB6945"/>
    <w:rsid w:val="00AB6BBA"/>
    <w:rsid w:val="00AB6DD9"/>
    <w:rsid w:val="00AB7B48"/>
    <w:rsid w:val="00AC01FB"/>
    <w:rsid w:val="00AC1778"/>
    <w:rsid w:val="00AC1D07"/>
    <w:rsid w:val="00AC4199"/>
    <w:rsid w:val="00AC4DA0"/>
    <w:rsid w:val="00AC5428"/>
    <w:rsid w:val="00AC601E"/>
    <w:rsid w:val="00AD0AF4"/>
    <w:rsid w:val="00AD1346"/>
    <w:rsid w:val="00AD13B4"/>
    <w:rsid w:val="00AD17F5"/>
    <w:rsid w:val="00AD1B5A"/>
    <w:rsid w:val="00AD25E1"/>
    <w:rsid w:val="00AD3581"/>
    <w:rsid w:val="00AD3745"/>
    <w:rsid w:val="00AD3B6F"/>
    <w:rsid w:val="00AD471C"/>
    <w:rsid w:val="00AD5DAA"/>
    <w:rsid w:val="00AD6475"/>
    <w:rsid w:val="00AD6848"/>
    <w:rsid w:val="00AD6AE6"/>
    <w:rsid w:val="00AE18A2"/>
    <w:rsid w:val="00AE2CCE"/>
    <w:rsid w:val="00AE3815"/>
    <w:rsid w:val="00AE3FC7"/>
    <w:rsid w:val="00AE4B06"/>
    <w:rsid w:val="00AE50EB"/>
    <w:rsid w:val="00AE57F5"/>
    <w:rsid w:val="00AE5B65"/>
    <w:rsid w:val="00AE66A4"/>
    <w:rsid w:val="00AE74E6"/>
    <w:rsid w:val="00AF1D5B"/>
    <w:rsid w:val="00AF3515"/>
    <w:rsid w:val="00AF3847"/>
    <w:rsid w:val="00AF4DDC"/>
    <w:rsid w:val="00AF5BFB"/>
    <w:rsid w:val="00AF7D82"/>
    <w:rsid w:val="00B01451"/>
    <w:rsid w:val="00B0160A"/>
    <w:rsid w:val="00B01F1E"/>
    <w:rsid w:val="00B01F6D"/>
    <w:rsid w:val="00B03028"/>
    <w:rsid w:val="00B0352A"/>
    <w:rsid w:val="00B03BD3"/>
    <w:rsid w:val="00B03FD2"/>
    <w:rsid w:val="00B04359"/>
    <w:rsid w:val="00B07B29"/>
    <w:rsid w:val="00B10722"/>
    <w:rsid w:val="00B107FD"/>
    <w:rsid w:val="00B11CF0"/>
    <w:rsid w:val="00B1219C"/>
    <w:rsid w:val="00B12E5E"/>
    <w:rsid w:val="00B161DC"/>
    <w:rsid w:val="00B16446"/>
    <w:rsid w:val="00B17237"/>
    <w:rsid w:val="00B17C32"/>
    <w:rsid w:val="00B20F84"/>
    <w:rsid w:val="00B210E3"/>
    <w:rsid w:val="00B22217"/>
    <w:rsid w:val="00B248A9"/>
    <w:rsid w:val="00B25C5A"/>
    <w:rsid w:val="00B26FBA"/>
    <w:rsid w:val="00B311AD"/>
    <w:rsid w:val="00B31C5F"/>
    <w:rsid w:val="00B3248A"/>
    <w:rsid w:val="00B33145"/>
    <w:rsid w:val="00B3350B"/>
    <w:rsid w:val="00B33A52"/>
    <w:rsid w:val="00B3442E"/>
    <w:rsid w:val="00B34814"/>
    <w:rsid w:val="00B34A30"/>
    <w:rsid w:val="00B35251"/>
    <w:rsid w:val="00B3651B"/>
    <w:rsid w:val="00B37713"/>
    <w:rsid w:val="00B409D6"/>
    <w:rsid w:val="00B42793"/>
    <w:rsid w:val="00B4333B"/>
    <w:rsid w:val="00B43548"/>
    <w:rsid w:val="00B442C2"/>
    <w:rsid w:val="00B451F5"/>
    <w:rsid w:val="00B45CA2"/>
    <w:rsid w:val="00B46FF7"/>
    <w:rsid w:val="00B47B46"/>
    <w:rsid w:val="00B47F01"/>
    <w:rsid w:val="00B51216"/>
    <w:rsid w:val="00B5151A"/>
    <w:rsid w:val="00B52618"/>
    <w:rsid w:val="00B530B5"/>
    <w:rsid w:val="00B54F6E"/>
    <w:rsid w:val="00B56246"/>
    <w:rsid w:val="00B566A2"/>
    <w:rsid w:val="00B60DA8"/>
    <w:rsid w:val="00B60DEB"/>
    <w:rsid w:val="00B622E2"/>
    <w:rsid w:val="00B62574"/>
    <w:rsid w:val="00B6277E"/>
    <w:rsid w:val="00B634A9"/>
    <w:rsid w:val="00B639B6"/>
    <w:rsid w:val="00B64FBD"/>
    <w:rsid w:val="00B6515E"/>
    <w:rsid w:val="00B654BD"/>
    <w:rsid w:val="00B66305"/>
    <w:rsid w:val="00B66BB9"/>
    <w:rsid w:val="00B67216"/>
    <w:rsid w:val="00B7181C"/>
    <w:rsid w:val="00B727CE"/>
    <w:rsid w:val="00B73A42"/>
    <w:rsid w:val="00B74449"/>
    <w:rsid w:val="00B74518"/>
    <w:rsid w:val="00B74686"/>
    <w:rsid w:val="00B7633F"/>
    <w:rsid w:val="00B80841"/>
    <w:rsid w:val="00B80F4F"/>
    <w:rsid w:val="00B81289"/>
    <w:rsid w:val="00B8231A"/>
    <w:rsid w:val="00B830F7"/>
    <w:rsid w:val="00B836E0"/>
    <w:rsid w:val="00B843C7"/>
    <w:rsid w:val="00B862E1"/>
    <w:rsid w:val="00B864E6"/>
    <w:rsid w:val="00B87908"/>
    <w:rsid w:val="00B87D6B"/>
    <w:rsid w:val="00B92491"/>
    <w:rsid w:val="00B94052"/>
    <w:rsid w:val="00B94757"/>
    <w:rsid w:val="00B9495F"/>
    <w:rsid w:val="00B9568F"/>
    <w:rsid w:val="00B96306"/>
    <w:rsid w:val="00B97B2F"/>
    <w:rsid w:val="00B97D2A"/>
    <w:rsid w:val="00B97F1D"/>
    <w:rsid w:val="00B97F8F"/>
    <w:rsid w:val="00BA04BD"/>
    <w:rsid w:val="00BA0717"/>
    <w:rsid w:val="00BA1410"/>
    <w:rsid w:val="00BA2642"/>
    <w:rsid w:val="00BA37ED"/>
    <w:rsid w:val="00BA68D3"/>
    <w:rsid w:val="00BA7678"/>
    <w:rsid w:val="00BA794E"/>
    <w:rsid w:val="00BB024A"/>
    <w:rsid w:val="00BB06AC"/>
    <w:rsid w:val="00BB1574"/>
    <w:rsid w:val="00BB2039"/>
    <w:rsid w:val="00BB2399"/>
    <w:rsid w:val="00BB25CF"/>
    <w:rsid w:val="00BB3218"/>
    <w:rsid w:val="00BB38F8"/>
    <w:rsid w:val="00BB3F16"/>
    <w:rsid w:val="00BB488C"/>
    <w:rsid w:val="00BB4B1F"/>
    <w:rsid w:val="00BB61E7"/>
    <w:rsid w:val="00BB6727"/>
    <w:rsid w:val="00BB7169"/>
    <w:rsid w:val="00BB7530"/>
    <w:rsid w:val="00BB7659"/>
    <w:rsid w:val="00BC0AE3"/>
    <w:rsid w:val="00BC1859"/>
    <w:rsid w:val="00BC274F"/>
    <w:rsid w:val="00BC3667"/>
    <w:rsid w:val="00BC376B"/>
    <w:rsid w:val="00BC3BBB"/>
    <w:rsid w:val="00BC4BA6"/>
    <w:rsid w:val="00BC4C28"/>
    <w:rsid w:val="00BC5048"/>
    <w:rsid w:val="00BC67A2"/>
    <w:rsid w:val="00BD3D40"/>
    <w:rsid w:val="00BD4D11"/>
    <w:rsid w:val="00BD556B"/>
    <w:rsid w:val="00BE02C7"/>
    <w:rsid w:val="00BE054B"/>
    <w:rsid w:val="00BE09A6"/>
    <w:rsid w:val="00BE11A2"/>
    <w:rsid w:val="00BE259C"/>
    <w:rsid w:val="00BE2BBA"/>
    <w:rsid w:val="00BE32AD"/>
    <w:rsid w:val="00BE35CE"/>
    <w:rsid w:val="00BE3C63"/>
    <w:rsid w:val="00BE4131"/>
    <w:rsid w:val="00BE59DF"/>
    <w:rsid w:val="00BE608F"/>
    <w:rsid w:val="00BE7052"/>
    <w:rsid w:val="00BE7A6D"/>
    <w:rsid w:val="00BF0D55"/>
    <w:rsid w:val="00BF0E97"/>
    <w:rsid w:val="00BF1B13"/>
    <w:rsid w:val="00BF1BFF"/>
    <w:rsid w:val="00BF2D74"/>
    <w:rsid w:val="00BF3064"/>
    <w:rsid w:val="00BF3946"/>
    <w:rsid w:val="00BF3E42"/>
    <w:rsid w:val="00BF45DE"/>
    <w:rsid w:val="00BF45E2"/>
    <w:rsid w:val="00BF5C15"/>
    <w:rsid w:val="00BF6AE0"/>
    <w:rsid w:val="00BF6E49"/>
    <w:rsid w:val="00BF7E00"/>
    <w:rsid w:val="00BF7F32"/>
    <w:rsid w:val="00C02602"/>
    <w:rsid w:val="00C02749"/>
    <w:rsid w:val="00C02CB5"/>
    <w:rsid w:val="00C043E4"/>
    <w:rsid w:val="00C04645"/>
    <w:rsid w:val="00C06E79"/>
    <w:rsid w:val="00C07A2D"/>
    <w:rsid w:val="00C1072B"/>
    <w:rsid w:val="00C10C13"/>
    <w:rsid w:val="00C128A4"/>
    <w:rsid w:val="00C14098"/>
    <w:rsid w:val="00C1623C"/>
    <w:rsid w:val="00C1627D"/>
    <w:rsid w:val="00C16585"/>
    <w:rsid w:val="00C16636"/>
    <w:rsid w:val="00C16E58"/>
    <w:rsid w:val="00C174FD"/>
    <w:rsid w:val="00C21A8D"/>
    <w:rsid w:val="00C21B2A"/>
    <w:rsid w:val="00C23AF8"/>
    <w:rsid w:val="00C24B5A"/>
    <w:rsid w:val="00C259AF"/>
    <w:rsid w:val="00C25B3C"/>
    <w:rsid w:val="00C262CA"/>
    <w:rsid w:val="00C26A5C"/>
    <w:rsid w:val="00C26A8D"/>
    <w:rsid w:val="00C26C81"/>
    <w:rsid w:val="00C26CD4"/>
    <w:rsid w:val="00C26CE7"/>
    <w:rsid w:val="00C30D40"/>
    <w:rsid w:val="00C3162D"/>
    <w:rsid w:val="00C31981"/>
    <w:rsid w:val="00C31F34"/>
    <w:rsid w:val="00C33ABE"/>
    <w:rsid w:val="00C35566"/>
    <w:rsid w:val="00C35ABD"/>
    <w:rsid w:val="00C36610"/>
    <w:rsid w:val="00C36850"/>
    <w:rsid w:val="00C37DE1"/>
    <w:rsid w:val="00C40EB9"/>
    <w:rsid w:val="00C410C3"/>
    <w:rsid w:val="00C41FA9"/>
    <w:rsid w:val="00C420BB"/>
    <w:rsid w:val="00C436AE"/>
    <w:rsid w:val="00C43717"/>
    <w:rsid w:val="00C43B21"/>
    <w:rsid w:val="00C43C6C"/>
    <w:rsid w:val="00C44536"/>
    <w:rsid w:val="00C44A21"/>
    <w:rsid w:val="00C45600"/>
    <w:rsid w:val="00C45B35"/>
    <w:rsid w:val="00C46670"/>
    <w:rsid w:val="00C46832"/>
    <w:rsid w:val="00C46E20"/>
    <w:rsid w:val="00C46E84"/>
    <w:rsid w:val="00C51FBC"/>
    <w:rsid w:val="00C52C2B"/>
    <w:rsid w:val="00C52FEF"/>
    <w:rsid w:val="00C535EB"/>
    <w:rsid w:val="00C53C8E"/>
    <w:rsid w:val="00C53FA9"/>
    <w:rsid w:val="00C54236"/>
    <w:rsid w:val="00C543E6"/>
    <w:rsid w:val="00C558F5"/>
    <w:rsid w:val="00C56B18"/>
    <w:rsid w:val="00C61C88"/>
    <w:rsid w:val="00C61F78"/>
    <w:rsid w:val="00C62CD9"/>
    <w:rsid w:val="00C62E58"/>
    <w:rsid w:val="00C62E68"/>
    <w:rsid w:val="00C6362F"/>
    <w:rsid w:val="00C63D85"/>
    <w:rsid w:val="00C64C4A"/>
    <w:rsid w:val="00C64CD3"/>
    <w:rsid w:val="00C70647"/>
    <w:rsid w:val="00C7114C"/>
    <w:rsid w:val="00C71876"/>
    <w:rsid w:val="00C718B7"/>
    <w:rsid w:val="00C71EC2"/>
    <w:rsid w:val="00C72A06"/>
    <w:rsid w:val="00C732AC"/>
    <w:rsid w:val="00C73CDC"/>
    <w:rsid w:val="00C73D56"/>
    <w:rsid w:val="00C73D61"/>
    <w:rsid w:val="00C740A8"/>
    <w:rsid w:val="00C74ECA"/>
    <w:rsid w:val="00C779D5"/>
    <w:rsid w:val="00C7B94F"/>
    <w:rsid w:val="00C80547"/>
    <w:rsid w:val="00C80C52"/>
    <w:rsid w:val="00C80FDD"/>
    <w:rsid w:val="00C8197D"/>
    <w:rsid w:val="00C842AC"/>
    <w:rsid w:val="00C844A6"/>
    <w:rsid w:val="00C84902"/>
    <w:rsid w:val="00C8495C"/>
    <w:rsid w:val="00C8503E"/>
    <w:rsid w:val="00C85D54"/>
    <w:rsid w:val="00C87113"/>
    <w:rsid w:val="00C872C2"/>
    <w:rsid w:val="00C9043A"/>
    <w:rsid w:val="00C9053D"/>
    <w:rsid w:val="00C923CC"/>
    <w:rsid w:val="00C94CA7"/>
    <w:rsid w:val="00C94DE7"/>
    <w:rsid w:val="00C958F2"/>
    <w:rsid w:val="00C95E4E"/>
    <w:rsid w:val="00C96305"/>
    <w:rsid w:val="00C971AD"/>
    <w:rsid w:val="00CA16DF"/>
    <w:rsid w:val="00CA29E1"/>
    <w:rsid w:val="00CA33F4"/>
    <w:rsid w:val="00CA4BF6"/>
    <w:rsid w:val="00CB0878"/>
    <w:rsid w:val="00CB0AA2"/>
    <w:rsid w:val="00CB1D9E"/>
    <w:rsid w:val="00CB32C6"/>
    <w:rsid w:val="00CB36D6"/>
    <w:rsid w:val="00CB49D4"/>
    <w:rsid w:val="00CB719D"/>
    <w:rsid w:val="00CC0C73"/>
    <w:rsid w:val="00CC1E1E"/>
    <w:rsid w:val="00CC4A62"/>
    <w:rsid w:val="00CC5474"/>
    <w:rsid w:val="00CC78B1"/>
    <w:rsid w:val="00CD0CFE"/>
    <w:rsid w:val="00CD2BF1"/>
    <w:rsid w:val="00CD340B"/>
    <w:rsid w:val="00CD4184"/>
    <w:rsid w:val="00CD4532"/>
    <w:rsid w:val="00CE2776"/>
    <w:rsid w:val="00CE345D"/>
    <w:rsid w:val="00CE4F01"/>
    <w:rsid w:val="00CE5070"/>
    <w:rsid w:val="00CE6186"/>
    <w:rsid w:val="00CE6598"/>
    <w:rsid w:val="00CE7B71"/>
    <w:rsid w:val="00CF0C56"/>
    <w:rsid w:val="00CF1ACD"/>
    <w:rsid w:val="00CF1F5B"/>
    <w:rsid w:val="00CF2142"/>
    <w:rsid w:val="00CF285F"/>
    <w:rsid w:val="00CF3069"/>
    <w:rsid w:val="00CF4504"/>
    <w:rsid w:val="00CF4E1B"/>
    <w:rsid w:val="00CF4F1F"/>
    <w:rsid w:val="00CF5553"/>
    <w:rsid w:val="00CF6024"/>
    <w:rsid w:val="00CF693A"/>
    <w:rsid w:val="00CF6A69"/>
    <w:rsid w:val="00D00C76"/>
    <w:rsid w:val="00D010D3"/>
    <w:rsid w:val="00D021D0"/>
    <w:rsid w:val="00D0349D"/>
    <w:rsid w:val="00D037A5"/>
    <w:rsid w:val="00D0666D"/>
    <w:rsid w:val="00D1073E"/>
    <w:rsid w:val="00D10AE5"/>
    <w:rsid w:val="00D12987"/>
    <w:rsid w:val="00D13216"/>
    <w:rsid w:val="00D13639"/>
    <w:rsid w:val="00D136CC"/>
    <w:rsid w:val="00D15414"/>
    <w:rsid w:val="00D15D38"/>
    <w:rsid w:val="00D160C7"/>
    <w:rsid w:val="00D163ED"/>
    <w:rsid w:val="00D207A1"/>
    <w:rsid w:val="00D213A5"/>
    <w:rsid w:val="00D22AD5"/>
    <w:rsid w:val="00D236BF"/>
    <w:rsid w:val="00D23A6F"/>
    <w:rsid w:val="00D24BD7"/>
    <w:rsid w:val="00D2585D"/>
    <w:rsid w:val="00D26A53"/>
    <w:rsid w:val="00D26DC8"/>
    <w:rsid w:val="00D2770E"/>
    <w:rsid w:val="00D31EE6"/>
    <w:rsid w:val="00D32038"/>
    <w:rsid w:val="00D3315E"/>
    <w:rsid w:val="00D331DA"/>
    <w:rsid w:val="00D339DD"/>
    <w:rsid w:val="00D33BC7"/>
    <w:rsid w:val="00D340B1"/>
    <w:rsid w:val="00D34142"/>
    <w:rsid w:val="00D34AE6"/>
    <w:rsid w:val="00D34F8D"/>
    <w:rsid w:val="00D35155"/>
    <w:rsid w:val="00D354FA"/>
    <w:rsid w:val="00D3565C"/>
    <w:rsid w:val="00D359D0"/>
    <w:rsid w:val="00D36142"/>
    <w:rsid w:val="00D37E55"/>
    <w:rsid w:val="00D37E84"/>
    <w:rsid w:val="00D40198"/>
    <w:rsid w:val="00D4149A"/>
    <w:rsid w:val="00D427B6"/>
    <w:rsid w:val="00D43084"/>
    <w:rsid w:val="00D44A5E"/>
    <w:rsid w:val="00D451DF"/>
    <w:rsid w:val="00D466F3"/>
    <w:rsid w:val="00D47738"/>
    <w:rsid w:val="00D4788E"/>
    <w:rsid w:val="00D4830D"/>
    <w:rsid w:val="00D5014A"/>
    <w:rsid w:val="00D508C0"/>
    <w:rsid w:val="00D51BC2"/>
    <w:rsid w:val="00D5241B"/>
    <w:rsid w:val="00D525D4"/>
    <w:rsid w:val="00D5414A"/>
    <w:rsid w:val="00D559B6"/>
    <w:rsid w:val="00D55DEF"/>
    <w:rsid w:val="00D55F22"/>
    <w:rsid w:val="00D569B3"/>
    <w:rsid w:val="00D57E43"/>
    <w:rsid w:val="00D60AD1"/>
    <w:rsid w:val="00D61156"/>
    <w:rsid w:val="00D62A0E"/>
    <w:rsid w:val="00D6438C"/>
    <w:rsid w:val="00D672A4"/>
    <w:rsid w:val="00D67DA9"/>
    <w:rsid w:val="00D7053E"/>
    <w:rsid w:val="00D70C0D"/>
    <w:rsid w:val="00D71512"/>
    <w:rsid w:val="00D72314"/>
    <w:rsid w:val="00D72C9B"/>
    <w:rsid w:val="00D73758"/>
    <w:rsid w:val="00D752C2"/>
    <w:rsid w:val="00D80353"/>
    <w:rsid w:val="00D8042B"/>
    <w:rsid w:val="00D806C2"/>
    <w:rsid w:val="00D808DD"/>
    <w:rsid w:val="00D81629"/>
    <w:rsid w:val="00D818C7"/>
    <w:rsid w:val="00D81E7D"/>
    <w:rsid w:val="00D82D6B"/>
    <w:rsid w:val="00D833B8"/>
    <w:rsid w:val="00D841D1"/>
    <w:rsid w:val="00D841D7"/>
    <w:rsid w:val="00D841D9"/>
    <w:rsid w:val="00D85211"/>
    <w:rsid w:val="00D8563F"/>
    <w:rsid w:val="00D862B6"/>
    <w:rsid w:val="00D92644"/>
    <w:rsid w:val="00D93453"/>
    <w:rsid w:val="00D936EB"/>
    <w:rsid w:val="00D937AD"/>
    <w:rsid w:val="00D942E2"/>
    <w:rsid w:val="00D94CA9"/>
    <w:rsid w:val="00D96883"/>
    <w:rsid w:val="00D96F04"/>
    <w:rsid w:val="00D973E3"/>
    <w:rsid w:val="00D9753F"/>
    <w:rsid w:val="00D9780D"/>
    <w:rsid w:val="00DA011F"/>
    <w:rsid w:val="00DA25B5"/>
    <w:rsid w:val="00DA26F0"/>
    <w:rsid w:val="00DA314A"/>
    <w:rsid w:val="00DA4153"/>
    <w:rsid w:val="00DA4C87"/>
    <w:rsid w:val="00DA4DC6"/>
    <w:rsid w:val="00DA6039"/>
    <w:rsid w:val="00DA6F54"/>
    <w:rsid w:val="00DA73C2"/>
    <w:rsid w:val="00DB0AE2"/>
    <w:rsid w:val="00DB166F"/>
    <w:rsid w:val="00DB1729"/>
    <w:rsid w:val="00DB2BE5"/>
    <w:rsid w:val="00DB2F15"/>
    <w:rsid w:val="00DB358E"/>
    <w:rsid w:val="00DB4536"/>
    <w:rsid w:val="00DB4F2C"/>
    <w:rsid w:val="00DB6859"/>
    <w:rsid w:val="00DB6FDC"/>
    <w:rsid w:val="00DB7574"/>
    <w:rsid w:val="00DB75AA"/>
    <w:rsid w:val="00DB7F7F"/>
    <w:rsid w:val="00DC0182"/>
    <w:rsid w:val="00DC0A6C"/>
    <w:rsid w:val="00DC26AA"/>
    <w:rsid w:val="00DC4031"/>
    <w:rsid w:val="00DC4368"/>
    <w:rsid w:val="00DC4A90"/>
    <w:rsid w:val="00DC52AE"/>
    <w:rsid w:val="00DC56FA"/>
    <w:rsid w:val="00DC5FAA"/>
    <w:rsid w:val="00DC71C8"/>
    <w:rsid w:val="00DC7990"/>
    <w:rsid w:val="00DD121E"/>
    <w:rsid w:val="00DD18A2"/>
    <w:rsid w:val="00DD257F"/>
    <w:rsid w:val="00DD2C54"/>
    <w:rsid w:val="00DD2E5E"/>
    <w:rsid w:val="00DD3479"/>
    <w:rsid w:val="00DD42FB"/>
    <w:rsid w:val="00DD48B6"/>
    <w:rsid w:val="00DD5302"/>
    <w:rsid w:val="00DD6766"/>
    <w:rsid w:val="00DD756F"/>
    <w:rsid w:val="00DD7A5C"/>
    <w:rsid w:val="00DE15A5"/>
    <w:rsid w:val="00DE194F"/>
    <w:rsid w:val="00DE25E1"/>
    <w:rsid w:val="00DE2DD4"/>
    <w:rsid w:val="00DE36AA"/>
    <w:rsid w:val="00DE3AC5"/>
    <w:rsid w:val="00DE447D"/>
    <w:rsid w:val="00DE5C74"/>
    <w:rsid w:val="00DE5DAC"/>
    <w:rsid w:val="00DF0ECC"/>
    <w:rsid w:val="00DF2DDD"/>
    <w:rsid w:val="00DF382F"/>
    <w:rsid w:val="00DF4061"/>
    <w:rsid w:val="00DF4090"/>
    <w:rsid w:val="00DF4E03"/>
    <w:rsid w:val="00DF522C"/>
    <w:rsid w:val="00DF542A"/>
    <w:rsid w:val="00DF5D0F"/>
    <w:rsid w:val="00DF6597"/>
    <w:rsid w:val="00DF696E"/>
    <w:rsid w:val="00DF7813"/>
    <w:rsid w:val="00E0023C"/>
    <w:rsid w:val="00E01532"/>
    <w:rsid w:val="00E0359E"/>
    <w:rsid w:val="00E03AFC"/>
    <w:rsid w:val="00E06250"/>
    <w:rsid w:val="00E068D0"/>
    <w:rsid w:val="00E06AEB"/>
    <w:rsid w:val="00E06D9A"/>
    <w:rsid w:val="00E07D69"/>
    <w:rsid w:val="00E13A4F"/>
    <w:rsid w:val="00E13EA1"/>
    <w:rsid w:val="00E1425E"/>
    <w:rsid w:val="00E14C44"/>
    <w:rsid w:val="00E22D5E"/>
    <w:rsid w:val="00E22E54"/>
    <w:rsid w:val="00E22F41"/>
    <w:rsid w:val="00E23317"/>
    <w:rsid w:val="00E249FC"/>
    <w:rsid w:val="00E24D9E"/>
    <w:rsid w:val="00E25AAF"/>
    <w:rsid w:val="00E30875"/>
    <w:rsid w:val="00E31045"/>
    <w:rsid w:val="00E317C1"/>
    <w:rsid w:val="00E319FE"/>
    <w:rsid w:val="00E32FDC"/>
    <w:rsid w:val="00E34075"/>
    <w:rsid w:val="00E353BC"/>
    <w:rsid w:val="00E3547A"/>
    <w:rsid w:val="00E35C88"/>
    <w:rsid w:val="00E35F7D"/>
    <w:rsid w:val="00E36744"/>
    <w:rsid w:val="00E3707E"/>
    <w:rsid w:val="00E41F6C"/>
    <w:rsid w:val="00E4316E"/>
    <w:rsid w:val="00E435CC"/>
    <w:rsid w:val="00E43A97"/>
    <w:rsid w:val="00E44314"/>
    <w:rsid w:val="00E447C0"/>
    <w:rsid w:val="00E44C6F"/>
    <w:rsid w:val="00E44FA1"/>
    <w:rsid w:val="00E45C8A"/>
    <w:rsid w:val="00E4614A"/>
    <w:rsid w:val="00E46FE9"/>
    <w:rsid w:val="00E50AE7"/>
    <w:rsid w:val="00E52305"/>
    <w:rsid w:val="00E52E6A"/>
    <w:rsid w:val="00E54801"/>
    <w:rsid w:val="00E56F33"/>
    <w:rsid w:val="00E62636"/>
    <w:rsid w:val="00E655A5"/>
    <w:rsid w:val="00E65836"/>
    <w:rsid w:val="00E677BC"/>
    <w:rsid w:val="00E67E4D"/>
    <w:rsid w:val="00E71922"/>
    <w:rsid w:val="00E72C1B"/>
    <w:rsid w:val="00E74627"/>
    <w:rsid w:val="00E74B48"/>
    <w:rsid w:val="00E75E28"/>
    <w:rsid w:val="00E76F21"/>
    <w:rsid w:val="00E77B42"/>
    <w:rsid w:val="00E80382"/>
    <w:rsid w:val="00E80A2C"/>
    <w:rsid w:val="00E8137E"/>
    <w:rsid w:val="00E821AA"/>
    <w:rsid w:val="00E83117"/>
    <w:rsid w:val="00E834F9"/>
    <w:rsid w:val="00E83B8A"/>
    <w:rsid w:val="00E84074"/>
    <w:rsid w:val="00E84ED8"/>
    <w:rsid w:val="00E86361"/>
    <w:rsid w:val="00E86981"/>
    <w:rsid w:val="00E871A1"/>
    <w:rsid w:val="00E87C38"/>
    <w:rsid w:val="00E90A5B"/>
    <w:rsid w:val="00E91D8D"/>
    <w:rsid w:val="00E92198"/>
    <w:rsid w:val="00E930DB"/>
    <w:rsid w:val="00E93738"/>
    <w:rsid w:val="00E95C62"/>
    <w:rsid w:val="00E960D1"/>
    <w:rsid w:val="00E979A7"/>
    <w:rsid w:val="00EA028E"/>
    <w:rsid w:val="00EA02F5"/>
    <w:rsid w:val="00EA130B"/>
    <w:rsid w:val="00EA1E51"/>
    <w:rsid w:val="00EA1F33"/>
    <w:rsid w:val="00EA40E7"/>
    <w:rsid w:val="00EA4D45"/>
    <w:rsid w:val="00EA4F3F"/>
    <w:rsid w:val="00EA590D"/>
    <w:rsid w:val="00EA780F"/>
    <w:rsid w:val="00EB093E"/>
    <w:rsid w:val="00EB2482"/>
    <w:rsid w:val="00EB30F7"/>
    <w:rsid w:val="00EB3A59"/>
    <w:rsid w:val="00EB3C9D"/>
    <w:rsid w:val="00EB7736"/>
    <w:rsid w:val="00EB7C8E"/>
    <w:rsid w:val="00EC2195"/>
    <w:rsid w:val="00EC3FF1"/>
    <w:rsid w:val="00EC426A"/>
    <w:rsid w:val="00EC443B"/>
    <w:rsid w:val="00EC4A99"/>
    <w:rsid w:val="00EC4ED7"/>
    <w:rsid w:val="00EC59A0"/>
    <w:rsid w:val="00EC62DA"/>
    <w:rsid w:val="00EC706B"/>
    <w:rsid w:val="00EC748A"/>
    <w:rsid w:val="00EC7604"/>
    <w:rsid w:val="00ED0E79"/>
    <w:rsid w:val="00ED3BFB"/>
    <w:rsid w:val="00ED402E"/>
    <w:rsid w:val="00ED5E45"/>
    <w:rsid w:val="00ED76C3"/>
    <w:rsid w:val="00EE0F76"/>
    <w:rsid w:val="00EE12DD"/>
    <w:rsid w:val="00EE1FD7"/>
    <w:rsid w:val="00EE276B"/>
    <w:rsid w:val="00EE4191"/>
    <w:rsid w:val="00EE445F"/>
    <w:rsid w:val="00EE498C"/>
    <w:rsid w:val="00EE611F"/>
    <w:rsid w:val="00EE6430"/>
    <w:rsid w:val="00EE686D"/>
    <w:rsid w:val="00EE7539"/>
    <w:rsid w:val="00EF041A"/>
    <w:rsid w:val="00EF16D4"/>
    <w:rsid w:val="00EF2684"/>
    <w:rsid w:val="00EF2F0A"/>
    <w:rsid w:val="00EF31EE"/>
    <w:rsid w:val="00EF3238"/>
    <w:rsid w:val="00EF6620"/>
    <w:rsid w:val="00EF7185"/>
    <w:rsid w:val="00EF78CB"/>
    <w:rsid w:val="00F002CF"/>
    <w:rsid w:val="00F008DB"/>
    <w:rsid w:val="00F0161E"/>
    <w:rsid w:val="00F0280C"/>
    <w:rsid w:val="00F02FBC"/>
    <w:rsid w:val="00F03BCB"/>
    <w:rsid w:val="00F04B4D"/>
    <w:rsid w:val="00F05EC0"/>
    <w:rsid w:val="00F06887"/>
    <w:rsid w:val="00F073FB"/>
    <w:rsid w:val="00F1313D"/>
    <w:rsid w:val="00F16D1A"/>
    <w:rsid w:val="00F16ED4"/>
    <w:rsid w:val="00F179D6"/>
    <w:rsid w:val="00F205BA"/>
    <w:rsid w:val="00F223CF"/>
    <w:rsid w:val="00F23A87"/>
    <w:rsid w:val="00F256C6"/>
    <w:rsid w:val="00F2575B"/>
    <w:rsid w:val="00F25C69"/>
    <w:rsid w:val="00F26678"/>
    <w:rsid w:val="00F267CE"/>
    <w:rsid w:val="00F30D18"/>
    <w:rsid w:val="00F32B92"/>
    <w:rsid w:val="00F32BCE"/>
    <w:rsid w:val="00F32F22"/>
    <w:rsid w:val="00F32FAC"/>
    <w:rsid w:val="00F33C00"/>
    <w:rsid w:val="00F357C1"/>
    <w:rsid w:val="00F3593B"/>
    <w:rsid w:val="00F36A23"/>
    <w:rsid w:val="00F37CA7"/>
    <w:rsid w:val="00F42289"/>
    <w:rsid w:val="00F42BCE"/>
    <w:rsid w:val="00F43D13"/>
    <w:rsid w:val="00F4449A"/>
    <w:rsid w:val="00F4455F"/>
    <w:rsid w:val="00F44D12"/>
    <w:rsid w:val="00F44E54"/>
    <w:rsid w:val="00F45364"/>
    <w:rsid w:val="00F46961"/>
    <w:rsid w:val="00F47334"/>
    <w:rsid w:val="00F47C96"/>
    <w:rsid w:val="00F50DB0"/>
    <w:rsid w:val="00F51D5B"/>
    <w:rsid w:val="00F5207B"/>
    <w:rsid w:val="00F53083"/>
    <w:rsid w:val="00F53086"/>
    <w:rsid w:val="00F538EE"/>
    <w:rsid w:val="00F54982"/>
    <w:rsid w:val="00F556FD"/>
    <w:rsid w:val="00F563E4"/>
    <w:rsid w:val="00F569AD"/>
    <w:rsid w:val="00F57163"/>
    <w:rsid w:val="00F604AA"/>
    <w:rsid w:val="00F60649"/>
    <w:rsid w:val="00F60A38"/>
    <w:rsid w:val="00F612CA"/>
    <w:rsid w:val="00F6280B"/>
    <w:rsid w:val="00F63EC4"/>
    <w:rsid w:val="00F64CF4"/>
    <w:rsid w:val="00F658E7"/>
    <w:rsid w:val="00F66F8A"/>
    <w:rsid w:val="00F67C94"/>
    <w:rsid w:val="00F70413"/>
    <w:rsid w:val="00F71E75"/>
    <w:rsid w:val="00F7265E"/>
    <w:rsid w:val="00F73074"/>
    <w:rsid w:val="00F73325"/>
    <w:rsid w:val="00F76374"/>
    <w:rsid w:val="00F76CCA"/>
    <w:rsid w:val="00F77326"/>
    <w:rsid w:val="00F77D27"/>
    <w:rsid w:val="00F80906"/>
    <w:rsid w:val="00F81671"/>
    <w:rsid w:val="00F819D3"/>
    <w:rsid w:val="00F83127"/>
    <w:rsid w:val="00F83B33"/>
    <w:rsid w:val="00F83CCC"/>
    <w:rsid w:val="00F84764"/>
    <w:rsid w:val="00F84DED"/>
    <w:rsid w:val="00F86C54"/>
    <w:rsid w:val="00F87088"/>
    <w:rsid w:val="00F87876"/>
    <w:rsid w:val="00F8BF86"/>
    <w:rsid w:val="00F91DB6"/>
    <w:rsid w:val="00F92283"/>
    <w:rsid w:val="00F93812"/>
    <w:rsid w:val="00F94286"/>
    <w:rsid w:val="00F94EF2"/>
    <w:rsid w:val="00F9592E"/>
    <w:rsid w:val="00F97DC0"/>
    <w:rsid w:val="00FA0423"/>
    <w:rsid w:val="00FA097E"/>
    <w:rsid w:val="00FA0A32"/>
    <w:rsid w:val="00FA163E"/>
    <w:rsid w:val="00FA1947"/>
    <w:rsid w:val="00FA24DF"/>
    <w:rsid w:val="00FA2A5F"/>
    <w:rsid w:val="00FA319D"/>
    <w:rsid w:val="00FA31F3"/>
    <w:rsid w:val="00FA3302"/>
    <w:rsid w:val="00FA3538"/>
    <w:rsid w:val="00FA4E17"/>
    <w:rsid w:val="00FA505F"/>
    <w:rsid w:val="00FA57C4"/>
    <w:rsid w:val="00FA5E3F"/>
    <w:rsid w:val="00FA6131"/>
    <w:rsid w:val="00FA6244"/>
    <w:rsid w:val="00FA6D0E"/>
    <w:rsid w:val="00FA77D8"/>
    <w:rsid w:val="00FB0762"/>
    <w:rsid w:val="00FB1AAE"/>
    <w:rsid w:val="00FB1B56"/>
    <w:rsid w:val="00FB41AC"/>
    <w:rsid w:val="00FB60D4"/>
    <w:rsid w:val="00FB6AC2"/>
    <w:rsid w:val="00FC0649"/>
    <w:rsid w:val="00FC265E"/>
    <w:rsid w:val="00FC4709"/>
    <w:rsid w:val="00FC5C9D"/>
    <w:rsid w:val="00FC5CE2"/>
    <w:rsid w:val="00FD11C9"/>
    <w:rsid w:val="00FD61FF"/>
    <w:rsid w:val="00FD6500"/>
    <w:rsid w:val="00FD6F9A"/>
    <w:rsid w:val="00FD729A"/>
    <w:rsid w:val="00FE176E"/>
    <w:rsid w:val="00FE1918"/>
    <w:rsid w:val="00FE1BE1"/>
    <w:rsid w:val="00FE2106"/>
    <w:rsid w:val="00FE2A06"/>
    <w:rsid w:val="00FE3651"/>
    <w:rsid w:val="00FE40FE"/>
    <w:rsid w:val="00FE49D2"/>
    <w:rsid w:val="00FE4BF4"/>
    <w:rsid w:val="00FE541D"/>
    <w:rsid w:val="00FE593C"/>
    <w:rsid w:val="00FE6F36"/>
    <w:rsid w:val="00FE765C"/>
    <w:rsid w:val="00FE7ACE"/>
    <w:rsid w:val="00FF0EE8"/>
    <w:rsid w:val="00FF2CC5"/>
    <w:rsid w:val="00FF3E6D"/>
    <w:rsid w:val="00FF42BB"/>
    <w:rsid w:val="00FF5EFF"/>
    <w:rsid w:val="00FF6A52"/>
    <w:rsid w:val="00FF6F71"/>
    <w:rsid w:val="00FF79CA"/>
    <w:rsid w:val="0100F4ED"/>
    <w:rsid w:val="015470B5"/>
    <w:rsid w:val="0168EAF1"/>
    <w:rsid w:val="018EBC29"/>
    <w:rsid w:val="019B117A"/>
    <w:rsid w:val="019F319B"/>
    <w:rsid w:val="01BE6B24"/>
    <w:rsid w:val="01D6682D"/>
    <w:rsid w:val="01DC92BC"/>
    <w:rsid w:val="01DE52F3"/>
    <w:rsid w:val="01DF6A0A"/>
    <w:rsid w:val="01F29606"/>
    <w:rsid w:val="01F6142B"/>
    <w:rsid w:val="01FEC459"/>
    <w:rsid w:val="020D6959"/>
    <w:rsid w:val="0223AF81"/>
    <w:rsid w:val="0234A451"/>
    <w:rsid w:val="0236132B"/>
    <w:rsid w:val="02363409"/>
    <w:rsid w:val="0249F4C3"/>
    <w:rsid w:val="0259B5CC"/>
    <w:rsid w:val="025C315A"/>
    <w:rsid w:val="026CCC59"/>
    <w:rsid w:val="027EF30B"/>
    <w:rsid w:val="029394B1"/>
    <w:rsid w:val="029A50C2"/>
    <w:rsid w:val="02A6E7C3"/>
    <w:rsid w:val="02B0D942"/>
    <w:rsid w:val="02C7F1B7"/>
    <w:rsid w:val="02C897C2"/>
    <w:rsid w:val="02D9F6D7"/>
    <w:rsid w:val="02DC32A7"/>
    <w:rsid w:val="02E04BD6"/>
    <w:rsid w:val="02EEB43C"/>
    <w:rsid w:val="02F69007"/>
    <w:rsid w:val="02F79058"/>
    <w:rsid w:val="031F57C1"/>
    <w:rsid w:val="032898CD"/>
    <w:rsid w:val="033F0956"/>
    <w:rsid w:val="0346851A"/>
    <w:rsid w:val="035603B1"/>
    <w:rsid w:val="035C349B"/>
    <w:rsid w:val="036D56C8"/>
    <w:rsid w:val="0378D586"/>
    <w:rsid w:val="037CC92A"/>
    <w:rsid w:val="038E5F77"/>
    <w:rsid w:val="038E9814"/>
    <w:rsid w:val="03911D22"/>
    <w:rsid w:val="03A3E14B"/>
    <w:rsid w:val="03CA0A64"/>
    <w:rsid w:val="03CD5FD3"/>
    <w:rsid w:val="03F2F0F8"/>
    <w:rsid w:val="0402B664"/>
    <w:rsid w:val="0409EC55"/>
    <w:rsid w:val="042FA272"/>
    <w:rsid w:val="044475F6"/>
    <w:rsid w:val="044CC5C5"/>
    <w:rsid w:val="04631107"/>
    <w:rsid w:val="04648AF3"/>
    <w:rsid w:val="046D749B"/>
    <w:rsid w:val="047380E6"/>
    <w:rsid w:val="047D2C8E"/>
    <w:rsid w:val="04A28769"/>
    <w:rsid w:val="04A4267B"/>
    <w:rsid w:val="04BEF03E"/>
    <w:rsid w:val="04CD06A8"/>
    <w:rsid w:val="04D03F85"/>
    <w:rsid w:val="04D0E3FF"/>
    <w:rsid w:val="04D4A22A"/>
    <w:rsid w:val="05077C5A"/>
    <w:rsid w:val="05252AB4"/>
    <w:rsid w:val="052CC736"/>
    <w:rsid w:val="052D6663"/>
    <w:rsid w:val="0531AAC6"/>
    <w:rsid w:val="0533696F"/>
    <w:rsid w:val="05372C18"/>
    <w:rsid w:val="0574429C"/>
    <w:rsid w:val="057754CD"/>
    <w:rsid w:val="05ABB0D1"/>
    <w:rsid w:val="05AD7CAB"/>
    <w:rsid w:val="05ADD591"/>
    <w:rsid w:val="05AFC944"/>
    <w:rsid w:val="05B1763D"/>
    <w:rsid w:val="05D457D0"/>
    <w:rsid w:val="05D96060"/>
    <w:rsid w:val="05DAA181"/>
    <w:rsid w:val="05DC1958"/>
    <w:rsid w:val="05F83D66"/>
    <w:rsid w:val="060B198A"/>
    <w:rsid w:val="0613FFF9"/>
    <w:rsid w:val="061D16A4"/>
    <w:rsid w:val="061F4774"/>
    <w:rsid w:val="062CDCED"/>
    <w:rsid w:val="06429CA4"/>
    <w:rsid w:val="0646B2BA"/>
    <w:rsid w:val="0650CBA7"/>
    <w:rsid w:val="06706C4C"/>
    <w:rsid w:val="06867058"/>
    <w:rsid w:val="06890BA9"/>
    <w:rsid w:val="068C6BD0"/>
    <w:rsid w:val="06903EED"/>
    <w:rsid w:val="06AC3422"/>
    <w:rsid w:val="06AE3C1D"/>
    <w:rsid w:val="06CB8099"/>
    <w:rsid w:val="06F30833"/>
    <w:rsid w:val="0709D3C4"/>
    <w:rsid w:val="070FDBAA"/>
    <w:rsid w:val="0713F874"/>
    <w:rsid w:val="071AC48B"/>
    <w:rsid w:val="0724FBA0"/>
    <w:rsid w:val="0743E5BD"/>
    <w:rsid w:val="074B4CBA"/>
    <w:rsid w:val="074EF213"/>
    <w:rsid w:val="0753681A"/>
    <w:rsid w:val="07670FE1"/>
    <w:rsid w:val="07694795"/>
    <w:rsid w:val="07756A90"/>
    <w:rsid w:val="078931FC"/>
    <w:rsid w:val="078D4307"/>
    <w:rsid w:val="078D66FC"/>
    <w:rsid w:val="078FEC8E"/>
    <w:rsid w:val="079528D9"/>
    <w:rsid w:val="07AC8464"/>
    <w:rsid w:val="07D47E29"/>
    <w:rsid w:val="07EC6031"/>
    <w:rsid w:val="080C6520"/>
    <w:rsid w:val="08147FCD"/>
    <w:rsid w:val="0858CA26"/>
    <w:rsid w:val="087177F3"/>
    <w:rsid w:val="0879C19C"/>
    <w:rsid w:val="089B470C"/>
    <w:rsid w:val="08AD4928"/>
    <w:rsid w:val="08BBD827"/>
    <w:rsid w:val="08C35243"/>
    <w:rsid w:val="08D7A3A7"/>
    <w:rsid w:val="08D8F449"/>
    <w:rsid w:val="08D932E5"/>
    <w:rsid w:val="08F9A2F8"/>
    <w:rsid w:val="08FDC7F6"/>
    <w:rsid w:val="0906C71B"/>
    <w:rsid w:val="09131AA8"/>
    <w:rsid w:val="09579B31"/>
    <w:rsid w:val="0957C276"/>
    <w:rsid w:val="096439CD"/>
    <w:rsid w:val="09699DCB"/>
    <w:rsid w:val="096E90BC"/>
    <w:rsid w:val="09AC5F13"/>
    <w:rsid w:val="09B009FA"/>
    <w:rsid w:val="09B112DA"/>
    <w:rsid w:val="09B282CE"/>
    <w:rsid w:val="09B49F86"/>
    <w:rsid w:val="09BDD870"/>
    <w:rsid w:val="09D4D755"/>
    <w:rsid w:val="09D6B92C"/>
    <w:rsid w:val="09EC3D09"/>
    <w:rsid w:val="09ED227C"/>
    <w:rsid w:val="0A0494E9"/>
    <w:rsid w:val="0A12AC81"/>
    <w:rsid w:val="0A32F2C7"/>
    <w:rsid w:val="0A3D3C97"/>
    <w:rsid w:val="0A56DB2B"/>
    <w:rsid w:val="0A6AFC64"/>
    <w:rsid w:val="0A8B22EE"/>
    <w:rsid w:val="0A8BE1B5"/>
    <w:rsid w:val="0AA9DEE1"/>
    <w:rsid w:val="0AB9E15D"/>
    <w:rsid w:val="0ABDCAE2"/>
    <w:rsid w:val="0AC675E1"/>
    <w:rsid w:val="0ACC8B71"/>
    <w:rsid w:val="0AE5B7DD"/>
    <w:rsid w:val="0AFF88D9"/>
    <w:rsid w:val="0B021AB3"/>
    <w:rsid w:val="0B165039"/>
    <w:rsid w:val="0B22D3DD"/>
    <w:rsid w:val="0B2A001B"/>
    <w:rsid w:val="0B2CAB19"/>
    <w:rsid w:val="0B3B4236"/>
    <w:rsid w:val="0B3FDDE6"/>
    <w:rsid w:val="0B4DF03B"/>
    <w:rsid w:val="0B57430D"/>
    <w:rsid w:val="0B6B6FAE"/>
    <w:rsid w:val="0B7560EC"/>
    <w:rsid w:val="0B7F829E"/>
    <w:rsid w:val="0B816A9D"/>
    <w:rsid w:val="0B94BB5E"/>
    <w:rsid w:val="0BB4812A"/>
    <w:rsid w:val="0BE840BE"/>
    <w:rsid w:val="0BEE3B38"/>
    <w:rsid w:val="0BFD7B3C"/>
    <w:rsid w:val="0C07BD74"/>
    <w:rsid w:val="0C0C7C22"/>
    <w:rsid w:val="0C1A9815"/>
    <w:rsid w:val="0C1CDE74"/>
    <w:rsid w:val="0C2C833D"/>
    <w:rsid w:val="0C2F5AD9"/>
    <w:rsid w:val="0C56A41F"/>
    <w:rsid w:val="0C58368A"/>
    <w:rsid w:val="0C6FC4B1"/>
    <w:rsid w:val="0C71E714"/>
    <w:rsid w:val="0C74EC42"/>
    <w:rsid w:val="0C87AD8B"/>
    <w:rsid w:val="0C8E3C2E"/>
    <w:rsid w:val="0C8EC9BD"/>
    <w:rsid w:val="0C91CF97"/>
    <w:rsid w:val="0C95A7F3"/>
    <w:rsid w:val="0C98EC5A"/>
    <w:rsid w:val="0C9EA822"/>
    <w:rsid w:val="0CA29D0B"/>
    <w:rsid w:val="0CAE5F12"/>
    <w:rsid w:val="0CB89E35"/>
    <w:rsid w:val="0CC268C0"/>
    <w:rsid w:val="0CC32C85"/>
    <w:rsid w:val="0CD42F3E"/>
    <w:rsid w:val="0CE35957"/>
    <w:rsid w:val="0D06957A"/>
    <w:rsid w:val="0D0F7914"/>
    <w:rsid w:val="0D47150C"/>
    <w:rsid w:val="0D544C15"/>
    <w:rsid w:val="0D5CDBAC"/>
    <w:rsid w:val="0D7B3D2A"/>
    <w:rsid w:val="0D7F7622"/>
    <w:rsid w:val="0DA416CD"/>
    <w:rsid w:val="0DA9C79A"/>
    <w:rsid w:val="0DAEBB37"/>
    <w:rsid w:val="0DBF1538"/>
    <w:rsid w:val="0DCAF2F0"/>
    <w:rsid w:val="0DD0187D"/>
    <w:rsid w:val="0DE2A730"/>
    <w:rsid w:val="0DFF610C"/>
    <w:rsid w:val="0E24F177"/>
    <w:rsid w:val="0E306A73"/>
    <w:rsid w:val="0E3762BF"/>
    <w:rsid w:val="0E45A33E"/>
    <w:rsid w:val="0E49AA97"/>
    <w:rsid w:val="0E4EDCF3"/>
    <w:rsid w:val="0E565C41"/>
    <w:rsid w:val="0E60FCB4"/>
    <w:rsid w:val="0E66D722"/>
    <w:rsid w:val="0E6BF6C5"/>
    <w:rsid w:val="0E6C8F46"/>
    <w:rsid w:val="0E73FD48"/>
    <w:rsid w:val="0E74323B"/>
    <w:rsid w:val="0E75884E"/>
    <w:rsid w:val="0E7815E3"/>
    <w:rsid w:val="0E886972"/>
    <w:rsid w:val="0EA53357"/>
    <w:rsid w:val="0EA823CF"/>
    <w:rsid w:val="0EBF217B"/>
    <w:rsid w:val="0ED1C611"/>
    <w:rsid w:val="0ED864C3"/>
    <w:rsid w:val="0EDFEA48"/>
    <w:rsid w:val="0F0F0E53"/>
    <w:rsid w:val="0F206058"/>
    <w:rsid w:val="0F240FC0"/>
    <w:rsid w:val="0F2E654E"/>
    <w:rsid w:val="0F3D0B28"/>
    <w:rsid w:val="0F628121"/>
    <w:rsid w:val="0F69C187"/>
    <w:rsid w:val="0F6E9CB7"/>
    <w:rsid w:val="0F7FD12C"/>
    <w:rsid w:val="0F80FEB1"/>
    <w:rsid w:val="0F811888"/>
    <w:rsid w:val="0F81D05E"/>
    <w:rsid w:val="0F81D8F5"/>
    <w:rsid w:val="0F9CCE6E"/>
    <w:rsid w:val="0FABE8CE"/>
    <w:rsid w:val="0FADCB1B"/>
    <w:rsid w:val="0FB40BA4"/>
    <w:rsid w:val="0FBD837C"/>
    <w:rsid w:val="0FC118B3"/>
    <w:rsid w:val="0FC2442C"/>
    <w:rsid w:val="0FC4BFF9"/>
    <w:rsid w:val="0FCD6784"/>
    <w:rsid w:val="0FCFD50D"/>
    <w:rsid w:val="0FD9C7BD"/>
    <w:rsid w:val="0FE508E1"/>
    <w:rsid w:val="0FEC25D4"/>
    <w:rsid w:val="1007CD2C"/>
    <w:rsid w:val="10086B9A"/>
    <w:rsid w:val="101751C1"/>
    <w:rsid w:val="10290EA8"/>
    <w:rsid w:val="103337E6"/>
    <w:rsid w:val="104F023F"/>
    <w:rsid w:val="104F093B"/>
    <w:rsid w:val="1083CCF3"/>
    <w:rsid w:val="108A08D7"/>
    <w:rsid w:val="108ADADB"/>
    <w:rsid w:val="108EAB12"/>
    <w:rsid w:val="1091B60D"/>
    <w:rsid w:val="10BD718F"/>
    <w:rsid w:val="10D7C654"/>
    <w:rsid w:val="10FBA912"/>
    <w:rsid w:val="10FDA310"/>
    <w:rsid w:val="1101DFEF"/>
    <w:rsid w:val="11034724"/>
    <w:rsid w:val="111CCF12"/>
    <w:rsid w:val="1139DB56"/>
    <w:rsid w:val="1148AC40"/>
    <w:rsid w:val="11510A38"/>
    <w:rsid w:val="115A003B"/>
    <w:rsid w:val="1163C200"/>
    <w:rsid w:val="118C7288"/>
    <w:rsid w:val="1192DAAA"/>
    <w:rsid w:val="1194D706"/>
    <w:rsid w:val="11A782B5"/>
    <w:rsid w:val="11A7F08E"/>
    <w:rsid w:val="11A9100D"/>
    <w:rsid w:val="11B12BE2"/>
    <w:rsid w:val="11B2A5FA"/>
    <w:rsid w:val="11C34A54"/>
    <w:rsid w:val="11D0AF20"/>
    <w:rsid w:val="12076A1E"/>
    <w:rsid w:val="1209063E"/>
    <w:rsid w:val="1212128B"/>
    <w:rsid w:val="1252686E"/>
    <w:rsid w:val="1258011A"/>
    <w:rsid w:val="1264CE86"/>
    <w:rsid w:val="126D80F9"/>
    <w:rsid w:val="12704B90"/>
    <w:rsid w:val="1274ABEA"/>
    <w:rsid w:val="1283494D"/>
    <w:rsid w:val="128D0F8D"/>
    <w:rsid w:val="129A86AB"/>
    <w:rsid w:val="12A4B14B"/>
    <w:rsid w:val="12A81841"/>
    <w:rsid w:val="12AE3F0D"/>
    <w:rsid w:val="12AF3620"/>
    <w:rsid w:val="12AFB739"/>
    <w:rsid w:val="12B6D7AD"/>
    <w:rsid w:val="12B89F73"/>
    <w:rsid w:val="12D91AC7"/>
    <w:rsid w:val="13062482"/>
    <w:rsid w:val="131AD91E"/>
    <w:rsid w:val="131DE118"/>
    <w:rsid w:val="133276C0"/>
    <w:rsid w:val="134F40A4"/>
    <w:rsid w:val="137460D9"/>
    <w:rsid w:val="137D6F74"/>
    <w:rsid w:val="1382E7C6"/>
    <w:rsid w:val="138B5D98"/>
    <w:rsid w:val="139E37B0"/>
    <w:rsid w:val="13BC9E59"/>
    <w:rsid w:val="13C37334"/>
    <w:rsid w:val="13CDEF0F"/>
    <w:rsid w:val="13DE7996"/>
    <w:rsid w:val="13EA8763"/>
    <w:rsid w:val="13F9A52C"/>
    <w:rsid w:val="1403DCC8"/>
    <w:rsid w:val="145D606A"/>
    <w:rsid w:val="1487CA13"/>
    <w:rsid w:val="148C5B20"/>
    <w:rsid w:val="14B8C378"/>
    <w:rsid w:val="14DD5535"/>
    <w:rsid w:val="14E86EAE"/>
    <w:rsid w:val="15072DC3"/>
    <w:rsid w:val="152C8FB5"/>
    <w:rsid w:val="153FC9B3"/>
    <w:rsid w:val="15775B58"/>
    <w:rsid w:val="15863344"/>
    <w:rsid w:val="158FA1DC"/>
    <w:rsid w:val="15B5F4DF"/>
    <w:rsid w:val="15BF1081"/>
    <w:rsid w:val="160AF4BA"/>
    <w:rsid w:val="1621DEC8"/>
    <w:rsid w:val="162B9B14"/>
    <w:rsid w:val="164F1D71"/>
    <w:rsid w:val="164FF10F"/>
    <w:rsid w:val="1659A3C3"/>
    <w:rsid w:val="166CF7E1"/>
    <w:rsid w:val="167A466C"/>
    <w:rsid w:val="16873FA3"/>
    <w:rsid w:val="168C894B"/>
    <w:rsid w:val="16AD144C"/>
    <w:rsid w:val="16B95446"/>
    <w:rsid w:val="16C7CAD4"/>
    <w:rsid w:val="16EF043D"/>
    <w:rsid w:val="16F21F33"/>
    <w:rsid w:val="16F85043"/>
    <w:rsid w:val="16F9DB66"/>
    <w:rsid w:val="171D7C5E"/>
    <w:rsid w:val="1725D991"/>
    <w:rsid w:val="1732BBA9"/>
    <w:rsid w:val="1736DC5A"/>
    <w:rsid w:val="173AAE61"/>
    <w:rsid w:val="175DB8EA"/>
    <w:rsid w:val="17657CB1"/>
    <w:rsid w:val="1766B40A"/>
    <w:rsid w:val="17678A00"/>
    <w:rsid w:val="1767B079"/>
    <w:rsid w:val="17802237"/>
    <w:rsid w:val="178D2B8E"/>
    <w:rsid w:val="178FB0DB"/>
    <w:rsid w:val="1792EB34"/>
    <w:rsid w:val="179350E5"/>
    <w:rsid w:val="1796ADF4"/>
    <w:rsid w:val="17C3A36B"/>
    <w:rsid w:val="17D30330"/>
    <w:rsid w:val="17D603DA"/>
    <w:rsid w:val="17D9EE94"/>
    <w:rsid w:val="17DC9C21"/>
    <w:rsid w:val="17E33915"/>
    <w:rsid w:val="17F35665"/>
    <w:rsid w:val="17F41E96"/>
    <w:rsid w:val="17F876CC"/>
    <w:rsid w:val="1801C80D"/>
    <w:rsid w:val="18053891"/>
    <w:rsid w:val="180A00EA"/>
    <w:rsid w:val="182378BC"/>
    <w:rsid w:val="18387217"/>
    <w:rsid w:val="184ABC45"/>
    <w:rsid w:val="1852CB2D"/>
    <w:rsid w:val="185441E0"/>
    <w:rsid w:val="185998A4"/>
    <w:rsid w:val="1859FDD1"/>
    <w:rsid w:val="185CD549"/>
    <w:rsid w:val="185F3C41"/>
    <w:rsid w:val="1866F256"/>
    <w:rsid w:val="18834A5C"/>
    <w:rsid w:val="18863ADE"/>
    <w:rsid w:val="188BA971"/>
    <w:rsid w:val="188BFA49"/>
    <w:rsid w:val="18981793"/>
    <w:rsid w:val="18C57889"/>
    <w:rsid w:val="18CCDFF7"/>
    <w:rsid w:val="18CE6323"/>
    <w:rsid w:val="18D0B382"/>
    <w:rsid w:val="18D2FB59"/>
    <w:rsid w:val="18EAB910"/>
    <w:rsid w:val="18EE183C"/>
    <w:rsid w:val="18F7320B"/>
    <w:rsid w:val="18FA0278"/>
    <w:rsid w:val="192FDFBD"/>
    <w:rsid w:val="193AEF9C"/>
    <w:rsid w:val="1942DA08"/>
    <w:rsid w:val="195D1097"/>
    <w:rsid w:val="196199F2"/>
    <w:rsid w:val="19914BBB"/>
    <w:rsid w:val="19A2D6B7"/>
    <w:rsid w:val="19BB0591"/>
    <w:rsid w:val="19E24ADD"/>
    <w:rsid w:val="19F15326"/>
    <w:rsid w:val="1A022422"/>
    <w:rsid w:val="1A0C9046"/>
    <w:rsid w:val="1A1819C9"/>
    <w:rsid w:val="1A3FD06C"/>
    <w:rsid w:val="1A402DB6"/>
    <w:rsid w:val="1A4227E2"/>
    <w:rsid w:val="1A5E0373"/>
    <w:rsid w:val="1A5EAA3C"/>
    <w:rsid w:val="1A8822D7"/>
    <w:rsid w:val="1A8D06CA"/>
    <w:rsid w:val="1AA1B4AE"/>
    <w:rsid w:val="1AA30F40"/>
    <w:rsid w:val="1AB15AFF"/>
    <w:rsid w:val="1AD22E80"/>
    <w:rsid w:val="1AE1BEE5"/>
    <w:rsid w:val="1B04FDEB"/>
    <w:rsid w:val="1B1DB6CD"/>
    <w:rsid w:val="1B3362D3"/>
    <w:rsid w:val="1B357463"/>
    <w:rsid w:val="1B451169"/>
    <w:rsid w:val="1B46A7EB"/>
    <w:rsid w:val="1B4C43DF"/>
    <w:rsid w:val="1B50113C"/>
    <w:rsid w:val="1B58B30E"/>
    <w:rsid w:val="1B60B870"/>
    <w:rsid w:val="1B60DBCC"/>
    <w:rsid w:val="1B6E052D"/>
    <w:rsid w:val="1B915F8C"/>
    <w:rsid w:val="1B97421B"/>
    <w:rsid w:val="1B9CD305"/>
    <w:rsid w:val="1BA8B1D0"/>
    <w:rsid w:val="1BA97ED1"/>
    <w:rsid w:val="1BAE71C9"/>
    <w:rsid w:val="1BAEF193"/>
    <w:rsid w:val="1BC09A6C"/>
    <w:rsid w:val="1BD34B81"/>
    <w:rsid w:val="1BF4E3C6"/>
    <w:rsid w:val="1BF946DA"/>
    <w:rsid w:val="1BFC0733"/>
    <w:rsid w:val="1C017FED"/>
    <w:rsid w:val="1C025435"/>
    <w:rsid w:val="1C195A39"/>
    <w:rsid w:val="1C30F110"/>
    <w:rsid w:val="1C519D0F"/>
    <w:rsid w:val="1C7F10E4"/>
    <w:rsid w:val="1C9C0C4F"/>
    <w:rsid w:val="1CA73514"/>
    <w:rsid w:val="1CB736CF"/>
    <w:rsid w:val="1CCAF208"/>
    <w:rsid w:val="1CDACBD8"/>
    <w:rsid w:val="1CDD3A48"/>
    <w:rsid w:val="1CDE633F"/>
    <w:rsid w:val="1CE091E1"/>
    <w:rsid w:val="1CE27F5A"/>
    <w:rsid w:val="1CEC3902"/>
    <w:rsid w:val="1CFA87C9"/>
    <w:rsid w:val="1CFAA03A"/>
    <w:rsid w:val="1D13092A"/>
    <w:rsid w:val="1D177B73"/>
    <w:rsid w:val="1D2295C0"/>
    <w:rsid w:val="1D246A16"/>
    <w:rsid w:val="1D3B1C37"/>
    <w:rsid w:val="1D3C72CF"/>
    <w:rsid w:val="1D4AF4BE"/>
    <w:rsid w:val="1D553596"/>
    <w:rsid w:val="1D6B59DC"/>
    <w:rsid w:val="1D6FD210"/>
    <w:rsid w:val="1D7BC52E"/>
    <w:rsid w:val="1D7FCA9E"/>
    <w:rsid w:val="1D8B3A0D"/>
    <w:rsid w:val="1D90C48D"/>
    <w:rsid w:val="1D97AAD2"/>
    <w:rsid w:val="1DC669BA"/>
    <w:rsid w:val="1DD05E53"/>
    <w:rsid w:val="1DD620A5"/>
    <w:rsid w:val="1DDD2615"/>
    <w:rsid w:val="1DDD6216"/>
    <w:rsid w:val="1DDEA68F"/>
    <w:rsid w:val="1DE15EBD"/>
    <w:rsid w:val="1DE57501"/>
    <w:rsid w:val="1DE9948C"/>
    <w:rsid w:val="1DF96F47"/>
    <w:rsid w:val="1E08203E"/>
    <w:rsid w:val="1E088DA2"/>
    <w:rsid w:val="1E19D563"/>
    <w:rsid w:val="1E3E2590"/>
    <w:rsid w:val="1E41E6E8"/>
    <w:rsid w:val="1E428D53"/>
    <w:rsid w:val="1E43B06E"/>
    <w:rsid w:val="1E4967FE"/>
    <w:rsid w:val="1E4A17C3"/>
    <w:rsid w:val="1E66C269"/>
    <w:rsid w:val="1E8FA87D"/>
    <w:rsid w:val="1E8FE869"/>
    <w:rsid w:val="1E98EE1C"/>
    <w:rsid w:val="1EB3F340"/>
    <w:rsid w:val="1EB7C152"/>
    <w:rsid w:val="1EC2C850"/>
    <w:rsid w:val="1ECE40B5"/>
    <w:rsid w:val="1ED4AE15"/>
    <w:rsid w:val="1EF8A0F5"/>
    <w:rsid w:val="1F12C225"/>
    <w:rsid w:val="1F278EBC"/>
    <w:rsid w:val="1F4450E9"/>
    <w:rsid w:val="1F599243"/>
    <w:rsid w:val="1F66AD74"/>
    <w:rsid w:val="1F7DAEA7"/>
    <w:rsid w:val="1FAB8621"/>
    <w:rsid w:val="1FB20033"/>
    <w:rsid w:val="1FC360B9"/>
    <w:rsid w:val="1FF0C204"/>
    <w:rsid w:val="1FF2021D"/>
    <w:rsid w:val="203AD197"/>
    <w:rsid w:val="204D122C"/>
    <w:rsid w:val="2063EE74"/>
    <w:rsid w:val="20677A0C"/>
    <w:rsid w:val="20869895"/>
    <w:rsid w:val="208FE2E0"/>
    <w:rsid w:val="2095FCCB"/>
    <w:rsid w:val="20D09206"/>
    <w:rsid w:val="20E5131C"/>
    <w:rsid w:val="20E63A12"/>
    <w:rsid w:val="20F113C9"/>
    <w:rsid w:val="20F13DA4"/>
    <w:rsid w:val="20F25560"/>
    <w:rsid w:val="20F562A4"/>
    <w:rsid w:val="210302A7"/>
    <w:rsid w:val="21279920"/>
    <w:rsid w:val="214EA36C"/>
    <w:rsid w:val="2156A37D"/>
    <w:rsid w:val="217CD711"/>
    <w:rsid w:val="219F5CA9"/>
    <w:rsid w:val="21A9E291"/>
    <w:rsid w:val="21B34DF6"/>
    <w:rsid w:val="21B688A6"/>
    <w:rsid w:val="21CA002D"/>
    <w:rsid w:val="21CEC08D"/>
    <w:rsid w:val="21EB76DC"/>
    <w:rsid w:val="21EBDC02"/>
    <w:rsid w:val="22007E23"/>
    <w:rsid w:val="22083BE1"/>
    <w:rsid w:val="222EB495"/>
    <w:rsid w:val="22327E46"/>
    <w:rsid w:val="223F6065"/>
    <w:rsid w:val="223FE7F0"/>
    <w:rsid w:val="2249088F"/>
    <w:rsid w:val="224E2E08"/>
    <w:rsid w:val="224F9F18"/>
    <w:rsid w:val="22503DDA"/>
    <w:rsid w:val="2267AB36"/>
    <w:rsid w:val="226907FC"/>
    <w:rsid w:val="22910B5C"/>
    <w:rsid w:val="2292BD3A"/>
    <w:rsid w:val="22978BFF"/>
    <w:rsid w:val="22B6A093"/>
    <w:rsid w:val="22C1B9D1"/>
    <w:rsid w:val="2310C7D9"/>
    <w:rsid w:val="23335E24"/>
    <w:rsid w:val="233FCF9D"/>
    <w:rsid w:val="234F4675"/>
    <w:rsid w:val="238ADC6A"/>
    <w:rsid w:val="239098A0"/>
    <w:rsid w:val="239099A1"/>
    <w:rsid w:val="2392FE58"/>
    <w:rsid w:val="239CED80"/>
    <w:rsid w:val="23A198EB"/>
    <w:rsid w:val="23A77EFB"/>
    <w:rsid w:val="23D4E8FB"/>
    <w:rsid w:val="23DC8765"/>
    <w:rsid w:val="23E1FAA1"/>
    <w:rsid w:val="23E8B460"/>
    <w:rsid w:val="23EB9D48"/>
    <w:rsid w:val="23EED788"/>
    <w:rsid w:val="23F1B1BE"/>
    <w:rsid w:val="23F32FB6"/>
    <w:rsid w:val="23F3BB1F"/>
    <w:rsid w:val="23F6EE05"/>
    <w:rsid w:val="24022893"/>
    <w:rsid w:val="240A2F80"/>
    <w:rsid w:val="2412F97B"/>
    <w:rsid w:val="2436FF4B"/>
    <w:rsid w:val="2437202A"/>
    <w:rsid w:val="2450869A"/>
    <w:rsid w:val="2461E1E9"/>
    <w:rsid w:val="2477160E"/>
    <w:rsid w:val="247B888F"/>
    <w:rsid w:val="249A0EE2"/>
    <w:rsid w:val="24A0FC80"/>
    <w:rsid w:val="24A264BE"/>
    <w:rsid w:val="24BA470B"/>
    <w:rsid w:val="24C1104F"/>
    <w:rsid w:val="24CDAB88"/>
    <w:rsid w:val="24E094C7"/>
    <w:rsid w:val="24E97A0A"/>
    <w:rsid w:val="24EE7885"/>
    <w:rsid w:val="25014302"/>
    <w:rsid w:val="250DBFD5"/>
    <w:rsid w:val="2515FBDF"/>
    <w:rsid w:val="252E9A39"/>
    <w:rsid w:val="2532D80C"/>
    <w:rsid w:val="25408E1D"/>
    <w:rsid w:val="255508B5"/>
    <w:rsid w:val="25558686"/>
    <w:rsid w:val="2562E74F"/>
    <w:rsid w:val="258E0BA3"/>
    <w:rsid w:val="258E6334"/>
    <w:rsid w:val="2592FE35"/>
    <w:rsid w:val="2599FACA"/>
    <w:rsid w:val="25A23695"/>
    <w:rsid w:val="25CA5DFC"/>
    <w:rsid w:val="25CA7CDF"/>
    <w:rsid w:val="25EEF73E"/>
    <w:rsid w:val="261387FA"/>
    <w:rsid w:val="2618899D"/>
    <w:rsid w:val="262C245D"/>
    <w:rsid w:val="265347EF"/>
    <w:rsid w:val="2656235A"/>
    <w:rsid w:val="265CDAD1"/>
    <w:rsid w:val="26661BF8"/>
    <w:rsid w:val="2671549A"/>
    <w:rsid w:val="267BCF6F"/>
    <w:rsid w:val="2692F4ED"/>
    <w:rsid w:val="26A7985F"/>
    <w:rsid w:val="26C597BE"/>
    <w:rsid w:val="26F0BAB6"/>
    <w:rsid w:val="2709CEED"/>
    <w:rsid w:val="270D4A73"/>
    <w:rsid w:val="2711A32D"/>
    <w:rsid w:val="2714D666"/>
    <w:rsid w:val="271F2FDC"/>
    <w:rsid w:val="2728AAF1"/>
    <w:rsid w:val="2730A313"/>
    <w:rsid w:val="2736C0A6"/>
    <w:rsid w:val="273BF57E"/>
    <w:rsid w:val="27447159"/>
    <w:rsid w:val="274E04DE"/>
    <w:rsid w:val="275547B4"/>
    <w:rsid w:val="27605BED"/>
    <w:rsid w:val="276C9930"/>
    <w:rsid w:val="27808DE8"/>
    <w:rsid w:val="27810602"/>
    <w:rsid w:val="27901663"/>
    <w:rsid w:val="27D03CF0"/>
    <w:rsid w:val="27D21B3A"/>
    <w:rsid w:val="27D405A0"/>
    <w:rsid w:val="27D867C1"/>
    <w:rsid w:val="27F5A045"/>
    <w:rsid w:val="281AEBF4"/>
    <w:rsid w:val="28215A5B"/>
    <w:rsid w:val="282CFBA8"/>
    <w:rsid w:val="282E0BB0"/>
    <w:rsid w:val="28397438"/>
    <w:rsid w:val="283ED3AB"/>
    <w:rsid w:val="28470297"/>
    <w:rsid w:val="284BA96F"/>
    <w:rsid w:val="285DCE5B"/>
    <w:rsid w:val="28675366"/>
    <w:rsid w:val="286E6205"/>
    <w:rsid w:val="286FD88B"/>
    <w:rsid w:val="28748092"/>
    <w:rsid w:val="28888AF9"/>
    <w:rsid w:val="289322E7"/>
    <w:rsid w:val="289674EA"/>
    <w:rsid w:val="28A746DD"/>
    <w:rsid w:val="28BABFA9"/>
    <w:rsid w:val="28D39415"/>
    <w:rsid w:val="28DC2754"/>
    <w:rsid w:val="2913CA71"/>
    <w:rsid w:val="2914AEF4"/>
    <w:rsid w:val="2923D8A9"/>
    <w:rsid w:val="2928FFE4"/>
    <w:rsid w:val="292E7D73"/>
    <w:rsid w:val="2930B0CD"/>
    <w:rsid w:val="294502A1"/>
    <w:rsid w:val="295F686A"/>
    <w:rsid w:val="29648317"/>
    <w:rsid w:val="296FE6FA"/>
    <w:rsid w:val="2970DC64"/>
    <w:rsid w:val="29877A91"/>
    <w:rsid w:val="2994CA39"/>
    <w:rsid w:val="299748C1"/>
    <w:rsid w:val="29BA5080"/>
    <w:rsid w:val="29BEBD65"/>
    <w:rsid w:val="29BF1A42"/>
    <w:rsid w:val="29CFE6C9"/>
    <w:rsid w:val="29E09A06"/>
    <w:rsid w:val="29E0E2D3"/>
    <w:rsid w:val="2A33BFF2"/>
    <w:rsid w:val="2A490BB3"/>
    <w:rsid w:val="2A552422"/>
    <w:rsid w:val="2A59AED0"/>
    <w:rsid w:val="2A898B2F"/>
    <w:rsid w:val="2ABB2EC3"/>
    <w:rsid w:val="2AC2B384"/>
    <w:rsid w:val="2AE77B1F"/>
    <w:rsid w:val="2B04934C"/>
    <w:rsid w:val="2B0CACC5"/>
    <w:rsid w:val="2B34AD02"/>
    <w:rsid w:val="2B44947D"/>
    <w:rsid w:val="2B4B0BE6"/>
    <w:rsid w:val="2B503C40"/>
    <w:rsid w:val="2B700DDF"/>
    <w:rsid w:val="2B70554D"/>
    <w:rsid w:val="2B7E8191"/>
    <w:rsid w:val="2B7ECF2E"/>
    <w:rsid w:val="2B9B2FCB"/>
    <w:rsid w:val="2B9E7D55"/>
    <w:rsid w:val="2BAE97A7"/>
    <w:rsid w:val="2BDE7088"/>
    <w:rsid w:val="2BE5BDB0"/>
    <w:rsid w:val="2C122F83"/>
    <w:rsid w:val="2C39CF11"/>
    <w:rsid w:val="2C456487"/>
    <w:rsid w:val="2C4629E4"/>
    <w:rsid w:val="2C462EEC"/>
    <w:rsid w:val="2C5732D3"/>
    <w:rsid w:val="2C583F67"/>
    <w:rsid w:val="2C7D83C9"/>
    <w:rsid w:val="2C9BC89F"/>
    <w:rsid w:val="2C9ECC78"/>
    <w:rsid w:val="2CA2A28E"/>
    <w:rsid w:val="2CA87D26"/>
    <w:rsid w:val="2CFF5F52"/>
    <w:rsid w:val="2D0451C8"/>
    <w:rsid w:val="2D06C15F"/>
    <w:rsid w:val="2D1F912D"/>
    <w:rsid w:val="2D504019"/>
    <w:rsid w:val="2D6F9CBC"/>
    <w:rsid w:val="2D70E2B3"/>
    <w:rsid w:val="2D7B2324"/>
    <w:rsid w:val="2D812A85"/>
    <w:rsid w:val="2D8155EF"/>
    <w:rsid w:val="2D8560C0"/>
    <w:rsid w:val="2D9C5A45"/>
    <w:rsid w:val="2D9EBB96"/>
    <w:rsid w:val="2DA5334D"/>
    <w:rsid w:val="2DB29F70"/>
    <w:rsid w:val="2DC84575"/>
    <w:rsid w:val="2DCC8060"/>
    <w:rsid w:val="2DCEFC5E"/>
    <w:rsid w:val="2DD6AE2D"/>
    <w:rsid w:val="2DF17DC5"/>
    <w:rsid w:val="2DFE854E"/>
    <w:rsid w:val="2E370091"/>
    <w:rsid w:val="2E575501"/>
    <w:rsid w:val="2E5C16BA"/>
    <w:rsid w:val="2E702B25"/>
    <w:rsid w:val="2E7EB411"/>
    <w:rsid w:val="2E97269D"/>
    <w:rsid w:val="2E9BBC70"/>
    <w:rsid w:val="2EDB6415"/>
    <w:rsid w:val="2EE95B6A"/>
    <w:rsid w:val="2F00AAA4"/>
    <w:rsid w:val="2F23E8EF"/>
    <w:rsid w:val="2F289545"/>
    <w:rsid w:val="2F3EE4F0"/>
    <w:rsid w:val="2F5E8481"/>
    <w:rsid w:val="2F630F2C"/>
    <w:rsid w:val="2F66FB61"/>
    <w:rsid w:val="2F726C6E"/>
    <w:rsid w:val="2F7B01A1"/>
    <w:rsid w:val="2F7E03F5"/>
    <w:rsid w:val="2F7FD090"/>
    <w:rsid w:val="2F887B4D"/>
    <w:rsid w:val="2F8A6CFB"/>
    <w:rsid w:val="2FBE4263"/>
    <w:rsid w:val="2FC2796D"/>
    <w:rsid w:val="2FCD7595"/>
    <w:rsid w:val="2FE30C6B"/>
    <w:rsid w:val="2FEE202D"/>
    <w:rsid w:val="2FEEE5F3"/>
    <w:rsid w:val="30182E7B"/>
    <w:rsid w:val="302D0B77"/>
    <w:rsid w:val="303D35E4"/>
    <w:rsid w:val="303F4B6F"/>
    <w:rsid w:val="304670D5"/>
    <w:rsid w:val="304C4598"/>
    <w:rsid w:val="3062A47F"/>
    <w:rsid w:val="306AA679"/>
    <w:rsid w:val="306E9104"/>
    <w:rsid w:val="30710CBA"/>
    <w:rsid w:val="308934A9"/>
    <w:rsid w:val="309A825C"/>
    <w:rsid w:val="30B62FD0"/>
    <w:rsid w:val="30BEC421"/>
    <w:rsid w:val="30CC86D9"/>
    <w:rsid w:val="30E04D96"/>
    <w:rsid w:val="30EE8177"/>
    <w:rsid w:val="31035155"/>
    <w:rsid w:val="31085F1C"/>
    <w:rsid w:val="3114FBC9"/>
    <w:rsid w:val="31171C6D"/>
    <w:rsid w:val="3117F316"/>
    <w:rsid w:val="311E6AC1"/>
    <w:rsid w:val="31201F24"/>
    <w:rsid w:val="312A7047"/>
    <w:rsid w:val="312CA72C"/>
    <w:rsid w:val="31527258"/>
    <w:rsid w:val="31746970"/>
    <w:rsid w:val="317B434C"/>
    <w:rsid w:val="3185E12D"/>
    <w:rsid w:val="31971DE0"/>
    <w:rsid w:val="31B92AC0"/>
    <w:rsid w:val="31BB8B42"/>
    <w:rsid w:val="31F1392C"/>
    <w:rsid w:val="32039BFF"/>
    <w:rsid w:val="322098A2"/>
    <w:rsid w:val="322220D0"/>
    <w:rsid w:val="32290098"/>
    <w:rsid w:val="326AFCA0"/>
    <w:rsid w:val="326B4681"/>
    <w:rsid w:val="326B752A"/>
    <w:rsid w:val="3280E4FC"/>
    <w:rsid w:val="329C4DAD"/>
    <w:rsid w:val="32B16918"/>
    <w:rsid w:val="32B467D2"/>
    <w:rsid w:val="32BD14F4"/>
    <w:rsid w:val="32BE5D4A"/>
    <w:rsid w:val="32C640A8"/>
    <w:rsid w:val="32DD26AD"/>
    <w:rsid w:val="32E944D3"/>
    <w:rsid w:val="32F7C178"/>
    <w:rsid w:val="33122642"/>
    <w:rsid w:val="331399E8"/>
    <w:rsid w:val="331B18A7"/>
    <w:rsid w:val="331CECB0"/>
    <w:rsid w:val="33303855"/>
    <w:rsid w:val="334B1563"/>
    <w:rsid w:val="334B815D"/>
    <w:rsid w:val="336E7890"/>
    <w:rsid w:val="3388084A"/>
    <w:rsid w:val="3397228C"/>
    <w:rsid w:val="33A6D3EF"/>
    <w:rsid w:val="33A967AA"/>
    <w:rsid w:val="33C9B898"/>
    <w:rsid w:val="33CA4620"/>
    <w:rsid w:val="33D84BFB"/>
    <w:rsid w:val="33E6FCCB"/>
    <w:rsid w:val="33E77166"/>
    <w:rsid w:val="33EB377F"/>
    <w:rsid w:val="33F697B4"/>
    <w:rsid w:val="34080A10"/>
    <w:rsid w:val="340F9DAE"/>
    <w:rsid w:val="341AECC3"/>
    <w:rsid w:val="343198C9"/>
    <w:rsid w:val="34401CC8"/>
    <w:rsid w:val="34534902"/>
    <w:rsid w:val="345B9EE9"/>
    <w:rsid w:val="346DEB8A"/>
    <w:rsid w:val="3484519E"/>
    <w:rsid w:val="348D0B13"/>
    <w:rsid w:val="348D5F32"/>
    <w:rsid w:val="349D3FBC"/>
    <w:rsid w:val="34A82913"/>
    <w:rsid w:val="34AB4114"/>
    <w:rsid w:val="34B7F968"/>
    <w:rsid w:val="34C16A47"/>
    <w:rsid w:val="34C377E9"/>
    <w:rsid w:val="34D47174"/>
    <w:rsid w:val="34DC38AB"/>
    <w:rsid w:val="34E89217"/>
    <w:rsid w:val="35007CCC"/>
    <w:rsid w:val="350F34D8"/>
    <w:rsid w:val="35130852"/>
    <w:rsid w:val="35353FD0"/>
    <w:rsid w:val="353A0BB0"/>
    <w:rsid w:val="353C5240"/>
    <w:rsid w:val="35446E3E"/>
    <w:rsid w:val="354475C1"/>
    <w:rsid w:val="354E19C3"/>
    <w:rsid w:val="3564AADB"/>
    <w:rsid w:val="357DA6C2"/>
    <w:rsid w:val="3592824A"/>
    <w:rsid w:val="3593B256"/>
    <w:rsid w:val="35A515ED"/>
    <w:rsid w:val="35ABD844"/>
    <w:rsid w:val="35C1EC2E"/>
    <w:rsid w:val="35C8FEEF"/>
    <w:rsid w:val="35E2EC6D"/>
    <w:rsid w:val="35F79DA6"/>
    <w:rsid w:val="35F9ADE4"/>
    <w:rsid w:val="35FDE16A"/>
    <w:rsid w:val="361B2264"/>
    <w:rsid w:val="3621E597"/>
    <w:rsid w:val="362A41B1"/>
    <w:rsid w:val="364B66F4"/>
    <w:rsid w:val="36A6F58F"/>
    <w:rsid w:val="36B0B237"/>
    <w:rsid w:val="36B363D9"/>
    <w:rsid w:val="36B98383"/>
    <w:rsid w:val="36D3C98B"/>
    <w:rsid w:val="36D3C9A9"/>
    <w:rsid w:val="36D503AE"/>
    <w:rsid w:val="36DF0410"/>
    <w:rsid w:val="36E0F478"/>
    <w:rsid w:val="36E6A9A4"/>
    <w:rsid w:val="36F288AD"/>
    <w:rsid w:val="36F31F4E"/>
    <w:rsid w:val="36FD6DE8"/>
    <w:rsid w:val="370FECBD"/>
    <w:rsid w:val="371F3562"/>
    <w:rsid w:val="372C4D31"/>
    <w:rsid w:val="372D37B6"/>
    <w:rsid w:val="373F4A5B"/>
    <w:rsid w:val="373FDEE4"/>
    <w:rsid w:val="374C0B09"/>
    <w:rsid w:val="374EB03B"/>
    <w:rsid w:val="37571AF0"/>
    <w:rsid w:val="37591F70"/>
    <w:rsid w:val="37638C2C"/>
    <w:rsid w:val="37748F97"/>
    <w:rsid w:val="3775AFDB"/>
    <w:rsid w:val="37766E67"/>
    <w:rsid w:val="37783DD0"/>
    <w:rsid w:val="377954B4"/>
    <w:rsid w:val="37939BBF"/>
    <w:rsid w:val="379D793A"/>
    <w:rsid w:val="37A3A802"/>
    <w:rsid w:val="37A4FE71"/>
    <w:rsid w:val="37AAE634"/>
    <w:rsid w:val="37ACDD9C"/>
    <w:rsid w:val="37BFD187"/>
    <w:rsid w:val="37C09D9B"/>
    <w:rsid w:val="37CBCC29"/>
    <w:rsid w:val="37CE6D78"/>
    <w:rsid w:val="37E3A7E9"/>
    <w:rsid w:val="37E66F51"/>
    <w:rsid w:val="37EFD627"/>
    <w:rsid w:val="37F4CD06"/>
    <w:rsid w:val="38010A61"/>
    <w:rsid w:val="38108E31"/>
    <w:rsid w:val="381C7262"/>
    <w:rsid w:val="38302AB7"/>
    <w:rsid w:val="383B4B5D"/>
    <w:rsid w:val="3847D87E"/>
    <w:rsid w:val="385BF63C"/>
    <w:rsid w:val="385E27A6"/>
    <w:rsid w:val="389794BE"/>
    <w:rsid w:val="38A0BDFC"/>
    <w:rsid w:val="38AAE1A7"/>
    <w:rsid w:val="38CA08D7"/>
    <w:rsid w:val="38CD951C"/>
    <w:rsid w:val="38D24E0C"/>
    <w:rsid w:val="38DB0635"/>
    <w:rsid w:val="38E64447"/>
    <w:rsid w:val="38ED098C"/>
    <w:rsid w:val="38F153EE"/>
    <w:rsid w:val="3908DF8B"/>
    <w:rsid w:val="390C927B"/>
    <w:rsid w:val="39220A82"/>
    <w:rsid w:val="3926BAEE"/>
    <w:rsid w:val="3928496D"/>
    <w:rsid w:val="39310D5C"/>
    <w:rsid w:val="3964C081"/>
    <w:rsid w:val="3974432F"/>
    <w:rsid w:val="398D9209"/>
    <w:rsid w:val="39A938C6"/>
    <w:rsid w:val="39AA2442"/>
    <w:rsid w:val="39B1E5E3"/>
    <w:rsid w:val="39B81613"/>
    <w:rsid w:val="39C1CC98"/>
    <w:rsid w:val="39DE53BE"/>
    <w:rsid w:val="39EFCA8C"/>
    <w:rsid w:val="3A194B25"/>
    <w:rsid w:val="3A1A1D91"/>
    <w:rsid w:val="3A1B9D1E"/>
    <w:rsid w:val="3A1E4587"/>
    <w:rsid w:val="3A1FE02B"/>
    <w:rsid w:val="3A22A574"/>
    <w:rsid w:val="3A47E334"/>
    <w:rsid w:val="3A498AC6"/>
    <w:rsid w:val="3A4A44C9"/>
    <w:rsid w:val="3A539FEA"/>
    <w:rsid w:val="3A53C55E"/>
    <w:rsid w:val="3A587D29"/>
    <w:rsid w:val="3A722C19"/>
    <w:rsid w:val="3A916F01"/>
    <w:rsid w:val="3A9296FD"/>
    <w:rsid w:val="3A93FF3A"/>
    <w:rsid w:val="3A959F11"/>
    <w:rsid w:val="3A9A3370"/>
    <w:rsid w:val="3AA4B4FF"/>
    <w:rsid w:val="3AAF15B6"/>
    <w:rsid w:val="3AAFF19D"/>
    <w:rsid w:val="3AD04ADE"/>
    <w:rsid w:val="3AD27986"/>
    <w:rsid w:val="3AE207D6"/>
    <w:rsid w:val="3AF12C03"/>
    <w:rsid w:val="3AF89431"/>
    <w:rsid w:val="3AFB97B3"/>
    <w:rsid w:val="3AFC6E35"/>
    <w:rsid w:val="3AFCC43D"/>
    <w:rsid w:val="3B0E7A2E"/>
    <w:rsid w:val="3B0EBF77"/>
    <w:rsid w:val="3B10E964"/>
    <w:rsid w:val="3B1CC723"/>
    <w:rsid w:val="3B35BF0D"/>
    <w:rsid w:val="3B42206F"/>
    <w:rsid w:val="3B46305E"/>
    <w:rsid w:val="3B478646"/>
    <w:rsid w:val="3B571993"/>
    <w:rsid w:val="3B6DAF85"/>
    <w:rsid w:val="3B73DAED"/>
    <w:rsid w:val="3B954B49"/>
    <w:rsid w:val="3BADB161"/>
    <w:rsid w:val="3BB53FF3"/>
    <w:rsid w:val="3BB76D7F"/>
    <w:rsid w:val="3BBE34F6"/>
    <w:rsid w:val="3BC18D2E"/>
    <w:rsid w:val="3BCE925F"/>
    <w:rsid w:val="3BD32DAB"/>
    <w:rsid w:val="3BE5BEB5"/>
    <w:rsid w:val="3BF445E0"/>
    <w:rsid w:val="3C04B708"/>
    <w:rsid w:val="3C08DC85"/>
    <w:rsid w:val="3C24E154"/>
    <w:rsid w:val="3C41698C"/>
    <w:rsid w:val="3C47C949"/>
    <w:rsid w:val="3C4B2108"/>
    <w:rsid w:val="3C4B79E3"/>
    <w:rsid w:val="3C55AC72"/>
    <w:rsid w:val="3C72CA0E"/>
    <w:rsid w:val="3C736254"/>
    <w:rsid w:val="3C774354"/>
    <w:rsid w:val="3C7D0FE7"/>
    <w:rsid w:val="3CA173D7"/>
    <w:rsid w:val="3CBFB579"/>
    <w:rsid w:val="3CD2916C"/>
    <w:rsid w:val="3CD9A49A"/>
    <w:rsid w:val="3CDA68EC"/>
    <w:rsid w:val="3CE72DBA"/>
    <w:rsid w:val="3D009CEA"/>
    <w:rsid w:val="3D1216BB"/>
    <w:rsid w:val="3D1A012A"/>
    <w:rsid w:val="3D32054C"/>
    <w:rsid w:val="3D38060B"/>
    <w:rsid w:val="3D4D1F56"/>
    <w:rsid w:val="3D55EEF6"/>
    <w:rsid w:val="3D5B58C0"/>
    <w:rsid w:val="3D6FE4CC"/>
    <w:rsid w:val="3D74D28A"/>
    <w:rsid w:val="3D922DDB"/>
    <w:rsid w:val="3D97D3E1"/>
    <w:rsid w:val="3DA049E7"/>
    <w:rsid w:val="3DA72016"/>
    <w:rsid w:val="3DCCB4C6"/>
    <w:rsid w:val="3E1981F4"/>
    <w:rsid w:val="3E347FD2"/>
    <w:rsid w:val="3E48E634"/>
    <w:rsid w:val="3E518B2E"/>
    <w:rsid w:val="3E5D1905"/>
    <w:rsid w:val="3E6D4A57"/>
    <w:rsid w:val="3E765234"/>
    <w:rsid w:val="3E8E132B"/>
    <w:rsid w:val="3E8E46E3"/>
    <w:rsid w:val="3E94100D"/>
    <w:rsid w:val="3EC2406F"/>
    <w:rsid w:val="3EC2A908"/>
    <w:rsid w:val="3F11D669"/>
    <w:rsid w:val="3F1D39EB"/>
    <w:rsid w:val="3F2371D8"/>
    <w:rsid w:val="3F46B0DC"/>
    <w:rsid w:val="3F4760D8"/>
    <w:rsid w:val="3F4B5CE1"/>
    <w:rsid w:val="3F51CCF6"/>
    <w:rsid w:val="3F59AF70"/>
    <w:rsid w:val="3F6F3C81"/>
    <w:rsid w:val="3F768695"/>
    <w:rsid w:val="3F815CDD"/>
    <w:rsid w:val="3F88381C"/>
    <w:rsid w:val="3F9427BF"/>
    <w:rsid w:val="3F9434FE"/>
    <w:rsid w:val="3FD1E5D9"/>
    <w:rsid w:val="3FECB37E"/>
    <w:rsid w:val="3FFAEFD5"/>
    <w:rsid w:val="400CC43F"/>
    <w:rsid w:val="40143ADB"/>
    <w:rsid w:val="40173CD7"/>
    <w:rsid w:val="401CFD86"/>
    <w:rsid w:val="40206600"/>
    <w:rsid w:val="402DE5ED"/>
    <w:rsid w:val="404315B7"/>
    <w:rsid w:val="404A032C"/>
    <w:rsid w:val="4064EBF2"/>
    <w:rsid w:val="407A4CF3"/>
    <w:rsid w:val="4081253A"/>
    <w:rsid w:val="408F6786"/>
    <w:rsid w:val="409B52E7"/>
    <w:rsid w:val="40CDB45C"/>
    <w:rsid w:val="40D42253"/>
    <w:rsid w:val="40D43E9A"/>
    <w:rsid w:val="40EC114A"/>
    <w:rsid w:val="40F4028B"/>
    <w:rsid w:val="40F47B77"/>
    <w:rsid w:val="41005B60"/>
    <w:rsid w:val="4111F871"/>
    <w:rsid w:val="41195B3F"/>
    <w:rsid w:val="411B1F79"/>
    <w:rsid w:val="411F0355"/>
    <w:rsid w:val="41340ED3"/>
    <w:rsid w:val="4135E31E"/>
    <w:rsid w:val="4142EEAE"/>
    <w:rsid w:val="4166C12F"/>
    <w:rsid w:val="416EDD28"/>
    <w:rsid w:val="4178AC66"/>
    <w:rsid w:val="417DA473"/>
    <w:rsid w:val="4191D45B"/>
    <w:rsid w:val="41A4EB19"/>
    <w:rsid w:val="41AEFBB2"/>
    <w:rsid w:val="41D50312"/>
    <w:rsid w:val="41E31C71"/>
    <w:rsid w:val="41ED6091"/>
    <w:rsid w:val="41F131EC"/>
    <w:rsid w:val="41F66E37"/>
    <w:rsid w:val="41F98B6D"/>
    <w:rsid w:val="42103B33"/>
    <w:rsid w:val="4210E76E"/>
    <w:rsid w:val="421D6E27"/>
    <w:rsid w:val="42239738"/>
    <w:rsid w:val="4224D5DD"/>
    <w:rsid w:val="423E2B76"/>
    <w:rsid w:val="423FA40E"/>
    <w:rsid w:val="4244A755"/>
    <w:rsid w:val="424FBB5F"/>
    <w:rsid w:val="425BCA9A"/>
    <w:rsid w:val="4262B45D"/>
    <w:rsid w:val="4278F7CE"/>
    <w:rsid w:val="42795561"/>
    <w:rsid w:val="427AF568"/>
    <w:rsid w:val="428ADD0B"/>
    <w:rsid w:val="4293147D"/>
    <w:rsid w:val="42996ED1"/>
    <w:rsid w:val="42D2ED10"/>
    <w:rsid w:val="42D38CA2"/>
    <w:rsid w:val="42DFBEB8"/>
    <w:rsid w:val="42EAB8AA"/>
    <w:rsid w:val="42F9A86D"/>
    <w:rsid w:val="42FEF40C"/>
    <w:rsid w:val="4302BF62"/>
    <w:rsid w:val="430A0D83"/>
    <w:rsid w:val="431519BC"/>
    <w:rsid w:val="4338C3D1"/>
    <w:rsid w:val="433AF986"/>
    <w:rsid w:val="43447F20"/>
    <w:rsid w:val="43466257"/>
    <w:rsid w:val="43618E80"/>
    <w:rsid w:val="436DA100"/>
    <w:rsid w:val="43A6BFF4"/>
    <w:rsid w:val="43AD6302"/>
    <w:rsid w:val="43AD7374"/>
    <w:rsid w:val="43C27F64"/>
    <w:rsid w:val="43C56D9C"/>
    <w:rsid w:val="43CAC4EF"/>
    <w:rsid w:val="43D81B59"/>
    <w:rsid w:val="43E32303"/>
    <w:rsid w:val="43EC82DF"/>
    <w:rsid w:val="43EE2615"/>
    <w:rsid w:val="43FE37A0"/>
    <w:rsid w:val="4404D963"/>
    <w:rsid w:val="44066293"/>
    <w:rsid w:val="440E67D3"/>
    <w:rsid w:val="44410946"/>
    <w:rsid w:val="445A5AAE"/>
    <w:rsid w:val="446720B1"/>
    <w:rsid w:val="446D456D"/>
    <w:rsid w:val="446D4843"/>
    <w:rsid w:val="447193EB"/>
    <w:rsid w:val="44BDFEF0"/>
    <w:rsid w:val="44EE8571"/>
    <w:rsid w:val="44FA9F1E"/>
    <w:rsid w:val="450724A0"/>
    <w:rsid w:val="451F3B9B"/>
    <w:rsid w:val="45223C11"/>
    <w:rsid w:val="452A5535"/>
    <w:rsid w:val="452F709B"/>
    <w:rsid w:val="4534F497"/>
    <w:rsid w:val="453FB2D6"/>
    <w:rsid w:val="4545C185"/>
    <w:rsid w:val="4549914F"/>
    <w:rsid w:val="4550338D"/>
    <w:rsid w:val="455EEEA3"/>
    <w:rsid w:val="456C845A"/>
    <w:rsid w:val="456D15FE"/>
    <w:rsid w:val="45723CB0"/>
    <w:rsid w:val="458FDFB5"/>
    <w:rsid w:val="45936734"/>
    <w:rsid w:val="45B71F70"/>
    <w:rsid w:val="45D70F36"/>
    <w:rsid w:val="45D9ACC3"/>
    <w:rsid w:val="45E5534C"/>
    <w:rsid w:val="45E8156A"/>
    <w:rsid w:val="460C39BD"/>
    <w:rsid w:val="462C8D6A"/>
    <w:rsid w:val="4630FCD5"/>
    <w:rsid w:val="46317828"/>
    <w:rsid w:val="463D7908"/>
    <w:rsid w:val="463FD047"/>
    <w:rsid w:val="464A4DBF"/>
    <w:rsid w:val="464A8D54"/>
    <w:rsid w:val="464B6658"/>
    <w:rsid w:val="465869FE"/>
    <w:rsid w:val="4658D3EA"/>
    <w:rsid w:val="465C841A"/>
    <w:rsid w:val="468B17FC"/>
    <w:rsid w:val="468FF1A8"/>
    <w:rsid w:val="46A641E5"/>
    <w:rsid w:val="46A6E3C6"/>
    <w:rsid w:val="46AF67A0"/>
    <w:rsid w:val="46BB5C3C"/>
    <w:rsid w:val="46BC7B01"/>
    <w:rsid w:val="46BC7F05"/>
    <w:rsid w:val="46C2647A"/>
    <w:rsid w:val="46D97B6D"/>
    <w:rsid w:val="46FA1966"/>
    <w:rsid w:val="46FC0E1C"/>
    <w:rsid w:val="471D3116"/>
    <w:rsid w:val="4722C534"/>
    <w:rsid w:val="4730A862"/>
    <w:rsid w:val="473CAEC1"/>
    <w:rsid w:val="47640F2A"/>
    <w:rsid w:val="47759FEE"/>
    <w:rsid w:val="477D7AB3"/>
    <w:rsid w:val="47865DEB"/>
    <w:rsid w:val="478EE762"/>
    <w:rsid w:val="47907AAB"/>
    <w:rsid w:val="479B7BD4"/>
    <w:rsid w:val="47B40D6C"/>
    <w:rsid w:val="47BB0215"/>
    <w:rsid w:val="47CAFF85"/>
    <w:rsid w:val="47CE4BB9"/>
    <w:rsid w:val="47DF33B1"/>
    <w:rsid w:val="47EADFA9"/>
    <w:rsid w:val="481C3E6F"/>
    <w:rsid w:val="4826B1FB"/>
    <w:rsid w:val="4846DC3A"/>
    <w:rsid w:val="484CD994"/>
    <w:rsid w:val="4850EAFD"/>
    <w:rsid w:val="485EA230"/>
    <w:rsid w:val="485F4B82"/>
    <w:rsid w:val="486343E5"/>
    <w:rsid w:val="4884FF6E"/>
    <w:rsid w:val="488C7298"/>
    <w:rsid w:val="489DF839"/>
    <w:rsid w:val="48A9D20F"/>
    <w:rsid w:val="48B9AA75"/>
    <w:rsid w:val="48E99E95"/>
    <w:rsid w:val="48F807FA"/>
    <w:rsid w:val="48FE478D"/>
    <w:rsid w:val="48FF9627"/>
    <w:rsid w:val="49018F1C"/>
    <w:rsid w:val="490B195F"/>
    <w:rsid w:val="49127249"/>
    <w:rsid w:val="49151988"/>
    <w:rsid w:val="491910E1"/>
    <w:rsid w:val="495E41EC"/>
    <w:rsid w:val="4966EE82"/>
    <w:rsid w:val="49762FD0"/>
    <w:rsid w:val="4978B648"/>
    <w:rsid w:val="4978C220"/>
    <w:rsid w:val="499347A6"/>
    <w:rsid w:val="49AE458D"/>
    <w:rsid w:val="49BA19A6"/>
    <w:rsid w:val="49CC0BB1"/>
    <w:rsid w:val="49CD0196"/>
    <w:rsid w:val="49CD750F"/>
    <w:rsid w:val="49D297A9"/>
    <w:rsid w:val="4A1047EF"/>
    <w:rsid w:val="4A2A7E06"/>
    <w:rsid w:val="4A300911"/>
    <w:rsid w:val="4A30C1A2"/>
    <w:rsid w:val="4A568657"/>
    <w:rsid w:val="4A5B8DDC"/>
    <w:rsid w:val="4A61FB90"/>
    <w:rsid w:val="4A644802"/>
    <w:rsid w:val="4A94EA2B"/>
    <w:rsid w:val="4AA346C3"/>
    <w:rsid w:val="4AC41EF1"/>
    <w:rsid w:val="4AE1F149"/>
    <w:rsid w:val="4AEC840E"/>
    <w:rsid w:val="4AFDE0AD"/>
    <w:rsid w:val="4B1D14E2"/>
    <w:rsid w:val="4B29A9D3"/>
    <w:rsid w:val="4B438863"/>
    <w:rsid w:val="4B47574D"/>
    <w:rsid w:val="4B4D0318"/>
    <w:rsid w:val="4B7C6E48"/>
    <w:rsid w:val="4B82996B"/>
    <w:rsid w:val="4B8CD306"/>
    <w:rsid w:val="4B8DDA6C"/>
    <w:rsid w:val="4B8FBE32"/>
    <w:rsid w:val="4B90DFE5"/>
    <w:rsid w:val="4B91EC3D"/>
    <w:rsid w:val="4B95BA61"/>
    <w:rsid w:val="4B9EA3CD"/>
    <w:rsid w:val="4BA1DD6F"/>
    <w:rsid w:val="4BA749BE"/>
    <w:rsid w:val="4BB09E00"/>
    <w:rsid w:val="4BF149C8"/>
    <w:rsid w:val="4C02194F"/>
    <w:rsid w:val="4C14D543"/>
    <w:rsid w:val="4C26B48A"/>
    <w:rsid w:val="4C2A4C35"/>
    <w:rsid w:val="4C30125E"/>
    <w:rsid w:val="4C3739C7"/>
    <w:rsid w:val="4C48296D"/>
    <w:rsid w:val="4C4D6322"/>
    <w:rsid w:val="4C54950E"/>
    <w:rsid w:val="4C7DC1AA"/>
    <w:rsid w:val="4C8D0E2A"/>
    <w:rsid w:val="4C98BA0E"/>
    <w:rsid w:val="4CA319D6"/>
    <w:rsid w:val="4CABB8D9"/>
    <w:rsid w:val="4CCCD947"/>
    <w:rsid w:val="4CD110AB"/>
    <w:rsid w:val="4CDA9277"/>
    <w:rsid w:val="4CE9FBD5"/>
    <w:rsid w:val="4D09BFE7"/>
    <w:rsid w:val="4D131CC6"/>
    <w:rsid w:val="4D1722F7"/>
    <w:rsid w:val="4D20C5AA"/>
    <w:rsid w:val="4D24F828"/>
    <w:rsid w:val="4D34778F"/>
    <w:rsid w:val="4D4F05FD"/>
    <w:rsid w:val="4D54416D"/>
    <w:rsid w:val="4D5AC270"/>
    <w:rsid w:val="4D61CF82"/>
    <w:rsid w:val="4D6369B4"/>
    <w:rsid w:val="4D679A60"/>
    <w:rsid w:val="4D707AA3"/>
    <w:rsid w:val="4D7F7B0E"/>
    <w:rsid w:val="4D89FCA8"/>
    <w:rsid w:val="4D8C8749"/>
    <w:rsid w:val="4D8DEB13"/>
    <w:rsid w:val="4DBE5384"/>
    <w:rsid w:val="4DCF49EA"/>
    <w:rsid w:val="4DD31706"/>
    <w:rsid w:val="4DD598CD"/>
    <w:rsid w:val="4DE32CA9"/>
    <w:rsid w:val="4DF9DBA1"/>
    <w:rsid w:val="4DFC481A"/>
    <w:rsid w:val="4E076652"/>
    <w:rsid w:val="4E1678A4"/>
    <w:rsid w:val="4E1E185F"/>
    <w:rsid w:val="4E210AB1"/>
    <w:rsid w:val="4E39B2FB"/>
    <w:rsid w:val="4E50D6FB"/>
    <w:rsid w:val="4E52F4FF"/>
    <w:rsid w:val="4E5D6497"/>
    <w:rsid w:val="4E705092"/>
    <w:rsid w:val="4E7D6EE3"/>
    <w:rsid w:val="4E8AB198"/>
    <w:rsid w:val="4E8DBBB3"/>
    <w:rsid w:val="4E9BFF76"/>
    <w:rsid w:val="4EA32243"/>
    <w:rsid w:val="4EA6A321"/>
    <w:rsid w:val="4ED08B5B"/>
    <w:rsid w:val="4EDFB854"/>
    <w:rsid w:val="4F15A2B2"/>
    <w:rsid w:val="4F1D105C"/>
    <w:rsid w:val="4F2635D6"/>
    <w:rsid w:val="4F2FBD70"/>
    <w:rsid w:val="4F44A85B"/>
    <w:rsid w:val="4F60BEB6"/>
    <w:rsid w:val="4F71D5FE"/>
    <w:rsid w:val="4F76C6C5"/>
    <w:rsid w:val="4F7A7E9C"/>
    <w:rsid w:val="4F9A78B0"/>
    <w:rsid w:val="4FB0253E"/>
    <w:rsid w:val="4FBCBBC1"/>
    <w:rsid w:val="4FD058F6"/>
    <w:rsid w:val="4FDEB180"/>
    <w:rsid w:val="4FDF5884"/>
    <w:rsid w:val="4FE5094B"/>
    <w:rsid w:val="5002DF9F"/>
    <w:rsid w:val="500A00D3"/>
    <w:rsid w:val="500DFC94"/>
    <w:rsid w:val="5023A2C4"/>
    <w:rsid w:val="5024337F"/>
    <w:rsid w:val="503C58C1"/>
    <w:rsid w:val="5050B766"/>
    <w:rsid w:val="505EFA0F"/>
    <w:rsid w:val="509411FB"/>
    <w:rsid w:val="50AADB4F"/>
    <w:rsid w:val="50B28A3C"/>
    <w:rsid w:val="50B28DED"/>
    <w:rsid w:val="50B444E9"/>
    <w:rsid w:val="50BB3E27"/>
    <w:rsid w:val="50C15ADE"/>
    <w:rsid w:val="50C65091"/>
    <w:rsid w:val="50DE70C1"/>
    <w:rsid w:val="50EB4430"/>
    <w:rsid w:val="511EF820"/>
    <w:rsid w:val="512AC279"/>
    <w:rsid w:val="512B641A"/>
    <w:rsid w:val="512CF38D"/>
    <w:rsid w:val="515B769A"/>
    <w:rsid w:val="51621752"/>
    <w:rsid w:val="516D2A2E"/>
    <w:rsid w:val="516EABA7"/>
    <w:rsid w:val="51718A5F"/>
    <w:rsid w:val="518547E5"/>
    <w:rsid w:val="51A0FB76"/>
    <w:rsid w:val="51A6F79F"/>
    <w:rsid w:val="51BB9F5A"/>
    <w:rsid w:val="51C297FF"/>
    <w:rsid w:val="51C5A7CC"/>
    <w:rsid w:val="51E072C9"/>
    <w:rsid w:val="51EFF4F4"/>
    <w:rsid w:val="52025C0F"/>
    <w:rsid w:val="520D1483"/>
    <w:rsid w:val="520F6624"/>
    <w:rsid w:val="52153AF8"/>
    <w:rsid w:val="522376E2"/>
    <w:rsid w:val="52313BED"/>
    <w:rsid w:val="5241D6E2"/>
    <w:rsid w:val="526B2151"/>
    <w:rsid w:val="527B488F"/>
    <w:rsid w:val="529F80DD"/>
    <w:rsid w:val="52AFF257"/>
    <w:rsid w:val="52B00163"/>
    <w:rsid w:val="52B3D415"/>
    <w:rsid w:val="52C8C3EE"/>
    <w:rsid w:val="52D5005F"/>
    <w:rsid w:val="52D78A39"/>
    <w:rsid w:val="52ED6F64"/>
    <w:rsid w:val="52FC6BF6"/>
    <w:rsid w:val="5309A486"/>
    <w:rsid w:val="531D766E"/>
    <w:rsid w:val="5322F826"/>
    <w:rsid w:val="533C7579"/>
    <w:rsid w:val="537013DB"/>
    <w:rsid w:val="538C0EBD"/>
    <w:rsid w:val="53911282"/>
    <w:rsid w:val="5398EEDE"/>
    <w:rsid w:val="539FF41D"/>
    <w:rsid w:val="53A229B8"/>
    <w:rsid w:val="53A556A7"/>
    <w:rsid w:val="53A9B5D4"/>
    <w:rsid w:val="53BF2C6E"/>
    <w:rsid w:val="53C8EC9B"/>
    <w:rsid w:val="53CB0F85"/>
    <w:rsid w:val="53E1C3D2"/>
    <w:rsid w:val="53F26644"/>
    <w:rsid w:val="53F75F5F"/>
    <w:rsid w:val="53F8730F"/>
    <w:rsid w:val="54080A8F"/>
    <w:rsid w:val="540CF14A"/>
    <w:rsid w:val="5421FA8B"/>
    <w:rsid w:val="543F5E76"/>
    <w:rsid w:val="54590D1E"/>
    <w:rsid w:val="5467A7DD"/>
    <w:rsid w:val="546CDFA5"/>
    <w:rsid w:val="5472D968"/>
    <w:rsid w:val="54785FBE"/>
    <w:rsid w:val="5484941C"/>
    <w:rsid w:val="54862898"/>
    <w:rsid w:val="549FAC36"/>
    <w:rsid w:val="54B3ADA2"/>
    <w:rsid w:val="54C93A77"/>
    <w:rsid w:val="54CA3907"/>
    <w:rsid w:val="54D0D329"/>
    <w:rsid w:val="54DB161C"/>
    <w:rsid w:val="54E37306"/>
    <w:rsid w:val="54F69052"/>
    <w:rsid w:val="550AD618"/>
    <w:rsid w:val="550B2950"/>
    <w:rsid w:val="550D26A6"/>
    <w:rsid w:val="5514A105"/>
    <w:rsid w:val="553CCB15"/>
    <w:rsid w:val="555A0AF3"/>
    <w:rsid w:val="555A18C1"/>
    <w:rsid w:val="55744CD0"/>
    <w:rsid w:val="5589C612"/>
    <w:rsid w:val="559A44B8"/>
    <w:rsid w:val="55A36F17"/>
    <w:rsid w:val="55AC89F5"/>
    <w:rsid w:val="55BAD9A2"/>
    <w:rsid w:val="55BBD8DA"/>
    <w:rsid w:val="55CEAF93"/>
    <w:rsid w:val="560319AB"/>
    <w:rsid w:val="561F526D"/>
    <w:rsid w:val="5648A590"/>
    <w:rsid w:val="564F0E25"/>
    <w:rsid w:val="56618A2D"/>
    <w:rsid w:val="566DBA83"/>
    <w:rsid w:val="567B6D42"/>
    <w:rsid w:val="567D965E"/>
    <w:rsid w:val="56818DF8"/>
    <w:rsid w:val="568D3BE8"/>
    <w:rsid w:val="56AD19D5"/>
    <w:rsid w:val="56B63BDA"/>
    <w:rsid w:val="56B8B8BE"/>
    <w:rsid w:val="56D5D3DE"/>
    <w:rsid w:val="56D68679"/>
    <w:rsid w:val="56E25F3E"/>
    <w:rsid w:val="5707B34B"/>
    <w:rsid w:val="5707B5A9"/>
    <w:rsid w:val="57185D48"/>
    <w:rsid w:val="5718E12D"/>
    <w:rsid w:val="57337734"/>
    <w:rsid w:val="57338683"/>
    <w:rsid w:val="573517D2"/>
    <w:rsid w:val="5736DB53"/>
    <w:rsid w:val="57494533"/>
    <w:rsid w:val="574EB9B2"/>
    <w:rsid w:val="5751E7CA"/>
    <w:rsid w:val="576A301E"/>
    <w:rsid w:val="57843DA0"/>
    <w:rsid w:val="57913D1E"/>
    <w:rsid w:val="579986EC"/>
    <w:rsid w:val="57B46646"/>
    <w:rsid w:val="57C1979A"/>
    <w:rsid w:val="57EE7AF0"/>
    <w:rsid w:val="57EF2FEB"/>
    <w:rsid w:val="57F27A9A"/>
    <w:rsid w:val="57FDD323"/>
    <w:rsid w:val="58152D15"/>
    <w:rsid w:val="58164D58"/>
    <w:rsid w:val="5820914A"/>
    <w:rsid w:val="58223385"/>
    <w:rsid w:val="58309CD5"/>
    <w:rsid w:val="585DB296"/>
    <w:rsid w:val="585DD2AD"/>
    <w:rsid w:val="586FD5E3"/>
    <w:rsid w:val="58700F91"/>
    <w:rsid w:val="58876B98"/>
    <w:rsid w:val="58B1E701"/>
    <w:rsid w:val="58BD44FD"/>
    <w:rsid w:val="58F1DCCE"/>
    <w:rsid w:val="58F4F592"/>
    <w:rsid w:val="59007244"/>
    <w:rsid w:val="59044D8A"/>
    <w:rsid w:val="59196FCC"/>
    <w:rsid w:val="5920BEA7"/>
    <w:rsid w:val="59241D0C"/>
    <w:rsid w:val="5935D321"/>
    <w:rsid w:val="594BC649"/>
    <w:rsid w:val="59535207"/>
    <w:rsid w:val="59594D38"/>
    <w:rsid w:val="595A3E99"/>
    <w:rsid w:val="59711384"/>
    <w:rsid w:val="599ED050"/>
    <w:rsid w:val="59B22D5A"/>
    <w:rsid w:val="59C5D894"/>
    <w:rsid w:val="59D5BE68"/>
    <w:rsid w:val="59DE473B"/>
    <w:rsid w:val="59F09E28"/>
    <w:rsid w:val="5A05EA28"/>
    <w:rsid w:val="5A2BC865"/>
    <w:rsid w:val="5A3B4DDC"/>
    <w:rsid w:val="5A48FE69"/>
    <w:rsid w:val="5A4A5822"/>
    <w:rsid w:val="5A5BE657"/>
    <w:rsid w:val="5A6369D8"/>
    <w:rsid w:val="5A7026C5"/>
    <w:rsid w:val="5A94250D"/>
    <w:rsid w:val="5AA07747"/>
    <w:rsid w:val="5ABD8D70"/>
    <w:rsid w:val="5AC2B17B"/>
    <w:rsid w:val="5AC92FE0"/>
    <w:rsid w:val="5AEB02A8"/>
    <w:rsid w:val="5AEF8138"/>
    <w:rsid w:val="5AF50905"/>
    <w:rsid w:val="5B0BF0AF"/>
    <w:rsid w:val="5B12D479"/>
    <w:rsid w:val="5B14D896"/>
    <w:rsid w:val="5B2F594A"/>
    <w:rsid w:val="5B350456"/>
    <w:rsid w:val="5B504565"/>
    <w:rsid w:val="5B676995"/>
    <w:rsid w:val="5B695EE0"/>
    <w:rsid w:val="5B88C7A2"/>
    <w:rsid w:val="5BC30917"/>
    <w:rsid w:val="5BCCA6A1"/>
    <w:rsid w:val="5BCE24EE"/>
    <w:rsid w:val="5BDB76A1"/>
    <w:rsid w:val="5BDBE697"/>
    <w:rsid w:val="5BE90EBA"/>
    <w:rsid w:val="5BF228E7"/>
    <w:rsid w:val="5BF6986D"/>
    <w:rsid w:val="5BFBE89A"/>
    <w:rsid w:val="5C16510C"/>
    <w:rsid w:val="5C201748"/>
    <w:rsid w:val="5C511D02"/>
    <w:rsid w:val="5C60A5B4"/>
    <w:rsid w:val="5C65FE99"/>
    <w:rsid w:val="5C6B0D48"/>
    <w:rsid w:val="5C7EB8C7"/>
    <w:rsid w:val="5C8AB9C0"/>
    <w:rsid w:val="5C8B2DE6"/>
    <w:rsid w:val="5CDF7A17"/>
    <w:rsid w:val="5CE5BCD2"/>
    <w:rsid w:val="5CF81907"/>
    <w:rsid w:val="5D1C5770"/>
    <w:rsid w:val="5D27EC7E"/>
    <w:rsid w:val="5D53E450"/>
    <w:rsid w:val="5D5ADCBB"/>
    <w:rsid w:val="5D6B4F0F"/>
    <w:rsid w:val="5D73AFFB"/>
    <w:rsid w:val="5D90A0D3"/>
    <w:rsid w:val="5DA6EB40"/>
    <w:rsid w:val="5DBA0222"/>
    <w:rsid w:val="5DCEFC4B"/>
    <w:rsid w:val="5DE46877"/>
    <w:rsid w:val="5DE4E8D1"/>
    <w:rsid w:val="5DFF73C9"/>
    <w:rsid w:val="5E2544BA"/>
    <w:rsid w:val="5E389F4E"/>
    <w:rsid w:val="5E626595"/>
    <w:rsid w:val="5E663BD6"/>
    <w:rsid w:val="5E68967F"/>
    <w:rsid w:val="5E80EA10"/>
    <w:rsid w:val="5E86801A"/>
    <w:rsid w:val="5E8F4B7C"/>
    <w:rsid w:val="5E9DE809"/>
    <w:rsid w:val="5EA2571D"/>
    <w:rsid w:val="5EAA0607"/>
    <w:rsid w:val="5EAB9C35"/>
    <w:rsid w:val="5EB269BD"/>
    <w:rsid w:val="5EBE6354"/>
    <w:rsid w:val="5EBE6A4E"/>
    <w:rsid w:val="5EBEE316"/>
    <w:rsid w:val="5ECFEC17"/>
    <w:rsid w:val="5EEEA663"/>
    <w:rsid w:val="5F11F1BA"/>
    <w:rsid w:val="5F19CE90"/>
    <w:rsid w:val="5F288A35"/>
    <w:rsid w:val="5F28F970"/>
    <w:rsid w:val="5F7B1AA4"/>
    <w:rsid w:val="5F9AB41E"/>
    <w:rsid w:val="5F9AECA6"/>
    <w:rsid w:val="5FAFD222"/>
    <w:rsid w:val="5FD6E979"/>
    <w:rsid w:val="5FD8728C"/>
    <w:rsid w:val="5FF5F06B"/>
    <w:rsid w:val="600620CA"/>
    <w:rsid w:val="6006436D"/>
    <w:rsid w:val="60179E1A"/>
    <w:rsid w:val="601CD5DB"/>
    <w:rsid w:val="60286A75"/>
    <w:rsid w:val="60389D56"/>
    <w:rsid w:val="603CB9D6"/>
    <w:rsid w:val="6045A5E6"/>
    <w:rsid w:val="6047E73A"/>
    <w:rsid w:val="604DA8CE"/>
    <w:rsid w:val="605A6623"/>
    <w:rsid w:val="605E846E"/>
    <w:rsid w:val="605ECDDF"/>
    <w:rsid w:val="608A2BEF"/>
    <w:rsid w:val="609A6B03"/>
    <w:rsid w:val="60ABAFC7"/>
    <w:rsid w:val="60C1C842"/>
    <w:rsid w:val="60C6D9C6"/>
    <w:rsid w:val="60C8E0D3"/>
    <w:rsid w:val="60CEAE07"/>
    <w:rsid w:val="60D561E1"/>
    <w:rsid w:val="60D6A6BE"/>
    <w:rsid w:val="60FA53BB"/>
    <w:rsid w:val="610118EA"/>
    <w:rsid w:val="61190D8E"/>
    <w:rsid w:val="611C1A01"/>
    <w:rsid w:val="61281542"/>
    <w:rsid w:val="612BEABD"/>
    <w:rsid w:val="6147D1C7"/>
    <w:rsid w:val="6152296C"/>
    <w:rsid w:val="61551534"/>
    <w:rsid w:val="615840AD"/>
    <w:rsid w:val="616E03A6"/>
    <w:rsid w:val="618DB5A8"/>
    <w:rsid w:val="6196B708"/>
    <w:rsid w:val="61AD208F"/>
    <w:rsid w:val="61BC8DA8"/>
    <w:rsid w:val="61D50B89"/>
    <w:rsid w:val="61E9A167"/>
    <w:rsid w:val="61EB1051"/>
    <w:rsid w:val="621158B4"/>
    <w:rsid w:val="6211EB7A"/>
    <w:rsid w:val="6216900B"/>
    <w:rsid w:val="6218DBC0"/>
    <w:rsid w:val="621C9E27"/>
    <w:rsid w:val="622283BA"/>
    <w:rsid w:val="6236B2F3"/>
    <w:rsid w:val="623C0755"/>
    <w:rsid w:val="625D028A"/>
    <w:rsid w:val="627585B9"/>
    <w:rsid w:val="628705FE"/>
    <w:rsid w:val="62A69104"/>
    <w:rsid w:val="62ADA994"/>
    <w:rsid w:val="62C329C9"/>
    <w:rsid w:val="62C52114"/>
    <w:rsid w:val="62D45E47"/>
    <w:rsid w:val="62D91BB8"/>
    <w:rsid w:val="62DE181D"/>
    <w:rsid w:val="62E30327"/>
    <w:rsid w:val="62EB8201"/>
    <w:rsid w:val="62F26CBC"/>
    <w:rsid w:val="62FACD3A"/>
    <w:rsid w:val="62FF3ECC"/>
    <w:rsid w:val="6300399C"/>
    <w:rsid w:val="6300B9DA"/>
    <w:rsid w:val="6303EC78"/>
    <w:rsid w:val="632EA8DA"/>
    <w:rsid w:val="632F3DBA"/>
    <w:rsid w:val="6335419E"/>
    <w:rsid w:val="633CF26E"/>
    <w:rsid w:val="63428459"/>
    <w:rsid w:val="634B4A10"/>
    <w:rsid w:val="6361AD92"/>
    <w:rsid w:val="6366E1C9"/>
    <w:rsid w:val="636831B2"/>
    <w:rsid w:val="6382168E"/>
    <w:rsid w:val="6383E3B0"/>
    <w:rsid w:val="638E0B77"/>
    <w:rsid w:val="63A61D69"/>
    <w:rsid w:val="63C7F0BE"/>
    <w:rsid w:val="63CA0157"/>
    <w:rsid w:val="63E57831"/>
    <w:rsid w:val="63E58493"/>
    <w:rsid w:val="63FB12C0"/>
    <w:rsid w:val="63FD130D"/>
    <w:rsid w:val="6414F031"/>
    <w:rsid w:val="6418239C"/>
    <w:rsid w:val="641C6006"/>
    <w:rsid w:val="64324A1A"/>
    <w:rsid w:val="64372E65"/>
    <w:rsid w:val="644111A1"/>
    <w:rsid w:val="64425CB8"/>
    <w:rsid w:val="64434C72"/>
    <w:rsid w:val="645BE9DF"/>
    <w:rsid w:val="647057D0"/>
    <w:rsid w:val="647D3E76"/>
    <w:rsid w:val="6486F10C"/>
    <w:rsid w:val="649CE1A9"/>
    <w:rsid w:val="649DF8F2"/>
    <w:rsid w:val="64AAF1F7"/>
    <w:rsid w:val="64AE639E"/>
    <w:rsid w:val="64B03931"/>
    <w:rsid w:val="64C54B31"/>
    <w:rsid w:val="64CF89E2"/>
    <w:rsid w:val="64D8C2CF"/>
    <w:rsid w:val="64F62A10"/>
    <w:rsid w:val="64F65A3C"/>
    <w:rsid w:val="65060B9A"/>
    <w:rsid w:val="650F1882"/>
    <w:rsid w:val="650F2387"/>
    <w:rsid w:val="65138D72"/>
    <w:rsid w:val="65244EE0"/>
    <w:rsid w:val="65298CA1"/>
    <w:rsid w:val="652A37B5"/>
    <w:rsid w:val="6548CEC4"/>
    <w:rsid w:val="655E8F8C"/>
    <w:rsid w:val="656EF50A"/>
    <w:rsid w:val="65709E9F"/>
    <w:rsid w:val="658AA70F"/>
    <w:rsid w:val="658C799C"/>
    <w:rsid w:val="65944050"/>
    <w:rsid w:val="659BBD57"/>
    <w:rsid w:val="65B7FD19"/>
    <w:rsid w:val="65DBB7F9"/>
    <w:rsid w:val="65E9954C"/>
    <w:rsid w:val="65EA7FE2"/>
    <w:rsid w:val="65F51E79"/>
    <w:rsid w:val="65FF1423"/>
    <w:rsid w:val="66014570"/>
    <w:rsid w:val="66093D3C"/>
    <w:rsid w:val="661393F2"/>
    <w:rsid w:val="66167D86"/>
    <w:rsid w:val="662592AD"/>
    <w:rsid w:val="66298CE3"/>
    <w:rsid w:val="6630C70F"/>
    <w:rsid w:val="6652C2B9"/>
    <w:rsid w:val="66594B4C"/>
    <w:rsid w:val="665E4369"/>
    <w:rsid w:val="668F1A4F"/>
    <w:rsid w:val="66A24AB7"/>
    <w:rsid w:val="66C7CECE"/>
    <w:rsid w:val="66CC0CFA"/>
    <w:rsid w:val="66D52E22"/>
    <w:rsid w:val="66E65EB5"/>
    <w:rsid w:val="66ECAF45"/>
    <w:rsid w:val="6716FBE7"/>
    <w:rsid w:val="673333D6"/>
    <w:rsid w:val="6753C09A"/>
    <w:rsid w:val="675C80A2"/>
    <w:rsid w:val="67631D0F"/>
    <w:rsid w:val="67697854"/>
    <w:rsid w:val="678BB9B6"/>
    <w:rsid w:val="67B4DF8A"/>
    <w:rsid w:val="67C55D44"/>
    <w:rsid w:val="67ED196A"/>
    <w:rsid w:val="67EDD2B1"/>
    <w:rsid w:val="67F56076"/>
    <w:rsid w:val="68037720"/>
    <w:rsid w:val="680B9FC9"/>
    <w:rsid w:val="681D7F38"/>
    <w:rsid w:val="682403CF"/>
    <w:rsid w:val="682D0C46"/>
    <w:rsid w:val="6852C730"/>
    <w:rsid w:val="68577A5F"/>
    <w:rsid w:val="68592900"/>
    <w:rsid w:val="685CEC49"/>
    <w:rsid w:val="687C0F58"/>
    <w:rsid w:val="688D78A8"/>
    <w:rsid w:val="688E6BA1"/>
    <w:rsid w:val="68913394"/>
    <w:rsid w:val="68941800"/>
    <w:rsid w:val="689D57AC"/>
    <w:rsid w:val="689DEEC0"/>
    <w:rsid w:val="68A3741B"/>
    <w:rsid w:val="68A476F1"/>
    <w:rsid w:val="68A57CE8"/>
    <w:rsid w:val="68A8F546"/>
    <w:rsid w:val="68C5B6F9"/>
    <w:rsid w:val="68F3BB53"/>
    <w:rsid w:val="69074E12"/>
    <w:rsid w:val="690817EA"/>
    <w:rsid w:val="691274A3"/>
    <w:rsid w:val="691FB4EA"/>
    <w:rsid w:val="693221DF"/>
    <w:rsid w:val="6935928D"/>
    <w:rsid w:val="6935FAA1"/>
    <w:rsid w:val="69397908"/>
    <w:rsid w:val="693FAA15"/>
    <w:rsid w:val="6941F05C"/>
    <w:rsid w:val="694FA353"/>
    <w:rsid w:val="6955109E"/>
    <w:rsid w:val="69558115"/>
    <w:rsid w:val="695587EA"/>
    <w:rsid w:val="6967A33F"/>
    <w:rsid w:val="696C7C7E"/>
    <w:rsid w:val="6983AA54"/>
    <w:rsid w:val="6989D76E"/>
    <w:rsid w:val="699C22E5"/>
    <w:rsid w:val="699F67C0"/>
    <w:rsid w:val="69A54B0D"/>
    <w:rsid w:val="69BCEEB5"/>
    <w:rsid w:val="69BDFDCB"/>
    <w:rsid w:val="69CB2D78"/>
    <w:rsid w:val="69E74520"/>
    <w:rsid w:val="69E967FA"/>
    <w:rsid w:val="69E9DA28"/>
    <w:rsid w:val="69EABDDD"/>
    <w:rsid w:val="6A1D4CC8"/>
    <w:rsid w:val="6A3C464D"/>
    <w:rsid w:val="6A44214A"/>
    <w:rsid w:val="6A4BEB5A"/>
    <w:rsid w:val="6A4ECDB6"/>
    <w:rsid w:val="6A5191B2"/>
    <w:rsid w:val="6A5A635E"/>
    <w:rsid w:val="6A688FFF"/>
    <w:rsid w:val="6A6BDC34"/>
    <w:rsid w:val="6A749A48"/>
    <w:rsid w:val="6A7988EC"/>
    <w:rsid w:val="6A83B0EF"/>
    <w:rsid w:val="6A847C9B"/>
    <w:rsid w:val="6A8A300E"/>
    <w:rsid w:val="6A9E508D"/>
    <w:rsid w:val="6AB129FF"/>
    <w:rsid w:val="6AB6CE15"/>
    <w:rsid w:val="6AD45118"/>
    <w:rsid w:val="6ADD5DDF"/>
    <w:rsid w:val="6AE38D66"/>
    <w:rsid w:val="6AEF8CB9"/>
    <w:rsid w:val="6AF11EB8"/>
    <w:rsid w:val="6B0155B6"/>
    <w:rsid w:val="6B144557"/>
    <w:rsid w:val="6B2F504A"/>
    <w:rsid w:val="6B328F77"/>
    <w:rsid w:val="6B4C29AE"/>
    <w:rsid w:val="6B5E5563"/>
    <w:rsid w:val="6B8DECC8"/>
    <w:rsid w:val="6B9702B7"/>
    <w:rsid w:val="6BB36E94"/>
    <w:rsid w:val="6BB56CC4"/>
    <w:rsid w:val="6BB9D35E"/>
    <w:rsid w:val="6BC1882F"/>
    <w:rsid w:val="6BE115E9"/>
    <w:rsid w:val="6BFB2A37"/>
    <w:rsid w:val="6C0D6F8A"/>
    <w:rsid w:val="6C132EEB"/>
    <w:rsid w:val="6C26FAD2"/>
    <w:rsid w:val="6C2884B3"/>
    <w:rsid w:val="6C29E187"/>
    <w:rsid w:val="6C45E4CC"/>
    <w:rsid w:val="6C61C132"/>
    <w:rsid w:val="6C71CCCD"/>
    <w:rsid w:val="6C726403"/>
    <w:rsid w:val="6C8AD232"/>
    <w:rsid w:val="6C8B5FD4"/>
    <w:rsid w:val="6C8F78B0"/>
    <w:rsid w:val="6CA2E541"/>
    <w:rsid w:val="6CA53B4B"/>
    <w:rsid w:val="6CA8E73B"/>
    <w:rsid w:val="6CAAC3BE"/>
    <w:rsid w:val="6CB2A36C"/>
    <w:rsid w:val="6CCAAC57"/>
    <w:rsid w:val="6CF468A5"/>
    <w:rsid w:val="6D12AB33"/>
    <w:rsid w:val="6D14C5C9"/>
    <w:rsid w:val="6D221930"/>
    <w:rsid w:val="6D23FF84"/>
    <w:rsid w:val="6D36B660"/>
    <w:rsid w:val="6D37E92A"/>
    <w:rsid w:val="6D4A5CF2"/>
    <w:rsid w:val="6D6FD991"/>
    <w:rsid w:val="6D88C0A0"/>
    <w:rsid w:val="6DA0DAD6"/>
    <w:rsid w:val="6DCAF0DA"/>
    <w:rsid w:val="6DDA0242"/>
    <w:rsid w:val="6DEB8993"/>
    <w:rsid w:val="6E1DDE7B"/>
    <w:rsid w:val="6E2516A2"/>
    <w:rsid w:val="6E352B72"/>
    <w:rsid w:val="6E84067C"/>
    <w:rsid w:val="6E876C50"/>
    <w:rsid w:val="6E931959"/>
    <w:rsid w:val="6E9DE8C0"/>
    <w:rsid w:val="6EC1FC33"/>
    <w:rsid w:val="6ECCF5B8"/>
    <w:rsid w:val="6EE2C31B"/>
    <w:rsid w:val="6F0539C4"/>
    <w:rsid w:val="6F1461E4"/>
    <w:rsid w:val="6F1A5662"/>
    <w:rsid w:val="6F1DC93E"/>
    <w:rsid w:val="6F21B121"/>
    <w:rsid w:val="6F3B2819"/>
    <w:rsid w:val="6F46CAF7"/>
    <w:rsid w:val="6F4FADCE"/>
    <w:rsid w:val="6F5B0578"/>
    <w:rsid w:val="6F634204"/>
    <w:rsid w:val="6F67D088"/>
    <w:rsid w:val="6F6F301F"/>
    <w:rsid w:val="6F783E61"/>
    <w:rsid w:val="6F7D2D5A"/>
    <w:rsid w:val="6F7FC378"/>
    <w:rsid w:val="6F977D95"/>
    <w:rsid w:val="6FABA24A"/>
    <w:rsid w:val="6FB01AB9"/>
    <w:rsid w:val="6FB84492"/>
    <w:rsid w:val="6FC33019"/>
    <w:rsid w:val="6FC72320"/>
    <w:rsid w:val="6FCFA096"/>
    <w:rsid w:val="6FE0D273"/>
    <w:rsid w:val="6FE7A0B3"/>
    <w:rsid w:val="6FEBEC28"/>
    <w:rsid w:val="6FEFF830"/>
    <w:rsid w:val="7008B3C9"/>
    <w:rsid w:val="7014D653"/>
    <w:rsid w:val="703E0EEE"/>
    <w:rsid w:val="704833E5"/>
    <w:rsid w:val="7052AE23"/>
    <w:rsid w:val="70614B38"/>
    <w:rsid w:val="7080FEC8"/>
    <w:rsid w:val="7086F5E2"/>
    <w:rsid w:val="70884CFB"/>
    <w:rsid w:val="70969DBC"/>
    <w:rsid w:val="7099F982"/>
    <w:rsid w:val="709D129C"/>
    <w:rsid w:val="70C59F92"/>
    <w:rsid w:val="70C9F3E1"/>
    <w:rsid w:val="70D9659D"/>
    <w:rsid w:val="70E6BDBF"/>
    <w:rsid w:val="710A5576"/>
    <w:rsid w:val="712C2A14"/>
    <w:rsid w:val="71441A73"/>
    <w:rsid w:val="714DDC80"/>
    <w:rsid w:val="715986A5"/>
    <w:rsid w:val="715A7297"/>
    <w:rsid w:val="716CA075"/>
    <w:rsid w:val="71754A59"/>
    <w:rsid w:val="717AB19B"/>
    <w:rsid w:val="717EB32A"/>
    <w:rsid w:val="718D76DF"/>
    <w:rsid w:val="71A02CF2"/>
    <w:rsid w:val="71C29A20"/>
    <w:rsid w:val="71CCB89A"/>
    <w:rsid w:val="71E4C1F8"/>
    <w:rsid w:val="71F72B1E"/>
    <w:rsid w:val="7208F38A"/>
    <w:rsid w:val="7210BF34"/>
    <w:rsid w:val="7222AEB7"/>
    <w:rsid w:val="7231810B"/>
    <w:rsid w:val="723C013C"/>
    <w:rsid w:val="72442574"/>
    <w:rsid w:val="724A0136"/>
    <w:rsid w:val="724DAE79"/>
    <w:rsid w:val="724EF47E"/>
    <w:rsid w:val="726EEC49"/>
    <w:rsid w:val="72B2646C"/>
    <w:rsid w:val="72C2FA37"/>
    <w:rsid w:val="72E9ACE1"/>
    <w:rsid w:val="7316A610"/>
    <w:rsid w:val="7323FA55"/>
    <w:rsid w:val="732A568F"/>
    <w:rsid w:val="73447D06"/>
    <w:rsid w:val="735533C4"/>
    <w:rsid w:val="73714F7F"/>
    <w:rsid w:val="738DDD51"/>
    <w:rsid w:val="73A5FAD5"/>
    <w:rsid w:val="73B76537"/>
    <w:rsid w:val="73D800CD"/>
    <w:rsid w:val="73DF1388"/>
    <w:rsid w:val="73ED9AE7"/>
    <w:rsid w:val="7445B361"/>
    <w:rsid w:val="7446FD5C"/>
    <w:rsid w:val="745D7ABC"/>
    <w:rsid w:val="745DF65A"/>
    <w:rsid w:val="745FFE9F"/>
    <w:rsid w:val="74657E7A"/>
    <w:rsid w:val="746EC126"/>
    <w:rsid w:val="74757429"/>
    <w:rsid w:val="7475E7E1"/>
    <w:rsid w:val="7476D291"/>
    <w:rsid w:val="74823D6C"/>
    <w:rsid w:val="7488A959"/>
    <w:rsid w:val="74B35426"/>
    <w:rsid w:val="74C67FD7"/>
    <w:rsid w:val="74C95B0F"/>
    <w:rsid w:val="74CE343D"/>
    <w:rsid w:val="74F3DA08"/>
    <w:rsid w:val="75071963"/>
    <w:rsid w:val="75104FE8"/>
    <w:rsid w:val="75278FD8"/>
    <w:rsid w:val="753103B5"/>
    <w:rsid w:val="75325159"/>
    <w:rsid w:val="7543F0F6"/>
    <w:rsid w:val="754884C2"/>
    <w:rsid w:val="7551357B"/>
    <w:rsid w:val="755399E8"/>
    <w:rsid w:val="7553F643"/>
    <w:rsid w:val="755520B5"/>
    <w:rsid w:val="7557B38A"/>
    <w:rsid w:val="75618CDE"/>
    <w:rsid w:val="7582B831"/>
    <w:rsid w:val="75877A87"/>
    <w:rsid w:val="75926D1F"/>
    <w:rsid w:val="7598A0F0"/>
    <w:rsid w:val="75A5945B"/>
    <w:rsid w:val="75A80EB8"/>
    <w:rsid w:val="75CC0015"/>
    <w:rsid w:val="75E10CB6"/>
    <w:rsid w:val="75E64871"/>
    <w:rsid w:val="75FC039C"/>
    <w:rsid w:val="76137246"/>
    <w:rsid w:val="7613EC29"/>
    <w:rsid w:val="7615C401"/>
    <w:rsid w:val="761C3F63"/>
    <w:rsid w:val="761EF766"/>
    <w:rsid w:val="76214DA3"/>
    <w:rsid w:val="763C9B8F"/>
    <w:rsid w:val="765BFCF5"/>
    <w:rsid w:val="76635D27"/>
    <w:rsid w:val="7669FE7D"/>
    <w:rsid w:val="766ECEDA"/>
    <w:rsid w:val="768EA78E"/>
    <w:rsid w:val="7693263B"/>
    <w:rsid w:val="76985EE4"/>
    <w:rsid w:val="76AF70AD"/>
    <w:rsid w:val="76D78EB7"/>
    <w:rsid w:val="76E47042"/>
    <w:rsid w:val="76E64D1C"/>
    <w:rsid w:val="76EA2E82"/>
    <w:rsid w:val="76EF1398"/>
    <w:rsid w:val="77024BCD"/>
    <w:rsid w:val="770A4617"/>
    <w:rsid w:val="7713B705"/>
    <w:rsid w:val="771A3102"/>
    <w:rsid w:val="773421FB"/>
    <w:rsid w:val="774A20AB"/>
    <w:rsid w:val="77A6522E"/>
    <w:rsid w:val="77AE000B"/>
    <w:rsid w:val="77B2EC8E"/>
    <w:rsid w:val="77B41827"/>
    <w:rsid w:val="77BB3CBB"/>
    <w:rsid w:val="77BF8D24"/>
    <w:rsid w:val="77C7F07B"/>
    <w:rsid w:val="77DE3698"/>
    <w:rsid w:val="77FF2D68"/>
    <w:rsid w:val="78042872"/>
    <w:rsid w:val="780E1007"/>
    <w:rsid w:val="780FDA49"/>
    <w:rsid w:val="7822DBCD"/>
    <w:rsid w:val="782F3D71"/>
    <w:rsid w:val="784CF484"/>
    <w:rsid w:val="784D8E95"/>
    <w:rsid w:val="785004B3"/>
    <w:rsid w:val="786268F0"/>
    <w:rsid w:val="7865C51C"/>
    <w:rsid w:val="78748FCE"/>
    <w:rsid w:val="788B4AC3"/>
    <w:rsid w:val="78955BFC"/>
    <w:rsid w:val="7898EAF2"/>
    <w:rsid w:val="789EF363"/>
    <w:rsid w:val="78A12BED"/>
    <w:rsid w:val="78A3E528"/>
    <w:rsid w:val="78BED033"/>
    <w:rsid w:val="78CAF633"/>
    <w:rsid w:val="78F28E1A"/>
    <w:rsid w:val="78F64A99"/>
    <w:rsid w:val="78FEE421"/>
    <w:rsid w:val="79233A7F"/>
    <w:rsid w:val="79312FB9"/>
    <w:rsid w:val="793AA731"/>
    <w:rsid w:val="793BEF13"/>
    <w:rsid w:val="793F4C65"/>
    <w:rsid w:val="795308CD"/>
    <w:rsid w:val="795B6CF2"/>
    <w:rsid w:val="796EA9CA"/>
    <w:rsid w:val="79B73F2D"/>
    <w:rsid w:val="79D005E2"/>
    <w:rsid w:val="79D067FB"/>
    <w:rsid w:val="79F4E8CD"/>
    <w:rsid w:val="7A1499A0"/>
    <w:rsid w:val="7A4D2790"/>
    <w:rsid w:val="7A4F1F85"/>
    <w:rsid w:val="7A50FE38"/>
    <w:rsid w:val="7A577083"/>
    <w:rsid w:val="7A66C256"/>
    <w:rsid w:val="7A7CCD60"/>
    <w:rsid w:val="7A9C9158"/>
    <w:rsid w:val="7AA96165"/>
    <w:rsid w:val="7AC3C443"/>
    <w:rsid w:val="7AC92871"/>
    <w:rsid w:val="7ACAC469"/>
    <w:rsid w:val="7AD65FCB"/>
    <w:rsid w:val="7AE5B362"/>
    <w:rsid w:val="7AF26889"/>
    <w:rsid w:val="7AFA4022"/>
    <w:rsid w:val="7B077CAF"/>
    <w:rsid w:val="7B0A2726"/>
    <w:rsid w:val="7B0C9E88"/>
    <w:rsid w:val="7B21CC95"/>
    <w:rsid w:val="7B29705D"/>
    <w:rsid w:val="7B2A276E"/>
    <w:rsid w:val="7B2AE0B1"/>
    <w:rsid w:val="7B33596C"/>
    <w:rsid w:val="7B51B914"/>
    <w:rsid w:val="7B5C5D34"/>
    <w:rsid w:val="7B64CC3D"/>
    <w:rsid w:val="7B656907"/>
    <w:rsid w:val="7B6F6416"/>
    <w:rsid w:val="7B749A79"/>
    <w:rsid w:val="7B7D4EAC"/>
    <w:rsid w:val="7BB5CE2E"/>
    <w:rsid w:val="7C2266C2"/>
    <w:rsid w:val="7C3CBD99"/>
    <w:rsid w:val="7C434E5F"/>
    <w:rsid w:val="7C62D66A"/>
    <w:rsid w:val="7C63CAFD"/>
    <w:rsid w:val="7C9DDC50"/>
    <w:rsid w:val="7CA334E2"/>
    <w:rsid w:val="7CAEA33F"/>
    <w:rsid w:val="7CB063D4"/>
    <w:rsid w:val="7CB07C66"/>
    <w:rsid w:val="7CB2E08B"/>
    <w:rsid w:val="7CDBAB89"/>
    <w:rsid w:val="7CDEF45F"/>
    <w:rsid w:val="7CE1A4B3"/>
    <w:rsid w:val="7CE5D630"/>
    <w:rsid w:val="7CE927C9"/>
    <w:rsid w:val="7CF46FEF"/>
    <w:rsid w:val="7D009B01"/>
    <w:rsid w:val="7D098F1A"/>
    <w:rsid w:val="7D28FD0F"/>
    <w:rsid w:val="7D2C02C4"/>
    <w:rsid w:val="7D2D9B28"/>
    <w:rsid w:val="7D30CD84"/>
    <w:rsid w:val="7D3DFA68"/>
    <w:rsid w:val="7D916A61"/>
    <w:rsid w:val="7DAB5DC1"/>
    <w:rsid w:val="7DB1A16F"/>
    <w:rsid w:val="7DC269DD"/>
    <w:rsid w:val="7DCB13FE"/>
    <w:rsid w:val="7DCF8569"/>
    <w:rsid w:val="7DDFF926"/>
    <w:rsid w:val="7DEB8DF4"/>
    <w:rsid w:val="7E239195"/>
    <w:rsid w:val="7E2DE358"/>
    <w:rsid w:val="7E46BCBD"/>
    <w:rsid w:val="7E4964AB"/>
    <w:rsid w:val="7E756582"/>
    <w:rsid w:val="7EABBF1B"/>
    <w:rsid w:val="7EB53029"/>
    <w:rsid w:val="7EDB6E94"/>
    <w:rsid w:val="7EDE537C"/>
    <w:rsid w:val="7EE03D21"/>
    <w:rsid w:val="7EEE3AC1"/>
    <w:rsid w:val="7F26B528"/>
    <w:rsid w:val="7F2EB209"/>
    <w:rsid w:val="7F32CB4B"/>
    <w:rsid w:val="7F3F533C"/>
    <w:rsid w:val="7F4D71D0"/>
    <w:rsid w:val="7F6E84B6"/>
    <w:rsid w:val="7F73FA33"/>
    <w:rsid w:val="7F7A0638"/>
    <w:rsid w:val="7F8BA4A2"/>
    <w:rsid w:val="7F8F9342"/>
    <w:rsid w:val="7F9608EA"/>
    <w:rsid w:val="7F972D13"/>
    <w:rsid w:val="7FAC1B87"/>
    <w:rsid w:val="7FC21D9D"/>
    <w:rsid w:val="7FC40B0C"/>
    <w:rsid w:val="7FC8FC26"/>
    <w:rsid w:val="7FC9E10D"/>
    <w:rsid w:val="7FCBA594"/>
    <w:rsid w:val="7FD0459A"/>
    <w:rsid w:val="7FD59F37"/>
    <w:rsid w:val="7FF2BE56"/>
    <w:rsid w:val="7FF3AC0F"/>
    <w:rsid w:val="7FF53D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F0D3D"/>
  <w15:chartTrackingRefBased/>
  <w15:docId w15:val="{F7C8E7F8-72E3-40A6-BA9D-D658085F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63"/>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2E654F"/>
    <w:pPr>
      <w:keepNext/>
      <w:keepLines/>
      <w:spacing w:before="240" w:line="360" w:lineRule="auto"/>
      <w:outlineLvl w:val="0"/>
    </w:pPr>
    <w:rPr>
      <w:rFonts w:eastAsiaTheme="majorEastAsia" w:cs="Arial"/>
      <w:b/>
      <w:sz w:val="40"/>
      <w:szCs w:val="5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074365"/>
    <w:pPr>
      <w:keepNext/>
      <w:keepLines/>
      <w:spacing w:before="480" w:after="240"/>
      <w:outlineLvl w:val="2"/>
    </w:pPr>
    <w:rPr>
      <w:rFonts w:eastAsiaTheme="majorEastAsia" w:cs="Arial"/>
      <w:b/>
      <w:sz w:val="32"/>
      <w:szCs w:val="32"/>
    </w:rPr>
  </w:style>
  <w:style w:type="paragraph" w:styleId="Heading4">
    <w:name w:val="heading 4"/>
    <w:basedOn w:val="Normal"/>
    <w:next w:val="Normal"/>
    <w:link w:val="Heading4Char"/>
    <w:uiPriority w:val="9"/>
    <w:unhideWhenUsed/>
    <w:qFormat/>
    <w:rsid w:val="00832BEA"/>
    <w:pPr>
      <w:spacing w:before="240" w:after="240"/>
      <w:outlineLvl w:val="3"/>
    </w:pPr>
    <w:rPr>
      <w:rFonts w:eastAsia="Calibri" w:cs="Arial"/>
      <w:b/>
      <w:bCs/>
    </w:rPr>
  </w:style>
  <w:style w:type="paragraph" w:styleId="Heading5">
    <w:name w:val="heading 5"/>
    <w:basedOn w:val="Normal"/>
    <w:next w:val="Normal"/>
    <w:link w:val="Heading5Char"/>
    <w:uiPriority w:val="9"/>
    <w:unhideWhenUsed/>
    <w:qFormat/>
    <w:rsid w:val="00C140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Arial" w:eastAsiaTheme="majorEastAsia" w:hAnsi="Arial" w:cs="Arial"/>
      <w:b/>
      <w:sz w:val="40"/>
      <w:szCs w:val="52"/>
    </w:rPr>
  </w:style>
  <w:style w:type="character" w:customStyle="1" w:styleId="Heading3Char">
    <w:name w:val="Heading 3 Char"/>
    <w:basedOn w:val="DefaultParagraphFont"/>
    <w:link w:val="Heading3"/>
    <w:uiPriority w:val="9"/>
    <w:rsid w:val="00C14098"/>
    <w:rPr>
      <w:rFonts w:ascii="Arial" w:eastAsiaTheme="majorEastAsia" w:hAnsi="Arial" w:cs="Arial"/>
      <w:b/>
      <w:sz w:val="32"/>
      <w:szCs w:val="32"/>
    </w:rPr>
  </w:style>
  <w:style w:type="character" w:customStyle="1" w:styleId="Heading4Char">
    <w:name w:val="Heading 4 Char"/>
    <w:basedOn w:val="DefaultParagraphFont"/>
    <w:link w:val="Heading4"/>
    <w:uiPriority w:val="9"/>
    <w:rsid w:val="00C14098"/>
    <w:rPr>
      <w:rFonts w:ascii="Arial" w:eastAsia="Calibri" w:hAnsi="Arial" w:cs="Arial"/>
      <w:b/>
      <w:bCs/>
      <w:sz w:val="24"/>
      <w:szCs w:val="24"/>
    </w:rPr>
  </w:style>
  <w:style w:type="character" w:customStyle="1" w:styleId="Heading5Char">
    <w:name w:val="Heading 5 Char"/>
    <w:basedOn w:val="DefaultParagraphFont"/>
    <w:link w:val="Heading5"/>
    <w:uiPriority w:val="9"/>
    <w:rsid w:val="00C14098"/>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6194D"/>
    <w:pPr>
      <w:ind w:left="720"/>
      <w:contextualSpacing/>
    </w:pPr>
  </w:style>
  <w:style w:type="character" w:customStyle="1" w:styleId="normaltextrun">
    <w:name w:val="normaltextrun"/>
    <w:basedOn w:val="DefaultParagraphFont"/>
    <w:rsid w:val="00975F13"/>
  </w:style>
  <w:style w:type="paragraph" w:customStyle="1" w:styleId="paragraph">
    <w:name w:val="paragraph"/>
    <w:basedOn w:val="Normal"/>
    <w:rsid w:val="001B4538"/>
    <w:pPr>
      <w:spacing w:before="100" w:beforeAutospacing="1" w:after="100" w:afterAutospacing="1"/>
    </w:pPr>
    <w:rPr>
      <w:rFonts w:ascii="Times New Roman" w:hAnsi="Times New Roman"/>
    </w:rPr>
  </w:style>
  <w:style w:type="character" w:customStyle="1" w:styleId="eop">
    <w:name w:val="eop"/>
    <w:basedOn w:val="DefaultParagraphFont"/>
    <w:rsid w:val="001B4538"/>
  </w:style>
  <w:style w:type="character" w:styleId="CommentReference">
    <w:name w:val="annotation reference"/>
    <w:basedOn w:val="DefaultParagraphFont"/>
    <w:uiPriority w:val="99"/>
    <w:semiHidden/>
    <w:unhideWhenUsed/>
    <w:rsid w:val="00876B37"/>
    <w:rPr>
      <w:sz w:val="16"/>
      <w:szCs w:val="16"/>
    </w:rPr>
  </w:style>
  <w:style w:type="paragraph" w:styleId="CommentText">
    <w:name w:val="annotation text"/>
    <w:basedOn w:val="Normal"/>
    <w:link w:val="CommentTextChar"/>
    <w:uiPriority w:val="99"/>
    <w:unhideWhenUsed/>
    <w:rsid w:val="00876B37"/>
    <w:rPr>
      <w:sz w:val="20"/>
      <w:szCs w:val="20"/>
    </w:rPr>
  </w:style>
  <w:style w:type="character" w:customStyle="1" w:styleId="CommentTextChar">
    <w:name w:val="Comment Text Char"/>
    <w:basedOn w:val="DefaultParagraphFont"/>
    <w:link w:val="CommentText"/>
    <w:uiPriority w:val="99"/>
    <w:rsid w:val="00876B3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76B37"/>
    <w:rPr>
      <w:b/>
      <w:bCs/>
    </w:rPr>
  </w:style>
  <w:style w:type="character" w:customStyle="1" w:styleId="CommentSubjectChar">
    <w:name w:val="Comment Subject Char"/>
    <w:basedOn w:val="CommentTextChar"/>
    <w:link w:val="CommentSubject"/>
    <w:uiPriority w:val="99"/>
    <w:semiHidden/>
    <w:rsid w:val="00876B37"/>
    <w:rPr>
      <w:rFonts w:ascii="Arial" w:eastAsia="Times New Roman" w:hAnsi="Arial" w:cs="Times New Roman"/>
      <w:b/>
      <w:bCs/>
      <w:sz w:val="20"/>
      <w:szCs w:val="20"/>
    </w:rPr>
  </w:style>
  <w:style w:type="table" w:styleId="TableGrid">
    <w:name w:val="Table Grid"/>
    <w:basedOn w:val="TableNormal"/>
    <w:uiPriority w:val="39"/>
    <w:rsid w:val="00A5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92D98"/>
    <w:rPr>
      <w:color w:val="605E5C"/>
      <w:shd w:val="clear" w:color="auto" w:fill="E1DFDD"/>
    </w:rPr>
  </w:style>
  <w:style w:type="character" w:styleId="Mention">
    <w:name w:val="Mention"/>
    <w:basedOn w:val="DefaultParagraphFont"/>
    <w:uiPriority w:val="99"/>
    <w:unhideWhenUsed/>
    <w:rsid w:val="00892D98"/>
    <w:rPr>
      <w:color w:val="2B579A"/>
      <w:shd w:val="clear" w:color="auto" w:fill="E1DFDD"/>
    </w:rPr>
  </w:style>
  <w:style w:type="paragraph" w:styleId="Header">
    <w:name w:val="header"/>
    <w:basedOn w:val="Normal"/>
    <w:link w:val="HeaderChar"/>
    <w:uiPriority w:val="99"/>
    <w:unhideWhenUsed/>
    <w:rsid w:val="00347205"/>
    <w:pPr>
      <w:tabs>
        <w:tab w:val="center" w:pos="4680"/>
        <w:tab w:val="right" w:pos="9360"/>
      </w:tabs>
    </w:pPr>
  </w:style>
  <w:style w:type="character" w:customStyle="1" w:styleId="HeaderChar">
    <w:name w:val="Header Char"/>
    <w:basedOn w:val="DefaultParagraphFont"/>
    <w:link w:val="Header"/>
    <w:uiPriority w:val="99"/>
    <w:rsid w:val="00347205"/>
    <w:rPr>
      <w:rFonts w:ascii="Arial" w:eastAsia="Times New Roman" w:hAnsi="Arial" w:cs="Times New Roman"/>
      <w:sz w:val="24"/>
      <w:szCs w:val="24"/>
    </w:rPr>
  </w:style>
  <w:style w:type="paragraph" w:styleId="Footer">
    <w:name w:val="footer"/>
    <w:basedOn w:val="Normal"/>
    <w:link w:val="FooterChar"/>
    <w:uiPriority w:val="99"/>
    <w:unhideWhenUsed/>
    <w:rsid w:val="00347205"/>
    <w:pPr>
      <w:tabs>
        <w:tab w:val="center" w:pos="4680"/>
        <w:tab w:val="right" w:pos="9360"/>
      </w:tabs>
    </w:pPr>
  </w:style>
  <w:style w:type="character" w:customStyle="1" w:styleId="FooterChar">
    <w:name w:val="Footer Char"/>
    <w:basedOn w:val="DefaultParagraphFont"/>
    <w:link w:val="Footer"/>
    <w:uiPriority w:val="99"/>
    <w:rsid w:val="00347205"/>
    <w:rPr>
      <w:rFonts w:ascii="Arial" w:eastAsia="Times New Roman" w:hAnsi="Arial" w:cs="Times New Roman"/>
      <w:sz w:val="24"/>
      <w:szCs w:val="24"/>
    </w:rPr>
  </w:style>
  <w:style w:type="paragraph" w:styleId="Revision">
    <w:name w:val="Revision"/>
    <w:hidden/>
    <w:uiPriority w:val="99"/>
    <w:semiHidden/>
    <w:rsid w:val="0090137A"/>
    <w:pPr>
      <w:spacing w:after="0" w:line="240" w:lineRule="auto"/>
    </w:pPr>
    <w:rPr>
      <w:rFonts w:ascii="Arial" w:eastAsia="Times New Roman" w:hAnsi="Arial" w:cs="Times New Roman"/>
      <w:sz w:val="24"/>
      <w:szCs w:val="24"/>
    </w:rPr>
  </w:style>
  <w:style w:type="character" w:customStyle="1" w:styleId="cf01">
    <w:name w:val="cf01"/>
    <w:basedOn w:val="DefaultParagraphFont"/>
    <w:rsid w:val="0090137A"/>
    <w:rPr>
      <w:rFonts w:ascii="Segoe UI" w:hAnsi="Segoe UI" w:cs="Segoe UI" w:hint="default"/>
      <w:sz w:val="18"/>
      <w:szCs w:val="18"/>
    </w:rPr>
  </w:style>
  <w:style w:type="character" w:styleId="Hyperlink">
    <w:name w:val="Hyperlink"/>
    <w:basedOn w:val="DefaultParagraphFont"/>
    <w:uiPriority w:val="99"/>
    <w:unhideWhenUsed/>
    <w:rsid w:val="007C1178"/>
    <w:rPr>
      <w:color w:val="0000FF" w:themeColor="hyperlink"/>
      <w:u w:val="single"/>
    </w:rPr>
  </w:style>
  <w:style w:type="paragraph" w:styleId="NormalWeb">
    <w:name w:val="Normal (Web)"/>
    <w:basedOn w:val="Normal"/>
    <w:uiPriority w:val="99"/>
    <w:semiHidden/>
    <w:unhideWhenUsed/>
    <w:rsid w:val="00AC4DA0"/>
    <w:pPr>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5821C0"/>
    <w:rPr>
      <w:color w:val="954F72" w:themeColor="followedHyperlink"/>
      <w:u w:val="single"/>
    </w:rPr>
  </w:style>
  <w:style w:type="table" w:styleId="GridTable6Colorful">
    <w:name w:val="Grid Table 6 Colorful"/>
    <w:basedOn w:val="TableNormal"/>
    <w:uiPriority w:val="51"/>
    <w:rsid w:val="00BA14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8822A0"/>
    <w:rPr>
      <w:sz w:val="20"/>
      <w:szCs w:val="20"/>
    </w:rPr>
  </w:style>
  <w:style w:type="character" w:customStyle="1" w:styleId="FootnoteTextChar">
    <w:name w:val="Footnote Text Char"/>
    <w:basedOn w:val="DefaultParagraphFont"/>
    <w:link w:val="FootnoteText"/>
    <w:uiPriority w:val="99"/>
    <w:semiHidden/>
    <w:rsid w:val="008822A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822A0"/>
    <w:rPr>
      <w:vertAlign w:val="superscript"/>
    </w:rPr>
  </w:style>
  <w:style w:type="paragraph" w:styleId="MessageHeader">
    <w:name w:val="Message Header"/>
    <w:basedOn w:val="Normal"/>
    <w:link w:val="MessageHeaderChar"/>
    <w:uiPriority w:val="99"/>
    <w:unhideWhenUsed/>
    <w:rsid w:val="005E7463"/>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5E7463"/>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7435">
      <w:bodyDiv w:val="1"/>
      <w:marLeft w:val="0"/>
      <w:marRight w:val="0"/>
      <w:marTop w:val="0"/>
      <w:marBottom w:val="0"/>
      <w:divBdr>
        <w:top w:val="none" w:sz="0" w:space="0" w:color="auto"/>
        <w:left w:val="none" w:sz="0" w:space="0" w:color="auto"/>
        <w:bottom w:val="none" w:sz="0" w:space="0" w:color="auto"/>
        <w:right w:val="none" w:sz="0" w:space="0" w:color="auto"/>
      </w:divBdr>
    </w:div>
    <w:div w:id="612906674">
      <w:bodyDiv w:val="1"/>
      <w:marLeft w:val="0"/>
      <w:marRight w:val="0"/>
      <w:marTop w:val="0"/>
      <w:marBottom w:val="0"/>
      <w:divBdr>
        <w:top w:val="none" w:sz="0" w:space="0" w:color="auto"/>
        <w:left w:val="none" w:sz="0" w:space="0" w:color="auto"/>
        <w:bottom w:val="none" w:sz="0" w:space="0" w:color="auto"/>
        <w:right w:val="none" w:sz="0" w:space="0" w:color="auto"/>
      </w:divBdr>
      <w:divsChild>
        <w:div w:id="1484736216">
          <w:marLeft w:val="0"/>
          <w:marRight w:val="0"/>
          <w:marTop w:val="0"/>
          <w:marBottom w:val="0"/>
          <w:divBdr>
            <w:top w:val="none" w:sz="0" w:space="0" w:color="auto"/>
            <w:left w:val="none" w:sz="0" w:space="0" w:color="auto"/>
            <w:bottom w:val="none" w:sz="0" w:space="0" w:color="auto"/>
            <w:right w:val="none" w:sz="0" w:space="0" w:color="auto"/>
          </w:divBdr>
        </w:div>
        <w:div w:id="1767648563">
          <w:marLeft w:val="0"/>
          <w:marRight w:val="0"/>
          <w:marTop w:val="0"/>
          <w:marBottom w:val="0"/>
          <w:divBdr>
            <w:top w:val="none" w:sz="0" w:space="0" w:color="auto"/>
            <w:left w:val="none" w:sz="0" w:space="0" w:color="auto"/>
            <w:bottom w:val="none" w:sz="0" w:space="0" w:color="auto"/>
            <w:right w:val="none" w:sz="0" w:space="0" w:color="auto"/>
          </w:divBdr>
        </w:div>
        <w:div w:id="2133087834">
          <w:marLeft w:val="0"/>
          <w:marRight w:val="0"/>
          <w:marTop w:val="0"/>
          <w:marBottom w:val="0"/>
          <w:divBdr>
            <w:top w:val="none" w:sz="0" w:space="0" w:color="auto"/>
            <w:left w:val="none" w:sz="0" w:space="0" w:color="auto"/>
            <w:bottom w:val="none" w:sz="0" w:space="0" w:color="auto"/>
            <w:right w:val="none" w:sz="0" w:space="0" w:color="auto"/>
          </w:divBdr>
        </w:div>
      </w:divsChild>
    </w:div>
    <w:div w:id="797450563">
      <w:bodyDiv w:val="1"/>
      <w:marLeft w:val="0"/>
      <w:marRight w:val="0"/>
      <w:marTop w:val="0"/>
      <w:marBottom w:val="0"/>
      <w:divBdr>
        <w:top w:val="none" w:sz="0" w:space="0" w:color="auto"/>
        <w:left w:val="none" w:sz="0" w:space="0" w:color="auto"/>
        <w:bottom w:val="none" w:sz="0" w:space="0" w:color="auto"/>
        <w:right w:val="none" w:sz="0" w:space="0" w:color="auto"/>
      </w:divBdr>
      <w:divsChild>
        <w:div w:id="35007568">
          <w:marLeft w:val="0"/>
          <w:marRight w:val="0"/>
          <w:marTop w:val="0"/>
          <w:marBottom w:val="0"/>
          <w:divBdr>
            <w:top w:val="none" w:sz="0" w:space="0" w:color="auto"/>
            <w:left w:val="none" w:sz="0" w:space="0" w:color="auto"/>
            <w:bottom w:val="none" w:sz="0" w:space="0" w:color="auto"/>
            <w:right w:val="none" w:sz="0" w:space="0" w:color="auto"/>
          </w:divBdr>
        </w:div>
        <w:div w:id="281612156">
          <w:marLeft w:val="0"/>
          <w:marRight w:val="0"/>
          <w:marTop w:val="0"/>
          <w:marBottom w:val="0"/>
          <w:divBdr>
            <w:top w:val="none" w:sz="0" w:space="0" w:color="auto"/>
            <w:left w:val="none" w:sz="0" w:space="0" w:color="auto"/>
            <w:bottom w:val="none" w:sz="0" w:space="0" w:color="auto"/>
            <w:right w:val="none" w:sz="0" w:space="0" w:color="auto"/>
          </w:divBdr>
        </w:div>
        <w:div w:id="593438307">
          <w:marLeft w:val="0"/>
          <w:marRight w:val="0"/>
          <w:marTop w:val="0"/>
          <w:marBottom w:val="0"/>
          <w:divBdr>
            <w:top w:val="none" w:sz="0" w:space="0" w:color="auto"/>
            <w:left w:val="none" w:sz="0" w:space="0" w:color="auto"/>
            <w:bottom w:val="none" w:sz="0" w:space="0" w:color="auto"/>
            <w:right w:val="none" w:sz="0" w:space="0" w:color="auto"/>
          </w:divBdr>
        </w:div>
      </w:divsChild>
    </w:div>
    <w:div w:id="809250147">
      <w:bodyDiv w:val="1"/>
      <w:marLeft w:val="0"/>
      <w:marRight w:val="0"/>
      <w:marTop w:val="0"/>
      <w:marBottom w:val="0"/>
      <w:divBdr>
        <w:top w:val="none" w:sz="0" w:space="0" w:color="auto"/>
        <w:left w:val="none" w:sz="0" w:space="0" w:color="auto"/>
        <w:bottom w:val="none" w:sz="0" w:space="0" w:color="auto"/>
        <w:right w:val="none" w:sz="0" w:space="0" w:color="auto"/>
      </w:divBdr>
    </w:div>
    <w:div w:id="1479611377">
      <w:bodyDiv w:val="1"/>
      <w:marLeft w:val="0"/>
      <w:marRight w:val="0"/>
      <w:marTop w:val="0"/>
      <w:marBottom w:val="0"/>
      <w:divBdr>
        <w:top w:val="none" w:sz="0" w:space="0" w:color="auto"/>
        <w:left w:val="none" w:sz="0" w:space="0" w:color="auto"/>
        <w:bottom w:val="none" w:sz="0" w:space="0" w:color="auto"/>
        <w:right w:val="none" w:sz="0" w:space="0" w:color="auto"/>
      </w:divBdr>
      <w:divsChild>
        <w:div w:id="719403353">
          <w:marLeft w:val="0"/>
          <w:marRight w:val="0"/>
          <w:marTop w:val="0"/>
          <w:marBottom w:val="0"/>
          <w:divBdr>
            <w:top w:val="none" w:sz="0" w:space="0" w:color="auto"/>
            <w:left w:val="none" w:sz="0" w:space="0" w:color="auto"/>
            <w:bottom w:val="none" w:sz="0" w:space="0" w:color="auto"/>
            <w:right w:val="none" w:sz="0" w:space="0" w:color="auto"/>
          </w:divBdr>
          <w:divsChild>
            <w:div w:id="920067501">
              <w:marLeft w:val="0"/>
              <w:marRight w:val="0"/>
              <w:marTop w:val="0"/>
              <w:marBottom w:val="0"/>
              <w:divBdr>
                <w:top w:val="none" w:sz="0" w:space="0" w:color="auto"/>
                <w:left w:val="none" w:sz="0" w:space="0" w:color="auto"/>
                <w:bottom w:val="none" w:sz="0" w:space="0" w:color="auto"/>
                <w:right w:val="none" w:sz="0" w:space="0" w:color="auto"/>
              </w:divBdr>
            </w:div>
          </w:divsChild>
        </w:div>
        <w:div w:id="873274124">
          <w:marLeft w:val="0"/>
          <w:marRight w:val="0"/>
          <w:marTop w:val="0"/>
          <w:marBottom w:val="0"/>
          <w:divBdr>
            <w:top w:val="none" w:sz="0" w:space="0" w:color="auto"/>
            <w:left w:val="none" w:sz="0" w:space="0" w:color="auto"/>
            <w:bottom w:val="none" w:sz="0" w:space="0" w:color="auto"/>
            <w:right w:val="none" w:sz="0" w:space="0" w:color="auto"/>
          </w:divBdr>
          <w:divsChild>
            <w:div w:id="6257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2223">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22/documents/nov22item12rev.docx" TargetMode="External"/><Relationship Id="rId18" Type="http://schemas.openxmlformats.org/officeDocument/2006/relationships/hyperlink" Target="https://caaspp-elpac.ets.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de.ca.gov/be/ag/ag/yr22/documents/sep22item04a4rev.pdf" TargetMode="External"/><Relationship Id="rId17" Type="http://schemas.openxmlformats.org/officeDocument/2006/relationships/hyperlink" Target="https://www.cde.ca.gov/be/ag/ag/yr21/documents/sep21item02.docx" TargetMode="External"/><Relationship Id="rId2" Type="http://schemas.openxmlformats.org/officeDocument/2006/relationships/customXml" Target="../customXml/item2.xml"/><Relationship Id="rId16" Type="http://schemas.openxmlformats.org/officeDocument/2006/relationships/hyperlink" Target="https://www.cde.ca.gov/be/ag/ag/yr20/documents/nov20item04.docx" TargetMode="External"/><Relationship Id="rId20" Type="http://schemas.openxmlformats.org/officeDocument/2006/relationships/hyperlink" Target="https://elpac.startingsmart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ag/ag/yr19/agenda201909.asp" TargetMode="External"/><Relationship Id="rId5" Type="http://schemas.openxmlformats.org/officeDocument/2006/relationships/numbering" Target="numbering.xml"/><Relationship Id="rId15" Type="http://schemas.openxmlformats.org/officeDocument/2006/relationships/hyperlink" Target="https://www.elpac.org/test-administration/reporting/sample-student-score-repor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a.startingsmarte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aspp.org/administration/reporting/student-score-repor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updated hyperlink">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fa343b666238b0856af313b226b43208">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9a58c1f7c58f005b60310e52beb88771"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4068F-38E8-4FBE-BAA0-41BAF3839C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598B08-621D-455D-A9B7-857D1CFC971E}">
  <ds:schemaRefs>
    <ds:schemaRef ds:uri="http://schemas.openxmlformats.org/officeDocument/2006/bibliography"/>
  </ds:schemaRefs>
</ds:datastoreItem>
</file>

<file path=customXml/itemProps3.xml><?xml version="1.0" encoding="utf-8"?>
<ds:datastoreItem xmlns:ds="http://schemas.openxmlformats.org/officeDocument/2006/customXml" ds:itemID="{EED663EC-CA12-486E-8035-18B11D4C98ED}">
  <ds:schemaRefs>
    <ds:schemaRef ds:uri="http://schemas.microsoft.com/sharepoint/v3/contenttype/forms"/>
  </ds:schemaRefs>
</ds:datastoreItem>
</file>

<file path=customXml/itemProps4.xml><?xml version="1.0" encoding="utf-8"?>
<ds:datastoreItem xmlns:ds="http://schemas.openxmlformats.org/officeDocument/2006/customXml" ds:itemID="{B7FE0EF7-4842-4AA0-A464-70CEB237F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3542</Words>
  <Characters>20195</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June 2023 Memo IMAB ADAD Item 01 - Information Memorandum (CA State Board of Education)</vt:lpstr>
    </vt:vector>
  </TitlesOfParts>
  <Company>California State Board of Education</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Memo IMAB ADAD Item 01 - Information Memorandum (CA State Board of Education)</dc:title>
  <dc:subject>California Assessment of Student Performance and Progress and English Language Proficiency Assessments for California Student Score Reports Redesign and Development.</dc:subject>
  <dc:creator/>
  <cp:keywords/>
  <dc:description/>
  <cp:lastPrinted>2023-05-30T19:38:00Z</cp:lastPrinted>
  <dcterms:created xsi:type="dcterms:W3CDTF">2023-06-16T05:31:00Z</dcterms:created>
  <dcterms:modified xsi:type="dcterms:W3CDTF">2023-06-16T17:32:00Z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4ae025c8ec5ec2ae18d95519039c2e38dfabeb4195ae938474bf68e255e7ed02</vt:lpwstr>
  </property>
</Properties>
</file>