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FB05" w14:textId="77777777" w:rsidR="00760E82" w:rsidRPr="00D10954" w:rsidRDefault="00C30FB3" w:rsidP="00607835">
      <w:pPr>
        <w:tabs>
          <w:tab w:val="left" w:pos="5760"/>
        </w:tabs>
        <w:ind w:right="90"/>
        <w:rPr>
          <w:rFonts w:cs="Arial"/>
        </w:rPr>
      </w:pPr>
      <w:r w:rsidRPr="00D10954">
        <w:rPr>
          <w:rFonts w:cs="Arial"/>
        </w:rPr>
        <w:t>California Department of Education</w:t>
      </w:r>
      <w:r w:rsidR="00844EBF" w:rsidRPr="00D10954">
        <w:rPr>
          <w:rFonts w:cs="Arial"/>
        </w:rPr>
        <w:br/>
      </w:r>
      <w:r w:rsidRPr="00D10954">
        <w:rPr>
          <w:rFonts w:cs="Arial"/>
        </w:rPr>
        <w:t>Executive Office</w:t>
      </w:r>
      <w:r w:rsidR="00844EBF" w:rsidRPr="00D10954">
        <w:rPr>
          <w:rFonts w:cs="Arial"/>
        </w:rPr>
        <w:br/>
      </w:r>
      <w:r w:rsidRPr="00D10954">
        <w:rPr>
          <w:rFonts w:cs="Arial"/>
        </w:rPr>
        <w:t>SBE-002 (REV. 11/2017)</w:t>
      </w:r>
    </w:p>
    <w:p w14:paraId="29F7D086" w14:textId="0C372A1F" w:rsidR="00EF7363" w:rsidRPr="00D10954" w:rsidRDefault="00C30FB3" w:rsidP="005D06A8">
      <w:pPr>
        <w:tabs>
          <w:tab w:val="left" w:pos="5760"/>
        </w:tabs>
        <w:ind w:right="90"/>
        <w:jc w:val="right"/>
        <w:rPr>
          <w:rFonts w:cs="Arial"/>
        </w:rPr>
        <w:sectPr w:rsidR="00EF7363" w:rsidRPr="00D10954" w:rsidSect="0071775B">
          <w:headerReference w:type="default" r:id="rId11"/>
          <w:pgSz w:w="12240" w:h="15840"/>
          <w:pgMar w:top="720" w:right="1440" w:bottom="1440" w:left="1440" w:header="720" w:footer="720" w:gutter="0"/>
          <w:pgNumType w:start="1"/>
          <w:cols w:num="2" w:space="0" w:equalWidth="0">
            <w:col w:w="5328" w:space="0"/>
            <w:col w:w="4032"/>
          </w:cols>
          <w:titlePg/>
          <w:docGrid w:linePitch="360"/>
        </w:sectPr>
      </w:pPr>
      <w:r w:rsidRPr="00D10954">
        <w:rPr>
          <w:rFonts w:cs="Arial"/>
        </w:rPr>
        <w:t>memo-itb-amard-</w:t>
      </w:r>
      <w:r w:rsidR="37E38E0E" w:rsidRPr="00D10954">
        <w:rPr>
          <w:rFonts w:cs="Arial"/>
        </w:rPr>
        <w:t>june</w:t>
      </w:r>
      <w:r w:rsidRPr="00D10954">
        <w:rPr>
          <w:rFonts w:cs="Arial"/>
        </w:rPr>
        <w:t>23item01</w:t>
      </w:r>
    </w:p>
    <w:p w14:paraId="23077920" w14:textId="77777777" w:rsidR="00760E82" w:rsidRPr="00D10954" w:rsidRDefault="00C30FB3">
      <w:pPr>
        <w:pStyle w:val="Heading1"/>
        <w:spacing w:line="360" w:lineRule="auto"/>
        <w:rPr>
          <w:rFonts w:cs="Arial"/>
          <w:b w:val="0"/>
          <w:szCs w:val="52"/>
        </w:rPr>
      </w:pPr>
      <w:r w:rsidRPr="00D10954">
        <w:rPr>
          <w:rFonts w:cs="Arial"/>
          <w:szCs w:val="52"/>
        </w:rPr>
        <w:t>MEMORANDUM</w:t>
      </w:r>
    </w:p>
    <w:p w14:paraId="70BE8F4C" w14:textId="645B0672" w:rsidR="00760E82" w:rsidRPr="00D10954" w:rsidRDefault="00C30FB3">
      <w:pPr>
        <w:pStyle w:val="MessageHeader"/>
        <w:rPr>
          <w:rFonts w:cs="Arial"/>
        </w:rPr>
      </w:pPr>
      <w:r w:rsidRPr="00D10954">
        <w:rPr>
          <w:rFonts w:cs="Arial"/>
          <w:b/>
          <w:bCs/>
        </w:rPr>
        <w:t>DATE:</w:t>
      </w:r>
      <w:r w:rsidRPr="00D10954">
        <w:tab/>
      </w:r>
      <w:r w:rsidR="07A26110" w:rsidRPr="00D10954">
        <w:rPr>
          <w:rFonts w:cs="Arial"/>
        </w:rPr>
        <w:t xml:space="preserve">June </w:t>
      </w:r>
      <w:r w:rsidR="008D4717" w:rsidRPr="00D10954">
        <w:rPr>
          <w:rFonts w:cs="Arial"/>
        </w:rPr>
        <w:t>16</w:t>
      </w:r>
      <w:r w:rsidRPr="00D10954">
        <w:rPr>
          <w:rFonts w:cs="Arial"/>
        </w:rPr>
        <w:t>, 2023</w:t>
      </w:r>
    </w:p>
    <w:p w14:paraId="598C4C2C" w14:textId="77777777" w:rsidR="00760E82" w:rsidRPr="00D10954" w:rsidRDefault="00C30FB3">
      <w:pPr>
        <w:pStyle w:val="MessageHeader"/>
        <w:rPr>
          <w:rFonts w:cs="Arial"/>
        </w:rPr>
      </w:pPr>
      <w:r w:rsidRPr="00D10954">
        <w:rPr>
          <w:rFonts w:cs="Arial"/>
          <w:b/>
        </w:rPr>
        <w:t>TO:</w:t>
      </w:r>
      <w:r w:rsidRPr="00D10954">
        <w:rPr>
          <w:rFonts w:cs="Arial"/>
          <w:b/>
        </w:rPr>
        <w:tab/>
      </w:r>
      <w:r w:rsidRPr="00D10954">
        <w:rPr>
          <w:rFonts w:cs="Arial"/>
        </w:rPr>
        <w:t>MEMBERS, State Board of Education</w:t>
      </w:r>
    </w:p>
    <w:p w14:paraId="76530DAC" w14:textId="77777777" w:rsidR="00760E82" w:rsidRPr="00D10954" w:rsidRDefault="00057A96">
      <w:pPr>
        <w:pStyle w:val="MessageHeader"/>
        <w:rPr>
          <w:rFonts w:cs="Arial"/>
        </w:rPr>
      </w:pPr>
      <w:r w:rsidRPr="00D10954">
        <w:rPr>
          <w:rFonts w:cs="Arial"/>
          <w:b/>
        </w:rPr>
        <w:t>FROM:</w:t>
      </w:r>
      <w:r w:rsidR="00C61F78" w:rsidRPr="00D10954">
        <w:rPr>
          <w:rFonts w:cs="Arial"/>
        </w:rPr>
        <w:tab/>
      </w:r>
      <w:r w:rsidR="00D368A9" w:rsidRPr="00D10954">
        <w:rPr>
          <w:rFonts w:cs="Arial"/>
        </w:rPr>
        <w:t>TONY THURMOND</w:t>
      </w:r>
      <w:r w:rsidR="00C30FB3" w:rsidRPr="00D10954">
        <w:rPr>
          <w:rFonts w:cs="Arial"/>
        </w:rPr>
        <w:t>, State Superintendent of Public Instruction</w:t>
      </w:r>
    </w:p>
    <w:p w14:paraId="397A209B" w14:textId="3A98A4AB" w:rsidR="00C30FB3" w:rsidRPr="00D10954" w:rsidRDefault="00C30FB3" w:rsidP="228CF246">
      <w:pPr>
        <w:pStyle w:val="MessageHeader"/>
      </w:pPr>
      <w:r w:rsidRPr="00D10954">
        <w:rPr>
          <w:rFonts w:cs="Arial"/>
          <w:b/>
          <w:bCs/>
        </w:rPr>
        <w:t>SUBJECT:</w:t>
      </w:r>
      <w:r w:rsidRPr="00D10954">
        <w:tab/>
      </w:r>
      <w:r w:rsidR="07076F76" w:rsidRPr="00D10954">
        <w:t xml:space="preserve">Review of Methodology for Establishing Cut Points for Status and Change on the California School Dashboard and Establishing a Performance Level Color Scheme for the </w:t>
      </w:r>
      <w:r w:rsidR="311F4F66" w:rsidRPr="00D10954">
        <w:t>Five-by-Five</w:t>
      </w:r>
      <w:r w:rsidR="07076F76" w:rsidRPr="00D10954">
        <w:t xml:space="preserve"> Grid</w:t>
      </w:r>
      <w:r w:rsidR="00AE0812" w:rsidRPr="00D10954">
        <w:t>.</w:t>
      </w:r>
    </w:p>
    <w:p w14:paraId="7AC0906E" w14:textId="1CA5AD90" w:rsidR="00C30FB3" w:rsidRPr="00D10954" w:rsidRDefault="00C30FB3" w:rsidP="00CE37D2">
      <w:pPr>
        <w:pStyle w:val="paragraph"/>
        <w:spacing w:before="240" w:beforeAutospacing="0" w:after="240" w:afterAutospacing="0"/>
        <w:rPr>
          <w:rFonts w:ascii="Arial" w:hAnsi="Arial" w:cs="Arial"/>
        </w:rPr>
      </w:pPr>
      <w:r w:rsidRPr="00D10954">
        <w:rPr>
          <w:rFonts w:ascii="Arial" w:hAnsi="Arial" w:cs="Arial"/>
        </w:rPr>
        <w:t>This memorandum provides a</w:t>
      </w:r>
      <w:r w:rsidR="56957C99" w:rsidRPr="00D10954">
        <w:rPr>
          <w:rFonts w:ascii="Arial" w:hAnsi="Arial" w:cs="Arial"/>
        </w:rPr>
        <w:t xml:space="preserve"> review of </w:t>
      </w:r>
      <w:r w:rsidR="08686AF3" w:rsidRPr="00D10954">
        <w:rPr>
          <w:rFonts w:ascii="Arial" w:hAnsi="Arial" w:cs="Arial"/>
        </w:rPr>
        <w:t>the methodology that the California State Board of Education (SBE) has used to establish cut points for status and change on the California School Dashboard (Dashboard) a</w:t>
      </w:r>
      <w:r w:rsidR="1FF92C59" w:rsidRPr="00D10954">
        <w:rPr>
          <w:rFonts w:ascii="Arial" w:hAnsi="Arial" w:cs="Arial"/>
        </w:rPr>
        <w:t xml:space="preserve">s well as the methodology for establishing the performance level color scheme for the five-by-five grid. </w:t>
      </w:r>
      <w:r w:rsidR="005D6C1F" w:rsidRPr="00D10954">
        <w:rPr>
          <w:rFonts w:ascii="Arial" w:hAnsi="Arial" w:cs="Arial"/>
        </w:rPr>
        <w:t>This memo is designed to</w:t>
      </w:r>
      <w:r w:rsidR="0016695A" w:rsidRPr="00D10954">
        <w:rPr>
          <w:rFonts w:ascii="Arial" w:hAnsi="Arial" w:cs="Arial"/>
        </w:rPr>
        <w:t xml:space="preserve"> respond to the SBE’s request for additional information on this topic at the March 2023 SBE meeting and</w:t>
      </w:r>
      <w:r w:rsidR="005D6C1F" w:rsidRPr="00D10954">
        <w:rPr>
          <w:rFonts w:ascii="Arial" w:hAnsi="Arial" w:cs="Arial"/>
        </w:rPr>
        <w:t xml:space="preserve"> </w:t>
      </w:r>
      <w:r w:rsidR="003066F5" w:rsidRPr="00D10954">
        <w:rPr>
          <w:rFonts w:ascii="Arial" w:hAnsi="Arial" w:cs="Arial"/>
        </w:rPr>
        <w:t xml:space="preserve">provide the </w:t>
      </w:r>
      <w:r w:rsidR="005D6C1F" w:rsidRPr="00D10954">
        <w:rPr>
          <w:rFonts w:ascii="Arial" w:hAnsi="Arial" w:cs="Arial"/>
        </w:rPr>
        <w:t xml:space="preserve">background necessary for the </w:t>
      </w:r>
      <w:r w:rsidR="003066F5" w:rsidRPr="00D10954">
        <w:rPr>
          <w:rFonts w:ascii="Arial" w:hAnsi="Arial" w:cs="Arial"/>
        </w:rPr>
        <w:t xml:space="preserve">discussion of the </w:t>
      </w:r>
      <w:r w:rsidR="005D6C1F" w:rsidRPr="00D10954">
        <w:rPr>
          <w:rFonts w:ascii="Arial" w:hAnsi="Arial" w:cs="Arial"/>
        </w:rPr>
        <w:t>proposed changes to the 2023 Dashboard at the September 2023 SBE meeting.</w:t>
      </w:r>
    </w:p>
    <w:p w14:paraId="26335F02" w14:textId="77777777" w:rsidR="00760E82" w:rsidRPr="00D10954" w:rsidRDefault="00C30FB3" w:rsidP="00F525A9">
      <w:pPr>
        <w:pStyle w:val="Heading2"/>
      </w:pPr>
      <w:r w:rsidRPr="00D10954">
        <w:t>Summary of Key Issues</w:t>
      </w:r>
    </w:p>
    <w:p w14:paraId="783D8792" w14:textId="25C37CA4" w:rsidR="00CE7F67" w:rsidRPr="00D10954" w:rsidRDefault="00952FD3" w:rsidP="005C5312">
      <w:pPr>
        <w:rPr>
          <w:rFonts w:eastAsia="Arial" w:cs="Arial"/>
          <w:color w:val="000000" w:themeColor="text1"/>
        </w:rPr>
      </w:pPr>
      <w:r w:rsidRPr="00D10954">
        <w:rPr>
          <w:rFonts w:eastAsia="Arial" w:cs="Arial"/>
          <w:color w:val="000000" w:themeColor="text1"/>
        </w:rPr>
        <w:t xml:space="preserve">Following the adoption of the Local Control Funding Formula (LCFF) in the 2013–14 budget year, work began in earnest in 2014 to engage the SBE and members of public to transition to a new accountability system. </w:t>
      </w:r>
      <w:r w:rsidR="001A7BB3" w:rsidRPr="00D10954">
        <w:rPr>
          <w:rFonts w:eastAsia="Arial" w:cs="Arial"/>
          <w:color w:val="000000" w:themeColor="text1"/>
        </w:rPr>
        <w:t xml:space="preserve">Over the course of 10 meetings during a two-year period, the SBE directed the process to develop a new accountability system which included </w:t>
      </w:r>
      <w:r w:rsidR="00A06882" w:rsidRPr="00D10954">
        <w:rPr>
          <w:rFonts w:eastAsia="Arial" w:cs="Arial"/>
          <w:color w:val="000000" w:themeColor="text1"/>
        </w:rPr>
        <w:t>defining</w:t>
      </w:r>
      <w:r w:rsidR="001A7BB3" w:rsidRPr="00D10954">
        <w:rPr>
          <w:rFonts w:eastAsia="Arial" w:cs="Arial"/>
          <w:color w:val="000000" w:themeColor="text1"/>
        </w:rPr>
        <w:t xml:space="preserve"> the methodology for determining performance on key indicators and approval of the design and descriptors for how to set performance bands</w:t>
      </w:r>
      <w:r w:rsidR="00CE7F67" w:rsidRPr="00D10954">
        <w:rPr>
          <w:rFonts w:eastAsia="Arial" w:cs="Arial"/>
          <w:color w:val="000000" w:themeColor="text1"/>
        </w:rPr>
        <w:t xml:space="preserve"> (now referred to as cut scores)</w:t>
      </w:r>
      <w:r w:rsidR="001A7BB3" w:rsidRPr="00D10954">
        <w:rPr>
          <w:rFonts w:eastAsia="Arial" w:cs="Arial"/>
          <w:color w:val="000000" w:themeColor="text1"/>
        </w:rPr>
        <w:t xml:space="preserve"> for individual indicators. </w:t>
      </w:r>
      <w:r w:rsidR="00CE7F67" w:rsidRPr="00D10954">
        <w:rPr>
          <w:rFonts w:eastAsia="Arial" w:cs="Arial"/>
          <w:color w:val="000000" w:themeColor="text1"/>
        </w:rPr>
        <w:t xml:space="preserve">The system design was informed by extensive outreach efforts led by the California Comprehensive Center at </w:t>
      </w:r>
      <w:proofErr w:type="spellStart"/>
      <w:r w:rsidR="00CE7F67" w:rsidRPr="00D10954">
        <w:rPr>
          <w:rFonts w:eastAsia="Arial" w:cs="Arial"/>
          <w:color w:val="000000" w:themeColor="text1"/>
        </w:rPr>
        <w:t>WestEd</w:t>
      </w:r>
      <w:proofErr w:type="spellEnd"/>
      <w:r w:rsidR="00CE7F67" w:rsidRPr="00D10954">
        <w:rPr>
          <w:rFonts w:eastAsia="Arial" w:cs="Arial"/>
          <w:color w:val="000000" w:themeColor="text1"/>
        </w:rPr>
        <w:t xml:space="preserve"> who convened meetings </w:t>
      </w:r>
      <w:r w:rsidR="00E535C0" w:rsidRPr="00D10954">
        <w:rPr>
          <w:rFonts w:eastAsia="Arial" w:cs="Arial"/>
          <w:color w:val="000000" w:themeColor="text1"/>
        </w:rPr>
        <w:t xml:space="preserve">and User Acceptance Testing </w:t>
      </w:r>
      <w:r w:rsidR="00CE7F67" w:rsidRPr="00D10954">
        <w:rPr>
          <w:rFonts w:eastAsia="Arial" w:cs="Arial"/>
          <w:color w:val="000000" w:themeColor="text1"/>
        </w:rPr>
        <w:t xml:space="preserve">to gather </w:t>
      </w:r>
      <w:r w:rsidR="00E535C0" w:rsidRPr="00D10954">
        <w:rPr>
          <w:rFonts w:eastAsia="Arial" w:cs="Arial"/>
          <w:color w:val="000000" w:themeColor="text1"/>
        </w:rPr>
        <w:t>critical feedback</w:t>
      </w:r>
      <w:r w:rsidR="00CE7F67" w:rsidRPr="00D10954">
        <w:rPr>
          <w:rFonts w:eastAsia="Arial" w:cs="Arial"/>
          <w:color w:val="000000" w:themeColor="text1"/>
        </w:rPr>
        <w:t xml:space="preserve"> to inform the new system. Throughout this process, policy and technical considerations were presented to the California Practitioners Advisory Group (CPAG)</w:t>
      </w:r>
      <w:r w:rsidR="00BE1794" w:rsidRPr="00D10954">
        <w:rPr>
          <w:rFonts w:eastAsia="Arial" w:cs="Arial"/>
          <w:color w:val="000000" w:themeColor="text1"/>
        </w:rPr>
        <w:t xml:space="preserve"> </w:t>
      </w:r>
      <w:r w:rsidR="00E535C0" w:rsidRPr="00D10954">
        <w:rPr>
          <w:rFonts w:eastAsia="Arial" w:cs="Arial"/>
          <w:color w:val="000000" w:themeColor="text1"/>
        </w:rPr>
        <w:t xml:space="preserve">which </w:t>
      </w:r>
      <w:r w:rsidR="00CE7F67" w:rsidRPr="00D10954">
        <w:rPr>
          <w:rFonts w:eastAsia="Arial" w:cs="Arial"/>
          <w:color w:val="000000" w:themeColor="text1"/>
        </w:rPr>
        <w:t>provid</w:t>
      </w:r>
      <w:r w:rsidR="00E535C0" w:rsidRPr="00D10954">
        <w:rPr>
          <w:rFonts w:eastAsia="Arial" w:cs="Arial"/>
          <w:color w:val="000000" w:themeColor="text1"/>
        </w:rPr>
        <w:t>ed</w:t>
      </w:r>
      <w:r w:rsidR="00CE7F67" w:rsidRPr="00D10954">
        <w:rPr>
          <w:rFonts w:eastAsia="Arial" w:cs="Arial"/>
          <w:color w:val="000000" w:themeColor="text1"/>
        </w:rPr>
        <w:t xml:space="preserve"> feedback for the SBE’s consideration</w:t>
      </w:r>
      <w:r w:rsidR="00E535C0" w:rsidRPr="00D10954">
        <w:rPr>
          <w:rFonts w:eastAsia="Arial" w:cs="Arial"/>
          <w:color w:val="000000" w:themeColor="text1"/>
        </w:rPr>
        <w:t xml:space="preserve"> at key decision points</w:t>
      </w:r>
      <w:r w:rsidR="00CE7F67" w:rsidRPr="00D10954">
        <w:rPr>
          <w:rFonts w:eastAsia="Arial" w:cs="Arial"/>
          <w:color w:val="000000" w:themeColor="text1"/>
        </w:rPr>
        <w:t xml:space="preserve">. </w:t>
      </w:r>
      <w:r w:rsidR="0014465A" w:rsidRPr="00D10954">
        <w:rPr>
          <w:rFonts w:cs="Arial"/>
        </w:rPr>
        <w:t xml:space="preserve">The </w:t>
      </w:r>
      <w:r w:rsidR="00BE1794" w:rsidRPr="00D10954">
        <w:rPr>
          <w:rFonts w:eastAsia="Arial" w:cs="Arial"/>
          <w:color w:val="000000" w:themeColor="text1"/>
        </w:rPr>
        <w:t xml:space="preserve">CPAG is responsible for advising the SBE on accountability related matters and </w:t>
      </w:r>
      <w:r w:rsidR="0014465A" w:rsidRPr="00D10954">
        <w:rPr>
          <w:rFonts w:cs="Arial"/>
        </w:rPr>
        <w:t>also serve</w:t>
      </w:r>
      <w:r w:rsidR="00BE1794" w:rsidRPr="00D10954">
        <w:rPr>
          <w:rFonts w:cs="Arial"/>
        </w:rPr>
        <w:t>s</w:t>
      </w:r>
      <w:r w:rsidR="0014465A" w:rsidRPr="00D10954">
        <w:rPr>
          <w:rFonts w:cs="Arial"/>
        </w:rPr>
        <w:t xml:space="preserve"> as the state’s committee of practitioners under federal Title I requirements.</w:t>
      </w:r>
    </w:p>
    <w:p w14:paraId="481BC0FD" w14:textId="0422ACD7" w:rsidR="00A94E65" w:rsidRPr="00D10954" w:rsidRDefault="00BE1794" w:rsidP="005C5312">
      <w:pPr>
        <w:rPr>
          <w:rFonts w:cs="Arial"/>
        </w:rPr>
      </w:pPr>
      <w:r w:rsidRPr="00D10954">
        <w:rPr>
          <w:rFonts w:eastAsia="Arial" w:cs="Arial"/>
          <w:color w:val="000000" w:themeColor="text1"/>
        </w:rPr>
        <w:t xml:space="preserve">The </w:t>
      </w:r>
      <w:r w:rsidR="00F20018" w:rsidRPr="00D10954">
        <w:rPr>
          <w:rFonts w:eastAsia="Arial" w:cs="Arial"/>
          <w:color w:val="000000" w:themeColor="text1"/>
        </w:rPr>
        <w:t>measurement</w:t>
      </w:r>
      <w:r w:rsidR="00364886" w:rsidRPr="00D10954">
        <w:rPr>
          <w:rFonts w:eastAsia="Arial" w:cs="Arial"/>
          <w:color w:val="000000" w:themeColor="text1"/>
        </w:rPr>
        <w:t>, and specifically, the approach to setting cut scores used today in the Dashboard</w:t>
      </w:r>
      <w:r w:rsidR="00A94E65" w:rsidRPr="00D10954">
        <w:rPr>
          <w:rFonts w:eastAsia="Arial" w:cs="Arial"/>
          <w:color w:val="000000" w:themeColor="text1"/>
        </w:rPr>
        <w:t xml:space="preserve"> </w:t>
      </w:r>
      <w:r w:rsidR="00364886" w:rsidRPr="00D10954">
        <w:rPr>
          <w:rFonts w:eastAsia="Arial" w:cs="Arial"/>
          <w:color w:val="000000" w:themeColor="text1"/>
        </w:rPr>
        <w:t>was adopted by the SBE in 2016, based, in part, on</w:t>
      </w:r>
      <w:r w:rsidR="00F20018" w:rsidRPr="00D10954">
        <w:rPr>
          <w:rFonts w:eastAsia="Arial" w:cs="Arial"/>
          <w:color w:val="000000" w:themeColor="text1"/>
        </w:rPr>
        <w:t xml:space="preserve"> the evidence-based </w:t>
      </w:r>
      <w:r w:rsidR="00A94E65" w:rsidRPr="00D10954">
        <w:rPr>
          <w:rFonts w:eastAsia="Arial" w:cs="Arial"/>
          <w:color w:val="000000" w:themeColor="text1"/>
        </w:rPr>
        <w:t xml:space="preserve">system </w:t>
      </w:r>
      <w:r w:rsidR="00F20018" w:rsidRPr="00D10954">
        <w:rPr>
          <w:rFonts w:eastAsia="Arial" w:cs="Arial"/>
          <w:color w:val="000000" w:themeColor="text1"/>
        </w:rPr>
        <w:t xml:space="preserve">used in Alberta, Canada. </w:t>
      </w:r>
      <w:r w:rsidR="00364886" w:rsidRPr="00D10954">
        <w:rPr>
          <w:rFonts w:eastAsia="Arial" w:cs="Arial"/>
          <w:color w:val="000000" w:themeColor="text1"/>
        </w:rPr>
        <w:t>Referred to as “quality standards”</w:t>
      </w:r>
      <w:r w:rsidR="00A94E65" w:rsidRPr="00D10954">
        <w:rPr>
          <w:rFonts w:eastAsia="Arial" w:cs="Arial"/>
          <w:color w:val="000000" w:themeColor="text1"/>
        </w:rPr>
        <w:t xml:space="preserve"> in the</w:t>
      </w:r>
      <w:r w:rsidR="00364886" w:rsidRPr="00D10954">
        <w:rPr>
          <w:rFonts w:cs="Arial"/>
        </w:rPr>
        <w:t xml:space="preserve"> </w:t>
      </w:r>
      <w:r w:rsidR="00A94E65" w:rsidRPr="00D10954">
        <w:rPr>
          <w:rFonts w:cs="Arial"/>
        </w:rPr>
        <w:t xml:space="preserve">Alberta model, this concept set </w:t>
      </w:r>
      <w:r w:rsidR="00364886" w:rsidRPr="00D10954">
        <w:rPr>
          <w:rFonts w:cs="Arial"/>
        </w:rPr>
        <w:t xml:space="preserve">specific expectations for performance based on consideration of improvement and outcomes, </w:t>
      </w:r>
      <w:r w:rsidR="00A94E65" w:rsidRPr="00D10954">
        <w:rPr>
          <w:rFonts w:cs="Arial"/>
        </w:rPr>
        <w:t>which we</w:t>
      </w:r>
      <w:r w:rsidR="00364886" w:rsidRPr="00D10954">
        <w:rPr>
          <w:rFonts w:cs="Arial"/>
        </w:rPr>
        <w:t xml:space="preserve">re assigned based upon how </w:t>
      </w:r>
      <w:r w:rsidR="4AEC0440" w:rsidRPr="00D10954">
        <w:rPr>
          <w:rFonts w:cs="Arial"/>
        </w:rPr>
        <w:t>a</w:t>
      </w:r>
      <w:r w:rsidR="00364886" w:rsidRPr="00D10954">
        <w:rPr>
          <w:rFonts w:cs="Arial"/>
        </w:rPr>
        <w:t xml:space="preserve"> </w:t>
      </w:r>
      <w:r w:rsidR="00A94E65" w:rsidRPr="00D10954">
        <w:rPr>
          <w:rFonts w:cs="Arial"/>
        </w:rPr>
        <w:t>local educational agency (</w:t>
      </w:r>
      <w:r w:rsidR="00364886" w:rsidRPr="00D10954">
        <w:rPr>
          <w:rFonts w:cs="Arial"/>
        </w:rPr>
        <w:t>LEA</w:t>
      </w:r>
      <w:r w:rsidR="00A94E65" w:rsidRPr="00D10954">
        <w:rPr>
          <w:rFonts w:cs="Arial"/>
        </w:rPr>
        <w:t>)</w:t>
      </w:r>
      <w:r w:rsidR="00364886" w:rsidRPr="00D10954">
        <w:rPr>
          <w:rFonts w:cs="Arial"/>
        </w:rPr>
        <w:t xml:space="preserve">, school, or subgroups performs for a specific metric relative to the overall </w:t>
      </w:r>
      <w:r w:rsidR="00364886" w:rsidRPr="00D10954">
        <w:rPr>
          <w:rFonts w:cs="Arial"/>
        </w:rPr>
        <w:lastRenderedPageBreak/>
        <w:t xml:space="preserve">distribution of results for the state. The cut score ranges were developed based on analysis of California-specific data, </w:t>
      </w:r>
      <w:r w:rsidR="00641F34" w:rsidRPr="00D10954">
        <w:rPr>
          <w:rFonts w:cs="Arial"/>
        </w:rPr>
        <w:t>U</w:t>
      </w:r>
      <w:r w:rsidR="00364886" w:rsidRPr="00D10954">
        <w:rPr>
          <w:rFonts w:cs="Arial"/>
        </w:rPr>
        <w:t xml:space="preserve">ser </w:t>
      </w:r>
      <w:r w:rsidR="00641F34" w:rsidRPr="00D10954">
        <w:rPr>
          <w:rFonts w:cs="Arial"/>
        </w:rPr>
        <w:t>A</w:t>
      </w:r>
      <w:r w:rsidR="00364886" w:rsidRPr="00D10954">
        <w:rPr>
          <w:rFonts w:cs="Arial"/>
        </w:rPr>
        <w:t xml:space="preserve">cceptance </w:t>
      </w:r>
      <w:r w:rsidR="00641F34" w:rsidRPr="00D10954">
        <w:rPr>
          <w:rFonts w:cs="Arial"/>
        </w:rPr>
        <w:t>T</w:t>
      </w:r>
      <w:r w:rsidR="00364886" w:rsidRPr="00D10954">
        <w:rPr>
          <w:rFonts w:cs="Arial"/>
        </w:rPr>
        <w:t xml:space="preserve">esting applied research, input from </w:t>
      </w:r>
      <w:r w:rsidR="00A94E65" w:rsidRPr="00D10954">
        <w:rPr>
          <w:rFonts w:cs="Arial"/>
        </w:rPr>
        <w:t>educational partners, and technical feedback from the CDE’s Technical Design Group</w:t>
      </w:r>
      <w:r w:rsidR="212B00EA" w:rsidRPr="00D10954">
        <w:rPr>
          <w:rFonts w:cs="Arial"/>
        </w:rPr>
        <w:t>.</w:t>
      </w:r>
      <w:r w:rsidR="00364886" w:rsidRPr="00D10954">
        <w:rPr>
          <w:rFonts w:cs="Arial"/>
        </w:rPr>
        <w:t xml:space="preserve"> (</w:t>
      </w:r>
      <w:r w:rsidR="00A94E65" w:rsidRPr="00D10954">
        <w:rPr>
          <w:rFonts w:cs="Arial"/>
        </w:rPr>
        <w:t>For additional details on the origins of this work, see Item 14 September 2016</w:t>
      </w:r>
      <w:r w:rsidR="002A5694" w:rsidRPr="00D10954">
        <w:rPr>
          <w:rFonts w:cs="Arial"/>
        </w:rPr>
        <w:t xml:space="preserve"> </w:t>
      </w:r>
      <w:hyperlink r:id="rId12">
        <w:r w:rsidR="2B462947" w:rsidRPr="00D10954">
          <w:rPr>
            <w:rStyle w:val="Hyperlink"/>
            <w:rFonts w:cs="Arial"/>
          </w:rPr>
          <w:t>https://www.cde.ca.gov/be/ag/ag/yr15/documents/sep15item14.doc</w:t>
        </w:r>
      </w:hyperlink>
      <w:r w:rsidR="2B462947" w:rsidRPr="00D10954">
        <w:rPr>
          <w:rFonts w:cs="Arial"/>
        </w:rPr>
        <w:t xml:space="preserve"> </w:t>
      </w:r>
      <w:r w:rsidR="00A94E65" w:rsidRPr="00D10954">
        <w:rPr>
          <w:rFonts w:cs="Arial"/>
          <w:color w:val="2B579A"/>
          <w:shd w:val="clear" w:color="auto" w:fill="E6E6E6"/>
        </w:rPr>
        <w:fldChar w:fldCharType="begin"/>
      </w:r>
      <w:r w:rsidR="002A5694" w:rsidRPr="00D10954">
        <w:rPr>
          <w:rFonts w:cs="Arial"/>
        </w:rPr>
        <w:instrText>"https://www.cde.ca.gov/be/ag/ag/yr15/documents/sep15item14.doc%20and%20Item%2014" \o "Item 14 from September 2015 related to accountability system development</w:instrText>
      </w:r>
      <w:r w:rsidR="00A94E65" w:rsidRPr="00D10954">
        <w:rPr>
          <w:rFonts w:cs="Arial"/>
          <w:color w:val="2B579A"/>
          <w:shd w:val="clear" w:color="auto" w:fill="E6E6E6"/>
        </w:rPr>
        <w:fldChar w:fldCharType="separate"/>
      </w:r>
      <w:r w:rsidR="00A94E65" w:rsidRPr="00D10954">
        <w:rPr>
          <w:rFonts w:cs="Arial"/>
        </w:rPr>
        <w:t>https://www.cde.ca.gov/be/ag/ag/yr15/documents/sep15item14.doc and Item 14</w:t>
      </w:r>
      <w:r w:rsidR="00A94E65" w:rsidRPr="00D10954">
        <w:rPr>
          <w:rFonts w:cs="Arial"/>
          <w:color w:val="2B579A"/>
          <w:shd w:val="clear" w:color="auto" w:fill="E6E6E6"/>
        </w:rPr>
        <w:fldChar w:fldCharType="end"/>
      </w:r>
      <w:r w:rsidR="1C5F152A" w:rsidRPr="00D10954">
        <w:rPr>
          <w:rFonts w:cs="Arial"/>
        </w:rPr>
        <w:t>and Item 14</w:t>
      </w:r>
      <w:r w:rsidR="6B1FDFD9" w:rsidRPr="00D10954">
        <w:rPr>
          <w:rFonts w:cs="Arial"/>
        </w:rPr>
        <w:t xml:space="preserve">, Attachment 3, </w:t>
      </w:r>
      <w:hyperlink r:id="rId13">
        <w:r w:rsidR="2B462947" w:rsidRPr="00D10954">
          <w:rPr>
            <w:rStyle w:val="Hyperlink"/>
            <w:rFonts w:cs="Arial"/>
          </w:rPr>
          <w:t>https://www.cde.ca.gov/be/ag/ag/yr15/documents/sep15item14a3rev.doc</w:t>
        </w:r>
      </w:hyperlink>
      <w:r w:rsidR="6B1FDFD9" w:rsidRPr="00D10954">
        <w:rPr>
          <w:rFonts w:cs="Arial"/>
        </w:rPr>
        <w:t>).</w:t>
      </w:r>
    </w:p>
    <w:p w14:paraId="1A011B78" w14:textId="76B45D96" w:rsidR="00760E82" w:rsidRPr="00D10954" w:rsidRDefault="00364886" w:rsidP="005C5312">
      <w:pPr>
        <w:rPr>
          <w:rFonts w:eastAsia="Arial" w:cs="Arial"/>
          <w:color w:val="000000" w:themeColor="text1"/>
        </w:rPr>
      </w:pPr>
      <w:r w:rsidRPr="00D10954">
        <w:rPr>
          <w:rFonts w:eastAsia="Arial" w:cs="Arial"/>
          <w:color w:val="000000" w:themeColor="text1"/>
        </w:rPr>
        <w:t>The</w:t>
      </w:r>
      <w:r w:rsidR="00E535C0" w:rsidRPr="00D10954">
        <w:rPr>
          <w:rFonts w:eastAsia="Arial" w:cs="Arial"/>
          <w:color w:val="000000" w:themeColor="text1"/>
        </w:rPr>
        <w:t xml:space="preserve"> </w:t>
      </w:r>
      <w:r w:rsidR="00A94E65" w:rsidRPr="00D10954">
        <w:rPr>
          <w:rFonts w:eastAsia="Arial" w:cs="Arial"/>
          <w:color w:val="000000" w:themeColor="text1"/>
        </w:rPr>
        <w:t xml:space="preserve">SBE formally adopted the </w:t>
      </w:r>
      <w:r w:rsidR="00E535C0" w:rsidRPr="00D10954">
        <w:rPr>
          <w:rFonts w:eastAsia="Arial" w:cs="Arial"/>
          <w:color w:val="000000" w:themeColor="text1"/>
        </w:rPr>
        <w:t xml:space="preserve">methodology for determining performance for state indicators at their May 2016 meeting. This action was guided by data simulations based on the graduation rate example scenarios conducted by the California Department of Education (CDE). </w:t>
      </w:r>
      <w:r w:rsidR="00A94E65" w:rsidRPr="00D10954">
        <w:rPr>
          <w:rFonts w:eastAsia="Arial" w:cs="Arial"/>
          <w:color w:val="000000" w:themeColor="text1"/>
        </w:rPr>
        <w:t>I</w:t>
      </w:r>
      <w:r w:rsidR="00E535C0" w:rsidRPr="00D10954">
        <w:rPr>
          <w:rFonts w:eastAsia="Arial" w:cs="Arial"/>
          <w:color w:val="000000" w:themeColor="text1"/>
        </w:rPr>
        <w:t>n July 2016, the SBE approved the final design and descriptors of the process to set performance bands</w:t>
      </w:r>
      <w:r w:rsidR="00675169" w:rsidRPr="00D10954">
        <w:rPr>
          <w:rFonts w:eastAsia="Arial" w:cs="Arial"/>
          <w:color w:val="000000" w:themeColor="text1"/>
        </w:rPr>
        <w:t xml:space="preserve"> (cut-scores)</w:t>
      </w:r>
      <w:r w:rsidR="00E535C0" w:rsidRPr="00D10954">
        <w:rPr>
          <w:rFonts w:eastAsia="Arial" w:cs="Arial"/>
          <w:color w:val="000000" w:themeColor="text1"/>
        </w:rPr>
        <w:t xml:space="preserve">, for each key indicator </w:t>
      </w:r>
      <w:r w:rsidR="00A94E65" w:rsidRPr="00D10954">
        <w:rPr>
          <w:rFonts w:eastAsia="Arial" w:cs="Arial"/>
          <w:color w:val="000000" w:themeColor="text1"/>
        </w:rPr>
        <w:t xml:space="preserve">based on </w:t>
      </w:r>
      <w:r w:rsidR="00E535C0" w:rsidRPr="00D10954">
        <w:rPr>
          <w:rFonts w:eastAsia="Arial" w:cs="Arial"/>
          <w:color w:val="000000" w:themeColor="text1"/>
        </w:rPr>
        <w:t xml:space="preserve">the methodology approved in May 2016. </w:t>
      </w:r>
      <w:r w:rsidR="008D4717" w:rsidRPr="00D10954">
        <w:rPr>
          <w:rFonts w:eastAsia="Arial" w:cs="Arial"/>
          <w:color w:val="000000" w:themeColor="text1"/>
        </w:rPr>
        <w:t>This process culminated in September 2016, when t</w:t>
      </w:r>
      <w:r w:rsidR="788E326B" w:rsidRPr="00D10954">
        <w:rPr>
          <w:rFonts w:eastAsia="Arial" w:cs="Arial"/>
          <w:color w:val="000000" w:themeColor="text1"/>
        </w:rPr>
        <w:t>he SBE adopt</w:t>
      </w:r>
      <w:r w:rsidR="008D4717" w:rsidRPr="00D10954">
        <w:rPr>
          <w:rFonts w:eastAsia="Arial" w:cs="Arial"/>
          <w:color w:val="000000" w:themeColor="text1"/>
        </w:rPr>
        <w:t>ed</w:t>
      </w:r>
      <w:r w:rsidR="788E326B" w:rsidRPr="00D10954">
        <w:rPr>
          <w:rFonts w:eastAsia="Arial" w:cs="Arial"/>
          <w:color w:val="000000" w:themeColor="text1"/>
        </w:rPr>
        <w:t xml:space="preserve"> p</w:t>
      </w:r>
      <w:r w:rsidR="0B00379C" w:rsidRPr="00D10954">
        <w:rPr>
          <w:rFonts w:eastAsia="Arial" w:cs="Arial"/>
          <w:color w:val="000000" w:themeColor="text1"/>
        </w:rPr>
        <w:t>ercentile</w:t>
      </w:r>
      <w:r w:rsidR="7E7096AD" w:rsidRPr="00D10954">
        <w:rPr>
          <w:rFonts w:eastAsia="Arial" w:cs="Arial"/>
          <w:color w:val="000000" w:themeColor="text1"/>
        </w:rPr>
        <w:t xml:space="preserve">-based </w:t>
      </w:r>
      <w:r w:rsidR="0B00379C" w:rsidRPr="00D10954">
        <w:rPr>
          <w:rFonts w:eastAsia="Arial" w:cs="Arial"/>
          <w:color w:val="000000" w:themeColor="text1"/>
        </w:rPr>
        <w:t>cut points for both “Status” and “Change”</w:t>
      </w:r>
      <w:r w:rsidR="140BA51A" w:rsidRPr="00D10954">
        <w:rPr>
          <w:rFonts w:eastAsia="Arial" w:cs="Arial"/>
          <w:color w:val="000000" w:themeColor="text1"/>
        </w:rPr>
        <w:t xml:space="preserve"> </w:t>
      </w:r>
      <w:r w:rsidR="0B00379C" w:rsidRPr="00D10954">
        <w:rPr>
          <w:rFonts w:eastAsia="Arial" w:cs="Arial"/>
          <w:color w:val="000000" w:themeColor="text1"/>
        </w:rPr>
        <w:t xml:space="preserve">along with </w:t>
      </w:r>
      <w:r w:rsidR="003066F5" w:rsidRPr="00D10954">
        <w:t>p</w:t>
      </w:r>
      <w:r w:rsidR="48B010F7" w:rsidRPr="00D10954">
        <w:t xml:space="preserve">erformance </w:t>
      </w:r>
      <w:r w:rsidR="003066F5" w:rsidRPr="00D10954">
        <w:t>l</w:t>
      </w:r>
      <w:r w:rsidR="48B010F7" w:rsidRPr="00D10954">
        <w:t xml:space="preserve">evel </w:t>
      </w:r>
      <w:r w:rsidR="003066F5" w:rsidRPr="00D10954">
        <w:t>c</w:t>
      </w:r>
      <w:r w:rsidR="48B010F7" w:rsidRPr="00D10954">
        <w:t xml:space="preserve">olor </w:t>
      </w:r>
      <w:r w:rsidR="003066F5" w:rsidRPr="00D10954">
        <w:t>s</w:t>
      </w:r>
      <w:r w:rsidR="48B010F7" w:rsidRPr="00D10954">
        <w:t>cheme</w:t>
      </w:r>
      <w:r w:rsidR="0647A838" w:rsidRPr="00D10954">
        <w:t>s for the</w:t>
      </w:r>
      <w:r w:rsidR="0B00379C" w:rsidRPr="00D10954">
        <w:rPr>
          <w:rFonts w:eastAsia="Arial" w:cs="Arial"/>
          <w:color w:val="000000" w:themeColor="text1"/>
        </w:rPr>
        <w:t xml:space="preserve"> five-by-five grid, </w:t>
      </w:r>
      <w:r w:rsidR="5E9C9A44" w:rsidRPr="00D10954">
        <w:rPr>
          <w:rFonts w:eastAsia="Arial" w:cs="Arial"/>
          <w:color w:val="000000" w:themeColor="text1"/>
        </w:rPr>
        <w:t xml:space="preserve">in order </w:t>
      </w:r>
      <w:r w:rsidR="0B00379C" w:rsidRPr="00D10954">
        <w:rPr>
          <w:rFonts w:eastAsia="Arial" w:cs="Arial"/>
          <w:color w:val="000000" w:themeColor="text1"/>
        </w:rPr>
        <w:t>to make an overall color</w:t>
      </w:r>
      <w:r w:rsidR="17A434AE" w:rsidRPr="00D10954">
        <w:rPr>
          <w:rFonts w:eastAsia="Arial" w:cs="Arial"/>
          <w:color w:val="000000" w:themeColor="text1"/>
        </w:rPr>
        <w:t xml:space="preserve"> performance level</w:t>
      </w:r>
      <w:r w:rsidR="0B00379C" w:rsidRPr="00D10954">
        <w:rPr>
          <w:rFonts w:eastAsia="Arial" w:cs="Arial"/>
          <w:color w:val="000000" w:themeColor="text1"/>
        </w:rPr>
        <w:t xml:space="preserve"> determination for each of the indicators.</w:t>
      </w:r>
    </w:p>
    <w:p w14:paraId="2A0F6A83" w14:textId="007738C2" w:rsidR="00760E82" w:rsidRPr="00D10954" w:rsidRDefault="00A06882" w:rsidP="005C5312">
      <w:pPr>
        <w:spacing w:before="240"/>
        <w:rPr>
          <w:rFonts w:eastAsia="Arial" w:cs="Arial"/>
          <w:color w:val="000000" w:themeColor="text1"/>
        </w:rPr>
      </w:pPr>
      <w:r w:rsidRPr="00D10954">
        <w:rPr>
          <w:rFonts w:eastAsia="Arial" w:cs="Arial"/>
          <w:color w:val="000000" w:themeColor="text1"/>
        </w:rPr>
        <w:t xml:space="preserve">With </w:t>
      </w:r>
      <w:r w:rsidR="0B00379C" w:rsidRPr="00D10954">
        <w:rPr>
          <w:rFonts w:eastAsia="Arial" w:cs="Arial"/>
          <w:color w:val="000000" w:themeColor="text1"/>
        </w:rPr>
        <w:t xml:space="preserve">the adoption of the initial cut scores, </w:t>
      </w:r>
      <w:r w:rsidR="00CE37D2" w:rsidRPr="00D10954">
        <w:rPr>
          <w:rFonts w:eastAsia="Arial" w:cs="Arial"/>
          <w:color w:val="000000" w:themeColor="text1"/>
        </w:rPr>
        <w:t xml:space="preserve">staff noted that </w:t>
      </w:r>
      <w:r w:rsidRPr="00D10954">
        <w:rPr>
          <w:rFonts w:cs="Arial"/>
        </w:rPr>
        <w:t xml:space="preserve">the Dashboard would </w:t>
      </w:r>
      <w:r w:rsidR="00CE37D2" w:rsidRPr="00D10954">
        <w:rPr>
          <w:rFonts w:cs="Arial"/>
        </w:rPr>
        <w:t xml:space="preserve">need to </w:t>
      </w:r>
      <w:r w:rsidRPr="00D10954">
        <w:rPr>
          <w:rFonts w:cs="Arial"/>
        </w:rPr>
        <w:t xml:space="preserve">evolve through the first couple of years of implementation. Accordingly, the SBE has </w:t>
      </w:r>
      <w:r w:rsidRPr="00D10954">
        <w:rPr>
          <w:rFonts w:eastAsia="Arial" w:cs="Arial"/>
          <w:color w:val="000000" w:themeColor="text1"/>
        </w:rPr>
        <w:t xml:space="preserve">reviewed and updated indicators, when necessary, to account large changes in the distribution of the data, as well as to accommodate any new data contributing to the indicator. Also, during this period, the SBE utilized this methodology to adopt </w:t>
      </w:r>
      <w:r w:rsidR="582121A7" w:rsidRPr="00D10954">
        <w:rPr>
          <w:rFonts w:eastAsia="Arial" w:cs="Arial"/>
          <w:color w:val="000000" w:themeColor="text1"/>
        </w:rPr>
        <w:t xml:space="preserve">new indicators </w:t>
      </w:r>
      <w:r w:rsidR="008D4717" w:rsidRPr="00D10954">
        <w:rPr>
          <w:rFonts w:eastAsia="Arial" w:cs="Arial"/>
          <w:color w:val="000000" w:themeColor="text1"/>
        </w:rPr>
        <w:t xml:space="preserve">on </w:t>
      </w:r>
      <w:r w:rsidR="582121A7" w:rsidRPr="00D10954">
        <w:rPr>
          <w:rFonts w:eastAsia="Arial" w:cs="Arial"/>
          <w:color w:val="000000" w:themeColor="text1"/>
        </w:rPr>
        <w:t>the Dashboard</w:t>
      </w:r>
      <w:r w:rsidRPr="00D10954">
        <w:rPr>
          <w:rFonts w:eastAsia="Arial" w:cs="Arial"/>
          <w:color w:val="000000" w:themeColor="text1"/>
        </w:rPr>
        <w:t xml:space="preserve"> when statewide data became available for a multi-year period</w:t>
      </w:r>
      <w:r w:rsidR="582121A7" w:rsidRPr="00D10954">
        <w:rPr>
          <w:rFonts w:eastAsia="Arial" w:cs="Arial"/>
          <w:color w:val="000000" w:themeColor="text1"/>
        </w:rPr>
        <w:t>, such as the Chronic Absenteeism Indicator and the College/Career Indicator</w:t>
      </w:r>
      <w:r w:rsidR="005D6C1F" w:rsidRPr="00D10954">
        <w:rPr>
          <w:rFonts w:eastAsia="Arial" w:cs="Arial"/>
          <w:color w:val="000000" w:themeColor="text1"/>
        </w:rPr>
        <w:t xml:space="preserve"> in 2018</w:t>
      </w:r>
      <w:r w:rsidR="00CE37D2" w:rsidRPr="00D10954">
        <w:rPr>
          <w:rFonts w:eastAsia="Arial" w:cs="Arial"/>
          <w:color w:val="000000" w:themeColor="text1"/>
        </w:rPr>
        <w:t>.</w:t>
      </w:r>
    </w:p>
    <w:p w14:paraId="533FCF21" w14:textId="22018E75" w:rsidR="00CE37D2" w:rsidRPr="00D10954" w:rsidRDefault="00CE37D2" w:rsidP="005C5312">
      <w:pPr>
        <w:spacing w:before="240"/>
        <w:rPr>
          <w:rFonts w:eastAsia="Arial" w:cs="Arial"/>
          <w:color w:val="000000" w:themeColor="text1"/>
          <w:lang w:val="it-IT"/>
        </w:rPr>
      </w:pPr>
      <w:r w:rsidRPr="00D10954">
        <w:rPr>
          <w:rFonts w:eastAsia="Arial" w:cs="Arial"/>
          <w:color w:val="000000" w:themeColor="text1"/>
          <w:lang w:val="it-IT"/>
        </w:rPr>
        <w:t xml:space="preserve">Attachment 1 </w:t>
      </w:r>
      <w:r w:rsidR="004161C0" w:rsidRPr="00D10954">
        <w:rPr>
          <w:rFonts w:eastAsia="Arial" w:cs="Arial"/>
          <w:color w:val="000000" w:themeColor="text1"/>
          <w:lang w:val="it-IT"/>
        </w:rPr>
        <w:t>details the process for setting cut points for indicators based on the methodology adopted by the SBE in 2016.</w:t>
      </w:r>
    </w:p>
    <w:p w14:paraId="2C75E90D" w14:textId="77777777" w:rsidR="00760E82" w:rsidRPr="00D10954" w:rsidRDefault="00C30FB3" w:rsidP="005939E2">
      <w:pPr>
        <w:pStyle w:val="Heading2"/>
        <w:spacing w:before="0" w:after="240"/>
      </w:pPr>
      <w:r w:rsidRPr="00D10954">
        <w:t>Summary of Previous State Board of Education Discussion and Action</w:t>
      </w:r>
    </w:p>
    <w:p w14:paraId="5FE24BA6" w14:textId="5FD5DB24" w:rsidR="00CE37D2" w:rsidRPr="00D10954" w:rsidRDefault="00CE37D2" w:rsidP="002A5694">
      <w:pPr>
        <w:rPr>
          <w:rFonts w:cs="Arial"/>
        </w:rPr>
      </w:pPr>
      <w:r w:rsidRPr="00D10954">
        <w:rPr>
          <w:rFonts w:cs="Arial"/>
        </w:rPr>
        <w:t xml:space="preserve">A series of information memoranda were posted in February 2016 to provide an update on the development of the new accountability and continuous improvement system for California. These memoranda were in response to direction provided by the SBE at its January 2016 meeting to clarify how California </w:t>
      </w:r>
      <w:r w:rsidR="002A5694" w:rsidRPr="00D10954">
        <w:rPr>
          <w:rFonts w:cs="Arial"/>
        </w:rPr>
        <w:t>could</w:t>
      </w:r>
      <w:r w:rsidRPr="00D10954">
        <w:rPr>
          <w:rFonts w:cs="Arial"/>
        </w:rPr>
        <w:t xml:space="preserve"> establish a single, coherent accountability system that integrates local, state, and federal accountability components to support continuous improvement and systems of local and state support (</w:t>
      </w:r>
      <w:hyperlink r:id="rId14" w:tooltip="Overview of memorandums on new accountability system" w:history="1">
        <w:r w:rsidRPr="00D10954">
          <w:rPr>
            <w:rStyle w:val="Hyperlink"/>
            <w:rFonts w:cs="Arial"/>
          </w:rPr>
          <w:t>http://www.cde.ca.gov/be/ag/ag/yr16/documents/jan16item02rev.doc</w:t>
        </w:r>
      </w:hyperlink>
      <w:r w:rsidRPr="00D10954">
        <w:rPr>
          <w:rFonts w:cs="Arial"/>
        </w:rPr>
        <w:t>).</w:t>
      </w:r>
    </w:p>
    <w:p w14:paraId="6365AFF8" w14:textId="581B9977" w:rsidR="00CE37D2" w:rsidRPr="00D10954" w:rsidRDefault="00CE37D2" w:rsidP="00891A9A">
      <w:r w:rsidRPr="00D10954">
        <w:t>The first information memorandum provide</w:t>
      </w:r>
      <w:r w:rsidR="002A5694" w:rsidRPr="00D10954">
        <w:t>d</w:t>
      </w:r>
      <w:r w:rsidRPr="00D10954">
        <w:t xml:space="preserve"> an updated timeline that details the proposed transition to the new accountability and continuous improvement system </w:t>
      </w:r>
      <w:r w:rsidR="004161C0" w:rsidRPr="00D10954">
        <w:t>(</w:t>
      </w:r>
      <w:r w:rsidRPr="00D10954">
        <w:t>.</w:t>
      </w:r>
      <w:r w:rsidR="007F149F" w:rsidRPr="00D10954">
        <w:t xml:space="preserve"> </w:t>
      </w:r>
      <w:hyperlink r:id="rId15" w:tooltip="The first information memorandum provided an updated timeline that details the proposed transition to the new accountability and continuous improvement system" w:history="1">
        <w:r w:rsidR="001A362B" w:rsidRPr="00D10954">
          <w:rPr>
            <w:rStyle w:val="Hyperlink"/>
          </w:rPr>
          <w:t>http://www.cde.ca.gov/be/pn/im/documents/memo-sbe-feb16item01.doc</w:t>
        </w:r>
      </w:hyperlink>
    </w:p>
    <w:p w14:paraId="1A74B6DB" w14:textId="35DB55E7" w:rsidR="00CE37D2" w:rsidRPr="00D10954" w:rsidRDefault="00CE37D2" w:rsidP="002A5694">
      <w:pPr>
        <w:rPr>
          <w:rFonts w:cs="Arial"/>
        </w:rPr>
      </w:pPr>
      <w:r w:rsidRPr="00D10954">
        <w:rPr>
          <w:rFonts w:cs="Arial"/>
        </w:rPr>
        <w:t>The second information memorandum establishe</w:t>
      </w:r>
      <w:r w:rsidR="002A5694" w:rsidRPr="00D10954">
        <w:rPr>
          <w:rFonts w:cs="Arial"/>
        </w:rPr>
        <w:t>d</w:t>
      </w:r>
      <w:r w:rsidRPr="00D10954">
        <w:rPr>
          <w:rFonts w:cs="Arial"/>
        </w:rPr>
        <w:t xml:space="preserve"> common terminology and definition of terms used to describe the proposed architecture for the new accountability and </w:t>
      </w:r>
      <w:r w:rsidRPr="00D10954">
        <w:rPr>
          <w:rFonts w:cs="Arial"/>
        </w:rPr>
        <w:lastRenderedPageBreak/>
        <w:t>continuous improvement system (</w:t>
      </w:r>
      <w:hyperlink r:id="rId16" w:tooltip="Common terminology and definition of terms used to describe the new accountability and continuous improvement system" w:history="1">
        <w:r w:rsidRPr="00D10954">
          <w:rPr>
            <w:rStyle w:val="Hyperlink"/>
          </w:rPr>
          <w:t>http://www.cde.ca.gov/be/pn/im/documents/memo-sbe-feb16item02.doc</w:t>
        </w:r>
      </w:hyperlink>
      <w:r w:rsidRPr="00D10954">
        <w:rPr>
          <w:rFonts w:cs="Arial"/>
        </w:rPr>
        <w:t>).</w:t>
      </w:r>
    </w:p>
    <w:p w14:paraId="78A0C78E" w14:textId="3A7B596F" w:rsidR="00CE37D2" w:rsidRPr="00D10954" w:rsidRDefault="00CE37D2" w:rsidP="002A5694">
      <w:pPr>
        <w:rPr>
          <w:rFonts w:cs="Arial"/>
        </w:rPr>
      </w:pPr>
      <w:r w:rsidRPr="00D10954">
        <w:rPr>
          <w:rFonts w:cs="Arial"/>
        </w:rPr>
        <w:t xml:space="preserve">The third information memorandum </w:t>
      </w:r>
      <w:r w:rsidRPr="00D10954">
        <w:t>provide</w:t>
      </w:r>
      <w:r w:rsidR="002A5694" w:rsidRPr="00D10954">
        <w:t>d</w:t>
      </w:r>
      <w:r w:rsidRPr="00D10954">
        <w:t xml:space="preserve"> more clarity around how the pieces of the emerging, integrated accountability system w</w:t>
      </w:r>
      <w:r w:rsidR="002A5694" w:rsidRPr="00D10954">
        <w:t>ould</w:t>
      </w:r>
      <w:r w:rsidRPr="00D10954">
        <w:t xml:space="preserve"> fit together</w:t>
      </w:r>
      <w:r w:rsidRPr="00D10954">
        <w:rPr>
          <w:rFonts w:cs="Arial"/>
        </w:rPr>
        <w:t xml:space="preserve"> (</w:t>
      </w:r>
      <w:hyperlink r:id="rId17" w:tooltip="More clarity around how the pieces of the emerging, integrated accountability system would fit together" w:history="1">
        <w:r w:rsidRPr="00D10954">
          <w:rPr>
            <w:rStyle w:val="Hyperlink"/>
          </w:rPr>
          <w:t>http://www.cde.ca.gov/be/pn/im/documents/memo-sbe-feb16item03.doc</w:t>
        </w:r>
      </w:hyperlink>
      <w:r w:rsidRPr="00D10954">
        <w:rPr>
          <w:rFonts w:cs="Arial"/>
        </w:rPr>
        <w:t>).</w:t>
      </w:r>
    </w:p>
    <w:p w14:paraId="6FBD5C36" w14:textId="35825937" w:rsidR="00CE37D2" w:rsidRPr="00D10954" w:rsidRDefault="00CE37D2" w:rsidP="002A5694">
      <w:pPr>
        <w:rPr>
          <w:rFonts w:cs="Arial"/>
        </w:rPr>
      </w:pPr>
      <w:r w:rsidRPr="00D10954">
        <w:rPr>
          <w:rFonts w:cs="Arial"/>
        </w:rPr>
        <w:t>The fourth information memorandum present</w:t>
      </w:r>
      <w:r w:rsidR="004161C0" w:rsidRPr="00D10954">
        <w:rPr>
          <w:rFonts w:cs="Arial"/>
        </w:rPr>
        <w:t>ed</w:t>
      </w:r>
      <w:r w:rsidRPr="00D10954">
        <w:rPr>
          <w:rFonts w:cs="Arial"/>
        </w:rPr>
        <w:t xml:space="preserve"> further analysis on the graduation rate indicator as a means to illustrate how standards, once established, may identify LEAs in need of technical assistance and state intervention under LCFF assistance and support provisions, which turn on the performance of student subgroups (</w:t>
      </w:r>
      <w:hyperlink r:id="rId18" w:tooltip="Further analysis on the graduation rate indicator as a means to illustrate how standards" w:history="1">
        <w:r w:rsidR="002A5694" w:rsidRPr="00D10954">
          <w:rPr>
            <w:rStyle w:val="Hyperlink"/>
            <w:rFonts w:cs="Arial"/>
          </w:rPr>
          <w:t>http://www.cde.ca.gov/be/pn/im/documents/memo-sbe-feb16item04.doc</w:t>
        </w:r>
      </w:hyperlink>
      <w:r w:rsidRPr="00D10954">
        <w:rPr>
          <w:rFonts w:cs="Arial"/>
        </w:rPr>
        <w:t>).</w:t>
      </w:r>
    </w:p>
    <w:p w14:paraId="405A3B24" w14:textId="382FF2C4" w:rsidR="00CE37D2" w:rsidRPr="00D10954" w:rsidRDefault="00CE37D2" w:rsidP="004161C0">
      <w:pPr>
        <w:rPr>
          <w:rFonts w:cs="Arial"/>
        </w:rPr>
      </w:pPr>
      <w:r w:rsidRPr="00D10954">
        <w:rPr>
          <w:rFonts w:cs="Arial"/>
        </w:rPr>
        <w:t>The fifth information memorandum provide</w:t>
      </w:r>
      <w:r w:rsidR="004161C0" w:rsidRPr="00D10954">
        <w:rPr>
          <w:rFonts w:cs="Arial"/>
        </w:rPr>
        <w:t>d</w:t>
      </w:r>
      <w:r w:rsidRPr="00D10954">
        <w:rPr>
          <w:rFonts w:cs="Arial"/>
        </w:rPr>
        <w:t xml:space="preserve"> a </w:t>
      </w:r>
      <w:r w:rsidRPr="00D10954">
        <w:rPr>
          <w:rFonts w:cs="Arial"/>
          <w:lang w:eastAsia="ja-JP"/>
        </w:rPr>
        <w:t xml:space="preserve">complete picture of how the current LCFF evaluation rubrics prototype would function by identifying indicators other than graduation rate that could be used as key indicators and by analyzing how these potential key indicators align with the indicators that </w:t>
      </w:r>
      <w:r w:rsidRPr="00D10954">
        <w:rPr>
          <w:rFonts w:cs="Arial"/>
        </w:rPr>
        <w:t xml:space="preserve">also satisfy the requirements of </w:t>
      </w:r>
      <w:r w:rsidRPr="00D10954">
        <w:rPr>
          <w:rFonts w:cs="Arial"/>
          <w:lang w:eastAsia="ja-JP"/>
        </w:rPr>
        <w:t xml:space="preserve">the ESSA </w:t>
      </w:r>
      <w:r w:rsidRPr="00D10954">
        <w:rPr>
          <w:rFonts w:cs="Arial"/>
        </w:rPr>
        <w:t>(</w:t>
      </w:r>
      <w:hyperlink r:id="rId19" w:tooltip="Key indicators align with the indicators that also satisfy the requirements of the ESSA" w:history="1">
        <w:r w:rsidRPr="00D10954">
          <w:rPr>
            <w:rStyle w:val="Hyperlink"/>
            <w:rFonts w:cs="Arial"/>
          </w:rPr>
          <w:t>http://www.cde.ca.gov/be/pn/im/documents/memo-sbe-feb16item05.doc</w:t>
        </w:r>
      </w:hyperlink>
      <w:r w:rsidRPr="00D10954">
        <w:rPr>
          <w:rFonts w:cs="Arial"/>
        </w:rPr>
        <w:t>).</w:t>
      </w:r>
    </w:p>
    <w:p w14:paraId="504EF7D3" w14:textId="22811495" w:rsidR="00CE37D2" w:rsidRPr="00D10954" w:rsidRDefault="00CE37D2" w:rsidP="004161C0">
      <w:pPr>
        <w:rPr>
          <w:rFonts w:cs="Arial"/>
        </w:rPr>
      </w:pPr>
      <w:r w:rsidRPr="00D10954">
        <w:rPr>
          <w:rFonts w:cs="Arial"/>
        </w:rPr>
        <w:t>The sixth memo provide</w:t>
      </w:r>
      <w:r w:rsidR="004161C0" w:rsidRPr="00D10954">
        <w:rPr>
          <w:rFonts w:cs="Arial"/>
        </w:rPr>
        <w:t>d</w:t>
      </w:r>
      <w:r w:rsidRPr="00D10954">
        <w:rPr>
          <w:rFonts w:cs="Arial"/>
        </w:rPr>
        <w:t xml:space="preserve"> an overview of student-level growth models that can be used to communicate Smarter Balanced Summative Assessment results (</w:t>
      </w:r>
      <w:hyperlink r:id="rId20" w:tooltip="Overview of student-level growth models that can be used to communicate Smarter Balanced Summative Assessment results" w:history="1">
        <w:r w:rsidRPr="00D10954">
          <w:rPr>
            <w:rStyle w:val="Hyperlink"/>
          </w:rPr>
          <w:t>http://www.cde.ca.gov/be/pn/im/documents/memo-dsib-amard-feb16item01.doc</w:t>
        </w:r>
      </w:hyperlink>
      <w:r w:rsidRPr="00D10954">
        <w:rPr>
          <w:rFonts w:cs="Arial"/>
        </w:rPr>
        <w:t>).</w:t>
      </w:r>
    </w:p>
    <w:p w14:paraId="3A54F936" w14:textId="4CFF67A1" w:rsidR="00CE37D2" w:rsidRPr="00D10954" w:rsidRDefault="00CE37D2" w:rsidP="004161C0">
      <w:pPr>
        <w:rPr>
          <w:rFonts w:cs="Arial"/>
        </w:rPr>
      </w:pPr>
      <w:r w:rsidRPr="00D10954">
        <w:rPr>
          <w:rFonts w:cs="Arial"/>
        </w:rPr>
        <w:t>The seventh and final memo provide</w:t>
      </w:r>
      <w:r w:rsidR="004161C0" w:rsidRPr="00D10954">
        <w:rPr>
          <w:rFonts w:cs="Arial"/>
        </w:rPr>
        <w:t>d</w:t>
      </w:r>
      <w:r w:rsidRPr="00D10954">
        <w:rPr>
          <w:rFonts w:cs="Arial"/>
        </w:rPr>
        <w:t xml:space="preserve"> an overview of two options for a College and Career Indicator (CCI) as one of the measures for an aligned state and federal accountability system (</w:t>
      </w:r>
      <w:hyperlink r:id="rId21" w:tooltip="Overview of two options for a College and Career Indicator (CCI) as one of the measures for an aligned state and federal accountability system" w:history="1">
        <w:r w:rsidRPr="00D10954">
          <w:rPr>
            <w:rStyle w:val="Hyperlink"/>
          </w:rPr>
          <w:t>http://www.cde.ca.gov/be/pn/im/documents/memo-dsib-amard-feb16item02.doc</w:t>
        </w:r>
      </w:hyperlink>
      <w:r w:rsidRPr="00D10954">
        <w:rPr>
          <w:rFonts w:cs="Arial"/>
        </w:rPr>
        <w:t>).</w:t>
      </w:r>
    </w:p>
    <w:p w14:paraId="19EA4E0C" w14:textId="318FAA0B" w:rsidR="00760E82" w:rsidRPr="00D10954" w:rsidRDefault="0AB69CDC" w:rsidP="00CE37D2">
      <w:pPr>
        <w:pStyle w:val="Body"/>
        <w:spacing w:before="240" w:after="240"/>
      </w:pPr>
      <w:r w:rsidRPr="00D10954">
        <w:t>In May 2016, the SBE approved a design for the LCFF evaluation rubrics that includes: a set of state indicators; a methodology for calculating performance as a combination of status and change for the state indicators in order to differentiate performance at the LEA and school levels, and for student groups; a component that supports the use of local data; and concepts for a top-level display. The SBE also directed staff to prepare a recommendation for the July 2016 Board meeting for establishing standards for the LCFF priorities that are not addressed by the state indicators and options for incorporating college and career readiness, local climate surveys, and an English learner composite into the overall LCFF evaluation rubrics design (</w:t>
      </w:r>
      <w:hyperlink r:id="rId22" w:tooltip="LCFF evaluation rubrics design">
        <w:r w:rsidRPr="00D10954">
          <w:rPr>
            <w:rStyle w:val="Hyperlink"/>
          </w:rPr>
          <w:t>http://www.cde.ca.gov/be/ag/ag/yr16/documents/may16item02revised.doc</w:t>
        </w:r>
      </w:hyperlink>
      <w:r w:rsidRPr="00D10954">
        <w:t>).</w:t>
      </w:r>
    </w:p>
    <w:p w14:paraId="07E50B0B" w14:textId="7D375A9C" w:rsidR="00760E82" w:rsidRPr="00D10954" w:rsidRDefault="0AB69CDC">
      <w:pPr>
        <w:pStyle w:val="Body"/>
        <w:spacing w:before="240" w:after="240"/>
      </w:pPr>
      <w:r w:rsidRPr="00D10954">
        <w:t>In August 2016, the SBE received the following information memoranda</w:t>
      </w:r>
      <w:r w:rsidR="797E38BF" w:rsidRPr="00D10954">
        <w:t xml:space="preserve"> on p</w:t>
      </w:r>
      <w:r w:rsidRPr="00D10954">
        <w:t>roposed percentile cut scores for state indicators</w:t>
      </w:r>
      <w:r w:rsidR="58D0AB58" w:rsidRPr="00D10954">
        <w:t>.</w:t>
      </w:r>
      <w:r w:rsidRPr="00D10954">
        <w:t xml:space="preserve"> (</w:t>
      </w:r>
      <w:hyperlink r:id="rId23" w:tooltip="Proposed percentile cut scores for state indicators">
        <w:r w:rsidRPr="00D10954">
          <w:rPr>
            <w:rStyle w:val="Hyperlink"/>
          </w:rPr>
          <w:t>http://www.cde.ca.gov/be/pn/im/documents/memo-dsib-amard-aug16item02rev.doc</w:t>
        </w:r>
      </w:hyperlink>
      <w:r w:rsidRPr="00D10954">
        <w:t>)</w:t>
      </w:r>
    </w:p>
    <w:p w14:paraId="6102B08D" w14:textId="3078F98A" w:rsidR="00760E82" w:rsidRPr="00D10954" w:rsidRDefault="0AB69CDC">
      <w:pPr>
        <w:pStyle w:val="Body"/>
        <w:spacing w:before="240" w:after="240"/>
      </w:pPr>
      <w:r w:rsidRPr="00D10954">
        <w:t>In September 2016, the SBE approved the performance standards for all local indicators and the state indicators (except for the Academic Indicator), and the annual process for the SBE to review the rubrics to determine if updates or revisions are necessary. (</w:t>
      </w:r>
      <w:hyperlink r:id="rId24" w:tooltip="Rubrics to determine if updates or revisions are necessary">
        <w:r w:rsidRPr="00D10954">
          <w:rPr>
            <w:rStyle w:val="Hyperlink"/>
          </w:rPr>
          <w:t>http://www.cde.ca.gov/be/ag/ag/yr16/documents/sep16item01.doc</w:t>
        </w:r>
      </w:hyperlink>
      <w:r w:rsidRPr="00D10954">
        <w:t>)</w:t>
      </w:r>
    </w:p>
    <w:p w14:paraId="3C43E8EA" w14:textId="342B2BD9" w:rsidR="00760E82" w:rsidRPr="00D10954" w:rsidRDefault="0AB69CDC">
      <w:pPr>
        <w:pStyle w:val="Body"/>
        <w:spacing w:before="240" w:after="240"/>
      </w:pPr>
      <w:r w:rsidRPr="00D10954">
        <w:lastRenderedPageBreak/>
        <w:t>In March 2017, the SBE heard an update on the development of the new accountability system; an overview of alternative schools in preparation for the development of applicable indicators; a work plan for state indicator development; and an update on the local indicators—specifically, the work by the School Conditions and Climate Work Group. (</w:t>
      </w:r>
      <w:hyperlink r:id="rId25" w:tooltip="School Conditions and Climate Work Group">
        <w:r w:rsidRPr="00D10954">
          <w:rPr>
            <w:rStyle w:val="Hyperlink"/>
          </w:rPr>
          <w:t>http://www.cde.ca.gov/be/ag/ag/yr17/documents/mar17item02.doc</w:t>
        </w:r>
      </w:hyperlink>
      <w:r w:rsidRPr="00D10954">
        <w:t>)</w:t>
      </w:r>
    </w:p>
    <w:p w14:paraId="07BB0EC2" w14:textId="2C09E91E" w:rsidR="00760E82" w:rsidRPr="00D10954" w:rsidRDefault="0AB69CDC">
      <w:pPr>
        <w:pStyle w:val="Body"/>
        <w:spacing w:before="240" w:after="240"/>
      </w:pPr>
      <w:r w:rsidRPr="00D10954">
        <w:t xml:space="preserve">In February 2018, the SBE received the following </w:t>
      </w:r>
      <w:r w:rsidR="006866D1" w:rsidRPr="00D10954">
        <w:t>information memoranda on d</w:t>
      </w:r>
      <w:r w:rsidRPr="00D10954">
        <w:t xml:space="preserve">eveloping a </w:t>
      </w:r>
      <w:r w:rsidR="006866D1" w:rsidRPr="00D10954">
        <w:t>new</w:t>
      </w:r>
      <w:r w:rsidRPr="00D10954">
        <w:t xml:space="preserve"> </w:t>
      </w:r>
      <w:r w:rsidR="006866D1" w:rsidRPr="00D10954">
        <w:t>s</w:t>
      </w:r>
      <w:r w:rsidRPr="00D10954">
        <w:t xml:space="preserve">tate </w:t>
      </w:r>
      <w:r w:rsidR="006866D1" w:rsidRPr="00D10954">
        <w:t>a</w:t>
      </w:r>
      <w:r w:rsidRPr="00D10954">
        <w:t xml:space="preserve">ccountability </w:t>
      </w:r>
      <w:r w:rsidR="006866D1" w:rsidRPr="00D10954">
        <w:t>s</w:t>
      </w:r>
      <w:r w:rsidRPr="00D10954">
        <w:t>ystem</w:t>
      </w:r>
      <w:r w:rsidR="006866D1" w:rsidRPr="00D10954">
        <w:t xml:space="preserve"> and u</w:t>
      </w:r>
      <w:r w:rsidRPr="00D10954">
        <w:t>pdate</w:t>
      </w:r>
      <w:r w:rsidR="006866D1" w:rsidRPr="00D10954">
        <w:t>s</w:t>
      </w:r>
      <w:r w:rsidRPr="00D10954">
        <w:t xml:space="preserve"> on the </w:t>
      </w:r>
      <w:r w:rsidR="006866D1" w:rsidRPr="00D10954">
        <w:t>i</w:t>
      </w:r>
      <w:r w:rsidRPr="00D10954">
        <w:t>mplementation of the College/Career Indicator;</w:t>
      </w:r>
      <w:r w:rsidR="006866D1" w:rsidRPr="00D10954">
        <w:t xml:space="preserve"> i</w:t>
      </w:r>
      <w:r w:rsidRPr="00D10954">
        <w:t xml:space="preserve">ncluding the </w:t>
      </w:r>
      <w:r w:rsidR="006866D1" w:rsidRPr="00D10954">
        <w:t>e</w:t>
      </w:r>
      <w:r w:rsidRPr="00D10954">
        <w:t xml:space="preserve">xpansion of </w:t>
      </w:r>
      <w:r w:rsidR="006866D1" w:rsidRPr="00D10954">
        <w:t>c</w:t>
      </w:r>
      <w:r w:rsidRPr="00D10954">
        <w:t xml:space="preserve">areer </w:t>
      </w:r>
      <w:r w:rsidR="006866D1" w:rsidRPr="00D10954">
        <w:t>m</w:t>
      </w:r>
      <w:r w:rsidRPr="00D10954">
        <w:t xml:space="preserve">easures and </w:t>
      </w:r>
      <w:r w:rsidR="006866D1" w:rsidRPr="00D10954">
        <w:t>p</w:t>
      </w:r>
      <w:r w:rsidRPr="00D10954">
        <w:t xml:space="preserve">erformance </w:t>
      </w:r>
      <w:r w:rsidR="006866D1" w:rsidRPr="00D10954">
        <w:t>c</w:t>
      </w:r>
      <w:r w:rsidRPr="00D10954">
        <w:t xml:space="preserve">omparisons for Academic </w:t>
      </w:r>
      <w:r w:rsidR="006866D1" w:rsidRPr="00D10954">
        <w:t>m</w:t>
      </w:r>
      <w:r w:rsidRPr="00D10954">
        <w:t>easures (</w:t>
      </w:r>
      <w:hyperlink r:id="rId26" w:tooltip="Updates on the implementation of the College/Career Indicator">
        <w:r w:rsidRPr="00D10954">
          <w:rPr>
            <w:rStyle w:val="Hyperlink"/>
          </w:rPr>
          <w:t>https://www.cde.ca.gov/be/pn/im/documents/memo-pptb-amard-feb18item02.docx</w:t>
        </w:r>
      </w:hyperlink>
      <w:r w:rsidRPr="00D10954">
        <w:t>)</w:t>
      </w:r>
    </w:p>
    <w:p w14:paraId="21016157" w14:textId="1A2A5CAB" w:rsidR="00760E82" w:rsidRPr="00D10954" w:rsidRDefault="0AB69CDC">
      <w:pPr>
        <w:pStyle w:val="Body"/>
        <w:spacing w:before="240" w:after="240"/>
      </w:pPr>
      <w:r w:rsidRPr="00D10954">
        <w:t>In March 2018, the SBE heard an update on the continuing development work of the Dashboard, including revisions under consideration for the 2018 Dashboard</w:t>
      </w:r>
      <w:r w:rsidR="656A1937" w:rsidRPr="00D10954">
        <w:t xml:space="preserve">. </w:t>
      </w:r>
      <w:r w:rsidRPr="00D10954">
        <w:t>Also, at this meeting, the SBE reviewed proposed revisions for the 2018 Dashboard, including the incorporation of modified methods for Dashboard Alternative School Status (DASS) schools. (</w:t>
      </w:r>
      <w:hyperlink r:id="rId27" w:tooltip="Modified methods for Dashboard Alternative School Status">
        <w:r w:rsidRPr="00D10954">
          <w:rPr>
            <w:rStyle w:val="Hyperlink"/>
          </w:rPr>
          <w:t>https://www.cde.ca.gov/be/ag/ag/yr18/documents/mar18item01.docx</w:t>
        </w:r>
      </w:hyperlink>
      <w:r w:rsidRPr="00D10954">
        <w:t>)</w:t>
      </w:r>
    </w:p>
    <w:p w14:paraId="1308D7AE" w14:textId="30651433" w:rsidR="00760E82" w:rsidRPr="00D10954" w:rsidRDefault="0AB69CDC">
      <w:pPr>
        <w:pStyle w:val="Body"/>
        <w:spacing w:before="240" w:after="240"/>
      </w:pPr>
      <w:r w:rsidRPr="00D10954">
        <w:t>In April 2018, the SBE approved revisions to California’s Every School Succeeds Act (ESSA) Plan for resubmission to the ED. (</w:t>
      </w:r>
      <w:hyperlink r:id="rId28" w:tooltip="Approved revisions to California’s Every School Succeeds Act" w:history="1">
        <w:r w:rsidR="006866D1" w:rsidRPr="00D10954">
          <w:rPr>
            <w:rStyle w:val="Hyperlink"/>
          </w:rPr>
          <w:t>https://www.cde.ca.gov/be/ag/ag/yr18/documents/apr18item01.docx</w:t>
        </w:r>
      </w:hyperlink>
      <w:r w:rsidRPr="00D10954">
        <w:t>)</w:t>
      </w:r>
    </w:p>
    <w:p w14:paraId="1059DB54" w14:textId="4FEEE094" w:rsidR="00760E82" w:rsidRPr="00D10954" w:rsidRDefault="0AB69CDC" w:rsidP="006866D1">
      <w:pPr>
        <w:pStyle w:val="Body"/>
        <w:spacing w:before="240" w:after="240"/>
      </w:pPr>
      <w:r w:rsidRPr="00D10954">
        <w:t>Also</w:t>
      </w:r>
      <w:r w:rsidR="006967DC" w:rsidRPr="00D10954">
        <w:t>,</w:t>
      </w:r>
      <w:r w:rsidRPr="00D10954">
        <w:t xml:space="preserve"> in April 2018, the SBE received the following Information Memorand</w:t>
      </w:r>
      <w:r w:rsidR="006866D1" w:rsidRPr="00D10954">
        <w:t>a on the o</w:t>
      </w:r>
      <w:r w:rsidRPr="00D10954">
        <w:t xml:space="preserve">ngoing </w:t>
      </w:r>
      <w:r w:rsidR="006866D1" w:rsidRPr="00D10954">
        <w:t>de</w:t>
      </w:r>
      <w:r w:rsidRPr="00D10954">
        <w:t xml:space="preserve">velopment of </w:t>
      </w:r>
      <w:r w:rsidR="006866D1" w:rsidRPr="00D10954">
        <w:t>the n</w:t>
      </w:r>
      <w:r w:rsidRPr="00D10954">
        <w:t xml:space="preserve">ew </w:t>
      </w:r>
      <w:r w:rsidR="006866D1" w:rsidRPr="00D10954">
        <w:t>a</w:t>
      </w:r>
      <w:r w:rsidRPr="00D10954">
        <w:t>ccountability</w:t>
      </w:r>
      <w:r w:rsidR="006866D1" w:rsidRPr="00D10954">
        <w:t xml:space="preserve"> s</w:t>
      </w:r>
      <w:r w:rsidRPr="00D10954">
        <w:t>ystem</w:t>
      </w:r>
      <w:r w:rsidR="006866D1" w:rsidRPr="00D10954">
        <w:t xml:space="preserve"> and the t</w:t>
      </w:r>
      <w:r w:rsidRPr="00D10954">
        <w:t>imeline of S</w:t>
      </w:r>
      <w:r w:rsidR="006866D1" w:rsidRPr="00D10954">
        <w:t>BE a</w:t>
      </w:r>
      <w:r w:rsidRPr="00D10954">
        <w:t xml:space="preserve">genda </w:t>
      </w:r>
      <w:r w:rsidR="006866D1" w:rsidRPr="00D10954">
        <w:t>i</w:t>
      </w:r>
      <w:r w:rsidRPr="00D10954">
        <w:t xml:space="preserve">tems and </w:t>
      </w:r>
      <w:r w:rsidR="006866D1" w:rsidRPr="00D10954">
        <w:t>i</w:t>
      </w:r>
      <w:r w:rsidRPr="00D10954">
        <w:t xml:space="preserve">nformation </w:t>
      </w:r>
      <w:r w:rsidR="006866D1" w:rsidRPr="00D10954">
        <w:t>m</w:t>
      </w:r>
      <w:r w:rsidRPr="00D10954">
        <w:t xml:space="preserve">emoranda </w:t>
      </w:r>
      <w:r w:rsidR="006866D1" w:rsidRPr="00D10954">
        <w:t>r</w:t>
      </w:r>
      <w:r w:rsidRPr="00D10954">
        <w:t>egarding the Dashboard. (</w:t>
      </w:r>
      <w:hyperlink r:id="rId29" w:tooltip="Information memoranda regarding the Dashboard">
        <w:r w:rsidRPr="00D10954">
          <w:rPr>
            <w:rStyle w:val="Hyperlink"/>
          </w:rPr>
          <w:t>https://www.cde.ca.gov/be/pn/im/documents/memo-pptb-amard-mar18item01.docx</w:t>
        </w:r>
      </w:hyperlink>
      <w:r w:rsidRPr="00D10954">
        <w:t>)</w:t>
      </w:r>
    </w:p>
    <w:p w14:paraId="22EAEDC8" w14:textId="3DC4342F" w:rsidR="00760E82" w:rsidRPr="00D10954" w:rsidRDefault="0AB69CDC">
      <w:pPr>
        <w:pStyle w:val="Body"/>
        <w:spacing w:before="240" w:after="240"/>
      </w:pPr>
      <w:r w:rsidRPr="00D10954">
        <w:t>In June 2018, the SBE received an Information Memorandum on the ongoing Development of California’s New Accountability System: Update on Revisions to Calculating the Graduation Rate and Impact on the California School Dashboard. (</w:t>
      </w:r>
      <w:hyperlink r:id="rId30" w:tooltip="Graduation Rate and Impact on the California School Dashboard">
        <w:r w:rsidRPr="00D10954">
          <w:rPr>
            <w:rStyle w:val="Hyperlink"/>
          </w:rPr>
          <w:t>https://www.cde.ca.gov/be/pn/im/documents/memo-pptb-amard-jun18item02.docx</w:t>
        </w:r>
      </w:hyperlink>
      <w:r w:rsidRPr="00D10954">
        <w:t>)</w:t>
      </w:r>
    </w:p>
    <w:p w14:paraId="2AA1E15B" w14:textId="750486E8" w:rsidR="00760E82" w:rsidRPr="00D10954" w:rsidRDefault="0AB69CDC">
      <w:pPr>
        <w:pStyle w:val="Body"/>
        <w:spacing w:before="240" w:after="240"/>
      </w:pPr>
      <w:r w:rsidRPr="00D10954">
        <w:t>In March 2019, the SBE received and approved an update to the continuing developmental work on the Dashboard and revisions that were being considered by the CDE for the 2019 Dashboard. (</w:t>
      </w:r>
      <w:hyperlink r:id="rId31" w:tooltip="Revisions being considered by the CDE for the 2019 Dashboard">
        <w:r w:rsidRPr="00D10954">
          <w:rPr>
            <w:rStyle w:val="Hyperlink"/>
          </w:rPr>
          <w:t>https://www.cde.ca.gov/be/ag/ag/yr19/documents/mar19item17.docx</w:t>
        </w:r>
      </w:hyperlink>
      <w:r w:rsidRPr="00D10954">
        <w:t>)</w:t>
      </w:r>
    </w:p>
    <w:p w14:paraId="735F127D" w14:textId="24091600" w:rsidR="00760E82" w:rsidRPr="00D10954" w:rsidRDefault="0AB69CDC">
      <w:pPr>
        <w:pStyle w:val="Body"/>
        <w:spacing w:before="240" w:after="240"/>
      </w:pPr>
      <w:r w:rsidRPr="00D10954">
        <w:t>In March 2020, the SBE was provided an annual update to the continuing developmental work on the Dashboard and revisions that were being considered by the CDE for the 2020 Dashboard. (</w:t>
      </w:r>
      <w:hyperlink r:id="rId32" w:tooltip="Revisions being considered by the CDE for the 2020 Dashboard">
        <w:r w:rsidRPr="00D10954">
          <w:rPr>
            <w:rStyle w:val="Hyperlink"/>
          </w:rPr>
          <w:t>https://www.cde.ca.gov/be/ag/ag/yr20/documents/mar20item05.docx</w:t>
        </w:r>
      </w:hyperlink>
      <w:r w:rsidRPr="00D10954">
        <w:t>)</w:t>
      </w:r>
    </w:p>
    <w:p w14:paraId="035CDAC3" w14:textId="1E606E28" w:rsidR="00760E82" w:rsidRPr="00D10954" w:rsidRDefault="0AB69CDC">
      <w:pPr>
        <w:pStyle w:val="Body"/>
        <w:spacing w:before="240" w:after="240"/>
      </w:pPr>
      <w:r w:rsidRPr="00D10954">
        <w:t>In May 2021, the CDE provided an annual update on the accountability activities related for 2021. (</w:t>
      </w:r>
      <w:hyperlink r:id="rId33" w:tooltip="Annual update on the accountability activities related for 2021">
        <w:r w:rsidRPr="00D10954">
          <w:rPr>
            <w:rStyle w:val="Hyperlink"/>
          </w:rPr>
          <w:t>https://www.cde.ca.gov/be/ag/ag/yr21/documents/may21item04.docx</w:t>
        </w:r>
      </w:hyperlink>
      <w:r w:rsidRPr="00D10954">
        <w:t>)</w:t>
      </w:r>
    </w:p>
    <w:p w14:paraId="633ECEFC" w14:textId="42415B37" w:rsidR="00760E82" w:rsidRPr="00D10954" w:rsidRDefault="0AB69CDC">
      <w:pPr>
        <w:pStyle w:val="Body"/>
        <w:spacing w:before="240" w:after="240"/>
      </w:pPr>
      <w:r w:rsidRPr="00D10954">
        <w:t>In March 2022, the SBE received an annual update that was being considered by the CDE for the 2022 Dashboard. (</w:t>
      </w:r>
      <w:hyperlink r:id="rId34" w:tooltip="Annual update being considered for 2022 Dashboard">
        <w:r w:rsidRPr="00D10954">
          <w:rPr>
            <w:rStyle w:val="Hyperlink"/>
          </w:rPr>
          <w:t>https://www.cde.ca.gov/be/ag/ag/yr22/documents/mar22item04.docx</w:t>
        </w:r>
      </w:hyperlink>
      <w:r w:rsidRPr="00D10954">
        <w:t>)</w:t>
      </w:r>
    </w:p>
    <w:p w14:paraId="516BFA46" w14:textId="2D144066" w:rsidR="00760E82" w:rsidRPr="00D10954" w:rsidRDefault="240EFE69">
      <w:pPr>
        <w:pStyle w:val="Body"/>
        <w:spacing w:before="240" w:after="240"/>
      </w:pPr>
      <w:r w:rsidRPr="00D10954">
        <w:lastRenderedPageBreak/>
        <w:t>In July 2022, the SBE held a study session on the development history, implementation, and indicators in the Accountability System. (</w:t>
      </w:r>
      <w:hyperlink r:id="rId35" w:tooltip="July 2022 SBE Meeting">
        <w:r w:rsidRPr="00D10954">
          <w:rPr>
            <w:rStyle w:val="Hyperlink"/>
          </w:rPr>
          <w:t>https://www.cde.ca.gov/be/ag/ag/yr22/documents/jul22item02.docx</w:t>
        </w:r>
      </w:hyperlink>
      <w:r w:rsidR="12D69A4D" w:rsidRPr="00D10954">
        <w:t>)</w:t>
      </w:r>
    </w:p>
    <w:p w14:paraId="0F7AA324" w14:textId="16434274" w:rsidR="00760E82" w:rsidRPr="00D10954" w:rsidRDefault="4A21EE4E">
      <w:pPr>
        <w:pStyle w:val="Body"/>
        <w:spacing w:before="240" w:after="240"/>
      </w:pPr>
      <w:r w:rsidRPr="00D10954">
        <w:t>In March 2023, the SBE received an annual update that was being considered by the CDE for the 2023 Dashboard. (</w:t>
      </w:r>
      <w:hyperlink r:id="rId36" w:tooltip="March 2023 SBE Meeting">
        <w:r w:rsidRPr="00D10954">
          <w:rPr>
            <w:rStyle w:val="Hyperlink"/>
          </w:rPr>
          <w:t>https://www.cde.ca.gov/be/ag/ag/yr23/documents/mar23item03.docx</w:t>
        </w:r>
      </w:hyperlink>
      <w:r w:rsidRPr="00D10954">
        <w:t>)</w:t>
      </w:r>
    </w:p>
    <w:p w14:paraId="6ED1455C" w14:textId="77777777" w:rsidR="00760E82" w:rsidRPr="00D10954" w:rsidRDefault="00C30FB3" w:rsidP="005939E2">
      <w:pPr>
        <w:pStyle w:val="Heading2"/>
        <w:spacing w:before="240" w:after="240"/>
      </w:pPr>
      <w:r w:rsidRPr="00D10954">
        <w:rPr>
          <w:lang w:val="de-DE"/>
        </w:rPr>
        <w:t>Attachment(s)</w:t>
      </w:r>
    </w:p>
    <w:p w14:paraId="277E60CF" w14:textId="594FBF9A" w:rsidR="00760E82" w:rsidRPr="00D10954" w:rsidRDefault="00C30FB3" w:rsidP="1BFD5ABA">
      <w:pPr>
        <w:pStyle w:val="ListParagraph"/>
        <w:numPr>
          <w:ilvl w:val="0"/>
          <w:numId w:val="18"/>
        </w:numPr>
        <w:pBdr>
          <w:top w:val="nil"/>
          <w:left w:val="nil"/>
          <w:bottom w:val="nil"/>
          <w:right w:val="nil"/>
          <w:between w:val="nil"/>
          <w:bar w:val="nil"/>
        </w:pBdr>
        <w:spacing w:before="240" w:after="0" w:line="240" w:lineRule="auto"/>
        <w:rPr>
          <w:rFonts w:cs="Arial"/>
        </w:rPr>
      </w:pPr>
      <w:r w:rsidRPr="00D10954">
        <w:rPr>
          <w:rFonts w:cs="Arial"/>
        </w:rPr>
        <w:t xml:space="preserve">Attachment 1: </w:t>
      </w:r>
      <w:r w:rsidR="2F57FC25" w:rsidRPr="00D10954">
        <w:rPr>
          <w:rFonts w:cs="Arial"/>
        </w:rPr>
        <w:t xml:space="preserve">Constructing the Dashboard: </w:t>
      </w:r>
      <w:r w:rsidR="005939E2" w:rsidRPr="00D10954">
        <w:rPr>
          <w:rFonts w:cs="Arial"/>
        </w:rPr>
        <w:t>Setting</w:t>
      </w:r>
      <w:r w:rsidR="2F57FC25" w:rsidRPr="00D10954">
        <w:rPr>
          <w:rFonts w:cs="Arial"/>
        </w:rPr>
        <w:t xml:space="preserve"> Cut Points for Status and Change and Establishing the Performance Level Color Scheme for the Five-by-Five Grid</w:t>
      </w:r>
      <w:r w:rsidR="004161C0" w:rsidRPr="00D10954">
        <w:rPr>
          <w:rFonts w:cs="Arial"/>
        </w:rPr>
        <w:t xml:space="preserve"> (1</w:t>
      </w:r>
      <w:r w:rsidR="006241B1" w:rsidRPr="00D10954">
        <w:rPr>
          <w:rFonts w:cs="Arial"/>
        </w:rPr>
        <w:t>5</w:t>
      </w:r>
      <w:r w:rsidR="004161C0" w:rsidRPr="00D10954">
        <w:rPr>
          <w:rFonts w:cs="Arial"/>
        </w:rPr>
        <w:t xml:space="preserve"> pages)</w:t>
      </w:r>
    </w:p>
    <w:p w14:paraId="3654BFCA" w14:textId="77777777" w:rsidR="00760E82" w:rsidRPr="00D10954" w:rsidRDefault="00760E82">
      <w:pPr>
        <w:pStyle w:val="Body"/>
        <w:spacing w:before="240" w:after="240"/>
        <w:sectPr w:rsidR="00760E82" w:rsidRPr="00D10954" w:rsidSect="00D13BEF">
          <w:headerReference w:type="default" r:id="rId37"/>
          <w:footerReference w:type="default" r:id="rId38"/>
          <w:headerReference w:type="first" r:id="rId39"/>
          <w:footerReference w:type="first" r:id="rId40"/>
          <w:type w:val="continuous"/>
          <w:pgSz w:w="12240" w:h="15840"/>
          <w:pgMar w:top="720" w:right="1440" w:bottom="1440" w:left="1440" w:header="360" w:footer="0" w:gutter="0"/>
          <w:cols w:space="720"/>
          <w:titlePg/>
        </w:sectPr>
      </w:pPr>
    </w:p>
    <w:p w14:paraId="6C4E7302" w14:textId="77777777" w:rsidR="00760E82" w:rsidRPr="00D10954" w:rsidRDefault="00C30FB3" w:rsidP="005939E2">
      <w:pPr>
        <w:pStyle w:val="Heading2"/>
        <w:spacing w:before="0" w:after="240"/>
      </w:pPr>
      <w:r w:rsidRPr="00D10954">
        <w:lastRenderedPageBreak/>
        <w:t>Attachment 1</w:t>
      </w:r>
    </w:p>
    <w:p w14:paraId="294DE8E6" w14:textId="677C03D4" w:rsidR="00760E82" w:rsidRPr="00D10954" w:rsidRDefault="3ECFC53B" w:rsidP="00844A5F">
      <w:pPr>
        <w:pStyle w:val="Heading3"/>
      </w:pPr>
      <w:r w:rsidRPr="00D10954">
        <w:t xml:space="preserve">Constructing the Dashboard: Setting Cut Points for Status and Change and Establishing the </w:t>
      </w:r>
      <w:r w:rsidR="51F54F4D" w:rsidRPr="00D10954">
        <w:t xml:space="preserve">Performance Level </w:t>
      </w:r>
      <w:r w:rsidRPr="00D10954">
        <w:t>Color</w:t>
      </w:r>
      <w:r w:rsidR="6847CDA1" w:rsidRPr="00D10954">
        <w:t xml:space="preserve"> Scheme</w:t>
      </w:r>
      <w:r w:rsidRPr="00D10954">
        <w:t xml:space="preserve"> for the </w:t>
      </w:r>
      <w:r w:rsidR="00844A5F" w:rsidRPr="00D10954">
        <w:t>Five-by-Five</w:t>
      </w:r>
      <w:r w:rsidRPr="00D10954">
        <w:t xml:space="preserve"> Grid</w:t>
      </w:r>
    </w:p>
    <w:p w14:paraId="72D9A735" w14:textId="5BA029CB" w:rsidR="0087433D" w:rsidRPr="00D10954" w:rsidRDefault="0087433D" w:rsidP="00844A5F">
      <w:pPr>
        <w:pStyle w:val="Heading4"/>
      </w:pPr>
      <w:r w:rsidRPr="00D10954">
        <w:t>Background</w:t>
      </w:r>
    </w:p>
    <w:p w14:paraId="750EED3B" w14:textId="52A72084" w:rsidR="00013BE2" w:rsidRPr="00D10954" w:rsidRDefault="00013BE2" w:rsidP="00013BE2">
      <w:pPr>
        <w:rPr>
          <w:rFonts w:cs="Arial"/>
        </w:rPr>
      </w:pPr>
      <w:r w:rsidRPr="00D10954">
        <w:rPr>
          <w:rFonts w:cs="Arial"/>
        </w:rPr>
        <w:t xml:space="preserve">The methodology for calculating performance for state indicators was adopted at the May 2016 State Board of Education (SBE) meeting. The methodology uses equally weighted percentile cut scores for status and change to determine a performance category for each state indicator. It applies to all local educational agencies (LEAs), including charter schools and county offices of education, and to individual school sites, as required by federal law, and presents performance data disaggregated by student subgroups. </w:t>
      </w:r>
    </w:p>
    <w:p w14:paraId="2A70353A" w14:textId="021314B2" w:rsidR="0087433D" w:rsidRPr="00D10954" w:rsidRDefault="00013BE2" w:rsidP="00F41A87">
      <w:pPr>
        <w:rPr>
          <w:rFonts w:cs="Arial"/>
        </w:rPr>
      </w:pPr>
      <w:r w:rsidRPr="00D10954">
        <w:rPr>
          <w:rFonts w:cs="Arial"/>
        </w:rPr>
        <w:t xml:space="preserve">This methodology was </w:t>
      </w:r>
      <w:r w:rsidR="000D2ECA" w:rsidRPr="00D10954">
        <w:rPr>
          <w:rFonts w:cs="Arial"/>
        </w:rPr>
        <w:t>preferable</w:t>
      </w:r>
      <w:r w:rsidRPr="00D10954">
        <w:rPr>
          <w:rFonts w:cs="Arial"/>
        </w:rPr>
        <w:t xml:space="preserve"> because it c</w:t>
      </w:r>
      <w:r w:rsidR="00F41A87" w:rsidRPr="00D10954">
        <w:rPr>
          <w:rFonts w:cs="Arial"/>
        </w:rPr>
        <w:t>ould</w:t>
      </w:r>
      <w:r w:rsidRPr="00D10954">
        <w:rPr>
          <w:rFonts w:cs="Arial"/>
        </w:rPr>
        <w:t xml:space="preserve"> effectively control for variation and was likely to yield a more reliable measure of improvement. </w:t>
      </w:r>
      <w:r w:rsidR="000D2ECA" w:rsidRPr="00D10954">
        <w:rPr>
          <w:rFonts w:cs="Arial"/>
        </w:rPr>
        <w:t xml:space="preserve">This is in contrast to </w:t>
      </w:r>
      <w:r w:rsidR="00F41A87" w:rsidRPr="00D10954">
        <w:rPr>
          <w:rFonts w:cs="Arial"/>
        </w:rPr>
        <w:t xml:space="preserve">the prior methodology under the No Child Left Behind which set a </w:t>
      </w:r>
      <w:r w:rsidR="10224188" w:rsidRPr="00D10954">
        <w:rPr>
          <w:rFonts w:cs="Arial"/>
        </w:rPr>
        <w:t xml:space="preserve">singular </w:t>
      </w:r>
      <w:r w:rsidR="0EF93051" w:rsidRPr="00D10954">
        <w:rPr>
          <w:rFonts w:cs="Arial"/>
        </w:rPr>
        <w:t>bar</w:t>
      </w:r>
      <w:r w:rsidR="00F41A87" w:rsidRPr="00D10954">
        <w:rPr>
          <w:rFonts w:cs="Arial"/>
        </w:rPr>
        <w:t xml:space="preserve"> for schools to demonstrate </w:t>
      </w:r>
      <w:r w:rsidR="29462AAF" w:rsidRPr="00D10954">
        <w:rPr>
          <w:rFonts w:cs="Arial"/>
        </w:rPr>
        <w:t>improvement</w:t>
      </w:r>
      <w:r w:rsidR="5A80ED1A" w:rsidRPr="00D10954">
        <w:rPr>
          <w:rFonts w:cs="Arial"/>
        </w:rPr>
        <w:t>.</w:t>
      </w:r>
      <w:r w:rsidR="06417A08" w:rsidRPr="00D10954">
        <w:rPr>
          <w:rFonts w:cs="Arial"/>
          <w:b/>
          <w:bCs/>
        </w:rPr>
        <w:t xml:space="preserve"> </w:t>
      </w:r>
      <w:r w:rsidR="00F41A87" w:rsidRPr="00D10954">
        <w:rPr>
          <w:rFonts w:cs="Arial"/>
        </w:rPr>
        <w:t xml:space="preserve"> </w:t>
      </w:r>
      <w:r w:rsidRPr="00D10954">
        <w:rPr>
          <w:rFonts w:cs="Arial"/>
        </w:rPr>
        <w:t xml:space="preserve">Additionally, </w:t>
      </w:r>
      <w:r w:rsidR="00F41A87" w:rsidRPr="00D10954">
        <w:rPr>
          <w:rFonts w:cs="Arial"/>
        </w:rPr>
        <w:t>users found</w:t>
      </w:r>
      <w:r w:rsidRPr="00D10954">
        <w:rPr>
          <w:rFonts w:cs="Arial"/>
        </w:rPr>
        <w:t xml:space="preserve"> the methodology was </w:t>
      </w:r>
      <w:r w:rsidRPr="00D10954">
        <w:rPr>
          <w:rFonts w:cs="Arial"/>
          <w:color w:val="000000" w:themeColor="text1"/>
        </w:rPr>
        <w:t>easier to explain than many of the alternative approaches and supports reporting the results in manner that is transparent and accessible.</w:t>
      </w:r>
      <w:r w:rsidRPr="00D10954">
        <w:rPr>
          <w:rFonts w:cs="Arial"/>
        </w:rPr>
        <w:t xml:space="preserve"> </w:t>
      </w:r>
    </w:p>
    <w:p w14:paraId="15FB3F39" w14:textId="00C2D663" w:rsidR="00625B36" w:rsidRPr="00D10954" w:rsidRDefault="000D2ECA" w:rsidP="00604C1F">
      <w:pPr>
        <w:rPr>
          <w:rFonts w:cs="Arial"/>
          <w:color w:val="000000"/>
        </w:rPr>
      </w:pPr>
      <w:r w:rsidRPr="00D10954">
        <w:rPr>
          <w:rFonts w:cs="Arial"/>
          <w:color w:val="000000"/>
        </w:rPr>
        <w:t xml:space="preserve">The methodology determines </w:t>
      </w:r>
      <w:r w:rsidR="00604C1F" w:rsidRPr="00D10954">
        <w:rPr>
          <w:rFonts w:cs="Arial"/>
          <w:color w:val="000000"/>
        </w:rPr>
        <w:t>status and change</w:t>
      </w:r>
      <w:r w:rsidRPr="00D10954">
        <w:rPr>
          <w:rFonts w:cs="Arial"/>
          <w:color w:val="000000"/>
        </w:rPr>
        <w:t xml:space="preserve"> from an initial distribution and </w:t>
      </w:r>
      <w:r w:rsidR="00604C1F" w:rsidRPr="00D10954">
        <w:rPr>
          <w:rFonts w:cs="Arial"/>
          <w:color w:val="000000"/>
        </w:rPr>
        <w:t>h</w:t>
      </w:r>
      <w:r w:rsidRPr="00D10954">
        <w:rPr>
          <w:rFonts w:cs="Arial"/>
          <w:color w:val="000000"/>
        </w:rPr>
        <w:t>old</w:t>
      </w:r>
      <w:r w:rsidR="00604C1F" w:rsidRPr="00D10954">
        <w:rPr>
          <w:rFonts w:cs="Arial"/>
          <w:color w:val="000000"/>
        </w:rPr>
        <w:t>s</w:t>
      </w:r>
      <w:r w:rsidRPr="00D10954">
        <w:rPr>
          <w:rFonts w:cs="Arial"/>
          <w:color w:val="000000"/>
        </w:rPr>
        <w:t xml:space="preserve"> them fixed for a number of years</w:t>
      </w:r>
      <w:r w:rsidR="00604C1F" w:rsidRPr="00D10954">
        <w:rPr>
          <w:rFonts w:cs="Arial"/>
          <w:color w:val="000000"/>
        </w:rPr>
        <w:t xml:space="preserve"> as described in the initial overview. The SBE subsequently has considered cut scores for each indicator based on the distribution described below for </w:t>
      </w:r>
      <w:r w:rsidR="00604C1F" w:rsidRPr="00D10954">
        <w:rPr>
          <w:rStyle w:val="Strong"/>
          <w:rFonts w:cs="Arial"/>
          <w:b w:val="0"/>
          <w:bCs w:val="0"/>
          <w:color w:val="000000"/>
          <w:shd w:val="clear" w:color="auto" w:fill="FFFFFF"/>
        </w:rPr>
        <w:t>status and change</w:t>
      </w:r>
      <w:r w:rsidR="00625B36" w:rsidRPr="00D10954">
        <w:rPr>
          <w:rStyle w:val="Strong"/>
          <w:rFonts w:cs="Arial"/>
          <w:b w:val="0"/>
          <w:bCs w:val="0"/>
          <w:color w:val="000000"/>
          <w:shd w:val="clear" w:color="auto" w:fill="FFFFFF"/>
        </w:rPr>
        <w:t>.</w:t>
      </w:r>
    </w:p>
    <w:p w14:paraId="3B06B5F5" w14:textId="0423F77A" w:rsidR="30D1C8DE" w:rsidRPr="00D10954" w:rsidRDefault="30D1C8DE" w:rsidP="00844A5F">
      <w:pPr>
        <w:pStyle w:val="Heading4"/>
      </w:pPr>
      <w:r w:rsidRPr="00D10954">
        <w:t>How Status is Determined</w:t>
      </w:r>
    </w:p>
    <w:p w14:paraId="1277B3F9" w14:textId="7FB28737" w:rsidR="30D1C8DE" w:rsidRPr="00D10954" w:rsidRDefault="30D1C8DE" w:rsidP="005939E2">
      <w:pPr>
        <w:rPr>
          <w:rFonts w:eastAsia="Arial" w:cs="Arial"/>
          <w:color w:val="000000" w:themeColor="text1"/>
        </w:rPr>
      </w:pPr>
      <w:r w:rsidRPr="00D10954">
        <w:rPr>
          <w:rFonts w:eastAsia="Arial" w:cs="Arial"/>
          <w:color w:val="000000" w:themeColor="text1"/>
        </w:rPr>
        <w:t>Status is determined using the current year performance (i.e., current year chronic absenteeism rate). The results for all LEAs were ordered from highest to lowest</w:t>
      </w:r>
      <w:r w:rsidR="00CF059F" w:rsidRPr="00D10954">
        <w:rPr>
          <w:rFonts w:eastAsia="Arial" w:cs="Arial"/>
          <w:color w:val="000000" w:themeColor="text1"/>
        </w:rPr>
        <w:t xml:space="preserve"> (see Table</w:t>
      </w:r>
      <w:r w:rsidR="094BED63" w:rsidRPr="00D10954">
        <w:rPr>
          <w:rFonts w:eastAsia="Arial" w:cs="Arial"/>
          <w:color w:val="000000" w:themeColor="text1"/>
        </w:rPr>
        <w:t>s</w:t>
      </w:r>
      <w:r w:rsidR="00CF059F" w:rsidRPr="00D10954">
        <w:rPr>
          <w:rFonts w:eastAsia="Arial" w:cs="Arial"/>
          <w:color w:val="000000" w:themeColor="text1"/>
        </w:rPr>
        <w:t xml:space="preserve"> 1 </w:t>
      </w:r>
      <w:r w:rsidR="27342BF2" w:rsidRPr="00D10954">
        <w:rPr>
          <w:rFonts w:eastAsia="Arial" w:cs="Arial"/>
          <w:color w:val="000000" w:themeColor="text1"/>
        </w:rPr>
        <w:t xml:space="preserve">and 3 </w:t>
      </w:r>
      <w:r w:rsidR="00CF059F" w:rsidRPr="00D10954">
        <w:rPr>
          <w:rFonts w:eastAsia="Arial" w:cs="Arial"/>
          <w:color w:val="000000" w:themeColor="text1"/>
        </w:rPr>
        <w:t>for example</w:t>
      </w:r>
      <w:r w:rsidR="1D474F03" w:rsidRPr="00D10954">
        <w:rPr>
          <w:rFonts w:eastAsia="Arial" w:cs="Arial"/>
          <w:color w:val="000000" w:themeColor="text1"/>
        </w:rPr>
        <w:t>s</w:t>
      </w:r>
      <w:r w:rsidR="00CF059F" w:rsidRPr="00D10954">
        <w:rPr>
          <w:rFonts w:eastAsia="Arial" w:cs="Arial"/>
          <w:color w:val="000000" w:themeColor="text1"/>
        </w:rPr>
        <w:t>)</w:t>
      </w:r>
      <w:r w:rsidRPr="00D10954">
        <w:rPr>
          <w:rFonts w:eastAsia="Arial" w:cs="Arial"/>
          <w:color w:val="000000" w:themeColor="text1"/>
        </w:rPr>
        <w:t>, or in the case of chronic absenteeism and suspension rates, lowest to highest, and four cut points were selected based on the distribution. These cut points created five “Status” levels which are:</w:t>
      </w:r>
    </w:p>
    <w:p w14:paraId="3037CEE8" w14:textId="73CC7C22" w:rsidR="30D1C8DE" w:rsidRPr="00D10954" w:rsidRDefault="30D1C8DE" w:rsidP="005D6C1F">
      <w:pPr>
        <w:pStyle w:val="ListParagraph"/>
        <w:numPr>
          <w:ilvl w:val="0"/>
          <w:numId w:val="1"/>
        </w:numPr>
        <w:spacing w:after="0" w:line="240" w:lineRule="auto"/>
        <w:rPr>
          <w:rFonts w:eastAsia="Arial" w:cs="Arial"/>
          <w:color w:val="000000" w:themeColor="text1"/>
        </w:rPr>
      </w:pPr>
      <w:r w:rsidRPr="00D10954">
        <w:rPr>
          <w:rFonts w:eastAsia="Arial" w:cs="Arial"/>
          <w:color w:val="000000" w:themeColor="text1"/>
        </w:rPr>
        <w:t>Very High</w:t>
      </w:r>
    </w:p>
    <w:p w14:paraId="6E7009F8" w14:textId="69A31A52" w:rsidR="30D1C8DE" w:rsidRPr="00D10954" w:rsidRDefault="30D1C8DE" w:rsidP="005D6C1F">
      <w:pPr>
        <w:pStyle w:val="ListParagraph"/>
        <w:numPr>
          <w:ilvl w:val="0"/>
          <w:numId w:val="1"/>
        </w:numPr>
        <w:spacing w:after="0" w:line="240" w:lineRule="auto"/>
        <w:rPr>
          <w:rFonts w:eastAsia="Arial" w:cs="Arial"/>
          <w:color w:val="000000" w:themeColor="text1"/>
        </w:rPr>
      </w:pPr>
      <w:r w:rsidRPr="00D10954">
        <w:rPr>
          <w:rFonts w:eastAsia="Arial" w:cs="Arial"/>
          <w:color w:val="000000" w:themeColor="text1"/>
        </w:rPr>
        <w:t>High</w:t>
      </w:r>
    </w:p>
    <w:p w14:paraId="1A801B15" w14:textId="2114A518" w:rsidR="30D1C8DE" w:rsidRPr="00D10954" w:rsidRDefault="30D1C8DE" w:rsidP="005D6C1F">
      <w:pPr>
        <w:pStyle w:val="ListParagraph"/>
        <w:numPr>
          <w:ilvl w:val="0"/>
          <w:numId w:val="1"/>
        </w:numPr>
        <w:spacing w:after="0" w:line="240" w:lineRule="auto"/>
        <w:rPr>
          <w:rFonts w:eastAsia="Arial" w:cs="Arial"/>
          <w:color w:val="000000" w:themeColor="text1"/>
        </w:rPr>
      </w:pPr>
      <w:r w:rsidRPr="00D10954">
        <w:rPr>
          <w:rFonts w:eastAsia="Arial" w:cs="Arial"/>
          <w:color w:val="000000" w:themeColor="text1"/>
        </w:rPr>
        <w:t>Medi</w:t>
      </w:r>
      <w:r w:rsidR="39CE7373" w:rsidRPr="00D10954">
        <w:rPr>
          <w:rFonts w:eastAsia="Arial" w:cs="Arial"/>
          <w:color w:val="000000" w:themeColor="text1"/>
        </w:rPr>
        <w:t>um</w:t>
      </w:r>
    </w:p>
    <w:p w14:paraId="06D21D4F" w14:textId="39B2D4C5" w:rsidR="30D1C8DE" w:rsidRPr="00D10954" w:rsidRDefault="30D1C8DE" w:rsidP="005D6C1F">
      <w:pPr>
        <w:pStyle w:val="ListParagraph"/>
        <w:numPr>
          <w:ilvl w:val="0"/>
          <w:numId w:val="1"/>
        </w:numPr>
        <w:spacing w:after="0" w:line="240" w:lineRule="auto"/>
        <w:rPr>
          <w:rFonts w:eastAsia="Arial" w:cs="Arial"/>
          <w:color w:val="000000" w:themeColor="text1"/>
        </w:rPr>
      </w:pPr>
      <w:r w:rsidRPr="00D10954">
        <w:rPr>
          <w:rFonts w:eastAsia="Arial" w:cs="Arial"/>
          <w:color w:val="000000" w:themeColor="text1"/>
        </w:rPr>
        <w:t>Low</w:t>
      </w:r>
    </w:p>
    <w:p w14:paraId="1D21163D" w14:textId="5805541E" w:rsidR="30D1C8DE" w:rsidRPr="00D10954" w:rsidRDefault="30D1C8DE" w:rsidP="005D6C1F">
      <w:pPr>
        <w:pStyle w:val="ListParagraph"/>
        <w:numPr>
          <w:ilvl w:val="0"/>
          <w:numId w:val="1"/>
        </w:numPr>
        <w:spacing w:after="240" w:line="240" w:lineRule="auto"/>
        <w:rPr>
          <w:rFonts w:eastAsia="Arial" w:cs="Arial"/>
          <w:color w:val="000000" w:themeColor="text1"/>
        </w:rPr>
      </w:pPr>
      <w:r w:rsidRPr="00D10954">
        <w:rPr>
          <w:rFonts w:eastAsia="Arial" w:cs="Arial"/>
          <w:color w:val="000000" w:themeColor="text1"/>
        </w:rPr>
        <w:t>Very Low</w:t>
      </w:r>
    </w:p>
    <w:p w14:paraId="1879DA3A" w14:textId="191BC494" w:rsidR="1AF36964" w:rsidRPr="00D10954" w:rsidRDefault="1AF36964" w:rsidP="007A20B5">
      <w:pPr>
        <w:rPr>
          <w:color w:val="000000" w:themeColor="text1"/>
        </w:rPr>
      </w:pPr>
      <w:r w:rsidRPr="00D10954">
        <w:rPr>
          <w:color w:val="000000" w:themeColor="text1"/>
        </w:rPr>
        <w:t xml:space="preserve">The </w:t>
      </w:r>
      <w:r w:rsidR="00CF059F" w:rsidRPr="00D10954">
        <w:rPr>
          <w:color w:val="000000" w:themeColor="text1"/>
        </w:rPr>
        <w:t>first of the five</w:t>
      </w:r>
      <w:r w:rsidRPr="00D10954">
        <w:rPr>
          <w:color w:val="000000" w:themeColor="text1"/>
        </w:rPr>
        <w:t xml:space="preserve"> </w:t>
      </w:r>
      <w:r w:rsidR="2DB95F58" w:rsidRPr="00D10954">
        <w:rPr>
          <w:color w:val="000000" w:themeColor="text1"/>
        </w:rPr>
        <w:t xml:space="preserve">status </w:t>
      </w:r>
      <w:r w:rsidRPr="00D10954">
        <w:rPr>
          <w:color w:val="000000" w:themeColor="text1"/>
        </w:rPr>
        <w:t>cut point</w:t>
      </w:r>
      <w:r w:rsidR="00CF059F" w:rsidRPr="00D10954">
        <w:rPr>
          <w:color w:val="000000" w:themeColor="text1"/>
        </w:rPr>
        <w:t>s</w:t>
      </w:r>
      <w:r w:rsidRPr="00D10954">
        <w:rPr>
          <w:color w:val="000000" w:themeColor="text1"/>
        </w:rPr>
        <w:t xml:space="preserve"> set is the lowest achievable cut point, which is either “Very Low</w:t>
      </w:r>
      <w:r w:rsidR="703C3620" w:rsidRPr="00D10954">
        <w:rPr>
          <w:color w:val="000000" w:themeColor="text1"/>
        </w:rPr>
        <w:t>,</w:t>
      </w:r>
      <w:r w:rsidRPr="00D10954">
        <w:rPr>
          <w:color w:val="000000" w:themeColor="text1"/>
        </w:rPr>
        <w:t xml:space="preserve">” or “Very High” </w:t>
      </w:r>
      <w:r w:rsidR="190E5DC7" w:rsidRPr="00D10954">
        <w:rPr>
          <w:color w:val="000000" w:themeColor="text1"/>
        </w:rPr>
        <w:t>for the Suspension Rate and Chronic Absenteeism Indicators</w:t>
      </w:r>
      <w:r w:rsidRPr="00D10954">
        <w:rPr>
          <w:color w:val="000000" w:themeColor="text1"/>
        </w:rPr>
        <w:t>. This</w:t>
      </w:r>
      <w:r w:rsidR="56DA566C" w:rsidRPr="00D10954">
        <w:rPr>
          <w:color w:val="000000" w:themeColor="text1"/>
        </w:rPr>
        <w:t xml:space="preserve"> status</w:t>
      </w:r>
      <w:r w:rsidRPr="00D10954">
        <w:rPr>
          <w:color w:val="000000" w:themeColor="text1"/>
        </w:rPr>
        <w:t xml:space="preserve"> level signifies the status </w:t>
      </w:r>
      <w:r w:rsidR="5331B831" w:rsidRPr="00D10954">
        <w:rPr>
          <w:color w:val="000000" w:themeColor="text1"/>
        </w:rPr>
        <w:t>level that i</w:t>
      </w:r>
      <w:r w:rsidR="183D33C7" w:rsidRPr="00D10954">
        <w:rPr>
          <w:color w:val="000000" w:themeColor="text1"/>
        </w:rPr>
        <w:t>s either a federally required minimum (as is the case with Graduation Rate) or a level of achievement that is repre</w:t>
      </w:r>
      <w:r w:rsidR="02679509" w:rsidRPr="00D10954">
        <w:rPr>
          <w:color w:val="000000" w:themeColor="text1"/>
        </w:rPr>
        <w:t xml:space="preserve">sentative of </w:t>
      </w:r>
      <w:r w:rsidR="02966DC7" w:rsidRPr="00D10954">
        <w:rPr>
          <w:color w:val="000000" w:themeColor="text1"/>
        </w:rPr>
        <w:t xml:space="preserve">the bottom </w:t>
      </w:r>
      <w:r w:rsidR="02679509" w:rsidRPr="00D10954">
        <w:rPr>
          <w:color w:val="000000" w:themeColor="text1"/>
        </w:rPr>
        <w:t>5</w:t>
      </w:r>
      <w:r w:rsidR="00127CAF" w:rsidRPr="00D10954">
        <w:rPr>
          <w:color w:val="000000" w:themeColor="text1"/>
        </w:rPr>
        <w:t xml:space="preserve"> to </w:t>
      </w:r>
      <w:r w:rsidR="02679509" w:rsidRPr="00D10954">
        <w:rPr>
          <w:color w:val="000000" w:themeColor="text1"/>
        </w:rPr>
        <w:t>10</w:t>
      </w:r>
      <w:r w:rsidR="00127CAF" w:rsidRPr="00D10954">
        <w:rPr>
          <w:color w:val="000000" w:themeColor="text1"/>
        </w:rPr>
        <w:t xml:space="preserve"> percent</w:t>
      </w:r>
      <w:r w:rsidR="02679509" w:rsidRPr="00D10954">
        <w:rPr>
          <w:color w:val="000000" w:themeColor="text1"/>
        </w:rPr>
        <w:t xml:space="preserve"> of the LEA distribution.</w:t>
      </w:r>
    </w:p>
    <w:p w14:paraId="107AD7E2" w14:textId="36D0AA51" w:rsidR="02679509" w:rsidRPr="00D10954" w:rsidRDefault="02679509" w:rsidP="007A20B5">
      <w:pPr>
        <w:rPr>
          <w:color w:val="000000" w:themeColor="text1"/>
        </w:rPr>
      </w:pPr>
      <w:r w:rsidRPr="00D10954">
        <w:rPr>
          <w:color w:val="000000" w:themeColor="text1"/>
        </w:rPr>
        <w:lastRenderedPageBreak/>
        <w:t xml:space="preserve">The next </w:t>
      </w:r>
      <w:r w:rsidR="0EEB05CF" w:rsidRPr="00D10954">
        <w:rPr>
          <w:color w:val="000000" w:themeColor="text1"/>
        </w:rPr>
        <w:t xml:space="preserve">status </w:t>
      </w:r>
      <w:r w:rsidRPr="00D10954">
        <w:rPr>
          <w:color w:val="000000" w:themeColor="text1"/>
        </w:rPr>
        <w:t>cut point</w:t>
      </w:r>
      <w:r w:rsidR="00CF059F" w:rsidRPr="00D10954">
        <w:rPr>
          <w:color w:val="000000" w:themeColor="text1"/>
        </w:rPr>
        <w:t xml:space="preserve"> set</w:t>
      </w:r>
      <w:r w:rsidRPr="00D10954">
        <w:rPr>
          <w:color w:val="000000" w:themeColor="text1"/>
        </w:rPr>
        <w:t xml:space="preserve"> is that of “High,” or “Low” for </w:t>
      </w:r>
      <w:r w:rsidR="68209E05" w:rsidRPr="00D10954">
        <w:rPr>
          <w:color w:val="000000" w:themeColor="text1"/>
        </w:rPr>
        <w:t xml:space="preserve">the </w:t>
      </w:r>
      <w:r w:rsidRPr="00D10954">
        <w:rPr>
          <w:color w:val="000000" w:themeColor="text1"/>
        </w:rPr>
        <w:t xml:space="preserve">Suspension </w:t>
      </w:r>
      <w:r w:rsidR="06BC6E32" w:rsidRPr="00D10954">
        <w:rPr>
          <w:color w:val="000000" w:themeColor="text1"/>
        </w:rPr>
        <w:t xml:space="preserve">Rate </w:t>
      </w:r>
      <w:r w:rsidRPr="00D10954">
        <w:rPr>
          <w:color w:val="000000" w:themeColor="text1"/>
        </w:rPr>
        <w:t>and Chronic Absenteeism</w:t>
      </w:r>
      <w:r w:rsidR="56B1104F" w:rsidRPr="00D10954">
        <w:rPr>
          <w:color w:val="000000" w:themeColor="text1"/>
        </w:rPr>
        <w:t xml:space="preserve"> Indicators</w:t>
      </w:r>
      <w:r w:rsidRPr="00D10954">
        <w:rPr>
          <w:color w:val="000000" w:themeColor="text1"/>
        </w:rPr>
        <w:t>.</w:t>
      </w:r>
      <w:r w:rsidR="6AC3B582" w:rsidRPr="00D10954">
        <w:rPr>
          <w:color w:val="000000" w:themeColor="text1"/>
        </w:rPr>
        <w:t xml:space="preserve"> This </w:t>
      </w:r>
      <w:r w:rsidR="7714EB17" w:rsidRPr="00D10954">
        <w:rPr>
          <w:color w:val="000000" w:themeColor="text1"/>
        </w:rPr>
        <w:t xml:space="preserve">status </w:t>
      </w:r>
      <w:r w:rsidR="6AC3B582" w:rsidRPr="00D10954">
        <w:rPr>
          <w:color w:val="000000" w:themeColor="text1"/>
        </w:rPr>
        <w:t xml:space="preserve">level signifies the status level that is </w:t>
      </w:r>
      <w:r w:rsidR="6A76DF1D" w:rsidRPr="00D10954">
        <w:rPr>
          <w:color w:val="000000" w:themeColor="text1"/>
        </w:rPr>
        <w:t xml:space="preserve">the goal for the state, </w:t>
      </w:r>
      <w:r w:rsidR="6AC3B582" w:rsidRPr="00D10954">
        <w:rPr>
          <w:color w:val="000000" w:themeColor="text1"/>
        </w:rPr>
        <w:t xml:space="preserve">either a federally required goal (as is the case with Graduation Rate) or </w:t>
      </w:r>
      <w:r w:rsidR="0BD40F13" w:rsidRPr="00D10954">
        <w:rPr>
          <w:color w:val="000000" w:themeColor="text1"/>
        </w:rPr>
        <w:t>a</w:t>
      </w:r>
      <w:r w:rsidR="6AC3B582" w:rsidRPr="00D10954">
        <w:rPr>
          <w:color w:val="000000" w:themeColor="text1"/>
        </w:rPr>
        <w:t xml:space="preserve"> level of achievement that is representative of the</w:t>
      </w:r>
      <w:r w:rsidR="650538C8" w:rsidRPr="00D10954">
        <w:rPr>
          <w:color w:val="000000" w:themeColor="text1"/>
        </w:rPr>
        <w:t xml:space="preserve"> </w:t>
      </w:r>
      <w:r w:rsidR="4AB2830F" w:rsidRPr="00D10954">
        <w:rPr>
          <w:color w:val="000000" w:themeColor="text1"/>
        </w:rPr>
        <w:t>60</w:t>
      </w:r>
      <w:r w:rsidR="44B92A1C" w:rsidRPr="00D10954">
        <w:rPr>
          <w:color w:val="000000" w:themeColor="text1"/>
          <w:vertAlign w:val="superscript"/>
        </w:rPr>
        <w:t>th</w:t>
      </w:r>
      <w:r w:rsidR="44B92A1C" w:rsidRPr="00D10954">
        <w:rPr>
          <w:color w:val="000000" w:themeColor="text1"/>
        </w:rPr>
        <w:t xml:space="preserve"> percentile and above</w:t>
      </w:r>
      <w:r w:rsidR="6AC3B582" w:rsidRPr="00D10954">
        <w:rPr>
          <w:color w:val="000000" w:themeColor="text1"/>
        </w:rPr>
        <w:t xml:space="preserve"> of the distribution.</w:t>
      </w:r>
    </w:p>
    <w:p w14:paraId="3B10061D" w14:textId="330363A0" w:rsidR="6AC3B582" w:rsidRPr="00D10954" w:rsidRDefault="6AC3B582" w:rsidP="007A20B5">
      <w:pPr>
        <w:rPr>
          <w:color w:val="000000" w:themeColor="text1"/>
        </w:rPr>
      </w:pPr>
      <w:r w:rsidRPr="00D10954">
        <w:rPr>
          <w:color w:val="000000" w:themeColor="text1"/>
        </w:rPr>
        <w:t>The remaining cut points for status are set around these established levels, with a goal of the “Medi</w:t>
      </w:r>
      <w:r w:rsidR="2507517D" w:rsidRPr="00D10954">
        <w:rPr>
          <w:color w:val="000000" w:themeColor="text1"/>
        </w:rPr>
        <w:t>um</w:t>
      </w:r>
      <w:r w:rsidRPr="00D10954">
        <w:rPr>
          <w:color w:val="000000" w:themeColor="text1"/>
        </w:rPr>
        <w:t>”</w:t>
      </w:r>
      <w:r w:rsidR="7B958956" w:rsidRPr="00D10954">
        <w:rPr>
          <w:color w:val="000000" w:themeColor="text1"/>
        </w:rPr>
        <w:t xml:space="preserve"> status level to include the largest portion of the distribution</w:t>
      </w:r>
      <w:r w:rsidR="44B1C718" w:rsidRPr="00D10954">
        <w:rPr>
          <w:color w:val="000000" w:themeColor="text1"/>
        </w:rPr>
        <w:t xml:space="preserve"> and create a normal distribution</w:t>
      </w:r>
      <w:r w:rsidR="7B958956" w:rsidRPr="00D10954">
        <w:rPr>
          <w:color w:val="000000" w:themeColor="text1"/>
        </w:rPr>
        <w:t>.</w:t>
      </w:r>
    </w:p>
    <w:p w14:paraId="3807AEE2" w14:textId="62466F02" w:rsidR="30D1C8DE" w:rsidRPr="00D10954" w:rsidRDefault="005D6C1F" w:rsidP="005D6C1F">
      <w:pPr>
        <w:pStyle w:val="Heading3"/>
        <w:rPr>
          <w:sz w:val="24"/>
        </w:rPr>
      </w:pPr>
      <w:r w:rsidRPr="00D10954">
        <w:rPr>
          <w:sz w:val="24"/>
        </w:rPr>
        <w:t xml:space="preserve">Review of the Process Used to Adopt </w:t>
      </w:r>
      <w:r w:rsidR="30D1C8DE" w:rsidRPr="00D10954">
        <w:rPr>
          <w:sz w:val="24"/>
        </w:rPr>
        <w:t xml:space="preserve">Status Levels for </w:t>
      </w:r>
      <w:r w:rsidR="018AB9EF" w:rsidRPr="00D10954">
        <w:rPr>
          <w:sz w:val="24"/>
        </w:rPr>
        <w:t xml:space="preserve">Existing </w:t>
      </w:r>
      <w:r w:rsidR="32982BA2" w:rsidRPr="00D10954">
        <w:rPr>
          <w:sz w:val="24"/>
        </w:rPr>
        <w:t>Indicators</w:t>
      </w:r>
    </w:p>
    <w:p w14:paraId="2E55FE90" w14:textId="31D19217" w:rsidR="32982BA2" w:rsidRPr="00D10954" w:rsidRDefault="3B84D681" w:rsidP="00F345FB">
      <w:pPr>
        <w:pStyle w:val="Heading4"/>
      </w:pPr>
      <w:r w:rsidRPr="00D10954">
        <w:t>Graduation Rate</w:t>
      </w:r>
    </w:p>
    <w:p w14:paraId="470648CC" w14:textId="1E21FF58" w:rsidR="4B500F6A" w:rsidRPr="00D10954" w:rsidRDefault="23EBA146" w:rsidP="6944AD4D">
      <w:pPr>
        <w:rPr>
          <w:rFonts w:eastAsia="Arial" w:cs="Arial"/>
          <w:color w:val="000000" w:themeColor="text1"/>
        </w:rPr>
      </w:pPr>
      <w:r w:rsidRPr="00D10954">
        <w:rPr>
          <w:rFonts w:eastAsia="Arial" w:cs="Arial"/>
          <w:color w:val="000000" w:themeColor="text1"/>
        </w:rPr>
        <w:t>To demonstrate how this works, we can revisit how the status levels were set for the Graduation Rate Indicator in 201</w:t>
      </w:r>
      <w:r w:rsidR="2C30FBA6" w:rsidRPr="00D10954">
        <w:rPr>
          <w:rFonts w:eastAsia="Arial" w:cs="Arial"/>
          <w:color w:val="000000" w:themeColor="text1"/>
        </w:rPr>
        <w:t>8</w:t>
      </w:r>
      <w:r w:rsidRPr="00D10954">
        <w:rPr>
          <w:rFonts w:eastAsia="Arial" w:cs="Arial"/>
          <w:color w:val="000000" w:themeColor="text1"/>
        </w:rPr>
        <w:t>.</w:t>
      </w:r>
      <w:r w:rsidR="4E34678B" w:rsidRPr="00D10954">
        <w:rPr>
          <w:rFonts w:eastAsia="Arial" w:cs="Arial"/>
          <w:color w:val="000000" w:themeColor="text1"/>
        </w:rPr>
        <w:t xml:space="preserve"> Since the Local Control Funding Formula is oriented towards support for LEAs, the distribution of all LEA </w:t>
      </w:r>
      <w:r w:rsidR="597C2E4B" w:rsidRPr="00D10954">
        <w:rPr>
          <w:rFonts w:eastAsia="Arial" w:cs="Arial"/>
          <w:color w:val="000000" w:themeColor="text1"/>
        </w:rPr>
        <w:t>graduation</w:t>
      </w:r>
      <w:r w:rsidR="4E34678B" w:rsidRPr="00D10954">
        <w:rPr>
          <w:rFonts w:eastAsia="Arial" w:cs="Arial"/>
          <w:color w:val="000000" w:themeColor="text1"/>
        </w:rPr>
        <w:t xml:space="preserve"> rates </w:t>
      </w:r>
      <w:r w:rsidR="006967DC" w:rsidRPr="00D10954">
        <w:rPr>
          <w:rFonts w:eastAsia="Arial" w:cs="Arial"/>
          <w:color w:val="000000" w:themeColor="text1"/>
        </w:rPr>
        <w:t>was</w:t>
      </w:r>
      <w:r w:rsidR="4E34678B" w:rsidRPr="00D10954">
        <w:rPr>
          <w:rFonts w:eastAsia="Arial" w:cs="Arial"/>
          <w:color w:val="000000" w:themeColor="text1"/>
        </w:rPr>
        <w:t xml:space="preserve"> used to set the cut points. This includes County Office of Education, District and charter school </w:t>
      </w:r>
      <w:r w:rsidR="00BB0609" w:rsidRPr="00D10954">
        <w:rPr>
          <w:rFonts w:eastAsia="Arial" w:cs="Arial"/>
          <w:color w:val="000000" w:themeColor="text1"/>
        </w:rPr>
        <w:t>graduation rate</w:t>
      </w:r>
      <w:r w:rsidR="4E34678B" w:rsidRPr="00D10954">
        <w:rPr>
          <w:rFonts w:eastAsia="Arial" w:cs="Arial"/>
          <w:color w:val="000000" w:themeColor="text1"/>
        </w:rPr>
        <w:t xml:space="preserve"> rates. The SBE’s goal </w:t>
      </w:r>
      <w:r w:rsidR="006967DC" w:rsidRPr="00D10954">
        <w:rPr>
          <w:rFonts w:eastAsia="Arial" w:cs="Arial"/>
          <w:color w:val="000000" w:themeColor="text1"/>
        </w:rPr>
        <w:t>wa</w:t>
      </w:r>
      <w:r w:rsidR="4E34678B" w:rsidRPr="00D10954">
        <w:rPr>
          <w:rFonts w:eastAsia="Arial" w:cs="Arial"/>
          <w:color w:val="000000" w:themeColor="text1"/>
        </w:rPr>
        <w:t xml:space="preserve">s for schools and LEAs to have a </w:t>
      </w:r>
      <w:r w:rsidR="6B74442C" w:rsidRPr="00D10954">
        <w:rPr>
          <w:rFonts w:eastAsia="Arial" w:cs="Arial"/>
          <w:color w:val="000000" w:themeColor="text1"/>
        </w:rPr>
        <w:t>high graduation</w:t>
      </w:r>
      <w:r w:rsidR="4E34678B" w:rsidRPr="00D10954">
        <w:rPr>
          <w:rFonts w:eastAsia="Arial" w:cs="Arial"/>
          <w:color w:val="000000" w:themeColor="text1"/>
        </w:rPr>
        <w:t xml:space="preserve"> rate, therefore the results are ordered from </w:t>
      </w:r>
      <w:r w:rsidR="016C7C98" w:rsidRPr="00D10954">
        <w:rPr>
          <w:rFonts w:eastAsia="Arial" w:cs="Arial"/>
          <w:color w:val="000000" w:themeColor="text1"/>
        </w:rPr>
        <w:t>high</w:t>
      </w:r>
      <w:r w:rsidR="4E34678B" w:rsidRPr="00D10954">
        <w:rPr>
          <w:rFonts w:eastAsia="Arial" w:cs="Arial"/>
          <w:color w:val="000000" w:themeColor="text1"/>
        </w:rPr>
        <w:t xml:space="preserve">est to </w:t>
      </w:r>
      <w:r w:rsidR="1EE689D2" w:rsidRPr="00D10954">
        <w:rPr>
          <w:rFonts w:eastAsia="Arial" w:cs="Arial"/>
          <w:color w:val="000000" w:themeColor="text1"/>
        </w:rPr>
        <w:t>low</w:t>
      </w:r>
      <w:r w:rsidR="4E34678B" w:rsidRPr="00D10954">
        <w:rPr>
          <w:rFonts w:eastAsia="Arial" w:cs="Arial"/>
          <w:color w:val="000000" w:themeColor="text1"/>
        </w:rPr>
        <w:t>est.</w:t>
      </w:r>
      <w:r w:rsidR="006967DC" w:rsidRPr="00D10954">
        <w:rPr>
          <w:rFonts w:eastAsia="Arial" w:cs="Arial"/>
          <w:color w:val="000000" w:themeColor="text1"/>
        </w:rPr>
        <w:t xml:space="preserve"> </w:t>
      </w:r>
      <w:r w:rsidR="4B500F6A" w:rsidRPr="00D10954">
        <w:rPr>
          <w:rFonts w:eastAsia="Arial" w:cs="Arial"/>
          <w:color w:val="000000" w:themeColor="text1"/>
        </w:rPr>
        <w:t>The distribution that was used to set the cut points in 201</w:t>
      </w:r>
      <w:r w:rsidR="44BE228C" w:rsidRPr="00D10954">
        <w:rPr>
          <w:rFonts w:eastAsia="Arial" w:cs="Arial"/>
          <w:color w:val="000000" w:themeColor="text1"/>
        </w:rPr>
        <w:t>8</w:t>
      </w:r>
      <w:r w:rsidR="4B500F6A" w:rsidRPr="00D10954">
        <w:rPr>
          <w:rFonts w:eastAsia="Arial" w:cs="Arial"/>
          <w:color w:val="000000" w:themeColor="text1"/>
        </w:rPr>
        <w:t xml:space="preserve"> is displayed in Table 1.</w:t>
      </w:r>
    </w:p>
    <w:p w14:paraId="4D1CD5AE" w14:textId="619F7515" w:rsidR="53808EB6" w:rsidRPr="00D10954" w:rsidRDefault="53808EB6" w:rsidP="006967DC">
      <w:pPr>
        <w:pStyle w:val="Heading4"/>
        <w:spacing w:after="0"/>
      </w:pPr>
      <w:r w:rsidRPr="00D10954">
        <w:t xml:space="preserve">Table 1: Status Distribution Used to Set </w:t>
      </w:r>
      <w:r w:rsidR="2368E092" w:rsidRPr="00D10954">
        <w:t xml:space="preserve">Graduation Status </w:t>
      </w:r>
      <w:r w:rsidRPr="00D10954">
        <w:t>Cut Points in 201</w:t>
      </w:r>
      <w:r w:rsidR="7229CAC5" w:rsidRPr="00D10954">
        <w:t>8</w:t>
      </w:r>
    </w:p>
    <w:p w14:paraId="2FAE28BB" w14:textId="1E71EF92" w:rsidR="53808EB6" w:rsidRPr="00D10954" w:rsidRDefault="53808EB6" w:rsidP="6944AD4D">
      <w:pPr>
        <w:rPr>
          <w:rFonts w:eastAsia="Arial" w:cs="Arial"/>
          <w:color w:val="000000" w:themeColor="text1"/>
        </w:rPr>
      </w:pPr>
      <w:r w:rsidRPr="00D10954">
        <w:rPr>
          <w:rFonts w:eastAsia="Arial" w:cs="Arial"/>
          <w:color w:val="000000" w:themeColor="text1"/>
        </w:rPr>
        <w:t>(Based on County Office of Education, District, and All Charter School Data)</w:t>
      </w:r>
    </w:p>
    <w:tbl>
      <w:tblPr>
        <w:tblStyle w:val="TableGrid"/>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1: Status Distribution Used to Set Cut Points in 2018"/>
        <w:tblDescription w:val="Table 1: Status Distribution Used to Set Cut Points in 2018"/>
      </w:tblPr>
      <w:tblGrid>
        <w:gridCol w:w="2025"/>
        <w:gridCol w:w="4875"/>
      </w:tblGrid>
      <w:tr w:rsidR="6944AD4D" w:rsidRPr="00D10954" w14:paraId="69816A4A" w14:textId="77777777" w:rsidTr="00F345FB">
        <w:trPr>
          <w:cantSplit/>
          <w:trHeight w:val="315"/>
          <w:tblHeader/>
          <w:jc w:val="center"/>
        </w:trPr>
        <w:tc>
          <w:tcPr>
            <w:tcW w:w="2025" w:type="dxa"/>
            <w:tcBorders>
              <w:top w:val="single" w:sz="6" w:space="0" w:color="auto"/>
              <w:left w:val="single" w:sz="6" w:space="0" w:color="auto"/>
            </w:tcBorders>
            <w:tcMar>
              <w:left w:w="105" w:type="dxa"/>
              <w:right w:w="105" w:type="dxa"/>
            </w:tcMar>
            <w:vAlign w:val="center"/>
          </w:tcPr>
          <w:p w14:paraId="5648C999" w14:textId="1509F41D" w:rsidR="6944AD4D" w:rsidRPr="00D10954" w:rsidRDefault="6944AD4D" w:rsidP="6944AD4D">
            <w:pPr>
              <w:spacing w:after="0"/>
              <w:jc w:val="center"/>
              <w:rPr>
                <w:rFonts w:eastAsia="Arial" w:cs="Arial"/>
              </w:rPr>
            </w:pPr>
            <w:r w:rsidRPr="00D10954">
              <w:rPr>
                <w:rFonts w:eastAsia="Arial" w:cs="Arial"/>
                <w:b/>
                <w:bCs/>
              </w:rPr>
              <w:t>Percentile</w:t>
            </w:r>
          </w:p>
        </w:tc>
        <w:tc>
          <w:tcPr>
            <w:tcW w:w="4875" w:type="dxa"/>
            <w:tcBorders>
              <w:top w:val="single" w:sz="6" w:space="0" w:color="auto"/>
              <w:right w:val="single" w:sz="6" w:space="0" w:color="auto"/>
            </w:tcBorders>
            <w:tcMar>
              <w:left w:w="105" w:type="dxa"/>
              <w:right w:w="105" w:type="dxa"/>
            </w:tcMar>
            <w:vAlign w:val="center"/>
          </w:tcPr>
          <w:p w14:paraId="61181150" w14:textId="51A8DC51" w:rsidR="34EF1B54" w:rsidRPr="00D10954" w:rsidRDefault="34EF1B54" w:rsidP="6944AD4D">
            <w:pPr>
              <w:spacing w:after="0"/>
              <w:jc w:val="center"/>
              <w:rPr>
                <w:rFonts w:eastAsia="Arial" w:cs="Arial"/>
              </w:rPr>
            </w:pPr>
            <w:r w:rsidRPr="00D10954">
              <w:rPr>
                <w:rFonts w:eastAsia="Arial" w:cs="Arial"/>
                <w:b/>
                <w:bCs/>
              </w:rPr>
              <w:t>Graduation</w:t>
            </w:r>
            <w:r w:rsidR="6944AD4D" w:rsidRPr="00D10954">
              <w:rPr>
                <w:rFonts w:eastAsia="Arial" w:cs="Arial"/>
                <w:b/>
                <w:bCs/>
              </w:rPr>
              <w:t xml:space="preserve"> Rate</w:t>
            </w:r>
          </w:p>
        </w:tc>
      </w:tr>
      <w:tr w:rsidR="6944AD4D" w:rsidRPr="00D10954" w14:paraId="32B37EE5" w14:textId="77777777" w:rsidTr="00F345FB">
        <w:trPr>
          <w:cantSplit/>
          <w:trHeight w:val="315"/>
          <w:jc w:val="center"/>
        </w:trPr>
        <w:tc>
          <w:tcPr>
            <w:tcW w:w="2025" w:type="dxa"/>
            <w:tcBorders>
              <w:left w:val="single" w:sz="6" w:space="0" w:color="auto"/>
            </w:tcBorders>
            <w:tcMar>
              <w:left w:w="105" w:type="dxa"/>
              <w:right w:w="105" w:type="dxa"/>
            </w:tcMar>
            <w:vAlign w:val="center"/>
          </w:tcPr>
          <w:p w14:paraId="05A566E0" w14:textId="23B38F75" w:rsidR="2DB55E97" w:rsidRPr="00D10954" w:rsidRDefault="2DB55E97" w:rsidP="6944AD4D">
            <w:pPr>
              <w:spacing w:after="0"/>
              <w:ind w:left="60" w:right="60"/>
              <w:jc w:val="center"/>
              <w:rPr>
                <w:rFonts w:eastAsia="Arial" w:cs="Arial"/>
              </w:rPr>
            </w:pPr>
            <w:r w:rsidRPr="00D10954">
              <w:rPr>
                <w:rFonts w:eastAsia="Arial" w:cs="Arial"/>
              </w:rPr>
              <w:t>9</w:t>
            </w:r>
            <w:r w:rsidR="6944AD4D" w:rsidRPr="00D10954">
              <w:rPr>
                <w:rFonts w:eastAsia="Arial" w:cs="Arial"/>
              </w:rPr>
              <w:t>5</w:t>
            </w:r>
          </w:p>
        </w:tc>
        <w:tc>
          <w:tcPr>
            <w:tcW w:w="4875" w:type="dxa"/>
            <w:tcBorders>
              <w:right w:val="single" w:sz="6" w:space="0" w:color="auto"/>
            </w:tcBorders>
            <w:tcMar>
              <w:left w:w="105" w:type="dxa"/>
              <w:right w:w="105" w:type="dxa"/>
            </w:tcMar>
            <w:vAlign w:val="center"/>
          </w:tcPr>
          <w:p w14:paraId="11E8BA79" w14:textId="2D16AEB0" w:rsidR="30EFC656" w:rsidRPr="00D10954" w:rsidRDefault="30EFC656" w:rsidP="6944AD4D">
            <w:pPr>
              <w:spacing w:after="0"/>
              <w:ind w:left="60" w:right="60"/>
              <w:jc w:val="center"/>
              <w:rPr>
                <w:rFonts w:eastAsia="Arial" w:cs="Arial"/>
              </w:rPr>
            </w:pPr>
            <w:r w:rsidRPr="00D10954">
              <w:rPr>
                <w:rFonts w:eastAsia="Arial" w:cs="Arial"/>
              </w:rPr>
              <w:t>99%</w:t>
            </w:r>
          </w:p>
        </w:tc>
      </w:tr>
      <w:tr w:rsidR="6944AD4D" w:rsidRPr="00D10954" w14:paraId="090325EC" w14:textId="77777777" w:rsidTr="00F345FB">
        <w:trPr>
          <w:cantSplit/>
          <w:trHeight w:val="315"/>
          <w:jc w:val="center"/>
        </w:trPr>
        <w:tc>
          <w:tcPr>
            <w:tcW w:w="2025" w:type="dxa"/>
            <w:tcBorders>
              <w:left w:val="single" w:sz="6" w:space="0" w:color="auto"/>
            </w:tcBorders>
            <w:tcMar>
              <w:left w:w="105" w:type="dxa"/>
              <w:right w:w="105" w:type="dxa"/>
            </w:tcMar>
            <w:vAlign w:val="center"/>
          </w:tcPr>
          <w:p w14:paraId="4E786B25" w14:textId="1B79FF11" w:rsidR="1C881A45" w:rsidRPr="00D10954" w:rsidRDefault="1C881A45" w:rsidP="6944AD4D">
            <w:pPr>
              <w:spacing w:after="0"/>
              <w:ind w:left="60" w:right="60"/>
              <w:jc w:val="center"/>
              <w:rPr>
                <w:rFonts w:eastAsia="Arial" w:cs="Arial"/>
              </w:rPr>
            </w:pPr>
            <w:r w:rsidRPr="00D10954">
              <w:rPr>
                <w:rFonts w:eastAsia="Arial" w:cs="Arial"/>
              </w:rPr>
              <w:t>9</w:t>
            </w:r>
            <w:r w:rsidR="6944AD4D" w:rsidRPr="00D10954">
              <w:rPr>
                <w:rFonts w:eastAsia="Arial" w:cs="Arial"/>
              </w:rPr>
              <w:t>0</w:t>
            </w:r>
          </w:p>
        </w:tc>
        <w:tc>
          <w:tcPr>
            <w:tcW w:w="4875" w:type="dxa"/>
            <w:tcBorders>
              <w:right w:val="single" w:sz="6" w:space="0" w:color="auto"/>
            </w:tcBorders>
            <w:tcMar>
              <w:left w:w="105" w:type="dxa"/>
              <w:right w:w="105" w:type="dxa"/>
            </w:tcMar>
            <w:vAlign w:val="center"/>
          </w:tcPr>
          <w:p w14:paraId="241F241D" w14:textId="3FE71312" w:rsidR="12DEB8AF" w:rsidRPr="00D10954" w:rsidRDefault="12DEB8AF" w:rsidP="6944AD4D">
            <w:pPr>
              <w:spacing w:after="0"/>
              <w:ind w:left="60" w:right="60"/>
              <w:jc w:val="center"/>
              <w:rPr>
                <w:rFonts w:eastAsia="Arial" w:cs="Arial"/>
              </w:rPr>
            </w:pPr>
            <w:r w:rsidRPr="00D10954">
              <w:rPr>
                <w:rFonts w:eastAsia="Arial" w:cs="Arial"/>
              </w:rPr>
              <w:t>98.1%</w:t>
            </w:r>
          </w:p>
        </w:tc>
      </w:tr>
      <w:tr w:rsidR="6944AD4D" w:rsidRPr="00D10954" w14:paraId="65B5BF9A" w14:textId="77777777" w:rsidTr="00F345FB">
        <w:trPr>
          <w:cantSplit/>
          <w:trHeight w:val="315"/>
          <w:jc w:val="center"/>
        </w:trPr>
        <w:tc>
          <w:tcPr>
            <w:tcW w:w="2025" w:type="dxa"/>
            <w:tcBorders>
              <w:left w:val="single" w:sz="6" w:space="0" w:color="auto"/>
            </w:tcBorders>
            <w:tcMar>
              <w:left w:w="105" w:type="dxa"/>
              <w:right w:w="105" w:type="dxa"/>
            </w:tcMar>
            <w:vAlign w:val="center"/>
          </w:tcPr>
          <w:p w14:paraId="4B190708" w14:textId="22206362" w:rsidR="1D1EF187" w:rsidRPr="00D10954" w:rsidRDefault="1D1EF187" w:rsidP="6944AD4D">
            <w:pPr>
              <w:spacing w:after="0"/>
              <w:ind w:left="60" w:right="60"/>
              <w:jc w:val="center"/>
              <w:rPr>
                <w:rFonts w:eastAsia="Arial" w:cs="Arial"/>
              </w:rPr>
            </w:pPr>
            <w:r w:rsidRPr="00D10954">
              <w:rPr>
                <w:rFonts w:eastAsia="Arial" w:cs="Arial"/>
              </w:rPr>
              <w:t>8</w:t>
            </w:r>
            <w:r w:rsidR="6944AD4D" w:rsidRPr="00D10954">
              <w:rPr>
                <w:rFonts w:eastAsia="Arial" w:cs="Arial"/>
              </w:rPr>
              <w:t>5</w:t>
            </w:r>
          </w:p>
        </w:tc>
        <w:tc>
          <w:tcPr>
            <w:tcW w:w="4875" w:type="dxa"/>
            <w:tcBorders>
              <w:right w:val="single" w:sz="6" w:space="0" w:color="auto"/>
            </w:tcBorders>
            <w:tcMar>
              <w:left w:w="105" w:type="dxa"/>
              <w:right w:w="105" w:type="dxa"/>
            </w:tcMar>
            <w:vAlign w:val="center"/>
          </w:tcPr>
          <w:p w14:paraId="75980B6A" w14:textId="75BAC624" w:rsidR="2C4ED199" w:rsidRPr="00D10954" w:rsidRDefault="2C4ED199" w:rsidP="6944AD4D">
            <w:pPr>
              <w:spacing w:after="0"/>
              <w:ind w:left="60" w:right="60"/>
              <w:jc w:val="center"/>
              <w:rPr>
                <w:rFonts w:eastAsia="Arial" w:cs="Arial"/>
              </w:rPr>
            </w:pPr>
            <w:r w:rsidRPr="00D10954">
              <w:rPr>
                <w:rFonts w:eastAsia="Arial" w:cs="Arial"/>
              </w:rPr>
              <w:t>97.5%</w:t>
            </w:r>
          </w:p>
        </w:tc>
      </w:tr>
      <w:tr w:rsidR="6944AD4D" w:rsidRPr="00D10954" w14:paraId="5EA417CD" w14:textId="77777777" w:rsidTr="00F345FB">
        <w:trPr>
          <w:cantSplit/>
          <w:trHeight w:val="315"/>
          <w:jc w:val="center"/>
        </w:trPr>
        <w:tc>
          <w:tcPr>
            <w:tcW w:w="2025" w:type="dxa"/>
            <w:tcBorders>
              <w:left w:val="single" w:sz="6" w:space="0" w:color="auto"/>
            </w:tcBorders>
            <w:tcMar>
              <w:left w:w="105" w:type="dxa"/>
              <w:right w:w="105" w:type="dxa"/>
            </w:tcMar>
            <w:vAlign w:val="center"/>
          </w:tcPr>
          <w:p w14:paraId="7D2EC800" w14:textId="5EFBC9DE" w:rsidR="20B884E7" w:rsidRPr="00D10954" w:rsidRDefault="20B884E7" w:rsidP="6944AD4D">
            <w:pPr>
              <w:spacing w:after="0"/>
              <w:ind w:left="60" w:right="60"/>
              <w:jc w:val="center"/>
              <w:rPr>
                <w:rFonts w:eastAsia="Arial" w:cs="Arial"/>
              </w:rPr>
            </w:pPr>
            <w:r w:rsidRPr="00D10954">
              <w:rPr>
                <w:rFonts w:eastAsia="Arial" w:cs="Arial"/>
              </w:rPr>
              <w:t>8</w:t>
            </w:r>
            <w:r w:rsidR="6944AD4D" w:rsidRPr="00D10954">
              <w:rPr>
                <w:rFonts w:eastAsia="Arial" w:cs="Arial"/>
              </w:rPr>
              <w:t>0</w:t>
            </w:r>
          </w:p>
        </w:tc>
        <w:tc>
          <w:tcPr>
            <w:tcW w:w="4875" w:type="dxa"/>
            <w:tcBorders>
              <w:right w:val="single" w:sz="6" w:space="0" w:color="auto"/>
            </w:tcBorders>
            <w:tcMar>
              <w:left w:w="105" w:type="dxa"/>
              <w:right w:w="105" w:type="dxa"/>
            </w:tcMar>
            <w:vAlign w:val="center"/>
          </w:tcPr>
          <w:p w14:paraId="7E8E91CC" w14:textId="516DB8A0" w:rsidR="274EC833" w:rsidRPr="00D10954" w:rsidRDefault="274EC833" w:rsidP="6944AD4D">
            <w:pPr>
              <w:spacing w:after="0"/>
              <w:ind w:left="60" w:right="60"/>
              <w:jc w:val="center"/>
              <w:rPr>
                <w:rFonts w:eastAsia="Arial" w:cs="Arial"/>
              </w:rPr>
            </w:pPr>
            <w:r w:rsidRPr="00D10954">
              <w:rPr>
                <w:rFonts w:eastAsia="Arial" w:cs="Arial"/>
              </w:rPr>
              <w:t>96.8%</w:t>
            </w:r>
          </w:p>
        </w:tc>
      </w:tr>
      <w:tr w:rsidR="6944AD4D" w:rsidRPr="00D10954" w14:paraId="30823838" w14:textId="77777777" w:rsidTr="00F345FB">
        <w:trPr>
          <w:cantSplit/>
          <w:trHeight w:val="315"/>
          <w:jc w:val="center"/>
        </w:trPr>
        <w:tc>
          <w:tcPr>
            <w:tcW w:w="2025" w:type="dxa"/>
            <w:tcBorders>
              <w:left w:val="single" w:sz="6" w:space="0" w:color="auto"/>
            </w:tcBorders>
            <w:tcMar>
              <w:left w:w="105" w:type="dxa"/>
              <w:right w:w="105" w:type="dxa"/>
            </w:tcMar>
            <w:vAlign w:val="center"/>
          </w:tcPr>
          <w:p w14:paraId="4B3315DD" w14:textId="215A49FA" w:rsidR="26FE4734" w:rsidRPr="00D10954" w:rsidRDefault="26FE4734" w:rsidP="6944AD4D">
            <w:pPr>
              <w:spacing w:after="0"/>
              <w:ind w:left="60" w:right="60"/>
              <w:jc w:val="center"/>
              <w:rPr>
                <w:rFonts w:eastAsia="Arial" w:cs="Arial"/>
              </w:rPr>
            </w:pPr>
            <w:r w:rsidRPr="00D10954">
              <w:rPr>
                <w:rFonts w:eastAsia="Arial" w:cs="Arial"/>
              </w:rPr>
              <w:t>7</w:t>
            </w:r>
            <w:r w:rsidR="6944AD4D" w:rsidRPr="00D10954">
              <w:rPr>
                <w:rFonts w:eastAsia="Arial" w:cs="Arial"/>
              </w:rPr>
              <w:t>5</w:t>
            </w:r>
          </w:p>
        </w:tc>
        <w:tc>
          <w:tcPr>
            <w:tcW w:w="4875" w:type="dxa"/>
            <w:tcBorders>
              <w:right w:val="single" w:sz="6" w:space="0" w:color="auto"/>
            </w:tcBorders>
            <w:tcMar>
              <w:left w:w="105" w:type="dxa"/>
              <w:right w:w="105" w:type="dxa"/>
            </w:tcMar>
            <w:vAlign w:val="center"/>
          </w:tcPr>
          <w:p w14:paraId="15B15282" w14:textId="2308053E" w:rsidR="718C3D4E" w:rsidRPr="00D10954" w:rsidRDefault="718C3D4E" w:rsidP="6944AD4D">
            <w:pPr>
              <w:spacing w:after="0"/>
              <w:ind w:left="60" w:right="60"/>
              <w:jc w:val="center"/>
              <w:rPr>
                <w:rFonts w:eastAsia="Arial" w:cs="Arial"/>
              </w:rPr>
            </w:pPr>
            <w:r w:rsidRPr="00D10954">
              <w:rPr>
                <w:rFonts w:eastAsia="Arial" w:cs="Arial"/>
              </w:rPr>
              <w:t>96.3%</w:t>
            </w:r>
          </w:p>
        </w:tc>
      </w:tr>
      <w:tr w:rsidR="6944AD4D" w:rsidRPr="00D10954" w14:paraId="23F80C1F" w14:textId="77777777" w:rsidTr="00F345FB">
        <w:trPr>
          <w:cantSplit/>
          <w:trHeight w:val="315"/>
          <w:jc w:val="center"/>
        </w:trPr>
        <w:tc>
          <w:tcPr>
            <w:tcW w:w="2025" w:type="dxa"/>
            <w:tcBorders>
              <w:left w:val="single" w:sz="6" w:space="0" w:color="auto"/>
            </w:tcBorders>
            <w:tcMar>
              <w:left w:w="105" w:type="dxa"/>
              <w:right w:w="105" w:type="dxa"/>
            </w:tcMar>
            <w:vAlign w:val="center"/>
          </w:tcPr>
          <w:p w14:paraId="29A63EE3" w14:textId="10946438" w:rsidR="05045BCA" w:rsidRPr="00D10954" w:rsidRDefault="05045BCA" w:rsidP="6944AD4D">
            <w:pPr>
              <w:spacing w:after="0"/>
              <w:ind w:left="60" w:right="60"/>
              <w:jc w:val="center"/>
              <w:rPr>
                <w:rFonts w:eastAsia="Arial" w:cs="Arial"/>
              </w:rPr>
            </w:pPr>
            <w:r w:rsidRPr="00D10954">
              <w:rPr>
                <w:rFonts w:eastAsia="Arial" w:cs="Arial"/>
              </w:rPr>
              <w:t>7</w:t>
            </w:r>
            <w:r w:rsidR="6944AD4D" w:rsidRPr="00D10954">
              <w:rPr>
                <w:rFonts w:eastAsia="Arial" w:cs="Arial"/>
              </w:rPr>
              <w:t>0</w:t>
            </w:r>
          </w:p>
        </w:tc>
        <w:tc>
          <w:tcPr>
            <w:tcW w:w="4875" w:type="dxa"/>
            <w:tcBorders>
              <w:right w:val="single" w:sz="6" w:space="0" w:color="auto"/>
            </w:tcBorders>
            <w:tcMar>
              <w:left w:w="105" w:type="dxa"/>
              <w:right w:w="105" w:type="dxa"/>
            </w:tcMar>
            <w:vAlign w:val="center"/>
          </w:tcPr>
          <w:p w14:paraId="63642963" w14:textId="37967666" w:rsidR="767288A0" w:rsidRPr="00D10954" w:rsidRDefault="767288A0" w:rsidP="6944AD4D">
            <w:pPr>
              <w:spacing w:after="0"/>
              <w:ind w:left="60" w:right="60"/>
              <w:jc w:val="center"/>
              <w:rPr>
                <w:rFonts w:eastAsia="Arial" w:cs="Arial"/>
              </w:rPr>
            </w:pPr>
            <w:r w:rsidRPr="00D10954">
              <w:rPr>
                <w:rFonts w:eastAsia="Arial" w:cs="Arial"/>
              </w:rPr>
              <w:t>95.7%</w:t>
            </w:r>
          </w:p>
        </w:tc>
      </w:tr>
      <w:tr w:rsidR="6944AD4D" w:rsidRPr="00D10954" w14:paraId="64A38EC1" w14:textId="77777777" w:rsidTr="00F345FB">
        <w:trPr>
          <w:cantSplit/>
          <w:trHeight w:val="315"/>
          <w:jc w:val="center"/>
        </w:trPr>
        <w:tc>
          <w:tcPr>
            <w:tcW w:w="2025" w:type="dxa"/>
            <w:tcBorders>
              <w:left w:val="single" w:sz="6" w:space="0" w:color="auto"/>
            </w:tcBorders>
            <w:tcMar>
              <w:left w:w="105" w:type="dxa"/>
              <w:right w:w="105" w:type="dxa"/>
            </w:tcMar>
            <w:vAlign w:val="center"/>
          </w:tcPr>
          <w:p w14:paraId="6703973C" w14:textId="20D34F0B" w:rsidR="148CC0FD" w:rsidRPr="00D10954" w:rsidRDefault="148CC0FD" w:rsidP="6944AD4D">
            <w:pPr>
              <w:spacing w:after="0"/>
              <w:ind w:left="60" w:right="60"/>
              <w:jc w:val="center"/>
              <w:rPr>
                <w:rFonts w:eastAsia="Arial" w:cs="Arial"/>
              </w:rPr>
            </w:pPr>
            <w:r w:rsidRPr="00D10954">
              <w:rPr>
                <w:rFonts w:eastAsia="Arial" w:cs="Arial"/>
              </w:rPr>
              <w:t>6</w:t>
            </w:r>
            <w:r w:rsidR="6944AD4D" w:rsidRPr="00D10954">
              <w:rPr>
                <w:rFonts w:eastAsia="Arial" w:cs="Arial"/>
              </w:rPr>
              <w:t>5</w:t>
            </w:r>
          </w:p>
        </w:tc>
        <w:tc>
          <w:tcPr>
            <w:tcW w:w="4875" w:type="dxa"/>
            <w:tcBorders>
              <w:right w:val="single" w:sz="6" w:space="0" w:color="auto"/>
            </w:tcBorders>
            <w:tcMar>
              <w:left w:w="105" w:type="dxa"/>
              <w:right w:w="105" w:type="dxa"/>
            </w:tcMar>
            <w:vAlign w:val="center"/>
          </w:tcPr>
          <w:p w14:paraId="5471FBA6" w14:textId="3C775AD5" w:rsidR="06603FD3" w:rsidRPr="00D10954" w:rsidRDefault="06603FD3" w:rsidP="6944AD4D">
            <w:pPr>
              <w:spacing w:after="0"/>
              <w:ind w:left="60" w:right="60"/>
              <w:jc w:val="center"/>
              <w:rPr>
                <w:rFonts w:eastAsia="Arial" w:cs="Arial"/>
              </w:rPr>
            </w:pPr>
            <w:r w:rsidRPr="00D10954">
              <w:rPr>
                <w:rFonts w:eastAsia="Arial" w:cs="Arial"/>
              </w:rPr>
              <w:t>95.1%</w:t>
            </w:r>
          </w:p>
        </w:tc>
      </w:tr>
      <w:tr w:rsidR="6944AD4D" w:rsidRPr="00D10954" w14:paraId="23059012" w14:textId="77777777" w:rsidTr="00F345FB">
        <w:trPr>
          <w:cantSplit/>
          <w:trHeight w:val="315"/>
          <w:jc w:val="center"/>
        </w:trPr>
        <w:tc>
          <w:tcPr>
            <w:tcW w:w="2025" w:type="dxa"/>
            <w:tcBorders>
              <w:left w:val="single" w:sz="6" w:space="0" w:color="auto"/>
            </w:tcBorders>
            <w:tcMar>
              <w:left w:w="105" w:type="dxa"/>
              <w:right w:w="105" w:type="dxa"/>
            </w:tcMar>
            <w:vAlign w:val="center"/>
          </w:tcPr>
          <w:p w14:paraId="389A89DF" w14:textId="128A8548" w:rsidR="2382DB6A" w:rsidRPr="00D10954" w:rsidRDefault="2382DB6A" w:rsidP="6944AD4D">
            <w:pPr>
              <w:spacing w:after="0"/>
              <w:ind w:left="60" w:right="60"/>
              <w:jc w:val="center"/>
              <w:rPr>
                <w:rFonts w:eastAsia="Arial" w:cs="Arial"/>
              </w:rPr>
            </w:pPr>
            <w:r w:rsidRPr="00D10954">
              <w:rPr>
                <w:rFonts w:eastAsia="Arial" w:cs="Arial"/>
              </w:rPr>
              <w:t>6</w:t>
            </w:r>
            <w:r w:rsidR="6944AD4D" w:rsidRPr="00D10954">
              <w:rPr>
                <w:rFonts w:eastAsia="Arial" w:cs="Arial"/>
              </w:rPr>
              <w:t>0</w:t>
            </w:r>
          </w:p>
        </w:tc>
        <w:tc>
          <w:tcPr>
            <w:tcW w:w="4875" w:type="dxa"/>
            <w:tcBorders>
              <w:right w:val="single" w:sz="6" w:space="0" w:color="auto"/>
            </w:tcBorders>
            <w:tcMar>
              <w:left w:w="105" w:type="dxa"/>
              <w:right w:w="105" w:type="dxa"/>
            </w:tcMar>
            <w:vAlign w:val="center"/>
          </w:tcPr>
          <w:p w14:paraId="6F8EC229" w14:textId="644ABF1F" w:rsidR="1B2E76A4" w:rsidRPr="00D10954" w:rsidRDefault="1B2E76A4" w:rsidP="6944AD4D">
            <w:pPr>
              <w:spacing w:after="0"/>
              <w:ind w:left="60" w:right="60"/>
              <w:jc w:val="center"/>
              <w:rPr>
                <w:rFonts w:eastAsia="Arial" w:cs="Arial"/>
              </w:rPr>
            </w:pPr>
            <w:r w:rsidRPr="00D10954">
              <w:rPr>
                <w:rFonts w:eastAsia="Arial" w:cs="Arial"/>
              </w:rPr>
              <w:t>94.6%</w:t>
            </w:r>
          </w:p>
        </w:tc>
      </w:tr>
      <w:tr w:rsidR="6944AD4D" w:rsidRPr="00D10954" w14:paraId="43002D63" w14:textId="77777777" w:rsidTr="00F345FB">
        <w:trPr>
          <w:cantSplit/>
          <w:trHeight w:val="315"/>
          <w:jc w:val="center"/>
        </w:trPr>
        <w:tc>
          <w:tcPr>
            <w:tcW w:w="2025" w:type="dxa"/>
            <w:tcBorders>
              <w:left w:val="single" w:sz="6" w:space="0" w:color="auto"/>
            </w:tcBorders>
            <w:tcMar>
              <w:left w:w="105" w:type="dxa"/>
              <w:right w:w="105" w:type="dxa"/>
            </w:tcMar>
            <w:vAlign w:val="center"/>
          </w:tcPr>
          <w:p w14:paraId="7423B157" w14:textId="1EFEDF3E" w:rsidR="70321F3F" w:rsidRPr="00D10954" w:rsidRDefault="70321F3F" w:rsidP="6944AD4D">
            <w:pPr>
              <w:spacing w:after="0"/>
              <w:ind w:left="60" w:right="60"/>
              <w:jc w:val="center"/>
              <w:rPr>
                <w:rFonts w:eastAsia="Arial" w:cs="Arial"/>
              </w:rPr>
            </w:pPr>
            <w:r w:rsidRPr="00D10954">
              <w:rPr>
                <w:rFonts w:eastAsia="Arial" w:cs="Arial"/>
              </w:rPr>
              <w:t>5</w:t>
            </w:r>
            <w:r w:rsidR="6944AD4D" w:rsidRPr="00D10954">
              <w:rPr>
                <w:rFonts w:eastAsia="Arial" w:cs="Arial"/>
              </w:rPr>
              <w:t>5</w:t>
            </w:r>
          </w:p>
        </w:tc>
        <w:tc>
          <w:tcPr>
            <w:tcW w:w="4875" w:type="dxa"/>
            <w:tcBorders>
              <w:right w:val="single" w:sz="6" w:space="0" w:color="auto"/>
            </w:tcBorders>
            <w:tcMar>
              <w:left w:w="105" w:type="dxa"/>
              <w:right w:w="105" w:type="dxa"/>
            </w:tcMar>
            <w:vAlign w:val="center"/>
          </w:tcPr>
          <w:p w14:paraId="0AD397C9" w14:textId="2E54E8BF" w:rsidR="3D7B8BB6" w:rsidRPr="00D10954" w:rsidRDefault="3D7B8BB6" w:rsidP="6944AD4D">
            <w:pPr>
              <w:spacing w:after="0"/>
              <w:ind w:left="60" w:right="60"/>
              <w:jc w:val="center"/>
              <w:rPr>
                <w:rFonts w:eastAsia="Arial" w:cs="Arial"/>
              </w:rPr>
            </w:pPr>
            <w:r w:rsidRPr="00D10954">
              <w:rPr>
                <w:rFonts w:eastAsia="Arial" w:cs="Arial"/>
              </w:rPr>
              <w:t>94%</w:t>
            </w:r>
          </w:p>
        </w:tc>
      </w:tr>
      <w:tr w:rsidR="6944AD4D" w:rsidRPr="00D10954" w14:paraId="0E6D4132" w14:textId="77777777" w:rsidTr="00F345FB">
        <w:trPr>
          <w:cantSplit/>
          <w:trHeight w:val="315"/>
          <w:jc w:val="center"/>
        </w:trPr>
        <w:tc>
          <w:tcPr>
            <w:tcW w:w="2025" w:type="dxa"/>
            <w:tcBorders>
              <w:left w:val="single" w:sz="6" w:space="0" w:color="auto"/>
            </w:tcBorders>
            <w:tcMar>
              <w:left w:w="105" w:type="dxa"/>
              <w:right w:w="105" w:type="dxa"/>
            </w:tcMar>
            <w:vAlign w:val="center"/>
          </w:tcPr>
          <w:p w14:paraId="4DE9DD8B" w14:textId="7985F46F" w:rsidR="6944AD4D" w:rsidRPr="00D10954" w:rsidRDefault="6944AD4D" w:rsidP="6944AD4D">
            <w:pPr>
              <w:spacing w:after="0"/>
              <w:ind w:left="60" w:right="60"/>
              <w:jc w:val="center"/>
              <w:rPr>
                <w:rFonts w:eastAsia="Arial" w:cs="Arial"/>
              </w:rPr>
            </w:pPr>
            <w:r w:rsidRPr="00D10954">
              <w:rPr>
                <w:rFonts w:eastAsia="Arial" w:cs="Arial"/>
              </w:rPr>
              <w:t>50</w:t>
            </w:r>
          </w:p>
        </w:tc>
        <w:tc>
          <w:tcPr>
            <w:tcW w:w="4875" w:type="dxa"/>
            <w:tcBorders>
              <w:right w:val="single" w:sz="6" w:space="0" w:color="auto"/>
            </w:tcBorders>
            <w:tcMar>
              <w:left w:w="105" w:type="dxa"/>
              <w:right w:w="105" w:type="dxa"/>
            </w:tcMar>
            <w:vAlign w:val="center"/>
          </w:tcPr>
          <w:p w14:paraId="31FDCF9A" w14:textId="16BF9FFA" w:rsidR="75A50FB8" w:rsidRPr="00D10954" w:rsidRDefault="75A50FB8" w:rsidP="6944AD4D">
            <w:pPr>
              <w:spacing w:after="0"/>
              <w:ind w:left="60" w:right="60"/>
              <w:jc w:val="center"/>
              <w:rPr>
                <w:rFonts w:eastAsia="Arial" w:cs="Arial"/>
              </w:rPr>
            </w:pPr>
            <w:r w:rsidRPr="00D10954">
              <w:rPr>
                <w:rFonts w:eastAsia="Arial" w:cs="Arial"/>
              </w:rPr>
              <w:t>93.3</w:t>
            </w:r>
            <w:r w:rsidR="6944AD4D" w:rsidRPr="00D10954">
              <w:rPr>
                <w:rFonts w:eastAsia="Arial" w:cs="Arial"/>
              </w:rPr>
              <w:t>%</w:t>
            </w:r>
          </w:p>
        </w:tc>
      </w:tr>
      <w:tr w:rsidR="6944AD4D" w:rsidRPr="00D10954" w14:paraId="7B9D649B" w14:textId="77777777" w:rsidTr="00F345FB">
        <w:trPr>
          <w:cantSplit/>
          <w:trHeight w:val="315"/>
          <w:jc w:val="center"/>
        </w:trPr>
        <w:tc>
          <w:tcPr>
            <w:tcW w:w="2025" w:type="dxa"/>
            <w:tcBorders>
              <w:left w:val="single" w:sz="6" w:space="0" w:color="auto"/>
            </w:tcBorders>
            <w:tcMar>
              <w:left w:w="105" w:type="dxa"/>
              <w:right w:w="105" w:type="dxa"/>
            </w:tcMar>
            <w:vAlign w:val="center"/>
          </w:tcPr>
          <w:p w14:paraId="00195FB4" w14:textId="4ECA8018" w:rsidR="17157923" w:rsidRPr="00D10954" w:rsidRDefault="17157923" w:rsidP="6944AD4D">
            <w:pPr>
              <w:spacing w:after="0"/>
              <w:ind w:left="60" w:right="60"/>
              <w:jc w:val="center"/>
              <w:rPr>
                <w:rFonts w:eastAsia="Arial" w:cs="Arial"/>
              </w:rPr>
            </w:pPr>
            <w:r w:rsidRPr="00D10954">
              <w:rPr>
                <w:rFonts w:eastAsia="Arial" w:cs="Arial"/>
              </w:rPr>
              <w:t>4</w:t>
            </w:r>
            <w:r w:rsidR="6944AD4D" w:rsidRPr="00D10954">
              <w:rPr>
                <w:rFonts w:eastAsia="Arial" w:cs="Arial"/>
              </w:rPr>
              <w:t>5</w:t>
            </w:r>
          </w:p>
        </w:tc>
        <w:tc>
          <w:tcPr>
            <w:tcW w:w="4875" w:type="dxa"/>
            <w:tcBorders>
              <w:right w:val="single" w:sz="6" w:space="0" w:color="auto"/>
            </w:tcBorders>
            <w:tcMar>
              <w:left w:w="105" w:type="dxa"/>
              <w:right w:w="105" w:type="dxa"/>
            </w:tcMar>
            <w:vAlign w:val="center"/>
          </w:tcPr>
          <w:p w14:paraId="2703895A" w14:textId="3B3DB7DA" w:rsidR="73FFE8BA" w:rsidRPr="00D10954" w:rsidRDefault="73FFE8BA" w:rsidP="6944AD4D">
            <w:pPr>
              <w:spacing w:after="0"/>
              <w:ind w:left="60" w:right="60"/>
              <w:jc w:val="center"/>
              <w:rPr>
                <w:rFonts w:eastAsia="Arial" w:cs="Arial"/>
              </w:rPr>
            </w:pPr>
            <w:r w:rsidRPr="00D10954">
              <w:rPr>
                <w:rFonts w:eastAsia="Arial" w:cs="Arial"/>
              </w:rPr>
              <w:t>92.6%</w:t>
            </w:r>
          </w:p>
        </w:tc>
      </w:tr>
      <w:tr w:rsidR="6944AD4D" w:rsidRPr="00D10954" w14:paraId="53D6C790" w14:textId="77777777" w:rsidTr="00F345FB">
        <w:trPr>
          <w:cantSplit/>
          <w:trHeight w:val="315"/>
          <w:jc w:val="center"/>
        </w:trPr>
        <w:tc>
          <w:tcPr>
            <w:tcW w:w="2025" w:type="dxa"/>
            <w:tcBorders>
              <w:left w:val="single" w:sz="6" w:space="0" w:color="auto"/>
            </w:tcBorders>
            <w:tcMar>
              <w:left w:w="105" w:type="dxa"/>
              <w:right w:w="105" w:type="dxa"/>
            </w:tcMar>
            <w:vAlign w:val="center"/>
          </w:tcPr>
          <w:p w14:paraId="262569F5" w14:textId="4B0F30ED" w:rsidR="7E47BE85" w:rsidRPr="00D10954" w:rsidRDefault="7E47BE85" w:rsidP="6944AD4D">
            <w:pPr>
              <w:spacing w:after="0"/>
              <w:ind w:left="60" w:right="60"/>
              <w:jc w:val="center"/>
              <w:rPr>
                <w:rFonts w:eastAsia="Arial" w:cs="Arial"/>
              </w:rPr>
            </w:pPr>
            <w:r w:rsidRPr="00D10954">
              <w:rPr>
                <w:rFonts w:eastAsia="Arial" w:cs="Arial"/>
              </w:rPr>
              <w:t>4</w:t>
            </w:r>
            <w:r w:rsidR="6944AD4D" w:rsidRPr="00D10954">
              <w:rPr>
                <w:rFonts w:eastAsia="Arial" w:cs="Arial"/>
              </w:rPr>
              <w:t>0</w:t>
            </w:r>
          </w:p>
        </w:tc>
        <w:tc>
          <w:tcPr>
            <w:tcW w:w="4875" w:type="dxa"/>
            <w:tcBorders>
              <w:right w:val="single" w:sz="6" w:space="0" w:color="auto"/>
            </w:tcBorders>
            <w:tcMar>
              <w:left w:w="105" w:type="dxa"/>
              <w:right w:w="105" w:type="dxa"/>
            </w:tcMar>
            <w:vAlign w:val="center"/>
          </w:tcPr>
          <w:p w14:paraId="13426E5A" w14:textId="40C5DAA2" w:rsidR="26A8FD2B" w:rsidRPr="00D10954" w:rsidRDefault="26A8FD2B" w:rsidP="6944AD4D">
            <w:pPr>
              <w:spacing w:after="0"/>
              <w:ind w:left="60" w:right="60"/>
              <w:jc w:val="center"/>
              <w:rPr>
                <w:rFonts w:eastAsia="Arial" w:cs="Arial"/>
              </w:rPr>
            </w:pPr>
            <w:r w:rsidRPr="00D10954">
              <w:rPr>
                <w:rFonts w:eastAsia="Arial" w:cs="Arial"/>
              </w:rPr>
              <w:t>91.8%</w:t>
            </w:r>
          </w:p>
        </w:tc>
      </w:tr>
      <w:tr w:rsidR="6944AD4D" w:rsidRPr="00D10954" w14:paraId="1B8E1CC5" w14:textId="77777777" w:rsidTr="00F345FB">
        <w:trPr>
          <w:cantSplit/>
          <w:trHeight w:val="315"/>
          <w:jc w:val="center"/>
        </w:trPr>
        <w:tc>
          <w:tcPr>
            <w:tcW w:w="2025" w:type="dxa"/>
            <w:tcBorders>
              <w:left w:val="single" w:sz="6" w:space="0" w:color="auto"/>
            </w:tcBorders>
            <w:tcMar>
              <w:left w:w="105" w:type="dxa"/>
              <w:right w:w="105" w:type="dxa"/>
            </w:tcMar>
            <w:vAlign w:val="center"/>
          </w:tcPr>
          <w:p w14:paraId="3D0E8EF2" w14:textId="7CA094AF" w:rsidR="6B80F259" w:rsidRPr="00D10954" w:rsidRDefault="6B80F259" w:rsidP="6944AD4D">
            <w:pPr>
              <w:spacing w:after="0"/>
              <w:ind w:left="60" w:right="60"/>
              <w:jc w:val="center"/>
              <w:rPr>
                <w:rFonts w:eastAsia="Arial" w:cs="Arial"/>
              </w:rPr>
            </w:pPr>
            <w:r w:rsidRPr="00D10954">
              <w:rPr>
                <w:rFonts w:eastAsia="Arial" w:cs="Arial"/>
              </w:rPr>
              <w:t>3</w:t>
            </w:r>
            <w:r w:rsidR="6944AD4D" w:rsidRPr="00D10954">
              <w:rPr>
                <w:rFonts w:eastAsia="Arial" w:cs="Arial"/>
              </w:rPr>
              <w:t>5</w:t>
            </w:r>
          </w:p>
        </w:tc>
        <w:tc>
          <w:tcPr>
            <w:tcW w:w="4875" w:type="dxa"/>
            <w:tcBorders>
              <w:right w:val="single" w:sz="6" w:space="0" w:color="auto"/>
            </w:tcBorders>
            <w:tcMar>
              <w:left w:w="105" w:type="dxa"/>
              <w:right w:w="105" w:type="dxa"/>
            </w:tcMar>
            <w:vAlign w:val="center"/>
          </w:tcPr>
          <w:p w14:paraId="4812B6E9" w14:textId="00A6A271" w:rsidR="323CCE3A" w:rsidRPr="00D10954" w:rsidRDefault="323CCE3A" w:rsidP="6944AD4D">
            <w:pPr>
              <w:spacing w:after="0"/>
              <w:ind w:left="60" w:right="60"/>
              <w:jc w:val="center"/>
              <w:rPr>
                <w:rFonts w:eastAsia="Arial" w:cs="Arial"/>
              </w:rPr>
            </w:pPr>
            <w:r w:rsidRPr="00D10954">
              <w:rPr>
                <w:rFonts w:eastAsia="Arial" w:cs="Arial"/>
              </w:rPr>
              <w:t>90.9%</w:t>
            </w:r>
          </w:p>
        </w:tc>
      </w:tr>
      <w:tr w:rsidR="6944AD4D" w:rsidRPr="00D10954" w14:paraId="7B5AFF31" w14:textId="77777777" w:rsidTr="00F345FB">
        <w:trPr>
          <w:cantSplit/>
          <w:trHeight w:val="315"/>
          <w:jc w:val="center"/>
        </w:trPr>
        <w:tc>
          <w:tcPr>
            <w:tcW w:w="2025" w:type="dxa"/>
            <w:tcBorders>
              <w:left w:val="single" w:sz="6" w:space="0" w:color="auto"/>
            </w:tcBorders>
            <w:tcMar>
              <w:left w:w="105" w:type="dxa"/>
              <w:right w:w="105" w:type="dxa"/>
            </w:tcMar>
            <w:vAlign w:val="center"/>
          </w:tcPr>
          <w:p w14:paraId="5E5A7ABA" w14:textId="25712497" w:rsidR="5F3C2C95" w:rsidRPr="00D10954" w:rsidRDefault="5F3C2C95" w:rsidP="6944AD4D">
            <w:pPr>
              <w:spacing w:after="0"/>
              <w:ind w:left="60" w:right="60"/>
              <w:jc w:val="center"/>
              <w:rPr>
                <w:rFonts w:eastAsia="Arial" w:cs="Arial"/>
              </w:rPr>
            </w:pPr>
            <w:r w:rsidRPr="00D10954">
              <w:rPr>
                <w:rFonts w:eastAsia="Arial" w:cs="Arial"/>
              </w:rPr>
              <w:t>3</w:t>
            </w:r>
            <w:r w:rsidR="6944AD4D" w:rsidRPr="00D10954">
              <w:rPr>
                <w:rFonts w:eastAsia="Arial" w:cs="Arial"/>
              </w:rPr>
              <w:t>0</w:t>
            </w:r>
          </w:p>
        </w:tc>
        <w:tc>
          <w:tcPr>
            <w:tcW w:w="4875" w:type="dxa"/>
            <w:tcBorders>
              <w:right w:val="single" w:sz="6" w:space="0" w:color="auto"/>
            </w:tcBorders>
            <w:tcMar>
              <w:left w:w="105" w:type="dxa"/>
              <w:right w:w="105" w:type="dxa"/>
            </w:tcMar>
            <w:vAlign w:val="center"/>
          </w:tcPr>
          <w:p w14:paraId="7F245683" w14:textId="65DDBAF7" w:rsidR="2FF73C86" w:rsidRPr="00D10954" w:rsidRDefault="2FF73C86" w:rsidP="6944AD4D">
            <w:pPr>
              <w:spacing w:after="0"/>
              <w:ind w:left="60" w:right="60"/>
              <w:jc w:val="center"/>
              <w:rPr>
                <w:rFonts w:eastAsia="Arial" w:cs="Arial"/>
              </w:rPr>
            </w:pPr>
            <w:r w:rsidRPr="00D10954">
              <w:rPr>
                <w:rFonts w:eastAsia="Arial" w:cs="Arial"/>
              </w:rPr>
              <w:t>89.9%</w:t>
            </w:r>
          </w:p>
        </w:tc>
      </w:tr>
      <w:tr w:rsidR="6944AD4D" w:rsidRPr="00D10954" w14:paraId="06FA4335" w14:textId="77777777" w:rsidTr="00F345FB">
        <w:trPr>
          <w:cantSplit/>
          <w:trHeight w:val="315"/>
          <w:jc w:val="center"/>
        </w:trPr>
        <w:tc>
          <w:tcPr>
            <w:tcW w:w="2025" w:type="dxa"/>
            <w:tcBorders>
              <w:left w:val="single" w:sz="6" w:space="0" w:color="auto"/>
            </w:tcBorders>
            <w:tcMar>
              <w:left w:w="105" w:type="dxa"/>
              <w:right w:w="105" w:type="dxa"/>
            </w:tcMar>
            <w:vAlign w:val="center"/>
          </w:tcPr>
          <w:p w14:paraId="16B39872" w14:textId="06256DBE" w:rsidR="5353D80A" w:rsidRPr="00D10954" w:rsidRDefault="5353D80A" w:rsidP="6944AD4D">
            <w:pPr>
              <w:spacing w:after="0"/>
              <w:ind w:left="60" w:right="60"/>
              <w:jc w:val="center"/>
              <w:rPr>
                <w:rFonts w:eastAsia="Arial" w:cs="Arial"/>
              </w:rPr>
            </w:pPr>
            <w:r w:rsidRPr="00D10954">
              <w:rPr>
                <w:rFonts w:eastAsia="Arial" w:cs="Arial"/>
              </w:rPr>
              <w:t>2</w:t>
            </w:r>
            <w:r w:rsidR="6944AD4D" w:rsidRPr="00D10954">
              <w:rPr>
                <w:rFonts w:eastAsia="Arial" w:cs="Arial"/>
              </w:rPr>
              <w:t>5</w:t>
            </w:r>
          </w:p>
        </w:tc>
        <w:tc>
          <w:tcPr>
            <w:tcW w:w="4875" w:type="dxa"/>
            <w:tcBorders>
              <w:right w:val="single" w:sz="6" w:space="0" w:color="auto"/>
            </w:tcBorders>
            <w:tcMar>
              <w:left w:w="105" w:type="dxa"/>
              <w:right w:w="105" w:type="dxa"/>
            </w:tcMar>
            <w:vAlign w:val="center"/>
          </w:tcPr>
          <w:p w14:paraId="728B9040" w14:textId="41294E44" w:rsidR="785871FE" w:rsidRPr="00D10954" w:rsidRDefault="785871FE" w:rsidP="6944AD4D">
            <w:pPr>
              <w:spacing w:after="0"/>
              <w:ind w:left="60" w:right="60"/>
              <w:jc w:val="center"/>
              <w:rPr>
                <w:rFonts w:eastAsia="Arial" w:cs="Arial"/>
              </w:rPr>
            </w:pPr>
            <w:r w:rsidRPr="00D10954">
              <w:rPr>
                <w:rFonts w:eastAsia="Arial" w:cs="Arial"/>
              </w:rPr>
              <w:t>88.4%</w:t>
            </w:r>
          </w:p>
        </w:tc>
      </w:tr>
      <w:tr w:rsidR="6944AD4D" w:rsidRPr="00D10954" w14:paraId="04928909" w14:textId="77777777" w:rsidTr="00F345FB">
        <w:trPr>
          <w:cantSplit/>
          <w:trHeight w:val="315"/>
          <w:jc w:val="center"/>
        </w:trPr>
        <w:tc>
          <w:tcPr>
            <w:tcW w:w="2025" w:type="dxa"/>
            <w:tcBorders>
              <w:left w:val="single" w:sz="6" w:space="0" w:color="auto"/>
            </w:tcBorders>
            <w:tcMar>
              <w:left w:w="105" w:type="dxa"/>
              <w:right w:w="105" w:type="dxa"/>
            </w:tcMar>
            <w:vAlign w:val="center"/>
          </w:tcPr>
          <w:p w14:paraId="32C31EF9" w14:textId="57C79AD3" w:rsidR="5353D80A" w:rsidRPr="00D10954" w:rsidRDefault="5353D80A" w:rsidP="6944AD4D">
            <w:pPr>
              <w:spacing w:after="0"/>
              <w:ind w:left="60" w:right="60"/>
              <w:jc w:val="center"/>
              <w:rPr>
                <w:rFonts w:eastAsia="Arial" w:cs="Arial"/>
              </w:rPr>
            </w:pPr>
            <w:r w:rsidRPr="00D10954">
              <w:rPr>
                <w:rFonts w:eastAsia="Arial" w:cs="Arial"/>
              </w:rPr>
              <w:t>2</w:t>
            </w:r>
            <w:r w:rsidR="6944AD4D" w:rsidRPr="00D10954">
              <w:rPr>
                <w:rFonts w:eastAsia="Arial" w:cs="Arial"/>
              </w:rPr>
              <w:t>0</w:t>
            </w:r>
          </w:p>
        </w:tc>
        <w:tc>
          <w:tcPr>
            <w:tcW w:w="4875" w:type="dxa"/>
            <w:tcBorders>
              <w:right w:val="single" w:sz="6" w:space="0" w:color="auto"/>
            </w:tcBorders>
            <w:tcMar>
              <w:left w:w="105" w:type="dxa"/>
              <w:right w:w="105" w:type="dxa"/>
            </w:tcMar>
            <w:vAlign w:val="center"/>
          </w:tcPr>
          <w:p w14:paraId="3C048524" w14:textId="6EF31600" w:rsidR="67DB6891" w:rsidRPr="00D10954" w:rsidRDefault="67DB6891" w:rsidP="6944AD4D">
            <w:pPr>
              <w:spacing w:after="0"/>
              <w:ind w:left="60" w:right="60"/>
              <w:jc w:val="center"/>
              <w:rPr>
                <w:rFonts w:eastAsia="Arial" w:cs="Arial"/>
              </w:rPr>
            </w:pPr>
            <w:r w:rsidRPr="00D10954">
              <w:rPr>
                <w:rFonts w:eastAsia="Arial" w:cs="Arial"/>
              </w:rPr>
              <w:t>86.5%</w:t>
            </w:r>
          </w:p>
        </w:tc>
      </w:tr>
      <w:tr w:rsidR="6944AD4D" w:rsidRPr="00D10954" w14:paraId="704F68B4" w14:textId="77777777" w:rsidTr="00F345FB">
        <w:trPr>
          <w:cantSplit/>
          <w:trHeight w:val="315"/>
          <w:jc w:val="center"/>
        </w:trPr>
        <w:tc>
          <w:tcPr>
            <w:tcW w:w="2025" w:type="dxa"/>
            <w:tcBorders>
              <w:left w:val="single" w:sz="6" w:space="0" w:color="auto"/>
            </w:tcBorders>
            <w:tcMar>
              <w:left w:w="105" w:type="dxa"/>
              <w:right w:w="105" w:type="dxa"/>
            </w:tcMar>
            <w:vAlign w:val="center"/>
          </w:tcPr>
          <w:p w14:paraId="14F094A3" w14:textId="5E3C7279" w:rsidR="31092087" w:rsidRPr="00D10954" w:rsidRDefault="31092087" w:rsidP="6944AD4D">
            <w:pPr>
              <w:spacing w:after="0"/>
              <w:ind w:left="60" w:right="60"/>
              <w:jc w:val="center"/>
              <w:rPr>
                <w:rFonts w:eastAsia="Arial" w:cs="Arial"/>
              </w:rPr>
            </w:pPr>
            <w:r w:rsidRPr="00D10954">
              <w:rPr>
                <w:rFonts w:eastAsia="Arial" w:cs="Arial"/>
              </w:rPr>
              <w:t>1</w:t>
            </w:r>
            <w:r w:rsidR="6944AD4D" w:rsidRPr="00D10954">
              <w:rPr>
                <w:rFonts w:eastAsia="Arial" w:cs="Arial"/>
              </w:rPr>
              <w:t>5</w:t>
            </w:r>
          </w:p>
        </w:tc>
        <w:tc>
          <w:tcPr>
            <w:tcW w:w="4875" w:type="dxa"/>
            <w:tcBorders>
              <w:right w:val="single" w:sz="6" w:space="0" w:color="auto"/>
            </w:tcBorders>
            <w:tcMar>
              <w:left w:w="105" w:type="dxa"/>
              <w:right w:w="105" w:type="dxa"/>
            </w:tcMar>
            <w:vAlign w:val="center"/>
          </w:tcPr>
          <w:p w14:paraId="78E6CF4A" w14:textId="3BAE2CF1" w:rsidR="4B6078C7" w:rsidRPr="00D10954" w:rsidRDefault="4B6078C7" w:rsidP="6944AD4D">
            <w:pPr>
              <w:spacing w:after="0"/>
              <w:ind w:left="60" w:right="60"/>
              <w:jc w:val="center"/>
              <w:rPr>
                <w:rFonts w:eastAsia="Arial" w:cs="Arial"/>
              </w:rPr>
            </w:pPr>
            <w:r w:rsidRPr="00D10954">
              <w:rPr>
                <w:rFonts w:eastAsia="Arial" w:cs="Arial"/>
              </w:rPr>
              <w:t>83.3%</w:t>
            </w:r>
          </w:p>
        </w:tc>
      </w:tr>
      <w:tr w:rsidR="6944AD4D" w:rsidRPr="00D10954" w14:paraId="4650B94E" w14:textId="77777777" w:rsidTr="00F345FB">
        <w:trPr>
          <w:cantSplit/>
          <w:trHeight w:val="315"/>
          <w:jc w:val="center"/>
        </w:trPr>
        <w:tc>
          <w:tcPr>
            <w:tcW w:w="2025" w:type="dxa"/>
            <w:tcBorders>
              <w:left w:val="single" w:sz="6" w:space="0" w:color="auto"/>
            </w:tcBorders>
            <w:tcMar>
              <w:left w:w="105" w:type="dxa"/>
              <w:right w:w="105" w:type="dxa"/>
            </w:tcMar>
            <w:vAlign w:val="center"/>
          </w:tcPr>
          <w:p w14:paraId="57E89F3B" w14:textId="2B725D8C" w:rsidR="3A9E08B8" w:rsidRPr="00D10954" w:rsidRDefault="3A9E08B8" w:rsidP="6944AD4D">
            <w:pPr>
              <w:spacing w:after="0"/>
              <w:ind w:left="60" w:right="60"/>
              <w:jc w:val="center"/>
              <w:rPr>
                <w:rFonts w:eastAsia="Arial" w:cs="Arial"/>
              </w:rPr>
            </w:pPr>
            <w:r w:rsidRPr="00D10954">
              <w:rPr>
                <w:rFonts w:eastAsia="Arial" w:cs="Arial"/>
              </w:rPr>
              <w:t>1</w:t>
            </w:r>
            <w:r w:rsidR="6944AD4D" w:rsidRPr="00D10954">
              <w:rPr>
                <w:rFonts w:eastAsia="Arial" w:cs="Arial"/>
              </w:rPr>
              <w:t>0</w:t>
            </w:r>
          </w:p>
        </w:tc>
        <w:tc>
          <w:tcPr>
            <w:tcW w:w="4875" w:type="dxa"/>
            <w:tcBorders>
              <w:right w:val="single" w:sz="6" w:space="0" w:color="auto"/>
            </w:tcBorders>
            <w:tcMar>
              <w:left w:w="105" w:type="dxa"/>
              <w:right w:w="105" w:type="dxa"/>
            </w:tcMar>
            <w:vAlign w:val="center"/>
          </w:tcPr>
          <w:p w14:paraId="2B038292" w14:textId="426BC2DF" w:rsidR="79F6EE56" w:rsidRPr="00D10954" w:rsidRDefault="79F6EE56" w:rsidP="6944AD4D">
            <w:pPr>
              <w:spacing w:after="0"/>
              <w:ind w:left="60" w:right="60"/>
              <w:jc w:val="center"/>
              <w:rPr>
                <w:rFonts w:eastAsia="Arial" w:cs="Arial"/>
              </w:rPr>
            </w:pPr>
            <w:r w:rsidRPr="00D10954">
              <w:rPr>
                <w:rFonts w:eastAsia="Arial" w:cs="Arial"/>
              </w:rPr>
              <w:t>78.0%</w:t>
            </w:r>
          </w:p>
        </w:tc>
      </w:tr>
      <w:tr w:rsidR="6944AD4D" w:rsidRPr="00D10954" w14:paraId="71913F87" w14:textId="77777777" w:rsidTr="00F345FB">
        <w:trPr>
          <w:cantSplit/>
          <w:trHeight w:val="315"/>
          <w:jc w:val="center"/>
        </w:trPr>
        <w:tc>
          <w:tcPr>
            <w:tcW w:w="2025" w:type="dxa"/>
            <w:tcBorders>
              <w:left w:val="single" w:sz="6" w:space="0" w:color="auto"/>
              <w:bottom w:val="single" w:sz="6" w:space="0" w:color="auto"/>
            </w:tcBorders>
            <w:tcMar>
              <w:left w:w="105" w:type="dxa"/>
              <w:right w:w="105" w:type="dxa"/>
            </w:tcMar>
            <w:vAlign w:val="center"/>
          </w:tcPr>
          <w:p w14:paraId="58C69843" w14:textId="001F710D" w:rsidR="6944AD4D" w:rsidRPr="00D10954" w:rsidRDefault="6944AD4D" w:rsidP="6944AD4D">
            <w:pPr>
              <w:spacing w:after="0"/>
              <w:ind w:left="60" w:right="60"/>
              <w:jc w:val="center"/>
              <w:rPr>
                <w:rFonts w:eastAsia="Arial" w:cs="Arial"/>
              </w:rPr>
            </w:pPr>
            <w:r w:rsidRPr="00D10954">
              <w:rPr>
                <w:rFonts w:eastAsia="Arial" w:cs="Arial"/>
              </w:rPr>
              <w:t>5</w:t>
            </w:r>
          </w:p>
        </w:tc>
        <w:tc>
          <w:tcPr>
            <w:tcW w:w="4875" w:type="dxa"/>
            <w:tcBorders>
              <w:bottom w:val="single" w:sz="6" w:space="0" w:color="auto"/>
              <w:right w:val="single" w:sz="6" w:space="0" w:color="auto"/>
            </w:tcBorders>
            <w:tcMar>
              <w:left w:w="105" w:type="dxa"/>
              <w:right w:w="105" w:type="dxa"/>
            </w:tcMar>
            <w:vAlign w:val="center"/>
          </w:tcPr>
          <w:p w14:paraId="177FC215" w14:textId="7F1075D0" w:rsidR="36574746" w:rsidRPr="00D10954" w:rsidRDefault="36574746" w:rsidP="6944AD4D">
            <w:pPr>
              <w:spacing w:after="0"/>
              <w:ind w:left="60" w:right="60"/>
              <w:jc w:val="center"/>
              <w:rPr>
                <w:rFonts w:eastAsia="Arial" w:cs="Arial"/>
              </w:rPr>
            </w:pPr>
            <w:r w:rsidRPr="00D10954">
              <w:rPr>
                <w:rFonts w:eastAsia="Arial" w:cs="Arial"/>
              </w:rPr>
              <w:t>65.2%</w:t>
            </w:r>
          </w:p>
        </w:tc>
      </w:tr>
    </w:tbl>
    <w:p w14:paraId="2D1E34E1" w14:textId="4879CBD3" w:rsidR="53808EB6" w:rsidRPr="00D10954" w:rsidRDefault="53808EB6" w:rsidP="6944AD4D">
      <w:pPr>
        <w:rPr>
          <w:rFonts w:eastAsia="Arial" w:cs="Arial"/>
          <w:color w:val="000000" w:themeColor="text1"/>
        </w:rPr>
      </w:pPr>
      <w:r w:rsidRPr="00D10954">
        <w:rPr>
          <w:rFonts w:eastAsia="Arial" w:cs="Arial"/>
          <w:color w:val="000000" w:themeColor="text1"/>
        </w:rPr>
        <w:lastRenderedPageBreak/>
        <w:t>Based on simulations and recommendations produced by the CDE, the SBE approved the Status cut points shown in Table 2.</w:t>
      </w:r>
    </w:p>
    <w:p w14:paraId="27963B8E" w14:textId="7CFBAF8B" w:rsidR="63A00084" w:rsidRPr="00D10954" w:rsidRDefault="53808EB6" w:rsidP="6944AD4D">
      <w:pPr>
        <w:pStyle w:val="Heading4"/>
      </w:pPr>
      <w:r w:rsidRPr="00D10954">
        <w:t xml:space="preserve">Table </w:t>
      </w:r>
      <w:r w:rsidR="17A07F37" w:rsidRPr="00D10954">
        <w:t>2</w:t>
      </w:r>
      <w:r w:rsidRPr="00D10954">
        <w:t xml:space="preserve">: Recommended Status </w:t>
      </w:r>
      <w:r w:rsidR="5A4ACC33" w:rsidRPr="00D10954">
        <w:t xml:space="preserve">Cut Points </w:t>
      </w:r>
      <w:r w:rsidRPr="00D10954">
        <w:t xml:space="preserve">for the </w:t>
      </w:r>
      <w:r w:rsidR="5CA2E45F" w:rsidRPr="00D10954">
        <w:t>Graduation Rate</w:t>
      </w:r>
      <w:r w:rsidRPr="00D10954">
        <w:t xml:space="preserve"> Indicator</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2: Recommended Status Cut Scores for the Chronic Absenteeism Indicator"/>
        <w:tblDescription w:val="Table 2: Recommended Status Cut Scores for the Chronic Absenteeism Indicator"/>
      </w:tblPr>
      <w:tblGrid>
        <w:gridCol w:w="1323"/>
        <w:gridCol w:w="4190"/>
        <w:gridCol w:w="4191"/>
      </w:tblGrid>
      <w:tr w:rsidR="6944AD4D" w:rsidRPr="00D10954" w14:paraId="7540B9FD" w14:textId="77777777" w:rsidTr="00F345FB">
        <w:trPr>
          <w:cantSplit/>
          <w:trHeight w:val="300"/>
          <w:tblHeader/>
        </w:trPr>
        <w:tc>
          <w:tcPr>
            <w:tcW w:w="1323" w:type="dxa"/>
            <w:tcBorders>
              <w:top w:val="single" w:sz="6" w:space="0" w:color="auto"/>
              <w:left w:val="single" w:sz="6" w:space="0" w:color="auto"/>
            </w:tcBorders>
            <w:shd w:val="clear" w:color="auto" w:fill="D9D9D9" w:themeFill="background1" w:themeFillShade="D9"/>
            <w:tcMar>
              <w:left w:w="105" w:type="dxa"/>
              <w:right w:w="105" w:type="dxa"/>
            </w:tcMar>
          </w:tcPr>
          <w:p w14:paraId="7706FB3B" w14:textId="0DF0CB09" w:rsidR="6944AD4D" w:rsidRPr="00D10954" w:rsidRDefault="6944AD4D" w:rsidP="6944AD4D">
            <w:pPr>
              <w:rPr>
                <w:rFonts w:eastAsia="Arial" w:cs="Arial"/>
              </w:rPr>
            </w:pPr>
            <w:r w:rsidRPr="00D10954">
              <w:rPr>
                <w:rFonts w:eastAsia="Arial" w:cs="Arial"/>
                <w:b/>
                <w:bCs/>
              </w:rPr>
              <w:t>Status Level</w:t>
            </w:r>
          </w:p>
        </w:tc>
        <w:tc>
          <w:tcPr>
            <w:tcW w:w="4199" w:type="dxa"/>
            <w:tcBorders>
              <w:top w:val="single" w:sz="6" w:space="0" w:color="auto"/>
              <w:right w:val="single" w:sz="6" w:space="0" w:color="auto"/>
            </w:tcBorders>
            <w:shd w:val="clear" w:color="auto" w:fill="D9D9D9" w:themeFill="background1" w:themeFillShade="D9"/>
            <w:tcMar>
              <w:left w:w="105" w:type="dxa"/>
              <w:right w:w="105" w:type="dxa"/>
            </w:tcMar>
          </w:tcPr>
          <w:p w14:paraId="7ACA1B21" w14:textId="31AE4160" w:rsidR="6944AD4D" w:rsidRPr="00D10954" w:rsidRDefault="6944AD4D" w:rsidP="6944AD4D">
            <w:pPr>
              <w:rPr>
                <w:rFonts w:eastAsia="Arial" w:cs="Arial"/>
              </w:rPr>
            </w:pPr>
            <w:r w:rsidRPr="00D10954">
              <w:rPr>
                <w:rFonts w:eastAsia="Arial" w:cs="Arial"/>
                <w:b/>
                <w:bCs/>
              </w:rPr>
              <w:t xml:space="preserve">Status Cut </w:t>
            </w:r>
            <w:r w:rsidR="3E804973" w:rsidRPr="00D10954">
              <w:rPr>
                <w:rFonts w:eastAsia="Arial" w:cs="Arial"/>
                <w:b/>
                <w:bCs/>
              </w:rPr>
              <w:t>Point</w:t>
            </w:r>
            <w:r w:rsidRPr="00D10954">
              <w:rPr>
                <w:rFonts w:eastAsia="Arial" w:cs="Arial"/>
                <w:b/>
                <w:bCs/>
              </w:rPr>
              <w:t>s</w:t>
            </w:r>
          </w:p>
        </w:tc>
        <w:tc>
          <w:tcPr>
            <w:tcW w:w="4199" w:type="dxa"/>
            <w:tcBorders>
              <w:top w:val="single" w:sz="6" w:space="0" w:color="auto"/>
              <w:right w:val="single" w:sz="6" w:space="0" w:color="auto"/>
            </w:tcBorders>
            <w:shd w:val="clear" w:color="auto" w:fill="D9D9D9" w:themeFill="background1" w:themeFillShade="D9"/>
            <w:tcMar>
              <w:left w:w="105" w:type="dxa"/>
              <w:right w:w="105" w:type="dxa"/>
            </w:tcMar>
          </w:tcPr>
          <w:p w14:paraId="39245F06" w14:textId="6AE8130A" w:rsidR="6944AD4D" w:rsidRPr="00D10954" w:rsidRDefault="6944AD4D" w:rsidP="6944AD4D">
            <w:pPr>
              <w:rPr>
                <w:rFonts w:eastAsia="Arial" w:cs="Arial"/>
                <w:b/>
                <w:bCs/>
              </w:rPr>
            </w:pPr>
            <w:r w:rsidRPr="00D10954">
              <w:rPr>
                <w:rFonts w:eastAsia="Arial" w:cs="Arial"/>
                <w:b/>
                <w:bCs/>
              </w:rPr>
              <w:t>Approximate Percentiles Represented</w:t>
            </w:r>
          </w:p>
        </w:tc>
      </w:tr>
      <w:tr w:rsidR="6944AD4D" w:rsidRPr="00D10954" w14:paraId="0D7E90CC" w14:textId="77777777" w:rsidTr="00F345FB">
        <w:trPr>
          <w:cantSplit/>
          <w:trHeight w:val="300"/>
        </w:trPr>
        <w:tc>
          <w:tcPr>
            <w:tcW w:w="1323" w:type="dxa"/>
            <w:tcBorders>
              <w:left w:val="single" w:sz="6" w:space="0" w:color="auto"/>
            </w:tcBorders>
            <w:tcMar>
              <w:left w:w="105" w:type="dxa"/>
              <w:right w:w="105" w:type="dxa"/>
            </w:tcMar>
          </w:tcPr>
          <w:p w14:paraId="64C70F3C" w14:textId="79E0F5E1" w:rsidR="6944AD4D" w:rsidRPr="00D10954" w:rsidRDefault="6944AD4D" w:rsidP="6944AD4D">
            <w:pPr>
              <w:rPr>
                <w:rFonts w:eastAsia="Arial" w:cs="Arial"/>
              </w:rPr>
            </w:pPr>
            <w:r w:rsidRPr="00D10954">
              <w:rPr>
                <w:rFonts w:eastAsia="Arial" w:cs="Arial"/>
              </w:rPr>
              <w:t xml:space="preserve">Very </w:t>
            </w:r>
            <w:r w:rsidR="731C9CAA" w:rsidRPr="00D10954">
              <w:rPr>
                <w:rFonts w:eastAsia="Arial" w:cs="Arial"/>
              </w:rPr>
              <w:t>High</w:t>
            </w:r>
          </w:p>
        </w:tc>
        <w:tc>
          <w:tcPr>
            <w:tcW w:w="4199" w:type="dxa"/>
            <w:tcBorders>
              <w:right w:val="single" w:sz="6" w:space="0" w:color="auto"/>
            </w:tcBorders>
            <w:tcMar>
              <w:left w:w="105" w:type="dxa"/>
              <w:right w:w="105" w:type="dxa"/>
            </w:tcMar>
          </w:tcPr>
          <w:p w14:paraId="1120056D" w14:textId="5CFC1906" w:rsidR="76725884" w:rsidRPr="00D10954" w:rsidRDefault="76725884" w:rsidP="6944AD4D">
            <w:pPr>
              <w:rPr>
                <w:rFonts w:eastAsia="Arial" w:cs="Arial"/>
              </w:rPr>
            </w:pPr>
            <w:r w:rsidRPr="00D10954">
              <w:rPr>
                <w:rFonts w:eastAsia="Arial" w:cs="Arial"/>
              </w:rPr>
              <w:t>Graduation</w:t>
            </w:r>
            <w:r w:rsidR="6944AD4D" w:rsidRPr="00D10954">
              <w:rPr>
                <w:rFonts w:eastAsia="Arial" w:cs="Arial"/>
              </w:rPr>
              <w:t xml:space="preserve"> rate is</w:t>
            </w:r>
            <w:r w:rsidR="497BD077" w:rsidRPr="00D10954">
              <w:rPr>
                <w:rFonts w:eastAsia="Arial" w:cs="Arial"/>
              </w:rPr>
              <w:t xml:space="preserve"> 9</w:t>
            </w:r>
            <w:r w:rsidR="6944AD4D" w:rsidRPr="00D10954">
              <w:rPr>
                <w:rFonts w:eastAsia="Arial" w:cs="Arial"/>
              </w:rPr>
              <w:t xml:space="preserve">5% or </w:t>
            </w:r>
            <w:r w:rsidR="43996C35" w:rsidRPr="00D10954">
              <w:rPr>
                <w:rFonts w:eastAsia="Arial" w:cs="Arial"/>
              </w:rPr>
              <w:t>higher</w:t>
            </w:r>
          </w:p>
        </w:tc>
        <w:tc>
          <w:tcPr>
            <w:tcW w:w="4199" w:type="dxa"/>
            <w:tcBorders>
              <w:right w:val="single" w:sz="6" w:space="0" w:color="auto"/>
            </w:tcBorders>
            <w:tcMar>
              <w:left w:w="105" w:type="dxa"/>
              <w:right w:w="105" w:type="dxa"/>
            </w:tcMar>
          </w:tcPr>
          <w:p w14:paraId="28DC8A0F" w14:textId="7F8DB332" w:rsidR="6944AD4D" w:rsidRPr="00D10954" w:rsidRDefault="6944AD4D" w:rsidP="6944AD4D">
            <w:pPr>
              <w:rPr>
                <w:rFonts w:eastAsia="Arial" w:cs="Arial"/>
              </w:rPr>
            </w:pPr>
            <w:r w:rsidRPr="00D10954">
              <w:rPr>
                <w:rFonts w:eastAsia="Arial" w:cs="Arial"/>
              </w:rPr>
              <w:t xml:space="preserve">Above the </w:t>
            </w:r>
            <w:r w:rsidR="7C5F5D09" w:rsidRPr="00D10954">
              <w:rPr>
                <w:rFonts w:eastAsia="Arial" w:cs="Arial"/>
              </w:rPr>
              <w:t>65</w:t>
            </w:r>
            <w:r w:rsidRPr="00D10954">
              <w:rPr>
                <w:rFonts w:eastAsia="Arial" w:cs="Arial"/>
                <w:vertAlign w:val="superscript"/>
              </w:rPr>
              <w:t>th</w:t>
            </w:r>
            <w:r w:rsidRPr="00D10954">
              <w:rPr>
                <w:rFonts w:eastAsia="Arial" w:cs="Arial"/>
              </w:rPr>
              <w:t xml:space="preserve"> percentile</w:t>
            </w:r>
          </w:p>
        </w:tc>
      </w:tr>
      <w:tr w:rsidR="6944AD4D" w:rsidRPr="00D10954" w14:paraId="3DC26003" w14:textId="77777777" w:rsidTr="00F345FB">
        <w:trPr>
          <w:cantSplit/>
          <w:trHeight w:val="300"/>
        </w:trPr>
        <w:tc>
          <w:tcPr>
            <w:tcW w:w="1323" w:type="dxa"/>
            <w:tcBorders>
              <w:left w:val="single" w:sz="6" w:space="0" w:color="auto"/>
            </w:tcBorders>
            <w:tcMar>
              <w:left w:w="105" w:type="dxa"/>
              <w:right w:w="105" w:type="dxa"/>
            </w:tcMar>
          </w:tcPr>
          <w:p w14:paraId="2448C7EA" w14:textId="0CD81025" w:rsidR="77A7F031" w:rsidRPr="00D10954" w:rsidRDefault="77A7F031" w:rsidP="6944AD4D">
            <w:pPr>
              <w:rPr>
                <w:rFonts w:eastAsia="Arial" w:cs="Arial"/>
              </w:rPr>
            </w:pPr>
            <w:r w:rsidRPr="00D10954">
              <w:rPr>
                <w:rFonts w:eastAsia="Arial" w:cs="Arial"/>
              </w:rPr>
              <w:t>High</w:t>
            </w:r>
          </w:p>
        </w:tc>
        <w:tc>
          <w:tcPr>
            <w:tcW w:w="4199" w:type="dxa"/>
            <w:tcBorders>
              <w:right w:val="single" w:sz="6" w:space="0" w:color="auto"/>
            </w:tcBorders>
            <w:tcMar>
              <w:left w:w="105" w:type="dxa"/>
              <w:right w:w="105" w:type="dxa"/>
            </w:tcMar>
          </w:tcPr>
          <w:p w14:paraId="0D46CBAC" w14:textId="28FF87BD" w:rsidR="49902D9A" w:rsidRPr="00D10954" w:rsidRDefault="49902D9A" w:rsidP="6944AD4D">
            <w:pPr>
              <w:rPr>
                <w:rFonts w:eastAsia="Arial" w:cs="Arial"/>
              </w:rPr>
            </w:pPr>
            <w:r w:rsidRPr="00D10954">
              <w:rPr>
                <w:rFonts w:eastAsia="Arial" w:cs="Arial"/>
              </w:rPr>
              <w:t>Graduation</w:t>
            </w:r>
            <w:r w:rsidR="6944AD4D" w:rsidRPr="00D10954">
              <w:rPr>
                <w:rFonts w:eastAsia="Arial" w:cs="Arial"/>
              </w:rPr>
              <w:t xml:space="preserve"> rate is </w:t>
            </w:r>
            <w:r w:rsidR="483511EA" w:rsidRPr="00D10954">
              <w:rPr>
                <w:rFonts w:eastAsia="Arial" w:cs="Arial"/>
              </w:rPr>
              <w:t>90</w:t>
            </w:r>
            <w:r w:rsidR="6944AD4D" w:rsidRPr="00D10954">
              <w:rPr>
                <w:rFonts w:eastAsia="Arial" w:cs="Arial"/>
              </w:rPr>
              <w:t xml:space="preserve">% to </w:t>
            </w:r>
            <w:r w:rsidR="3E2095EB" w:rsidRPr="00D10954">
              <w:rPr>
                <w:rFonts w:eastAsia="Arial" w:cs="Arial"/>
              </w:rPr>
              <w:t>94.9</w:t>
            </w:r>
            <w:r w:rsidR="6944AD4D" w:rsidRPr="00D10954">
              <w:rPr>
                <w:rFonts w:eastAsia="Arial" w:cs="Arial"/>
              </w:rPr>
              <w:t>%</w:t>
            </w:r>
          </w:p>
        </w:tc>
        <w:tc>
          <w:tcPr>
            <w:tcW w:w="4199" w:type="dxa"/>
            <w:tcBorders>
              <w:right w:val="single" w:sz="6" w:space="0" w:color="auto"/>
            </w:tcBorders>
            <w:tcMar>
              <w:left w:w="105" w:type="dxa"/>
              <w:right w:w="105" w:type="dxa"/>
            </w:tcMar>
          </w:tcPr>
          <w:p w14:paraId="50C5F0DC" w14:textId="385ABB1B" w:rsidR="0F0EEE14" w:rsidRPr="00D10954" w:rsidRDefault="0F0EEE14" w:rsidP="6944AD4D">
            <w:pPr>
              <w:rPr>
                <w:rFonts w:eastAsia="Arial" w:cs="Arial"/>
              </w:rPr>
            </w:pPr>
            <w:r w:rsidRPr="00D10954">
              <w:rPr>
                <w:rFonts w:eastAsia="Arial" w:cs="Arial"/>
              </w:rPr>
              <w:t>3</w:t>
            </w:r>
            <w:r w:rsidR="6944AD4D" w:rsidRPr="00D10954">
              <w:rPr>
                <w:rFonts w:eastAsia="Arial" w:cs="Arial"/>
              </w:rPr>
              <w:t>5</w:t>
            </w:r>
            <w:r w:rsidR="6944AD4D" w:rsidRPr="00D10954">
              <w:rPr>
                <w:rFonts w:eastAsia="Arial" w:cs="Arial"/>
                <w:vertAlign w:val="superscript"/>
              </w:rPr>
              <w:t>th</w:t>
            </w:r>
            <w:r w:rsidR="6944AD4D" w:rsidRPr="00D10954">
              <w:rPr>
                <w:rFonts w:eastAsia="Arial" w:cs="Arial"/>
              </w:rPr>
              <w:t xml:space="preserve"> to </w:t>
            </w:r>
            <w:r w:rsidR="48C6869D" w:rsidRPr="00D10954">
              <w:rPr>
                <w:rFonts w:eastAsia="Arial" w:cs="Arial"/>
              </w:rPr>
              <w:t>65</w:t>
            </w:r>
            <w:r w:rsidR="6944AD4D" w:rsidRPr="00D10954">
              <w:rPr>
                <w:rFonts w:eastAsia="Arial" w:cs="Arial"/>
                <w:vertAlign w:val="superscript"/>
              </w:rPr>
              <w:t>th</w:t>
            </w:r>
            <w:r w:rsidR="6944AD4D" w:rsidRPr="00D10954">
              <w:rPr>
                <w:rFonts w:eastAsia="Arial" w:cs="Arial"/>
              </w:rPr>
              <w:t xml:space="preserve"> percentile</w:t>
            </w:r>
          </w:p>
        </w:tc>
      </w:tr>
      <w:tr w:rsidR="6944AD4D" w:rsidRPr="00D10954" w14:paraId="2A780C71" w14:textId="77777777" w:rsidTr="00F345FB">
        <w:trPr>
          <w:cantSplit/>
          <w:trHeight w:val="300"/>
        </w:trPr>
        <w:tc>
          <w:tcPr>
            <w:tcW w:w="1323" w:type="dxa"/>
            <w:tcBorders>
              <w:left w:val="single" w:sz="6" w:space="0" w:color="auto"/>
            </w:tcBorders>
            <w:tcMar>
              <w:left w:w="105" w:type="dxa"/>
              <w:right w:w="105" w:type="dxa"/>
            </w:tcMar>
          </w:tcPr>
          <w:p w14:paraId="2ABA8626" w14:textId="012F781C" w:rsidR="6944AD4D" w:rsidRPr="00D10954" w:rsidRDefault="6944AD4D" w:rsidP="6944AD4D">
            <w:pPr>
              <w:rPr>
                <w:rFonts w:eastAsia="Arial" w:cs="Arial"/>
              </w:rPr>
            </w:pPr>
            <w:r w:rsidRPr="00D10954">
              <w:rPr>
                <w:rFonts w:eastAsia="Arial" w:cs="Arial"/>
              </w:rPr>
              <w:t>Medium</w:t>
            </w:r>
          </w:p>
        </w:tc>
        <w:tc>
          <w:tcPr>
            <w:tcW w:w="4199" w:type="dxa"/>
            <w:tcBorders>
              <w:right w:val="single" w:sz="6" w:space="0" w:color="auto"/>
            </w:tcBorders>
            <w:tcMar>
              <w:left w:w="105" w:type="dxa"/>
              <w:right w:w="105" w:type="dxa"/>
            </w:tcMar>
          </w:tcPr>
          <w:p w14:paraId="73CD3400" w14:textId="49975814" w:rsidR="7FF98D70" w:rsidRPr="00D10954" w:rsidRDefault="7FF98D70" w:rsidP="6944AD4D">
            <w:pPr>
              <w:rPr>
                <w:rFonts w:eastAsia="Arial" w:cs="Arial"/>
              </w:rPr>
            </w:pPr>
            <w:r w:rsidRPr="00D10954">
              <w:rPr>
                <w:rFonts w:eastAsia="Arial" w:cs="Arial"/>
              </w:rPr>
              <w:t>Graduation</w:t>
            </w:r>
            <w:r w:rsidR="6944AD4D" w:rsidRPr="00D10954">
              <w:rPr>
                <w:rFonts w:eastAsia="Arial" w:cs="Arial"/>
              </w:rPr>
              <w:t xml:space="preserve"> rate is </w:t>
            </w:r>
            <w:r w:rsidR="3574FB24" w:rsidRPr="00D10954">
              <w:rPr>
                <w:rFonts w:eastAsia="Arial" w:cs="Arial"/>
              </w:rPr>
              <w:t>80</w:t>
            </w:r>
            <w:r w:rsidR="6944AD4D" w:rsidRPr="00D10954">
              <w:rPr>
                <w:rFonts w:eastAsia="Arial" w:cs="Arial"/>
              </w:rPr>
              <w:t xml:space="preserve">% to </w:t>
            </w:r>
            <w:r w:rsidR="29C94554" w:rsidRPr="00D10954">
              <w:rPr>
                <w:rFonts w:eastAsia="Arial" w:cs="Arial"/>
              </w:rPr>
              <w:t>89.9</w:t>
            </w:r>
            <w:r w:rsidR="6944AD4D" w:rsidRPr="00D10954">
              <w:rPr>
                <w:rFonts w:eastAsia="Arial" w:cs="Arial"/>
              </w:rPr>
              <w:t>%</w:t>
            </w:r>
          </w:p>
        </w:tc>
        <w:tc>
          <w:tcPr>
            <w:tcW w:w="4199" w:type="dxa"/>
            <w:tcBorders>
              <w:right w:val="single" w:sz="6" w:space="0" w:color="auto"/>
            </w:tcBorders>
            <w:tcMar>
              <w:left w:w="105" w:type="dxa"/>
              <w:right w:w="105" w:type="dxa"/>
            </w:tcMar>
          </w:tcPr>
          <w:p w14:paraId="77B165F9" w14:textId="18A4AAA1" w:rsidR="33BE0825" w:rsidRPr="00D10954" w:rsidRDefault="33BE0825" w:rsidP="6944AD4D">
            <w:pPr>
              <w:rPr>
                <w:rFonts w:eastAsia="Arial" w:cs="Arial"/>
              </w:rPr>
            </w:pPr>
            <w:r w:rsidRPr="00D10954">
              <w:rPr>
                <w:rFonts w:eastAsia="Arial" w:cs="Arial"/>
              </w:rPr>
              <w:t>15</w:t>
            </w:r>
            <w:r w:rsidRPr="00D10954">
              <w:rPr>
                <w:rFonts w:eastAsia="Arial" w:cs="Arial"/>
                <w:vertAlign w:val="superscript"/>
              </w:rPr>
              <w:t>th</w:t>
            </w:r>
            <w:r w:rsidRPr="00D10954">
              <w:rPr>
                <w:rFonts w:eastAsia="Arial" w:cs="Arial"/>
              </w:rPr>
              <w:t xml:space="preserve"> </w:t>
            </w:r>
            <w:r w:rsidR="6944AD4D" w:rsidRPr="00D10954">
              <w:rPr>
                <w:rFonts w:eastAsia="Arial" w:cs="Arial"/>
              </w:rPr>
              <w:t xml:space="preserve">to </w:t>
            </w:r>
            <w:r w:rsidR="4F4C13C3" w:rsidRPr="00D10954">
              <w:rPr>
                <w:rFonts w:eastAsia="Arial" w:cs="Arial"/>
              </w:rPr>
              <w:t>3</w:t>
            </w:r>
            <w:r w:rsidR="6944AD4D" w:rsidRPr="00D10954">
              <w:rPr>
                <w:rFonts w:eastAsia="Arial" w:cs="Arial"/>
              </w:rPr>
              <w:t>5</w:t>
            </w:r>
            <w:r w:rsidR="6944AD4D" w:rsidRPr="00D10954">
              <w:rPr>
                <w:rFonts w:eastAsia="Arial" w:cs="Arial"/>
                <w:vertAlign w:val="superscript"/>
              </w:rPr>
              <w:t>th</w:t>
            </w:r>
            <w:r w:rsidR="6944AD4D" w:rsidRPr="00D10954">
              <w:rPr>
                <w:rFonts w:eastAsia="Arial" w:cs="Arial"/>
              </w:rPr>
              <w:t xml:space="preserve"> percentile</w:t>
            </w:r>
          </w:p>
        </w:tc>
      </w:tr>
      <w:tr w:rsidR="6944AD4D" w:rsidRPr="00D10954" w14:paraId="63A7498F" w14:textId="77777777" w:rsidTr="00F345FB">
        <w:trPr>
          <w:cantSplit/>
          <w:trHeight w:val="300"/>
        </w:trPr>
        <w:tc>
          <w:tcPr>
            <w:tcW w:w="1323" w:type="dxa"/>
            <w:tcBorders>
              <w:left w:val="single" w:sz="6" w:space="0" w:color="auto"/>
            </w:tcBorders>
            <w:tcMar>
              <w:left w:w="105" w:type="dxa"/>
              <w:right w:w="105" w:type="dxa"/>
            </w:tcMar>
          </w:tcPr>
          <w:p w14:paraId="5A8E4C66" w14:textId="091ED7E6" w:rsidR="503777FC" w:rsidRPr="00D10954" w:rsidRDefault="503777FC" w:rsidP="6944AD4D">
            <w:pPr>
              <w:rPr>
                <w:rFonts w:eastAsia="Arial" w:cs="Arial"/>
              </w:rPr>
            </w:pPr>
            <w:r w:rsidRPr="00D10954">
              <w:rPr>
                <w:rFonts w:eastAsia="Arial" w:cs="Arial"/>
              </w:rPr>
              <w:t>Low</w:t>
            </w:r>
          </w:p>
        </w:tc>
        <w:tc>
          <w:tcPr>
            <w:tcW w:w="4199" w:type="dxa"/>
            <w:tcBorders>
              <w:right w:val="single" w:sz="6" w:space="0" w:color="auto"/>
            </w:tcBorders>
            <w:tcMar>
              <w:left w:w="105" w:type="dxa"/>
              <w:right w:w="105" w:type="dxa"/>
            </w:tcMar>
          </w:tcPr>
          <w:p w14:paraId="56CA2D42" w14:textId="14B5AD37" w:rsidR="2F25EFF2" w:rsidRPr="00D10954" w:rsidRDefault="2F25EFF2" w:rsidP="6944AD4D">
            <w:pPr>
              <w:rPr>
                <w:rFonts w:eastAsia="Arial" w:cs="Arial"/>
              </w:rPr>
            </w:pPr>
            <w:r w:rsidRPr="00D10954">
              <w:rPr>
                <w:rFonts w:eastAsia="Arial" w:cs="Arial"/>
              </w:rPr>
              <w:t>Graduation</w:t>
            </w:r>
            <w:r w:rsidR="6944AD4D" w:rsidRPr="00D10954">
              <w:rPr>
                <w:rFonts w:eastAsia="Arial" w:cs="Arial"/>
              </w:rPr>
              <w:t xml:space="preserve"> rate is </w:t>
            </w:r>
            <w:r w:rsidR="37D81396" w:rsidRPr="00D10954">
              <w:rPr>
                <w:rFonts w:eastAsia="Arial" w:cs="Arial"/>
              </w:rPr>
              <w:t>67.0</w:t>
            </w:r>
            <w:r w:rsidR="6944AD4D" w:rsidRPr="00D10954">
              <w:rPr>
                <w:rFonts w:eastAsia="Arial" w:cs="Arial"/>
              </w:rPr>
              <w:t xml:space="preserve">% to </w:t>
            </w:r>
            <w:r w:rsidR="18959541" w:rsidRPr="00D10954">
              <w:rPr>
                <w:rFonts w:eastAsia="Arial" w:cs="Arial"/>
              </w:rPr>
              <w:t>79.9</w:t>
            </w:r>
            <w:r w:rsidR="6944AD4D" w:rsidRPr="00D10954">
              <w:rPr>
                <w:rFonts w:eastAsia="Arial" w:cs="Arial"/>
              </w:rPr>
              <w:t>%</w:t>
            </w:r>
          </w:p>
        </w:tc>
        <w:tc>
          <w:tcPr>
            <w:tcW w:w="4199" w:type="dxa"/>
            <w:tcBorders>
              <w:right w:val="single" w:sz="6" w:space="0" w:color="auto"/>
            </w:tcBorders>
            <w:tcMar>
              <w:left w:w="105" w:type="dxa"/>
              <w:right w:w="105" w:type="dxa"/>
            </w:tcMar>
          </w:tcPr>
          <w:p w14:paraId="066F5410" w14:textId="243C7743" w:rsidR="6944AD4D" w:rsidRPr="00D10954" w:rsidRDefault="6944AD4D" w:rsidP="6944AD4D">
            <w:pPr>
              <w:rPr>
                <w:rFonts w:eastAsia="Arial" w:cs="Arial"/>
              </w:rPr>
            </w:pPr>
            <w:r w:rsidRPr="00D10954">
              <w:rPr>
                <w:rFonts w:eastAsia="Arial" w:cs="Arial"/>
              </w:rPr>
              <w:t>10</w:t>
            </w:r>
            <w:r w:rsidRPr="00D10954">
              <w:rPr>
                <w:rFonts w:eastAsia="Arial" w:cs="Arial"/>
                <w:vertAlign w:val="superscript"/>
              </w:rPr>
              <w:t>th</w:t>
            </w:r>
            <w:r w:rsidRPr="00D10954">
              <w:rPr>
                <w:rFonts w:eastAsia="Arial" w:cs="Arial"/>
              </w:rPr>
              <w:t xml:space="preserve"> to </w:t>
            </w:r>
            <w:r w:rsidR="092C89D2" w:rsidRPr="00D10954">
              <w:rPr>
                <w:rFonts w:eastAsia="Arial" w:cs="Arial"/>
              </w:rPr>
              <w:t>15</w:t>
            </w:r>
            <w:r w:rsidRPr="00D10954">
              <w:rPr>
                <w:rFonts w:eastAsia="Arial" w:cs="Arial"/>
                <w:vertAlign w:val="superscript"/>
              </w:rPr>
              <w:t>th</w:t>
            </w:r>
            <w:r w:rsidRPr="00D10954">
              <w:rPr>
                <w:rFonts w:eastAsia="Arial" w:cs="Arial"/>
              </w:rPr>
              <w:t xml:space="preserve"> percentile</w:t>
            </w:r>
          </w:p>
        </w:tc>
      </w:tr>
      <w:tr w:rsidR="6944AD4D" w:rsidRPr="00D10954" w14:paraId="41671474" w14:textId="77777777" w:rsidTr="00F345FB">
        <w:trPr>
          <w:cantSplit/>
          <w:trHeight w:val="300"/>
        </w:trPr>
        <w:tc>
          <w:tcPr>
            <w:tcW w:w="1323" w:type="dxa"/>
            <w:tcBorders>
              <w:left w:val="single" w:sz="6" w:space="0" w:color="auto"/>
              <w:bottom w:val="single" w:sz="6" w:space="0" w:color="auto"/>
            </w:tcBorders>
            <w:tcMar>
              <w:left w:w="105" w:type="dxa"/>
              <w:right w:w="105" w:type="dxa"/>
            </w:tcMar>
          </w:tcPr>
          <w:p w14:paraId="2B139FC2" w14:textId="6EB0E852" w:rsidR="6944AD4D" w:rsidRPr="00D10954" w:rsidRDefault="6944AD4D" w:rsidP="6944AD4D">
            <w:pPr>
              <w:rPr>
                <w:rFonts w:eastAsia="Arial" w:cs="Arial"/>
              </w:rPr>
            </w:pPr>
            <w:r w:rsidRPr="00D10954">
              <w:rPr>
                <w:rFonts w:eastAsia="Arial" w:cs="Arial"/>
              </w:rPr>
              <w:t xml:space="preserve">Very </w:t>
            </w:r>
            <w:r w:rsidR="2E601B25" w:rsidRPr="00D10954">
              <w:rPr>
                <w:rFonts w:eastAsia="Arial" w:cs="Arial"/>
              </w:rPr>
              <w:t>Low</w:t>
            </w:r>
          </w:p>
        </w:tc>
        <w:tc>
          <w:tcPr>
            <w:tcW w:w="4199" w:type="dxa"/>
            <w:tcBorders>
              <w:bottom w:val="single" w:sz="6" w:space="0" w:color="auto"/>
              <w:right w:val="single" w:sz="6" w:space="0" w:color="auto"/>
            </w:tcBorders>
            <w:tcMar>
              <w:left w:w="105" w:type="dxa"/>
              <w:right w:w="105" w:type="dxa"/>
            </w:tcMar>
          </w:tcPr>
          <w:p w14:paraId="4C34A79A" w14:textId="7C49D863" w:rsidR="395C42AE" w:rsidRPr="00D10954" w:rsidRDefault="395C42AE" w:rsidP="6944AD4D">
            <w:pPr>
              <w:rPr>
                <w:rFonts w:eastAsia="Arial" w:cs="Arial"/>
              </w:rPr>
            </w:pPr>
            <w:r w:rsidRPr="00D10954">
              <w:rPr>
                <w:rFonts w:eastAsia="Arial" w:cs="Arial"/>
              </w:rPr>
              <w:t>Graduation</w:t>
            </w:r>
            <w:r w:rsidR="6944AD4D" w:rsidRPr="00D10954">
              <w:rPr>
                <w:rFonts w:eastAsia="Arial" w:cs="Arial"/>
              </w:rPr>
              <w:t xml:space="preserve"> rate is </w:t>
            </w:r>
            <w:r w:rsidR="5E40014A" w:rsidRPr="00D10954">
              <w:rPr>
                <w:rFonts w:eastAsia="Arial" w:cs="Arial"/>
              </w:rPr>
              <w:t>66.9</w:t>
            </w:r>
            <w:r w:rsidR="6944AD4D" w:rsidRPr="00D10954">
              <w:rPr>
                <w:rFonts w:eastAsia="Arial" w:cs="Arial"/>
              </w:rPr>
              <w:t xml:space="preserve">% or </w:t>
            </w:r>
            <w:r w:rsidR="6254C616" w:rsidRPr="00D10954">
              <w:rPr>
                <w:rFonts w:eastAsia="Arial" w:cs="Arial"/>
              </w:rPr>
              <w:t>lower</w:t>
            </w:r>
          </w:p>
        </w:tc>
        <w:tc>
          <w:tcPr>
            <w:tcW w:w="4199" w:type="dxa"/>
            <w:tcBorders>
              <w:bottom w:val="single" w:sz="6" w:space="0" w:color="auto"/>
              <w:right w:val="single" w:sz="6" w:space="0" w:color="auto"/>
            </w:tcBorders>
            <w:tcMar>
              <w:left w:w="105" w:type="dxa"/>
              <w:right w:w="105" w:type="dxa"/>
            </w:tcMar>
          </w:tcPr>
          <w:p w14:paraId="22AC72E3" w14:textId="6654C25B" w:rsidR="6944AD4D" w:rsidRPr="00D10954" w:rsidRDefault="6944AD4D" w:rsidP="6944AD4D">
            <w:pPr>
              <w:rPr>
                <w:rFonts w:eastAsia="Arial" w:cs="Arial"/>
              </w:rPr>
            </w:pPr>
            <w:r w:rsidRPr="00D10954">
              <w:rPr>
                <w:rFonts w:eastAsia="Arial" w:cs="Arial"/>
              </w:rPr>
              <w:t>Lower than the 10</w:t>
            </w:r>
            <w:r w:rsidRPr="00D10954">
              <w:rPr>
                <w:rFonts w:eastAsia="Arial" w:cs="Arial"/>
                <w:vertAlign w:val="superscript"/>
              </w:rPr>
              <w:t>th</w:t>
            </w:r>
            <w:r w:rsidRPr="00D10954">
              <w:rPr>
                <w:rFonts w:eastAsia="Arial" w:cs="Arial"/>
              </w:rPr>
              <w:t xml:space="preserve"> percentile</w:t>
            </w:r>
          </w:p>
        </w:tc>
      </w:tr>
    </w:tbl>
    <w:p w14:paraId="7EE49CE5" w14:textId="7A53F858" w:rsidR="6944AD4D" w:rsidRPr="00D10954" w:rsidRDefault="6944AD4D" w:rsidP="6944AD4D">
      <w:pPr>
        <w:spacing w:after="160"/>
        <w:rPr>
          <w:rFonts w:eastAsia="Arial" w:cs="Arial"/>
          <w:color w:val="000000" w:themeColor="text1"/>
        </w:rPr>
      </w:pPr>
    </w:p>
    <w:p w14:paraId="299829DB" w14:textId="1244CC95" w:rsidR="53808EB6" w:rsidRPr="00D10954" w:rsidRDefault="53808EB6" w:rsidP="6944AD4D">
      <w:pPr>
        <w:rPr>
          <w:color w:val="000000" w:themeColor="text1"/>
        </w:rPr>
      </w:pPr>
      <w:r w:rsidRPr="00D10954">
        <w:rPr>
          <w:color w:val="000000" w:themeColor="text1"/>
        </w:rPr>
        <w:t xml:space="preserve">The first of the five status cut points set was the lowest achievable cut point, which is “Very </w:t>
      </w:r>
      <w:r w:rsidR="43D507AA" w:rsidRPr="00D10954">
        <w:rPr>
          <w:color w:val="000000" w:themeColor="text1"/>
        </w:rPr>
        <w:t>Low</w:t>
      </w:r>
      <w:r w:rsidRPr="00D10954">
        <w:rPr>
          <w:color w:val="000000" w:themeColor="text1"/>
        </w:rPr>
        <w:t xml:space="preserve">” for the </w:t>
      </w:r>
      <w:r w:rsidR="468183AA" w:rsidRPr="00D10954">
        <w:rPr>
          <w:color w:val="000000" w:themeColor="text1"/>
        </w:rPr>
        <w:t>Graduation Rate</w:t>
      </w:r>
      <w:r w:rsidRPr="00D10954">
        <w:rPr>
          <w:color w:val="000000" w:themeColor="text1"/>
        </w:rPr>
        <w:t xml:space="preserve"> Indicator. This cut point was set at </w:t>
      </w:r>
      <w:r w:rsidR="1A56B4D4" w:rsidRPr="00D10954">
        <w:rPr>
          <w:color w:val="000000" w:themeColor="text1"/>
        </w:rPr>
        <w:t xml:space="preserve">66.9 </w:t>
      </w:r>
      <w:r w:rsidRPr="00D10954">
        <w:rPr>
          <w:color w:val="000000" w:themeColor="text1"/>
        </w:rPr>
        <w:t xml:space="preserve">percent, which represents a little </w:t>
      </w:r>
      <w:r w:rsidR="0FBDB4D1" w:rsidRPr="00D10954">
        <w:rPr>
          <w:color w:val="000000" w:themeColor="text1"/>
        </w:rPr>
        <w:t>less</w:t>
      </w:r>
      <w:r w:rsidRPr="00D10954">
        <w:rPr>
          <w:color w:val="000000" w:themeColor="text1"/>
        </w:rPr>
        <w:t xml:space="preserve"> than 0-10</w:t>
      </w:r>
      <w:r w:rsidRPr="00D10954">
        <w:rPr>
          <w:color w:val="000000" w:themeColor="text1"/>
          <w:vertAlign w:val="superscript"/>
        </w:rPr>
        <w:t>th</w:t>
      </w:r>
      <w:r w:rsidRPr="00D10954">
        <w:rPr>
          <w:color w:val="000000" w:themeColor="text1"/>
        </w:rPr>
        <w:t xml:space="preserve"> percentile of the distribution. The next status cut point set was that of “</w:t>
      </w:r>
      <w:r w:rsidR="518A8438" w:rsidRPr="00D10954">
        <w:rPr>
          <w:color w:val="000000" w:themeColor="text1"/>
        </w:rPr>
        <w:t>High</w:t>
      </w:r>
      <w:r w:rsidRPr="00D10954">
        <w:rPr>
          <w:color w:val="000000" w:themeColor="text1"/>
        </w:rPr>
        <w:t xml:space="preserve">” for the </w:t>
      </w:r>
      <w:r w:rsidR="79A9276C" w:rsidRPr="00D10954">
        <w:rPr>
          <w:color w:val="000000" w:themeColor="text1"/>
        </w:rPr>
        <w:t>Graduation Rate</w:t>
      </w:r>
      <w:r w:rsidRPr="00D10954">
        <w:rPr>
          <w:color w:val="000000" w:themeColor="text1"/>
        </w:rPr>
        <w:t xml:space="preserve"> Indicator. It represented the </w:t>
      </w:r>
      <w:r w:rsidR="524095C8" w:rsidRPr="00D10954">
        <w:rPr>
          <w:color w:val="000000" w:themeColor="text1"/>
        </w:rPr>
        <w:t>3</w:t>
      </w:r>
      <w:r w:rsidRPr="00D10954">
        <w:rPr>
          <w:color w:val="000000" w:themeColor="text1"/>
        </w:rPr>
        <w:t>5</w:t>
      </w:r>
      <w:r w:rsidRPr="00D10954">
        <w:rPr>
          <w:color w:val="000000" w:themeColor="text1"/>
          <w:vertAlign w:val="superscript"/>
        </w:rPr>
        <w:t>th</w:t>
      </w:r>
      <w:r w:rsidRPr="00D10954">
        <w:rPr>
          <w:color w:val="000000" w:themeColor="text1"/>
        </w:rPr>
        <w:t xml:space="preserve"> to </w:t>
      </w:r>
      <w:r w:rsidR="2D587E52" w:rsidRPr="00D10954">
        <w:rPr>
          <w:color w:val="000000" w:themeColor="text1"/>
        </w:rPr>
        <w:t>65</w:t>
      </w:r>
      <w:r w:rsidRPr="00D10954">
        <w:rPr>
          <w:color w:val="000000" w:themeColor="text1"/>
          <w:vertAlign w:val="superscript"/>
        </w:rPr>
        <w:t>th</w:t>
      </w:r>
      <w:r w:rsidRPr="00D10954">
        <w:rPr>
          <w:color w:val="000000" w:themeColor="text1"/>
        </w:rPr>
        <w:t xml:space="preserve"> percentile of the distribution. The largest portion</w:t>
      </w:r>
      <w:r w:rsidR="11684852" w:rsidRPr="00D10954">
        <w:rPr>
          <w:color w:val="000000" w:themeColor="text1"/>
        </w:rPr>
        <w:t>s</w:t>
      </w:r>
      <w:r w:rsidRPr="00D10954">
        <w:rPr>
          <w:color w:val="000000" w:themeColor="text1"/>
        </w:rPr>
        <w:t xml:space="preserve"> of the distribution </w:t>
      </w:r>
      <w:r w:rsidR="7CDDF883" w:rsidRPr="00D10954">
        <w:rPr>
          <w:color w:val="000000" w:themeColor="text1"/>
        </w:rPr>
        <w:t xml:space="preserve">are </w:t>
      </w:r>
      <w:r w:rsidRPr="00D10954">
        <w:rPr>
          <w:color w:val="000000" w:themeColor="text1"/>
        </w:rPr>
        <w:t xml:space="preserve">represented by the “Medium” </w:t>
      </w:r>
      <w:r w:rsidR="0007B436" w:rsidRPr="00D10954">
        <w:rPr>
          <w:color w:val="000000" w:themeColor="text1"/>
        </w:rPr>
        <w:t xml:space="preserve">and “High” </w:t>
      </w:r>
      <w:r w:rsidRPr="00D10954">
        <w:rPr>
          <w:color w:val="000000" w:themeColor="text1"/>
        </w:rPr>
        <w:t xml:space="preserve">status points, which extend from the </w:t>
      </w:r>
      <w:r w:rsidR="69209498" w:rsidRPr="00D10954">
        <w:rPr>
          <w:color w:val="000000" w:themeColor="text1"/>
        </w:rPr>
        <w:t>1</w:t>
      </w:r>
      <w:r w:rsidRPr="00D10954">
        <w:rPr>
          <w:color w:val="000000" w:themeColor="text1"/>
        </w:rPr>
        <w:t>5</w:t>
      </w:r>
      <w:r w:rsidRPr="00D10954">
        <w:rPr>
          <w:color w:val="000000" w:themeColor="text1"/>
          <w:vertAlign w:val="superscript"/>
        </w:rPr>
        <w:t>th</w:t>
      </w:r>
      <w:r w:rsidRPr="00D10954">
        <w:rPr>
          <w:color w:val="000000" w:themeColor="text1"/>
        </w:rPr>
        <w:t xml:space="preserve"> to </w:t>
      </w:r>
      <w:r w:rsidR="654494AB" w:rsidRPr="00D10954">
        <w:rPr>
          <w:color w:val="000000" w:themeColor="text1"/>
        </w:rPr>
        <w:t>3</w:t>
      </w:r>
      <w:r w:rsidRPr="00D10954">
        <w:rPr>
          <w:color w:val="000000" w:themeColor="text1"/>
        </w:rPr>
        <w:t>5</w:t>
      </w:r>
      <w:r w:rsidRPr="00D10954">
        <w:rPr>
          <w:color w:val="000000" w:themeColor="text1"/>
          <w:vertAlign w:val="superscript"/>
        </w:rPr>
        <w:t>th</w:t>
      </w:r>
      <w:r w:rsidRPr="00D10954">
        <w:rPr>
          <w:color w:val="000000" w:themeColor="text1"/>
        </w:rPr>
        <w:t xml:space="preserve"> percentile</w:t>
      </w:r>
      <w:r w:rsidR="6A590E70" w:rsidRPr="00D10954">
        <w:rPr>
          <w:color w:val="000000" w:themeColor="text1"/>
        </w:rPr>
        <w:t xml:space="preserve"> and 35</w:t>
      </w:r>
      <w:r w:rsidR="6A590E70" w:rsidRPr="00D10954">
        <w:rPr>
          <w:color w:val="000000" w:themeColor="text1"/>
          <w:vertAlign w:val="superscript"/>
        </w:rPr>
        <w:t>th</w:t>
      </w:r>
      <w:r w:rsidR="6A590E70" w:rsidRPr="00D10954">
        <w:rPr>
          <w:color w:val="000000" w:themeColor="text1"/>
        </w:rPr>
        <w:t xml:space="preserve"> to 65</w:t>
      </w:r>
      <w:r w:rsidR="6A590E70" w:rsidRPr="00D10954">
        <w:rPr>
          <w:color w:val="000000" w:themeColor="text1"/>
          <w:vertAlign w:val="superscript"/>
        </w:rPr>
        <w:t>th</w:t>
      </w:r>
      <w:r w:rsidR="6A590E70" w:rsidRPr="00D10954">
        <w:rPr>
          <w:color w:val="000000" w:themeColor="text1"/>
        </w:rPr>
        <w:t xml:space="preserve"> percentiles</w:t>
      </w:r>
      <w:r w:rsidRPr="00D10954">
        <w:rPr>
          <w:color w:val="000000" w:themeColor="text1"/>
        </w:rPr>
        <w:t>.</w:t>
      </w:r>
    </w:p>
    <w:p w14:paraId="2F9E0CF0" w14:textId="21443B6E" w:rsidR="32982BA2" w:rsidRPr="00F345FB" w:rsidRDefault="32982BA2" w:rsidP="00F345FB">
      <w:pPr>
        <w:pStyle w:val="Heading4"/>
      </w:pPr>
      <w:r w:rsidRPr="00F345FB">
        <w:t>Chronic Absenteeism</w:t>
      </w:r>
    </w:p>
    <w:p w14:paraId="41BE0613" w14:textId="073AC21A" w:rsidR="30D1C8DE" w:rsidRPr="00D10954" w:rsidRDefault="247D15F9" w:rsidP="005939E2">
      <w:pPr>
        <w:rPr>
          <w:rFonts w:eastAsia="Arial" w:cs="Arial"/>
          <w:color w:val="000000" w:themeColor="text1"/>
        </w:rPr>
      </w:pPr>
      <w:r w:rsidRPr="00D10954">
        <w:rPr>
          <w:rFonts w:eastAsia="Arial" w:cs="Arial"/>
          <w:color w:val="000000" w:themeColor="text1"/>
        </w:rPr>
        <w:t>W</w:t>
      </w:r>
      <w:r w:rsidR="63A00084" w:rsidRPr="00D10954">
        <w:rPr>
          <w:rFonts w:eastAsia="Arial" w:cs="Arial"/>
          <w:color w:val="000000" w:themeColor="text1"/>
        </w:rPr>
        <w:t xml:space="preserve">e can </w:t>
      </w:r>
      <w:r w:rsidR="13C7288F" w:rsidRPr="00D10954">
        <w:rPr>
          <w:rFonts w:eastAsia="Arial" w:cs="Arial"/>
          <w:color w:val="000000" w:themeColor="text1"/>
        </w:rPr>
        <w:t xml:space="preserve">also </w:t>
      </w:r>
      <w:r w:rsidR="63A00084" w:rsidRPr="00D10954">
        <w:rPr>
          <w:rFonts w:eastAsia="Arial" w:cs="Arial"/>
          <w:color w:val="000000" w:themeColor="text1"/>
        </w:rPr>
        <w:t xml:space="preserve">revisit how the status levels were set for the Chronic Absenteeism Indicator in 2018. Since the Local Control Funding Formula </w:t>
      </w:r>
      <w:r w:rsidR="006967DC" w:rsidRPr="00D10954">
        <w:rPr>
          <w:rFonts w:eastAsia="Arial" w:cs="Arial"/>
          <w:color w:val="000000" w:themeColor="text1"/>
        </w:rPr>
        <w:t>was</w:t>
      </w:r>
      <w:r w:rsidR="63A00084" w:rsidRPr="00D10954">
        <w:rPr>
          <w:rFonts w:eastAsia="Arial" w:cs="Arial"/>
          <w:color w:val="000000" w:themeColor="text1"/>
        </w:rPr>
        <w:t xml:space="preserve"> oriented towards support for LEAs, </w:t>
      </w:r>
      <w:r w:rsidR="1A42C2C2" w:rsidRPr="00D10954">
        <w:rPr>
          <w:rFonts w:eastAsia="Arial" w:cs="Arial"/>
          <w:color w:val="000000" w:themeColor="text1"/>
        </w:rPr>
        <w:t xml:space="preserve">the distribution of </w:t>
      </w:r>
      <w:r w:rsidR="63A00084" w:rsidRPr="00D10954">
        <w:rPr>
          <w:rFonts w:eastAsia="Arial" w:cs="Arial"/>
          <w:color w:val="000000" w:themeColor="text1"/>
        </w:rPr>
        <w:t xml:space="preserve">all LEA chronic absenteeism rates </w:t>
      </w:r>
      <w:r w:rsidR="006967DC" w:rsidRPr="00D10954">
        <w:rPr>
          <w:rFonts w:eastAsia="Arial" w:cs="Arial"/>
          <w:color w:val="000000" w:themeColor="text1"/>
        </w:rPr>
        <w:t>was</w:t>
      </w:r>
      <w:r w:rsidR="63A00084" w:rsidRPr="00D10954">
        <w:rPr>
          <w:rFonts w:eastAsia="Arial" w:cs="Arial"/>
          <w:color w:val="000000" w:themeColor="text1"/>
        </w:rPr>
        <w:t xml:space="preserve"> used to set the cut points. This includes County Office of Education, District and charter school chronic absenteeism rates. The SBE’s goal is for schools and LEAs to have a low chronic absenteeism rate, therefore the results are ordered from lowest to highest.</w:t>
      </w:r>
      <w:r w:rsidR="006967DC" w:rsidRPr="00D10954">
        <w:rPr>
          <w:rFonts w:eastAsia="Arial" w:cs="Arial"/>
          <w:color w:val="000000" w:themeColor="text1"/>
        </w:rPr>
        <w:t xml:space="preserve"> </w:t>
      </w:r>
      <w:r w:rsidR="63A00084" w:rsidRPr="00D10954">
        <w:rPr>
          <w:rFonts w:eastAsia="Arial" w:cs="Arial"/>
          <w:color w:val="000000" w:themeColor="text1"/>
        </w:rPr>
        <w:t xml:space="preserve">The distribution that was used to set the cut points in 2018 is displayed in Table </w:t>
      </w:r>
      <w:r w:rsidR="0B45AB06" w:rsidRPr="00D10954">
        <w:rPr>
          <w:rFonts w:eastAsia="Arial" w:cs="Arial"/>
          <w:color w:val="000000" w:themeColor="text1"/>
        </w:rPr>
        <w:t>3</w:t>
      </w:r>
      <w:r w:rsidR="63A00084" w:rsidRPr="00D10954">
        <w:rPr>
          <w:rFonts w:eastAsia="Arial" w:cs="Arial"/>
          <w:color w:val="000000" w:themeColor="text1"/>
        </w:rPr>
        <w:t>.</w:t>
      </w:r>
    </w:p>
    <w:p w14:paraId="361D7723" w14:textId="77777777" w:rsidR="006967DC" w:rsidRPr="00D10954" w:rsidRDefault="006967DC">
      <w:pPr>
        <w:spacing w:after="160" w:line="259" w:lineRule="auto"/>
        <w:rPr>
          <w:rFonts w:eastAsiaTheme="majorEastAsia" w:cstheme="majorBidi"/>
          <w:b/>
          <w:iCs/>
        </w:rPr>
      </w:pPr>
      <w:r w:rsidRPr="00D10954">
        <w:br w:type="page"/>
      </w:r>
    </w:p>
    <w:p w14:paraId="16F5C77A" w14:textId="743526C6" w:rsidR="30D1C8DE" w:rsidRPr="00D10954" w:rsidRDefault="30D1C8DE" w:rsidP="006967DC">
      <w:pPr>
        <w:pStyle w:val="Heading4"/>
        <w:spacing w:after="0"/>
      </w:pPr>
      <w:r w:rsidRPr="00D10954">
        <w:lastRenderedPageBreak/>
        <w:t xml:space="preserve">Table </w:t>
      </w:r>
      <w:r w:rsidR="4288CEAB" w:rsidRPr="00D10954">
        <w:t>3</w:t>
      </w:r>
      <w:r w:rsidRPr="00D10954">
        <w:t xml:space="preserve">: Status Distribution </w:t>
      </w:r>
      <w:r w:rsidR="767134A9" w:rsidRPr="00D10954">
        <w:t>Used to Set Cut Points in 2018</w:t>
      </w:r>
    </w:p>
    <w:p w14:paraId="22BDB998" w14:textId="1E71EF92" w:rsidR="30D1C8DE" w:rsidRPr="00D10954" w:rsidRDefault="30D1C8DE" w:rsidP="005D6C1F">
      <w:pPr>
        <w:rPr>
          <w:rFonts w:eastAsia="Arial" w:cs="Arial"/>
          <w:color w:val="000000" w:themeColor="text1"/>
        </w:rPr>
      </w:pPr>
      <w:r w:rsidRPr="00D10954">
        <w:rPr>
          <w:rFonts w:eastAsia="Arial" w:cs="Arial"/>
          <w:color w:val="000000" w:themeColor="text1"/>
        </w:rPr>
        <w:t>(Based on County Office of Education, District, and All Charter School Data)</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able 1: Status Distribution Used to Set Cut Points in 2018"/>
        <w:tblDescription w:val="Table 1: Status Distribution Used to Set Cut Points in 2018"/>
      </w:tblPr>
      <w:tblGrid>
        <w:gridCol w:w="2025"/>
        <w:gridCol w:w="4875"/>
      </w:tblGrid>
      <w:tr w:rsidR="228CF246" w:rsidRPr="00D10954" w14:paraId="155A3FCD" w14:textId="77777777" w:rsidTr="00A31EA8">
        <w:trPr>
          <w:cantSplit/>
          <w:trHeight w:val="315"/>
          <w:tblHeader/>
          <w:jc w:val="center"/>
        </w:trPr>
        <w:tc>
          <w:tcPr>
            <w:tcW w:w="2025" w:type="dxa"/>
            <w:tcBorders>
              <w:top w:val="single" w:sz="6" w:space="0" w:color="auto"/>
              <w:left w:val="single" w:sz="6" w:space="0" w:color="auto"/>
            </w:tcBorders>
            <w:tcMar>
              <w:left w:w="105" w:type="dxa"/>
              <w:right w:w="105" w:type="dxa"/>
            </w:tcMar>
            <w:vAlign w:val="center"/>
          </w:tcPr>
          <w:p w14:paraId="2B669D2B" w14:textId="1509F41D" w:rsidR="228CF246" w:rsidRPr="00D10954" w:rsidRDefault="228CF246" w:rsidP="00926CA4">
            <w:pPr>
              <w:spacing w:after="0"/>
              <w:jc w:val="center"/>
              <w:rPr>
                <w:rFonts w:eastAsia="Arial" w:cs="Arial"/>
              </w:rPr>
            </w:pPr>
            <w:r w:rsidRPr="00D10954">
              <w:rPr>
                <w:rFonts w:eastAsia="Arial" w:cs="Arial"/>
                <w:b/>
                <w:bCs/>
              </w:rPr>
              <w:t>Percentile</w:t>
            </w:r>
          </w:p>
        </w:tc>
        <w:tc>
          <w:tcPr>
            <w:tcW w:w="4875" w:type="dxa"/>
            <w:tcBorders>
              <w:top w:val="single" w:sz="6" w:space="0" w:color="auto"/>
              <w:right w:val="single" w:sz="6" w:space="0" w:color="auto"/>
            </w:tcBorders>
            <w:tcMar>
              <w:left w:w="105" w:type="dxa"/>
              <w:right w:w="105" w:type="dxa"/>
            </w:tcMar>
            <w:vAlign w:val="center"/>
          </w:tcPr>
          <w:p w14:paraId="6E8778E7" w14:textId="14008411" w:rsidR="228CF246" w:rsidRPr="00D10954" w:rsidRDefault="228CF246" w:rsidP="00926CA4">
            <w:pPr>
              <w:spacing w:after="0"/>
              <w:jc w:val="center"/>
              <w:rPr>
                <w:rFonts w:eastAsia="Arial" w:cs="Arial"/>
              </w:rPr>
            </w:pPr>
            <w:r w:rsidRPr="00D10954">
              <w:rPr>
                <w:rFonts w:eastAsia="Arial" w:cs="Arial"/>
                <w:b/>
                <w:bCs/>
              </w:rPr>
              <w:t>Chronic Absenteeism Rate</w:t>
            </w:r>
          </w:p>
        </w:tc>
      </w:tr>
      <w:tr w:rsidR="228CF246" w:rsidRPr="00D10954" w14:paraId="4254D0C2"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7866CC34" w14:textId="7E314119" w:rsidR="228CF246" w:rsidRPr="00D10954" w:rsidRDefault="228CF246" w:rsidP="00926CA4">
            <w:pPr>
              <w:spacing w:after="0"/>
              <w:ind w:left="60" w:right="60"/>
              <w:jc w:val="center"/>
              <w:rPr>
                <w:rFonts w:eastAsia="Arial" w:cs="Arial"/>
              </w:rPr>
            </w:pPr>
            <w:r w:rsidRPr="00D10954">
              <w:rPr>
                <w:rFonts w:eastAsia="Arial" w:cs="Arial"/>
              </w:rPr>
              <w:t>95</w:t>
            </w:r>
          </w:p>
        </w:tc>
        <w:tc>
          <w:tcPr>
            <w:tcW w:w="4875" w:type="dxa"/>
            <w:tcBorders>
              <w:right w:val="single" w:sz="6" w:space="0" w:color="auto"/>
            </w:tcBorders>
            <w:tcMar>
              <w:left w:w="105" w:type="dxa"/>
              <w:right w:w="105" w:type="dxa"/>
            </w:tcMar>
            <w:vAlign w:val="center"/>
          </w:tcPr>
          <w:p w14:paraId="5EE4ED10" w14:textId="73C12A18" w:rsidR="228CF246" w:rsidRPr="00D10954" w:rsidRDefault="228CF246" w:rsidP="00926CA4">
            <w:pPr>
              <w:spacing w:after="0"/>
              <w:ind w:left="60" w:right="60"/>
              <w:jc w:val="center"/>
              <w:rPr>
                <w:rFonts w:eastAsia="Arial" w:cs="Arial"/>
              </w:rPr>
            </w:pPr>
            <w:r w:rsidRPr="00D10954">
              <w:rPr>
                <w:rFonts w:eastAsia="Arial" w:cs="Arial"/>
              </w:rPr>
              <w:t>0.9%</w:t>
            </w:r>
          </w:p>
        </w:tc>
      </w:tr>
      <w:tr w:rsidR="228CF246" w:rsidRPr="00D10954" w14:paraId="77B18241"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782A7603" w14:textId="66CF7946" w:rsidR="228CF246" w:rsidRPr="00D10954" w:rsidRDefault="228CF246" w:rsidP="00926CA4">
            <w:pPr>
              <w:spacing w:after="0"/>
              <w:ind w:left="60" w:right="60"/>
              <w:jc w:val="center"/>
              <w:rPr>
                <w:rFonts w:eastAsia="Arial" w:cs="Arial"/>
              </w:rPr>
            </w:pPr>
            <w:r w:rsidRPr="00D10954">
              <w:rPr>
                <w:rFonts w:eastAsia="Arial" w:cs="Arial"/>
              </w:rPr>
              <w:t>90</w:t>
            </w:r>
          </w:p>
        </w:tc>
        <w:tc>
          <w:tcPr>
            <w:tcW w:w="4875" w:type="dxa"/>
            <w:tcBorders>
              <w:right w:val="single" w:sz="6" w:space="0" w:color="auto"/>
            </w:tcBorders>
            <w:tcMar>
              <w:left w:w="105" w:type="dxa"/>
              <w:right w:w="105" w:type="dxa"/>
            </w:tcMar>
            <w:vAlign w:val="center"/>
          </w:tcPr>
          <w:p w14:paraId="5E89E5F0" w14:textId="3077E65F" w:rsidR="228CF246" w:rsidRPr="00D10954" w:rsidRDefault="228CF246" w:rsidP="00926CA4">
            <w:pPr>
              <w:spacing w:after="0"/>
              <w:ind w:left="60" w:right="60"/>
              <w:jc w:val="center"/>
              <w:rPr>
                <w:rFonts w:eastAsia="Arial" w:cs="Arial"/>
              </w:rPr>
            </w:pPr>
            <w:r w:rsidRPr="00D10954">
              <w:rPr>
                <w:rFonts w:eastAsia="Arial" w:cs="Arial"/>
              </w:rPr>
              <w:t>2.5%</w:t>
            </w:r>
          </w:p>
        </w:tc>
      </w:tr>
      <w:tr w:rsidR="228CF246" w:rsidRPr="00D10954" w14:paraId="509D0ECB"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14FAE64A" w14:textId="36D79DFE" w:rsidR="228CF246" w:rsidRPr="00D10954" w:rsidRDefault="228CF246" w:rsidP="00926CA4">
            <w:pPr>
              <w:spacing w:after="0"/>
              <w:ind w:left="60" w:right="60"/>
              <w:jc w:val="center"/>
              <w:rPr>
                <w:rFonts w:eastAsia="Arial" w:cs="Arial"/>
              </w:rPr>
            </w:pPr>
            <w:r w:rsidRPr="00D10954">
              <w:rPr>
                <w:rFonts w:eastAsia="Arial" w:cs="Arial"/>
              </w:rPr>
              <w:t>85</w:t>
            </w:r>
          </w:p>
        </w:tc>
        <w:tc>
          <w:tcPr>
            <w:tcW w:w="4875" w:type="dxa"/>
            <w:tcBorders>
              <w:right w:val="single" w:sz="6" w:space="0" w:color="auto"/>
            </w:tcBorders>
            <w:tcMar>
              <w:left w:w="105" w:type="dxa"/>
              <w:right w:w="105" w:type="dxa"/>
            </w:tcMar>
            <w:vAlign w:val="center"/>
          </w:tcPr>
          <w:p w14:paraId="4C6A4BB4" w14:textId="1126E902" w:rsidR="228CF246" w:rsidRPr="00D10954" w:rsidRDefault="228CF246" w:rsidP="00926CA4">
            <w:pPr>
              <w:spacing w:after="0"/>
              <w:ind w:left="60" w:right="60"/>
              <w:jc w:val="center"/>
              <w:rPr>
                <w:rFonts w:eastAsia="Arial" w:cs="Arial"/>
              </w:rPr>
            </w:pPr>
            <w:r w:rsidRPr="00D10954">
              <w:rPr>
                <w:rFonts w:eastAsia="Arial" w:cs="Arial"/>
              </w:rPr>
              <w:t>3.5%</w:t>
            </w:r>
          </w:p>
        </w:tc>
      </w:tr>
      <w:tr w:rsidR="228CF246" w:rsidRPr="00D10954" w14:paraId="4CBE5CD7"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39A7D8C2" w14:textId="27341BAB" w:rsidR="228CF246" w:rsidRPr="00D10954" w:rsidRDefault="228CF246" w:rsidP="00926CA4">
            <w:pPr>
              <w:spacing w:after="0"/>
              <w:ind w:left="60" w:right="60"/>
              <w:jc w:val="center"/>
              <w:rPr>
                <w:rFonts w:eastAsia="Arial" w:cs="Arial"/>
              </w:rPr>
            </w:pPr>
            <w:r w:rsidRPr="00D10954">
              <w:rPr>
                <w:rFonts w:eastAsia="Arial" w:cs="Arial"/>
              </w:rPr>
              <w:t>80</w:t>
            </w:r>
          </w:p>
        </w:tc>
        <w:tc>
          <w:tcPr>
            <w:tcW w:w="4875" w:type="dxa"/>
            <w:tcBorders>
              <w:right w:val="single" w:sz="6" w:space="0" w:color="auto"/>
            </w:tcBorders>
            <w:tcMar>
              <w:left w:w="105" w:type="dxa"/>
              <w:right w:w="105" w:type="dxa"/>
            </w:tcMar>
            <w:vAlign w:val="center"/>
          </w:tcPr>
          <w:p w14:paraId="1992D131" w14:textId="0C5B29DA" w:rsidR="228CF246" w:rsidRPr="00D10954" w:rsidRDefault="228CF246" w:rsidP="00926CA4">
            <w:pPr>
              <w:spacing w:after="0"/>
              <w:ind w:left="60" w:right="60"/>
              <w:jc w:val="center"/>
              <w:rPr>
                <w:rFonts w:eastAsia="Arial" w:cs="Arial"/>
              </w:rPr>
            </w:pPr>
            <w:r w:rsidRPr="00D10954">
              <w:rPr>
                <w:rFonts w:eastAsia="Arial" w:cs="Arial"/>
              </w:rPr>
              <w:t>4.3%</w:t>
            </w:r>
          </w:p>
        </w:tc>
      </w:tr>
      <w:tr w:rsidR="228CF246" w:rsidRPr="00D10954" w14:paraId="0841B529"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76C34D52" w14:textId="4439C1DD" w:rsidR="228CF246" w:rsidRPr="00D10954" w:rsidRDefault="228CF246" w:rsidP="00926CA4">
            <w:pPr>
              <w:spacing w:after="0"/>
              <w:ind w:left="60" w:right="60"/>
              <w:jc w:val="center"/>
              <w:rPr>
                <w:rFonts w:eastAsia="Arial" w:cs="Arial"/>
              </w:rPr>
            </w:pPr>
            <w:r w:rsidRPr="00D10954">
              <w:rPr>
                <w:rFonts w:eastAsia="Arial" w:cs="Arial"/>
              </w:rPr>
              <w:t>75</w:t>
            </w:r>
          </w:p>
        </w:tc>
        <w:tc>
          <w:tcPr>
            <w:tcW w:w="4875" w:type="dxa"/>
            <w:tcBorders>
              <w:right w:val="single" w:sz="6" w:space="0" w:color="auto"/>
            </w:tcBorders>
            <w:tcMar>
              <w:left w:w="105" w:type="dxa"/>
              <w:right w:w="105" w:type="dxa"/>
            </w:tcMar>
            <w:vAlign w:val="center"/>
          </w:tcPr>
          <w:p w14:paraId="49AA2026" w14:textId="38668D09" w:rsidR="228CF246" w:rsidRPr="00D10954" w:rsidRDefault="228CF246" w:rsidP="00926CA4">
            <w:pPr>
              <w:spacing w:after="0"/>
              <w:ind w:left="60" w:right="60"/>
              <w:jc w:val="center"/>
              <w:rPr>
                <w:rFonts w:eastAsia="Arial" w:cs="Arial"/>
              </w:rPr>
            </w:pPr>
            <w:r w:rsidRPr="00D10954">
              <w:rPr>
                <w:rFonts w:eastAsia="Arial" w:cs="Arial"/>
              </w:rPr>
              <w:t>5.0%</w:t>
            </w:r>
          </w:p>
        </w:tc>
      </w:tr>
      <w:tr w:rsidR="228CF246" w:rsidRPr="00D10954" w14:paraId="616F574B"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45E3E0A1" w14:textId="14B6BB23" w:rsidR="228CF246" w:rsidRPr="00D10954" w:rsidRDefault="228CF246" w:rsidP="00926CA4">
            <w:pPr>
              <w:spacing w:after="0"/>
              <w:ind w:left="60" w:right="60"/>
              <w:jc w:val="center"/>
              <w:rPr>
                <w:rFonts w:eastAsia="Arial" w:cs="Arial"/>
              </w:rPr>
            </w:pPr>
            <w:r w:rsidRPr="00D10954">
              <w:rPr>
                <w:rFonts w:eastAsia="Arial" w:cs="Arial"/>
              </w:rPr>
              <w:t>70</w:t>
            </w:r>
          </w:p>
        </w:tc>
        <w:tc>
          <w:tcPr>
            <w:tcW w:w="4875" w:type="dxa"/>
            <w:tcBorders>
              <w:right w:val="single" w:sz="6" w:space="0" w:color="auto"/>
            </w:tcBorders>
            <w:tcMar>
              <w:left w:w="105" w:type="dxa"/>
              <w:right w:w="105" w:type="dxa"/>
            </w:tcMar>
            <w:vAlign w:val="center"/>
          </w:tcPr>
          <w:p w14:paraId="1CFD6D0E" w14:textId="51F0A756" w:rsidR="228CF246" w:rsidRPr="00D10954" w:rsidRDefault="228CF246" w:rsidP="00926CA4">
            <w:pPr>
              <w:spacing w:after="0"/>
              <w:ind w:left="60" w:right="60"/>
              <w:jc w:val="center"/>
              <w:rPr>
                <w:rFonts w:eastAsia="Arial" w:cs="Arial"/>
              </w:rPr>
            </w:pPr>
            <w:r w:rsidRPr="00D10954">
              <w:rPr>
                <w:rFonts w:eastAsia="Arial" w:cs="Arial"/>
              </w:rPr>
              <w:t>5.7%</w:t>
            </w:r>
          </w:p>
        </w:tc>
      </w:tr>
      <w:tr w:rsidR="228CF246" w:rsidRPr="00D10954" w14:paraId="0E2D32CE"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4E87B799" w14:textId="164B78B4" w:rsidR="228CF246" w:rsidRPr="00D10954" w:rsidRDefault="228CF246" w:rsidP="00926CA4">
            <w:pPr>
              <w:spacing w:after="0"/>
              <w:ind w:left="60" w:right="60"/>
              <w:jc w:val="center"/>
              <w:rPr>
                <w:rFonts w:eastAsia="Arial" w:cs="Arial"/>
              </w:rPr>
            </w:pPr>
            <w:r w:rsidRPr="00D10954">
              <w:rPr>
                <w:rFonts w:eastAsia="Arial" w:cs="Arial"/>
              </w:rPr>
              <w:t>65</w:t>
            </w:r>
          </w:p>
        </w:tc>
        <w:tc>
          <w:tcPr>
            <w:tcW w:w="4875" w:type="dxa"/>
            <w:tcBorders>
              <w:right w:val="single" w:sz="6" w:space="0" w:color="auto"/>
            </w:tcBorders>
            <w:tcMar>
              <w:left w:w="105" w:type="dxa"/>
              <w:right w:w="105" w:type="dxa"/>
            </w:tcMar>
            <w:vAlign w:val="center"/>
          </w:tcPr>
          <w:p w14:paraId="504BCE5C" w14:textId="00171F38" w:rsidR="228CF246" w:rsidRPr="00D10954" w:rsidRDefault="228CF246" w:rsidP="00926CA4">
            <w:pPr>
              <w:spacing w:after="0"/>
              <w:ind w:left="60" w:right="60"/>
              <w:jc w:val="center"/>
              <w:rPr>
                <w:rFonts w:eastAsia="Arial" w:cs="Arial"/>
              </w:rPr>
            </w:pPr>
            <w:r w:rsidRPr="00D10954">
              <w:rPr>
                <w:rFonts w:eastAsia="Arial" w:cs="Arial"/>
              </w:rPr>
              <w:t>6.2%</w:t>
            </w:r>
          </w:p>
        </w:tc>
      </w:tr>
      <w:tr w:rsidR="228CF246" w:rsidRPr="00D10954" w14:paraId="55060574"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2600449D" w14:textId="21BA84B4" w:rsidR="228CF246" w:rsidRPr="00D10954" w:rsidRDefault="228CF246" w:rsidP="00926CA4">
            <w:pPr>
              <w:spacing w:after="0"/>
              <w:ind w:left="60" w:right="60"/>
              <w:jc w:val="center"/>
              <w:rPr>
                <w:rFonts w:eastAsia="Arial" w:cs="Arial"/>
              </w:rPr>
            </w:pPr>
            <w:r w:rsidRPr="00D10954">
              <w:rPr>
                <w:rFonts w:eastAsia="Arial" w:cs="Arial"/>
              </w:rPr>
              <w:t>60</w:t>
            </w:r>
          </w:p>
        </w:tc>
        <w:tc>
          <w:tcPr>
            <w:tcW w:w="4875" w:type="dxa"/>
            <w:tcBorders>
              <w:right w:val="single" w:sz="6" w:space="0" w:color="auto"/>
            </w:tcBorders>
            <w:tcMar>
              <w:left w:w="105" w:type="dxa"/>
              <w:right w:w="105" w:type="dxa"/>
            </w:tcMar>
            <w:vAlign w:val="center"/>
          </w:tcPr>
          <w:p w14:paraId="24387108" w14:textId="3E773CF2" w:rsidR="228CF246" w:rsidRPr="00D10954" w:rsidRDefault="228CF246" w:rsidP="00926CA4">
            <w:pPr>
              <w:spacing w:after="0"/>
              <w:ind w:left="60" w:right="60"/>
              <w:jc w:val="center"/>
              <w:rPr>
                <w:rFonts w:eastAsia="Arial" w:cs="Arial"/>
              </w:rPr>
            </w:pPr>
            <w:r w:rsidRPr="00D10954">
              <w:rPr>
                <w:rFonts w:eastAsia="Arial" w:cs="Arial"/>
              </w:rPr>
              <w:t>6.9%</w:t>
            </w:r>
          </w:p>
        </w:tc>
      </w:tr>
      <w:tr w:rsidR="228CF246" w:rsidRPr="00D10954" w14:paraId="61D2E776"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03D2BC6F" w14:textId="6AF453C0" w:rsidR="228CF246" w:rsidRPr="00D10954" w:rsidRDefault="228CF246" w:rsidP="00926CA4">
            <w:pPr>
              <w:spacing w:after="0"/>
              <w:ind w:left="60" w:right="60"/>
              <w:jc w:val="center"/>
              <w:rPr>
                <w:rFonts w:eastAsia="Arial" w:cs="Arial"/>
              </w:rPr>
            </w:pPr>
            <w:r w:rsidRPr="00D10954">
              <w:rPr>
                <w:rFonts w:eastAsia="Arial" w:cs="Arial"/>
              </w:rPr>
              <w:t>55</w:t>
            </w:r>
          </w:p>
        </w:tc>
        <w:tc>
          <w:tcPr>
            <w:tcW w:w="4875" w:type="dxa"/>
            <w:tcBorders>
              <w:right w:val="single" w:sz="6" w:space="0" w:color="auto"/>
            </w:tcBorders>
            <w:tcMar>
              <w:left w:w="105" w:type="dxa"/>
              <w:right w:w="105" w:type="dxa"/>
            </w:tcMar>
            <w:vAlign w:val="center"/>
          </w:tcPr>
          <w:p w14:paraId="5A4F9B1C" w14:textId="2EABA09D" w:rsidR="228CF246" w:rsidRPr="00D10954" w:rsidRDefault="228CF246" w:rsidP="00926CA4">
            <w:pPr>
              <w:spacing w:after="0"/>
              <w:ind w:left="60" w:right="60"/>
              <w:jc w:val="center"/>
              <w:rPr>
                <w:rFonts w:eastAsia="Arial" w:cs="Arial"/>
              </w:rPr>
            </w:pPr>
            <w:r w:rsidRPr="00D10954">
              <w:rPr>
                <w:rFonts w:eastAsia="Arial" w:cs="Arial"/>
              </w:rPr>
              <w:t>7.7%</w:t>
            </w:r>
          </w:p>
        </w:tc>
      </w:tr>
      <w:tr w:rsidR="228CF246" w:rsidRPr="00D10954" w14:paraId="1A16B25E"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657CEE3E" w14:textId="7985F46F" w:rsidR="228CF246" w:rsidRPr="00D10954" w:rsidRDefault="228CF246" w:rsidP="00926CA4">
            <w:pPr>
              <w:spacing w:after="0"/>
              <w:ind w:left="60" w:right="60"/>
              <w:jc w:val="center"/>
              <w:rPr>
                <w:rFonts w:eastAsia="Arial" w:cs="Arial"/>
              </w:rPr>
            </w:pPr>
            <w:r w:rsidRPr="00D10954">
              <w:rPr>
                <w:rFonts w:eastAsia="Arial" w:cs="Arial"/>
              </w:rPr>
              <w:t>50</w:t>
            </w:r>
          </w:p>
        </w:tc>
        <w:tc>
          <w:tcPr>
            <w:tcW w:w="4875" w:type="dxa"/>
            <w:tcBorders>
              <w:right w:val="single" w:sz="6" w:space="0" w:color="auto"/>
            </w:tcBorders>
            <w:tcMar>
              <w:left w:w="105" w:type="dxa"/>
              <w:right w:w="105" w:type="dxa"/>
            </w:tcMar>
            <w:vAlign w:val="center"/>
          </w:tcPr>
          <w:p w14:paraId="076367DC" w14:textId="16D8B656" w:rsidR="228CF246" w:rsidRPr="00D10954" w:rsidRDefault="228CF246" w:rsidP="00926CA4">
            <w:pPr>
              <w:spacing w:after="0"/>
              <w:ind w:left="60" w:right="60"/>
              <w:jc w:val="center"/>
              <w:rPr>
                <w:rFonts w:eastAsia="Arial" w:cs="Arial"/>
              </w:rPr>
            </w:pPr>
            <w:r w:rsidRPr="00D10954">
              <w:rPr>
                <w:rFonts w:eastAsia="Arial" w:cs="Arial"/>
              </w:rPr>
              <w:t>8.4%</w:t>
            </w:r>
          </w:p>
        </w:tc>
      </w:tr>
      <w:tr w:rsidR="228CF246" w:rsidRPr="00D10954" w14:paraId="10085AD8"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41EFF48B" w14:textId="31BEDEEB" w:rsidR="228CF246" w:rsidRPr="00D10954" w:rsidRDefault="228CF246" w:rsidP="00926CA4">
            <w:pPr>
              <w:spacing w:after="0"/>
              <w:ind w:left="60" w:right="60"/>
              <w:jc w:val="center"/>
              <w:rPr>
                <w:rFonts w:eastAsia="Arial" w:cs="Arial"/>
              </w:rPr>
            </w:pPr>
            <w:r w:rsidRPr="00D10954">
              <w:rPr>
                <w:rFonts w:eastAsia="Arial" w:cs="Arial"/>
              </w:rPr>
              <w:t>45</w:t>
            </w:r>
          </w:p>
        </w:tc>
        <w:tc>
          <w:tcPr>
            <w:tcW w:w="4875" w:type="dxa"/>
            <w:tcBorders>
              <w:right w:val="single" w:sz="6" w:space="0" w:color="auto"/>
            </w:tcBorders>
            <w:tcMar>
              <w:left w:w="105" w:type="dxa"/>
              <w:right w:w="105" w:type="dxa"/>
            </w:tcMar>
            <w:vAlign w:val="center"/>
          </w:tcPr>
          <w:p w14:paraId="092C4382" w14:textId="5D3B30F1" w:rsidR="228CF246" w:rsidRPr="00D10954" w:rsidRDefault="228CF246" w:rsidP="00926CA4">
            <w:pPr>
              <w:spacing w:after="0"/>
              <w:ind w:left="60" w:right="60"/>
              <w:jc w:val="center"/>
              <w:rPr>
                <w:rFonts w:eastAsia="Arial" w:cs="Arial"/>
              </w:rPr>
            </w:pPr>
            <w:r w:rsidRPr="00D10954">
              <w:rPr>
                <w:rFonts w:eastAsia="Arial" w:cs="Arial"/>
              </w:rPr>
              <w:t>9.2%</w:t>
            </w:r>
          </w:p>
        </w:tc>
      </w:tr>
      <w:tr w:rsidR="228CF246" w:rsidRPr="00D10954" w14:paraId="50037EB4"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5263F6FF" w14:textId="5DDDC91C" w:rsidR="228CF246" w:rsidRPr="00D10954" w:rsidRDefault="228CF246" w:rsidP="00926CA4">
            <w:pPr>
              <w:spacing w:after="0"/>
              <w:ind w:left="60" w:right="60"/>
              <w:jc w:val="center"/>
              <w:rPr>
                <w:rFonts w:eastAsia="Arial" w:cs="Arial"/>
              </w:rPr>
            </w:pPr>
            <w:r w:rsidRPr="00D10954">
              <w:rPr>
                <w:rFonts w:eastAsia="Arial" w:cs="Arial"/>
              </w:rPr>
              <w:t>40</w:t>
            </w:r>
          </w:p>
        </w:tc>
        <w:tc>
          <w:tcPr>
            <w:tcW w:w="4875" w:type="dxa"/>
            <w:tcBorders>
              <w:right w:val="single" w:sz="6" w:space="0" w:color="auto"/>
            </w:tcBorders>
            <w:tcMar>
              <w:left w:w="105" w:type="dxa"/>
              <w:right w:w="105" w:type="dxa"/>
            </w:tcMar>
            <w:vAlign w:val="center"/>
          </w:tcPr>
          <w:p w14:paraId="43744419" w14:textId="3C77690A" w:rsidR="228CF246" w:rsidRPr="00D10954" w:rsidRDefault="228CF246" w:rsidP="00926CA4">
            <w:pPr>
              <w:spacing w:after="0"/>
              <w:ind w:left="60" w:right="60"/>
              <w:jc w:val="center"/>
              <w:rPr>
                <w:rFonts w:eastAsia="Arial" w:cs="Arial"/>
              </w:rPr>
            </w:pPr>
            <w:r w:rsidRPr="00D10954">
              <w:rPr>
                <w:rFonts w:eastAsia="Arial" w:cs="Arial"/>
              </w:rPr>
              <w:t>10.1%</w:t>
            </w:r>
          </w:p>
        </w:tc>
      </w:tr>
      <w:tr w:rsidR="228CF246" w:rsidRPr="00D10954" w14:paraId="416A1603"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55A64B87" w14:textId="03CE9EB5" w:rsidR="228CF246" w:rsidRPr="00D10954" w:rsidRDefault="228CF246" w:rsidP="00926CA4">
            <w:pPr>
              <w:spacing w:after="0"/>
              <w:ind w:left="60" w:right="60"/>
              <w:jc w:val="center"/>
              <w:rPr>
                <w:rFonts w:eastAsia="Arial" w:cs="Arial"/>
              </w:rPr>
            </w:pPr>
            <w:r w:rsidRPr="00D10954">
              <w:rPr>
                <w:rFonts w:eastAsia="Arial" w:cs="Arial"/>
              </w:rPr>
              <w:t>35</w:t>
            </w:r>
          </w:p>
        </w:tc>
        <w:tc>
          <w:tcPr>
            <w:tcW w:w="4875" w:type="dxa"/>
            <w:tcBorders>
              <w:right w:val="single" w:sz="6" w:space="0" w:color="auto"/>
            </w:tcBorders>
            <w:tcMar>
              <w:left w:w="105" w:type="dxa"/>
              <w:right w:w="105" w:type="dxa"/>
            </w:tcMar>
            <w:vAlign w:val="center"/>
          </w:tcPr>
          <w:p w14:paraId="516AA934" w14:textId="5FD41D07" w:rsidR="228CF246" w:rsidRPr="00D10954" w:rsidRDefault="228CF246" w:rsidP="00926CA4">
            <w:pPr>
              <w:spacing w:after="0"/>
              <w:ind w:left="60" w:right="60"/>
              <w:jc w:val="center"/>
              <w:rPr>
                <w:rFonts w:eastAsia="Arial" w:cs="Arial"/>
              </w:rPr>
            </w:pPr>
            <w:r w:rsidRPr="00D10954">
              <w:rPr>
                <w:rFonts w:eastAsia="Arial" w:cs="Arial"/>
              </w:rPr>
              <w:t>11.1%</w:t>
            </w:r>
          </w:p>
        </w:tc>
      </w:tr>
      <w:tr w:rsidR="228CF246" w:rsidRPr="00D10954" w14:paraId="18E50713"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22D9931A" w14:textId="3F5DDB83" w:rsidR="228CF246" w:rsidRPr="00D10954" w:rsidRDefault="228CF246" w:rsidP="00926CA4">
            <w:pPr>
              <w:spacing w:after="0"/>
              <w:ind w:left="60" w:right="60"/>
              <w:jc w:val="center"/>
              <w:rPr>
                <w:rFonts w:eastAsia="Arial" w:cs="Arial"/>
              </w:rPr>
            </w:pPr>
            <w:r w:rsidRPr="00D10954">
              <w:rPr>
                <w:rFonts w:eastAsia="Arial" w:cs="Arial"/>
              </w:rPr>
              <w:t>30</w:t>
            </w:r>
          </w:p>
        </w:tc>
        <w:tc>
          <w:tcPr>
            <w:tcW w:w="4875" w:type="dxa"/>
            <w:tcBorders>
              <w:right w:val="single" w:sz="6" w:space="0" w:color="auto"/>
            </w:tcBorders>
            <w:tcMar>
              <w:left w:w="105" w:type="dxa"/>
              <w:right w:w="105" w:type="dxa"/>
            </w:tcMar>
            <w:vAlign w:val="center"/>
          </w:tcPr>
          <w:p w14:paraId="1681F80E" w14:textId="0437C9C8" w:rsidR="228CF246" w:rsidRPr="00D10954" w:rsidRDefault="228CF246" w:rsidP="00926CA4">
            <w:pPr>
              <w:spacing w:after="0"/>
              <w:ind w:left="60" w:right="60"/>
              <w:jc w:val="center"/>
              <w:rPr>
                <w:rFonts w:eastAsia="Arial" w:cs="Arial"/>
              </w:rPr>
            </w:pPr>
            <w:r w:rsidRPr="00D10954">
              <w:rPr>
                <w:rFonts w:eastAsia="Arial" w:cs="Arial"/>
              </w:rPr>
              <w:t>12.2%</w:t>
            </w:r>
          </w:p>
        </w:tc>
      </w:tr>
      <w:tr w:rsidR="228CF246" w:rsidRPr="00D10954" w14:paraId="77DC1C5C"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6022526E" w14:textId="06672506" w:rsidR="228CF246" w:rsidRPr="00D10954" w:rsidRDefault="228CF246" w:rsidP="00926CA4">
            <w:pPr>
              <w:spacing w:after="0"/>
              <w:ind w:left="60" w:right="60"/>
              <w:jc w:val="center"/>
              <w:rPr>
                <w:rFonts w:eastAsia="Arial" w:cs="Arial"/>
              </w:rPr>
            </w:pPr>
            <w:r w:rsidRPr="00D10954">
              <w:rPr>
                <w:rFonts w:eastAsia="Arial" w:cs="Arial"/>
              </w:rPr>
              <w:t>25</w:t>
            </w:r>
          </w:p>
        </w:tc>
        <w:tc>
          <w:tcPr>
            <w:tcW w:w="4875" w:type="dxa"/>
            <w:tcBorders>
              <w:right w:val="single" w:sz="6" w:space="0" w:color="auto"/>
            </w:tcBorders>
            <w:tcMar>
              <w:left w:w="105" w:type="dxa"/>
              <w:right w:w="105" w:type="dxa"/>
            </w:tcMar>
            <w:vAlign w:val="center"/>
          </w:tcPr>
          <w:p w14:paraId="62139C99" w14:textId="362218CB" w:rsidR="228CF246" w:rsidRPr="00D10954" w:rsidRDefault="228CF246" w:rsidP="00926CA4">
            <w:pPr>
              <w:spacing w:after="0"/>
              <w:ind w:left="60" w:right="60"/>
              <w:jc w:val="center"/>
              <w:rPr>
                <w:rFonts w:eastAsia="Arial" w:cs="Arial"/>
              </w:rPr>
            </w:pPr>
            <w:r w:rsidRPr="00D10954">
              <w:rPr>
                <w:rFonts w:eastAsia="Arial" w:cs="Arial"/>
              </w:rPr>
              <w:t>13.3%</w:t>
            </w:r>
          </w:p>
        </w:tc>
      </w:tr>
      <w:tr w:rsidR="228CF246" w:rsidRPr="00D10954" w14:paraId="50893A7F"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4690A177" w14:textId="2814EC37" w:rsidR="228CF246" w:rsidRPr="00D10954" w:rsidRDefault="228CF246" w:rsidP="00926CA4">
            <w:pPr>
              <w:spacing w:after="0"/>
              <w:ind w:left="60" w:right="60"/>
              <w:jc w:val="center"/>
              <w:rPr>
                <w:rFonts w:eastAsia="Arial" w:cs="Arial"/>
              </w:rPr>
            </w:pPr>
            <w:r w:rsidRPr="00D10954">
              <w:rPr>
                <w:rFonts w:eastAsia="Arial" w:cs="Arial"/>
              </w:rPr>
              <w:t>20</w:t>
            </w:r>
          </w:p>
        </w:tc>
        <w:tc>
          <w:tcPr>
            <w:tcW w:w="4875" w:type="dxa"/>
            <w:tcBorders>
              <w:right w:val="single" w:sz="6" w:space="0" w:color="auto"/>
            </w:tcBorders>
            <w:tcMar>
              <w:left w:w="105" w:type="dxa"/>
              <w:right w:w="105" w:type="dxa"/>
            </w:tcMar>
            <w:vAlign w:val="center"/>
          </w:tcPr>
          <w:p w14:paraId="11EFE2A9" w14:textId="04597984" w:rsidR="228CF246" w:rsidRPr="00D10954" w:rsidRDefault="228CF246" w:rsidP="00926CA4">
            <w:pPr>
              <w:spacing w:after="0"/>
              <w:ind w:left="60" w:right="60"/>
              <w:jc w:val="center"/>
              <w:rPr>
                <w:rFonts w:eastAsia="Arial" w:cs="Arial"/>
              </w:rPr>
            </w:pPr>
            <w:r w:rsidRPr="00D10954">
              <w:rPr>
                <w:rFonts w:eastAsia="Arial" w:cs="Arial"/>
              </w:rPr>
              <w:t>15.0%</w:t>
            </w:r>
          </w:p>
        </w:tc>
      </w:tr>
      <w:tr w:rsidR="228CF246" w:rsidRPr="00D10954" w14:paraId="468BDF8B"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334E3E1F" w14:textId="1E4FEF8F" w:rsidR="228CF246" w:rsidRPr="00D10954" w:rsidRDefault="228CF246" w:rsidP="00926CA4">
            <w:pPr>
              <w:spacing w:after="0"/>
              <w:ind w:left="60" w:right="60"/>
              <w:jc w:val="center"/>
              <w:rPr>
                <w:rFonts w:eastAsia="Arial" w:cs="Arial"/>
              </w:rPr>
            </w:pPr>
            <w:r w:rsidRPr="00D10954">
              <w:rPr>
                <w:rFonts w:eastAsia="Arial" w:cs="Arial"/>
              </w:rPr>
              <w:t>15</w:t>
            </w:r>
          </w:p>
        </w:tc>
        <w:tc>
          <w:tcPr>
            <w:tcW w:w="4875" w:type="dxa"/>
            <w:tcBorders>
              <w:right w:val="single" w:sz="6" w:space="0" w:color="auto"/>
            </w:tcBorders>
            <w:tcMar>
              <w:left w:w="105" w:type="dxa"/>
              <w:right w:w="105" w:type="dxa"/>
            </w:tcMar>
            <w:vAlign w:val="center"/>
          </w:tcPr>
          <w:p w14:paraId="0FB193CF" w14:textId="565C5686" w:rsidR="228CF246" w:rsidRPr="00D10954" w:rsidRDefault="228CF246" w:rsidP="00926CA4">
            <w:pPr>
              <w:spacing w:after="0"/>
              <w:ind w:left="60" w:right="60"/>
              <w:jc w:val="center"/>
              <w:rPr>
                <w:rFonts w:eastAsia="Arial" w:cs="Arial"/>
              </w:rPr>
            </w:pPr>
            <w:r w:rsidRPr="00D10954">
              <w:rPr>
                <w:rFonts w:eastAsia="Arial" w:cs="Arial"/>
              </w:rPr>
              <w:t>17.4%</w:t>
            </w:r>
          </w:p>
        </w:tc>
      </w:tr>
      <w:tr w:rsidR="228CF246" w:rsidRPr="00D10954" w14:paraId="23940DE0" w14:textId="77777777" w:rsidTr="00A31EA8">
        <w:trPr>
          <w:cantSplit/>
          <w:trHeight w:val="315"/>
          <w:tblHeader/>
          <w:jc w:val="center"/>
        </w:trPr>
        <w:tc>
          <w:tcPr>
            <w:tcW w:w="2025" w:type="dxa"/>
            <w:tcBorders>
              <w:left w:val="single" w:sz="6" w:space="0" w:color="auto"/>
            </w:tcBorders>
            <w:tcMar>
              <w:left w:w="105" w:type="dxa"/>
              <w:right w:w="105" w:type="dxa"/>
            </w:tcMar>
            <w:vAlign w:val="center"/>
          </w:tcPr>
          <w:p w14:paraId="3A6CC637" w14:textId="05BDAEB8" w:rsidR="228CF246" w:rsidRPr="00D10954" w:rsidRDefault="228CF246" w:rsidP="00926CA4">
            <w:pPr>
              <w:spacing w:after="0"/>
              <w:ind w:left="60" w:right="60"/>
              <w:jc w:val="center"/>
              <w:rPr>
                <w:rFonts w:eastAsia="Arial" w:cs="Arial"/>
              </w:rPr>
            </w:pPr>
            <w:r w:rsidRPr="00D10954">
              <w:rPr>
                <w:rFonts w:eastAsia="Arial" w:cs="Arial"/>
              </w:rPr>
              <w:t>10</w:t>
            </w:r>
          </w:p>
        </w:tc>
        <w:tc>
          <w:tcPr>
            <w:tcW w:w="4875" w:type="dxa"/>
            <w:tcBorders>
              <w:right w:val="single" w:sz="6" w:space="0" w:color="auto"/>
            </w:tcBorders>
            <w:tcMar>
              <w:left w:w="105" w:type="dxa"/>
              <w:right w:w="105" w:type="dxa"/>
            </w:tcMar>
            <w:vAlign w:val="center"/>
          </w:tcPr>
          <w:p w14:paraId="3BA36323" w14:textId="57825D62" w:rsidR="228CF246" w:rsidRPr="00D10954" w:rsidRDefault="228CF246" w:rsidP="00926CA4">
            <w:pPr>
              <w:spacing w:after="0"/>
              <w:ind w:left="60" w:right="60"/>
              <w:jc w:val="center"/>
              <w:rPr>
                <w:rFonts w:eastAsia="Arial" w:cs="Arial"/>
              </w:rPr>
            </w:pPr>
            <w:r w:rsidRPr="00D10954">
              <w:rPr>
                <w:rFonts w:eastAsia="Arial" w:cs="Arial"/>
              </w:rPr>
              <w:t>21.3%</w:t>
            </w:r>
          </w:p>
        </w:tc>
      </w:tr>
      <w:tr w:rsidR="228CF246" w:rsidRPr="00D10954" w14:paraId="35243EA1" w14:textId="77777777" w:rsidTr="00A31EA8">
        <w:trPr>
          <w:cantSplit/>
          <w:trHeight w:val="315"/>
          <w:tblHeader/>
          <w:jc w:val="center"/>
        </w:trPr>
        <w:tc>
          <w:tcPr>
            <w:tcW w:w="2025" w:type="dxa"/>
            <w:tcBorders>
              <w:left w:val="single" w:sz="6" w:space="0" w:color="auto"/>
              <w:bottom w:val="single" w:sz="6" w:space="0" w:color="auto"/>
            </w:tcBorders>
            <w:tcMar>
              <w:left w:w="105" w:type="dxa"/>
              <w:right w:w="105" w:type="dxa"/>
            </w:tcMar>
            <w:vAlign w:val="center"/>
          </w:tcPr>
          <w:p w14:paraId="195F27D3" w14:textId="76CD93C5" w:rsidR="228CF246" w:rsidRPr="00D10954" w:rsidRDefault="228CF246" w:rsidP="00926CA4">
            <w:pPr>
              <w:spacing w:after="0"/>
              <w:ind w:left="60" w:right="60"/>
              <w:jc w:val="center"/>
              <w:rPr>
                <w:rFonts w:eastAsia="Arial" w:cs="Arial"/>
              </w:rPr>
            </w:pPr>
            <w:r w:rsidRPr="00D10954">
              <w:rPr>
                <w:rFonts w:eastAsia="Arial" w:cs="Arial"/>
              </w:rPr>
              <w:t>5</w:t>
            </w:r>
          </w:p>
        </w:tc>
        <w:tc>
          <w:tcPr>
            <w:tcW w:w="4875" w:type="dxa"/>
            <w:tcBorders>
              <w:bottom w:val="single" w:sz="6" w:space="0" w:color="auto"/>
              <w:right w:val="single" w:sz="6" w:space="0" w:color="auto"/>
            </w:tcBorders>
            <w:tcMar>
              <w:left w:w="105" w:type="dxa"/>
              <w:right w:w="105" w:type="dxa"/>
            </w:tcMar>
            <w:vAlign w:val="center"/>
          </w:tcPr>
          <w:p w14:paraId="1F815E9C" w14:textId="5F1074C8" w:rsidR="228CF246" w:rsidRPr="00D10954" w:rsidRDefault="228CF246" w:rsidP="00926CA4">
            <w:pPr>
              <w:spacing w:after="0"/>
              <w:ind w:left="60" w:right="60"/>
              <w:jc w:val="center"/>
              <w:rPr>
                <w:rFonts w:eastAsia="Arial" w:cs="Arial"/>
              </w:rPr>
            </w:pPr>
            <w:r w:rsidRPr="00D10954">
              <w:rPr>
                <w:rFonts w:eastAsia="Arial" w:cs="Arial"/>
              </w:rPr>
              <w:t>29.0%</w:t>
            </w:r>
          </w:p>
        </w:tc>
      </w:tr>
    </w:tbl>
    <w:p w14:paraId="554E3035" w14:textId="72D3606E" w:rsidR="228CF246" w:rsidRPr="00D10954" w:rsidRDefault="228CF246" w:rsidP="005D6C1F">
      <w:pPr>
        <w:spacing w:after="160"/>
        <w:rPr>
          <w:rFonts w:eastAsia="Arial" w:cs="Arial"/>
          <w:color w:val="000000" w:themeColor="text1"/>
        </w:rPr>
      </w:pPr>
    </w:p>
    <w:p w14:paraId="4D40B25F" w14:textId="2484DFD1" w:rsidR="30D1C8DE" w:rsidRPr="00D10954" w:rsidRDefault="30D1C8DE" w:rsidP="005D6C1F">
      <w:pPr>
        <w:rPr>
          <w:rFonts w:eastAsia="Arial" w:cs="Arial"/>
          <w:color w:val="000000" w:themeColor="text1"/>
        </w:rPr>
      </w:pPr>
      <w:r w:rsidRPr="00D10954">
        <w:rPr>
          <w:rFonts w:eastAsia="Arial" w:cs="Arial"/>
          <w:color w:val="000000" w:themeColor="text1"/>
        </w:rPr>
        <w:t xml:space="preserve">Based on simulations </w:t>
      </w:r>
      <w:r w:rsidR="005D6C1F" w:rsidRPr="00D10954">
        <w:rPr>
          <w:rFonts w:eastAsia="Arial" w:cs="Arial"/>
          <w:color w:val="000000" w:themeColor="text1"/>
        </w:rPr>
        <w:t xml:space="preserve">and recommendations </w:t>
      </w:r>
      <w:r w:rsidRPr="00D10954">
        <w:rPr>
          <w:rFonts w:eastAsia="Arial" w:cs="Arial"/>
          <w:color w:val="000000" w:themeColor="text1"/>
        </w:rPr>
        <w:t>produced by the CDE</w:t>
      </w:r>
      <w:r w:rsidR="005D6C1F" w:rsidRPr="00D10954">
        <w:rPr>
          <w:rFonts w:eastAsia="Arial" w:cs="Arial"/>
          <w:color w:val="000000" w:themeColor="text1"/>
        </w:rPr>
        <w:t xml:space="preserve">, </w:t>
      </w:r>
      <w:r w:rsidRPr="00D10954">
        <w:rPr>
          <w:rFonts w:eastAsia="Arial" w:cs="Arial"/>
          <w:color w:val="000000" w:themeColor="text1"/>
        </w:rPr>
        <w:t xml:space="preserve">the SBE approved the Status cut points shown in Table </w:t>
      </w:r>
      <w:r w:rsidR="006967DC" w:rsidRPr="00D10954">
        <w:rPr>
          <w:rFonts w:eastAsia="Arial" w:cs="Arial"/>
          <w:color w:val="000000" w:themeColor="text1"/>
        </w:rPr>
        <w:t>4</w:t>
      </w:r>
      <w:r w:rsidRPr="00D10954">
        <w:rPr>
          <w:rFonts w:eastAsia="Arial" w:cs="Arial"/>
          <w:color w:val="000000" w:themeColor="text1"/>
        </w:rPr>
        <w:t>.</w:t>
      </w:r>
    </w:p>
    <w:p w14:paraId="046E268A" w14:textId="6C38C174" w:rsidR="30D1C8DE" w:rsidRPr="00D10954" w:rsidRDefault="30D1C8DE" w:rsidP="00127CAF">
      <w:pPr>
        <w:pStyle w:val="Heading4"/>
      </w:pPr>
      <w:r w:rsidRPr="00D10954">
        <w:lastRenderedPageBreak/>
        <w:t xml:space="preserve">Table </w:t>
      </w:r>
      <w:r w:rsidR="1FEB0D59" w:rsidRPr="00D10954">
        <w:t>4</w:t>
      </w:r>
      <w:r w:rsidRPr="00D10954">
        <w:t xml:space="preserve">: Recommended Status Cut </w:t>
      </w:r>
      <w:r w:rsidR="316B2DCC" w:rsidRPr="00D10954">
        <w:t>Points</w:t>
      </w:r>
      <w:r w:rsidRPr="00D10954">
        <w:t xml:space="preserve"> for the Chronic Absenteeism Indicator</w:t>
      </w:r>
    </w:p>
    <w:tbl>
      <w:tblPr>
        <w:tblStyle w:val="TableGrid"/>
        <w:tblW w:w="972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able 2: Recommended Status Cut Scores for the Chronic Absenteeism Indicator"/>
        <w:tblDescription w:val="Table 2: Recommended Status Cut Scores for the Chronic Absenteeism Indicator"/>
      </w:tblPr>
      <w:tblGrid>
        <w:gridCol w:w="1323"/>
        <w:gridCol w:w="4199"/>
        <w:gridCol w:w="4199"/>
      </w:tblGrid>
      <w:tr w:rsidR="228CF246" w:rsidRPr="00D10954" w14:paraId="3E8D04A5" w14:textId="7FE2F48D" w:rsidTr="6944AD4D">
        <w:trPr>
          <w:cantSplit/>
          <w:trHeight w:val="300"/>
          <w:tblHeader/>
        </w:trPr>
        <w:tc>
          <w:tcPr>
            <w:tcW w:w="1323" w:type="dxa"/>
            <w:tcBorders>
              <w:top w:val="single" w:sz="6" w:space="0" w:color="auto"/>
              <w:left w:val="single" w:sz="6" w:space="0" w:color="auto"/>
            </w:tcBorders>
            <w:shd w:val="clear" w:color="auto" w:fill="D9D9D9" w:themeFill="background1" w:themeFillShade="D9"/>
            <w:tcMar>
              <w:left w:w="105" w:type="dxa"/>
              <w:right w:w="105" w:type="dxa"/>
            </w:tcMar>
          </w:tcPr>
          <w:p w14:paraId="1E5A3077" w14:textId="0DF0CB09" w:rsidR="228CF246" w:rsidRPr="00D10954" w:rsidRDefault="228CF246" w:rsidP="005D6C1F">
            <w:pPr>
              <w:rPr>
                <w:rFonts w:eastAsia="Arial" w:cs="Arial"/>
              </w:rPr>
            </w:pPr>
            <w:r w:rsidRPr="00D10954">
              <w:rPr>
                <w:rFonts w:eastAsia="Arial" w:cs="Arial"/>
                <w:b/>
                <w:bCs/>
              </w:rPr>
              <w:t>Status Level</w:t>
            </w:r>
          </w:p>
        </w:tc>
        <w:tc>
          <w:tcPr>
            <w:tcW w:w="4199" w:type="dxa"/>
            <w:tcBorders>
              <w:top w:val="single" w:sz="6" w:space="0" w:color="auto"/>
              <w:right w:val="single" w:sz="6" w:space="0" w:color="auto"/>
            </w:tcBorders>
            <w:shd w:val="clear" w:color="auto" w:fill="D9D9D9" w:themeFill="background1" w:themeFillShade="D9"/>
            <w:tcMar>
              <w:left w:w="105" w:type="dxa"/>
              <w:right w:w="105" w:type="dxa"/>
            </w:tcMar>
          </w:tcPr>
          <w:p w14:paraId="45E67D28" w14:textId="30AE1F88" w:rsidR="228CF246" w:rsidRPr="00D10954" w:rsidRDefault="228CF246" w:rsidP="005D6C1F">
            <w:pPr>
              <w:rPr>
                <w:rFonts w:eastAsia="Arial" w:cs="Arial"/>
              </w:rPr>
            </w:pPr>
            <w:r w:rsidRPr="00D10954">
              <w:rPr>
                <w:rFonts w:eastAsia="Arial" w:cs="Arial"/>
                <w:b/>
                <w:bCs/>
              </w:rPr>
              <w:t xml:space="preserve">Status Cut </w:t>
            </w:r>
            <w:r w:rsidR="65BB73CF" w:rsidRPr="00D10954">
              <w:rPr>
                <w:rFonts w:eastAsia="Arial" w:cs="Arial"/>
                <w:b/>
                <w:bCs/>
              </w:rPr>
              <w:t>Points</w:t>
            </w:r>
          </w:p>
        </w:tc>
        <w:tc>
          <w:tcPr>
            <w:tcW w:w="4199" w:type="dxa"/>
            <w:tcBorders>
              <w:top w:val="single" w:sz="6" w:space="0" w:color="auto"/>
              <w:right w:val="single" w:sz="6" w:space="0" w:color="auto"/>
            </w:tcBorders>
            <w:shd w:val="clear" w:color="auto" w:fill="D9D9D9" w:themeFill="background1" w:themeFillShade="D9"/>
            <w:tcMar>
              <w:left w:w="105" w:type="dxa"/>
              <w:right w:w="105" w:type="dxa"/>
            </w:tcMar>
          </w:tcPr>
          <w:p w14:paraId="28FFBBD2" w14:textId="6AE8130A" w:rsidR="4767FCB5" w:rsidRPr="00D10954" w:rsidRDefault="4767FCB5" w:rsidP="7239CA79">
            <w:pPr>
              <w:rPr>
                <w:rFonts w:eastAsia="Arial" w:cs="Arial"/>
                <w:b/>
                <w:bCs/>
              </w:rPr>
            </w:pPr>
            <w:r w:rsidRPr="00D10954">
              <w:rPr>
                <w:rFonts w:eastAsia="Arial" w:cs="Arial"/>
                <w:b/>
                <w:bCs/>
              </w:rPr>
              <w:t>Approximate Percentiles Represented</w:t>
            </w:r>
          </w:p>
        </w:tc>
      </w:tr>
      <w:tr w:rsidR="228CF246" w:rsidRPr="00D10954" w14:paraId="3335C32C" w14:textId="0F5E46C0" w:rsidTr="6944AD4D">
        <w:trPr>
          <w:cantSplit/>
          <w:trHeight w:val="300"/>
          <w:tblHeader/>
        </w:trPr>
        <w:tc>
          <w:tcPr>
            <w:tcW w:w="1323" w:type="dxa"/>
            <w:tcBorders>
              <w:left w:val="single" w:sz="6" w:space="0" w:color="auto"/>
            </w:tcBorders>
            <w:tcMar>
              <w:left w:w="105" w:type="dxa"/>
              <w:right w:w="105" w:type="dxa"/>
            </w:tcMar>
          </w:tcPr>
          <w:p w14:paraId="38326061" w14:textId="21AD38AD" w:rsidR="228CF246" w:rsidRPr="00D10954" w:rsidRDefault="228CF246" w:rsidP="005D6C1F">
            <w:pPr>
              <w:rPr>
                <w:rFonts w:eastAsia="Arial" w:cs="Arial"/>
              </w:rPr>
            </w:pPr>
            <w:r w:rsidRPr="00D10954">
              <w:rPr>
                <w:rFonts w:eastAsia="Arial" w:cs="Arial"/>
              </w:rPr>
              <w:t>Very Low</w:t>
            </w:r>
          </w:p>
        </w:tc>
        <w:tc>
          <w:tcPr>
            <w:tcW w:w="4199" w:type="dxa"/>
            <w:tcBorders>
              <w:right w:val="single" w:sz="6" w:space="0" w:color="auto"/>
            </w:tcBorders>
            <w:tcMar>
              <w:left w:w="105" w:type="dxa"/>
              <w:right w:w="105" w:type="dxa"/>
            </w:tcMar>
          </w:tcPr>
          <w:p w14:paraId="3CAB4068" w14:textId="08CDBB49" w:rsidR="228CF246" w:rsidRPr="00D10954" w:rsidRDefault="228CF246" w:rsidP="005D6C1F">
            <w:pPr>
              <w:rPr>
                <w:rFonts w:eastAsia="Arial" w:cs="Arial"/>
              </w:rPr>
            </w:pPr>
            <w:r w:rsidRPr="00D10954">
              <w:rPr>
                <w:rFonts w:eastAsia="Arial" w:cs="Arial"/>
              </w:rPr>
              <w:t xml:space="preserve">Chronic absenteeism rate is 2.5% or less </w:t>
            </w:r>
          </w:p>
        </w:tc>
        <w:tc>
          <w:tcPr>
            <w:tcW w:w="4199" w:type="dxa"/>
            <w:tcBorders>
              <w:right w:val="single" w:sz="6" w:space="0" w:color="auto"/>
            </w:tcBorders>
            <w:tcMar>
              <w:left w:w="105" w:type="dxa"/>
              <w:right w:w="105" w:type="dxa"/>
            </w:tcMar>
          </w:tcPr>
          <w:p w14:paraId="18D33A2C" w14:textId="45EDC529" w:rsidR="1DF56697" w:rsidRPr="00D10954" w:rsidRDefault="1DF56697" w:rsidP="7239CA79">
            <w:pPr>
              <w:rPr>
                <w:rFonts w:eastAsia="Arial" w:cs="Arial"/>
              </w:rPr>
            </w:pPr>
            <w:r w:rsidRPr="00D10954">
              <w:rPr>
                <w:rFonts w:eastAsia="Arial" w:cs="Arial"/>
              </w:rPr>
              <w:t>Above the 90</w:t>
            </w:r>
            <w:r w:rsidRPr="00D10954">
              <w:rPr>
                <w:rFonts w:eastAsia="Arial" w:cs="Arial"/>
                <w:vertAlign w:val="superscript"/>
              </w:rPr>
              <w:t>th</w:t>
            </w:r>
            <w:r w:rsidRPr="00D10954">
              <w:rPr>
                <w:rFonts w:eastAsia="Arial" w:cs="Arial"/>
              </w:rPr>
              <w:t xml:space="preserve"> percentile</w:t>
            </w:r>
          </w:p>
        </w:tc>
      </w:tr>
      <w:tr w:rsidR="228CF246" w:rsidRPr="00D10954" w14:paraId="1C733824" w14:textId="094A6E80" w:rsidTr="6944AD4D">
        <w:trPr>
          <w:cantSplit/>
          <w:trHeight w:val="300"/>
          <w:tblHeader/>
        </w:trPr>
        <w:tc>
          <w:tcPr>
            <w:tcW w:w="1323" w:type="dxa"/>
            <w:tcBorders>
              <w:left w:val="single" w:sz="6" w:space="0" w:color="auto"/>
            </w:tcBorders>
            <w:tcMar>
              <w:left w:w="105" w:type="dxa"/>
              <w:right w:w="105" w:type="dxa"/>
            </w:tcMar>
          </w:tcPr>
          <w:p w14:paraId="2FE31FAE" w14:textId="68F158EA" w:rsidR="228CF246" w:rsidRPr="00D10954" w:rsidRDefault="228CF246" w:rsidP="005D6C1F">
            <w:pPr>
              <w:rPr>
                <w:rFonts w:eastAsia="Arial" w:cs="Arial"/>
              </w:rPr>
            </w:pPr>
            <w:r w:rsidRPr="00D10954">
              <w:rPr>
                <w:rFonts w:eastAsia="Arial" w:cs="Arial"/>
              </w:rPr>
              <w:t>Low</w:t>
            </w:r>
          </w:p>
        </w:tc>
        <w:tc>
          <w:tcPr>
            <w:tcW w:w="4199" w:type="dxa"/>
            <w:tcBorders>
              <w:right w:val="single" w:sz="6" w:space="0" w:color="auto"/>
            </w:tcBorders>
            <w:tcMar>
              <w:left w:w="105" w:type="dxa"/>
              <w:right w:w="105" w:type="dxa"/>
            </w:tcMar>
          </w:tcPr>
          <w:p w14:paraId="4079F543" w14:textId="39D0B66F" w:rsidR="228CF246" w:rsidRPr="00D10954" w:rsidRDefault="228CF246" w:rsidP="005D6C1F">
            <w:pPr>
              <w:rPr>
                <w:rFonts w:eastAsia="Arial" w:cs="Arial"/>
              </w:rPr>
            </w:pPr>
            <w:r w:rsidRPr="00D10954">
              <w:rPr>
                <w:rFonts w:eastAsia="Arial" w:cs="Arial"/>
              </w:rPr>
              <w:t>Chronic absenteeism rate is 2.6% to 5.0%</w:t>
            </w:r>
          </w:p>
        </w:tc>
        <w:tc>
          <w:tcPr>
            <w:tcW w:w="4199" w:type="dxa"/>
            <w:tcBorders>
              <w:right w:val="single" w:sz="6" w:space="0" w:color="auto"/>
            </w:tcBorders>
            <w:tcMar>
              <w:left w:w="105" w:type="dxa"/>
              <w:right w:w="105" w:type="dxa"/>
            </w:tcMar>
          </w:tcPr>
          <w:p w14:paraId="66D449F4" w14:textId="71D91479" w:rsidR="23B64DE9" w:rsidRPr="00D10954" w:rsidRDefault="23B64DE9" w:rsidP="7239CA79">
            <w:pPr>
              <w:rPr>
                <w:rFonts w:eastAsia="Arial" w:cs="Arial"/>
              </w:rPr>
            </w:pPr>
            <w:r w:rsidRPr="00D10954">
              <w:rPr>
                <w:rFonts w:eastAsia="Arial" w:cs="Arial"/>
              </w:rPr>
              <w:t>75</w:t>
            </w:r>
            <w:r w:rsidRPr="00D10954">
              <w:rPr>
                <w:rFonts w:eastAsia="Arial" w:cs="Arial"/>
                <w:vertAlign w:val="superscript"/>
              </w:rPr>
              <w:t>th</w:t>
            </w:r>
            <w:r w:rsidRPr="00D10954">
              <w:rPr>
                <w:rFonts w:eastAsia="Arial" w:cs="Arial"/>
              </w:rPr>
              <w:t xml:space="preserve"> to 90</w:t>
            </w:r>
            <w:r w:rsidRPr="00D10954">
              <w:rPr>
                <w:rFonts w:eastAsia="Arial" w:cs="Arial"/>
                <w:vertAlign w:val="superscript"/>
              </w:rPr>
              <w:t>th</w:t>
            </w:r>
            <w:r w:rsidRPr="00D10954">
              <w:rPr>
                <w:rFonts w:eastAsia="Arial" w:cs="Arial"/>
              </w:rPr>
              <w:t xml:space="preserve"> percentile</w:t>
            </w:r>
          </w:p>
        </w:tc>
      </w:tr>
      <w:tr w:rsidR="228CF246" w:rsidRPr="00D10954" w14:paraId="61707E9C" w14:textId="66E5A0B3" w:rsidTr="6944AD4D">
        <w:trPr>
          <w:cantSplit/>
          <w:trHeight w:val="300"/>
          <w:tblHeader/>
        </w:trPr>
        <w:tc>
          <w:tcPr>
            <w:tcW w:w="1323" w:type="dxa"/>
            <w:tcBorders>
              <w:left w:val="single" w:sz="6" w:space="0" w:color="auto"/>
            </w:tcBorders>
            <w:tcMar>
              <w:left w:w="105" w:type="dxa"/>
              <w:right w:w="105" w:type="dxa"/>
            </w:tcMar>
          </w:tcPr>
          <w:p w14:paraId="44408DE6" w14:textId="012F781C" w:rsidR="228CF246" w:rsidRPr="00D10954" w:rsidRDefault="228CF246" w:rsidP="005D6C1F">
            <w:pPr>
              <w:rPr>
                <w:rFonts w:eastAsia="Arial" w:cs="Arial"/>
              </w:rPr>
            </w:pPr>
            <w:r w:rsidRPr="00D10954">
              <w:rPr>
                <w:rFonts w:eastAsia="Arial" w:cs="Arial"/>
              </w:rPr>
              <w:t>Medium</w:t>
            </w:r>
          </w:p>
        </w:tc>
        <w:tc>
          <w:tcPr>
            <w:tcW w:w="4199" w:type="dxa"/>
            <w:tcBorders>
              <w:right w:val="single" w:sz="6" w:space="0" w:color="auto"/>
            </w:tcBorders>
            <w:tcMar>
              <w:left w:w="105" w:type="dxa"/>
              <w:right w:w="105" w:type="dxa"/>
            </w:tcMar>
          </w:tcPr>
          <w:p w14:paraId="688123A9" w14:textId="06DF47FD" w:rsidR="228CF246" w:rsidRPr="00D10954" w:rsidRDefault="228CF246" w:rsidP="005D6C1F">
            <w:pPr>
              <w:rPr>
                <w:rFonts w:eastAsia="Arial" w:cs="Arial"/>
              </w:rPr>
            </w:pPr>
            <w:r w:rsidRPr="00D10954">
              <w:rPr>
                <w:rFonts w:eastAsia="Arial" w:cs="Arial"/>
              </w:rPr>
              <w:t>Chronic absenteeism rate is 5.1% to 10%</w:t>
            </w:r>
          </w:p>
        </w:tc>
        <w:tc>
          <w:tcPr>
            <w:tcW w:w="4199" w:type="dxa"/>
            <w:tcBorders>
              <w:right w:val="single" w:sz="6" w:space="0" w:color="auto"/>
            </w:tcBorders>
            <w:tcMar>
              <w:left w:w="105" w:type="dxa"/>
              <w:right w:w="105" w:type="dxa"/>
            </w:tcMar>
          </w:tcPr>
          <w:p w14:paraId="50CE1BC5" w14:textId="108A8800" w:rsidR="330369F4" w:rsidRPr="00D10954" w:rsidRDefault="330369F4" w:rsidP="7239CA79">
            <w:pPr>
              <w:rPr>
                <w:rFonts w:eastAsia="Arial" w:cs="Arial"/>
              </w:rPr>
            </w:pPr>
            <w:r w:rsidRPr="00D10954">
              <w:rPr>
                <w:rFonts w:eastAsia="Arial" w:cs="Arial"/>
              </w:rPr>
              <w:t>40</w:t>
            </w:r>
            <w:r w:rsidRPr="00D10954">
              <w:rPr>
                <w:rFonts w:eastAsia="Arial" w:cs="Arial"/>
                <w:vertAlign w:val="superscript"/>
              </w:rPr>
              <w:t>th</w:t>
            </w:r>
            <w:r w:rsidRPr="00D10954">
              <w:rPr>
                <w:rFonts w:eastAsia="Arial" w:cs="Arial"/>
              </w:rPr>
              <w:t xml:space="preserve"> to 75</w:t>
            </w:r>
            <w:r w:rsidRPr="00D10954">
              <w:rPr>
                <w:rFonts w:eastAsia="Arial" w:cs="Arial"/>
                <w:vertAlign w:val="superscript"/>
              </w:rPr>
              <w:t>th</w:t>
            </w:r>
            <w:r w:rsidRPr="00D10954">
              <w:rPr>
                <w:rFonts w:eastAsia="Arial" w:cs="Arial"/>
              </w:rPr>
              <w:t xml:space="preserve"> percentile</w:t>
            </w:r>
          </w:p>
        </w:tc>
      </w:tr>
      <w:tr w:rsidR="228CF246" w:rsidRPr="00D10954" w14:paraId="6265353F" w14:textId="3690ACC4" w:rsidTr="6944AD4D">
        <w:trPr>
          <w:cantSplit/>
          <w:trHeight w:val="300"/>
          <w:tblHeader/>
        </w:trPr>
        <w:tc>
          <w:tcPr>
            <w:tcW w:w="1323" w:type="dxa"/>
            <w:tcBorders>
              <w:left w:val="single" w:sz="6" w:space="0" w:color="auto"/>
            </w:tcBorders>
            <w:tcMar>
              <w:left w:w="105" w:type="dxa"/>
              <w:right w:w="105" w:type="dxa"/>
            </w:tcMar>
          </w:tcPr>
          <w:p w14:paraId="781932F9" w14:textId="6E26AA22" w:rsidR="228CF246" w:rsidRPr="00D10954" w:rsidRDefault="228CF246" w:rsidP="005D6C1F">
            <w:pPr>
              <w:rPr>
                <w:rFonts w:eastAsia="Arial" w:cs="Arial"/>
              </w:rPr>
            </w:pPr>
            <w:r w:rsidRPr="00D10954">
              <w:rPr>
                <w:rFonts w:eastAsia="Arial" w:cs="Arial"/>
              </w:rPr>
              <w:t xml:space="preserve">High </w:t>
            </w:r>
          </w:p>
        </w:tc>
        <w:tc>
          <w:tcPr>
            <w:tcW w:w="4199" w:type="dxa"/>
            <w:tcBorders>
              <w:right w:val="single" w:sz="6" w:space="0" w:color="auto"/>
            </w:tcBorders>
            <w:tcMar>
              <w:left w:w="105" w:type="dxa"/>
              <w:right w:w="105" w:type="dxa"/>
            </w:tcMar>
          </w:tcPr>
          <w:p w14:paraId="42E63AED" w14:textId="730137E0" w:rsidR="228CF246" w:rsidRPr="00D10954" w:rsidRDefault="228CF246" w:rsidP="005D6C1F">
            <w:pPr>
              <w:rPr>
                <w:rFonts w:eastAsia="Arial" w:cs="Arial"/>
              </w:rPr>
            </w:pPr>
            <w:r w:rsidRPr="00D10954">
              <w:rPr>
                <w:rFonts w:eastAsia="Arial" w:cs="Arial"/>
              </w:rPr>
              <w:t>Chronic absenteeism rate is 10.1% to 20%</w:t>
            </w:r>
          </w:p>
        </w:tc>
        <w:tc>
          <w:tcPr>
            <w:tcW w:w="4199" w:type="dxa"/>
            <w:tcBorders>
              <w:right w:val="single" w:sz="6" w:space="0" w:color="auto"/>
            </w:tcBorders>
            <w:tcMar>
              <w:left w:w="105" w:type="dxa"/>
              <w:right w:w="105" w:type="dxa"/>
            </w:tcMar>
          </w:tcPr>
          <w:p w14:paraId="2B30C6C0" w14:textId="031A09BA" w:rsidR="360DDF3F" w:rsidRPr="00D10954" w:rsidRDefault="360DDF3F" w:rsidP="7239CA79">
            <w:pPr>
              <w:rPr>
                <w:rFonts w:eastAsia="Arial" w:cs="Arial"/>
              </w:rPr>
            </w:pPr>
            <w:r w:rsidRPr="00D10954">
              <w:rPr>
                <w:rFonts w:eastAsia="Arial" w:cs="Arial"/>
              </w:rPr>
              <w:t>10</w:t>
            </w:r>
            <w:r w:rsidRPr="00D10954">
              <w:rPr>
                <w:rFonts w:eastAsia="Arial" w:cs="Arial"/>
                <w:vertAlign w:val="superscript"/>
              </w:rPr>
              <w:t>th</w:t>
            </w:r>
            <w:r w:rsidRPr="00D10954">
              <w:rPr>
                <w:rFonts w:eastAsia="Arial" w:cs="Arial"/>
              </w:rPr>
              <w:t xml:space="preserve"> to 40</w:t>
            </w:r>
            <w:r w:rsidRPr="00D10954">
              <w:rPr>
                <w:rFonts w:eastAsia="Arial" w:cs="Arial"/>
                <w:vertAlign w:val="superscript"/>
              </w:rPr>
              <w:t>th</w:t>
            </w:r>
            <w:r w:rsidRPr="00D10954">
              <w:rPr>
                <w:rFonts w:eastAsia="Arial" w:cs="Arial"/>
              </w:rPr>
              <w:t xml:space="preserve"> percentile</w:t>
            </w:r>
          </w:p>
        </w:tc>
      </w:tr>
      <w:tr w:rsidR="228CF246" w:rsidRPr="00D10954" w14:paraId="4F447F99" w14:textId="3B088E3C" w:rsidTr="6944AD4D">
        <w:trPr>
          <w:cantSplit/>
          <w:trHeight w:val="300"/>
          <w:tblHeader/>
        </w:trPr>
        <w:tc>
          <w:tcPr>
            <w:tcW w:w="1323" w:type="dxa"/>
            <w:tcBorders>
              <w:left w:val="single" w:sz="6" w:space="0" w:color="auto"/>
              <w:bottom w:val="single" w:sz="6" w:space="0" w:color="auto"/>
            </w:tcBorders>
            <w:tcMar>
              <w:left w:w="105" w:type="dxa"/>
              <w:right w:w="105" w:type="dxa"/>
            </w:tcMar>
          </w:tcPr>
          <w:p w14:paraId="253D1A49" w14:textId="17EF5156" w:rsidR="228CF246" w:rsidRPr="00D10954" w:rsidRDefault="228CF246" w:rsidP="005D6C1F">
            <w:pPr>
              <w:rPr>
                <w:rFonts w:eastAsia="Arial" w:cs="Arial"/>
              </w:rPr>
            </w:pPr>
            <w:r w:rsidRPr="00D10954">
              <w:rPr>
                <w:rFonts w:eastAsia="Arial" w:cs="Arial"/>
              </w:rPr>
              <w:t xml:space="preserve">Very High </w:t>
            </w:r>
          </w:p>
        </w:tc>
        <w:tc>
          <w:tcPr>
            <w:tcW w:w="4199" w:type="dxa"/>
            <w:tcBorders>
              <w:bottom w:val="single" w:sz="6" w:space="0" w:color="auto"/>
              <w:right w:val="single" w:sz="6" w:space="0" w:color="auto"/>
            </w:tcBorders>
            <w:tcMar>
              <w:left w:w="105" w:type="dxa"/>
              <w:right w:w="105" w:type="dxa"/>
            </w:tcMar>
          </w:tcPr>
          <w:p w14:paraId="0083731D" w14:textId="016FF12B" w:rsidR="228CF246" w:rsidRPr="00D10954" w:rsidRDefault="228CF246" w:rsidP="005D6C1F">
            <w:pPr>
              <w:rPr>
                <w:rFonts w:eastAsia="Arial" w:cs="Arial"/>
              </w:rPr>
            </w:pPr>
            <w:r w:rsidRPr="00D10954">
              <w:rPr>
                <w:rFonts w:eastAsia="Arial" w:cs="Arial"/>
              </w:rPr>
              <w:t>Chronic absenteeism rate is 20.1% or more</w:t>
            </w:r>
          </w:p>
        </w:tc>
        <w:tc>
          <w:tcPr>
            <w:tcW w:w="4199" w:type="dxa"/>
            <w:tcBorders>
              <w:bottom w:val="single" w:sz="6" w:space="0" w:color="auto"/>
              <w:right w:val="single" w:sz="6" w:space="0" w:color="auto"/>
            </w:tcBorders>
            <w:tcMar>
              <w:left w:w="105" w:type="dxa"/>
              <w:right w:w="105" w:type="dxa"/>
            </w:tcMar>
          </w:tcPr>
          <w:p w14:paraId="1A225201" w14:textId="6654C25B" w:rsidR="4E755156" w:rsidRPr="00D10954" w:rsidRDefault="4E755156" w:rsidP="7239CA79">
            <w:pPr>
              <w:rPr>
                <w:rFonts w:eastAsia="Arial" w:cs="Arial"/>
              </w:rPr>
            </w:pPr>
            <w:r w:rsidRPr="00D10954">
              <w:rPr>
                <w:rFonts w:eastAsia="Arial" w:cs="Arial"/>
              </w:rPr>
              <w:t>Lower than the 10</w:t>
            </w:r>
            <w:r w:rsidRPr="00D10954">
              <w:rPr>
                <w:rFonts w:eastAsia="Arial" w:cs="Arial"/>
                <w:vertAlign w:val="superscript"/>
              </w:rPr>
              <w:t>th</w:t>
            </w:r>
            <w:r w:rsidRPr="00D10954">
              <w:rPr>
                <w:rFonts w:eastAsia="Arial" w:cs="Arial"/>
              </w:rPr>
              <w:t xml:space="preserve"> percentile</w:t>
            </w:r>
          </w:p>
        </w:tc>
      </w:tr>
    </w:tbl>
    <w:p w14:paraId="7964E0D7" w14:textId="7A53F858" w:rsidR="228CF246" w:rsidRPr="00D10954" w:rsidRDefault="228CF246" w:rsidP="005D6C1F">
      <w:pPr>
        <w:spacing w:after="160"/>
        <w:rPr>
          <w:rFonts w:eastAsia="Arial" w:cs="Arial"/>
          <w:color w:val="000000" w:themeColor="text1"/>
        </w:rPr>
      </w:pPr>
    </w:p>
    <w:p w14:paraId="34158B18" w14:textId="233C04F2" w:rsidR="648EBA51" w:rsidRPr="00D10954" w:rsidRDefault="648EBA51" w:rsidP="005939E2">
      <w:pPr>
        <w:rPr>
          <w:color w:val="000000" w:themeColor="text1"/>
        </w:rPr>
      </w:pPr>
      <w:r w:rsidRPr="00D10954">
        <w:rPr>
          <w:color w:val="000000" w:themeColor="text1"/>
        </w:rPr>
        <w:t xml:space="preserve">The </w:t>
      </w:r>
      <w:r w:rsidR="00CC2628" w:rsidRPr="00D10954">
        <w:rPr>
          <w:color w:val="000000" w:themeColor="text1"/>
        </w:rPr>
        <w:t>first of the five</w:t>
      </w:r>
      <w:r w:rsidRPr="00D10954">
        <w:rPr>
          <w:color w:val="000000" w:themeColor="text1"/>
        </w:rPr>
        <w:t xml:space="preserve"> </w:t>
      </w:r>
      <w:r w:rsidR="6490B9B0" w:rsidRPr="00D10954">
        <w:rPr>
          <w:color w:val="000000" w:themeColor="text1"/>
        </w:rPr>
        <w:t xml:space="preserve">status </w:t>
      </w:r>
      <w:r w:rsidRPr="00D10954">
        <w:rPr>
          <w:color w:val="000000" w:themeColor="text1"/>
        </w:rPr>
        <w:t>cut point</w:t>
      </w:r>
      <w:r w:rsidR="00CC2628" w:rsidRPr="00D10954">
        <w:rPr>
          <w:color w:val="000000" w:themeColor="text1"/>
        </w:rPr>
        <w:t>s</w:t>
      </w:r>
      <w:r w:rsidRPr="00D10954">
        <w:rPr>
          <w:color w:val="000000" w:themeColor="text1"/>
        </w:rPr>
        <w:t xml:space="preserve"> set was the lowest achievable cut point, which is “Very High” for the Chronic Absenteeism Indicator. This cut point was set at 20.1</w:t>
      </w:r>
      <w:r w:rsidR="00127CAF" w:rsidRPr="00D10954">
        <w:rPr>
          <w:color w:val="000000" w:themeColor="text1"/>
        </w:rPr>
        <w:t xml:space="preserve"> percent</w:t>
      </w:r>
      <w:r w:rsidRPr="00D10954">
        <w:rPr>
          <w:color w:val="000000" w:themeColor="text1"/>
        </w:rPr>
        <w:t>, which represents a little more t</w:t>
      </w:r>
      <w:r w:rsidR="26DCCFEC" w:rsidRPr="00D10954">
        <w:rPr>
          <w:color w:val="000000" w:themeColor="text1"/>
        </w:rPr>
        <w:t xml:space="preserve">han </w:t>
      </w:r>
      <w:r w:rsidR="6E217F5A" w:rsidRPr="00D10954">
        <w:rPr>
          <w:color w:val="000000" w:themeColor="text1"/>
        </w:rPr>
        <w:t>0-</w:t>
      </w:r>
      <w:r w:rsidR="26DCCFEC" w:rsidRPr="00D10954">
        <w:rPr>
          <w:color w:val="000000" w:themeColor="text1"/>
        </w:rPr>
        <w:t>10</w:t>
      </w:r>
      <w:r w:rsidR="030A443E" w:rsidRPr="00D10954">
        <w:rPr>
          <w:color w:val="000000" w:themeColor="text1"/>
          <w:vertAlign w:val="superscript"/>
        </w:rPr>
        <w:t>th</w:t>
      </w:r>
      <w:r w:rsidR="030A443E" w:rsidRPr="00D10954">
        <w:rPr>
          <w:color w:val="000000" w:themeColor="text1"/>
        </w:rPr>
        <w:t xml:space="preserve"> percentile </w:t>
      </w:r>
      <w:r w:rsidR="26DCCFEC" w:rsidRPr="00D10954">
        <w:rPr>
          <w:color w:val="000000" w:themeColor="text1"/>
        </w:rPr>
        <w:t xml:space="preserve">of the distribution. The next </w:t>
      </w:r>
      <w:r w:rsidR="2E948780" w:rsidRPr="00D10954">
        <w:rPr>
          <w:color w:val="000000" w:themeColor="text1"/>
        </w:rPr>
        <w:t xml:space="preserve">status </w:t>
      </w:r>
      <w:r w:rsidR="26DCCFEC" w:rsidRPr="00D10954">
        <w:rPr>
          <w:color w:val="000000" w:themeColor="text1"/>
        </w:rPr>
        <w:t xml:space="preserve">cut point set was that of </w:t>
      </w:r>
      <w:r w:rsidR="4204F3D3" w:rsidRPr="00D10954">
        <w:rPr>
          <w:color w:val="000000" w:themeColor="text1"/>
        </w:rPr>
        <w:t>“</w:t>
      </w:r>
      <w:r w:rsidR="26DCCFEC" w:rsidRPr="00D10954">
        <w:rPr>
          <w:color w:val="000000" w:themeColor="text1"/>
        </w:rPr>
        <w:t>Low” for the Chronic Absenteeism Indicator.</w:t>
      </w:r>
      <w:r w:rsidR="77C05EA3" w:rsidRPr="00D10954">
        <w:rPr>
          <w:color w:val="000000" w:themeColor="text1"/>
        </w:rPr>
        <w:t xml:space="preserve"> It represented the 75</w:t>
      </w:r>
      <w:r w:rsidR="77C05EA3" w:rsidRPr="00D10954">
        <w:rPr>
          <w:color w:val="000000" w:themeColor="text1"/>
          <w:vertAlign w:val="superscript"/>
        </w:rPr>
        <w:t>th</w:t>
      </w:r>
      <w:r w:rsidR="77C05EA3" w:rsidRPr="00D10954">
        <w:rPr>
          <w:color w:val="000000" w:themeColor="text1"/>
        </w:rPr>
        <w:t xml:space="preserve"> to 90</w:t>
      </w:r>
      <w:r w:rsidR="77C05EA3" w:rsidRPr="00D10954">
        <w:rPr>
          <w:color w:val="000000" w:themeColor="text1"/>
          <w:vertAlign w:val="superscript"/>
        </w:rPr>
        <w:t>th</w:t>
      </w:r>
      <w:r w:rsidR="77C05EA3" w:rsidRPr="00D10954">
        <w:rPr>
          <w:color w:val="000000" w:themeColor="text1"/>
        </w:rPr>
        <w:t xml:space="preserve"> percentile of the distribution</w:t>
      </w:r>
      <w:r w:rsidR="04E78AC6" w:rsidRPr="00D10954">
        <w:rPr>
          <w:color w:val="000000" w:themeColor="text1"/>
        </w:rPr>
        <w:t>.</w:t>
      </w:r>
      <w:r w:rsidR="77C05EA3" w:rsidRPr="00D10954">
        <w:rPr>
          <w:color w:val="000000" w:themeColor="text1"/>
        </w:rPr>
        <w:t xml:space="preserve"> </w:t>
      </w:r>
      <w:r w:rsidR="6D313459" w:rsidRPr="00D10954">
        <w:rPr>
          <w:color w:val="000000" w:themeColor="text1"/>
        </w:rPr>
        <w:t>The largest portion of the distribution is represented by the “Medium” status points, which extend from the 45</w:t>
      </w:r>
      <w:r w:rsidR="6D313459" w:rsidRPr="00D10954">
        <w:rPr>
          <w:color w:val="000000" w:themeColor="text1"/>
          <w:vertAlign w:val="superscript"/>
        </w:rPr>
        <w:t>th</w:t>
      </w:r>
      <w:r w:rsidR="6D313459" w:rsidRPr="00D10954">
        <w:rPr>
          <w:color w:val="000000" w:themeColor="text1"/>
        </w:rPr>
        <w:t xml:space="preserve"> to 75</w:t>
      </w:r>
      <w:r w:rsidR="6D313459" w:rsidRPr="00D10954">
        <w:rPr>
          <w:color w:val="000000" w:themeColor="text1"/>
          <w:vertAlign w:val="superscript"/>
        </w:rPr>
        <w:t>th</w:t>
      </w:r>
      <w:r w:rsidR="6D313459" w:rsidRPr="00D10954">
        <w:rPr>
          <w:color w:val="000000" w:themeColor="text1"/>
        </w:rPr>
        <w:t xml:space="preserve"> percentile.</w:t>
      </w:r>
    </w:p>
    <w:p w14:paraId="227A90EE" w14:textId="55BD7586" w:rsidR="30D1C8DE" w:rsidRPr="00D10954" w:rsidRDefault="30D1C8DE" w:rsidP="005D6C1F">
      <w:pPr>
        <w:pStyle w:val="Heading4"/>
      </w:pPr>
      <w:r w:rsidRPr="00D10954">
        <w:t>How Change is Determined</w:t>
      </w:r>
    </w:p>
    <w:p w14:paraId="7425CEC9" w14:textId="6AC48270" w:rsidR="30D1C8DE" w:rsidRPr="00D10954" w:rsidRDefault="30D1C8DE" w:rsidP="005939E2">
      <w:pPr>
        <w:rPr>
          <w:rFonts w:eastAsia="Arial" w:cs="Arial"/>
          <w:color w:val="000000" w:themeColor="text1"/>
        </w:rPr>
      </w:pPr>
      <w:r w:rsidRPr="00D10954">
        <w:rPr>
          <w:rFonts w:eastAsia="Arial" w:cs="Arial"/>
          <w:color w:val="000000" w:themeColor="text1"/>
        </w:rPr>
        <w:t>Change is the difference between performance from the current year and the prior year (e.g., the difference between the current year chronic absenteeism rate and prior year chronic absenteeism rate). The results for all LEAs are ordered separately from highest to lowest for positive change</w:t>
      </w:r>
      <w:r w:rsidR="00CC2628" w:rsidRPr="00D10954">
        <w:rPr>
          <w:rFonts w:eastAsia="Arial" w:cs="Arial"/>
          <w:color w:val="000000" w:themeColor="text1"/>
        </w:rPr>
        <w:t xml:space="preserve"> (see </w:t>
      </w:r>
      <w:r w:rsidR="1389B03A" w:rsidRPr="00D10954">
        <w:rPr>
          <w:rFonts w:eastAsia="Arial" w:cs="Arial"/>
          <w:color w:val="000000" w:themeColor="text1"/>
        </w:rPr>
        <w:t>Table</w:t>
      </w:r>
      <w:r w:rsidR="1345DA41" w:rsidRPr="00D10954">
        <w:rPr>
          <w:rFonts w:eastAsia="Arial" w:cs="Arial"/>
          <w:color w:val="000000" w:themeColor="text1"/>
        </w:rPr>
        <w:t>s</w:t>
      </w:r>
      <w:r w:rsidR="1389B03A" w:rsidRPr="00D10954">
        <w:rPr>
          <w:rFonts w:eastAsia="Arial" w:cs="Arial"/>
          <w:color w:val="000000" w:themeColor="text1"/>
        </w:rPr>
        <w:t xml:space="preserve"> </w:t>
      </w:r>
      <w:r w:rsidR="43C9C046" w:rsidRPr="00D10954">
        <w:rPr>
          <w:rFonts w:eastAsia="Arial" w:cs="Arial"/>
          <w:color w:val="000000" w:themeColor="text1"/>
        </w:rPr>
        <w:t xml:space="preserve">5 and </w:t>
      </w:r>
      <w:r w:rsidR="6847402A" w:rsidRPr="00D10954">
        <w:rPr>
          <w:rFonts w:eastAsia="Arial" w:cs="Arial"/>
          <w:color w:val="000000" w:themeColor="text1"/>
        </w:rPr>
        <w:t>7</w:t>
      </w:r>
      <w:r w:rsidR="00CC2628" w:rsidRPr="00D10954">
        <w:rPr>
          <w:rFonts w:eastAsia="Arial" w:cs="Arial"/>
          <w:color w:val="000000" w:themeColor="text1"/>
        </w:rPr>
        <w:t xml:space="preserve"> for </w:t>
      </w:r>
      <w:r w:rsidR="1389B03A" w:rsidRPr="00D10954">
        <w:rPr>
          <w:rFonts w:eastAsia="Arial" w:cs="Arial"/>
          <w:color w:val="000000" w:themeColor="text1"/>
        </w:rPr>
        <w:t>example</w:t>
      </w:r>
      <w:r w:rsidR="1DD47E88" w:rsidRPr="00D10954">
        <w:rPr>
          <w:rFonts w:eastAsia="Arial" w:cs="Arial"/>
          <w:color w:val="000000" w:themeColor="text1"/>
        </w:rPr>
        <w:t>s</w:t>
      </w:r>
      <w:r w:rsidR="00CC2628" w:rsidRPr="00D10954">
        <w:rPr>
          <w:rFonts w:eastAsia="Arial" w:cs="Arial"/>
          <w:color w:val="000000" w:themeColor="text1"/>
        </w:rPr>
        <w:t>)</w:t>
      </w:r>
      <w:r w:rsidRPr="00D10954">
        <w:rPr>
          <w:rFonts w:eastAsia="Arial" w:cs="Arial"/>
          <w:color w:val="000000" w:themeColor="text1"/>
        </w:rPr>
        <w:t xml:space="preserve"> and, in the case of chronic absenteeism and suspension rate, lowest to highest for negative change. Four cut </w:t>
      </w:r>
      <w:r w:rsidR="722A7AA3" w:rsidRPr="00D10954">
        <w:rPr>
          <w:rFonts w:eastAsia="Arial" w:cs="Arial"/>
          <w:color w:val="000000" w:themeColor="text1"/>
        </w:rPr>
        <w:t>points</w:t>
      </w:r>
      <w:r w:rsidRPr="00D10954">
        <w:rPr>
          <w:rFonts w:eastAsia="Arial" w:cs="Arial"/>
          <w:color w:val="000000" w:themeColor="text1"/>
        </w:rPr>
        <w:t xml:space="preserve"> were set, two for positive change and two for negative change, which created the following five “Change” levels:</w:t>
      </w:r>
    </w:p>
    <w:p w14:paraId="2817E2BC" w14:textId="4009EAD0" w:rsidR="30D1C8DE" w:rsidRPr="00D10954" w:rsidRDefault="30D1C8DE" w:rsidP="00127CAF">
      <w:pPr>
        <w:pStyle w:val="ListParagraph"/>
        <w:numPr>
          <w:ilvl w:val="0"/>
          <w:numId w:val="11"/>
        </w:numPr>
        <w:spacing w:after="0" w:line="240" w:lineRule="auto"/>
        <w:rPr>
          <w:rFonts w:eastAsia="Arial" w:cs="Arial"/>
          <w:color w:val="000000" w:themeColor="text1"/>
        </w:rPr>
      </w:pPr>
      <w:r w:rsidRPr="00D10954">
        <w:rPr>
          <w:rFonts w:eastAsia="Arial" w:cs="Arial"/>
          <w:color w:val="000000" w:themeColor="text1"/>
        </w:rPr>
        <w:t>Increased Significantly</w:t>
      </w:r>
    </w:p>
    <w:p w14:paraId="05D242AB" w14:textId="3516EB02" w:rsidR="30D1C8DE" w:rsidRPr="00D10954" w:rsidRDefault="30D1C8DE" w:rsidP="00127CAF">
      <w:pPr>
        <w:pStyle w:val="ListParagraph"/>
        <w:numPr>
          <w:ilvl w:val="0"/>
          <w:numId w:val="11"/>
        </w:numPr>
        <w:spacing w:after="0" w:line="240" w:lineRule="auto"/>
        <w:rPr>
          <w:rFonts w:eastAsia="Arial" w:cs="Arial"/>
          <w:color w:val="000000" w:themeColor="text1"/>
        </w:rPr>
      </w:pPr>
      <w:r w:rsidRPr="00D10954">
        <w:rPr>
          <w:rFonts w:eastAsia="Arial" w:cs="Arial"/>
          <w:color w:val="000000" w:themeColor="text1"/>
        </w:rPr>
        <w:t>Increased</w:t>
      </w:r>
    </w:p>
    <w:p w14:paraId="60868233" w14:textId="2DC03823" w:rsidR="30D1C8DE" w:rsidRPr="00D10954" w:rsidRDefault="30D1C8DE" w:rsidP="00127CAF">
      <w:pPr>
        <w:pStyle w:val="ListParagraph"/>
        <w:numPr>
          <w:ilvl w:val="0"/>
          <w:numId w:val="11"/>
        </w:numPr>
        <w:spacing w:after="0" w:line="240" w:lineRule="auto"/>
        <w:rPr>
          <w:rFonts w:eastAsia="Arial" w:cs="Arial"/>
          <w:color w:val="000000" w:themeColor="text1"/>
        </w:rPr>
      </w:pPr>
      <w:r w:rsidRPr="00D10954">
        <w:rPr>
          <w:rFonts w:eastAsia="Arial" w:cs="Arial"/>
          <w:color w:val="000000" w:themeColor="text1"/>
        </w:rPr>
        <w:t>Maintained</w:t>
      </w:r>
    </w:p>
    <w:p w14:paraId="02FA472A" w14:textId="263E7877" w:rsidR="30D1C8DE" w:rsidRPr="00D10954" w:rsidRDefault="30D1C8DE" w:rsidP="00127CAF">
      <w:pPr>
        <w:pStyle w:val="ListParagraph"/>
        <w:numPr>
          <w:ilvl w:val="0"/>
          <w:numId w:val="11"/>
        </w:numPr>
        <w:spacing w:after="0" w:line="240" w:lineRule="auto"/>
        <w:rPr>
          <w:rFonts w:eastAsia="Arial" w:cs="Arial"/>
          <w:color w:val="000000" w:themeColor="text1"/>
        </w:rPr>
      </w:pPr>
      <w:r w:rsidRPr="00D10954">
        <w:rPr>
          <w:rFonts w:eastAsia="Arial" w:cs="Arial"/>
          <w:color w:val="000000" w:themeColor="text1"/>
        </w:rPr>
        <w:t>Declined</w:t>
      </w:r>
    </w:p>
    <w:p w14:paraId="4558F1B4" w14:textId="28F7C7C8" w:rsidR="30D1C8DE" w:rsidRPr="00D10954" w:rsidRDefault="30D1C8DE" w:rsidP="00127CAF">
      <w:pPr>
        <w:pStyle w:val="ListParagraph"/>
        <w:numPr>
          <w:ilvl w:val="0"/>
          <w:numId w:val="11"/>
        </w:numPr>
        <w:spacing w:after="240" w:line="240" w:lineRule="auto"/>
        <w:rPr>
          <w:rFonts w:eastAsia="Arial" w:cs="Arial"/>
          <w:color w:val="000000" w:themeColor="text1"/>
        </w:rPr>
      </w:pPr>
      <w:r w:rsidRPr="00D10954">
        <w:rPr>
          <w:rFonts w:eastAsia="Arial" w:cs="Arial"/>
          <w:color w:val="000000" w:themeColor="text1"/>
        </w:rPr>
        <w:t>Declined Significantly</w:t>
      </w:r>
    </w:p>
    <w:p w14:paraId="2646F894" w14:textId="74FF59D7" w:rsidR="77B44463" w:rsidRPr="00D10954" w:rsidRDefault="77B44463" w:rsidP="00A31EA8">
      <w:pPr>
        <w:rPr>
          <w:color w:val="000000" w:themeColor="text1"/>
        </w:rPr>
      </w:pPr>
      <w:r w:rsidRPr="00D10954">
        <w:rPr>
          <w:color w:val="000000" w:themeColor="text1"/>
        </w:rPr>
        <w:t xml:space="preserve">The </w:t>
      </w:r>
      <w:r w:rsidR="00CC2628" w:rsidRPr="00D10954">
        <w:rPr>
          <w:color w:val="000000" w:themeColor="text1"/>
        </w:rPr>
        <w:t>first of five</w:t>
      </w:r>
      <w:r w:rsidRPr="00D10954">
        <w:rPr>
          <w:color w:val="000000" w:themeColor="text1"/>
        </w:rPr>
        <w:t xml:space="preserve"> </w:t>
      </w:r>
      <w:r w:rsidR="292067D1" w:rsidRPr="00D10954">
        <w:rPr>
          <w:color w:val="000000" w:themeColor="text1"/>
        </w:rPr>
        <w:t xml:space="preserve">change </w:t>
      </w:r>
      <w:r w:rsidRPr="00D10954">
        <w:rPr>
          <w:color w:val="000000" w:themeColor="text1"/>
        </w:rPr>
        <w:t>cut point</w:t>
      </w:r>
      <w:r w:rsidR="00CC2628" w:rsidRPr="00D10954">
        <w:rPr>
          <w:color w:val="000000" w:themeColor="text1"/>
        </w:rPr>
        <w:t>s</w:t>
      </w:r>
      <w:r w:rsidRPr="00D10954">
        <w:rPr>
          <w:color w:val="000000" w:themeColor="text1"/>
        </w:rPr>
        <w:t xml:space="preserve"> set is the lowest achievable change cut point, which is either “</w:t>
      </w:r>
      <w:r w:rsidR="61AF2470" w:rsidRPr="00D10954">
        <w:rPr>
          <w:color w:val="000000" w:themeColor="text1"/>
        </w:rPr>
        <w:t xml:space="preserve">Decreased </w:t>
      </w:r>
      <w:r w:rsidRPr="00D10954">
        <w:rPr>
          <w:color w:val="000000" w:themeColor="text1"/>
        </w:rPr>
        <w:t>Significantly,” or “</w:t>
      </w:r>
      <w:r w:rsidR="329A76FC" w:rsidRPr="00D10954">
        <w:rPr>
          <w:color w:val="000000" w:themeColor="text1"/>
        </w:rPr>
        <w:t xml:space="preserve">Increased </w:t>
      </w:r>
      <w:r w:rsidRPr="00D10954">
        <w:rPr>
          <w:color w:val="000000" w:themeColor="text1"/>
        </w:rPr>
        <w:t xml:space="preserve">Significantly” for the Suspension Rate and </w:t>
      </w:r>
      <w:r w:rsidRPr="00D10954">
        <w:rPr>
          <w:color w:val="000000" w:themeColor="text1"/>
        </w:rPr>
        <w:lastRenderedPageBreak/>
        <w:t xml:space="preserve">Chronic Absenteeism Indicators. </w:t>
      </w:r>
      <w:r w:rsidR="64EED3D3" w:rsidRPr="00D10954">
        <w:rPr>
          <w:color w:val="000000" w:themeColor="text1"/>
        </w:rPr>
        <w:t xml:space="preserve">This </w:t>
      </w:r>
      <w:r w:rsidR="332443BC" w:rsidRPr="00D10954">
        <w:rPr>
          <w:color w:val="000000" w:themeColor="text1"/>
        </w:rPr>
        <w:t xml:space="preserve">level of </w:t>
      </w:r>
      <w:r w:rsidR="621CCEE6" w:rsidRPr="00D10954">
        <w:rPr>
          <w:color w:val="000000" w:themeColor="text1"/>
        </w:rPr>
        <w:t xml:space="preserve">achievement </w:t>
      </w:r>
      <w:r w:rsidR="332443BC" w:rsidRPr="00D10954">
        <w:rPr>
          <w:color w:val="000000" w:themeColor="text1"/>
        </w:rPr>
        <w:t>is representative of the bottom 5 to 10 percent of the LEA distribution.</w:t>
      </w:r>
    </w:p>
    <w:p w14:paraId="10E06FF9" w14:textId="5ECF068A" w:rsidR="77B44463" w:rsidRPr="00D10954" w:rsidRDefault="77B44463" w:rsidP="00A31EA8">
      <w:pPr>
        <w:rPr>
          <w:color w:val="000000" w:themeColor="text1"/>
        </w:rPr>
      </w:pPr>
      <w:r w:rsidRPr="00D10954">
        <w:rPr>
          <w:color w:val="000000" w:themeColor="text1"/>
        </w:rPr>
        <w:t xml:space="preserve">The remaining cut points for </w:t>
      </w:r>
      <w:r w:rsidR="2F5FF221" w:rsidRPr="00D10954">
        <w:rPr>
          <w:color w:val="000000" w:themeColor="text1"/>
        </w:rPr>
        <w:t xml:space="preserve">change </w:t>
      </w:r>
      <w:r w:rsidRPr="00D10954">
        <w:rPr>
          <w:color w:val="000000" w:themeColor="text1"/>
        </w:rPr>
        <w:t xml:space="preserve">are set </w:t>
      </w:r>
      <w:r w:rsidR="64EED3D3" w:rsidRPr="00D10954">
        <w:rPr>
          <w:color w:val="000000" w:themeColor="text1"/>
        </w:rPr>
        <w:t>a</w:t>
      </w:r>
      <w:r w:rsidR="3E6E3707" w:rsidRPr="00D10954">
        <w:rPr>
          <w:color w:val="000000" w:themeColor="text1"/>
        </w:rPr>
        <w:t>fter</w:t>
      </w:r>
      <w:r w:rsidRPr="00D10954">
        <w:rPr>
          <w:color w:val="000000" w:themeColor="text1"/>
        </w:rPr>
        <w:t>, with a goal of the “M</w:t>
      </w:r>
      <w:r w:rsidR="24FFC265" w:rsidRPr="00D10954">
        <w:rPr>
          <w:color w:val="000000" w:themeColor="text1"/>
        </w:rPr>
        <w:t>aintained</w:t>
      </w:r>
      <w:r w:rsidRPr="00D10954">
        <w:rPr>
          <w:color w:val="000000" w:themeColor="text1"/>
        </w:rPr>
        <w:t>” status level to include</w:t>
      </w:r>
      <w:r w:rsidR="56807BE3" w:rsidRPr="00D10954">
        <w:rPr>
          <w:color w:val="000000" w:themeColor="text1"/>
        </w:rPr>
        <w:t xml:space="preserve"> </w:t>
      </w:r>
      <w:r w:rsidRPr="00D10954">
        <w:rPr>
          <w:color w:val="000000" w:themeColor="text1"/>
        </w:rPr>
        <w:t>the largest portion of the distribution</w:t>
      </w:r>
      <w:r w:rsidR="16A80862" w:rsidRPr="00D10954">
        <w:rPr>
          <w:color w:val="000000" w:themeColor="text1"/>
        </w:rPr>
        <w:t xml:space="preserve"> </w:t>
      </w:r>
      <w:r w:rsidR="7263C5B3" w:rsidRPr="00D10954">
        <w:rPr>
          <w:color w:val="000000" w:themeColor="text1"/>
        </w:rPr>
        <w:t xml:space="preserve">equally weighted </w:t>
      </w:r>
      <w:r w:rsidR="16A80862" w:rsidRPr="00D10954">
        <w:rPr>
          <w:color w:val="000000" w:themeColor="text1"/>
        </w:rPr>
        <w:t>around zero</w:t>
      </w:r>
      <w:r w:rsidR="286CB753" w:rsidRPr="00D10954">
        <w:rPr>
          <w:color w:val="000000" w:themeColor="text1"/>
        </w:rPr>
        <w:t xml:space="preserve"> to create a normal distribution</w:t>
      </w:r>
      <w:r w:rsidR="75FA7AFA" w:rsidRPr="00D10954">
        <w:rPr>
          <w:color w:val="000000" w:themeColor="text1"/>
        </w:rPr>
        <w:t>.</w:t>
      </w:r>
    </w:p>
    <w:p w14:paraId="38739E42" w14:textId="066C58FD" w:rsidR="30D1C8DE" w:rsidRPr="00D10954" w:rsidRDefault="797BCE94" w:rsidP="7239CA79">
      <w:pPr>
        <w:pStyle w:val="Heading3"/>
      </w:pPr>
      <w:r w:rsidRPr="00D10954">
        <w:rPr>
          <w:sz w:val="24"/>
        </w:rPr>
        <w:t>Review of the Process Used to Adopt</w:t>
      </w:r>
      <w:r w:rsidR="30D1C8DE" w:rsidRPr="00D10954">
        <w:rPr>
          <w:sz w:val="24"/>
        </w:rPr>
        <w:t xml:space="preserve"> Change Levels </w:t>
      </w:r>
      <w:r w:rsidRPr="00D10954">
        <w:rPr>
          <w:sz w:val="24"/>
        </w:rPr>
        <w:t>for Existing Indicators</w:t>
      </w:r>
      <w:r w:rsidRPr="00D10954">
        <w:t xml:space="preserve"> </w:t>
      </w:r>
    </w:p>
    <w:p w14:paraId="1C58D09B" w14:textId="3D776EE2" w:rsidR="30D1C8DE" w:rsidRPr="00D10954" w:rsidRDefault="70D76709" w:rsidP="6944AD4D">
      <w:pPr>
        <w:pStyle w:val="Heading4"/>
      </w:pPr>
      <w:r w:rsidRPr="00D10954">
        <w:t>Graduation Rate</w:t>
      </w:r>
    </w:p>
    <w:p w14:paraId="2771EC72" w14:textId="0D50EFCA" w:rsidR="778A09FE" w:rsidRPr="00D10954" w:rsidRDefault="778A09FE" w:rsidP="6944AD4D">
      <w:pPr>
        <w:rPr>
          <w:rFonts w:eastAsia="Arial" w:cs="Arial"/>
          <w:color w:val="000000" w:themeColor="text1"/>
        </w:rPr>
      </w:pPr>
      <w:r w:rsidRPr="00D10954">
        <w:rPr>
          <w:rFonts w:eastAsia="Arial" w:cs="Arial"/>
          <w:color w:val="000000" w:themeColor="text1"/>
        </w:rPr>
        <w:t xml:space="preserve">Again, we can use the cut point setting of </w:t>
      </w:r>
      <w:r w:rsidR="3A95A133" w:rsidRPr="00D10954">
        <w:rPr>
          <w:rFonts w:eastAsia="Arial" w:cs="Arial"/>
          <w:color w:val="000000" w:themeColor="text1"/>
        </w:rPr>
        <w:t>the Graduation</w:t>
      </w:r>
      <w:r w:rsidRPr="00D10954">
        <w:rPr>
          <w:rFonts w:eastAsia="Arial" w:cs="Arial"/>
          <w:color w:val="000000" w:themeColor="text1"/>
        </w:rPr>
        <w:t xml:space="preserve"> </w:t>
      </w:r>
      <w:r w:rsidR="234A429A" w:rsidRPr="00D10954">
        <w:rPr>
          <w:rFonts w:eastAsia="Arial" w:cs="Arial"/>
          <w:color w:val="000000" w:themeColor="text1"/>
        </w:rPr>
        <w:t>Rate Indicator</w:t>
      </w:r>
      <w:r w:rsidR="30D1C8DE" w:rsidRPr="00D10954">
        <w:rPr>
          <w:rFonts w:eastAsia="Arial" w:cs="Arial"/>
          <w:color w:val="000000" w:themeColor="text1"/>
        </w:rPr>
        <w:t xml:space="preserve"> in 2018 </w:t>
      </w:r>
      <w:r w:rsidRPr="00D10954">
        <w:rPr>
          <w:rFonts w:eastAsia="Arial" w:cs="Arial"/>
          <w:color w:val="000000" w:themeColor="text1"/>
        </w:rPr>
        <w:t>to assist</w:t>
      </w:r>
      <w:r w:rsidR="5A55CCBA" w:rsidRPr="00D10954">
        <w:rPr>
          <w:rFonts w:eastAsia="Arial" w:cs="Arial"/>
          <w:color w:val="000000" w:themeColor="text1"/>
        </w:rPr>
        <w:t xml:space="preserve"> in</w:t>
      </w:r>
      <w:r w:rsidRPr="00D10954">
        <w:rPr>
          <w:rFonts w:eastAsia="Arial" w:cs="Arial"/>
          <w:color w:val="000000" w:themeColor="text1"/>
        </w:rPr>
        <w:t xml:space="preserve"> demonstrating this process.</w:t>
      </w:r>
      <w:r w:rsidR="006967DC" w:rsidRPr="00D10954">
        <w:rPr>
          <w:rFonts w:eastAsia="Arial" w:cs="Arial"/>
          <w:color w:val="000000" w:themeColor="text1"/>
        </w:rPr>
        <w:t xml:space="preserve"> </w:t>
      </w:r>
      <w:r w:rsidRPr="00D10954">
        <w:rPr>
          <w:rFonts w:eastAsia="Arial" w:cs="Arial"/>
          <w:color w:val="000000" w:themeColor="text1"/>
        </w:rPr>
        <w:t xml:space="preserve">Paralleling the process used to establish the Status Levels, the distribution of the difference between the current year </w:t>
      </w:r>
      <w:r w:rsidR="5048DBF6" w:rsidRPr="00D10954">
        <w:rPr>
          <w:rFonts w:eastAsia="Arial" w:cs="Arial"/>
          <w:color w:val="000000" w:themeColor="text1"/>
        </w:rPr>
        <w:t>graduation</w:t>
      </w:r>
      <w:r w:rsidRPr="00D10954">
        <w:rPr>
          <w:rFonts w:eastAsia="Arial" w:cs="Arial"/>
          <w:color w:val="000000" w:themeColor="text1"/>
        </w:rPr>
        <w:t xml:space="preserve"> rate and prior year </w:t>
      </w:r>
      <w:r w:rsidR="6F8F45B9" w:rsidRPr="00D10954">
        <w:rPr>
          <w:rFonts w:eastAsia="Arial" w:cs="Arial"/>
          <w:color w:val="000000" w:themeColor="text1"/>
        </w:rPr>
        <w:t>graduation</w:t>
      </w:r>
      <w:r w:rsidRPr="00D10954">
        <w:rPr>
          <w:rFonts w:eastAsia="Arial" w:cs="Arial"/>
          <w:color w:val="000000" w:themeColor="text1"/>
        </w:rPr>
        <w:t xml:space="preserve"> rate for all LEAs are used to set the cut points. This includes the same set of County Office of Education, District and charter school </w:t>
      </w:r>
      <w:r w:rsidR="02DB8488" w:rsidRPr="00D10954">
        <w:rPr>
          <w:rFonts w:eastAsia="Arial" w:cs="Arial"/>
          <w:color w:val="000000" w:themeColor="text1"/>
        </w:rPr>
        <w:t>graduation</w:t>
      </w:r>
      <w:r w:rsidRPr="00D10954">
        <w:rPr>
          <w:rFonts w:eastAsia="Arial" w:cs="Arial"/>
          <w:color w:val="000000" w:themeColor="text1"/>
        </w:rPr>
        <w:t xml:space="preserve"> data. The SBE’s goal </w:t>
      </w:r>
      <w:r w:rsidR="006967DC" w:rsidRPr="00D10954">
        <w:rPr>
          <w:rFonts w:eastAsia="Arial" w:cs="Arial"/>
          <w:color w:val="000000" w:themeColor="text1"/>
        </w:rPr>
        <w:t>wa</w:t>
      </w:r>
      <w:r w:rsidRPr="00D10954">
        <w:rPr>
          <w:rFonts w:eastAsia="Arial" w:cs="Arial"/>
          <w:color w:val="000000" w:themeColor="text1"/>
        </w:rPr>
        <w:t xml:space="preserve">s for schools and LEAs to </w:t>
      </w:r>
      <w:r w:rsidR="49A27FE3" w:rsidRPr="00D10954">
        <w:rPr>
          <w:rFonts w:eastAsia="Arial" w:cs="Arial"/>
          <w:color w:val="000000" w:themeColor="text1"/>
        </w:rPr>
        <w:t xml:space="preserve">increase </w:t>
      </w:r>
      <w:r w:rsidRPr="00D10954">
        <w:rPr>
          <w:rFonts w:eastAsia="Arial" w:cs="Arial"/>
          <w:color w:val="000000" w:themeColor="text1"/>
        </w:rPr>
        <w:t xml:space="preserve">their </w:t>
      </w:r>
      <w:r w:rsidR="47CE09E6" w:rsidRPr="00D10954">
        <w:rPr>
          <w:rFonts w:eastAsia="Arial" w:cs="Arial"/>
          <w:color w:val="000000" w:themeColor="text1"/>
        </w:rPr>
        <w:t>graduation</w:t>
      </w:r>
      <w:r w:rsidRPr="00D10954">
        <w:rPr>
          <w:rFonts w:eastAsia="Arial" w:cs="Arial"/>
          <w:color w:val="000000" w:themeColor="text1"/>
        </w:rPr>
        <w:t xml:space="preserve"> rates over time, therefore the results are ordered from largest declines to largest increases.</w:t>
      </w:r>
      <w:r w:rsidR="006967DC" w:rsidRPr="00D10954">
        <w:rPr>
          <w:rFonts w:eastAsia="Arial" w:cs="Arial"/>
          <w:color w:val="000000" w:themeColor="text1"/>
        </w:rPr>
        <w:t xml:space="preserve"> </w:t>
      </w:r>
      <w:r w:rsidRPr="00D10954">
        <w:rPr>
          <w:rFonts w:eastAsia="Arial" w:cs="Arial"/>
          <w:color w:val="000000" w:themeColor="text1"/>
        </w:rPr>
        <w:t xml:space="preserve">The distribution that was used to set the </w:t>
      </w:r>
      <w:r w:rsidR="4E79BAFA" w:rsidRPr="00D10954">
        <w:rPr>
          <w:rFonts w:eastAsia="Arial" w:cs="Arial"/>
          <w:color w:val="000000" w:themeColor="text1"/>
        </w:rPr>
        <w:t xml:space="preserve">change </w:t>
      </w:r>
      <w:r w:rsidRPr="00D10954">
        <w:rPr>
          <w:rFonts w:eastAsia="Arial" w:cs="Arial"/>
          <w:color w:val="000000" w:themeColor="text1"/>
        </w:rPr>
        <w:t xml:space="preserve">cut points in 2018 is displayed in Table </w:t>
      </w:r>
      <w:r w:rsidR="006967DC" w:rsidRPr="00D10954">
        <w:rPr>
          <w:rFonts w:eastAsia="Arial" w:cs="Arial"/>
          <w:color w:val="000000" w:themeColor="text1"/>
        </w:rPr>
        <w:t>5</w:t>
      </w:r>
      <w:r w:rsidRPr="00D10954">
        <w:rPr>
          <w:rFonts w:eastAsia="Arial" w:cs="Arial"/>
          <w:color w:val="000000" w:themeColor="text1"/>
        </w:rPr>
        <w:t>.</w:t>
      </w:r>
    </w:p>
    <w:p w14:paraId="782A747F" w14:textId="25E54CF9" w:rsidR="778A09FE" w:rsidRPr="00F345FB" w:rsidRDefault="778A09FE" w:rsidP="00F345FB">
      <w:pPr>
        <w:pStyle w:val="Heading4"/>
        <w:spacing w:after="0"/>
        <w:rPr>
          <w:rStyle w:val="Heading4Char"/>
          <w:b/>
          <w:iCs/>
        </w:rPr>
      </w:pPr>
      <w:r w:rsidRPr="00F345FB">
        <w:rPr>
          <w:rStyle w:val="Heading4Char"/>
          <w:b/>
          <w:iCs/>
        </w:rPr>
        <w:t xml:space="preserve">Table 5: Change Distribution Used to </w:t>
      </w:r>
      <w:r w:rsidR="77EBEC5D" w:rsidRPr="00F345FB">
        <w:rPr>
          <w:rStyle w:val="Heading4Char"/>
          <w:b/>
          <w:iCs/>
        </w:rPr>
        <w:t xml:space="preserve">Graduation Rate </w:t>
      </w:r>
      <w:r w:rsidRPr="00F345FB">
        <w:rPr>
          <w:rStyle w:val="Heading4Char"/>
          <w:b/>
          <w:iCs/>
        </w:rPr>
        <w:t>Set Cut Points in 2018</w:t>
      </w:r>
    </w:p>
    <w:p w14:paraId="123CD5AB" w14:textId="77DDD69C" w:rsidR="778A09FE" w:rsidRPr="00D10954" w:rsidRDefault="778A09FE" w:rsidP="006967DC">
      <w:pPr>
        <w:rPr>
          <w:rFonts w:eastAsia="Arial" w:cs="Arial"/>
          <w:color w:val="000000" w:themeColor="text1"/>
        </w:rPr>
      </w:pPr>
      <w:r w:rsidRPr="00D10954">
        <w:rPr>
          <w:rFonts w:eastAsia="Arial" w:cs="Arial"/>
          <w:color w:val="000000" w:themeColor="text1"/>
        </w:rPr>
        <w:t>(Based on County Office of Education, District, and All Charter School Data)</w:t>
      </w:r>
    </w:p>
    <w:tbl>
      <w:tblPr>
        <w:tblStyle w:val="TableGrid"/>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3: Change Distribution Used to Set Cut Points in 2018"/>
        <w:tblDescription w:val="Table 3: Change Distribution Used to Set Cut Points in 2018"/>
      </w:tblPr>
      <w:tblGrid>
        <w:gridCol w:w="1575"/>
        <w:gridCol w:w="4980"/>
      </w:tblGrid>
      <w:tr w:rsidR="6944AD4D" w:rsidRPr="00D10954" w14:paraId="49AE2F54" w14:textId="77777777" w:rsidTr="00F345FB">
        <w:trPr>
          <w:cantSplit/>
          <w:trHeight w:val="300"/>
          <w:tblHeader/>
          <w:jc w:val="center"/>
        </w:trPr>
        <w:tc>
          <w:tcPr>
            <w:tcW w:w="1575" w:type="dxa"/>
            <w:tcBorders>
              <w:top w:val="single" w:sz="6" w:space="0" w:color="auto"/>
              <w:left w:val="single" w:sz="6" w:space="0" w:color="auto"/>
            </w:tcBorders>
            <w:tcMar>
              <w:left w:w="105" w:type="dxa"/>
              <w:right w:w="105" w:type="dxa"/>
            </w:tcMar>
            <w:vAlign w:val="center"/>
          </w:tcPr>
          <w:p w14:paraId="3A08B20F" w14:textId="1509F41D" w:rsidR="6944AD4D" w:rsidRPr="00D10954" w:rsidRDefault="6944AD4D" w:rsidP="6944AD4D">
            <w:pPr>
              <w:spacing w:after="0"/>
              <w:jc w:val="center"/>
              <w:rPr>
                <w:rFonts w:eastAsia="Arial" w:cs="Arial"/>
              </w:rPr>
            </w:pPr>
            <w:r w:rsidRPr="00D10954">
              <w:rPr>
                <w:rFonts w:eastAsia="Arial" w:cs="Arial"/>
                <w:b/>
                <w:bCs/>
              </w:rPr>
              <w:t>Percentile</w:t>
            </w:r>
          </w:p>
        </w:tc>
        <w:tc>
          <w:tcPr>
            <w:tcW w:w="4980" w:type="dxa"/>
            <w:tcBorders>
              <w:top w:val="single" w:sz="6" w:space="0" w:color="auto"/>
              <w:right w:val="single" w:sz="6" w:space="0" w:color="auto"/>
            </w:tcBorders>
            <w:tcMar>
              <w:left w:w="105" w:type="dxa"/>
              <w:right w:w="105" w:type="dxa"/>
            </w:tcMar>
            <w:vAlign w:val="center"/>
          </w:tcPr>
          <w:p w14:paraId="179D2804" w14:textId="1ABD7760" w:rsidR="6944AD4D" w:rsidRPr="00D10954" w:rsidRDefault="6944AD4D" w:rsidP="6944AD4D">
            <w:pPr>
              <w:spacing w:after="0"/>
              <w:jc w:val="center"/>
              <w:rPr>
                <w:rFonts w:eastAsia="Arial" w:cs="Arial"/>
                <w:color w:val="000000" w:themeColor="text1"/>
              </w:rPr>
            </w:pPr>
            <w:r w:rsidRPr="00D10954">
              <w:rPr>
                <w:rFonts w:eastAsia="Arial" w:cs="Arial"/>
                <w:b/>
                <w:bCs/>
                <w:color w:val="000000" w:themeColor="text1"/>
              </w:rPr>
              <w:t>Difference from Prior Year to Current Year</w:t>
            </w:r>
          </w:p>
        </w:tc>
      </w:tr>
      <w:tr w:rsidR="6944AD4D" w:rsidRPr="00D10954" w14:paraId="55A8D22C" w14:textId="77777777" w:rsidTr="00F345FB">
        <w:trPr>
          <w:cantSplit/>
          <w:trHeight w:val="300"/>
          <w:jc w:val="center"/>
        </w:trPr>
        <w:tc>
          <w:tcPr>
            <w:tcW w:w="1575" w:type="dxa"/>
            <w:tcBorders>
              <w:left w:val="single" w:sz="6" w:space="0" w:color="auto"/>
            </w:tcBorders>
            <w:tcMar>
              <w:left w:w="105" w:type="dxa"/>
              <w:right w:w="105" w:type="dxa"/>
            </w:tcMar>
            <w:vAlign w:val="center"/>
          </w:tcPr>
          <w:p w14:paraId="71E3FF0A" w14:textId="23B38F75" w:rsidR="6944AD4D" w:rsidRPr="00D10954" w:rsidRDefault="6944AD4D" w:rsidP="6944AD4D">
            <w:pPr>
              <w:spacing w:after="0"/>
              <w:ind w:left="60" w:right="60"/>
              <w:jc w:val="center"/>
              <w:rPr>
                <w:rFonts w:eastAsia="Arial" w:cs="Arial"/>
              </w:rPr>
            </w:pPr>
            <w:r w:rsidRPr="00D10954">
              <w:rPr>
                <w:rFonts w:eastAsia="Arial" w:cs="Arial"/>
              </w:rPr>
              <w:t>95</w:t>
            </w:r>
          </w:p>
        </w:tc>
        <w:tc>
          <w:tcPr>
            <w:tcW w:w="4980" w:type="dxa"/>
            <w:tcBorders>
              <w:right w:val="single" w:sz="6" w:space="0" w:color="auto"/>
            </w:tcBorders>
            <w:tcMar>
              <w:left w:w="105" w:type="dxa"/>
              <w:right w:w="105" w:type="dxa"/>
            </w:tcMar>
            <w:vAlign w:val="center"/>
          </w:tcPr>
          <w:p w14:paraId="715886AD" w14:textId="541716A6" w:rsidR="45461FFD" w:rsidRPr="00D10954" w:rsidRDefault="45461FFD" w:rsidP="6944AD4D">
            <w:pPr>
              <w:spacing w:after="0"/>
              <w:ind w:left="60" w:right="60"/>
              <w:jc w:val="center"/>
              <w:rPr>
                <w:rFonts w:eastAsia="Arial" w:cs="Arial"/>
                <w:color w:val="000000" w:themeColor="text1"/>
              </w:rPr>
            </w:pPr>
            <w:r w:rsidRPr="00D10954">
              <w:rPr>
                <w:rFonts w:eastAsia="Arial" w:cs="Arial"/>
                <w:color w:val="000000" w:themeColor="text1"/>
              </w:rPr>
              <w:t>9.1%</w:t>
            </w:r>
          </w:p>
        </w:tc>
      </w:tr>
      <w:tr w:rsidR="6944AD4D" w:rsidRPr="00D10954" w14:paraId="695E98E6" w14:textId="77777777" w:rsidTr="00F345FB">
        <w:trPr>
          <w:cantSplit/>
          <w:trHeight w:val="300"/>
          <w:jc w:val="center"/>
        </w:trPr>
        <w:tc>
          <w:tcPr>
            <w:tcW w:w="1575" w:type="dxa"/>
            <w:tcBorders>
              <w:left w:val="single" w:sz="6" w:space="0" w:color="auto"/>
            </w:tcBorders>
            <w:tcMar>
              <w:left w:w="105" w:type="dxa"/>
              <w:right w:w="105" w:type="dxa"/>
            </w:tcMar>
            <w:vAlign w:val="center"/>
          </w:tcPr>
          <w:p w14:paraId="553625DB" w14:textId="1B79FF11" w:rsidR="6944AD4D" w:rsidRPr="00D10954" w:rsidRDefault="6944AD4D" w:rsidP="6944AD4D">
            <w:pPr>
              <w:spacing w:after="0"/>
              <w:ind w:left="60" w:right="60"/>
              <w:jc w:val="center"/>
              <w:rPr>
                <w:rFonts w:eastAsia="Arial" w:cs="Arial"/>
              </w:rPr>
            </w:pPr>
            <w:r w:rsidRPr="00D10954">
              <w:rPr>
                <w:rFonts w:eastAsia="Arial" w:cs="Arial"/>
              </w:rPr>
              <w:t>90</w:t>
            </w:r>
          </w:p>
        </w:tc>
        <w:tc>
          <w:tcPr>
            <w:tcW w:w="4980" w:type="dxa"/>
            <w:tcBorders>
              <w:right w:val="single" w:sz="6" w:space="0" w:color="auto"/>
            </w:tcBorders>
            <w:tcMar>
              <w:left w:w="105" w:type="dxa"/>
              <w:right w:w="105" w:type="dxa"/>
            </w:tcMar>
            <w:vAlign w:val="center"/>
          </w:tcPr>
          <w:p w14:paraId="2B02C82A" w14:textId="5BD74FD7" w:rsidR="24989296" w:rsidRPr="00D10954" w:rsidRDefault="24989296" w:rsidP="6944AD4D">
            <w:pPr>
              <w:spacing w:after="0"/>
              <w:ind w:left="60" w:right="60"/>
              <w:jc w:val="center"/>
              <w:rPr>
                <w:rFonts w:eastAsia="Arial" w:cs="Arial"/>
                <w:color w:val="000000" w:themeColor="text1"/>
              </w:rPr>
            </w:pPr>
            <w:r w:rsidRPr="00D10954">
              <w:rPr>
                <w:rFonts w:eastAsia="Arial" w:cs="Arial"/>
                <w:color w:val="000000" w:themeColor="text1"/>
              </w:rPr>
              <w:t>5.5%</w:t>
            </w:r>
          </w:p>
        </w:tc>
      </w:tr>
      <w:tr w:rsidR="6944AD4D" w:rsidRPr="00D10954" w14:paraId="0437690C" w14:textId="77777777" w:rsidTr="00F345FB">
        <w:trPr>
          <w:cantSplit/>
          <w:trHeight w:val="300"/>
          <w:jc w:val="center"/>
        </w:trPr>
        <w:tc>
          <w:tcPr>
            <w:tcW w:w="1575" w:type="dxa"/>
            <w:tcBorders>
              <w:left w:val="single" w:sz="6" w:space="0" w:color="auto"/>
            </w:tcBorders>
            <w:tcMar>
              <w:left w:w="105" w:type="dxa"/>
              <w:right w:w="105" w:type="dxa"/>
            </w:tcMar>
            <w:vAlign w:val="center"/>
          </w:tcPr>
          <w:p w14:paraId="3A71E638" w14:textId="22206362" w:rsidR="6944AD4D" w:rsidRPr="00D10954" w:rsidRDefault="6944AD4D" w:rsidP="6944AD4D">
            <w:pPr>
              <w:spacing w:after="0"/>
              <w:ind w:left="60" w:right="60"/>
              <w:jc w:val="center"/>
              <w:rPr>
                <w:rFonts w:eastAsia="Arial" w:cs="Arial"/>
              </w:rPr>
            </w:pPr>
            <w:r w:rsidRPr="00D10954">
              <w:rPr>
                <w:rFonts w:eastAsia="Arial" w:cs="Arial"/>
              </w:rPr>
              <w:t>85</w:t>
            </w:r>
          </w:p>
        </w:tc>
        <w:tc>
          <w:tcPr>
            <w:tcW w:w="4980" w:type="dxa"/>
            <w:tcBorders>
              <w:right w:val="single" w:sz="6" w:space="0" w:color="auto"/>
            </w:tcBorders>
            <w:tcMar>
              <w:left w:w="105" w:type="dxa"/>
              <w:right w:w="105" w:type="dxa"/>
            </w:tcMar>
            <w:vAlign w:val="center"/>
          </w:tcPr>
          <w:p w14:paraId="780810A8" w14:textId="417E3FB6" w:rsidR="7B97C12C" w:rsidRPr="00D10954" w:rsidRDefault="7B97C12C" w:rsidP="6944AD4D">
            <w:pPr>
              <w:spacing w:after="0"/>
              <w:ind w:left="60" w:right="60"/>
              <w:jc w:val="center"/>
              <w:rPr>
                <w:rFonts w:eastAsia="Arial" w:cs="Arial"/>
                <w:color w:val="000000" w:themeColor="text1"/>
              </w:rPr>
            </w:pPr>
            <w:r w:rsidRPr="00D10954">
              <w:rPr>
                <w:rFonts w:eastAsia="Arial" w:cs="Arial"/>
                <w:color w:val="000000" w:themeColor="text1"/>
              </w:rPr>
              <w:t>3.5%</w:t>
            </w:r>
          </w:p>
        </w:tc>
      </w:tr>
      <w:tr w:rsidR="6944AD4D" w:rsidRPr="00D10954" w14:paraId="25094E4E" w14:textId="77777777" w:rsidTr="00F345FB">
        <w:trPr>
          <w:cantSplit/>
          <w:trHeight w:val="300"/>
          <w:jc w:val="center"/>
        </w:trPr>
        <w:tc>
          <w:tcPr>
            <w:tcW w:w="1575" w:type="dxa"/>
            <w:tcBorders>
              <w:left w:val="single" w:sz="6" w:space="0" w:color="auto"/>
            </w:tcBorders>
            <w:tcMar>
              <w:left w:w="105" w:type="dxa"/>
              <w:right w:w="105" w:type="dxa"/>
            </w:tcMar>
            <w:vAlign w:val="center"/>
          </w:tcPr>
          <w:p w14:paraId="1E6D75CE" w14:textId="5EFBC9DE" w:rsidR="6944AD4D" w:rsidRPr="00D10954" w:rsidRDefault="6944AD4D" w:rsidP="6944AD4D">
            <w:pPr>
              <w:spacing w:after="0"/>
              <w:ind w:left="60" w:right="60"/>
              <w:jc w:val="center"/>
              <w:rPr>
                <w:rFonts w:eastAsia="Arial" w:cs="Arial"/>
              </w:rPr>
            </w:pPr>
            <w:r w:rsidRPr="00D10954">
              <w:rPr>
                <w:rFonts w:eastAsia="Arial" w:cs="Arial"/>
              </w:rPr>
              <w:t>80</w:t>
            </w:r>
          </w:p>
        </w:tc>
        <w:tc>
          <w:tcPr>
            <w:tcW w:w="4980" w:type="dxa"/>
            <w:tcBorders>
              <w:right w:val="single" w:sz="6" w:space="0" w:color="auto"/>
            </w:tcBorders>
            <w:tcMar>
              <w:left w:w="105" w:type="dxa"/>
              <w:right w:w="105" w:type="dxa"/>
            </w:tcMar>
            <w:vAlign w:val="center"/>
          </w:tcPr>
          <w:p w14:paraId="0B0AEEB9" w14:textId="0F8E4D0F" w:rsidR="65AA7107" w:rsidRPr="00D10954" w:rsidRDefault="65AA7107" w:rsidP="6944AD4D">
            <w:pPr>
              <w:spacing w:after="0"/>
              <w:ind w:left="60" w:right="60"/>
              <w:jc w:val="center"/>
              <w:rPr>
                <w:rFonts w:eastAsia="Arial" w:cs="Arial"/>
                <w:color w:val="000000" w:themeColor="text1"/>
              </w:rPr>
            </w:pPr>
            <w:r w:rsidRPr="00D10954">
              <w:rPr>
                <w:rFonts w:eastAsia="Arial" w:cs="Arial"/>
                <w:color w:val="000000" w:themeColor="text1"/>
              </w:rPr>
              <w:t>2.7%</w:t>
            </w:r>
          </w:p>
        </w:tc>
      </w:tr>
      <w:tr w:rsidR="6944AD4D" w:rsidRPr="00D10954" w14:paraId="32F1101D" w14:textId="77777777" w:rsidTr="00F345FB">
        <w:trPr>
          <w:cantSplit/>
          <w:trHeight w:val="300"/>
          <w:jc w:val="center"/>
        </w:trPr>
        <w:tc>
          <w:tcPr>
            <w:tcW w:w="1575" w:type="dxa"/>
            <w:tcBorders>
              <w:left w:val="single" w:sz="6" w:space="0" w:color="auto"/>
            </w:tcBorders>
            <w:tcMar>
              <w:left w:w="105" w:type="dxa"/>
              <w:right w:w="105" w:type="dxa"/>
            </w:tcMar>
            <w:vAlign w:val="center"/>
          </w:tcPr>
          <w:p w14:paraId="38BD5713" w14:textId="215A49FA" w:rsidR="6944AD4D" w:rsidRPr="00D10954" w:rsidRDefault="6944AD4D" w:rsidP="6944AD4D">
            <w:pPr>
              <w:spacing w:after="0"/>
              <w:ind w:left="60" w:right="60"/>
              <w:jc w:val="center"/>
              <w:rPr>
                <w:rFonts w:eastAsia="Arial" w:cs="Arial"/>
              </w:rPr>
            </w:pPr>
            <w:r w:rsidRPr="00D10954">
              <w:rPr>
                <w:rFonts w:eastAsia="Arial" w:cs="Arial"/>
              </w:rPr>
              <w:t>75</w:t>
            </w:r>
          </w:p>
        </w:tc>
        <w:tc>
          <w:tcPr>
            <w:tcW w:w="4980" w:type="dxa"/>
            <w:tcBorders>
              <w:right w:val="single" w:sz="6" w:space="0" w:color="auto"/>
            </w:tcBorders>
            <w:tcMar>
              <w:left w:w="105" w:type="dxa"/>
              <w:right w:w="105" w:type="dxa"/>
            </w:tcMar>
            <w:vAlign w:val="center"/>
          </w:tcPr>
          <w:p w14:paraId="0669AC3C" w14:textId="7FCD5827" w:rsidR="374823A0" w:rsidRPr="00D10954" w:rsidRDefault="374823A0" w:rsidP="6944AD4D">
            <w:pPr>
              <w:spacing w:after="0"/>
              <w:ind w:left="60" w:right="60"/>
              <w:jc w:val="center"/>
              <w:rPr>
                <w:rFonts w:eastAsia="Arial" w:cs="Arial"/>
                <w:color w:val="000000" w:themeColor="text1"/>
              </w:rPr>
            </w:pPr>
            <w:r w:rsidRPr="00D10954">
              <w:rPr>
                <w:rFonts w:eastAsia="Arial" w:cs="Arial"/>
                <w:color w:val="000000" w:themeColor="text1"/>
              </w:rPr>
              <w:t>2.2%</w:t>
            </w:r>
          </w:p>
        </w:tc>
      </w:tr>
      <w:tr w:rsidR="6944AD4D" w:rsidRPr="00D10954" w14:paraId="1400F054" w14:textId="77777777" w:rsidTr="00F345FB">
        <w:trPr>
          <w:cantSplit/>
          <w:trHeight w:val="300"/>
          <w:jc w:val="center"/>
        </w:trPr>
        <w:tc>
          <w:tcPr>
            <w:tcW w:w="1575" w:type="dxa"/>
            <w:tcBorders>
              <w:left w:val="single" w:sz="6" w:space="0" w:color="auto"/>
            </w:tcBorders>
            <w:tcMar>
              <w:left w:w="105" w:type="dxa"/>
              <w:right w:w="105" w:type="dxa"/>
            </w:tcMar>
            <w:vAlign w:val="center"/>
          </w:tcPr>
          <w:p w14:paraId="4B102476" w14:textId="10946438" w:rsidR="6944AD4D" w:rsidRPr="00D10954" w:rsidRDefault="6944AD4D" w:rsidP="6944AD4D">
            <w:pPr>
              <w:spacing w:after="0"/>
              <w:ind w:left="60" w:right="60"/>
              <w:jc w:val="center"/>
              <w:rPr>
                <w:rFonts w:eastAsia="Arial" w:cs="Arial"/>
              </w:rPr>
            </w:pPr>
            <w:r w:rsidRPr="00D10954">
              <w:rPr>
                <w:rFonts w:eastAsia="Arial" w:cs="Arial"/>
              </w:rPr>
              <w:t>70</w:t>
            </w:r>
          </w:p>
        </w:tc>
        <w:tc>
          <w:tcPr>
            <w:tcW w:w="4980" w:type="dxa"/>
            <w:tcBorders>
              <w:right w:val="single" w:sz="6" w:space="0" w:color="auto"/>
            </w:tcBorders>
            <w:tcMar>
              <w:left w:w="105" w:type="dxa"/>
              <w:right w:w="105" w:type="dxa"/>
            </w:tcMar>
            <w:vAlign w:val="center"/>
          </w:tcPr>
          <w:p w14:paraId="0E72EEFA" w14:textId="3E2BD692" w:rsidR="7C2935DF" w:rsidRPr="00D10954" w:rsidRDefault="7C2935DF" w:rsidP="6944AD4D">
            <w:pPr>
              <w:spacing w:after="0"/>
              <w:ind w:left="60" w:right="60"/>
              <w:jc w:val="center"/>
              <w:rPr>
                <w:rFonts w:eastAsia="Arial" w:cs="Arial"/>
                <w:color w:val="000000" w:themeColor="text1"/>
              </w:rPr>
            </w:pPr>
            <w:r w:rsidRPr="00D10954">
              <w:rPr>
                <w:rFonts w:eastAsia="Arial" w:cs="Arial"/>
                <w:color w:val="000000" w:themeColor="text1"/>
              </w:rPr>
              <w:t>1.7%</w:t>
            </w:r>
          </w:p>
        </w:tc>
      </w:tr>
      <w:tr w:rsidR="6944AD4D" w:rsidRPr="00D10954" w14:paraId="001D625F" w14:textId="77777777" w:rsidTr="00F345FB">
        <w:trPr>
          <w:cantSplit/>
          <w:trHeight w:val="300"/>
          <w:jc w:val="center"/>
        </w:trPr>
        <w:tc>
          <w:tcPr>
            <w:tcW w:w="1575" w:type="dxa"/>
            <w:tcBorders>
              <w:left w:val="single" w:sz="6" w:space="0" w:color="auto"/>
            </w:tcBorders>
            <w:tcMar>
              <w:left w:w="105" w:type="dxa"/>
              <w:right w:w="105" w:type="dxa"/>
            </w:tcMar>
            <w:vAlign w:val="center"/>
          </w:tcPr>
          <w:p w14:paraId="097EF616" w14:textId="20D34F0B" w:rsidR="6944AD4D" w:rsidRPr="00D10954" w:rsidRDefault="6944AD4D" w:rsidP="6944AD4D">
            <w:pPr>
              <w:spacing w:after="0"/>
              <w:ind w:left="60" w:right="60"/>
              <w:jc w:val="center"/>
              <w:rPr>
                <w:rFonts w:eastAsia="Arial" w:cs="Arial"/>
              </w:rPr>
            </w:pPr>
            <w:r w:rsidRPr="00D10954">
              <w:rPr>
                <w:rFonts w:eastAsia="Arial" w:cs="Arial"/>
              </w:rPr>
              <w:t>65</w:t>
            </w:r>
          </w:p>
        </w:tc>
        <w:tc>
          <w:tcPr>
            <w:tcW w:w="4980" w:type="dxa"/>
            <w:tcBorders>
              <w:right w:val="single" w:sz="6" w:space="0" w:color="auto"/>
            </w:tcBorders>
            <w:tcMar>
              <w:left w:w="105" w:type="dxa"/>
              <w:right w:w="105" w:type="dxa"/>
            </w:tcMar>
            <w:vAlign w:val="center"/>
          </w:tcPr>
          <w:p w14:paraId="64CDC8DC" w14:textId="6BDA3D48" w:rsidR="5B47E341" w:rsidRPr="00D10954" w:rsidRDefault="5B47E341" w:rsidP="6944AD4D">
            <w:pPr>
              <w:spacing w:after="0"/>
              <w:ind w:left="60" w:right="60"/>
              <w:jc w:val="center"/>
              <w:rPr>
                <w:rFonts w:eastAsia="Arial" w:cs="Arial"/>
                <w:color w:val="000000" w:themeColor="text1"/>
              </w:rPr>
            </w:pPr>
            <w:r w:rsidRPr="00D10954">
              <w:rPr>
                <w:rFonts w:eastAsia="Arial" w:cs="Arial"/>
                <w:color w:val="000000" w:themeColor="text1"/>
              </w:rPr>
              <w:t>1.3%</w:t>
            </w:r>
          </w:p>
        </w:tc>
      </w:tr>
      <w:tr w:rsidR="6944AD4D" w:rsidRPr="00D10954" w14:paraId="0282781F" w14:textId="77777777" w:rsidTr="00F345FB">
        <w:trPr>
          <w:cantSplit/>
          <w:trHeight w:val="300"/>
          <w:jc w:val="center"/>
        </w:trPr>
        <w:tc>
          <w:tcPr>
            <w:tcW w:w="1575" w:type="dxa"/>
            <w:tcBorders>
              <w:left w:val="single" w:sz="6" w:space="0" w:color="auto"/>
            </w:tcBorders>
            <w:tcMar>
              <w:left w:w="105" w:type="dxa"/>
              <w:right w:w="105" w:type="dxa"/>
            </w:tcMar>
            <w:vAlign w:val="center"/>
          </w:tcPr>
          <w:p w14:paraId="66C47458" w14:textId="128A8548" w:rsidR="6944AD4D" w:rsidRPr="00D10954" w:rsidRDefault="6944AD4D" w:rsidP="6944AD4D">
            <w:pPr>
              <w:spacing w:after="0"/>
              <w:ind w:left="60" w:right="60"/>
              <w:jc w:val="center"/>
              <w:rPr>
                <w:rFonts w:eastAsia="Arial" w:cs="Arial"/>
              </w:rPr>
            </w:pPr>
            <w:r w:rsidRPr="00D10954">
              <w:rPr>
                <w:rFonts w:eastAsia="Arial" w:cs="Arial"/>
              </w:rPr>
              <w:t>60</w:t>
            </w:r>
          </w:p>
        </w:tc>
        <w:tc>
          <w:tcPr>
            <w:tcW w:w="4980" w:type="dxa"/>
            <w:tcBorders>
              <w:right w:val="single" w:sz="6" w:space="0" w:color="auto"/>
            </w:tcBorders>
            <w:tcMar>
              <w:left w:w="105" w:type="dxa"/>
              <w:right w:w="105" w:type="dxa"/>
            </w:tcMar>
            <w:vAlign w:val="center"/>
          </w:tcPr>
          <w:p w14:paraId="03361234" w14:textId="592FDCD3" w:rsidR="7C2AA59F" w:rsidRPr="00D10954" w:rsidRDefault="7C2AA59F" w:rsidP="6944AD4D">
            <w:pPr>
              <w:spacing w:after="0"/>
              <w:ind w:left="60" w:right="60"/>
              <w:jc w:val="center"/>
              <w:rPr>
                <w:rFonts w:eastAsia="Arial" w:cs="Arial"/>
                <w:color w:val="000000" w:themeColor="text1"/>
              </w:rPr>
            </w:pPr>
            <w:r w:rsidRPr="00D10954">
              <w:rPr>
                <w:rFonts w:eastAsia="Arial" w:cs="Arial"/>
                <w:color w:val="000000" w:themeColor="text1"/>
              </w:rPr>
              <w:t>1.0%</w:t>
            </w:r>
          </w:p>
        </w:tc>
      </w:tr>
      <w:tr w:rsidR="6944AD4D" w:rsidRPr="00D10954" w14:paraId="65DF38AE" w14:textId="77777777" w:rsidTr="00F345FB">
        <w:trPr>
          <w:cantSplit/>
          <w:trHeight w:val="300"/>
          <w:jc w:val="center"/>
        </w:trPr>
        <w:tc>
          <w:tcPr>
            <w:tcW w:w="1575" w:type="dxa"/>
            <w:tcBorders>
              <w:left w:val="single" w:sz="6" w:space="0" w:color="auto"/>
            </w:tcBorders>
            <w:tcMar>
              <w:left w:w="105" w:type="dxa"/>
              <w:right w:w="105" w:type="dxa"/>
            </w:tcMar>
            <w:vAlign w:val="center"/>
          </w:tcPr>
          <w:p w14:paraId="42DDF985" w14:textId="1EFEDF3E" w:rsidR="6944AD4D" w:rsidRPr="00D10954" w:rsidRDefault="6944AD4D" w:rsidP="6944AD4D">
            <w:pPr>
              <w:spacing w:after="0"/>
              <w:ind w:left="60" w:right="60"/>
              <w:jc w:val="center"/>
              <w:rPr>
                <w:rFonts w:eastAsia="Arial" w:cs="Arial"/>
              </w:rPr>
            </w:pPr>
            <w:r w:rsidRPr="00D10954">
              <w:rPr>
                <w:rFonts w:eastAsia="Arial" w:cs="Arial"/>
              </w:rPr>
              <w:t>55</w:t>
            </w:r>
          </w:p>
        </w:tc>
        <w:tc>
          <w:tcPr>
            <w:tcW w:w="4980" w:type="dxa"/>
            <w:tcBorders>
              <w:right w:val="single" w:sz="6" w:space="0" w:color="auto"/>
            </w:tcBorders>
            <w:tcMar>
              <w:left w:w="105" w:type="dxa"/>
              <w:right w:w="105" w:type="dxa"/>
            </w:tcMar>
            <w:vAlign w:val="center"/>
          </w:tcPr>
          <w:p w14:paraId="6A8D23F4" w14:textId="7DBB62C8" w:rsidR="3165BF5E" w:rsidRPr="00D10954" w:rsidRDefault="3165BF5E" w:rsidP="6944AD4D">
            <w:pPr>
              <w:spacing w:after="0"/>
              <w:ind w:left="60" w:right="60"/>
              <w:jc w:val="center"/>
              <w:rPr>
                <w:rFonts w:eastAsia="Arial" w:cs="Arial"/>
                <w:color w:val="000000" w:themeColor="text1"/>
              </w:rPr>
            </w:pPr>
            <w:r w:rsidRPr="00D10954">
              <w:rPr>
                <w:rFonts w:eastAsia="Arial" w:cs="Arial"/>
                <w:color w:val="000000" w:themeColor="text1"/>
              </w:rPr>
              <w:t>0.6%</w:t>
            </w:r>
          </w:p>
        </w:tc>
      </w:tr>
      <w:tr w:rsidR="6944AD4D" w:rsidRPr="00D10954" w14:paraId="2D335112" w14:textId="77777777" w:rsidTr="00F345FB">
        <w:trPr>
          <w:cantSplit/>
          <w:trHeight w:val="300"/>
          <w:jc w:val="center"/>
        </w:trPr>
        <w:tc>
          <w:tcPr>
            <w:tcW w:w="1575" w:type="dxa"/>
            <w:tcBorders>
              <w:left w:val="single" w:sz="6" w:space="0" w:color="auto"/>
            </w:tcBorders>
            <w:tcMar>
              <w:left w:w="105" w:type="dxa"/>
              <w:right w:w="105" w:type="dxa"/>
            </w:tcMar>
            <w:vAlign w:val="center"/>
          </w:tcPr>
          <w:p w14:paraId="103A1A3D" w14:textId="7985F46F" w:rsidR="6944AD4D" w:rsidRPr="00D10954" w:rsidRDefault="6944AD4D" w:rsidP="6944AD4D">
            <w:pPr>
              <w:spacing w:after="0"/>
              <w:ind w:left="60" w:right="60"/>
              <w:jc w:val="center"/>
              <w:rPr>
                <w:rFonts w:eastAsia="Arial" w:cs="Arial"/>
              </w:rPr>
            </w:pPr>
            <w:r w:rsidRPr="00D10954">
              <w:rPr>
                <w:rFonts w:eastAsia="Arial" w:cs="Arial"/>
              </w:rPr>
              <w:t>50</w:t>
            </w:r>
          </w:p>
        </w:tc>
        <w:tc>
          <w:tcPr>
            <w:tcW w:w="4980" w:type="dxa"/>
            <w:tcBorders>
              <w:right w:val="single" w:sz="6" w:space="0" w:color="auto"/>
            </w:tcBorders>
            <w:tcMar>
              <w:left w:w="105" w:type="dxa"/>
              <w:right w:w="105" w:type="dxa"/>
            </w:tcMar>
            <w:vAlign w:val="center"/>
          </w:tcPr>
          <w:p w14:paraId="49C6EC82" w14:textId="0219ED34"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0.</w:t>
            </w:r>
            <w:r w:rsidR="2B833CC7" w:rsidRPr="00D10954">
              <w:rPr>
                <w:rFonts w:eastAsia="Arial" w:cs="Arial"/>
                <w:color w:val="000000" w:themeColor="text1"/>
              </w:rPr>
              <w:t>3</w:t>
            </w:r>
            <w:r w:rsidRPr="00D10954">
              <w:rPr>
                <w:rFonts w:eastAsia="Arial" w:cs="Arial"/>
                <w:color w:val="000000" w:themeColor="text1"/>
              </w:rPr>
              <w:t>%</w:t>
            </w:r>
          </w:p>
        </w:tc>
      </w:tr>
      <w:tr w:rsidR="6944AD4D" w:rsidRPr="00D10954" w14:paraId="4B9E1431" w14:textId="77777777" w:rsidTr="00F345FB">
        <w:trPr>
          <w:cantSplit/>
          <w:trHeight w:val="300"/>
          <w:jc w:val="center"/>
        </w:trPr>
        <w:tc>
          <w:tcPr>
            <w:tcW w:w="1575" w:type="dxa"/>
            <w:tcBorders>
              <w:left w:val="single" w:sz="6" w:space="0" w:color="auto"/>
            </w:tcBorders>
            <w:tcMar>
              <w:left w:w="105" w:type="dxa"/>
              <w:right w:w="105" w:type="dxa"/>
            </w:tcMar>
            <w:vAlign w:val="center"/>
          </w:tcPr>
          <w:p w14:paraId="087AA981" w14:textId="4ECA8018" w:rsidR="6944AD4D" w:rsidRPr="00D10954" w:rsidRDefault="6944AD4D" w:rsidP="6944AD4D">
            <w:pPr>
              <w:spacing w:after="0"/>
              <w:ind w:left="60" w:right="60"/>
              <w:jc w:val="center"/>
              <w:rPr>
                <w:rFonts w:eastAsia="Arial" w:cs="Arial"/>
              </w:rPr>
            </w:pPr>
            <w:r w:rsidRPr="00D10954">
              <w:rPr>
                <w:rFonts w:eastAsia="Arial" w:cs="Arial"/>
              </w:rPr>
              <w:t>45</w:t>
            </w:r>
          </w:p>
        </w:tc>
        <w:tc>
          <w:tcPr>
            <w:tcW w:w="4980" w:type="dxa"/>
            <w:tcBorders>
              <w:right w:val="single" w:sz="6" w:space="0" w:color="auto"/>
            </w:tcBorders>
            <w:tcMar>
              <w:left w:w="105" w:type="dxa"/>
              <w:right w:w="105" w:type="dxa"/>
            </w:tcMar>
            <w:vAlign w:val="center"/>
          </w:tcPr>
          <w:p w14:paraId="6669AEC0" w14:textId="1C66ABF6" w:rsidR="518F7B25" w:rsidRPr="00D10954" w:rsidRDefault="518F7B25" w:rsidP="6944AD4D">
            <w:pPr>
              <w:spacing w:after="0"/>
              <w:ind w:left="60" w:right="60"/>
              <w:jc w:val="center"/>
              <w:rPr>
                <w:rFonts w:eastAsia="Arial" w:cs="Arial"/>
                <w:color w:val="000000" w:themeColor="text1"/>
              </w:rPr>
            </w:pPr>
            <w:r w:rsidRPr="00D10954">
              <w:rPr>
                <w:rFonts w:eastAsia="Arial" w:cs="Arial"/>
                <w:color w:val="000000" w:themeColor="text1"/>
              </w:rPr>
              <w:t>0.0%</w:t>
            </w:r>
          </w:p>
        </w:tc>
      </w:tr>
      <w:tr w:rsidR="6944AD4D" w:rsidRPr="00D10954" w14:paraId="2E315A21" w14:textId="77777777" w:rsidTr="00F345FB">
        <w:trPr>
          <w:cantSplit/>
          <w:trHeight w:val="300"/>
          <w:jc w:val="center"/>
        </w:trPr>
        <w:tc>
          <w:tcPr>
            <w:tcW w:w="1575" w:type="dxa"/>
            <w:tcBorders>
              <w:left w:val="single" w:sz="6" w:space="0" w:color="auto"/>
            </w:tcBorders>
            <w:tcMar>
              <w:left w:w="105" w:type="dxa"/>
              <w:right w:w="105" w:type="dxa"/>
            </w:tcMar>
            <w:vAlign w:val="center"/>
          </w:tcPr>
          <w:p w14:paraId="5F9F26D0" w14:textId="4B0F30ED" w:rsidR="6944AD4D" w:rsidRPr="00D10954" w:rsidRDefault="6944AD4D" w:rsidP="6944AD4D">
            <w:pPr>
              <w:spacing w:after="0"/>
              <w:ind w:left="60" w:right="60"/>
              <w:jc w:val="center"/>
              <w:rPr>
                <w:rFonts w:eastAsia="Arial" w:cs="Arial"/>
              </w:rPr>
            </w:pPr>
            <w:r w:rsidRPr="00D10954">
              <w:rPr>
                <w:rFonts w:eastAsia="Arial" w:cs="Arial"/>
              </w:rPr>
              <w:t>40</w:t>
            </w:r>
          </w:p>
        </w:tc>
        <w:tc>
          <w:tcPr>
            <w:tcW w:w="4980" w:type="dxa"/>
            <w:tcBorders>
              <w:right w:val="single" w:sz="6" w:space="0" w:color="auto"/>
            </w:tcBorders>
            <w:tcMar>
              <w:left w:w="105" w:type="dxa"/>
              <w:right w:w="105" w:type="dxa"/>
            </w:tcMar>
            <w:vAlign w:val="center"/>
          </w:tcPr>
          <w:p w14:paraId="270EFBBF" w14:textId="418DA3AB" w:rsidR="05B35C7E" w:rsidRPr="00D10954" w:rsidRDefault="05B35C7E" w:rsidP="6944AD4D">
            <w:pPr>
              <w:spacing w:after="0"/>
              <w:ind w:left="60" w:right="60"/>
              <w:jc w:val="center"/>
              <w:rPr>
                <w:rFonts w:eastAsia="Arial" w:cs="Arial"/>
                <w:color w:val="000000" w:themeColor="text1"/>
              </w:rPr>
            </w:pPr>
            <w:r w:rsidRPr="00D10954">
              <w:rPr>
                <w:rFonts w:eastAsia="Arial" w:cs="Arial"/>
                <w:color w:val="000000" w:themeColor="text1"/>
              </w:rPr>
              <w:t>-0.3%</w:t>
            </w:r>
          </w:p>
        </w:tc>
      </w:tr>
      <w:tr w:rsidR="6944AD4D" w:rsidRPr="00D10954" w14:paraId="71F8DB51" w14:textId="77777777" w:rsidTr="00F345FB">
        <w:trPr>
          <w:cantSplit/>
          <w:trHeight w:val="300"/>
          <w:jc w:val="center"/>
        </w:trPr>
        <w:tc>
          <w:tcPr>
            <w:tcW w:w="1575" w:type="dxa"/>
            <w:tcBorders>
              <w:left w:val="single" w:sz="6" w:space="0" w:color="auto"/>
            </w:tcBorders>
            <w:tcMar>
              <w:left w:w="105" w:type="dxa"/>
              <w:right w:w="105" w:type="dxa"/>
            </w:tcMar>
            <w:vAlign w:val="center"/>
          </w:tcPr>
          <w:p w14:paraId="599B358D" w14:textId="7CA094AF" w:rsidR="6944AD4D" w:rsidRPr="00D10954" w:rsidRDefault="6944AD4D" w:rsidP="6944AD4D">
            <w:pPr>
              <w:spacing w:after="0"/>
              <w:ind w:left="60" w:right="60"/>
              <w:jc w:val="center"/>
              <w:rPr>
                <w:rFonts w:eastAsia="Arial" w:cs="Arial"/>
              </w:rPr>
            </w:pPr>
            <w:r w:rsidRPr="00D10954">
              <w:rPr>
                <w:rFonts w:eastAsia="Arial" w:cs="Arial"/>
              </w:rPr>
              <w:t>35</w:t>
            </w:r>
          </w:p>
        </w:tc>
        <w:tc>
          <w:tcPr>
            <w:tcW w:w="4980" w:type="dxa"/>
            <w:tcBorders>
              <w:right w:val="single" w:sz="6" w:space="0" w:color="auto"/>
            </w:tcBorders>
            <w:tcMar>
              <w:left w:w="105" w:type="dxa"/>
              <w:right w:w="105" w:type="dxa"/>
            </w:tcMar>
            <w:vAlign w:val="center"/>
          </w:tcPr>
          <w:p w14:paraId="1B0E395B" w14:textId="2B54DDCF" w:rsidR="001296C2" w:rsidRPr="00D10954" w:rsidRDefault="001296C2" w:rsidP="6944AD4D">
            <w:pPr>
              <w:spacing w:after="0"/>
              <w:ind w:left="60" w:right="60"/>
              <w:jc w:val="center"/>
              <w:rPr>
                <w:rFonts w:eastAsia="Arial" w:cs="Arial"/>
                <w:color w:val="000000" w:themeColor="text1"/>
              </w:rPr>
            </w:pPr>
            <w:r w:rsidRPr="00D10954">
              <w:rPr>
                <w:rFonts w:eastAsia="Arial" w:cs="Arial"/>
                <w:color w:val="000000" w:themeColor="text1"/>
              </w:rPr>
              <w:t>-0.7%</w:t>
            </w:r>
          </w:p>
        </w:tc>
      </w:tr>
      <w:tr w:rsidR="6944AD4D" w:rsidRPr="00D10954" w14:paraId="3F04AA2E" w14:textId="77777777" w:rsidTr="00F345FB">
        <w:trPr>
          <w:cantSplit/>
          <w:trHeight w:val="300"/>
          <w:jc w:val="center"/>
        </w:trPr>
        <w:tc>
          <w:tcPr>
            <w:tcW w:w="1575" w:type="dxa"/>
            <w:tcBorders>
              <w:left w:val="single" w:sz="6" w:space="0" w:color="auto"/>
            </w:tcBorders>
            <w:tcMar>
              <w:left w:w="105" w:type="dxa"/>
              <w:right w:w="105" w:type="dxa"/>
            </w:tcMar>
            <w:vAlign w:val="center"/>
          </w:tcPr>
          <w:p w14:paraId="0C71E10B" w14:textId="25712497" w:rsidR="6944AD4D" w:rsidRPr="00D10954" w:rsidRDefault="6944AD4D" w:rsidP="6944AD4D">
            <w:pPr>
              <w:spacing w:after="0"/>
              <w:ind w:left="60" w:right="60"/>
              <w:jc w:val="center"/>
              <w:rPr>
                <w:rFonts w:eastAsia="Arial" w:cs="Arial"/>
              </w:rPr>
            </w:pPr>
            <w:r w:rsidRPr="00D10954">
              <w:rPr>
                <w:rFonts w:eastAsia="Arial" w:cs="Arial"/>
              </w:rPr>
              <w:t>30</w:t>
            </w:r>
          </w:p>
        </w:tc>
        <w:tc>
          <w:tcPr>
            <w:tcW w:w="4980" w:type="dxa"/>
            <w:tcBorders>
              <w:right w:val="single" w:sz="6" w:space="0" w:color="auto"/>
            </w:tcBorders>
            <w:tcMar>
              <w:left w:w="105" w:type="dxa"/>
              <w:right w:w="105" w:type="dxa"/>
            </w:tcMar>
            <w:vAlign w:val="center"/>
          </w:tcPr>
          <w:p w14:paraId="6C8E1C10" w14:textId="57EA0B41" w:rsidR="1BCD9D2F" w:rsidRPr="00D10954" w:rsidRDefault="1BCD9D2F" w:rsidP="6944AD4D">
            <w:pPr>
              <w:spacing w:after="0"/>
              <w:ind w:left="60" w:right="60"/>
              <w:jc w:val="center"/>
              <w:rPr>
                <w:rFonts w:eastAsia="Arial" w:cs="Arial"/>
                <w:color w:val="000000" w:themeColor="text1"/>
              </w:rPr>
            </w:pPr>
            <w:r w:rsidRPr="00D10954">
              <w:rPr>
                <w:rFonts w:eastAsia="Arial" w:cs="Arial"/>
                <w:color w:val="000000" w:themeColor="text1"/>
              </w:rPr>
              <w:t>-1.0%</w:t>
            </w:r>
          </w:p>
        </w:tc>
      </w:tr>
      <w:tr w:rsidR="6944AD4D" w:rsidRPr="00D10954" w14:paraId="69A335BB" w14:textId="77777777" w:rsidTr="00F345FB">
        <w:trPr>
          <w:cantSplit/>
          <w:trHeight w:val="300"/>
          <w:jc w:val="center"/>
        </w:trPr>
        <w:tc>
          <w:tcPr>
            <w:tcW w:w="1575" w:type="dxa"/>
            <w:tcBorders>
              <w:left w:val="single" w:sz="6" w:space="0" w:color="auto"/>
            </w:tcBorders>
            <w:tcMar>
              <w:left w:w="105" w:type="dxa"/>
              <w:right w:w="105" w:type="dxa"/>
            </w:tcMar>
            <w:vAlign w:val="center"/>
          </w:tcPr>
          <w:p w14:paraId="223EEAB5" w14:textId="06256DBE" w:rsidR="6944AD4D" w:rsidRPr="00D10954" w:rsidRDefault="6944AD4D" w:rsidP="6944AD4D">
            <w:pPr>
              <w:spacing w:after="0"/>
              <w:ind w:left="60" w:right="60"/>
              <w:jc w:val="center"/>
              <w:rPr>
                <w:rFonts w:eastAsia="Arial" w:cs="Arial"/>
              </w:rPr>
            </w:pPr>
            <w:r w:rsidRPr="00D10954">
              <w:rPr>
                <w:rFonts w:eastAsia="Arial" w:cs="Arial"/>
              </w:rPr>
              <w:t>25</w:t>
            </w:r>
          </w:p>
        </w:tc>
        <w:tc>
          <w:tcPr>
            <w:tcW w:w="4980" w:type="dxa"/>
            <w:tcBorders>
              <w:right w:val="single" w:sz="6" w:space="0" w:color="auto"/>
            </w:tcBorders>
            <w:tcMar>
              <w:left w:w="105" w:type="dxa"/>
              <w:right w:w="105" w:type="dxa"/>
            </w:tcMar>
            <w:vAlign w:val="center"/>
          </w:tcPr>
          <w:p w14:paraId="607A98BB" w14:textId="6E1E356B" w:rsidR="647189B9" w:rsidRPr="00D10954" w:rsidRDefault="647189B9" w:rsidP="6944AD4D">
            <w:pPr>
              <w:spacing w:after="0"/>
              <w:ind w:left="60" w:right="60"/>
              <w:jc w:val="center"/>
              <w:rPr>
                <w:rFonts w:eastAsia="Arial" w:cs="Arial"/>
                <w:color w:val="000000" w:themeColor="text1"/>
              </w:rPr>
            </w:pPr>
            <w:r w:rsidRPr="00D10954">
              <w:rPr>
                <w:rFonts w:eastAsia="Arial" w:cs="Arial"/>
                <w:color w:val="000000" w:themeColor="text1"/>
              </w:rPr>
              <w:t>-1.4%</w:t>
            </w:r>
          </w:p>
        </w:tc>
      </w:tr>
      <w:tr w:rsidR="6944AD4D" w:rsidRPr="00D10954" w14:paraId="25E5BB70" w14:textId="77777777" w:rsidTr="00F345FB">
        <w:trPr>
          <w:cantSplit/>
          <w:trHeight w:val="300"/>
          <w:jc w:val="center"/>
        </w:trPr>
        <w:tc>
          <w:tcPr>
            <w:tcW w:w="1575" w:type="dxa"/>
            <w:tcBorders>
              <w:left w:val="single" w:sz="6" w:space="0" w:color="auto"/>
            </w:tcBorders>
            <w:tcMar>
              <w:left w:w="105" w:type="dxa"/>
              <w:right w:w="105" w:type="dxa"/>
            </w:tcMar>
            <w:vAlign w:val="center"/>
          </w:tcPr>
          <w:p w14:paraId="292F38F4" w14:textId="57C79AD3" w:rsidR="6944AD4D" w:rsidRPr="00D10954" w:rsidRDefault="6944AD4D" w:rsidP="6944AD4D">
            <w:pPr>
              <w:spacing w:after="0"/>
              <w:ind w:left="60" w:right="60"/>
              <w:jc w:val="center"/>
              <w:rPr>
                <w:rFonts w:eastAsia="Arial" w:cs="Arial"/>
              </w:rPr>
            </w:pPr>
            <w:r w:rsidRPr="00D10954">
              <w:rPr>
                <w:rFonts w:eastAsia="Arial" w:cs="Arial"/>
              </w:rPr>
              <w:t>20</w:t>
            </w:r>
          </w:p>
        </w:tc>
        <w:tc>
          <w:tcPr>
            <w:tcW w:w="4980" w:type="dxa"/>
            <w:tcBorders>
              <w:right w:val="single" w:sz="6" w:space="0" w:color="auto"/>
            </w:tcBorders>
            <w:tcMar>
              <w:left w:w="105" w:type="dxa"/>
              <w:right w:w="105" w:type="dxa"/>
            </w:tcMar>
            <w:vAlign w:val="center"/>
          </w:tcPr>
          <w:p w14:paraId="56B6426F" w14:textId="2A21557C" w:rsidR="68DD95BD" w:rsidRPr="00D10954" w:rsidRDefault="68DD95BD" w:rsidP="6944AD4D">
            <w:pPr>
              <w:spacing w:after="0"/>
              <w:ind w:left="60" w:right="60"/>
              <w:jc w:val="center"/>
              <w:rPr>
                <w:rFonts w:eastAsia="Arial" w:cs="Arial"/>
                <w:color w:val="000000" w:themeColor="text1"/>
              </w:rPr>
            </w:pPr>
            <w:r w:rsidRPr="00D10954">
              <w:rPr>
                <w:rFonts w:eastAsia="Arial" w:cs="Arial"/>
                <w:color w:val="000000" w:themeColor="text1"/>
              </w:rPr>
              <w:t>-2.0%</w:t>
            </w:r>
          </w:p>
        </w:tc>
      </w:tr>
      <w:tr w:rsidR="6944AD4D" w:rsidRPr="00D10954" w14:paraId="586ECCCF" w14:textId="77777777" w:rsidTr="00F345FB">
        <w:trPr>
          <w:cantSplit/>
          <w:trHeight w:val="300"/>
          <w:jc w:val="center"/>
        </w:trPr>
        <w:tc>
          <w:tcPr>
            <w:tcW w:w="1575" w:type="dxa"/>
            <w:tcBorders>
              <w:left w:val="single" w:sz="6" w:space="0" w:color="auto"/>
            </w:tcBorders>
            <w:tcMar>
              <w:left w:w="105" w:type="dxa"/>
              <w:right w:w="105" w:type="dxa"/>
            </w:tcMar>
            <w:vAlign w:val="center"/>
          </w:tcPr>
          <w:p w14:paraId="1C9E57D2" w14:textId="5E3C7279" w:rsidR="6944AD4D" w:rsidRPr="00D10954" w:rsidRDefault="6944AD4D" w:rsidP="6944AD4D">
            <w:pPr>
              <w:spacing w:after="0"/>
              <w:ind w:left="60" w:right="60"/>
              <w:jc w:val="center"/>
              <w:rPr>
                <w:rFonts w:eastAsia="Arial" w:cs="Arial"/>
              </w:rPr>
            </w:pPr>
            <w:r w:rsidRPr="00D10954">
              <w:rPr>
                <w:rFonts w:eastAsia="Arial" w:cs="Arial"/>
              </w:rPr>
              <w:t>15</w:t>
            </w:r>
          </w:p>
        </w:tc>
        <w:tc>
          <w:tcPr>
            <w:tcW w:w="4980" w:type="dxa"/>
            <w:tcBorders>
              <w:right w:val="single" w:sz="6" w:space="0" w:color="auto"/>
            </w:tcBorders>
            <w:tcMar>
              <w:left w:w="105" w:type="dxa"/>
              <w:right w:w="105" w:type="dxa"/>
            </w:tcMar>
            <w:vAlign w:val="center"/>
          </w:tcPr>
          <w:p w14:paraId="7C8C65CC" w14:textId="58A1FB52" w:rsidR="62538D00" w:rsidRPr="00D10954" w:rsidRDefault="62538D00" w:rsidP="6944AD4D">
            <w:pPr>
              <w:spacing w:after="0"/>
              <w:ind w:left="60" w:right="60"/>
              <w:jc w:val="center"/>
              <w:rPr>
                <w:rFonts w:eastAsia="Arial" w:cs="Arial"/>
                <w:color w:val="000000" w:themeColor="text1"/>
              </w:rPr>
            </w:pPr>
            <w:r w:rsidRPr="00D10954">
              <w:rPr>
                <w:rFonts w:eastAsia="Arial" w:cs="Arial"/>
                <w:color w:val="000000" w:themeColor="text1"/>
              </w:rPr>
              <w:t>-3.0%</w:t>
            </w:r>
          </w:p>
        </w:tc>
      </w:tr>
      <w:tr w:rsidR="6944AD4D" w:rsidRPr="00D10954" w14:paraId="61DC8D57" w14:textId="77777777" w:rsidTr="00F345FB">
        <w:trPr>
          <w:cantSplit/>
          <w:trHeight w:val="300"/>
          <w:jc w:val="center"/>
        </w:trPr>
        <w:tc>
          <w:tcPr>
            <w:tcW w:w="1575" w:type="dxa"/>
            <w:tcBorders>
              <w:left w:val="single" w:sz="6" w:space="0" w:color="auto"/>
            </w:tcBorders>
            <w:tcMar>
              <w:left w:w="105" w:type="dxa"/>
              <w:right w:w="105" w:type="dxa"/>
            </w:tcMar>
            <w:vAlign w:val="center"/>
          </w:tcPr>
          <w:p w14:paraId="392902DF" w14:textId="2B725D8C" w:rsidR="6944AD4D" w:rsidRPr="00D10954" w:rsidRDefault="6944AD4D" w:rsidP="6944AD4D">
            <w:pPr>
              <w:spacing w:after="0"/>
              <w:ind w:left="60" w:right="60"/>
              <w:jc w:val="center"/>
              <w:rPr>
                <w:rFonts w:eastAsia="Arial" w:cs="Arial"/>
              </w:rPr>
            </w:pPr>
            <w:r w:rsidRPr="00D10954">
              <w:rPr>
                <w:rFonts w:eastAsia="Arial" w:cs="Arial"/>
              </w:rPr>
              <w:t>10</w:t>
            </w:r>
          </w:p>
        </w:tc>
        <w:tc>
          <w:tcPr>
            <w:tcW w:w="4980" w:type="dxa"/>
            <w:tcBorders>
              <w:right w:val="single" w:sz="6" w:space="0" w:color="auto"/>
            </w:tcBorders>
            <w:tcMar>
              <w:left w:w="105" w:type="dxa"/>
              <w:right w:w="105" w:type="dxa"/>
            </w:tcMar>
            <w:vAlign w:val="center"/>
          </w:tcPr>
          <w:p w14:paraId="35AA8E0C" w14:textId="44D5ED8D" w:rsidR="030BEFB6" w:rsidRPr="00D10954" w:rsidRDefault="030BEFB6" w:rsidP="6944AD4D">
            <w:pPr>
              <w:spacing w:after="0"/>
              <w:ind w:left="60" w:right="60"/>
              <w:jc w:val="center"/>
              <w:rPr>
                <w:rFonts w:eastAsia="Arial" w:cs="Arial"/>
                <w:color w:val="000000" w:themeColor="text1"/>
              </w:rPr>
            </w:pPr>
            <w:r w:rsidRPr="00D10954">
              <w:rPr>
                <w:rFonts w:eastAsia="Arial" w:cs="Arial"/>
                <w:color w:val="000000" w:themeColor="text1"/>
              </w:rPr>
              <w:t>-4.3%</w:t>
            </w:r>
          </w:p>
        </w:tc>
      </w:tr>
      <w:tr w:rsidR="6944AD4D" w:rsidRPr="00D10954" w14:paraId="216D4CD9" w14:textId="77777777" w:rsidTr="00F345FB">
        <w:trPr>
          <w:cantSplit/>
          <w:trHeight w:val="300"/>
          <w:jc w:val="center"/>
        </w:trPr>
        <w:tc>
          <w:tcPr>
            <w:tcW w:w="1575" w:type="dxa"/>
            <w:tcBorders>
              <w:left w:val="single" w:sz="6" w:space="0" w:color="auto"/>
              <w:bottom w:val="single" w:sz="6" w:space="0" w:color="auto"/>
            </w:tcBorders>
            <w:tcMar>
              <w:left w:w="105" w:type="dxa"/>
              <w:right w:w="105" w:type="dxa"/>
            </w:tcMar>
            <w:vAlign w:val="center"/>
          </w:tcPr>
          <w:p w14:paraId="42FFE2FE" w14:textId="001F710D" w:rsidR="6944AD4D" w:rsidRPr="00D10954" w:rsidRDefault="6944AD4D" w:rsidP="6944AD4D">
            <w:pPr>
              <w:spacing w:after="0"/>
              <w:ind w:left="60" w:right="60"/>
              <w:jc w:val="center"/>
              <w:rPr>
                <w:rFonts w:eastAsia="Arial" w:cs="Arial"/>
              </w:rPr>
            </w:pPr>
            <w:r w:rsidRPr="00D10954">
              <w:rPr>
                <w:rFonts w:eastAsia="Arial" w:cs="Arial"/>
              </w:rPr>
              <w:t>5</w:t>
            </w:r>
          </w:p>
        </w:tc>
        <w:tc>
          <w:tcPr>
            <w:tcW w:w="4980" w:type="dxa"/>
            <w:tcBorders>
              <w:bottom w:val="single" w:sz="6" w:space="0" w:color="auto"/>
              <w:right w:val="single" w:sz="6" w:space="0" w:color="auto"/>
            </w:tcBorders>
            <w:tcMar>
              <w:left w:w="105" w:type="dxa"/>
              <w:right w:w="105" w:type="dxa"/>
            </w:tcMar>
            <w:vAlign w:val="center"/>
          </w:tcPr>
          <w:p w14:paraId="3841BDB0" w14:textId="77F6EE19" w:rsidR="01831908" w:rsidRPr="00D10954" w:rsidRDefault="01831908" w:rsidP="6944AD4D">
            <w:pPr>
              <w:spacing w:after="0"/>
              <w:ind w:left="60" w:right="60"/>
              <w:jc w:val="center"/>
              <w:rPr>
                <w:rFonts w:eastAsia="Arial" w:cs="Arial"/>
                <w:color w:val="000000" w:themeColor="text1"/>
              </w:rPr>
            </w:pPr>
            <w:r w:rsidRPr="00D10954">
              <w:rPr>
                <w:rFonts w:eastAsia="Arial" w:cs="Arial"/>
                <w:color w:val="000000" w:themeColor="text1"/>
              </w:rPr>
              <w:t>-7.0%</w:t>
            </w:r>
          </w:p>
        </w:tc>
      </w:tr>
    </w:tbl>
    <w:p w14:paraId="756E1B4F" w14:textId="47E739DF" w:rsidR="6944AD4D" w:rsidRPr="00D10954" w:rsidRDefault="6944AD4D" w:rsidP="6944AD4D">
      <w:pPr>
        <w:rPr>
          <w:rFonts w:eastAsia="Arial" w:cs="Arial"/>
          <w:color w:val="000000" w:themeColor="text1"/>
        </w:rPr>
      </w:pPr>
    </w:p>
    <w:p w14:paraId="2B72BAF2" w14:textId="049C7830" w:rsidR="778A09FE" w:rsidRPr="00D10954" w:rsidRDefault="778A09FE" w:rsidP="6944AD4D">
      <w:pPr>
        <w:rPr>
          <w:rFonts w:eastAsia="Arial" w:cs="Arial"/>
          <w:color w:val="000000" w:themeColor="text1"/>
        </w:rPr>
      </w:pPr>
      <w:r w:rsidRPr="00D10954">
        <w:rPr>
          <w:rFonts w:eastAsia="Arial" w:cs="Arial"/>
          <w:color w:val="000000" w:themeColor="text1"/>
        </w:rPr>
        <w:lastRenderedPageBreak/>
        <w:t xml:space="preserve">Based on simulations and recommendations produced by the CDE, the SBE approved the Change cut points shown in Table </w:t>
      </w:r>
      <w:r w:rsidR="00B47B53" w:rsidRPr="00D10954">
        <w:rPr>
          <w:rFonts w:eastAsia="Arial" w:cs="Arial"/>
          <w:color w:val="000000" w:themeColor="text1"/>
        </w:rPr>
        <w:t>6</w:t>
      </w:r>
      <w:r w:rsidRPr="00D10954">
        <w:rPr>
          <w:rFonts w:eastAsia="Arial" w:cs="Arial"/>
          <w:color w:val="000000" w:themeColor="text1"/>
        </w:rPr>
        <w:t>.</w:t>
      </w:r>
    </w:p>
    <w:p w14:paraId="4A97AAB5" w14:textId="08F277E1" w:rsidR="63A00084" w:rsidRPr="00D10954" w:rsidRDefault="778A09FE" w:rsidP="6944AD4D">
      <w:pPr>
        <w:pStyle w:val="Heading4"/>
      </w:pPr>
      <w:r w:rsidRPr="00D10954">
        <w:t xml:space="preserve">Table 6: Recommended Change Cut </w:t>
      </w:r>
      <w:r w:rsidR="3AFDB4BE" w:rsidRPr="00D10954">
        <w:t>Points</w:t>
      </w:r>
      <w:r w:rsidRPr="00D10954">
        <w:t xml:space="preserve"> for the</w:t>
      </w:r>
      <w:r w:rsidR="7E08F5B8" w:rsidRPr="00D10954">
        <w:t xml:space="preserve"> Graduation Rate</w:t>
      </w:r>
      <w:r w:rsidRPr="00D10954">
        <w:t xml:space="preserve"> Indicator</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4: Recommended Change Cut Scores for the Chronic Absenteeism Indicator"/>
        <w:tblDescription w:val="Table 4: Recommended Change Cut Scores for the Chronic Absenteeism Indicator"/>
      </w:tblPr>
      <w:tblGrid>
        <w:gridCol w:w="1751"/>
        <w:gridCol w:w="3976"/>
        <w:gridCol w:w="3977"/>
      </w:tblGrid>
      <w:tr w:rsidR="6944AD4D" w:rsidRPr="00D10954" w14:paraId="08C9BDC9" w14:textId="77777777" w:rsidTr="00F345FB">
        <w:trPr>
          <w:cantSplit/>
          <w:trHeight w:val="540"/>
          <w:tblHeader/>
        </w:trPr>
        <w:tc>
          <w:tcPr>
            <w:tcW w:w="1752" w:type="dxa"/>
            <w:tcBorders>
              <w:top w:val="single" w:sz="6" w:space="0" w:color="auto"/>
              <w:left w:val="single" w:sz="6" w:space="0" w:color="auto"/>
            </w:tcBorders>
            <w:shd w:val="clear" w:color="auto" w:fill="D9D9D9" w:themeFill="background1" w:themeFillShade="D9"/>
            <w:tcMar>
              <w:left w:w="105" w:type="dxa"/>
              <w:right w:w="105" w:type="dxa"/>
            </w:tcMar>
            <w:vAlign w:val="center"/>
          </w:tcPr>
          <w:p w14:paraId="6B219957" w14:textId="554B6DB5" w:rsidR="6944AD4D" w:rsidRPr="00D10954" w:rsidRDefault="6944AD4D" w:rsidP="6944AD4D">
            <w:pPr>
              <w:rPr>
                <w:rFonts w:eastAsia="Arial" w:cs="Arial"/>
              </w:rPr>
            </w:pPr>
            <w:r w:rsidRPr="00D10954">
              <w:rPr>
                <w:rFonts w:eastAsia="Arial" w:cs="Arial"/>
                <w:b/>
                <w:bCs/>
              </w:rPr>
              <w:t>Change Level</w:t>
            </w:r>
          </w:p>
        </w:tc>
        <w:tc>
          <w:tcPr>
            <w:tcW w:w="3984" w:type="dxa"/>
            <w:tcBorders>
              <w:top w:val="single" w:sz="6" w:space="0" w:color="auto"/>
              <w:right w:val="single" w:sz="6" w:space="0" w:color="auto"/>
            </w:tcBorders>
            <w:shd w:val="clear" w:color="auto" w:fill="D9D9D9" w:themeFill="background1" w:themeFillShade="D9"/>
            <w:tcMar>
              <w:left w:w="105" w:type="dxa"/>
              <w:right w:w="105" w:type="dxa"/>
            </w:tcMar>
            <w:vAlign w:val="center"/>
          </w:tcPr>
          <w:p w14:paraId="47A6285C" w14:textId="477E4465" w:rsidR="6944AD4D" w:rsidRPr="00D10954" w:rsidRDefault="6944AD4D" w:rsidP="6944AD4D">
            <w:pPr>
              <w:rPr>
                <w:rFonts w:eastAsia="Arial" w:cs="Arial"/>
                <w:b/>
                <w:bCs/>
              </w:rPr>
            </w:pPr>
            <w:r w:rsidRPr="00D10954">
              <w:rPr>
                <w:rFonts w:eastAsia="Arial" w:cs="Arial"/>
                <w:b/>
                <w:bCs/>
              </w:rPr>
              <w:t xml:space="preserve">Change Cut </w:t>
            </w:r>
            <w:r w:rsidR="7239EB1F" w:rsidRPr="00D10954">
              <w:rPr>
                <w:rFonts w:eastAsia="Arial" w:cs="Arial"/>
                <w:b/>
                <w:bCs/>
              </w:rPr>
              <w:t>Points</w:t>
            </w:r>
          </w:p>
        </w:tc>
        <w:tc>
          <w:tcPr>
            <w:tcW w:w="3984" w:type="dxa"/>
            <w:tcBorders>
              <w:top w:val="single" w:sz="6" w:space="0" w:color="auto"/>
              <w:right w:val="single" w:sz="6" w:space="0" w:color="auto"/>
            </w:tcBorders>
            <w:shd w:val="clear" w:color="auto" w:fill="D9D9D9" w:themeFill="background1" w:themeFillShade="D9"/>
            <w:tcMar>
              <w:left w:w="105" w:type="dxa"/>
              <w:right w:w="105" w:type="dxa"/>
            </w:tcMar>
            <w:vAlign w:val="center"/>
          </w:tcPr>
          <w:p w14:paraId="5D813CDE" w14:textId="5BD10089" w:rsidR="6944AD4D" w:rsidRPr="00D10954" w:rsidRDefault="6944AD4D" w:rsidP="6944AD4D">
            <w:pPr>
              <w:rPr>
                <w:rFonts w:eastAsia="Arial" w:cs="Arial"/>
                <w:b/>
                <w:bCs/>
              </w:rPr>
            </w:pPr>
            <w:r w:rsidRPr="00D10954">
              <w:rPr>
                <w:rFonts w:eastAsia="Arial" w:cs="Arial"/>
                <w:b/>
                <w:bCs/>
              </w:rPr>
              <w:t>Approximate Percentiles Represented</w:t>
            </w:r>
          </w:p>
        </w:tc>
      </w:tr>
      <w:tr w:rsidR="6944AD4D" w:rsidRPr="00D10954" w14:paraId="2E80A15D" w14:textId="77777777" w:rsidTr="00F345FB">
        <w:trPr>
          <w:cantSplit/>
          <w:trHeight w:val="540"/>
        </w:trPr>
        <w:tc>
          <w:tcPr>
            <w:tcW w:w="1752" w:type="dxa"/>
            <w:tcBorders>
              <w:left w:val="single" w:sz="6" w:space="0" w:color="auto"/>
              <w:bottom w:val="single" w:sz="6" w:space="0" w:color="auto"/>
            </w:tcBorders>
            <w:tcMar>
              <w:left w:w="105" w:type="dxa"/>
              <w:right w:w="105" w:type="dxa"/>
            </w:tcMar>
            <w:vAlign w:val="center"/>
          </w:tcPr>
          <w:p w14:paraId="528AC591" w14:textId="06A68354" w:rsidR="6944AD4D" w:rsidRPr="00D10954" w:rsidRDefault="6944AD4D" w:rsidP="6944AD4D">
            <w:pPr>
              <w:rPr>
                <w:rFonts w:eastAsia="Arial" w:cs="Arial"/>
              </w:rPr>
            </w:pPr>
            <w:r w:rsidRPr="00D10954">
              <w:rPr>
                <w:rFonts w:eastAsia="Arial" w:cs="Arial"/>
              </w:rPr>
              <w:t>Increased Significantly  </w:t>
            </w:r>
          </w:p>
        </w:tc>
        <w:tc>
          <w:tcPr>
            <w:tcW w:w="3984" w:type="dxa"/>
            <w:tcBorders>
              <w:bottom w:val="single" w:sz="6" w:space="0" w:color="auto"/>
              <w:right w:val="single" w:sz="6" w:space="0" w:color="auto"/>
            </w:tcBorders>
            <w:tcMar>
              <w:left w:w="105" w:type="dxa"/>
              <w:right w:w="105" w:type="dxa"/>
            </w:tcMar>
            <w:vAlign w:val="center"/>
          </w:tcPr>
          <w:p w14:paraId="245D087F" w14:textId="2A206EE6" w:rsidR="571A8CEB" w:rsidRPr="00D10954" w:rsidRDefault="571A8CEB" w:rsidP="6944AD4D">
            <w:pPr>
              <w:rPr>
                <w:rFonts w:eastAsia="Arial" w:cs="Arial"/>
              </w:rPr>
            </w:pPr>
            <w:r w:rsidRPr="00D10954">
              <w:rPr>
                <w:rFonts w:eastAsia="Arial" w:cs="Arial"/>
              </w:rPr>
              <w:t>Graduation</w:t>
            </w:r>
            <w:r w:rsidR="6944AD4D" w:rsidRPr="00D10954">
              <w:rPr>
                <w:rFonts w:eastAsia="Arial" w:cs="Arial"/>
              </w:rPr>
              <w:t xml:space="preserve"> rate increased by </w:t>
            </w:r>
            <w:r w:rsidR="69A40E2B" w:rsidRPr="00D10954">
              <w:rPr>
                <w:rFonts w:eastAsia="Arial" w:cs="Arial"/>
              </w:rPr>
              <w:t>5</w:t>
            </w:r>
            <w:r w:rsidR="6944AD4D" w:rsidRPr="00D10954">
              <w:rPr>
                <w:rFonts w:eastAsia="Arial" w:cs="Arial"/>
              </w:rPr>
              <w:t>% or more</w:t>
            </w:r>
          </w:p>
        </w:tc>
        <w:tc>
          <w:tcPr>
            <w:tcW w:w="3984" w:type="dxa"/>
            <w:tcBorders>
              <w:bottom w:val="single" w:sz="6" w:space="0" w:color="auto"/>
              <w:right w:val="single" w:sz="6" w:space="0" w:color="auto"/>
            </w:tcBorders>
            <w:tcMar>
              <w:left w:w="105" w:type="dxa"/>
              <w:right w:w="105" w:type="dxa"/>
            </w:tcMar>
            <w:vAlign w:val="center"/>
          </w:tcPr>
          <w:p w14:paraId="1CDF33E4" w14:textId="3353512C" w:rsidR="36BE0FFB" w:rsidRPr="00D10954" w:rsidRDefault="36BE0FFB" w:rsidP="6944AD4D">
            <w:pPr>
              <w:rPr>
                <w:rFonts w:eastAsia="Arial" w:cs="Arial"/>
              </w:rPr>
            </w:pPr>
            <w:r w:rsidRPr="00D10954">
              <w:rPr>
                <w:rFonts w:eastAsia="Arial" w:cs="Arial"/>
              </w:rPr>
              <w:t xml:space="preserve">Above the </w:t>
            </w:r>
            <w:r w:rsidR="2187EE5A" w:rsidRPr="00D10954">
              <w:rPr>
                <w:rFonts w:eastAsia="Arial" w:cs="Arial"/>
              </w:rPr>
              <w:t>90</w:t>
            </w:r>
            <w:r w:rsidRPr="00D10954">
              <w:rPr>
                <w:rFonts w:eastAsia="Arial" w:cs="Arial"/>
                <w:vertAlign w:val="superscript"/>
              </w:rPr>
              <w:t>th</w:t>
            </w:r>
            <w:r w:rsidRPr="00D10954">
              <w:rPr>
                <w:rFonts w:eastAsia="Arial" w:cs="Arial"/>
              </w:rPr>
              <w:t xml:space="preserve"> percentile</w:t>
            </w:r>
          </w:p>
        </w:tc>
      </w:tr>
      <w:tr w:rsidR="6944AD4D" w:rsidRPr="00D10954" w14:paraId="0548114D" w14:textId="77777777" w:rsidTr="00F345FB">
        <w:trPr>
          <w:cantSplit/>
          <w:trHeight w:val="540"/>
        </w:trPr>
        <w:tc>
          <w:tcPr>
            <w:tcW w:w="1752" w:type="dxa"/>
            <w:tcBorders>
              <w:left w:val="single" w:sz="6" w:space="0" w:color="auto"/>
              <w:bottom w:val="single" w:sz="6" w:space="0" w:color="auto"/>
            </w:tcBorders>
            <w:tcMar>
              <w:left w:w="105" w:type="dxa"/>
              <w:right w:w="105" w:type="dxa"/>
            </w:tcMar>
            <w:vAlign w:val="center"/>
          </w:tcPr>
          <w:p w14:paraId="775168EA" w14:textId="7E459259" w:rsidR="6944AD4D" w:rsidRPr="00D10954" w:rsidRDefault="6944AD4D" w:rsidP="6944AD4D">
            <w:pPr>
              <w:rPr>
                <w:rFonts w:eastAsia="Arial" w:cs="Arial"/>
              </w:rPr>
            </w:pPr>
            <w:r w:rsidRPr="00D10954">
              <w:rPr>
                <w:rFonts w:eastAsia="Arial" w:cs="Arial"/>
              </w:rPr>
              <w:t>Increased</w:t>
            </w:r>
          </w:p>
        </w:tc>
        <w:tc>
          <w:tcPr>
            <w:tcW w:w="3984" w:type="dxa"/>
            <w:tcBorders>
              <w:bottom w:val="single" w:sz="6" w:space="0" w:color="auto"/>
              <w:right w:val="single" w:sz="6" w:space="0" w:color="auto"/>
            </w:tcBorders>
            <w:tcMar>
              <w:left w:w="105" w:type="dxa"/>
              <w:right w:w="105" w:type="dxa"/>
            </w:tcMar>
            <w:vAlign w:val="center"/>
          </w:tcPr>
          <w:p w14:paraId="1F716FAE" w14:textId="147DA4A3" w:rsidR="6944AD4D" w:rsidRPr="00D10954" w:rsidRDefault="6944AD4D" w:rsidP="6944AD4D">
            <w:pPr>
              <w:rPr>
                <w:rFonts w:eastAsia="Arial" w:cs="Arial"/>
              </w:rPr>
            </w:pPr>
            <w:r w:rsidRPr="00D10954">
              <w:rPr>
                <w:rFonts w:eastAsia="Arial" w:cs="Arial"/>
              </w:rPr>
              <w:t>Graduation rate increased by 1% to 4.9%</w:t>
            </w:r>
          </w:p>
        </w:tc>
        <w:tc>
          <w:tcPr>
            <w:tcW w:w="3984" w:type="dxa"/>
            <w:tcBorders>
              <w:bottom w:val="single" w:sz="6" w:space="0" w:color="auto"/>
              <w:right w:val="single" w:sz="6" w:space="0" w:color="auto"/>
            </w:tcBorders>
            <w:tcMar>
              <w:left w:w="105" w:type="dxa"/>
              <w:right w:w="105" w:type="dxa"/>
            </w:tcMar>
            <w:vAlign w:val="center"/>
          </w:tcPr>
          <w:p w14:paraId="53C88430" w14:textId="2088229B" w:rsidR="1195C34B" w:rsidRPr="00D10954" w:rsidRDefault="1195C34B" w:rsidP="6944AD4D">
            <w:pPr>
              <w:rPr>
                <w:rFonts w:eastAsia="Arial" w:cs="Arial"/>
              </w:rPr>
            </w:pPr>
            <w:r w:rsidRPr="00D10954">
              <w:rPr>
                <w:rFonts w:eastAsia="Arial" w:cs="Arial"/>
              </w:rPr>
              <w:t>60</w:t>
            </w:r>
            <w:r w:rsidR="6944AD4D" w:rsidRPr="00D10954">
              <w:rPr>
                <w:rFonts w:eastAsia="Arial" w:cs="Arial"/>
                <w:vertAlign w:val="superscript"/>
              </w:rPr>
              <w:t>th</w:t>
            </w:r>
            <w:r w:rsidR="6944AD4D" w:rsidRPr="00D10954">
              <w:rPr>
                <w:rFonts w:eastAsia="Arial" w:cs="Arial"/>
              </w:rPr>
              <w:t xml:space="preserve"> to </w:t>
            </w:r>
            <w:r w:rsidR="2D282B08" w:rsidRPr="00D10954">
              <w:rPr>
                <w:rFonts w:eastAsia="Arial" w:cs="Arial"/>
              </w:rPr>
              <w:t>90</w:t>
            </w:r>
            <w:r w:rsidR="6944AD4D" w:rsidRPr="00D10954">
              <w:rPr>
                <w:rFonts w:eastAsia="Arial" w:cs="Arial"/>
                <w:vertAlign w:val="superscript"/>
              </w:rPr>
              <w:t>th</w:t>
            </w:r>
            <w:r w:rsidR="6944AD4D" w:rsidRPr="00D10954">
              <w:rPr>
                <w:rFonts w:eastAsia="Arial" w:cs="Arial"/>
              </w:rPr>
              <w:t xml:space="preserve"> percentile</w:t>
            </w:r>
          </w:p>
        </w:tc>
      </w:tr>
      <w:tr w:rsidR="6944AD4D" w:rsidRPr="00D10954" w14:paraId="7E450E72" w14:textId="77777777" w:rsidTr="00F345FB">
        <w:trPr>
          <w:cantSplit/>
          <w:trHeight w:val="540"/>
        </w:trPr>
        <w:tc>
          <w:tcPr>
            <w:tcW w:w="1752" w:type="dxa"/>
            <w:tcBorders>
              <w:left w:val="single" w:sz="6" w:space="0" w:color="auto"/>
              <w:bottom w:val="single" w:sz="6" w:space="0" w:color="auto"/>
            </w:tcBorders>
            <w:tcMar>
              <w:left w:w="105" w:type="dxa"/>
              <w:right w:w="105" w:type="dxa"/>
            </w:tcMar>
            <w:vAlign w:val="center"/>
          </w:tcPr>
          <w:p w14:paraId="4621ADCE" w14:textId="32E2F99D" w:rsidR="6944AD4D" w:rsidRPr="00D10954" w:rsidRDefault="6944AD4D" w:rsidP="6944AD4D">
            <w:pPr>
              <w:rPr>
                <w:rFonts w:eastAsia="Arial" w:cs="Arial"/>
              </w:rPr>
            </w:pPr>
            <w:r w:rsidRPr="00D10954">
              <w:rPr>
                <w:rFonts w:eastAsia="Arial" w:cs="Arial"/>
              </w:rPr>
              <w:t>Maintained</w:t>
            </w:r>
          </w:p>
        </w:tc>
        <w:tc>
          <w:tcPr>
            <w:tcW w:w="3984" w:type="dxa"/>
            <w:tcBorders>
              <w:bottom w:val="single" w:sz="6" w:space="0" w:color="auto"/>
              <w:right w:val="single" w:sz="6" w:space="0" w:color="auto"/>
            </w:tcBorders>
            <w:tcMar>
              <w:left w:w="105" w:type="dxa"/>
              <w:right w:w="105" w:type="dxa"/>
            </w:tcMar>
            <w:vAlign w:val="center"/>
          </w:tcPr>
          <w:p w14:paraId="3CBD294D" w14:textId="59964276" w:rsidR="6944AD4D" w:rsidRPr="00D10954" w:rsidRDefault="6944AD4D" w:rsidP="6944AD4D">
            <w:pPr>
              <w:rPr>
                <w:rFonts w:eastAsia="Arial" w:cs="Arial"/>
              </w:rPr>
            </w:pPr>
            <w:r w:rsidRPr="00D10954">
              <w:rPr>
                <w:rFonts w:eastAsia="Arial" w:cs="Arial"/>
              </w:rPr>
              <w:t>Graduation rate declined or increased by 0.9%</w:t>
            </w:r>
          </w:p>
        </w:tc>
        <w:tc>
          <w:tcPr>
            <w:tcW w:w="3984" w:type="dxa"/>
            <w:tcBorders>
              <w:bottom w:val="single" w:sz="6" w:space="0" w:color="auto"/>
              <w:right w:val="single" w:sz="6" w:space="0" w:color="auto"/>
            </w:tcBorders>
            <w:tcMar>
              <w:left w:w="105" w:type="dxa"/>
              <w:right w:w="105" w:type="dxa"/>
            </w:tcMar>
            <w:vAlign w:val="center"/>
          </w:tcPr>
          <w:p w14:paraId="50376C5A" w14:textId="3EF782D0" w:rsidR="04E41801" w:rsidRPr="00D10954" w:rsidRDefault="04E41801" w:rsidP="6944AD4D">
            <w:pPr>
              <w:rPr>
                <w:rFonts w:eastAsia="Arial" w:cs="Arial"/>
              </w:rPr>
            </w:pPr>
            <w:r w:rsidRPr="00D10954">
              <w:rPr>
                <w:rFonts w:eastAsia="Arial" w:cs="Arial"/>
              </w:rPr>
              <w:t>3</w:t>
            </w:r>
            <w:r w:rsidR="6944AD4D" w:rsidRPr="00D10954">
              <w:rPr>
                <w:rFonts w:eastAsia="Arial" w:cs="Arial"/>
              </w:rPr>
              <w:t>5</w:t>
            </w:r>
            <w:r w:rsidR="6944AD4D" w:rsidRPr="00D10954">
              <w:rPr>
                <w:rFonts w:eastAsia="Arial" w:cs="Arial"/>
                <w:vertAlign w:val="superscript"/>
              </w:rPr>
              <w:t>th</w:t>
            </w:r>
            <w:r w:rsidR="6944AD4D" w:rsidRPr="00D10954">
              <w:rPr>
                <w:rFonts w:eastAsia="Arial" w:cs="Arial"/>
              </w:rPr>
              <w:t xml:space="preserve"> to 6</w:t>
            </w:r>
            <w:r w:rsidR="1C134633" w:rsidRPr="00D10954">
              <w:rPr>
                <w:rFonts w:eastAsia="Arial" w:cs="Arial"/>
              </w:rPr>
              <w:t>0</w:t>
            </w:r>
            <w:r w:rsidR="6944AD4D" w:rsidRPr="00D10954">
              <w:rPr>
                <w:rFonts w:eastAsia="Arial" w:cs="Arial"/>
                <w:vertAlign w:val="superscript"/>
              </w:rPr>
              <w:t>th</w:t>
            </w:r>
            <w:r w:rsidR="6944AD4D" w:rsidRPr="00D10954">
              <w:rPr>
                <w:rFonts w:eastAsia="Arial" w:cs="Arial"/>
              </w:rPr>
              <w:t xml:space="preserve"> percentile</w:t>
            </w:r>
          </w:p>
        </w:tc>
      </w:tr>
      <w:tr w:rsidR="6944AD4D" w:rsidRPr="00D10954" w14:paraId="683CA569" w14:textId="77777777" w:rsidTr="00F345FB">
        <w:trPr>
          <w:cantSplit/>
          <w:trHeight w:val="540"/>
        </w:trPr>
        <w:tc>
          <w:tcPr>
            <w:tcW w:w="1752" w:type="dxa"/>
            <w:tcBorders>
              <w:left w:val="single" w:sz="6" w:space="0" w:color="auto"/>
              <w:bottom w:val="single" w:sz="6" w:space="0" w:color="auto"/>
            </w:tcBorders>
            <w:tcMar>
              <w:left w:w="105" w:type="dxa"/>
              <w:right w:w="105" w:type="dxa"/>
            </w:tcMar>
            <w:vAlign w:val="center"/>
          </w:tcPr>
          <w:p w14:paraId="05CE4C6A" w14:textId="23E0BD97" w:rsidR="6944AD4D" w:rsidRPr="00D10954" w:rsidRDefault="6944AD4D" w:rsidP="6944AD4D">
            <w:pPr>
              <w:rPr>
                <w:rFonts w:eastAsia="Arial" w:cs="Arial"/>
              </w:rPr>
            </w:pPr>
            <w:r w:rsidRPr="00D10954">
              <w:rPr>
                <w:rFonts w:eastAsia="Arial" w:cs="Arial"/>
              </w:rPr>
              <w:t>Declined</w:t>
            </w:r>
          </w:p>
        </w:tc>
        <w:tc>
          <w:tcPr>
            <w:tcW w:w="3984" w:type="dxa"/>
            <w:tcBorders>
              <w:bottom w:val="single" w:sz="6" w:space="0" w:color="auto"/>
              <w:right w:val="single" w:sz="6" w:space="0" w:color="auto"/>
            </w:tcBorders>
            <w:tcMar>
              <w:left w:w="105" w:type="dxa"/>
              <w:right w:w="105" w:type="dxa"/>
            </w:tcMar>
            <w:vAlign w:val="center"/>
          </w:tcPr>
          <w:p w14:paraId="7B5E2B84" w14:textId="60FE69E6" w:rsidR="6944AD4D" w:rsidRPr="00D10954" w:rsidRDefault="6944AD4D" w:rsidP="6944AD4D">
            <w:pPr>
              <w:rPr>
                <w:rFonts w:eastAsia="Arial" w:cs="Arial"/>
              </w:rPr>
            </w:pPr>
            <w:r w:rsidRPr="00D10954">
              <w:rPr>
                <w:rFonts w:eastAsia="Arial" w:cs="Arial"/>
              </w:rPr>
              <w:t>Graduation rate declined by 1% to 5%</w:t>
            </w:r>
          </w:p>
        </w:tc>
        <w:tc>
          <w:tcPr>
            <w:tcW w:w="3984" w:type="dxa"/>
            <w:tcBorders>
              <w:bottom w:val="single" w:sz="6" w:space="0" w:color="auto"/>
              <w:right w:val="single" w:sz="6" w:space="0" w:color="auto"/>
            </w:tcBorders>
            <w:tcMar>
              <w:left w:w="105" w:type="dxa"/>
              <w:right w:w="105" w:type="dxa"/>
            </w:tcMar>
            <w:vAlign w:val="center"/>
          </w:tcPr>
          <w:p w14:paraId="580530B2" w14:textId="57DE964D" w:rsidR="70E835E3" w:rsidRPr="00D10954" w:rsidRDefault="70E835E3" w:rsidP="6944AD4D">
            <w:pPr>
              <w:rPr>
                <w:rFonts w:eastAsia="Arial" w:cs="Arial"/>
              </w:rPr>
            </w:pPr>
            <w:r w:rsidRPr="00D10954">
              <w:rPr>
                <w:rFonts w:eastAsia="Arial" w:cs="Arial"/>
              </w:rPr>
              <w:t>10</w:t>
            </w:r>
            <w:r w:rsidR="6944AD4D" w:rsidRPr="00D10954">
              <w:rPr>
                <w:rFonts w:eastAsia="Arial" w:cs="Arial"/>
                <w:vertAlign w:val="superscript"/>
              </w:rPr>
              <w:t>th</w:t>
            </w:r>
            <w:r w:rsidR="6944AD4D" w:rsidRPr="00D10954">
              <w:rPr>
                <w:rFonts w:eastAsia="Arial" w:cs="Arial"/>
              </w:rPr>
              <w:t xml:space="preserve"> to</w:t>
            </w:r>
            <w:r w:rsidR="6944AD4D" w:rsidRPr="00D10954">
              <w:rPr>
                <w:rFonts w:eastAsia="Arial" w:cs="Arial"/>
                <w:vertAlign w:val="superscript"/>
              </w:rPr>
              <w:t xml:space="preserve"> </w:t>
            </w:r>
            <w:r w:rsidR="319E716A" w:rsidRPr="00D10954">
              <w:rPr>
                <w:rFonts w:eastAsia="Arial" w:cs="Arial"/>
              </w:rPr>
              <w:t>35</w:t>
            </w:r>
            <w:r w:rsidR="6944AD4D" w:rsidRPr="00D10954">
              <w:rPr>
                <w:rFonts w:eastAsia="Arial" w:cs="Arial"/>
                <w:vertAlign w:val="superscript"/>
              </w:rPr>
              <w:t>th</w:t>
            </w:r>
            <w:r w:rsidR="6944AD4D" w:rsidRPr="00D10954">
              <w:rPr>
                <w:rFonts w:eastAsia="Arial" w:cs="Arial"/>
              </w:rPr>
              <w:t xml:space="preserve"> percentile</w:t>
            </w:r>
          </w:p>
        </w:tc>
      </w:tr>
      <w:tr w:rsidR="6944AD4D" w:rsidRPr="00D10954" w14:paraId="7A2173C7" w14:textId="77777777" w:rsidTr="00F345FB">
        <w:trPr>
          <w:cantSplit/>
          <w:trHeight w:val="540"/>
        </w:trPr>
        <w:tc>
          <w:tcPr>
            <w:tcW w:w="1752" w:type="dxa"/>
            <w:tcBorders>
              <w:left w:val="single" w:sz="6" w:space="0" w:color="auto"/>
              <w:bottom w:val="single" w:sz="6" w:space="0" w:color="auto"/>
            </w:tcBorders>
            <w:tcMar>
              <w:left w:w="105" w:type="dxa"/>
              <w:right w:w="105" w:type="dxa"/>
            </w:tcMar>
            <w:vAlign w:val="center"/>
          </w:tcPr>
          <w:p w14:paraId="4109AC3A" w14:textId="0801F9B7" w:rsidR="6944AD4D" w:rsidRPr="00D10954" w:rsidRDefault="6944AD4D" w:rsidP="6944AD4D">
            <w:pPr>
              <w:rPr>
                <w:rFonts w:eastAsia="Arial" w:cs="Arial"/>
              </w:rPr>
            </w:pPr>
            <w:r w:rsidRPr="00D10954">
              <w:rPr>
                <w:rFonts w:eastAsia="Arial" w:cs="Arial"/>
              </w:rPr>
              <w:t>Declined Significantly</w:t>
            </w:r>
          </w:p>
        </w:tc>
        <w:tc>
          <w:tcPr>
            <w:tcW w:w="3984" w:type="dxa"/>
            <w:tcBorders>
              <w:bottom w:val="single" w:sz="6" w:space="0" w:color="auto"/>
              <w:right w:val="single" w:sz="6" w:space="0" w:color="auto"/>
            </w:tcBorders>
            <w:tcMar>
              <w:left w:w="105" w:type="dxa"/>
              <w:right w:w="105" w:type="dxa"/>
            </w:tcMar>
            <w:vAlign w:val="center"/>
          </w:tcPr>
          <w:p w14:paraId="0F26C534" w14:textId="076B48AF" w:rsidR="6944AD4D" w:rsidRPr="00D10954" w:rsidRDefault="6944AD4D" w:rsidP="6944AD4D">
            <w:pPr>
              <w:rPr>
                <w:rFonts w:eastAsia="Arial" w:cs="Arial"/>
              </w:rPr>
            </w:pPr>
            <w:r w:rsidRPr="00D10954">
              <w:rPr>
                <w:rFonts w:eastAsia="Arial" w:cs="Arial"/>
              </w:rPr>
              <w:t xml:space="preserve">Graduation rate declined by more than 5% </w:t>
            </w:r>
          </w:p>
        </w:tc>
        <w:tc>
          <w:tcPr>
            <w:tcW w:w="3984" w:type="dxa"/>
            <w:tcBorders>
              <w:bottom w:val="single" w:sz="6" w:space="0" w:color="auto"/>
              <w:right w:val="single" w:sz="6" w:space="0" w:color="auto"/>
            </w:tcBorders>
            <w:tcMar>
              <w:left w:w="105" w:type="dxa"/>
              <w:right w:w="105" w:type="dxa"/>
            </w:tcMar>
            <w:vAlign w:val="center"/>
          </w:tcPr>
          <w:p w14:paraId="644FB165" w14:textId="6B5AB133" w:rsidR="532CE9BE" w:rsidRPr="00D10954" w:rsidRDefault="532CE9BE" w:rsidP="6944AD4D">
            <w:pPr>
              <w:rPr>
                <w:rFonts w:eastAsia="Arial" w:cs="Arial"/>
              </w:rPr>
            </w:pPr>
            <w:r w:rsidRPr="00D10954">
              <w:rPr>
                <w:rFonts w:eastAsia="Arial" w:cs="Arial"/>
              </w:rPr>
              <w:t>Below the 1</w:t>
            </w:r>
            <w:r w:rsidR="6FAB0BFF" w:rsidRPr="00D10954">
              <w:rPr>
                <w:rFonts w:eastAsia="Arial" w:cs="Arial"/>
              </w:rPr>
              <w:t>0</w:t>
            </w:r>
            <w:r w:rsidRPr="00D10954">
              <w:rPr>
                <w:rFonts w:eastAsia="Arial" w:cs="Arial"/>
                <w:vertAlign w:val="superscript"/>
              </w:rPr>
              <w:t>th</w:t>
            </w:r>
            <w:r w:rsidRPr="00D10954">
              <w:rPr>
                <w:rFonts w:eastAsia="Arial" w:cs="Arial"/>
              </w:rPr>
              <w:t xml:space="preserve"> percentile</w:t>
            </w:r>
          </w:p>
        </w:tc>
      </w:tr>
    </w:tbl>
    <w:p w14:paraId="780607E6" w14:textId="7CE56C80" w:rsidR="6944AD4D" w:rsidRPr="00D10954" w:rsidRDefault="6944AD4D" w:rsidP="6944AD4D">
      <w:pPr>
        <w:spacing w:after="160"/>
        <w:rPr>
          <w:rFonts w:eastAsia="Arial" w:cs="Arial"/>
          <w:color w:val="000000" w:themeColor="text1"/>
        </w:rPr>
      </w:pPr>
    </w:p>
    <w:p w14:paraId="486F6CC5" w14:textId="021A1B6D" w:rsidR="778A09FE" w:rsidRPr="00D10954" w:rsidRDefault="778A09FE" w:rsidP="6944AD4D">
      <w:pPr>
        <w:rPr>
          <w:color w:val="000000" w:themeColor="text1"/>
        </w:rPr>
      </w:pPr>
      <w:r w:rsidRPr="00D10954">
        <w:rPr>
          <w:color w:val="000000" w:themeColor="text1"/>
        </w:rPr>
        <w:t>The first of the five change cut points set was the lowest achievable cut point, which is “</w:t>
      </w:r>
      <w:r w:rsidR="09E8F3DA" w:rsidRPr="00D10954">
        <w:rPr>
          <w:color w:val="000000" w:themeColor="text1"/>
        </w:rPr>
        <w:t xml:space="preserve">Declined </w:t>
      </w:r>
      <w:r w:rsidRPr="00D10954">
        <w:rPr>
          <w:color w:val="000000" w:themeColor="text1"/>
        </w:rPr>
        <w:t xml:space="preserve">Significantly” for the </w:t>
      </w:r>
      <w:r w:rsidR="676122E2" w:rsidRPr="00D10954">
        <w:rPr>
          <w:color w:val="000000" w:themeColor="text1"/>
        </w:rPr>
        <w:t>Graduation Rate</w:t>
      </w:r>
      <w:r w:rsidRPr="00D10954">
        <w:rPr>
          <w:color w:val="000000" w:themeColor="text1"/>
        </w:rPr>
        <w:t xml:space="preserve"> Indicator. This cut point was set at an increase of </w:t>
      </w:r>
      <w:r w:rsidR="399D924B" w:rsidRPr="00D10954">
        <w:rPr>
          <w:color w:val="000000" w:themeColor="text1"/>
        </w:rPr>
        <w:t>5</w:t>
      </w:r>
      <w:r w:rsidRPr="00D10954">
        <w:rPr>
          <w:color w:val="000000" w:themeColor="text1"/>
        </w:rPr>
        <w:t xml:space="preserve"> percent</w:t>
      </w:r>
      <w:r w:rsidR="7916EE73" w:rsidRPr="00D10954">
        <w:rPr>
          <w:color w:val="000000" w:themeColor="text1"/>
        </w:rPr>
        <w:t xml:space="preserve"> or more</w:t>
      </w:r>
      <w:r w:rsidRPr="00D10954">
        <w:rPr>
          <w:color w:val="000000" w:themeColor="text1"/>
        </w:rPr>
        <w:t>, which represents a little less than 0-1</w:t>
      </w:r>
      <w:r w:rsidR="3BD615BB" w:rsidRPr="00D10954">
        <w:rPr>
          <w:color w:val="000000" w:themeColor="text1"/>
        </w:rPr>
        <w:t>0</w:t>
      </w:r>
      <w:r w:rsidRPr="00D10954">
        <w:rPr>
          <w:color w:val="000000" w:themeColor="text1"/>
          <w:vertAlign w:val="superscript"/>
        </w:rPr>
        <w:t>th</w:t>
      </w:r>
      <w:r w:rsidRPr="00D10954">
        <w:rPr>
          <w:color w:val="000000" w:themeColor="text1"/>
        </w:rPr>
        <w:t xml:space="preserve"> percentile of the distribution. The next change cut point set was that of “</w:t>
      </w:r>
      <w:r w:rsidR="4A4665A5" w:rsidRPr="00D10954">
        <w:rPr>
          <w:color w:val="000000" w:themeColor="text1"/>
        </w:rPr>
        <w:t>Increased</w:t>
      </w:r>
      <w:r w:rsidRPr="00D10954">
        <w:rPr>
          <w:color w:val="000000" w:themeColor="text1"/>
        </w:rPr>
        <w:t xml:space="preserve">” for the </w:t>
      </w:r>
      <w:r w:rsidR="673F0FA1" w:rsidRPr="00D10954">
        <w:rPr>
          <w:color w:val="000000" w:themeColor="text1"/>
        </w:rPr>
        <w:t xml:space="preserve">Graduation Rate </w:t>
      </w:r>
      <w:r w:rsidRPr="00D10954">
        <w:rPr>
          <w:color w:val="000000" w:themeColor="text1"/>
        </w:rPr>
        <w:t>Indicator. It represented a little more than the 6</w:t>
      </w:r>
      <w:r w:rsidR="408893A0" w:rsidRPr="00D10954">
        <w:rPr>
          <w:color w:val="000000" w:themeColor="text1"/>
        </w:rPr>
        <w:t>0</w:t>
      </w:r>
      <w:r w:rsidRPr="00D10954">
        <w:rPr>
          <w:color w:val="000000" w:themeColor="text1"/>
          <w:vertAlign w:val="superscript"/>
        </w:rPr>
        <w:t>th</w:t>
      </w:r>
      <w:r w:rsidRPr="00D10954">
        <w:rPr>
          <w:color w:val="000000" w:themeColor="text1"/>
        </w:rPr>
        <w:t xml:space="preserve"> to </w:t>
      </w:r>
      <w:r w:rsidR="1B8E59E8" w:rsidRPr="00D10954">
        <w:rPr>
          <w:color w:val="000000" w:themeColor="text1"/>
        </w:rPr>
        <w:t>9</w:t>
      </w:r>
      <w:r w:rsidRPr="00D10954">
        <w:rPr>
          <w:color w:val="000000" w:themeColor="text1"/>
        </w:rPr>
        <w:t>0</w:t>
      </w:r>
      <w:r w:rsidRPr="00D10954">
        <w:rPr>
          <w:color w:val="000000" w:themeColor="text1"/>
          <w:vertAlign w:val="superscript"/>
        </w:rPr>
        <w:t>th</w:t>
      </w:r>
      <w:r w:rsidRPr="00D10954">
        <w:rPr>
          <w:color w:val="000000" w:themeColor="text1"/>
        </w:rPr>
        <w:t xml:space="preserve"> percentile of the distribution. The “Maintained” change level extends from the </w:t>
      </w:r>
      <w:r w:rsidR="7A584228" w:rsidRPr="00D10954">
        <w:rPr>
          <w:color w:val="000000" w:themeColor="text1"/>
        </w:rPr>
        <w:t>3</w:t>
      </w:r>
      <w:r w:rsidRPr="00D10954">
        <w:rPr>
          <w:color w:val="000000" w:themeColor="text1"/>
        </w:rPr>
        <w:t>5</w:t>
      </w:r>
      <w:r w:rsidRPr="00D10954">
        <w:rPr>
          <w:color w:val="000000" w:themeColor="text1"/>
          <w:vertAlign w:val="superscript"/>
        </w:rPr>
        <w:t>th</w:t>
      </w:r>
      <w:r w:rsidRPr="00D10954">
        <w:rPr>
          <w:color w:val="000000" w:themeColor="text1"/>
        </w:rPr>
        <w:t xml:space="preserve"> to 6</w:t>
      </w:r>
      <w:r w:rsidR="47C8E69C" w:rsidRPr="00D10954">
        <w:rPr>
          <w:color w:val="000000" w:themeColor="text1"/>
        </w:rPr>
        <w:t>0</w:t>
      </w:r>
      <w:r w:rsidRPr="00D10954">
        <w:rPr>
          <w:color w:val="000000" w:themeColor="text1"/>
          <w:vertAlign w:val="superscript"/>
        </w:rPr>
        <w:t>th</w:t>
      </w:r>
      <w:r w:rsidRPr="00D10954">
        <w:rPr>
          <w:color w:val="000000" w:themeColor="text1"/>
        </w:rPr>
        <w:t xml:space="preserve"> percentile.</w:t>
      </w:r>
    </w:p>
    <w:p w14:paraId="1048AAB4" w14:textId="32FA0ACC" w:rsidR="30D1C8DE" w:rsidRPr="00D10954" w:rsidRDefault="30D1C8DE" w:rsidP="00127CAF">
      <w:pPr>
        <w:pStyle w:val="Heading4"/>
      </w:pPr>
      <w:r w:rsidRPr="00D10954">
        <w:t>Chronic Absenteeism</w:t>
      </w:r>
    </w:p>
    <w:p w14:paraId="2AB87C0A" w14:textId="13DD978F" w:rsidR="30D1C8DE" w:rsidRPr="00D10954" w:rsidRDefault="00B47B53" w:rsidP="002A4A0A">
      <w:pPr>
        <w:rPr>
          <w:rFonts w:eastAsia="Arial" w:cs="Arial"/>
          <w:color w:val="000000" w:themeColor="text1"/>
        </w:rPr>
      </w:pPr>
      <w:r w:rsidRPr="00D10954">
        <w:rPr>
          <w:rFonts w:eastAsia="Arial" w:cs="Arial"/>
          <w:color w:val="000000" w:themeColor="text1"/>
        </w:rPr>
        <w:t xml:space="preserve">Another example is the </w:t>
      </w:r>
      <w:r w:rsidR="30D1C8DE" w:rsidRPr="00D10954">
        <w:rPr>
          <w:rFonts w:eastAsia="Arial" w:cs="Arial"/>
          <w:color w:val="000000" w:themeColor="text1"/>
        </w:rPr>
        <w:t xml:space="preserve">Chronic Absenteeism </w:t>
      </w:r>
      <w:r w:rsidRPr="00D10954">
        <w:rPr>
          <w:rFonts w:eastAsia="Arial" w:cs="Arial"/>
          <w:color w:val="000000" w:themeColor="text1"/>
        </w:rPr>
        <w:t>indicator</w:t>
      </w:r>
      <w:r w:rsidR="4A4C586F" w:rsidRPr="00D10954">
        <w:rPr>
          <w:rFonts w:eastAsia="Arial" w:cs="Arial"/>
          <w:color w:val="000000" w:themeColor="text1"/>
        </w:rPr>
        <w:t>.</w:t>
      </w:r>
      <w:r w:rsidR="30D1C8DE" w:rsidRPr="00D10954">
        <w:rPr>
          <w:rFonts w:eastAsia="Arial" w:cs="Arial"/>
          <w:color w:val="000000" w:themeColor="text1"/>
        </w:rPr>
        <w:t xml:space="preserve"> The SBE’s goal is for schools and LEAs to decrease their chronic absenteeism rates over time, therefore the results are ordered from largest declines to largest increases.</w:t>
      </w:r>
      <w:r w:rsidRPr="00D10954">
        <w:rPr>
          <w:rFonts w:eastAsia="Arial" w:cs="Arial"/>
          <w:color w:val="000000" w:themeColor="text1"/>
        </w:rPr>
        <w:t xml:space="preserve"> </w:t>
      </w:r>
      <w:r w:rsidR="30D1C8DE" w:rsidRPr="00D10954">
        <w:rPr>
          <w:rFonts w:eastAsia="Arial" w:cs="Arial"/>
          <w:color w:val="000000" w:themeColor="text1"/>
        </w:rPr>
        <w:t xml:space="preserve">The distribution that was used to set the </w:t>
      </w:r>
      <w:r w:rsidR="23BDEED1" w:rsidRPr="00D10954">
        <w:rPr>
          <w:rFonts w:eastAsia="Arial" w:cs="Arial"/>
          <w:color w:val="000000" w:themeColor="text1"/>
        </w:rPr>
        <w:t xml:space="preserve">change </w:t>
      </w:r>
      <w:r w:rsidR="30D1C8DE" w:rsidRPr="00D10954">
        <w:rPr>
          <w:rFonts w:eastAsia="Arial" w:cs="Arial"/>
          <w:color w:val="000000" w:themeColor="text1"/>
        </w:rPr>
        <w:t xml:space="preserve">cut points in 2018 is displayed in Table </w:t>
      </w:r>
      <w:r w:rsidR="0BC4FAA4" w:rsidRPr="00D10954">
        <w:rPr>
          <w:rFonts w:eastAsia="Arial" w:cs="Arial"/>
          <w:color w:val="000000" w:themeColor="text1"/>
        </w:rPr>
        <w:t>7</w:t>
      </w:r>
      <w:r w:rsidR="30D1C8DE" w:rsidRPr="00D10954">
        <w:rPr>
          <w:rFonts w:eastAsia="Arial" w:cs="Arial"/>
          <w:color w:val="000000" w:themeColor="text1"/>
        </w:rPr>
        <w:t>.</w:t>
      </w:r>
    </w:p>
    <w:p w14:paraId="4AD2FCFA" w14:textId="77777777" w:rsidR="006967DC" w:rsidRPr="00D10954" w:rsidRDefault="006967DC">
      <w:pPr>
        <w:spacing w:after="160" w:line="259" w:lineRule="auto"/>
        <w:rPr>
          <w:rStyle w:val="Heading4Char"/>
        </w:rPr>
      </w:pPr>
      <w:r w:rsidRPr="00D10954">
        <w:rPr>
          <w:rStyle w:val="Heading4Char"/>
        </w:rPr>
        <w:br w:type="page"/>
      </w:r>
    </w:p>
    <w:p w14:paraId="147F1AFB" w14:textId="6650F4FA" w:rsidR="00127CAF" w:rsidRPr="00F345FB" w:rsidRDefault="30D1C8DE" w:rsidP="00F345FB">
      <w:pPr>
        <w:pStyle w:val="Heading4"/>
        <w:spacing w:after="0"/>
        <w:rPr>
          <w:rStyle w:val="Heading4Char"/>
          <w:b/>
          <w:iCs/>
        </w:rPr>
      </w:pPr>
      <w:r w:rsidRPr="00F345FB">
        <w:rPr>
          <w:rStyle w:val="Heading4Char"/>
          <w:b/>
          <w:iCs/>
        </w:rPr>
        <w:lastRenderedPageBreak/>
        <w:t xml:space="preserve">Table </w:t>
      </w:r>
      <w:r w:rsidR="2C284B63" w:rsidRPr="00F345FB">
        <w:rPr>
          <w:rStyle w:val="Heading4Char"/>
          <w:b/>
          <w:iCs/>
        </w:rPr>
        <w:t>7</w:t>
      </w:r>
      <w:r w:rsidRPr="00F345FB">
        <w:rPr>
          <w:rStyle w:val="Heading4Char"/>
          <w:b/>
          <w:iCs/>
        </w:rPr>
        <w:t>: Change Distribution</w:t>
      </w:r>
      <w:r w:rsidR="7F0DA10C" w:rsidRPr="00F345FB">
        <w:rPr>
          <w:rStyle w:val="Heading4Char"/>
          <w:b/>
          <w:iCs/>
        </w:rPr>
        <w:t xml:space="preserve"> Used to Set Cut Points in 2018</w:t>
      </w:r>
    </w:p>
    <w:p w14:paraId="13C9892C" w14:textId="77DDD69C" w:rsidR="30D1C8DE" w:rsidRPr="00D10954" w:rsidRDefault="30D1C8DE" w:rsidP="006967DC">
      <w:pPr>
        <w:rPr>
          <w:rFonts w:eastAsia="Arial" w:cs="Arial"/>
          <w:color w:val="000000" w:themeColor="text1"/>
        </w:rPr>
      </w:pPr>
      <w:r w:rsidRPr="00D10954">
        <w:rPr>
          <w:rFonts w:eastAsia="Arial" w:cs="Arial"/>
          <w:color w:val="000000" w:themeColor="text1"/>
        </w:rPr>
        <w:t>(Based on County Office of Education, District, and All Charter School Data)</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able 3: Change Distribution Used to Set Cut Points in 2018"/>
        <w:tblDescription w:val="Table 3: Change Distribution Used to Set Cut Points in 2018"/>
      </w:tblPr>
      <w:tblGrid>
        <w:gridCol w:w="1575"/>
        <w:gridCol w:w="4980"/>
      </w:tblGrid>
      <w:tr w:rsidR="228CF246" w:rsidRPr="00D10954" w14:paraId="47AF322D" w14:textId="77777777" w:rsidTr="00487411">
        <w:trPr>
          <w:cantSplit/>
          <w:tblHeader/>
          <w:jc w:val="center"/>
        </w:trPr>
        <w:tc>
          <w:tcPr>
            <w:tcW w:w="1575" w:type="dxa"/>
            <w:tcBorders>
              <w:top w:val="single" w:sz="6" w:space="0" w:color="auto"/>
              <w:left w:val="single" w:sz="6" w:space="0" w:color="auto"/>
            </w:tcBorders>
            <w:tcMar>
              <w:left w:w="105" w:type="dxa"/>
              <w:right w:w="105" w:type="dxa"/>
            </w:tcMar>
            <w:vAlign w:val="center"/>
          </w:tcPr>
          <w:p w14:paraId="09335EBE" w14:textId="7F0314BE" w:rsidR="228CF246" w:rsidRPr="00D10954" w:rsidRDefault="228CF246" w:rsidP="00F165CC">
            <w:pPr>
              <w:spacing w:after="0"/>
              <w:jc w:val="center"/>
              <w:rPr>
                <w:rFonts w:eastAsia="Arial" w:cs="Arial"/>
                <w:color w:val="000000" w:themeColor="text1"/>
              </w:rPr>
            </w:pPr>
            <w:r w:rsidRPr="00D10954">
              <w:rPr>
                <w:rFonts w:eastAsia="Arial" w:cs="Arial"/>
                <w:b/>
                <w:bCs/>
                <w:color w:val="000000" w:themeColor="text1"/>
              </w:rPr>
              <w:t>Percentile</w:t>
            </w:r>
          </w:p>
        </w:tc>
        <w:tc>
          <w:tcPr>
            <w:tcW w:w="4980" w:type="dxa"/>
            <w:tcBorders>
              <w:top w:val="single" w:sz="6" w:space="0" w:color="auto"/>
              <w:right w:val="single" w:sz="6" w:space="0" w:color="auto"/>
            </w:tcBorders>
            <w:tcMar>
              <w:left w:w="105" w:type="dxa"/>
              <w:right w:w="105" w:type="dxa"/>
            </w:tcMar>
            <w:vAlign w:val="center"/>
          </w:tcPr>
          <w:p w14:paraId="6903A9EA" w14:textId="1ABD7760" w:rsidR="228CF246" w:rsidRPr="00D10954" w:rsidRDefault="228CF246" w:rsidP="00F165CC">
            <w:pPr>
              <w:spacing w:after="0"/>
              <w:jc w:val="center"/>
              <w:rPr>
                <w:rFonts w:eastAsia="Arial" w:cs="Arial"/>
                <w:color w:val="000000" w:themeColor="text1"/>
              </w:rPr>
            </w:pPr>
            <w:r w:rsidRPr="00D10954">
              <w:rPr>
                <w:rFonts w:eastAsia="Arial" w:cs="Arial"/>
                <w:b/>
                <w:bCs/>
                <w:color w:val="000000" w:themeColor="text1"/>
              </w:rPr>
              <w:t>Difference from Prior Year to Current Year</w:t>
            </w:r>
          </w:p>
        </w:tc>
      </w:tr>
      <w:tr w:rsidR="228CF246" w:rsidRPr="00D10954" w14:paraId="3459F15A" w14:textId="77777777" w:rsidTr="00487411">
        <w:trPr>
          <w:cantSplit/>
          <w:tblHeader/>
          <w:jc w:val="center"/>
        </w:trPr>
        <w:tc>
          <w:tcPr>
            <w:tcW w:w="1575" w:type="dxa"/>
            <w:tcBorders>
              <w:left w:val="single" w:sz="6" w:space="0" w:color="auto"/>
            </w:tcBorders>
            <w:tcMar>
              <w:left w:w="105" w:type="dxa"/>
              <w:right w:w="105" w:type="dxa"/>
            </w:tcMar>
            <w:vAlign w:val="center"/>
          </w:tcPr>
          <w:p w14:paraId="21F7F03E" w14:textId="243FCD9A"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95</w:t>
            </w:r>
          </w:p>
        </w:tc>
        <w:tc>
          <w:tcPr>
            <w:tcW w:w="4980" w:type="dxa"/>
            <w:tcBorders>
              <w:right w:val="single" w:sz="6" w:space="0" w:color="auto"/>
            </w:tcBorders>
            <w:tcMar>
              <w:left w:w="105" w:type="dxa"/>
              <w:right w:w="105" w:type="dxa"/>
            </w:tcMar>
            <w:vAlign w:val="center"/>
          </w:tcPr>
          <w:p w14:paraId="51F3C374" w14:textId="38A8B074"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-5.5</w:t>
            </w:r>
            <w:r w:rsidR="453187AB" w:rsidRPr="00D10954">
              <w:rPr>
                <w:rFonts w:eastAsia="Arial" w:cs="Arial"/>
                <w:color w:val="000000" w:themeColor="text1"/>
              </w:rPr>
              <w:t>%</w:t>
            </w:r>
          </w:p>
        </w:tc>
      </w:tr>
      <w:tr w:rsidR="228CF246" w:rsidRPr="00D10954" w14:paraId="4B388272" w14:textId="77777777" w:rsidTr="00487411">
        <w:trPr>
          <w:cantSplit/>
          <w:tblHeader/>
          <w:jc w:val="center"/>
        </w:trPr>
        <w:tc>
          <w:tcPr>
            <w:tcW w:w="1575" w:type="dxa"/>
            <w:tcBorders>
              <w:left w:val="single" w:sz="6" w:space="0" w:color="auto"/>
            </w:tcBorders>
            <w:tcMar>
              <w:left w:w="105" w:type="dxa"/>
              <w:right w:w="105" w:type="dxa"/>
            </w:tcMar>
            <w:vAlign w:val="center"/>
          </w:tcPr>
          <w:p w14:paraId="37C09AEA" w14:textId="2E457DC3"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90</w:t>
            </w:r>
          </w:p>
        </w:tc>
        <w:tc>
          <w:tcPr>
            <w:tcW w:w="4980" w:type="dxa"/>
            <w:tcBorders>
              <w:right w:val="single" w:sz="6" w:space="0" w:color="auto"/>
            </w:tcBorders>
            <w:tcMar>
              <w:left w:w="105" w:type="dxa"/>
              <w:right w:w="105" w:type="dxa"/>
            </w:tcMar>
            <w:vAlign w:val="center"/>
          </w:tcPr>
          <w:p w14:paraId="7335D4EE" w14:textId="06CB74FA"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-3.4</w:t>
            </w:r>
            <w:r w:rsidR="5D2D2EA4" w:rsidRPr="00D10954">
              <w:rPr>
                <w:rFonts w:eastAsia="Arial" w:cs="Arial"/>
                <w:color w:val="000000" w:themeColor="text1"/>
              </w:rPr>
              <w:t>%</w:t>
            </w:r>
          </w:p>
        </w:tc>
      </w:tr>
      <w:tr w:rsidR="228CF246" w:rsidRPr="00D10954" w14:paraId="385F4B8F" w14:textId="77777777" w:rsidTr="00487411">
        <w:trPr>
          <w:cantSplit/>
          <w:tblHeader/>
          <w:jc w:val="center"/>
        </w:trPr>
        <w:tc>
          <w:tcPr>
            <w:tcW w:w="1575" w:type="dxa"/>
            <w:tcBorders>
              <w:left w:val="single" w:sz="6" w:space="0" w:color="auto"/>
            </w:tcBorders>
            <w:tcMar>
              <w:left w:w="105" w:type="dxa"/>
              <w:right w:w="105" w:type="dxa"/>
            </w:tcMar>
            <w:vAlign w:val="center"/>
          </w:tcPr>
          <w:p w14:paraId="3280EB80" w14:textId="51D02FAC"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85</w:t>
            </w:r>
          </w:p>
        </w:tc>
        <w:tc>
          <w:tcPr>
            <w:tcW w:w="4980" w:type="dxa"/>
            <w:tcBorders>
              <w:right w:val="single" w:sz="6" w:space="0" w:color="auto"/>
            </w:tcBorders>
            <w:tcMar>
              <w:left w:w="105" w:type="dxa"/>
              <w:right w:w="105" w:type="dxa"/>
            </w:tcMar>
            <w:vAlign w:val="center"/>
          </w:tcPr>
          <w:p w14:paraId="3FC0A7EB" w14:textId="000ABE55"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-2.3</w:t>
            </w:r>
            <w:r w:rsidR="006DB0D9" w:rsidRPr="00D10954">
              <w:rPr>
                <w:rFonts w:eastAsia="Arial" w:cs="Arial"/>
                <w:color w:val="000000" w:themeColor="text1"/>
              </w:rPr>
              <w:t>%</w:t>
            </w:r>
          </w:p>
        </w:tc>
      </w:tr>
      <w:tr w:rsidR="228CF246" w:rsidRPr="00D10954" w14:paraId="5021D646" w14:textId="77777777" w:rsidTr="00487411">
        <w:trPr>
          <w:cantSplit/>
          <w:tblHeader/>
          <w:jc w:val="center"/>
        </w:trPr>
        <w:tc>
          <w:tcPr>
            <w:tcW w:w="1575" w:type="dxa"/>
            <w:tcBorders>
              <w:left w:val="single" w:sz="6" w:space="0" w:color="auto"/>
            </w:tcBorders>
            <w:tcMar>
              <w:left w:w="105" w:type="dxa"/>
              <w:right w:w="105" w:type="dxa"/>
            </w:tcMar>
            <w:vAlign w:val="center"/>
          </w:tcPr>
          <w:p w14:paraId="7A2DC39A" w14:textId="1AC44355"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80</w:t>
            </w:r>
          </w:p>
        </w:tc>
        <w:tc>
          <w:tcPr>
            <w:tcW w:w="4980" w:type="dxa"/>
            <w:tcBorders>
              <w:right w:val="single" w:sz="6" w:space="0" w:color="auto"/>
            </w:tcBorders>
            <w:tcMar>
              <w:left w:w="105" w:type="dxa"/>
              <w:right w:w="105" w:type="dxa"/>
            </w:tcMar>
            <w:vAlign w:val="center"/>
          </w:tcPr>
          <w:p w14:paraId="40FB243F" w14:textId="2086CA1A"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-1.6</w:t>
            </w:r>
            <w:r w:rsidR="006DB0D9" w:rsidRPr="00D10954">
              <w:rPr>
                <w:rFonts w:eastAsia="Arial" w:cs="Arial"/>
                <w:color w:val="000000" w:themeColor="text1"/>
              </w:rPr>
              <w:t>%</w:t>
            </w:r>
          </w:p>
        </w:tc>
      </w:tr>
      <w:tr w:rsidR="228CF246" w:rsidRPr="00D10954" w14:paraId="08694AC1" w14:textId="77777777" w:rsidTr="00487411">
        <w:trPr>
          <w:cantSplit/>
          <w:tblHeader/>
          <w:jc w:val="center"/>
        </w:trPr>
        <w:tc>
          <w:tcPr>
            <w:tcW w:w="1575" w:type="dxa"/>
            <w:tcBorders>
              <w:left w:val="single" w:sz="6" w:space="0" w:color="auto"/>
            </w:tcBorders>
            <w:tcMar>
              <w:left w:w="105" w:type="dxa"/>
              <w:right w:w="105" w:type="dxa"/>
            </w:tcMar>
            <w:vAlign w:val="center"/>
          </w:tcPr>
          <w:p w14:paraId="2438B7DD" w14:textId="48FEFFB3"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75</w:t>
            </w:r>
          </w:p>
        </w:tc>
        <w:tc>
          <w:tcPr>
            <w:tcW w:w="4980" w:type="dxa"/>
            <w:tcBorders>
              <w:right w:val="single" w:sz="6" w:space="0" w:color="auto"/>
            </w:tcBorders>
            <w:tcMar>
              <w:left w:w="105" w:type="dxa"/>
              <w:right w:w="105" w:type="dxa"/>
            </w:tcMar>
            <w:vAlign w:val="center"/>
          </w:tcPr>
          <w:p w14:paraId="1507EBE7" w14:textId="4F60181D"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-1.2</w:t>
            </w:r>
            <w:r w:rsidR="006DB0D9" w:rsidRPr="00D10954">
              <w:rPr>
                <w:rFonts w:eastAsia="Arial" w:cs="Arial"/>
                <w:color w:val="000000" w:themeColor="text1"/>
              </w:rPr>
              <w:t>%</w:t>
            </w:r>
          </w:p>
        </w:tc>
      </w:tr>
      <w:tr w:rsidR="228CF246" w:rsidRPr="00D10954" w14:paraId="2B8BB4E8" w14:textId="77777777" w:rsidTr="00487411">
        <w:trPr>
          <w:cantSplit/>
          <w:tblHeader/>
          <w:jc w:val="center"/>
        </w:trPr>
        <w:tc>
          <w:tcPr>
            <w:tcW w:w="1575" w:type="dxa"/>
            <w:tcBorders>
              <w:left w:val="single" w:sz="6" w:space="0" w:color="auto"/>
            </w:tcBorders>
            <w:tcMar>
              <w:left w:w="105" w:type="dxa"/>
              <w:right w:w="105" w:type="dxa"/>
            </w:tcMar>
            <w:vAlign w:val="center"/>
          </w:tcPr>
          <w:p w14:paraId="71999273" w14:textId="7E9F13D4"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70</w:t>
            </w:r>
          </w:p>
        </w:tc>
        <w:tc>
          <w:tcPr>
            <w:tcW w:w="4980" w:type="dxa"/>
            <w:tcBorders>
              <w:right w:val="single" w:sz="6" w:space="0" w:color="auto"/>
            </w:tcBorders>
            <w:tcMar>
              <w:left w:w="105" w:type="dxa"/>
              <w:right w:w="105" w:type="dxa"/>
            </w:tcMar>
            <w:vAlign w:val="center"/>
          </w:tcPr>
          <w:p w14:paraId="1E3AE3EA" w14:textId="72FE8160"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-0.7</w:t>
            </w:r>
            <w:r w:rsidR="07B468A3" w:rsidRPr="00D10954">
              <w:rPr>
                <w:rFonts w:eastAsia="Arial" w:cs="Arial"/>
                <w:color w:val="000000" w:themeColor="text1"/>
              </w:rPr>
              <w:t>%</w:t>
            </w:r>
          </w:p>
        </w:tc>
      </w:tr>
      <w:tr w:rsidR="228CF246" w:rsidRPr="00D10954" w14:paraId="366F092B" w14:textId="77777777" w:rsidTr="00487411">
        <w:trPr>
          <w:cantSplit/>
          <w:tblHeader/>
          <w:jc w:val="center"/>
        </w:trPr>
        <w:tc>
          <w:tcPr>
            <w:tcW w:w="1575" w:type="dxa"/>
            <w:tcBorders>
              <w:left w:val="single" w:sz="6" w:space="0" w:color="auto"/>
            </w:tcBorders>
            <w:tcMar>
              <w:left w:w="105" w:type="dxa"/>
              <w:right w:w="105" w:type="dxa"/>
            </w:tcMar>
            <w:vAlign w:val="center"/>
          </w:tcPr>
          <w:p w14:paraId="1D0128F3" w14:textId="5F217BA2"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65</w:t>
            </w:r>
          </w:p>
        </w:tc>
        <w:tc>
          <w:tcPr>
            <w:tcW w:w="4980" w:type="dxa"/>
            <w:tcBorders>
              <w:right w:val="single" w:sz="6" w:space="0" w:color="auto"/>
            </w:tcBorders>
            <w:tcMar>
              <w:left w:w="105" w:type="dxa"/>
              <w:right w:w="105" w:type="dxa"/>
            </w:tcMar>
            <w:vAlign w:val="center"/>
          </w:tcPr>
          <w:p w14:paraId="71648470" w14:textId="3325F8E4"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-0.5</w:t>
            </w:r>
            <w:r w:rsidR="07B468A3" w:rsidRPr="00D10954">
              <w:rPr>
                <w:rFonts w:eastAsia="Arial" w:cs="Arial"/>
                <w:color w:val="000000" w:themeColor="text1"/>
              </w:rPr>
              <w:t>%</w:t>
            </w:r>
          </w:p>
        </w:tc>
      </w:tr>
      <w:tr w:rsidR="228CF246" w:rsidRPr="00D10954" w14:paraId="25295C72" w14:textId="77777777" w:rsidTr="00487411">
        <w:trPr>
          <w:cantSplit/>
          <w:tblHeader/>
          <w:jc w:val="center"/>
        </w:trPr>
        <w:tc>
          <w:tcPr>
            <w:tcW w:w="1575" w:type="dxa"/>
            <w:tcBorders>
              <w:left w:val="single" w:sz="6" w:space="0" w:color="auto"/>
            </w:tcBorders>
            <w:tcMar>
              <w:left w:w="105" w:type="dxa"/>
              <w:right w:w="105" w:type="dxa"/>
            </w:tcMar>
            <w:vAlign w:val="center"/>
          </w:tcPr>
          <w:p w14:paraId="351B56D3" w14:textId="2C4DC274"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60</w:t>
            </w:r>
          </w:p>
        </w:tc>
        <w:tc>
          <w:tcPr>
            <w:tcW w:w="4980" w:type="dxa"/>
            <w:tcBorders>
              <w:right w:val="single" w:sz="6" w:space="0" w:color="auto"/>
            </w:tcBorders>
            <w:tcMar>
              <w:left w:w="105" w:type="dxa"/>
              <w:right w:w="105" w:type="dxa"/>
            </w:tcMar>
            <w:vAlign w:val="center"/>
          </w:tcPr>
          <w:p w14:paraId="316E056F" w14:textId="4CABC4A9"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-0.2</w:t>
            </w:r>
            <w:r w:rsidR="07B468A3" w:rsidRPr="00D10954">
              <w:rPr>
                <w:rFonts w:eastAsia="Arial" w:cs="Arial"/>
                <w:color w:val="000000" w:themeColor="text1"/>
              </w:rPr>
              <w:t>%</w:t>
            </w:r>
          </w:p>
        </w:tc>
      </w:tr>
      <w:tr w:rsidR="228CF246" w:rsidRPr="00D10954" w14:paraId="6A5BC2F2" w14:textId="77777777" w:rsidTr="00487411">
        <w:trPr>
          <w:cantSplit/>
          <w:tblHeader/>
          <w:jc w:val="center"/>
        </w:trPr>
        <w:tc>
          <w:tcPr>
            <w:tcW w:w="1575" w:type="dxa"/>
            <w:tcBorders>
              <w:left w:val="single" w:sz="6" w:space="0" w:color="auto"/>
            </w:tcBorders>
            <w:tcMar>
              <w:left w:w="105" w:type="dxa"/>
              <w:right w:w="105" w:type="dxa"/>
            </w:tcMar>
            <w:vAlign w:val="center"/>
          </w:tcPr>
          <w:p w14:paraId="3F60F3FA" w14:textId="72CE8120"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55</w:t>
            </w:r>
          </w:p>
        </w:tc>
        <w:tc>
          <w:tcPr>
            <w:tcW w:w="4980" w:type="dxa"/>
            <w:tcBorders>
              <w:right w:val="single" w:sz="6" w:space="0" w:color="auto"/>
            </w:tcBorders>
            <w:tcMar>
              <w:left w:w="105" w:type="dxa"/>
              <w:right w:w="105" w:type="dxa"/>
            </w:tcMar>
            <w:vAlign w:val="center"/>
          </w:tcPr>
          <w:p w14:paraId="054407A8" w14:textId="4A86E750"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0.0</w:t>
            </w:r>
            <w:r w:rsidR="07B468A3" w:rsidRPr="00D10954">
              <w:rPr>
                <w:rFonts w:eastAsia="Arial" w:cs="Arial"/>
                <w:color w:val="000000" w:themeColor="text1"/>
              </w:rPr>
              <w:t>%</w:t>
            </w:r>
          </w:p>
        </w:tc>
      </w:tr>
      <w:tr w:rsidR="228CF246" w:rsidRPr="00D10954" w14:paraId="5D39B824" w14:textId="77777777" w:rsidTr="00487411">
        <w:trPr>
          <w:cantSplit/>
          <w:tblHeader/>
          <w:jc w:val="center"/>
        </w:trPr>
        <w:tc>
          <w:tcPr>
            <w:tcW w:w="1575" w:type="dxa"/>
            <w:tcBorders>
              <w:left w:val="single" w:sz="6" w:space="0" w:color="auto"/>
            </w:tcBorders>
            <w:tcMar>
              <w:left w:w="105" w:type="dxa"/>
              <w:right w:w="105" w:type="dxa"/>
            </w:tcMar>
            <w:vAlign w:val="center"/>
          </w:tcPr>
          <w:p w14:paraId="7C536B4F" w14:textId="59D0E5E7"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50</w:t>
            </w:r>
          </w:p>
        </w:tc>
        <w:tc>
          <w:tcPr>
            <w:tcW w:w="4980" w:type="dxa"/>
            <w:tcBorders>
              <w:right w:val="single" w:sz="6" w:space="0" w:color="auto"/>
            </w:tcBorders>
            <w:tcMar>
              <w:left w:w="105" w:type="dxa"/>
              <w:right w:w="105" w:type="dxa"/>
            </w:tcMar>
            <w:vAlign w:val="center"/>
          </w:tcPr>
          <w:p w14:paraId="36AF0E1B" w14:textId="2FF923FA"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0.1</w:t>
            </w:r>
            <w:r w:rsidR="38FB28BE" w:rsidRPr="00D10954">
              <w:rPr>
                <w:rFonts w:eastAsia="Arial" w:cs="Arial"/>
                <w:color w:val="000000" w:themeColor="text1"/>
              </w:rPr>
              <w:t>%</w:t>
            </w:r>
          </w:p>
        </w:tc>
      </w:tr>
      <w:tr w:rsidR="228CF246" w:rsidRPr="00D10954" w14:paraId="142E3547" w14:textId="77777777" w:rsidTr="00487411">
        <w:trPr>
          <w:cantSplit/>
          <w:tblHeader/>
          <w:jc w:val="center"/>
        </w:trPr>
        <w:tc>
          <w:tcPr>
            <w:tcW w:w="1575" w:type="dxa"/>
            <w:tcBorders>
              <w:left w:val="single" w:sz="6" w:space="0" w:color="auto"/>
            </w:tcBorders>
            <w:tcMar>
              <w:left w:w="105" w:type="dxa"/>
              <w:right w:w="105" w:type="dxa"/>
            </w:tcMar>
            <w:vAlign w:val="center"/>
          </w:tcPr>
          <w:p w14:paraId="7D491F5C" w14:textId="6064EB85"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45</w:t>
            </w:r>
          </w:p>
        </w:tc>
        <w:tc>
          <w:tcPr>
            <w:tcW w:w="4980" w:type="dxa"/>
            <w:tcBorders>
              <w:right w:val="single" w:sz="6" w:space="0" w:color="auto"/>
            </w:tcBorders>
            <w:tcMar>
              <w:left w:w="105" w:type="dxa"/>
              <w:right w:w="105" w:type="dxa"/>
            </w:tcMar>
            <w:vAlign w:val="center"/>
          </w:tcPr>
          <w:p w14:paraId="4A2BFB77" w14:textId="7887A5A7"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0.4</w:t>
            </w:r>
            <w:r w:rsidR="38FB28BE" w:rsidRPr="00D10954">
              <w:rPr>
                <w:rFonts w:eastAsia="Arial" w:cs="Arial"/>
                <w:color w:val="000000" w:themeColor="text1"/>
              </w:rPr>
              <w:t>%</w:t>
            </w:r>
          </w:p>
        </w:tc>
      </w:tr>
      <w:tr w:rsidR="228CF246" w:rsidRPr="00D10954" w14:paraId="68770142" w14:textId="77777777" w:rsidTr="00487411">
        <w:trPr>
          <w:cantSplit/>
          <w:tblHeader/>
          <w:jc w:val="center"/>
        </w:trPr>
        <w:tc>
          <w:tcPr>
            <w:tcW w:w="1575" w:type="dxa"/>
            <w:tcBorders>
              <w:left w:val="single" w:sz="6" w:space="0" w:color="auto"/>
            </w:tcBorders>
            <w:tcMar>
              <w:left w:w="105" w:type="dxa"/>
              <w:right w:w="105" w:type="dxa"/>
            </w:tcMar>
            <w:vAlign w:val="center"/>
          </w:tcPr>
          <w:p w14:paraId="2DD3D9FA" w14:textId="2BCBB1A5"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40</w:t>
            </w:r>
          </w:p>
        </w:tc>
        <w:tc>
          <w:tcPr>
            <w:tcW w:w="4980" w:type="dxa"/>
            <w:tcBorders>
              <w:right w:val="single" w:sz="6" w:space="0" w:color="auto"/>
            </w:tcBorders>
            <w:tcMar>
              <w:left w:w="105" w:type="dxa"/>
              <w:right w:w="105" w:type="dxa"/>
            </w:tcMar>
            <w:vAlign w:val="center"/>
          </w:tcPr>
          <w:p w14:paraId="044065B4" w14:textId="7E8E1E5C"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0.6</w:t>
            </w:r>
            <w:r w:rsidR="38FB28BE" w:rsidRPr="00D10954">
              <w:rPr>
                <w:rFonts w:eastAsia="Arial" w:cs="Arial"/>
                <w:color w:val="000000" w:themeColor="text1"/>
              </w:rPr>
              <w:t>%</w:t>
            </w:r>
          </w:p>
        </w:tc>
      </w:tr>
      <w:tr w:rsidR="228CF246" w:rsidRPr="00D10954" w14:paraId="651C7A32" w14:textId="77777777" w:rsidTr="00487411">
        <w:trPr>
          <w:cantSplit/>
          <w:tblHeader/>
          <w:jc w:val="center"/>
        </w:trPr>
        <w:tc>
          <w:tcPr>
            <w:tcW w:w="1575" w:type="dxa"/>
            <w:tcBorders>
              <w:left w:val="single" w:sz="6" w:space="0" w:color="auto"/>
            </w:tcBorders>
            <w:tcMar>
              <w:left w:w="105" w:type="dxa"/>
              <w:right w:w="105" w:type="dxa"/>
            </w:tcMar>
            <w:vAlign w:val="center"/>
          </w:tcPr>
          <w:p w14:paraId="700C293C" w14:textId="6D47007D"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35</w:t>
            </w:r>
          </w:p>
        </w:tc>
        <w:tc>
          <w:tcPr>
            <w:tcW w:w="4980" w:type="dxa"/>
            <w:tcBorders>
              <w:right w:val="single" w:sz="6" w:space="0" w:color="auto"/>
            </w:tcBorders>
            <w:tcMar>
              <w:left w:w="105" w:type="dxa"/>
              <w:right w:w="105" w:type="dxa"/>
            </w:tcMar>
            <w:vAlign w:val="center"/>
          </w:tcPr>
          <w:p w14:paraId="0DA69B27" w14:textId="475E17B0"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0.9</w:t>
            </w:r>
            <w:r w:rsidR="6AC9CD6C" w:rsidRPr="00D10954">
              <w:rPr>
                <w:rFonts w:eastAsia="Arial" w:cs="Arial"/>
                <w:color w:val="000000" w:themeColor="text1"/>
              </w:rPr>
              <w:t>%</w:t>
            </w:r>
          </w:p>
        </w:tc>
      </w:tr>
      <w:tr w:rsidR="228CF246" w:rsidRPr="00D10954" w14:paraId="017F7D19" w14:textId="77777777" w:rsidTr="00487411">
        <w:trPr>
          <w:cantSplit/>
          <w:tblHeader/>
          <w:jc w:val="center"/>
        </w:trPr>
        <w:tc>
          <w:tcPr>
            <w:tcW w:w="1575" w:type="dxa"/>
            <w:tcBorders>
              <w:left w:val="single" w:sz="6" w:space="0" w:color="auto"/>
            </w:tcBorders>
            <w:tcMar>
              <w:left w:w="105" w:type="dxa"/>
              <w:right w:w="105" w:type="dxa"/>
            </w:tcMar>
            <w:vAlign w:val="center"/>
          </w:tcPr>
          <w:p w14:paraId="5A28EC0B" w14:textId="55E2FA4B"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30</w:t>
            </w:r>
          </w:p>
        </w:tc>
        <w:tc>
          <w:tcPr>
            <w:tcW w:w="4980" w:type="dxa"/>
            <w:tcBorders>
              <w:right w:val="single" w:sz="6" w:space="0" w:color="auto"/>
            </w:tcBorders>
            <w:tcMar>
              <w:left w:w="105" w:type="dxa"/>
              <w:right w:w="105" w:type="dxa"/>
            </w:tcMar>
            <w:vAlign w:val="center"/>
          </w:tcPr>
          <w:p w14:paraId="7FD9F7A6" w14:textId="3B18B755"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1.2</w:t>
            </w:r>
            <w:r w:rsidR="6AC9CD6C" w:rsidRPr="00D10954">
              <w:rPr>
                <w:rFonts w:eastAsia="Arial" w:cs="Arial"/>
                <w:color w:val="000000" w:themeColor="text1"/>
              </w:rPr>
              <w:t>%</w:t>
            </w:r>
          </w:p>
        </w:tc>
      </w:tr>
      <w:tr w:rsidR="228CF246" w:rsidRPr="00D10954" w14:paraId="36CCCCA5" w14:textId="77777777" w:rsidTr="00487411">
        <w:trPr>
          <w:cantSplit/>
          <w:tblHeader/>
          <w:jc w:val="center"/>
        </w:trPr>
        <w:tc>
          <w:tcPr>
            <w:tcW w:w="1575" w:type="dxa"/>
            <w:tcBorders>
              <w:left w:val="single" w:sz="6" w:space="0" w:color="auto"/>
            </w:tcBorders>
            <w:tcMar>
              <w:left w:w="105" w:type="dxa"/>
              <w:right w:w="105" w:type="dxa"/>
            </w:tcMar>
            <w:vAlign w:val="center"/>
          </w:tcPr>
          <w:p w14:paraId="3ACA1045" w14:textId="60E5A9AC"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25</w:t>
            </w:r>
          </w:p>
        </w:tc>
        <w:tc>
          <w:tcPr>
            <w:tcW w:w="4980" w:type="dxa"/>
            <w:tcBorders>
              <w:right w:val="single" w:sz="6" w:space="0" w:color="auto"/>
            </w:tcBorders>
            <w:tcMar>
              <w:left w:w="105" w:type="dxa"/>
              <w:right w:w="105" w:type="dxa"/>
            </w:tcMar>
            <w:vAlign w:val="center"/>
          </w:tcPr>
          <w:p w14:paraId="44C66719" w14:textId="1F5F6581"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1.6</w:t>
            </w:r>
            <w:r w:rsidR="3DFD59F0" w:rsidRPr="00D10954">
              <w:rPr>
                <w:rFonts w:eastAsia="Arial" w:cs="Arial"/>
                <w:color w:val="000000" w:themeColor="text1"/>
              </w:rPr>
              <w:t>%</w:t>
            </w:r>
          </w:p>
        </w:tc>
      </w:tr>
      <w:tr w:rsidR="228CF246" w:rsidRPr="00D10954" w14:paraId="560110C3" w14:textId="77777777" w:rsidTr="00487411">
        <w:trPr>
          <w:cantSplit/>
          <w:tblHeader/>
          <w:jc w:val="center"/>
        </w:trPr>
        <w:tc>
          <w:tcPr>
            <w:tcW w:w="1575" w:type="dxa"/>
            <w:tcBorders>
              <w:left w:val="single" w:sz="6" w:space="0" w:color="auto"/>
            </w:tcBorders>
            <w:tcMar>
              <w:left w:w="105" w:type="dxa"/>
              <w:right w:w="105" w:type="dxa"/>
            </w:tcMar>
            <w:vAlign w:val="center"/>
          </w:tcPr>
          <w:p w14:paraId="25F0DA7B" w14:textId="6CCEF3DB"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20</w:t>
            </w:r>
          </w:p>
        </w:tc>
        <w:tc>
          <w:tcPr>
            <w:tcW w:w="4980" w:type="dxa"/>
            <w:tcBorders>
              <w:right w:val="single" w:sz="6" w:space="0" w:color="auto"/>
            </w:tcBorders>
            <w:tcMar>
              <w:left w:w="105" w:type="dxa"/>
              <w:right w:w="105" w:type="dxa"/>
            </w:tcMar>
            <w:vAlign w:val="center"/>
          </w:tcPr>
          <w:p w14:paraId="0C27A335" w14:textId="766C50AD"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2.1</w:t>
            </w:r>
            <w:r w:rsidR="05770F71" w:rsidRPr="00D10954">
              <w:rPr>
                <w:rFonts w:eastAsia="Arial" w:cs="Arial"/>
                <w:color w:val="000000" w:themeColor="text1"/>
              </w:rPr>
              <w:t>%</w:t>
            </w:r>
          </w:p>
        </w:tc>
      </w:tr>
      <w:tr w:rsidR="228CF246" w:rsidRPr="00D10954" w14:paraId="45E2A84A" w14:textId="77777777" w:rsidTr="00487411">
        <w:trPr>
          <w:cantSplit/>
          <w:tblHeader/>
          <w:jc w:val="center"/>
        </w:trPr>
        <w:tc>
          <w:tcPr>
            <w:tcW w:w="1575" w:type="dxa"/>
            <w:tcBorders>
              <w:left w:val="single" w:sz="6" w:space="0" w:color="auto"/>
            </w:tcBorders>
            <w:tcMar>
              <w:left w:w="105" w:type="dxa"/>
              <w:right w:w="105" w:type="dxa"/>
            </w:tcMar>
            <w:vAlign w:val="center"/>
          </w:tcPr>
          <w:p w14:paraId="41746364" w14:textId="0B582591"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15</w:t>
            </w:r>
          </w:p>
        </w:tc>
        <w:tc>
          <w:tcPr>
            <w:tcW w:w="4980" w:type="dxa"/>
            <w:tcBorders>
              <w:right w:val="single" w:sz="6" w:space="0" w:color="auto"/>
            </w:tcBorders>
            <w:tcMar>
              <w:left w:w="105" w:type="dxa"/>
              <w:right w:w="105" w:type="dxa"/>
            </w:tcMar>
            <w:vAlign w:val="center"/>
          </w:tcPr>
          <w:p w14:paraId="2E48BA72" w14:textId="589C4A5E"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2.8</w:t>
            </w:r>
            <w:r w:rsidR="05770F71" w:rsidRPr="00D10954">
              <w:rPr>
                <w:rFonts w:eastAsia="Arial" w:cs="Arial"/>
                <w:color w:val="000000" w:themeColor="text1"/>
              </w:rPr>
              <w:t>%</w:t>
            </w:r>
          </w:p>
        </w:tc>
      </w:tr>
      <w:tr w:rsidR="228CF246" w:rsidRPr="00D10954" w14:paraId="6A44A0F3" w14:textId="77777777" w:rsidTr="00487411">
        <w:trPr>
          <w:cantSplit/>
          <w:tblHeader/>
          <w:jc w:val="center"/>
        </w:trPr>
        <w:tc>
          <w:tcPr>
            <w:tcW w:w="1575" w:type="dxa"/>
            <w:tcBorders>
              <w:left w:val="single" w:sz="6" w:space="0" w:color="auto"/>
            </w:tcBorders>
            <w:tcMar>
              <w:left w:w="105" w:type="dxa"/>
              <w:right w:w="105" w:type="dxa"/>
            </w:tcMar>
            <w:vAlign w:val="center"/>
          </w:tcPr>
          <w:p w14:paraId="3ECDBA29" w14:textId="705B5702"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10</w:t>
            </w:r>
          </w:p>
        </w:tc>
        <w:tc>
          <w:tcPr>
            <w:tcW w:w="4980" w:type="dxa"/>
            <w:tcBorders>
              <w:right w:val="single" w:sz="6" w:space="0" w:color="auto"/>
            </w:tcBorders>
            <w:tcMar>
              <w:left w:w="105" w:type="dxa"/>
              <w:right w:w="105" w:type="dxa"/>
            </w:tcMar>
            <w:vAlign w:val="center"/>
          </w:tcPr>
          <w:p w14:paraId="5D156BBB" w14:textId="33DD9B25"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4.2</w:t>
            </w:r>
            <w:r w:rsidR="05770F71" w:rsidRPr="00D10954">
              <w:rPr>
                <w:rFonts w:eastAsia="Arial" w:cs="Arial"/>
                <w:color w:val="000000" w:themeColor="text1"/>
              </w:rPr>
              <w:t>%</w:t>
            </w:r>
          </w:p>
        </w:tc>
      </w:tr>
      <w:tr w:rsidR="228CF246" w:rsidRPr="00D10954" w14:paraId="6BF14288" w14:textId="77777777" w:rsidTr="00487411">
        <w:trPr>
          <w:cantSplit/>
          <w:tblHeader/>
          <w:jc w:val="center"/>
        </w:trPr>
        <w:tc>
          <w:tcPr>
            <w:tcW w:w="1575" w:type="dxa"/>
            <w:tcBorders>
              <w:left w:val="single" w:sz="6" w:space="0" w:color="auto"/>
              <w:bottom w:val="single" w:sz="6" w:space="0" w:color="auto"/>
            </w:tcBorders>
            <w:tcMar>
              <w:left w:w="105" w:type="dxa"/>
              <w:right w:w="105" w:type="dxa"/>
            </w:tcMar>
            <w:vAlign w:val="center"/>
          </w:tcPr>
          <w:p w14:paraId="2F1E352D" w14:textId="677030F8" w:rsidR="228CF246" w:rsidRPr="00D10954" w:rsidRDefault="228CF246" w:rsidP="00F165CC">
            <w:pPr>
              <w:spacing w:after="0"/>
              <w:ind w:left="60" w:right="60"/>
              <w:jc w:val="center"/>
              <w:rPr>
                <w:rFonts w:eastAsia="Arial" w:cs="Arial"/>
                <w:color w:val="000000" w:themeColor="text1"/>
              </w:rPr>
            </w:pPr>
            <w:r w:rsidRPr="00D10954">
              <w:rPr>
                <w:rFonts w:eastAsia="Arial" w:cs="Arial"/>
                <w:color w:val="000000" w:themeColor="text1"/>
              </w:rPr>
              <w:t>5</w:t>
            </w:r>
          </w:p>
        </w:tc>
        <w:tc>
          <w:tcPr>
            <w:tcW w:w="4980" w:type="dxa"/>
            <w:tcBorders>
              <w:bottom w:val="single" w:sz="6" w:space="0" w:color="auto"/>
              <w:right w:val="single" w:sz="6" w:space="0" w:color="auto"/>
            </w:tcBorders>
            <w:tcMar>
              <w:left w:w="105" w:type="dxa"/>
              <w:right w:w="105" w:type="dxa"/>
            </w:tcMar>
            <w:vAlign w:val="center"/>
          </w:tcPr>
          <w:p w14:paraId="19D7926D" w14:textId="2331DAB0" w:rsidR="228CF246" w:rsidRPr="00D10954" w:rsidRDefault="211B3E40" w:rsidP="00F165CC">
            <w:pPr>
              <w:spacing w:after="0"/>
              <w:ind w:left="60" w:right="60"/>
              <w:jc w:val="center"/>
              <w:rPr>
                <w:rFonts w:eastAsia="Arial" w:cs="Arial"/>
                <w:color w:val="000000" w:themeColor="text1"/>
              </w:rPr>
            </w:pPr>
            <w:r w:rsidRPr="00D10954">
              <w:rPr>
                <w:rFonts w:eastAsia="Arial" w:cs="Arial"/>
                <w:color w:val="000000" w:themeColor="text1"/>
              </w:rPr>
              <w:t>6.8</w:t>
            </w:r>
            <w:r w:rsidR="4F399342" w:rsidRPr="00D10954">
              <w:rPr>
                <w:rFonts w:eastAsia="Arial" w:cs="Arial"/>
                <w:color w:val="000000" w:themeColor="text1"/>
              </w:rPr>
              <w:t>%</w:t>
            </w:r>
          </w:p>
        </w:tc>
      </w:tr>
    </w:tbl>
    <w:p w14:paraId="61A17C5B" w14:textId="1C74C4BA" w:rsidR="30D1C8DE" w:rsidRPr="00D10954" w:rsidRDefault="00127CAF" w:rsidP="005D6C1F">
      <w:pPr>
        <w:rPr>
          <w:rFonts w:eastAsia="Arial" w:cs="Arial"/>
          <w:color w:val="000000" w:themeColor="text1"/>
        </w:rPr>
      </w:pPr>
      <w:r w:rsidRPr="00D10954">
        <w:rPr>
          <w:rFonts w:eastAsia="Arial" w:cs="Arial"/>
          <w:color w:val="000000" w:themeColor="text1"/>
        </w:rPr>
        <w:t>Based on simulations and recommendations produced by the CDE, the SBE approved the</w:t>
      </w:r>
      <w:r w:rsidR="30D1C8DE" w:rsidRPr="00D10954">
        <w:rPr>
          <w:rFonts w:eastAsia="Arial" w:cs="Arial"/>
          <w:color w:val="000000" w:themeColor="text1"/>
        </w:rPr>
        <w:t xml:space="preserve"> Change cut points shown in Table </w:t>
      </w:r>
      <w:r w:rsidR="0113711F" w:rsidRPr="00D10954">
        <w:rPr>
          <w:rFonts w:eastAsia="Arial" w:cs="Arial"/>
          <w:color w:val="000000" w:themeColor="text1"/>
        </w:rPr>
        <w:t>8</w:t>
      </w:r>
      <w:r w:rsidR="30D1C8DE" w:rsidRPr="00D10954">
        <w:rPr>
          <w:rFonts w:eastAsia="Arial" w:cs="Arial"/>
          <w:color w:val="000000" w:themeColor="text1"/>
        </w:rPr>
        <w:t>.</w:t>
      </w:r>
    </w:p>
    <w:p w14:paraId="0D22F237" w14:textId="303D6E35" w:rsidR="30D1C8DE" w:rsidRPr="00D10954" w:rsidRDefault="30D1C8DE" w:rsidP="00127CAF">
      <w:pPr>
        <w:pStyle w:val="Heading4"/>
      </w:pPr>
      <w:r w:rsidRPr="00D10954">
        <w:t xml:space="preserve">Table </w:t>
      </w:r>
      <w:r w:rsidR="75ADD0E6" w:rsidRPr="00D10954">
        <w:t>8</w:t>
      </w:r>
      <w:r w:rsidRPr="00D10954">
        <w:t xml:space="preserve">: Recommended Change Cut </w:t>
      </w:r>
      <w:r w:rsidR="41D15370" w:rsidRPr="00D10954">
        <w:t>Points</w:t>
      </w:r>
      <w:r w:rsidRPr="00D10954">
        <w:t xml:space="preserve"> for the Chronic Absenteeism Indicator</w:t>
      </w:r>
    </w:p>
    <w:tbl>
      <w:tblPr>
        <w:tblStyle w:val="TableGrid"/>
        <w:tblW w:w="9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able 4: Recommended Change Cut Scores for the Chronic Absenteeism Indicator"/>
        <w:tblDescription w:val="Table 4: Recommended Change Cut Scores for the Chronic Absenteeism Indicator"/>
      </w:tblPr>
      <w:tblGrid>
        <w:gridCol w:w="1752"/>
        <w:gridCol w:w="3984"/>
        <w:gridCol w:w="3984"/>
      </w:tblGrid>
      <w:tr w:rsidR="228CF246" w:rsidRPr="00D10954" w14:paraId="6DE9ECBA" w14:textId="3197FD7F" w:rsidTr="6944AD4D">
        <w:trPr>
          <w:cantSplit/>
          <w:trHeight w:val="540"/>
          <w:tblHeader/>
        </w:trPr>
        <w:tc>
          <w:tcPr>
            <w:tcW w:w="1752" w:type="dxa"/>
            <w:tcBorders>
              <w:top w:val="single" w:sz="6" w:space="0" w:color="auto"/>
              <w:left w:val="single" w:sz="6" w:space="0" w:color="auto"/>
            </w:tcBorders>
            <w:shd w:val="clear" w:color="auto" w:fill="D9D9D9" w:themeFill="background1" w:themeFillShade="D9"/>
            <w:tcMar>
              <w:left w:w="105" w:type="dxa"/>
              <w:right w:w="105" w:type="dxa"/>
            </w:tcMar>
            <w:vAlign w:val="center"/>
          </w:tcPr>
          <w:p w14:paraId="66BFD59E" w14:textId="554B6DB5" w:rsidR="228CF246" w:rsidRPr="00D10954" w:rsidRDefault="228CF246" w:rsidP="005D6C1F">
            <w:pPr>
              <w:rPr>
                <w:rFonts w:eastAsia="Arial" w:cs="Arial"/>
              </w:rPr>
            </w:pPr>
            <w:r w:rsidRPr="00D10954">
              <w:rPr>
                <w:rFonts w:eastAsia="Arial" w:cs="Arial"/>
                <w:b/>
                <w:bCs/>
              </w:rPr>
              <w:t>Change Level</w:t>
            </w:r>
          </w:p>
        </w:tc>
        <w:tc>
          <w:tcPr>
            <w:tcW w:w="3984" w:type="dxa"/>
            <w:tcBorders>
              <w:top w:val="single" w:sz="6" w:space="0" w:color="auto"/>
              <w:right w:val="single" w:sz="6" w:space="0" w:color="auto"/>
            </w:tcBorders>
            <w:shd w:val="clear" w:color="auto" w:fill="D9D9D9" w:themeFill="background1" w:themeFillShade="D9"/>
            <w:tcMar>
              <w:left w:w="105" w:type="dxa"/>
              <w:right w:w="105" w:type="dxa"/>
            </w:tcMar>
            <w:vAlign w:val="center"/>
          </w:tcPr>
          <w:p w14:paraId="18DEF184" w14:textId="563E699A" w:rsidR="228CF246" w:rsidRPr="00D10954" w:rsidRDefault="228CF246" w:rsidP="005D6C1F">
            <w:pPr>
              <w:rPr>
                <w:rFonts w:eastAsia="Arial" w:cs="Arial"/>
              </w:rPr>
            </w:pPr>
            <w:r w:rsidRPr="00D10954">
              <w:rPr>
                <w:rFonts w:eastAsia="Arial" w:cs="Arial"/>
                <w:b/>
                <w:bCs/>
              </w:rPr>
              <w:t xml:space="preserve">Change Cut </w:t>
            </w:r>
            <w:r w:rsidR="41D15370" w:rsidRPr="00D10954">
              <w:rPr>
                <w:rFonts w:eastAsia="Arial" w:cs="Arial"/>
                <w:b/>
                <w:bCs/>
              </w:rPr>
              <w:t>Points</w:t>
            </w:r>
          </w:p>
        </w:tc>
        <w:tc>
          <w:tcPr>
            <w:tcW w:w="3984" w:type="dxa"/>
            <w:tcBorders>
              <w:top w:val="single" w:sz="6" w:space="0" w:color="auto"/>
              <w:right w:val="single" w:sz="6" w:space="0" w:color="auto"/>
            </w:tcBorders>
            <w:shd w:val="clear" w:color="auto" w:fill="D9D9D9" w:themeFill="background1" w:themeFillShade="D9"/>
            <w:tcMar>
              <w:left w:w="105" w:type="dxa"/>
              <w:right w:w="105" w:type="dxa"/>
            </w:tcMar>
            <w:vAlign w:val="center"/>
          </w:tcPr>
          <w:p w14:paraId="43BE123D" w14:textId="5BD10089" w:rsidR="055B543D" w:rsidRPr="00D10954" w:rsidRDefault="055B543D" w:rsidP="7239CA79">
            <w:pPr>
              <w:rPr>
                <w:rFonts w:eastAsia="Arial" w:cs="Arial"/>
                <w:b/>
                <w:bCs/>
              </w:rPr>
            </w:pPr>
            <w:r w:rsidRPr="00D10954">
              <w:rPr>
                <w:rFonts w:eastAsia="Arial" w:cs="Arial"/>
                <w:b/>
                <w:bCs/>
              </w:rPr>
              <w:t xml:space="preserve">Approximate </w:t>
            </w:r>
            <w:r w:rsidR="61BA055E" w:rsidRPr="00D10954">
              <w:rPr>
                <w:rFonts w:eastAsia="Arial" w:cs="Arial"/>
                <w:b/>
                <w:bCs/>
              </w:rPr>
              <w:t xml:space="preserve">Percentiles </w:t>
            </w:r>
            <w:r w:rsidR="2EA17B83" w:rsidRPr="00D10954">
              <w:rPr>
                <w:rFonts w:eastAsia="Arial" w:cs="Arial"/>
                <w:b/>
                <w:bCs/>
              </w:rPr>
              <w:t>Represented</w:t>
            </w:r>
          </w:p>
        </w:tc>
      </w:tr>
      <w:tr w:rsidR="228CF246" w:rsidRPr="00D10954" w14:paraId="56415D3C" w14:textId="3172E553" w:rsidTr="6944AD4D">
        <w:trPr>
          <w:cantSplit/>
          <w:trHeight w:val="540"/>
          <w:tblHeader/>
        </w:trPr>
        <w:tc>
          <w:tcPr>
            <w:tcW w:w="1752" w:type="dxa"/>
            <w:tcBorders>
              <w:left w:val="single" w:sz="6" w:space="0" w:color="auto"/>
            </w:tcBorders>
            <w:tcMar>
              <w:left w:w="105" w:type="dxa"/>
              <w:right w:w="105" w:type="dxa"/>
            </w:tcMar>
            <w:vAlign w:val="center"/>
          </w:tcPr>
          <w:p w14:paraId="09741EC7" w14:textId="0801F9B7" w:rsidR="228CF246" w:rsidRPr="00D10954" w:rsidRDefault="228CF246" w:rsidP="005D6C1F">
            <w:pPr>
              <w:rPr>
                <w:rFonts w:eastAsia="Arial" w:cs="Arial"/>
              </w:rPr>
            </w:pPr>
            <w:r w:rsidRPr="00D10954">
              <w:rPr>
                <w:rFonts w:eastAsia="Arial" w:cs="Arial"/>
              </w:rPr>
              <w:t>Declined Significantly</w:t>
            </w:r>
          </w:p>
        </w:tc>
        <w:tc>
          <w:tcPr>
            <w:tcW w:w="3984" w:type="dxa"/>
            <w:tcBorders>
              <w:right w:val="single" w:sz="6" w:space="0" w:color="auto"/>
            </w:tcBorders>
            <w:tcMar>
              <w:left w:w="105" w:type="dxa"/>
              <w:right w:w="105" w:type="dxa"/>
            </w:tcMar>
            <w:vAlign w:val="center"/>
          </w:tcPr>
          <w:p w14:paraId="61203877" w14:textId="55FE57CF" w:rsidR="228CF246" w:rsidRPr="00D10954" w:rsidRDefault="228CF246" w:rsidP="005D6C1F">
            <w:pPr>
              <w:rPr>
                <w:rFonts w:eastAsia="Arial" w:cs="Arial"/>
              </w:rPr>
            </w:pPr>
            <w:r w:rsidRPr="00D10954">
              <w:rPr>
                <w:rFonts w:eastAsia="Arial" w:cs="Arial"/>
              </w:rPr>
              <w:t xml:space="preserve">Chronic absenteeism rate declined by 3% or more </w:t>
            </w:r>
          </w:p>
        </w:tc>
        <w:tc>
          <w:tcPr>
            <w:tcW w:w="3984" w:type="dxa"/>
            <w:tcBorders>
              <w:right w:val="single" w:sz="6" w:space="0" w:color="auto"/>
            </w:tcBorders>
            <w:tcMar>
              <w:left w:w="105" w:type="dxa"/>
              <w:right w:w="105" w:type="dxa"/>
            </w:tcMar>
            <w:vAlign w:val="center"/>
          </w:tcPr>
          <w:p w14:paraId="7A11B868" w14:textId="119B2977" w:rsidR="1FA24B40" w:rsidRPr="00D10954" w:rsidRDefault="1FA24B40" w:rsidP="7239CA79">
            <w:pPr>
              <w:rPr>
                <w:rFonts w:eastAsia="Arial" w:cs="Arial"/>
              </w:rPr>
            </w:pPr>
            <w:r w:rsidRPr="00D10954">
              <w:rPr>
                <w:rFonts w:eastAsia="Arial" w:cs="Arial"/>
              </w:rPr>
              <w:t xml:space="preserve">Above the </w:t>
            </w:r>
            <w:r w:rsidR="193BB4DC" w:rsidRPr="00D10954">
              <w:rPr>
                <w:rFonts w:eastAsia="Arial" w:cs="Arial"/>
              </w:rPr>
              <w:t>90</w:t>
            </w:r>
            <w:r w:rsidR="193BB4DC" w:rsidRPr="00D10954">
              <w:rPr>
                <w:rFonts w:eastAsia="Arial" w:cs="Arial"/>
                <w:vertAlign w:val="superscript"/>
              </w:rPr>
              <w:t>th</w:t>
            </w:r>
            <w:r w:rsidR="193BB4DC" w:rsidRPr="00D10954">
              <w:rPr>
                <w:rFonts w:eastAsia="Arial" w:cs="Arial"/>
              </w:rPr>
              <w:t xml:space="preserve"> percentile</w:t>
            </w:r>
          </w:p>
        </w:tc>
      </w:tr>
      <w:tr w:rsidR="228CF246" w:rsidRPr="00D10954" w14:paraId="1DDFDB4D" w14:textId="75CC0F3D" w:rsidTr="6944AD4D">
        <w:trPr>
          <w:cantSplit/>
          <w:trHeight w:val="540"/>
          <w:tblHeader/>
        </w:trPr>
        <w:tc>
          <w:tcPr>
            <w:tcW w:w="1752" w:type="dxa"/>
            <w:tcBorders>
              <w:left w:val="single" w:sz="6" w:space="0" w:color="auto"/>
            </w:tcBorders>
            <w:tcMar>
              <w:left w:w="105" w:type="dxa"/>
              <w:right w:w="105" w:type="dxa"/>
            </w:tcMar>
            <w:vAlign w:val="center"/>
          </w:tcPr>
          <w:p w14:paraId="7F668D8F" w14:textId="23E0BD97" w:rsidR="228CF246" w:rsidRPr="00D10954" w:rsidRDefault="228CF246" w:rsidP="005D6C1F">
            <w:pPr>
              <w:rPr>
                <w:rFonts w:eastAsia="Arial" w:cs="Arial"/>
              </w:rPr>
            </w:pPr>
            <w:r w:rsidRPr="00D10954">
              <w:rPr>
                <w:rFonts w:eastAsia="Arial" w:cs="Arial"/>
              </w:rPr>
              <w:t>Declined</w:t>
            </w:r>
          </w:p>
        </w:tc>
        <w:tc>
          <w:tcPr>
            <w:tcW w:w="3984" w:type="dxa"/>
            <w:tcBorders>
              <w:right w:val="single" w:sz="6" w:space="0" w:color="auto"/>
            </w:tcBorders>
            <w:tcMar>
              <w:left w:w="105" w:type="dxa"/>
              <w:right w:w="105" w:type="dxa"/>
            </w:tcMar>
            <w:vAlign w:val="center"/>
          </w:tcPr>
          <w:p w14:paraId="4181B529" w14:textId="48847F96" w:rsidR="228CF246" w:rsidRPr="00D10954" w:rsidRDefault="228CF246" w:rsidP="005D6C1F">
            <w:pPr>
              <w:rPr>
                <w:rFonts w:eastAsia="Arial" w:cs="Arial"/>
              </w:rPr>
            </w:pPr>
            <w:r w:rsidRPr="00D10954">
              <w:rPr>
                <w:rFonts w:eastAsia="Arial" w:cs="Arial"/>
              </w:rPr>
              <w:t>Chronic absenteeism rate declined by 0.5% to 2.9%</w:t>
            </w:r>
          </w:p>
        </w:tc>
        <w:tc>
          <w:tcPr>
            <w:tcW w:w="3984" w:type="dxa"/>
            <w:tcBorders>
              <w:right w:val="single" w:sz="6" w:space="0" w:color="auto"/>
            </w:tcBorders>
            <w:tcMar>
              <w:left w:w="105" w:type="dxa"/>
              <w:right w:w="105" w:type="dxa"/>
            </w:tcMar>
            <w:vAlign w:val="center"/>
          </w:tcPr>
          <w:p w14:paraId="744B027F" w14:textId="3A310D95" w:rsidR="28BF1741" w:rsidRPr="00D10954" w:rsidRDefault="28BF1741" w:rsidP="7239CA79">
            <w:pPr>
              <w:rPr>
                <w:rFonts w:eastAsia="Arial" w:cs="Arial"/>
              </w:rPr>
            </w:pPr>
            <w:r w:rsidRPr="00D10954">
              <w:rPr>
                <w:rFonts w:eastAsia="Arial" w:cs="Arial"/>
              </w:rPr>
              <w:t>65</w:t>
            </w:r>
            <w:r w:rsidR="0D76EC58" w:rsidRPr="00D10954">
              <w:rPr>
                <w:rFonts w:eastAsia="Arial" w:cs="Arial"/>
                <w:vertAlign w:val="superscript"/>
              </w:rPr>
              <w:t>th</w:t>
            </w:r>
            <w:r w:rsidR="0D76EC58" w:rsidRPr="00D10954">
              <w:rPr>
                <w:rFonts w:eastAsia="Arial" w:cs="Arial"/>
              </w:rPr>
              <w:t xml:space="preserve"> to</w:t>
            </w:r>
            <w:r w:rsidRPr="00D10954">
              <w:rPr>
                <w:rFonts w:eastAsia="Arial" w:cs="Arial"/>
                <w:vertAlign w:val="superscript"/>
              </w:rPr>
              <w:t xml:space="preserve"> </w:t>
            </w:r>
            <w:r w:rsidRPr="00D10954">
              <w:rPr>
                <w:rFonts w:eastAsia="Arial" w:cs="Arial"/>
              </w:rPr>
              <w:t>90</w:t>
            </w:r>
            <w:r w:rsidRPr="00D10954">
              <w:rPr>
                <w:rFonts w:eastAsia="Arial" w:cs="Arial"/>
                <w:vertAlign w:val="superscript"/>
              </w:rPr>
              <w:t>th</w:t>
            </w:r>
            <w:r w:rsidRPr="00D10954">
              <w:rPr>
                <w:rFonts w:eastAsia="Arial" w:cs="Arial"/>
              </w:rPr>
              <w:t xml:space="preserve"> </w:t>
            </w:r>
            <w:r w:rsidR="081189DA" w:rsidRPr="00D10954">
              <w:rPr>
                <w:rFonts w:eastAsia="Arial" w:cs="Arial"/>
              </w:rPr>
              <w:t>percentile</w:t>
            </w:r>
          </w:p>
        </w:tc>
      </w:tr>
      <w:tr w:rsidR="228CF246" w:rsidRPr="00D10954" w14:paraId="60FC1057" w14:textId="4B44CDA9" w:rsidTr="6944AD4D">
        <w:trPr>
          <w:cantSplit/>
          <w:trHeight w:val="540"/>
          <w:tblHeader/>
        </w:trPr>
        <w:tc>
          <w:tcPr>
            <w:tcW w:w="1752" w:type="dxa"/>
            <w:tcBorders>
              <w:left w:val="single" w:sz="6" w:space="0" w:color="auto"/>
            </w:tcBorders>
            <w:tcMar>
              <w:left w:w="105" w:type="dxa"/>
              <w:right w:w="105" w:type="dxa"/>
            </w:tcMar>
            <w:vAlign w:val="center"/>
          </w:tcPr>
          <w:p w14:paraId="03787B97" w14:textId="32E2F99D" w:rsidR="228CF246" w:rsidRPr="00D10954" w:rsidRDefault="228CF246" w:rsidP="005D6C1F">
            <w:pPr>
              <w:rPr>
                <w:rFonts w:eastAsia="Arial" w:cs="Arial"/>
              </w:rPr>
            </w:pPr>
            <w:r w:rsidRPr="00D10954">
              <w:rPr>
                <w:rFonts w:eastAsia="Arial" w:cs="Arial"/>
              </w:rPr>
              <w:t>Maintained</w:t>
            </w:r>
          </w:p>
        </w:tc>
        <w:tc>
          <w:tcPr>
            <w:tcW w:w="3984" w:type="dxa"/>
            <w:tcBorders>
              <w:right w:val="single" w:sz="6" w:space="0" w:color="auto"/>
            </w:tcBorders>
            <w:tcMar>
              <w:left w:w="105" w:type="dxa"/>
              <w:right w:w="105" w:type="dxa"/>
            </w:tcMar>
            <w:vAlign w:val="center"/>
          </w:tcPr>
          <w:p w14:paraId="01229F45" w14:textId="15243727" w:rsidR="228CF246" w:rsidRPr="00D10954" w:rsidRDefault="228CF246" w:rsidP="005D6C1F">
            <w:pPr>
              <w:rPr>
                <w:rFonts w:eastAsia="Arial" w:cs="Arial"/>
              </w:rPr>
            </w:pPr>
            <w:r w:rsidRPr="00D10954">
              <w:rPr>
                <w:rFonts w:eastAsia="Arial" w:cs="Arial"/>
              </w:rPr>
              <w:t>Chronic absenteeism rate declined or increased by 0.4%</w:t>
            </w:r>
          </w:p>
        </w:tc>
        <w:tc>
          <w:tcPr>
            <w:tcW w:w="3984" w:type="dxa"/>
            <w:tcBorders>
              <w:right w:val="single" w:sz="6" w:space="0" w:color="auto"/>
            </w:tcBorders>
            <w:tcMar>
              <w:left w:w="105" w:type="dxa"/>
              <w:right w:w="105" w:type="dxa"/>
            </w:tcMar>
            <w:vAlign w:val="center"/>
          </w:tcPr>
          <w:p w14:paraId="766301E9" w14:textId="42284463" w:rsidR="49BE6047" w:rsidRPr="00D10954" w:rsidRDefault="49BE6047" w:rsidP="7239CA79">
            <w:pPr>
              <w:rPr>
                <w:rFonts w:eastAsia="Arial" w:cs="Arial"/>
              </w:rPr>
            </w:pPr>
            <w:r w:rsidRPr="00D10954">
              <w:rPr>
                <w:rFonts w:eastAsia="Arial" w:cs="Arial"/>
              </w:rPr>
              <w:t>45</w:t>
            </w:r>
            <w:r w:rsidR="0C41413F" w:rsidRPr="00D10954">
              <w:rPr>
                <w:rFonts w:eastAsia="Arial" w:cs="Arial"/>
                <w:vertAlign w:val="superscript"/>
              </w:rPr>
              <w:t>th</w:t>
            </w:r>
            <w:r w:rsidR="0C41413F" w:rsidRPr="00D10954">
              <w:rPr>
                <w:rFonts w:eastAsia="Arial" w:cs="Arial"/>
              </w:rPr>
              <w:t xml:space="preserve"> to </w:t>
            </w:r>
            <w:r w:rsidRPr="00D10954">
              <w:rPr>
                <w:rFonts w:eastAsia="Arial" w:cs="Arial"/>
              </w:rPr>
              <w:t>6</w:t>
            </w:r>
            <w:r w:rsidR="3F480CBF" w:rsidRPr="00D10954">
              <w:rPr>
                <w:rFonts w:eastAsia="Arial" w:cs="Arial"/>
              </w:rPr>
              <w:t>5</w:t>
            </w:r>
            <w:r w:rsidR="3F480CBF" w:rsidRPr="00D10954">
              <w:rPr>
                <w:rFonts w:eastAsia="Arial" w:cs="Arial"/>
                <w:vertAlign w:val="superscript"/>
              </w:rPr>
              <w:t>th</w:t>
            </w:r>
            <w:r w:rsidR="3F480CBF" w:rsidRPr="00D10954">
              <w:rPr>
                <w:rFonts w:eastAsia="Arial" w:cs="Arial"/>
              </w:rPr>
              <w:t xml:space="preserve"> percentile</w:t>
            </w:r>
          </w:p>
        </w:tc>
      </w:tr>
      <w:tr w:rsidR="228CF246" w:rsidRPr="00D10954" w14:paraId="3EBA3787" w14:textId="5AF9DF08" w:rsidTr="6944AD4D">
        <w:trPr>
          <w:cantSplit/>
          <w:trHeight w:val="540"/>
          <w:tblHeader/>
        </w:trPr>
        <w:tc>
          <w:tcPr>
            <w:tcW w:w="1752" w:type="dxa"/>
            <w:tcBorders>
              <w:left w:val="single" w:sz="6" w:space="0" w:color="auto"/>
            </w:tcBorders>
            <w:tcMar>
              <w:left w:w="105" w:type="dxa"/>
              <w:right w:w="105" w:type="dxa"/>
            </w:tcMar>
            <w:vAlign w:val="center"/>
          </w:tcPr>
          <w:p w14:paraId="75A9569D" w14:textId="7E459259" w:rsidR="228CF246" w:rsidRPr="00D10954" w:rsidRDefault="228CF246" w:rsidP="005D6C1F">
            <w:pPr>
              <w:rPr>
                <w:rFonts w:eastAsia="Arial" w:cs="Arial"/>
              </w:rPr>
            </w:pPr>
            <w:r w:rsidRPr="00D10954">
              <w:rPr>
                <w:rFonts w:eastAsia="Arial" w:cs="Arial"/>
              </w:rPr>
              <w:t>Increased</w:t>
            </w:r>
          </w:p>
        </w:tc>
        <w:tc>
          <w:tcPr>
            <w:tcW w:w="3984" w:type="dxa"/>
            <w:tcBorders>
              <w:right w:val="single" w:sz="6" w:space="0" w:color="auto"/>
            </w:tcBorders>
            <w:tcMar>
              <w:left w:w="105" w:type="dxa"/>
              <w:right w:w="105" w:type="dxa"/>
            </w:tcMar>
            <w:vAlign w:val="center"/>
          </w:tcPr>
          <w:p w14:paraId="0337A48D" w14:textId="74E81E06" w:rsidR="228CF246" w:rsidRPr="00D10954" w:rsidRDefault="228CF246" w:rsidP="005D6C1F">
            <w:pPr>
              <w:rPr>
                <w:rFonts w:eastAsia="Arial" w:cs="Arial"/>
              </w:rPr>
            </w:pPr>
            <w:r w:rsidRPr="00D10954">
              <w:rPr>
                <w:rFonts w:eastAsia="Arial" w:cs="Arial"/>
              </w:rPr>
              <w:t>Chronic absenteeism rate increased by 0.5% to 2.9%</w:t>
            </w:r>
          </w:p>
        </w:tc>
        <w:tc>
          <w:tcPr>
            <w:tcW w:w="3984" w:type="dxa"/>
            <w:tcBorders>
              <w:right w:val="single" w:sz="6" w:space="0" w:color="auto"/>
            </w:tcBorders>
            <w:tcMar>
              <w:left w:w="105" w:type="dxa"/>
              <w:right w:w="105" w:type="dxa"/>
            </w:tcMar>
            <w:vAlign w:val="center"/>
          </w:tcPr>
          <w:p w14:paraId="46050824" w14:textId="078BBF18" w:rsidR="74581B01" w:rsidRPr="00D10954" w:rsidRDefault="74581B01" w:rsidP="7239CA79">
            <w:pPr>
              <w:rPr>
                <w:rFonts w:eastAsia="Arial" w:cs="Arial"/>
              </w:rPr>
            </w:pPr>
            <w:r w:rsidRPr="00D10954">
              <w:rPr>
                <w:rFonts w:eastAsia="Arial" w:cs="Arial"/>
              </w:rPr>
              <w:t>15</w:t>
            </w:r>
            <w:r w:rsidR="121A0E74" w:rsidRPr="00D10954">
              <w:rPr>
                <w:rFonts w:eastAsia="Arial" w:cs="Arial"/>
                <w:vertAlign w:val="superscript"/>
              </w:rPr>
              <w:t>th</w:t>
            </w:r>
            <w:r w:rsidR="121A0E74" w:rsidRPr="00D10954">
              <w:rPr>
                <w:rFonts w:eastAsia="Arial" w:cs="Arial"/>
              </w:rPr>
              <w:t xml:space="preserve"> to </w:t>
            </w:r>
            <w:r w:rsidRPr="00D10954">
              <w:rPr>
                <w:rFonts w:eastAsia="Arial" w:cs="Arial"/>
              </w:rPr>
              <w:t>45</w:t>
            </w:r>
            <w:r w:rsidR="1AFF0C9C" w:rsidRPr="00D10954">
              <w:rPr>
                <w:rFonts w:eastAsia="Arial" w:cs="Arial"/>
                <w:vertAlign w:val="superscript"/>
              </w:rPr>
              <w:t>th</w:t>
            </w:r>
            <w:r w:rsidR="1AFF0C9C" w:rsidRPr="00D10954">
              <w:rPr>
                <w:rFonts w:eastAsia="Arial" w:cs="Arial"/>
              </w:rPr>
              <w:t xml:space="preserve"> percentile</w:t>
            </w:r>
          </w:p>
        </w:tc>
      </w:tr>
      <w:tr w:rsidR="228CF246" w:rsidRPr="00D10954" w14:paraId="0D93C0A8" w14:textId="26429C4E" w:rsidTr="6944AD4D">
        <w:trPr>
          <w:cantSplit/>
          <w:trHeight w:val="540"/>
          <w:tblHeader/>
        </w:trPr>
        <w:tc>
          <w:tcPr>
            <w:tcW w:w="1752" w:type="dxa"/>
            <w:tcBorders>
              <w:left w:val="single" w:sz="6" w:space="0" w:color="auto"/>
              <w:bottom w:val="single" w:sz="6" w:space="0" w:color="auto"/>
            </w:tcBorders>
            <w:tcMar>
              <w:left w:w="105" w:type="dxa"/>
              <w:right w:w="105" w:type="dxa"/>
            </w:tcMar>
            <w:vAlign w:val="center"/>
          </w:tcPr>
          <w:p w14:paraId="67C42438" w14:textId="06A68354" w:rsidR="228CF246" w:rsidRPr="00D10954" w:rsidRDefault="228CF246" w:rsidP="005D6C1F">
            <w:pPr>
              <w:rPr>
                <w:rFonts w:eastAsia="Arial" w:cs="Arial"/>
              </w:rPr>
            </w:pPr>
            <w:r w:rsidRPr="00D10954">
              <w:rPr>
                <w:rFonts w:eastAsia="Arial" w:cs="Arial"/>
              </w:rPr>
              <w:t>Increased Significantly  </w:t>
            </w:r>
          </w:p>
        </w:tc>
        <w:tc>
          <w:tcPr>
            <w:tcW w:w="3984" w:type="dxa"/>
            <w:tcBorders>
              <w:bottom w:val="single" w:sz="6" w:space="0" w:color="auto"/>
              <w:right w:val="single" w:sz="6" w:space="0" w:color="auto"/>
            </w:tcBorders>
            <w:tcMar>
              <w:left w:w="105" w:type="dxa"/>
              <w:right w:w="105" w:type="dxa"/>
            </w:tcMar>
            <w:vAlign w:val="center"/>
          </w:tcPr>
          <w:p w14:paraId="00291738" w14:textId="183F0525" w:rsidR="228CF246" w:rsidRPr="00D10954" w:rsidRDefault="228CF246" w:rsidP="005D6C1F">
            <w:pPr>
              <w:rPr>
                <w:rFonts w:eastAsia="Arial" w:cs="Arial"/>
              </w:rPr>
            </w:pPr>
            <w:r w:rsidRPr="00D10954">
              <w:rPr>
                <w:rFonts w:eastAsia="Arial" w:cs="Arial"/>
              </w:rPr>
              <w:t>Chronic absenteeism rate increased by 3% or more</w:t>
            </w:r>
          </w:p>
        </w:tc>
        <w:tc>
          <w:tcPr>
            <w:tcW w:w="3984" w:type="dxa"/>
            <w:tcBorders>
              <w:bottom w:val="single" w:sz="6" w:space="0" w:color="auto"/>
              <w:right w:val="single" w:sz="6" w:space="0" w:color="auto"/>
            </w:tcBorders>
            <w:tcMar>
              <w:left w:w="105" w:type="dxa"/>
              <w:right w:w="105" w:type="dxa"/>
            </w:tcMar>
            <w:vAlign w:val="center"/>
          </w:tcPr>
          <w:p w14:paraId="653C62D6" w14:textId="472D4ACC" w:rsidR="7DD22A2C" w:rsidRPr="00D10954" w:rsidRDefault="7DD22A2C" w:rsidP="7239CA79">
            <w:pPr>
              <w:rPr>
                <w:rFonts w:eastAsia="Arial" w:cs="Arial"/>
              </w:rPr>
            </w:pPr>
            <w:r w:rsidRPr="00D10954">
              <w:rPr>
                <w:rFonts w:eastAsia="Arial" w:cs="Arial"/>
              </w:rPr>
              <w:t xml:space="preserve">Below the </w:t>
            </w:r>
            <w:r w:rsidR="0BBEB313" w:rsidRPr="00D10954">
              <w:rPr>
                <w:rFonts w:eastAsia="Arial" w:cs="Arial"/>
              </w:rPr>
              <w:t>15</w:t>
            </w:r>
            <w:r w:rsidR="32DB2DC5" w:rsidRPr="00D10954">
              <w:rPr>
                <w:rFonts w:eastAsia="Arial" w:cs="Arial"/>
                <w:vertAlign w:val="superscript"/>
              </w:rPr>
              <w:t>th</w:t>
            </w:r>
            <w:r w:rsidR="32DB2DC5" w:rsidRPr="00D10954">
              <w:rPr>
                <w:rFonts w:eastAsia="Arial" w:cs="Arial"/>
              </w:rPr>
              <w:t xml:space="preserve"> percentile</w:t>
            </w:r>
          </w:p>
        </w:tc>
      </w:tr>
    </w:tbl>
    <w:p w14:paraId="5B036C5B" w14:textId="4C17C193" w:rsidR="49440A07" w:rsidRPr="00D10954" w:rsidRDefault="49440A07" w:rsidP="00AD697A">
      <w:pPr>
        <w:rPr>
          <w:color w:val="000000" w:themeColor="text1"/>
        </w:rPr>
      </w:pPr>
      <w:r w:rsidRPr="00D10954">
        <w:rPr>
          <w:color w:val="000000" w:themeColor="text1"/>
        </w:rPr>
        <w:lastRenderedPageBreak/>
        <w:t xml:space="preserve">The </w:t>
      </w:r>
      <w:r w:rsidR="00961CCB" w:rsidRPr="00D10954">
        <w:rPr>
          <w:color w:val="000000" w:themeColor="text1"/>
        </w:rPr>
        <w:t>first of the five</w:t>
      </w:r>
      <w:r w:rsidRPr="00D10954">
        <w:rPr>
          <w:color w:val="000000" w:themeColor="text1"/>
        </w:rPr>
        <w:t xml:space="preserve"> change cut point</w:t>
      </w:r>
      <w:r w:rsidR="00961CCB" w:rsidRPr="00D10954">
        <w:rPr>
          <w:color w:val="000000" w:themeColor="text1"/>
        </w:rPr>
        <w:t>s</w:t>
      </w:r>
      <w:r w:rsidRPr="00D10954">
        <w:rPr>
          <w:color w:val="000000" w:themeColor="text1"/>
        </w:rPr>
        <w:t xml:space="preserve"> set was the lowest achievable cut point, which is “</w:t>
      </w:r>
      <w:r w:rsidR="6EFB7BE0" w:rsidRPr="00D10954">
        <w:rPr>
          <w:color w:val="000000" w:themeColor="text1"/>
        </w:rPr>
        <w:t xml:space="preserve">Increased </w:t>
      </w:r>
      <w:r w:rsidRPr="00D10954">
        <w:rPr>
          <w:color w:val="000000" w:themeColor="text1"/>
        </w:rPr>
        <w:t>Significantly” for the Chronic Absenteeism Indicator. This cut point was set at an increase of 3</w:t>
      </w:r>
      <w:r w:rsidR="00127CAF" w:rsidRPr="00D10954">
        <w:rPr>
          <w:color w:val="000000" w:themeColor="text1"/>
        </w:rPr>
        <w:t xml:space="preserve"> percent</w:t>
      </w:r>
      <w:r w:rsidRPr="00D10954">
        <w:rPr>
          <w:color w:val="000000" w:themeColor="text1"/>
        </w:rPr>
        <w:t xml:space="preserve">, which represents a little </w:t>
      </w:r>
      <w:r w:rsidR="5D8554F5" w:rsidRPr="00D10954">
        <w:rPr>
          <w:color w:val="000000" w:themeColor="text1"/>
        </w:rPr>
        <w:t xml:space="preserve">less </w:t>
      </w:r>
      <w:r w:rsidRPr="00D10954">
        <w:rPr>
          <w:color w:val="000000" w:themeColor="text1"/>
        </w:rPr>
        <w:t>than 0-1</w:t>
      </w:r>
      <w:r w:rsidR="5C777893" w:rsidRPr="00D10954">
        <w:rPr>
          <w:color w:val="000000" w:themeColor="text1"/>
        </w:rPr>
        <w:t>5</w:t>
      </w:r>
      <w:r w:rsidRPr="00D10954">
        <w:rPr>
          <w:color w:val="000000" w:themeColor="text1"/>
          <w:vertAlign w:val="superscript"/>
        </w:rPr>
        <w:t>th</w:t>
      </w:r>
      <w:r w:rsidRPr="00D10954">
        <w:rPr>
          <w:color w:val="000000" w:themeColor="text1"/>
        </w:rPr>
        <w:t xml:space="preserve"> percentile of the distribution. The next </w:t>
      </w:r>
      <w:r w:rsidR="7F2F9342" w:rsidRPr="00D10954">
        <w:rPr>
          <w:color w:val="000000" w:themeColor="text1"/>
        </w:rPr>
        <w:t>change</w:t>
      </w:r>
      <w:r w:rsidRPr="00D10954">
        <w:rPr>
          <w:color w:val="000000" w:themeColor="text1"/>
        </w:rPr>
        <w:t xml:space="preserve"> cut point set was that of </w:t>
      </w:r>
      <w:r w:rsidR="4A729E36" w:rsidRPr="00D10954">
        <w:rPr>
          <w:color w:val="000000" w:themeColor="text1"/>
        </w:rPr>
        <w:t>“Declined</w:t>
      </w:r>
      <w:r w:rsidRPr="00D10954">
        <w:rPr>
          <w:color w:val="000000" w:themeColor="text1"/>
        </w:rPr>
        <w:t xml:space="preserve">” for the Chronic Absenteeism Indicator. It represented </w:t>
      </w:r>
      <w:r w:rsidR="5F78197B" w:rsidRPr="00D10954">
        <w:rPr>
          <w:color w:val="000000" w:themeColor="text1"/>
        </w:rPr>
        <w:t xml:space="preserve">a little more than </w:t>
      </w:r>
      <w:r w:rsidRPr="00D10954">
        <w:rPr>
          <w:color w:val="000000" w:themeColor="text1"/>
        </w:rPr>
        <w:t xml:space="preserve">the </w:t>
      </w:r>
      <w:r w:rsidR="11991EDB" w:rsidRPr="00D10954">
        <w:rPr>
          <w:color w:val="000000" w:themeColor="text1"/>
        </w:rPr>
        <w:t>6</w:t>
      </w:r>
      <w:r w:rsidRPr="00D10954">
        <w:rPr>
          <w:color w:val="000000" w:themeColor="text1"/>
        </w:rPr>
        <w:t>5</w:t>
      </w:r>
      <w:r w:rsidRPr="00D10954">
        <w:rPr>
          <w:color w:val="000000" w:themeColor="text1"/>
          <w:vertAlign w:val="superscript"/>
        </w:rPr>
        <w:t>th</w:t>
      </w:r>
      <w:r w:rsidRPr="00D10954">
        <w:rPr>
          <w:color w:val="000000" w:themeColor="text1"/>
        </w:rPr>
        <w:t xml:space="preserve"> to </w:t>
      </w:r>
      <w:r w:rsidR="7E568F2D" w:rsidRPr="00D10954">
        <w:rPr>
          <w:color w:val="000000" w:themeColor="text1"/>
        </w:rPr>
        <w:t>8</w:t>
      </w:r>
      <w:r w:rsidRPr="00D10954">
        <w:rPr>
          <w:color w:val="000000" w:themeColor="text1"/>
        </w:rPr>
        <w:t>0</w:t>
      </w:r>
      <w:r w:rsidRPr="00D10954">
        <w:rPr>
          <w:color w:val="000000" w:themeColor="text1"/>
          <w:vertAlign w:val="superscript"/>
        </w:rPr>
        <w:t>th</w:t>
      </w:r>
      <w:r w:rsidRPr="00D10954">
        <w:rPr>
          <w:color w:val="000000" w:themeColor="text1"/>
        </w:rPr>
        <w:t xml:space="preserve"> percentile of the distribution. The</w:t>
      </w:r>
      <w:r w:rsidR="12AD3D2D" w:rsidRPr="00D10954">
        <w:rPr>
          <w:color w:val="000000" w:themeColor="text1"/>
        </w:rPr>
        <w:t xml:space="preserve"> </w:t>
      </w:r>
      <w:r w:rsidRPr="00D10954">
        <w:rPr>
          <w:color w:val="000000" w:themeColor="text1"/>
        </w:rPr>
        <w:t>“M</w:t>
      </w:r>
      <w:r w:rsidR="26725648" w:rsidRPr="00D10954">
        <w:rPr>
          <w:color w:val="000000" w:themeColor="text1"/>
        </w:rPr>
        <w:t>aintained</w:t>
      </w:r>
      <w:r w:rsidRPr="00D10954">
        <w:rPr>
          <w:color w:val="000000" w:themeColor="text1"/>
        </w:rPr>
        <w:t xml:space="preserve">” </w:t>
      </w:r>
      <w:r w:rsidR="31E18722" w:rsidRPr="00D10954">
        <w:rPr>
          <w:color w:val="000000" w:themeColor="text1"/>
        </w:rPr>
        <w:t>change level</w:t>
      </w:r>
      <w:r w:rsidR="2BADFB23" w:rsidRPr="00D10954">
        <w:rPr>
          <w:color w:val="000000" w:themeColor="text1"/>
        </w:rPr>
        <w:t xml:space="preserve"> </w:t>
      </w:r>
      <w:r w:rsidR="2C155956" w:rsidRPr="00D10954">
        <w:rPr>
          <w:color w:val="000000" w:themeColor="text1"/>
        </w:rPr>
        <w:t>extends</w:t>
      </w:r>
      <w:r w:rsidRPr="00D10954">
        <w:rPr>
          <w:color w:val="000000" w:themeColor="text1"/>
        </w:rPr>
        <w:t xml:space="preserve"> from the 45</w:t>
      </w:r>
      <w:r w:rsidRPr="00D10954">
        <w:rPr>
          <w:color w:val="000000" w:themeColor="text1"/>
          <w:vertAlign w:val="superscript"/>
        </w:rPr>
        <w:t>th</w:t>
      </w:r>
      <w:r w:rsidRPr="00D10954">
        <w:rPr>
          <w:color w:val="000000" w:themeColor="text1"/>
        </w:rPr>
        <w:t xml:space="preserve"> to </w:t>
      </w:r>
      <w:r w:rsidR="4D4CBA93" w:rsidRPr="00D10954">
        <w:rPr>
          <w:color w:val="000000" w:themeColor="text1"/>
        </w:rPr>
        <w:t>6</w:t>
      </w:r>
      <w:r w:rsidRPr="00D10954">
        <w:rPr>
          <w:color w:val="000000" w:themeColor="text1"/>
        </w:rPr>
        <w:t>5</w:t>
      </w:r>
      <w:r w:rsidRPr="00D10954">
        <w:rPr>
          <w:color w:val="000000" w:themeColor="text1"/>
          <w:vertAlign w:val="superscript"/>
        </w:rPr>
        <w:t>th</w:t>
      </w:r>
      <w:r w:rsidRPr="00D10954">
        <w:rPr>
          <w:color w:val="000000" w:themeColor="text1"/>
        </w:rPr>
        <w:t xml:space="preserve"> percentile.</w:t>
      </w:r>
    </w:p>
    <w:p w14:paraId="035011A6" w14:textId="74C415B7" w:rsidR="30D1C8DE" w:rsidRPr="00D10954" w:rsidRDefault="30D1C8DE" w:rsidP="00127CAF">
      <w:pPr>
        <w:pStyle w:val="Heading3"/>
      </w:pPr>
      <w:r w:rsidRPr="00D10954">
        <w:t>How Performance Levels are Determined</w:t>
      </w:r>
    </w:p>
    <w:p w14:paraId="28D22F3E" w14:textId="4290DDD5" w:rsidR="30D1C8DE" w:rsidRPr="00D10954" w:rsidRDefault="30D1C8DE" w:rsidP="005D6C1F">
      <w:pPr>
        <w:spacing w:after="160"/>
        <w:rPr>
          <w:rFonts w:eastAsia="Arial" w:cs="Arial"/>
          <w:color w:val="000000" w:themeColor="text1"/>
        </w:rPr>
      </w:pPr>
      <w:r w:rsidRPr="00D10954">
        <w:rPr>
          <w:rFonts w:eastAsia="Arial" w:cs="Arial"/>
          <w:color w:val="000000" w:themeColor="text1"/>
        </w:rPr>
        <w:t>The combination of an LEA’s or school’s “Status” and “Change” determines the performance category, which are represented by five ranked colors or Performance Levels:</w:t>
      </w:r>
    </w:p>
    <w:p w14:paraId="4E77EC3A" w14:textId="74B2A3BB" w:rsidR="30D1C8DE" w:rsidRPr="00D10954" w:rsidRDefault="30D1C8DE" w:rsidP="00127CAF">
      <w:pPr>
        <w:pStyle w:val="ListParagraph"/>
        <w:numPr>
          <w:ilvl w:val="0"/>
          <w:numId w:val="6"/>
        </w:numPr>
        <w:spacing w:after="0" w:line="240" w:lineRule="auto"/>
        <w:rPr>
          <w:rFonts w:eastAsia="Arial" w:cs="Arial"/>
          <w:color w:val="000000" w:themeColor="text1"/>
        </w:rPr>
      </w:pPr>
      <w:r w:rsidRPr="00D10954">
        <w:rPr>
          <w:rFonts w:eastAsia="Arial" w:cs="Arial"/>
          <w:color w:val="000000" w:themeColor="text1"/>
        </w:rPr>
        <w:t>Blue (highest)</w:t>
      </w:r>
    </w:p>
    <w:p w14:paraId="357B3959" w14:textId="2A452C32" w:rsidR="30D1C8DE" w:rsidRPr="00D10954" w:rsidRDefault="30D1C8DE" w:rsidP="00127CAF">
      <w:pPr>
        <w:pStyle w:val="ListParagraph"/>
        <w:numPr>
          <w:ilvl w:val="0"/>
          <w:numId w:val="6"/>
        </w:numPr>
        <w:spacing w:after="0" w:line="240" w:lineRule="auto"/>
        <w:rPr>
          <w:rFonts w:eastAsia="Arial" w:cs="Arial"/>
          <w:color w:val="000000" w:themeColor="text1"/>
        </w:rPr>
      </w:pPr>
      <w:r w:rsidRPr="00D10954">
        <w:rPr>
          <w:rFonts w:eastAsia="Arial" w:cs="Arial"/>
          <w:color w:val="000000" w:themeColor="text1"/>
        </w:rPr>
        <w:t>Green</w:t>
      </w:r>
    </w:p>
    <w:p w14:paraId="1C08814F" w14:textId="162AC9F7" w:rsidR="30D1C8DE" w:rsidRPr="00D10954" w:rsidRDefault="30D1C8DE" w:rsidP="00127CAF">
      <w:pPr>
        <w:pStyle w:val="ListParagraph"/>
        <w:numPr>
          <w:ilvl w:val="0"/>
          <w:numId w:val="6"/>
        </w:numPr>
        <w:spacing w:after="0" w:line="240" w:lineRule="auto"/>
        <w:rPr>
          <w:rFonts w:eastAsia="Arial" w:cs="Arial"/>
          <w:color w:val="000000" w:themeColor="text1"/>
        </w:rPr>
      </w:pPr>
      <w:r w:rsidRPr="00D10954">
        <w:rPr>
          <w:rFonts w:eastAsia="Arial" w:cs="Arial"/>
          <w:color w:val="000000" w:themeColor="text1"/>
        </w:rPr>
        <w:t>Yellow</w:t>
      </w:r>
    </w:p>
    <w:p w14:paraId="17B5EB19" w14:textId="28DA0BBF" w:rsidR="30D1C8DE" w:rsidRPr="00D10954" w:rsidRDefault="30D1C8DE" w:rsidP="00127CAF">
      <w:pPr>
        <w:pStyle w:val="ListParagraph"/>
        <w:numPr>
          <w:ilvl w:val="0"/>
          <w:numId w:val="6"/>
        </w:numPr>
        <w:spacing w:after="0" w:line="240" w:lineRule="auto"/>
        <w:rPr>
          <w:rFonts w:eastAsia="Arial" w:cs="Arial"/>
          <w:color w:val="000000" w:themeColor="text1"/>
        </w:rPr>
      </w:pPr>
      <w:r w:rsidRPr="00D10954">
        <w:rPr>
          <w:rFonts w:eastAsia="Arial" w:cs="Arial"/>
          <w:color w:val="000000" w:themeColor="text1"/>
        </w:rPr>
        <w:t>Orange</w:t>
      </w:r>
    </w:p>
    <w:p w14:paraId="5B6E4E9E" w14:textId="63CC92D6" w:rsidR="30D1C8DE" w:rsidRPr="00D10954" w:rsidRDefault="30D1C8DE" w:rsidP="00127CAF">
      <w:pPr>
        <w:pStyle w:val="ListParagraph"/>
        <w:numPr>
          <w:ilvl w:val="0"/>
          <w:numId w:val="6"/>
        </w:numPr>
        <w:spacing w:after="240" w:line="240" w:lineRule="auto"/>
        <w:rPr>
          <w:rFonts w:eastAsia="Arial" w:cs="Arial"/>
          <w:color w:val="000000" w:themeColor="text1"/>
        </w:rPr>
      </w:pPr>
      <w:r w:rsidRPr="00D10954">
        <w:rPr>
          <w:rFonts w:eastAsia="Arial" w:cs="Arial"/>
          <w:color w:val="000000" w:themeColor="text1"/>
        </w:rPr>
        <w:t>Red (lowest)</w:t>
      </w:r>
    </w:p>
    <w:p w14:paraId="26ECC2CB" w14:textId="2D540EE0" w:rsidR="30D1C8DE" w:rsidRPr="00D10954" w:rsidRDefault="30D1C8DE" w:rsidP="002A4A0A">
      <w:pPr>
        <w:rPr>
          <w:rFonts w:eastAsia="Arial" w:cs="Arial"/>
          <w:color w:val="000000" w:themeColor="text1"/>
        </w:rPr>
      </w:pPr>
      <w:r w:rsidRPr="00D10954">
        <w:rPr>
          <w:rFonts w:eastAsia="Arial" w:cs="Arial"/>
          <w:color w:val="000000" w:themeColor="text1"/>
        </w:rPr>
        <w:t xml:space="preserve">Each Indicator has its own distinct </w:t>
      </w:r>
      <w:r w:rsidR="2658925F" w:rsidRPr="00D10954">
        <w:t>Performance Level color scheme</w:t>
      </w:r>
      <w:r w:rsidR="2658925F" w:rsidRPr="00D10954">
        <w:rPr>
          <w:rFonts w:eastAsia="Arial" w:cs="Arial"/>
          <w:color w:val="000000" w:themeColor="text1"/>
        </w:rPr>
        <w:t xml:space="preserve"> </w:t>
      </w:r>
      <w:r w:rsidRPr="00D10954">
        <w:rPr>
          <w:rFonts w:eastAsia="Arial" w:cs="Arial"/>
          <w:color w:val="000000" w:themeColor="text1"/>
        </w:rPr>
        <w:t xml:space="preserve">for the </w:t>
      </w:r>
      <w:r w:rsidR="00080DD7" w:rsidRPr="00D10954">
        <w:rPr>
          <w:rFonts w:eastAsia="Arial" w:cs="Arial"/>
          <w:color w:val="000000" w:themeColor="text1"/>
        </w:rPr>
        <w:t>five-by-five</w:t>
      </w:r>
      <w:r w:rsidRPr="00D10954">
        <w:rPr>
          <w:rFonts w:eastAsia="Arial" w:cs="Arial"/>
          <w:color w:val="000000" w:themeColor="text1"/>
        </w:rPr>
        <w:t xml:space="preserve"> colored grid, which is adopted by the SBE along with the status and change cut </w:t>
      </w:r>
      <w:r w:rsidR="528054FA" w:rsidRPr="00D10954">
        <w:rPr>
          <w:rFonts w:eastAsia="Arial" w:cs="Arial"/>
          <w:color w:val="000000" w:themeColor="text1"/>
        </w:rPr>
        <w:t>points</w:t>
      </w:r>
      <w:r w:rsidRPr="00D10954">
        <w:rPr>
          <w:rFonts w:eastAsia="Arial" w:cs="Arial"/>
          <w:color w:val="000000" w:themeColor="text1"/>
        </w:rPr>
        <w:t>.</w:t>
      </w:r>
    </w:p>
    <w:p w14:paraId="78B64F30" w14:textId="50E6410F" w:rsidR="30D1C8DE" w:rsidRPr="00D10954" w:rsidRDefault="30D1C8DE" w:rsidP="00127CAF">
      <w:pPr>
        <w:pStyle w:val="Heading4"/>
      </w:pPr>
      <w:r w:rsidRPr="00D10954">
        <w:t xml:space="preserve">Revisiting </w:t>
      </w:r>
      <w:r w:rsidR="00127CAF" w:rsidRPr="00D10954">
        <w:t>H</w:t>
      </w:r>
      <w:r w:rsidRPr="00D10954">
        <w:t xml:space="preserve">ow Performance Levels </w:t>
      </w:r>
      <w:r w:rsidR="00127CAF" w:rsidRPr="00D10954">
        <w:t>W</w:t>
      </w:r>
      <w:r w:rsidRPr="00D10954">
        <w:t xml:space="preserve">ere </w:t>
      </w:r>
      <w:r w:rsidR="6E320046" w:rsidRPr="00D10954">
        <w:t>Adopted</w:t>
      </w:r>
      <w:r w:rsidRPr="00D10954">
        <w:t xml:space="preserve"> for </w:t>
      </w:r>
      <w:r w:rsidR="6E320046" w:rsidRPr="00D10954">
        <w:t>Existing Indicators</w:t>
      </w:r>
    </w:p>
    <w:p w14:paraId="6CBA0F7C" w14:textId="766806A2" w:rsidR="79B68FDD" w:rsidRPr="00D10954" w:rsidRDefault="79B68FDD" w:rsidP="00F345FB">
      <w:pPr>
        <w:pStyle w:val="Heading4"/>
      </w:pPr>
      <w:r w:rsidRPr="00D10954">
        <w:t>Graduation Rate Indicator</w:t>
      </w:r>
    </w:p>
    <w:p w14:paraId="1CBF5192" w14:textId="0189F73D" w:rsidR="4568DAC4" w:rsidRPr="00D10954" w:rsidRDefault="30D1C8DE" w:rsidP="6944AD4D">
      <w:pPr>
        <w:rPr>
          <w:rFonts w:eastAsia="Arial" w:cs="Arial"/>
          <w:color w:val="000000" w:themeColor="text1"/>
        </w:rPr>
      </w:pPr>
      <w:r w:rsidRPr="00D10954">
        <w:rPr>
          <w:rFonts w:eastAsia="Arial" w:cs="Arial"/>
          <w:color w:val="000000" w:themeColor="text1"/>
        </w:rPr>
        <w:t>The SBE adopt</w:t>
      </w:r>
      <w:r w:rsidR="00127CAF" w:rsidRPr="00D10954">
        <w:rPr>
          <w:rFonts w:eastAsia="Arial" w:cs="Arial"/>
          <w:color w:val="000000" w:themeColor="text1"/>
        </w:rPr>
        <w:t>ed</w:t>
      </w:r>
      <w:r w:rsidRPr="00D10954">
        <w:rPr>
          <w:rFonts w:eastAsia="Arial" w:cs="Arial"/>
          <w:color w:val="000000" w:themeColor="text1"/>
        </w:rPr>
        <w:t xml:space="preserve"> the </w:t>
      </w:r>
      <w:r w:rsidR="1537EAF8" w:rsidRPr="00D10954">
        <w:rPr>
          <w:rFonts w:eastAsia="Arial" w:cs="Arial"/>
          <w:color w:val="000000" w:themeColor="text1"/>
        </w:rPr>
        <w:t>Graduation Rate</w:t>
      </w:r>
      <w:r w:rsidR="4568DAC4" w:rsidRPr="00D10954">
        <w:rPr>
          <w:rFonts w:eastAsia="Arial" w:cs="Arial"/>
          <w:color w:val="000000" w:themeColor="text1"/>
        </w:rPr>
        <w:t xml:space="preserve"> </w:t>
      </w:r>
      <w:r w:rsidR="10247101" w:rsidRPr="00D10954">
        <w:t>Performance Level color scheme</w:t>
      </w:r>
      <w:r w:rsidRPr="00D10954">
        <w:rPr>
          <w:rFonts w:eastAsia="Arial" w:cs="Arial"/>
          <w:color w:val="000000" w:themeColor="text1"/>
        </w:rPr>
        <w:t xml:space="preserve"> for </w:t>
      </w:r>
      <w:r w:rsidR="00080DD7" w:rsidRPr="00D10954">
        <w:rPr>
          <w:rFonts w:eastAsia="Arial" w:cs="Arial"/>
          <w:color w:val="000000" w:themeColor="text1"/>
        </w:rPr>
        <w:t>five-by-five</w:t>
      </w:r>
      <w:r w:rsidRPr="00D10954">
        <w:rPr>
          <w:rFonts w:eastAsia="Arial" w:cs="Arial"/>
          <w:color w:val="000000" w:themeColor="text1"/>
        </w:rPr>
        <w:t xml:space="preserve"> colored grid as shown in Table </w:t>
      </w:r>
      <w:r w:rsidR="207E2C11" w:rsidRPr="00D10954">
        <w:rPr>
          <w:rFonts w:eastAsia="Arial" w:cs="Arial"/>
          <w:color w:val="000000" w:themeColor="text1"/>
        </w:rPr>
        <w:t>9</w:t>
      </w:r>
      <w:r w:rsidR="4568DAC4" w:rsidRPr="00D10954">
        <w:rPr>
          <w:rFonts w:eastAsia="Arial" w:cs="Arial"/>
          <w:color w:val="000000" w:themeColor="text1"/>
        </w:rPr>
        <w:t>.</w:t>
      </w:r>
    </w:p>
    <w:p w14:paraId="653150A5" w14:textId="701B0EDF" w:rsidR="008C7548" w:rsidRPr="00D10954" w:rsidRDefault="4568DAC4" w:rsidP="6944AD4D">
      <w:pPr>
        <w:spacing w:after="160"/>
        <w:rPr>
          <w:rFonts w:eastAsia="Arial" w:cs="Arial"/>
          <w:color w:val="000000" w:themeColor="text1"/>
        </w:rPr>
      </w:pPr>
      <w:r w:rsidRPr="00D10954">
        <w:rPr>
          <w:rFonts w:eastAsia="Arial" w:cs="Arial"/>
          <w:color w:val="000000" w:themeColor="text1"/>
        </w:rPr>
        <w:t xml:space="preserve">Based on this grid, the SBE made the requirements for LEAs, schools and student groups to receive a blue Performance Level either a status of very </w:t>
      </w:r>
      <w:r w:rsidR="0F5586B6" w:rsidRPr="00D10954">
        <w:rPr>
          <w:rFonts w:eastAsia="Arial" w:cs="Arial"/>
          <w:color w:val="000000" w:themeColor="text1"/>
        </w:rPr>
        <w:t xml:space="preserve">high </w:t>
      </w:r>
      <w:r w:rsidRPr="00D10954">
        <w:rPr>
          <w:rFonts w:eastAsia="Arial" w:cs="Arial"/>
          <w:color w:val="000000" w:themeColor="text1"/>
        </w:rPr>
        <w:t xml:space="preserve">and a change level of maintained, </w:t>
      </w:r>
      <w:r w:rsidR="75E4715C" w:rsidRPr="00D10954">
        <w:rPr>
          <w:rFonts w:eastAsia="Arial" w:cs="Arial"/>
          <w:color w:val="000000" w:themeColor="text1"/>
        </w:rPr>
        <w:t xml:space="preserve">increased </w:t>
      </w:r>
      <w:r w:rsidRPr="00D10954">
        <w:rPr>
          <w:rFonts w:eastAsia="Arial" w:cs="Arial"/>
          <w:color w:val="000000" w:themeColor="text1"/>
        </w:rPr>
        <w:t xml:space="preserve">or </w:t>
      </w:r>
      <w:r w:rsidR="7AD071A2" w:rsidRPr="00D10954">
        <w:rPr>
          <w:rFonts w:eastAsia="Arial" w:cs="Arial"/>
          <w:color w:val="000000" w:themeColor="text1"/>
        </w:rPr>
        <w:t xml:space="preserve">increased </w:t>
      </w:r>
      <w:r w:rsidRPr="00D10954">
        <w:rPr>
          <w:rFonts w:eastAsia="Arial" w:cs="Arial"/>
          <w:color w:val="000000" w:themeColor="text1"/>
        </w:rPr>
        <w:t xml:space="preserve">significantly, or a status of </w:t>
      </w:r>
      <w:r w:rsidR="1513BC33" w:rsidRPr="00D10954">
        <w:rPr>
          <w:rFonts w:eastAsia="Arial" w:cs="Arial"/>
          <w:color w:val="000000" w:themeColor="text1"/>
        </w:rPr>
        <w:t xml:space="preserve">high </w:t>
      </w:r>
      <w:r w:rsidRPr="00D10954">
        <w:rPr>
          <w:rFonts w:eastAsia="Arial" w:cs="Arial"/>
          <w:color w:val="000000" w:themeColor="text1"/>
        </w:rPr>
        <w:t xml:space="preserve">and a change level of </w:t>
      </w:r>
      <w:r w:rsidR="3F75E263" w:rsidRPr="00D10954">
        <w:rPr>
          <w:rFonts w:eastAsia="Arial" w:cs="Arial"/>
          <w:color w:val="000000" w:themeColor="text1"/>
        </w:rPr>
        <w:t xml:space="preserve">increased </w:t>
      </w:r>
      <w:r w:rsidRPr="00D10954">
        <w:rPr>
          <w:rFonts w:eastAsia="Arial" w:cs="Arial"/>
          <w:color w:val="000000" w:themeColor="text1"/>
        </w:rPr>
        <w:t xml:space="preserve">significantly. Conversely, an LEA, school or student group would receive a red Performance Level with a status level of </w:t>
      </w:r>
      <w:r w:rsidR="3CD040E5" w:rsidRPr="00D10954">
        <w:rPr>
          <w:rFonts w:eastAsia="Arial" w:cs="Arial"/>
          <w:color w:val="000000" w:themeColor="text1"/>
        </w:rPr>
        <w:t xml:space="preserve">low </w:t>
      </w:r>
      <w:r w:rsidRPr="00D10954">
        <w:rPr>
          <w:rFonts w:eastAsia="Arial" w:cs="Arial"/>
          <w:color w:val="000000" w:themeColor="text1"/>
        </w:rPr>
        <w:t xml:space="preserve">and a change level of </w:t>
      </w:r>
      <w:r w:rsidR="09594A5E" w:rsidRPr="00D10954">
        <w:rPr>
          <w:rFonts w:eastAsia="Arial" w:cs="Arial"/>
          <w:color w:val="000000" w:themeColor="text1"/>
        </w:rPr>
        <w:t xml:space="preserve">decreased </w:t>
      </w:r>
      <w:r w:rsidRPr="00D10954">
        <w:rPr>
          <w:rFonts w:eastAsia="Arial" w:cs="Arial"/>
          <w:color w:val="000000" w:themeColor="text1"/>
        </w:rPr>
        <w:t>significantly, or a status level of very low and a</w:t>
      </w:r>
      <w:r w:rsidR="6C5B4955" w:rsidRPr="00D10954">
        <w:rPr>
          <w:rFonts w:eastAsia="Arial" w:cs="Arial"/>
          <w:color w:val="000000" w:themeColor="text1"/>
        </w:rPr>
        <w:t>ny</w:t>
      </w:r>
      <w:r w:rsidRPr="00D10954">
        <w:rPr>
          <w:rFonts w:eastAsia="Arial" w:cs="Arial"/>
          <w:color w:val="000000" w:themeColor="text1"/>
        </w:rPr>
        <w:t xml:space="preserve"> change level.</w:t>
      </w:r>
    </w:p>
    <w:p w14:paraId="591666FD" w14:textId="77777777" w:rsidR="008C7548" w:rsidRPr="00D10954" w:rsidRDefault="008C7548">
      <w:pPr>
        <w:spacing w:after="160" w:line="259" w:lineRule="auto"/>
        <w:rPr>
          <w:rFonts w:eastAsia="Arial" w:cs="Arial"/>
          <w:color w:val="000000" w:themeColor="text1"/>
        </w:rPr>
      </w:pPr>
      <w:r w:rsidRPr="00D10954">
        <w:rPr>
          <w:rFonts w:eastAsia="Arial" w:cs="Arial"/>
          <w:color w:val="000000" w:themeColor="text1"/>
        </w:rPr>
        <w:br w:type="page"/>
      </w:r>
    </w:p>
    <w:p w14:paraId="4459AAAB" w14:textId="05576E2B" w:rsidR="4568DAC4" w:rsidRPr="00D10954" w:rsidRDefault="4568DAC4" w:rsidP="00F345FB">
      <w:pPr>
        <w:pStyle w:val="Heading4"/>
      </w:pPr>
      <w:r w:rsidRPr="00D10954">
        <w:lastRenderedPageBreak/>
        <w:t xml:space="preserve">Table </w:t>
      </w:r>
      <w:r w:rsidR="23151210" w:rsidRPr="00D10954">
        <w:t>9</w:t>
      </w:r>
      <w:r w:rsidRPr="00D10954">
        <w:t xml:space="preserve">: </w:t>
      </w:r>
      <w:r w:rsidR="7A3A4AA9" w:rsidRPr="00D10954">
        <w:t>Graduation Rate</w:t>
      </w:r>
      <w:r w:rsidRPr="00D10954">
        <w:t xml:space="preserve"> Performance Levels (Colors)</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5: Chronic Absenteeism Performance Levels (Colors)"/>
        <w:tblDescription w:val="Table 5: Chronic Absenteeism Performance Levels (Colors)"/>
      </w:tblPr>
      <w:tblGrid>
        <w:gridCol w:w="1545"/>
        <w:gridCol w:w="1545"/>
        <w:gridCol w:w="1545"/>
        <w:gridCol w:w="1545"/>
        <w:gridCol w:w="1560"/>
        <w:gridCol w:w="1560"/>
      </w:tblGrid>
      <w:tr w:rsidR="6944AD4D" w:rsidRPr="00D10954" w14:paraId="321EA162" w14:textId="77777777" w:rsidTr="00F345FB">
        <w:trPr>
          <w:cantSplit/>
          <w:trHeight w:val="1515"/>
          <w:tblHeader/>
        </w:trPr>
        <w:tc>
          <w:tcPr>
            <w:tcW w:w="1545" w:type="dxa"/>
            <w:tcBorders>
              <w:top w:val="single" w:sz="6" w:space="0" w:color="auto"/>
              <w:left w:val="single" w:sz="6" w:space="0" w:color="auto"/>
            </w:tcBorders>
            <w:tcMar>
              <w:left w:w="105" w:type="dxa"/>
              <w:right w:w="105" w:type="dxa"/>
            </w:tcMar>
            <w:vAlign w:val="center"/>
          </w:tcPr>
          <w:p w14:paraId="6167536B" w14:textId="72678B0B" w:rsidR="6944AD4D" w:rsidRPr="00D10954" w:rsidRDefault="6944AD4D" w:rsidP="6944AD4D">
            <w:pPr>
              <w:jc w:val="center"/>
              <w:rPr>
                <w:rFonts w:eastAsia="Arial" w:cs="Arial"/>
                <w:sz w:val="20"/>
                <w:szCs w:val="20"/>
              </w:rPr>
            </w:pPr>
            <w:r w:rsidRPr="00D10954">
              <w:rPr>
                <w:rFonts w:eastAsia="Arial" w:cs="Arial"/>
                <w:b/>
                <w:bCs/>
                <w:sz w:val="20"/>
                <w:szCs w:val="20"/>
              </w:rPr>
              <w:t>Performance Level</w:t>
            </w:r>
          </w:p>
        </w:tc>
        <w:tc>
          <w:tcPr>
            <w:tcW w:w="1545" w:type="dxa"/>
            <w:tcBorders>
              <w:top w:val="single" w:sz="6" w:space="0" w:color="auto"/>
            </w:tcBorders>
            <w:tcMar>
              <w:left w:w="105" w:type="dxa"/>
              <w:right w:w="105" w:type="dxa"/>
            </w:tcMar>
            <w:vAlign w:val="center"/>
          </w:tcPr>
          <w:p w14:paraId="784DB712" w14:textId="3F4E60EA" w:rsidR="29E7813A" w:rsidRPr="00D10954" w:rsidRDefault="29E7813A" w:rsidP="6944AD4D">
            <w:pPr>
              <w:jc w:val="center"/>
              <w:rPr>
                <w:rFonts w:eastAsia="Arial" w:cs="Arial"/>
                <w:b/>
                <w:bCs/>
                <w:sz w:val="22"/>
                <w:szCs w:val="22"/>
              </w:rPr>
            </w:pPr>
            <w:r w:rsidRPr="00D10954">
              <w:rPr>
                <w:rFonts w:eastAsia="Arial" w:cs="Arial"/>
                <w:b/>
                <w:bCs/>
                <w:sz w:val="22"/>
                <w:szCs w:val="22"/>
              </w:rPr>
              <w:t xml:space="preserve">Declined </w:t>
            </w:r>
            <w:r w:rsidR="6944AD4D" w:rsidRPr="00D10954">
              <w:rPr>
                <w:rFonts w:eastAsia="Arial" w:cs="Arial"/>
                <w:b/>
                <w:bCs/>
                <w:sz w:val="22"/>
                <w:szCs w:val="22"/>
              </w:rPr>
              <w:t>Significantly</w:t>
            </w:r>
          </w:p>
        </w:tc>
        <w:tc>
          <w:tcPr>
            <w:tcW w:w="1545" w:type="dxa"/>
            <w:tcBorders>
              <w:top w:val="single" w:sz="6" w:space="0" w:color="auto"/>
            </w:tcBorders>
            <w:tcMar>
              <w:left w:w="105" w:type="dxa"/>
              <w:right w:w="105" w:type="dxa"/>
            </w:tcMar>
            <w:vAlign w:val="center"/>
          </w:tcPr>
          <w:p w14:paraId="7D7F798A" w14:textId="3DB35A90" w:rsidR="0C295811" w:rsidRPr="00D10954" w:rsidRDefault="0C295811" w:rsidP="6944AD4D">
            <w:pPr>
              <w:jc w:val="center"/>
              <w:rPr>
                <w:rFonts w:eastAsia="Arial" w:cs="Arial"/>
              </w:rPr>
            </w:pPr>
            <w:r w:rsidRPr="00D10954">
              <w:rPr>
                <w:rFonts w:eastAsia="Arial" w:cs="Arial"/>
                <w:b/>
                <w:bCs/>
              </w:rPr>
              <w:t>Declined</w:t>
            </w:r>
          </w:p>
        </w:tc>
        <w:tc>
          <w:tcPr>
            <w:tcW w:w="1545" w:type="dxa"/>
            <w:tcBorders>
              <w:top w:val="single" w:sz="6" w:space="0" w:color="auto"/>
            </w:tcBorders>
            <w:tcMar>
              <w:left w:w="105" w:type="dxa"/>
              <w:right w:w="105" w:type="dxa"/>
            </w:tcMar>
            <w:vAlign w:val="center"/>
          </w:tcPr>
          <w:p w14:paraId="47926B5D" w14:textId="741DA23B" w:rsidR="6944AD4D" w:rsidRPr="00D10954" w:rsidRDefault="6944AD4D" w:rsidP="6944AD4D">
            <w:pPr>
              <w:jc w:val="center"/>
              <w:rPr>
                <w:rFonts w:eastAsia="Arial" w:cs="Arial"/>
              </w:rPr>
            </w:pPr>
            <w:r w:rsidRPr="00D10954">
              <w:rPr>
                <w:rFonts w:eastAsia="Arial" w:cs="Arial"/>
                <w:b/>
                <w:bCs/>
              </w:rPr>
              <w:t>Maintained</w:t>
            </w:r>
          </w:p>
        </w:tc>
        <w:tc>
          <w:tcPr>
            <w:tcW w:w="1560" w:type="dxa"/>
            <w:tcBorders>
              <w:top w:val="single" w:sz="6" w:space="0" w:color="auto"/>
            </w:tcBorders>
            <w:tcMar>
              <w:left w:w="105" w:type="dxa"/>
              <w:right w:w="105" w:type="dxa"/>
            </w:tcMar>
            <w:vAlign w:val="center"/>
          </w:tcPr>
          <w:p w14:paraId="7C44B563" w14:textId="7131A11A" w:rsidR="413F32C4" w:rsidRPr="00D10954" w:rsidRDefault="413F32C4" w:rsidP="6944AD4D">
            <w:pPr>
              <w:jc w:val="center"/>
              <w:rPr>
                <w:rFonts w:eastAsia="Arial" w:cs="Arial"/>
              </w:rPr>
            </w:pPr>
            <w:r w:rsidRPr="00D10954">
              <w:rPr>
                <w:rFonts w:eastAsia="Arial" w:cs="Arial"/>
                <w:b/>
                <w:bCs/>
              </w:rPr>
              <w:t>Increas</w:t>
            </w:r>
            <w:r w:rsidR="6944AD4D" w:rsidRPr="00D10954">
              <w:rPr>
                <w:rFonts w:eastAsia="Arial" w:cs="Arial"/>
                <w:b/>
                <w:bCs/>
              </w:rPr>
              <w:t>ed</w:t>
            </w:r>
          </w:p>
        </w:tc>
        <w:tc>
          <w:tcPr>
            <w:tcW w:w="1560" w:type="dxa"/>
            <w:tcBorders>
              <w:top w:val="single" w:sz="6" w:space="0" w:color="auto"/>
              <w:right w:val="single" w:sz="6" w:space="0" w:color="auto"/>
            </w:tcBorders>
            <w:tcMar>
              <w:left w:w="105" w:type="dxa"/>
              <w:right w:w="105" w:type="dxa"/>
            </w:tcMar>
            <w:vAlign w:val="center"/>
          </w:tcPr>
          <w:p w14:paraId="4AA2B40B" w14:textId="6B8A8245" w:rsidR="2568015C" w:rsidRPr="00D10954" w:rsidRDefault="2568015C" w:rsidP="6944AD4D">
            <w:pPr>
              <w:jc w:val="center"/>
              <w:rPr>
                <w:rFonts w:eastAsia="Arial" w:cs="Arial"/>
                <w:b/>
                <w:bCs/>
                <w:sz w:val="22"/>
                <w:szCs w:val="22"/>
              </w:rPr>
            </w:pPr>
            <w:r w:rsidRPr="00D10954">
              <w:rPr>
                <w:rFonts w:eastAsia="Arial" w:cs="Arial"/>
                <w:b/>
                <w:bCs/>
                <w:sz w:val="22"/>
                <w:szCs w:val="22"/>
              </w:rPr>
              <w:t xml:space="preserve">Increased </w:t>
            </w:r>
            <w:r w:rsidR="6944AD4D" w:rsidRPr="00D10954">
              <w:rPr>
                <w:rFonts w:eastAsia="Arial" w:cs="Arial"/>
                <w:b/>
                <w:bCs/>
                <w:sz w:val="22"/>
                <w:szCs w:val="22"/>
              </w:rPr>
              <w:t>Significantly</w:t>
            </w:r>
          </w:p>
        </w:tc>
      </w:tr>
      <w:tr w:rsidR="6944AD4D" w:rsidRPr="00D10954" w14:paraId="4E718336" w14:textId="77777777" w:rsidTr="00F345FB">
        <w:trPr>
          <w:cantSplit/>
          <w:trHeight w:val="1515"/>
        </w:trPr>
        <w:tc>
          <w:tcPr>
            <w:tcW w:w="1545" w:type="dxa"/>
            <w:tcBorders>
              <w:left w:val="single" w:sz="6" w:space="0" w:color="auto"/>
            </w:tcBorders>
            <w:tcMar>
              <w:left w:w="105" w:type="dxa"/>
              <w:right w:w="105" w:type="dxa"/>
            </w:tcMar>
            <w:vAlign w:val="center"/>
          </w:tcPr>
          <w:p w14:paraId="30E9B7D5" w14:textId="0BDA2787" w:rsidR="6944AD4D" w:rsidRPr="00D10954" w:rsidRDefault="6944AD4D" w:rsidP="00596DBF">
            <w:pPr>
              <w:jc w:val="center"/>
              <w:rPr>
                <w:rFonts w:eastAsia="Arial" w:cs="Arial"/>
              </w:rPr>
            </w:pPr>
            <w:r w:rsidRPr="00D10954">
              <w:rPr>
                <w:rFonts w:eastAsia="Arial" w:cs="Arial"/>
                <w:b/>
                <w:bCs/>
              </w:rPr>
              <w:t xml:space="preserve">Very </w:t>
            </w:r>
            <w:r w:rsidR="6353E8CE" w:rsidRPr="00D10954">
              <w:rPr>
                <w:rFonts w:eastAsia="Arial" w:cs="Arial"/>
                <w:b/>
                <w:bCs/>
              </w:rPr>
              <w:t>High</w:t>
            </w:r>
          </w:p>
        </w:tc>
        <w:tc>
          <w:tcPr>
            <w:tcW w:w="1545" w:type="dxa"/>
            <w:shd w:val="clear" w:color="auto" w:fill="A6A6A6" w:themeFill="background1" w:themeFillShade="A6"/>
            <w:tcMar>
              <w:left w:w="105" w:type="dxa"/>
              <w:right w:w="105" w:type="dxa"/>
            </w:tcMar>
            <w:vAlign w:val="center"/>
          </w:tcPr>
          <w:p w14:paraId="0B826434" w14:textId="586A8069" w:rsidR="1BFAB459" w:rsidRPr="00D10954" w:rsidRDefault="1BFAB459" w:rsidP="6944AD4D">
            <w:pPr>
              <w:jc w:val="center"/>
            </w:pPr>
            <w:r w:rsidRPr="00D10954">
              <w:rPr>
                <w:rFonts w:eastAsia="Arial" w:cs="Arial"/>
              </w:rPr>
              <w:t>N/A</w:t>
            </w:r>
          </w:p>
        </w:tc>
        <w:tc>
          <w:tcPr>
            <w:tcW w:w="1545" w:type="dxa"/>
            <w:shd w:val="clear" w:color="auto" w:fill="006500"/>
            <w:tcMar>
              <w:left w:w="105" w:type="dxa"/>
              <w:right w:w="105" w:type="dxa"/>
            </w:tcMar>
            <w:vAlign w:val="center"/>
          </w:tcPr>
          <w:p w14:paraId="6C790BF3" w14:textId="2C8C77CD"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Green</w:t>
            </w:r>
          </w:p>
        </w:tc>
        <w:tc>
          <w:tcPr>
            <w:tcW w:w="1545" w:type="dxa"/>
            <w:shd w:val="clear" w:color="auto" w:fill="0000FF"/>
            <w:tcMar>
              <w:left w:w="105" w:type="dxa"/>
              <w:right w:w="105" w:type="dxa"/>
            </w:tcMar>
            <w:vAlign w:val="center"/>
          </w:tcPr>
          <w:p w14:paraId="12254EF8" w14:textId="698A46CB"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Blue</w:t>
            </w:r>
          </w:p>
        </w:tc>
        <w:tc>
          <w:tcPr>
            <w:tcW w:w="1560" w:type="dxa"/>
            <w:shd w:val="clear" w:color="auto" w:fill="0000FF"/>
            <w:tcMar>
              <w:left w:w="105" w:type="dxa"/>
              <w:right w:w="105" w:type="dxa"/>
            </w:tcMar>
            <w:vAlign w:val="center"/>
          </w:tcPr>
          <w:p w14:paraId="318889AF" w14:textId="1EF76CEA"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Blue</w:t>
            </w:r>
          </w:p>
        </w:tc>
        <w:tc>
          <w:tcPr>
            <w:tcW w:w="1560" w:type="dxa"/>
            <w:tcBorders>
              <w:right w:val="single" w:sz="6" w:space="0" w:color="auto"/>
            </w:tcBorders>
            <w:shd w:val="clear" w:color="auto" w:fill="0000FF"/>
            <w:tcMar>
              <w:left w:w="105" w:type="dxa"/>
              <w:right w:w="105" w:type="dxa"/>
            </w:tcMar>
            <w:vAlign w:val="center"/>
          </w:tcPr>
          <w:p w14:paraId="2C8E68F4" w14:textId="1D76F6C7"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Blue</w:t>
            </w:r>
          </w:p>
        </w:tc>
      </w:tr>
      <w:tr w:rsidR="6944AD4D" w:rsidRPr="00D10954" w14:paraId="0696DC67" w14:textId="77777777" w:rsidTr="00F345FB">
        <w:trPr>
          <w:cantSplit/>
          <w:trHeight w:val="1515"/>
        </w:trPr>
        <w:tc>
          <w:tcPr>
            <w:tcW w:w="1545" w:type="dxa"/>
            <w:tcBorders>
              <w:left w:val="single" w:sz="6" w:space="0" w:color="auto"/>
            </w:tcBorders>
            <w:tcMar>
              <w:left w:w="105" w:type="dxa"/>
              <w:right w:w="105" w:type="dxa"/>
            </w:tcMar>
            <w:vAlign w:val="center"/>
          </w:tcPr>
          <w:p w14:paraId="69BC412B" w14:textId="4B2B25CE" w:rsidR="6944AD4D" w:rsidRPr="00D10954" w:rsidRDefault="53F9E08E" w:rsidP="6944AD4D">
            <w:pPr>
              <w:jc w:val="center"/>
              <w:rPr>
                <w:rFonts w:eastAsia="Arial" w:cs="Arial"/>
              </w:rPr>
            </w:pPr>
            <w:r w:rsidRPr="00D10954">
              <w:rPr>
                <w:rFonts w:eastAsia="Arial" w:cs="Arial"/>
                <w:b/>
                <w:bCs/>
              </w:rPr>
              <w:t>High</w:t>
            </w:r>
          </w:p>
        </w:tc>
        <w:tc>
          <w:tcPr>
            <w:tcW w:w="1545" w:type="dxa"/>
            <w:shd w:val="clear" w:color="auto" w:fill="FFA500"/>
            <w:tcMar>
              <w:left w:w="105" w:type="dxa"/>
              <w:right w:w="105" w:type="dxa"/>
            </w:tcMar>
            <w:vAlign w:val="center"/>
          </w:tcPr>
          <w:p w14:paraId="7CC49B83" w14:textId="5A512FCD" w:rsidR="6944AD4D" w:rsidRPr="00D10954" w:rsidRDefault="6944AD4D" w:rsidP="6944AD4D">
            <w:pPr>
              <w:jc w:val="center"/>
              <w:rPr>
                <w:rFonts w:eastAsia="Arial" w:cs="Arial"/>
              </w:rPr>
            </w:pPr>
            <w:r w:rsidRPr="00D10954">
              <w:rPr>
                <w:rFonts w:eastAsia="Arial" w:cs="Arial"/>
              </w:rPr>
              <w:t>Orange</w:t>
            </w:r>
          </w:p>
        </w:tc>
        <w:tc>
          <w:tcPr>
            <w:tcW w:w="1545" w:type="dxa"/>
            <w:shd w:val="clear" w:color="auto" w:fill="FFFF00"/>
            <w:tcMar>
              <w:left w:w="105" w:type="dxa"/>
              <w:right w:w="105" w:type="dxa"/>
            </w:tcMar>
            <w:vAlign w:val="center"/>
          </w:tcPr>
          <w:p w14:paraId="3D66C465" w14:textId="0E6E08BF" w:rsidR="6944AD4D" w:rsidRPr="00D10954" w:rsidRDefault="6944AD4D" w:rsidP="6944AD4D">
            <w:pPr>
              <w:jc w:val="center"/>
              <w:rPr>
                <w:rFonts w:eastAsia="Arial" w:cs="Arial"/>
              </w:rPr>
            </w:pPr>
            <w:r w:rsidRPr="00D10954">
              <w:rPr>
                <w:rFonts w:eastAsia="Arial" w:cs="Arial"/>
              </w:rPr>
              <w:t>Yellow</w:t>
            </w:r>
          </w:p>
        </w:tc>
        <w:tc>
          <w:tcPr>
            <w:tcW w:w="1545" w:type="dxa"/>
            <w:shd w:val="clear" w:color="auto" w:fill="006500"/>
            <w:tcMar>
              <w:left w:w="105" w:type="dxa"/>
              <w:right w:w="105" w:type="dxa"/>
            </w:tcMar>
            <w:vAlign w:val="center"/>
          </w:tcPr>
          <w:p w14:paraId="3FCBAF9F" w14:textId="12CF37CE"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Green</w:t>
            </w:r>
          </w:p>
        </w:tc>
        <w:tc>
          <w:tcPr>
            <w:tcW w:w="1560" w:type="dxa"/>
            <w:shd w:val="clear" w:color="auto" w:fill="006500"/>
            <w:tcMar>
              <w:left w:w="105" w:type="dxa"/>
              <w:right w:w="105" w:type="dxa"/>
            </w:tcMar>
            <w:vAlign w:val="center"/>
          </w:tcPr>
          <w:p w14:paraId="48DDF7B5" w14:textId="25ED4B8C"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Green</w:t>
            </w:r>
          </w:p>
        </w:tc>
        <w:tc>
          <w:tcPr>
            <w:tcW w:w="1560" w:type="dxa"/>
            <w:tcBorders>
              <w:right w:val="single" w:sz="6" w:space="0" w:color="auto"/>
            </w:tcBorders>
            <w:shd w:val="clear" w:color="auto" w:fill="0000FF"/>
            <w:tcMar>
              <w:left w:w="105" w:type="dxa"/>
              <w:right w:w="105" w:type="dxa"/>
            </w:tcMar>
            <w:vAlign w:val="center"/>
          </w:tcPr>
          <w:p w14:paraId="7C3C8D44" w14:textId="05A96320"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Blue</w:t>
            </w:r>
          </w:p>
        </w:tc>
      </w:tr>
      <w:tr w:rsidR="6944AD4D" w:rsidRPr="00D10954" w14:paraId="60E95DD0" w14:textId="77777777" w:rsidTr="00F345FB">
        <w:trPr>
          <w:cantSplit/>
          <w:trHeight w:val="1515"/>
        </w:trPr>
        <w:tc>
          <w:tcPr>
            <w:tcW w:w="1545" w:type="dxa"/>
            <w:tcBorders>
              <w:left w:val="single" w:sz="6" w:space="0" w:color="auto"/>
            </w:tcBorders>
            <w:tcMar>
              <w:left w:w="105" w:type="dxa"/>
              <w:right w:w="105" w:type="dxa"/>
            </w:tcMar>
            <w:vAlign w:val="center"/>
          </w:tcPr>
          <w:p w14:paraId="53806BCB" w14:textId="51563FC7" w:rsidR="6944AD4D" w:rsidRPr="00D10954" w:rsidRDefault="6944AD4D" w:rsidP="6944AD4D">
            <w:pPr>
              <w:jc w:val="center"/>
              <w:rPr>
                <w:rFonts w:eastAsia="Arial" w:cs="Arial"/>
              </w:rPr>
            </w:pPr>
            <w:r w:rsidRPr="00D10954">
              <w:rPr>
                <w:rFonts w:eastAsia="Arial" w:cs="Arial"/>
                <w:b/>
                <w:bCs/>
              </w:rPr>
              <w:t>Medium</w:t>
            </w:r>
          </w:p>
        </w:tc>
        <w:tc>
          <w:tcPr>
            <w:tcW w:w="1545" w:type="dxa"/>
            <w:shd w:val="clear" w:color="auto" w:fill="FFA500"/>
            <w:tcMar>
              <w:left w:w="105" w:type="dxa"/>
              <w:right w:w="105" w:type="dxa"/>
            </w:tcMar>
            <w:vAlign w:val="center"/>
          </w:tcPr>
          <w:p w14:paraId="3FA63A9E" w14:textId="589BD9ED" w:rsidR="6944AD4D" w:rsidRPr="00D10954" w:rsidRDefault="6944AD4D" w:rsidP="6944AD4D">
            <w:pPr>
              <w:jc w:val="center"/>
              <w:rPr>
                <w:rFonts w:eastAsia="Arial" w:cs="Arial"/>
              </w:rPr>
            </w:pPr>
            <w:r w:rsidRPr="00D10954">
              <w:rPr>
                <w:rFonts w:eastAsia="Arial" w:cs="Arial"/>
              </w:rPr>
              <w:t>Orange</w:t>
            </w:r>
          </w:p>
        </w:tc>
        <w:tc>
          <w:tcPr>
            <w:tcW w:w="1545" w:type="dxa"/>
            <w:shd w:val="clear" w:color="auto" w:fill="FFA500"/>
            <w:tcMar>
              <w:left w:w="105" w:type="dxa"/>
              <w:right w:w="105" w:type="dxa"/>
            </w:tcMar>
            <w:vAlign w:val="center"/>
          </w:tcPr>
          <w:p w14:paraId="7AC61C65" w14:textId="71B721D5" w:rsidR="6944AD4D" w:rsidRPr="00D10954" w:rsidRDefault="6944AD4D" w:rsidP="6944AD4D">
            <w:pPr>
              <w:jc w:val="center"/>
              <w:rPr>
                <w:rFonts w:eastAsia="Arial" w:cs="Arial"/>
              </w:rPr>
            </w:pPr>
            <w:r w:rsidRPr="00D10954">
              <w:rPr>
                <w:rFonts w:eastAsia="Arial" w:cs="Arial"/>
              </w:rPr>
              <w:t>Orange</w:t>
            </w:r>
          </w:p>
        </w:tc>
        <w:tc>
          <w:tcPr>
            <w:tcW w:w="1545" w:type="dxa"/>
            <w:tcBorders>
              <w:bottom w:val="single" w:sz="6" w:space="0" w:color="auto"/>
            </w:tcBorders>
            <w:shd w:val="clear" w:color="auto" w:fill="FFFF00"/>
            <w:tcMar>
              <w:left w:w="105" w:type="dxa"/>
              <w:right w:w="105" w:type="dxa"/>
            </w:tcMar>
            <w:vAlign w:val="center"/>
          </w:tcPr>
          <w:p w14:paraId="25C04088" w14:textId="77CCAA59" w:rsidR="6944AD4D" w:rsidRPr="00D10954" w:rsidRDefault="6944AD4D" w:rsidP="6944AD4D">
            <w:pPr>
              <w:jc w:val="center"/>
              <w:rPr>
                <w:rFonts w:eastAsia="Arial" w:cs="Arial"/>
              </w:rPr>
            </w:pPr>
            <w:r w:rsidRPr="00D10954">
              <w:rPr>
                <w:rFonts w:eastAsia="Arial" w:cs="Arial"/>
              </w:rPr>
              <w:t>Yellow</w:t>
            </w:r>
          </w:p>
        </w:tc>
        <w:tc>
          <w:tcPr>
            <w:tcW w:w="1560" w:type="dxa"/>
            <w:shd w:val="clear" w:color="auto" w:fill="006500"/>
            <w:tcMar>
              <w:left w:w="105" w:type="dxa"/>
              <w:right w:w="105" w:type="dxa"/>
            </w:tcMar>
            <w:vAlign w:val="center"/>
          </w:tcPr>
          <w:p w14:paraId="0FA92510" w14:textId="4F79CD8E"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Green</w:t>
            </w:r>
          </w:p>
        </w:tc>
        <w:tc>
          <w:tcPr>
            <w:tcW w:w="1560" w:type="dxa"/>
            <w:tcBorders>
              <w:right w:val="single" w:sz="6" w:space="0" w:color="auto"/>
            </w:tcBorders>
            <w:shd w:val="clear" w:color="auto" w:fill="006500"/>
            <w:tcMar>
              <w:left w:w="105" w:type="dxa"/>
              <w:right w:w="105" w:type="dxa"/>
            </w:tcMar>
            <w:vAlign w:val="center"/>
          </w:tcPr>
          <w:p w14:paraId="2B61A25F" w14:textId="4D144794"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Green</w:t>
            </w:r>
          </w:p>
        </w:tc>
      </w:tr>
      <w:tr w:rsidR="6944AD4D" w:rsidRPr="00D10954" w14:paraId="339BF60D" w14:textId="77777777" w:rsidTr="00F345FB">
        <w:trPr>
          <w:cantSplit/>
          <w:trHeight w:val="1515"/>
        </w:trPr>
        <w:tc>
          <w:tcPr>
            <w:tcW w:w="1545" w:type="dxa"/>
            <w:tcBorders>
              <w:left w:val="single" w:sz="6" w:space="0" w:color="auto"/>
            </w:tcBorders>
            <w:tcMar>
              <w:left w:w="105" w:type="dxa"/>
              <w:right w:w="105" w:type="dxa"/>
            </w:tcMar>
            <w:vAlign w:val="center"/>
          </w:tcPr>
          <w:p w14:paraId="2A4F1A0F" w14:textId="74D99D5E" w:rsidR="6944AD4D" w:rsidRPr="00D10954" w:rsidRDefault="57C7D7C7" w:rsidP="6944AD4D">
            <w:pPr>
              <w:jc w:val="center"/>
              <w:rPr>
                <w:rFonts w:eastAsia="Arial" w:cs="Arial"/>
              </w:rPr>
            </w:pPr>
            <w:r w:rsidRPr="00D10954">
              <w:rPr>
                <w:rFonts w:eastAsia="Arial" w:cs="Arial"/>
                <w:b/>
                <w:bCs/>
              </w:rPr>
              <w:t>Low</w:t>
            </w:r>
          </w:p>
        </w:tc>
        <w:tc>
          <w:tcPr>
            <w:tcW w:w="1545" w:type="dxa"/>
            <w:shd w:val="clear" w:color="auto" w:fill="A20000"/>
            <w:tcMar>
              <w:left w:w="105" w:type="dxa"/>
              <w:right w:w="105" w:type="dxa"/>
            </w:tcMar>
            <w:vAlign w:val="center"/>
          </w:tcPr>
          <w:p w14:paraId="73FD994A" w14:textId="0DEA34FE"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Red</w:t>
            </w:r>
          </w:p>
        </w:tc>
        <w:tc>
          <w:tcPr>
            <w:tcW w:w="1545" w:type="dxa"/>
            <w:shd w:val="clear" w:color="auto" w:fill="FFA500"/>
            <w:tcMar>
              <w:left w:w="105" w:type="dxa"/>
              <w:right w:w="105" w:type="dxa"/>
            </w:tcMar>
            <w:vAlign w:val="center"/>
          </w:tcPr>
          <w:p w14:paraId="2ABFD965" w14:textId="5F5DBC0C" w:rsidR="6944AD4D" w:rsidRPr="00D10954" w:rsidRDefault="6944AD4D" w:rsidP="6944AD4D">
            <w:pPr>
              <w:jc w:val="center"/>
              <w:rPr>
                <w:rFonts w:eastAsia="Arial" w:cs="Arial"/>
              </w:rPr>
            </w:pPr>
            <w:r w:rsidRPr="00D10954">
              <w:rPr>
                <w:rFonts w:eastAsia="Arial" w:cs="Arial"/>
              </w:rPr>
              <w:t>Orange</w:t>
            </w:r>
          </w:p>
        </w:tc>
        <w:tc>
          <w:tcPr>
            <w:tcW w:w="1545" w:type="dxa"/>
            <w:shd w:val="clear" w:color="auto" w:fill="FFA500"/>
            <w:tcMar>
              <w:left w:w="105" w:type="dxa"/>
              <w:right w:w="105" w:type="dxa"/>
            </w:tcMar>
            <w:vAlign w:val="center"/>
          </w:tcPr>
          <w:p w14:paraId="3A33F5CB" w14:textId="33E67645" w:rsidR="6944AD4D" w:rsidRPr="00D10954" w:rsidRDefault="6944AD4D" w:rsidP="6944AD4D">
            <w:pPr>
              <w:jc w:val="center"/>
              <w:rPr>
                <w:rFonts w:eastAsia="Arial" w:cs="Arial"/>
              </w:rPr>
            </w:pPr>
            <w:r w:rsidRPr="00D10954">
              <w:rPr>
                <w:rFonts w:eastAsia="Arial" w:cs="Arial"/>
              </w:rPr>
              <w:t>Orange</w:t>
            </w:r>
          </w:p>
        </w:tc>
        <w:tc>
          <w:tcPr>
            <w:tcW w:w="1560" w:type="dxa"/>
            <w:shd w:val="clear" w:color="auto" w:fill="FFFF00"/>
            <w:tcMar>
              <w:left w:w="105" w:type="dxa"/>
              <w:right w:w="105" w:type="dxa"/>
            </w:tcMar>
            <w:vAlign w:val="center"/>
          </w:tcPr>
          <w:p w14:paraId="2E2FBE63" w14:textId="27849C7B" w:rsidR="6944AD4D" w:rsidRPr="00D10954" w:rsidRDefault="6944AD4D" w:rsidP="6944AD4D">
            <w:pPr>
              <w:jc w:val="center"/>
              <w:rPr>
                <w:rFonts w:eastAsia="Arial" w:cs="Arial"/>
              </w:rPr>
            </w:pPr>
            <w:r w:rsidRPr="00D10954">
              <w:rPr>
                <w:rFonts w:eastAsia="Arial" w:cs="Arial"/>
              </w:rPr>
              <w:t>Yellow</w:t>
            </w:r>
          </w:p>
        </w:tc>
        <w:tc>
          <w:tcPr>
            <w:tcW w:w="1560" w:type="dxa"/>
            <w:tcBorders>
              <w:right w:val="single" w:sz="6" w:space="0" w:color="auto"/>
            </w:tcBorders>
            <w:shd w:val="clear" w:color="auto" w:fill="FFFF00"/>
            <w:tcMar>
              <w:left w:w="105" w:type="dxa"/>
              <w:right w:w="105" w:type="dxa"/>
            </w:tcMar>
            <w:vAlign w:val="center"/>
          </w:tcPr>
          <w:p w14:paraId="6BA4DBCC" w14:textId="4E451D5A" w:rsidR="6944AD4D" w:rsidRPr="00D10954" w:rsidRDefault="6944AD4D" w:rsidP="6944AD4D">
            <w:pPr>
              <w:jc w:val="center"/>
              <w:rPr>
                <w:rFonts w:eastAsia="Arial" w:cs="Arial"/>
              </w:rPr>
            </w:pPr>
            <w:r w:rsidRPr="00D10954">
              <w:rPr>
                <w:rFonts w:eastAsia="Arial" w:cs="Arial"/>
              </w:rPr>
              <w:t>Yellow</w:t>
            </w:r>
          </w:p>
        </w:tc>
      </w:tr>
      <w:tr w:rsidR="6944AD4D" w:rsidRPr="00D10954" w14:paraId="2F5A076A" w14:textId="77777777" w:rsidTr="00F345FB">
        <w:trPr>
          <w:cantSplit/>
          <w:trHeight w:val="1412"/>
        </w:trPr>
        <w:tc>
          <w:tcPr>
            <w:tcW w:w="1545" w:type="dxa"/>
            <w:tcBorders>
              <w:left w:val="single" w:sz="6" w:space="0" w:color="auto"/>
              <w:bottom w:val="single" w:sz="6" w:space="0" w:color="auto"/>
            </w:tcBorders>
            <w:tcMar>
              <w:left w:w="105" w:type="dxa"/>
              <w:right w:w="105" w:type="dxa"/>
            </w:tcMar>
            <w:vAlign w:val="center"/>
          </w:tcPr>
          <w:p w14:paraId="7EC0CF38" w14:textId="5B770473" w:rsidR="6944AD4D" w:rsidRPr="00D10954" w:rsidRDefault="6944AD4D" w:rsidP="00446B70">
            <w:pPr>
              <w:spacing w:before="360" w:after="480"/>
              <w:jc w:val="center"/>
              <w:rPr>
                <w:rFonts w:eastAsia="Arial" w:cs="Arial"/>
              </w:rPr>
            </w:pPr>
            <w:r w:rsidRPr="00D10954">
              <w:rPr>
                <w:rFonts w:eastAsia="Arial" w:cs="Arial"/>
                <w:b/>
                <w:bCs/>
              </w:rPr>
              <w:t xml:space="preserve">Very </w:t>
            </w:r>
            <w:r w:rsidR="33E9FF05" w:rsidRPr="00D10954">
              <w:rPr>
                <w:rFonts w:eastAsia="Arial" w:cs="Arial"/>
                <w:b/>
                <w:bCs/>
              </w:rPr>
              <w:t>Low</w:t>
            </w:r>
          </w:p>
        </w:tc>
        <w:tc>
          <w:tcPr>
            <w:tcW w:w="1545" w:type="dxa"/>
            <w:tcBorders>
              <w:bottom w:val="single" w:sz="6" w:space="0" w:color="auto"/>
            </w:tcBorders>
            <w:shd w:val="clear" w:color="auto" w:fill="A20000"/>
            <w:tcMar>
              <w:left w:w="105" w:type="dxa"/>
              <w:right w:w="105" w:type="dxa"/>
            </w:tcMar>
            <w:vAlign w:val="center"/>
          </w:tcPr>
          <w:p w14:paraId="0C393E83" w14:textId="17804133"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Red</w:t>
            </w:r>
          </w:p>
        </w:tc>
        <w:tc>
          <w:tcPr>
            <w:tcW w:w="1545" w:type="dxa"/>
            <w:tcBorders>
              <w:bottom w:val="single" w:sz="6" w:space="0" w:color="auto"/>
            </w:tcBorders>
            <w:shd w:val="clear" w:color="auto" w:fill="A20000"/>
            <w:tcMar>
              <w:left w:w="105" w:type="dxa"/>
              <w:right w:w="105" w:type="dxa"/>
            </w:tcMar>
            <w:vAlign w:val="center"/>
          </w:tcPr>
          <w:p w14:paraId="7CD6CF05" w14:textId="2C4FDBFA"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Red</w:t>
            </w:r>
          </w:p>
        </w:tc>
        <w:tc>
          <w:tcPr>
            <w:tcW w:w="1545" w:type="dxa"/>
            <w:tcBorders>
              <w:bottom w:val="single" w:sz="6" w:space="0" w:color="auto"/>
            </w:tcBorders>
            <w:shd w:val="clear" w:color="auto" w:fill="A20000"/>
            <w:tcMar>
              <w:left w:w="105" w:type="dxa"/>
              <w:right w:w="105" w:type="dxa"/>
            </w:tcMar>
            <w:vAlign w:val="center"/>
          </w:tcPr>
          <w:p w14:paraId="0431EA64" w14:textId="0011454A" w:rsidR="6944AD4D" w:rsidRPr="00D10954" w:rsidRDefault="6944AD4D" w:rsidP="6944AD4D">
            <w:pPr>
              <w:jc w:val="center"/>
              <w:rPr>
                <w:rFonts w:eastAsia="Arial" w:cs="Arial"/>
                <w:color w:val="FFFFFF" w:themeColor="background1"/>
              </w:rPr>
            </w:pPr>
            <w:r w:rsidRPr="00D10954">
              <w:rPr>
                <w:rFonts w:eastAsia="Arial" w:cs="Arial"/>
                <w:color w:val="FFFFFF" w:themeColor="background1"/>
              </w:rPr>
              <w:t>Red</w:t>
            </w:r>
          </w:p>
        </w:tc>
        <w:tc>
          <w:tcPr>
            <w:tcW w:w="1560" w:type="dxa"/>
            <w:tcBorders>
              <w:bottom w:val="single" w:sz="6" w:space="0" w:color="auto"/>
            </w:tcBorders>
            <w:shd w:val="clear" w:color="auto" w:fill="A20000"/>
            <w:tcMar>
              <w:left w:w="105" w:type="dxa"/>
              <w:right w:w="105" w:type="dxa"/>
            </w:tcMar>
            <w:vAlign w:val="center"/>
          </w:tcPr>
          <w:p w14:paraId="0C6DE959" w14:textId="1C2F5798" w:rsidR="1ED8E91B" w:rsidRPr="00D10954" w:rsidRDefault="1ED8E91B" w:rsidP="6944AD4D">
            <w:pPr>
              <w:jc w:val="center"/>
              <w:rPr>
                <w:rFonts w:eastAsia="Arial" w:cs="Arial"/>
                <w:color w:val="FFFFFF" w:themeColor="background1"/>
              </w:rPr>
            </w:pPr>
            <w:r w:rsidRPr="00D10954">
              <w:rPr>
                <w:rFonts w:eastAsia="Arial" w:cs="Arial"/>
                <w:color w:val="FFFFFF" w:themeColor="background1"/>
              </w:rPr>
              <w:t>Red</w:t>
            </w:r>
          </w:p>
        </w:tc>
        <w:tc>
          <w:tcPr>
            <w:tcW w:w="1560" w:type="dxa"/>
            <w:tcBorders>
              <w:bottom w:val="single" w:sz="6" w:space="0" w:color="auto"/>
              <w:right w:val="single" w:sz="6" w:space="0" w:color="auto"/>
            </w:tcBorders>
            <w:shd w:val="clear" w:color="auto" w:fill="A20000"/>
            <w:tcMar>
              <w:left w:w="105" w:type="dxa"/>
              <w:right w:w="105" w:type="dxa"/>
            </w:tcMar>
            <w:vAlign w:val="center"/>
          </w:tcPr>
          <w:p w14:paraId="2B8FDC7D" w14:textId="7327A910" w:rsidR="41D0A777" w:rsidRPr="00D10954" w:rsidRDefault="41D0A777" w:rsidP="6944AD4D">
            <w:pPr>
              <w:jc w:val="center"/>
              <w:rPr>
                <w:rFonts w:eastAsia="Arial" w:cs="Arial"/>
                <w:color w:val="FFFFFF" w:themeColor="background1"/>
              </w:rPr>
            </w:pPr>
            <w:r w:rsidRPr="00D10954">
              <w:rPr>
                <w:rFonts w:eastAsia="Arial" w:cs="Arial"/>
                <w:color w:val="FFFFFF" w:themeColor="background1"/>
              </w:rPr>
              <w:t>Red</w:t>
            </w:r>
          </w:p>
        </w:tc>
      </w:tr>
    </w:tbl>
    <w:p w14:paraId="5D257B28" w14:textId="24C7A0AA" w:rsidR="6944AD4D" w:rsidRPr="00D10954" w:rsidRDefault="6944AD4D" w:rsidP="6944AD4D">
      <w:pPr>
        <w:spacing w:after="160" w:line="259" w:lineRule="auto"/>
        <w:rPr>
          <w:rFonts w:eastAsia="Arial" w:cs="Arial"/>
          <w:color w:val="000000" w:themeColor="text1"/>
        </w:rPr>
      </w:pPr>
    </w:p>
    <w:p w14:paraId="7F48EB9A" w14:textId="1143C4F9" w:rsidR="79B68FDD" w:rsidRPr="00D10954" w:rsidRDefault="79B68FDD" w:rsidP="00F345FB">
      <w:pPr>
        <w:pStyle w:val="Heading4"/>
      </w:pPr>
      <w:r w:rsidRPr="00D10954">
        <w:t>Chronic Absenteeism Indicator</w:t>
      </w:r>
    </w:p>
    <w:p w14:paraId="1B3537B5" w14:textId="36529F10" w:rsidR="30D1C8DE" w:rsidRPr="00D10954" w:rsidRDefault="63A00084" w:rsidP="002A4A0A">
      <w:pPr>
        <w:rPr>
          <w:rFonts w:eastAsia="Arial" w:cs="Arial"/>
          <w:color w:val="000000" w:themeColor="text1"/>
        </w:rPr>
      </w:pPr>
      <w:r w:rsidRPr="00D10954">
        <w:rPr>
          <w:rFonts w:eastAsia="Arial" w:cs="Arial"/>
          <w:color w:val="000000" w:themeColor="text1"/>
        </w:rPr>
        <w:t>The SBE adopt</w:t>
      </w:r>
      <w:r w:rsidR="303A7355" w:rsidRPr="00D10954">
        <w:rPr>
          <w:rFonts w:eastAsia="Arial" w:cs="Arial"/>
          <w:color w:val="000000" w:themeColor="text1"/>
        </w:rPr>
        <w:t>ed</w:t>
      </w:r>
      <w:r w:rsidRPr="00D10954">
        <w:rPr>
          <w:rFonts w:eastAsia="Arial" w:cs="Arial"/>
          <w:color w:val="000000" w:themeColor="text1"/>
        </w:rPr>
        <w:t xml:space="preserve"> the </w:t>
      </w:r>
      <w:r w:rsidR="7A436F2F" w:rsidRPr="00D10954">
        <w:rPr>
          <w:rFonts w:eastAsia="Arial" w:cs="Arial"/>
          <w:color w:val="000000" w:themeColor="text1"/>
        </w:rPr>
        <w:t xml:space="preserve">Chronic Absenteeism </w:t>
      </w:r>
      <w:r w:rsidR="75667D20" w:rsidRPr="00D10954">
        <w:t>Performance Level color scheme</w:t>
      </w:r>
      <w:r w:rsidRPr="00D10954">
        <w:rPr>
          <w:rFonts w:eastAsia="Arial" w:cs="Arial"/>
          <w:color w:val="000000" w:themeColor="text1"/>
        </w:rPr>
        <w:t xml:space="preserve"> for </w:t>
      </w:r>
      <w:r w:rsidR="5868155E" w:rsidRPr="00D10954">
        <w:rPr>
          <w:rFonts w:eastAsia="Arial" w:cs="Arial"/>
          <w:color w:val="000000" w:themeColor="text1"/>
        </w:rPr>
        <w:t>five-by-five</w:t>
      </w:r>
      <w:r w:rsidRPr="00D10954">
        <w:rPr>
          <w:rFonts w:eastAsia="Arial" w:cs="Arial"/>
          <w:color w:val="000000" w:themeColor="text1"/>
        </w:rPr>
        <w:t xml:space="preserve"> colored grid as shown in Table </w:t>
      </w:r>
      <w:r w:rsidR="540F39CF" w:rsidRPr="00D10954">
        <w:rPr>
          <w:rFonts w:eastAsia="Arial" w:cs="Arial"/>
          <w:color w:val="000000" w:themeColor="text1"/>
        </w:rPr>
        <w:t>10</w:t>
      </w:r>
      <w:r w:rsidR="30D1C8DE" w:rsidRPr="00D10954">
        <w:rPr>
          <w:rFonts w:eastAsia="Arial" w:cs="Arial"/>
          <w:color w:val="000000" w:themeColor="text1"/>
        </w:rPr>
        <w:t>.</w:t>
      </w:r>
    </w:p>
    <w:p w14:paraId="745C82C2" w14:textId="386D1E21" w:rsidR="30D1C8DE" w:rsidRPr="00D10954" w:rsidRDefault="30D1C8DE" w:rsidP="005D6C1F">
      <w:pPr>
        <w:spacing w:after="160"/>
        <w:rPr>
          <w:rFonts w:eastAsia="Arial" w:cs="Arial"/>
          <w:color w:val="000000" w:themeColor="text1"/>
        </w:rPr>
      </w:pPr>
      <w:r w:rsidRPr="00D10954">
        <w:rPr>
          <w:rFonts w:eastAsia="Arial" w:cs="Arial"/>
          <w:color w:val="000000" w:themeColor="text1"/>
        </w:rPr>
        <w:t xml:space="preserve">Based on this grid, the SBE made the requirements for LEAs, schools and student groups to receive a blue Performance Level either a status of very low and a change level of maintained, declined or declined significantly, or a status of low and a change level of declined significantly. Conversely, an LEA, school or student group would receive a red Performance Level with a status level of high and a change level of increased significantly, </w:t>
      </w:r>
      <w:r w:rsidRPr="00D10954">
        <w:rPr>
          <w:rFonts w:eastAsia="Arial" w:cs="Arial"/>
          <w:color w:val="000000" w:themeColor="text1"/>
        </w:rPr>
        <w:lastRenderedPageBreak/>
        <w:t xml:space="preserve">or a status level of very </w:t>
      </w:r>
      <w:r w:rsidR="68C5950C" w:rsidRPr="00D10954">
        <w:rPr>
          <w:rFonts w:eastAsia="Arial" w:cs="Arial"/>
          <w:color w:val="000000" w:themeColor="text1"/>
        </w:rPr>
        <w:t>high</w:t>
      </w:r>
      <w:r w:rsidRPr="00D10954">
        <w:rPr>
          <w:rFonts w:eastAsia="Arial" w:cs="Arial"/>
          <w:color w:val="000000" w:themeColor="text1"/>
        </w:rPr>
        <w:t xml:space="preserve"> and a change level of maintained, increased or increased significantly.</w:t>
      </w:r>
    </w:p>
    <w:p w14:paraId="73EC90D3" w14:textId="201219C0" w:rsidR="30D1C8DE" w:rsidRPr="00D10954" w:rsidRDefault="30D1C8DE" w:rsidP="00F345FB">
      <w:pPr>
        <w:pStyle w:val="Heading4"/>
      </w:pPr>
      <w:r w:rsidRPr="00D10954">
        <w:t xml:space="preserve">Table </w:t>
      </w:r>
      <w:r w:rsidR="224C5032" w:rsidRPr="00D10954">
        <w:t>10</w:t>
      </w:r>
      <w:r w:rsidRPr="00D10954">
        <w:t>: Chronic Absenteeism Performance Levels (Colors)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able 5: Chronic Absenteeism Performance Levels (Colors)"/>
        <w:tblDescription w:val="Table 5: Chronic Absenteeism Performance Levels (Colors)"/>
      </w:tblPr>
      <w:tblGrid>
        <w:gridCol w:w="1545"/>
        <w:gridCol w:w="1545"/>
        <w:gridCol w:w="1545"/>
        <w:gridCol w:w="1545"/>
        <w:gridCol w:w="1560"/>
        <w:gridCol w:w="1560"/>
      </w:tblGrid>
      <w:tr w:rsidR="228CF246" w:rsidRPr="00D10954" w14:paraId="5CB86942" w14:textId="77777777" w:rsidTr="004347D3">
        <w:trPr>
          <w:cantSplit/>
          <w:trHeight w:val="1515"/>
          <w:tblHeader/>
        </w:trPr>
        <w:tc>
          <w:tcPr>
            <w:tcW w:w="1545" w:type="dxa"/>
            <w:tcBorders>
              <w:top w:val="single" w:sz="6" w:space="0" w:color="auto"/>
              <w:left w:val="single" w:sz="6" w:space="0" w:color="auto"/>
            </w:tcBorders>
            <w:tcMar>
              <w:left w:w="105" w:type="dxa"/>
              <w:right w:w="105" w:type="dxa"/>
            </w:tcMar>
            <w:vAlign w:val="center"/>
          </w:tcPr>
          <w:p w14:paraId="4476A34D" w14:textId="72678B0B" w:rsidR="228CF246" w:rsidRPr="00D10954" w:rsidRDefault="228CF246" w:rsidP="228CF246">
            <w:pPr>
              <w:jc w:val="center"/>
              <w:rPr>
                <w:rFonts w:eastAsia="Arial" w:cs="Arial"/>
                <w:sz w:val="20"/>
                <w:szCs w:val="20"/>
              </w:rPr>
            </w:pPr>
            <w:r w:rsidRPr="00D10954">
              <w:rPr>
                <w:rFonts w:eastAsia="Arial" w:cs="Arial"/>
                <w:b/>
                <w:bCs/>
                <w:sz w:val="20"/>
                <w:szCs w:val="20"/>
              </w:rPr>
              <w:t>Performance Level</w:t>
            </w:r>
          </w:p>
        </w:tc>
        <w:tc>
          <w:tcPr>
            <w:tcW w:w="1545" w:type="dxa"/>
            <w:tcBorders>
              <w:top w:val="single" w:sz="6" w:space="0" w:color="auto"/>
            </w:tcBorders>
            <w:tcMar>
              <w:left w:w="105" w:type="dxa"/>
              <w:right w:w="105" w:type="dxa"/>
            </w:tcMar>
            <w:vAlign w:val="center"/>
          </w:tcPr>
          <w:p w14:paraId="63F14958" w14:textId="55DAEC60" w:rsidR="228CF246" w:rsidRPr="00D10954" w:rsidRDefault="228CF246" w:rsidP="228CF246">
            <w:pPr>
              <w:jc w:val="center"/>
              <w:rPr>
                <w:rFonts w:eastAsia="Arial" w:cs="Arial"/>
                <w:sz w:val="22"/>
                <w:szCs w:val="22"/>
              </w:rPr>
            </w:pPr>
            <w:r w:rsidRPr="00D10954">
              <w:rPr>
                <w:rFonts w:eastAsia="Arial" w:cs="Arial"/>
                <w:b/>
                <w:bCs/>
                <w:sz w:val="22"/>
                <w:szCs w:val="22"/>
              </w:rPr>
              <w:t>Increased Significantly</w:t>
            </w:r>
          </w:p>
        </w:tc>
        <w:tc>
          <w:tcPr>
            <w:tcW w:w="1545" w:type="dxa"/>
            <w:tcBorders>
              <w:top w:val="single" w:sz="6" w:space="0" w:color="auto"/>
            </w:tcBorders>
            <w:tcMar>
              <w:left w:w="105" w:type="dxa"/>
              <w:right w:w="105" w:type="dxa"/>
            </w:tcMar>
            <w:vAlign w:val="center"/>
          </w:tcPr>
          <w:p w14:paraId="1E3F727D" w14:textId="568B1FC9" w:rsidR="228CF246" w:rsidRPr="00D10954" w:rsidRDefault="228CF246" w:rsidP="228CF246">
            <w:pPr>
              <w:jc w:val="center"/>
              <w:rPr>
                <w:rFonts w:eastAsia="Arial" w:cs="Arial"/>
              </w:rPr>
            </w:pPr>
            <w:r w:rsidRPr="00D10954">
              <w:rPr>
                <w:rFonts w:eastAsia="Arial" w:cs="Arial"/>
                <w:b/>
                <w:bCs/>
              </w:rPr>
              <w:t>Increased</w:t>
            </w:r>
          </w:p>
        </w:tc>
        <w:tc>
          <w:tcPr>
            <w:tcW w:w="1545" w:type="dxa"/>
            <w:tcBorders>
              <w:top w:val="single" w:sz="6" w:space="0" w:color="auto"/>
            </w:tcBorders>
            <w:tcMar>
              <w:left w:w="105" w:type="dxa"/>
              <w:right w:w="105" w:type="dxa"/>
            </w:tcMar>
            <w:vAlign w:val="center"/>
          </w:tcPr>
          <w:p w14:paraId="55C238F8" w14:textId="741DA23B" w:rsidR="228CF246" w:rsidRPr="00D10954" w:rsidRDefault="228CF246" w:rsidP="228CF246">
            <w:pPr>
              <w:jc w:val="center"/>
              <w:rPr>
                <w:rFonts w:eastAsia="Arial" w:cs="Arial"/>
              </w:rPr>
            </w:pPr>
            <w:r w:rsidRPr="00D10954">
              <w:rPr>
                <w:rFonts w:eastAsia="Arial" w:cs="Arial"/>
                <w:b/>
                <w:bCs/>
              </w:rPr>
              <w:t>Maintained</w:t>
            </w:r>
          </w:p>
        </w:tc>
        <w:tc>
          <w:tcPr>
            <w:tcW w:w="1560" w:type="dxa"/>
            <w:tcBorders>
              <w:top w:val="single" w:sz="6" w:space="0" w:color="auto"/>
            </w:tcBorders>
            <w:tcMar>
              <w:left w:w="105" w:type="dxa"/>
              <w:right w:w="105" w:type="dxa"/>
            </w:tcMar>
            <w:vAlign w:val="center"/>
          </w:tcPr>
          <w:p w14:paraId="30F48F49" w14:textId="1320479B" w:rsidR="228CF246" w:rsidRPr="00D10954" w:rsidRDefault="228CF246" w:rsidP="228CF246">
            <w:pPr>
              <w:jc w:val="center"/>
              <w:rPr>
                <w:rFonts w:eastAsia="Arial" w:cs="Arial"/>
              </w:rPr>
            </w:pPr>
            <w:r w:rsidRPr="00D10954">
              <w:rPr>
                <w:rFonts w:eastAsia="Arial" w:cs="Arial"/>
                <w:b/>
                <w:bCs/>
              </w:rPr>
              <w:t>Declined</w:t>
            </w:r>
          </w:p>
        </w:tc>
        <w:tc>
          <w:tcPr>
            <w:tcW w:w="1560" w:type="dxa"/>
            <w:tcBorders>
              <w:top w:val="single" w:sz="6" w:space="0" w:color="auto"/>
              <w:right w:val="single" w:sz="6" w:space="0" w:color="auto"/>
            </w:tcBorders>
            <w:tcMar>
              <w:left w:w="105" w:type="dxa"/>
              <w:right w:w="105" w:type="dxa"/>
            </w:tcMar>
            <w:vAlign w:val="center"/>
          </w:tcPr>
          <w:p w14:paraId="17198C59" w14:textId="000EBDCE" w:rsidR="228CF246" w:rsidRPr="00D10954" w:rsidRDefault="228CF246" w:rsidP="228CF246">
            <w:pPr>
              <w:jc w:val="center"/>
              <w:rPr>
                <w:rFonts w:eastAsia="Arial" w:cs="Arial"/>
                <w:sz w:val="22"/>
                <w:szCs w:val="22"/>
              </w:rPr>
            </w:pPr>
            <w:r w:rsidRPr="00D10954">
              <w:rPr>
                <w:rFonts w:eastAsia="Arial" w:cs="Arial"/>
                <w:b/>
                <w:bCs/>
                <w:sz w:val="22"/>
                <w:szCs w:val="22"/>
              </w:rPr>
              <w:t>Declined Significantly</w:t>
            </w:r>
          </w:p>
        </w:tc>
      </w:tr>
      <w:tr w:rsidR="228CF246" w:rsidRPr="00D10954" w14:paraId="12902047" w14:textId="77777777" w:rsidTr="0021246D">
        <w:trPr>
          <w:cantSplit/>
          <w:trHeight w:val="1515"/>
          <w:tblHeader/>
        </w:trPr>
        <w:tc>
          <w:tcPr>
            <w:tcW w:w="1545" w:type="dxa"/>
            <w:tcBorders>
              <w:left w:val="single" w:sz="6" w:space="0" w:color="auto"/>
            </w:tcBorders>
            <w:tcMar>
              <w:left w:w="105" w:type="dxa"/>
              <w:right w:w="105" w:type="dxa"/>
            </w:tcMar>
            <w:vAlign w:val="center"/>
          </w:tcPr>
          <w:p w14:paraId="7EAA12B9" w14:textId="2FF6174F" w:rsidR="228CF246" w:rsidRPr="00D10954" w:rsidRDefault="228CF246" w:rsidP="0021246D">
            <w:pPr>
              <w:jc w:val="center"/>
              <w:rPr>
                <w:rFonts w:eastAsia="Arial" w:cs="Arial"/>
              </w:rPr>
            </w:pPr>
            <w:r w:rsidRPr="00D10954">
              <w:rPr>
                <w:rFonts w:eastAsia="Arial" w:cs="Arial"/>
                <w:b/>
                <w:bCs/>
              </w:rPr>
              <w:t>Very Low</w:t>
            </w:r>
          </w:p>
        </w:tc>
        <w:tc>
          <w:tcPr>
            <w:tcW w:w="1545" w:type="dxa"/>
            <w:shd w:val="clear" w:color="auto" w:fill="FFFF00"/>
            <w:tcMar>
              <w:left w:w="105" w:type="dxa"/>
              <w:right w:w="105" w:type="dxa"/>
            </w:tcMar>
            <w:vAlign w:val="center"/>
          </w:tcPr>
          <w:p w14:paraId="62F9C33B" w14:textId="6859B41B" w:rsidR="228CF246" w:rsidRPr="00D10954" w:rsidRDefault="228CF246" w:rsidP="228CF246">
            <w:pPr>
              <w:jc w:val="center"/>
              <w:rPr>
                <w:rFonts w:eastAsia="Arial" w:cs="Arial"/>
              </w:rPr>
            </w:pPr>
            <w:r w:rsidRPr="00D10954">
              <w:rPr>
                <w:rFonts w:eastAsia="Arial" w:cs="Arial"/>
              </w:rPr>
              <w:t>Yellow</w:t>
            </w:r>
          </w:p>
        </w:tc>
        <w:tc>
          <w:tcPr>
            <w:tcW w:w="1545" w:type="dxa"/>
            <w:shd w:val="clear" w:color="auto" w:fill="006500"/>
            <w:tcMar>
              <w:left w:w="105" w:type="dxa"/>
              <w:right w:w="105" w:type="dxa"/>
            </w:tcMar>
            <w:vAlign w:val="center"/>
          </w:tcPr>
          <w:p w14:paraId="5CCBE0FD" w14:textId="2C8C77CD"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Green</w:t>
            </w:r>
          </w:p>
        </w:tc>
        <w:tc>
          <w:tcPr>
            <w:tcW w:w="1545" w:type="dxa"/>
            <w:shd w:val="clear" w:color="auto" w:fill="0000FF"/>
            <w:tcMar>
              <w:left w:w="105" w:type="dxa"/>
              <w:right w:w="105" w:type="dxa"/>
            </w:tcMar>
            <w:vAlign w:val="center"/>
          </w:tcPr>
          <w:p w14:paraId="450AC582" w14:textId="698A46CB"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Blue</w:t>
            </w:r>
          </w:p>
        </w:tc>
        <w:tc>
          <w:tcPr>
            <w:tcW w:w="1560" w:type="dxa"/>
            <w:shd w:val="clear" w:color="auto" w:fill="0000FF"/>
            <w:tcMar>
              <w:left w:w="105" w:type="dxa"/>
              <w:right w:w="105" w:type="dxa"/>
            </w:tcMar>
            <w:vAlign w:val="center"/>
          </w:tcPr>
          <w:p w14:paraId="3A4348FA" w14:textId="1EF76CEA"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Blue</w:t>
            </w:r>
          </w:p>
        </w:tc>
        <w:tc>
          <w:tcPr>
            <w:tcW w:w="1560" w:type="dxa"/>
            <w:tcBorders>
              <w:right w:val="single" w:sz="6" w:space="0" w:color="auto"/>
            </w:tcBorders>
            <w:shd w:val="clear" w:color="auto" w:fill="0000FF"/>
            <w:tcMar>
              <w:left w:w="105" w:type="dxa"/>
              <w:right w:w="105" w:type="dxa"/>
            </w:tcMar>
            <w:vAlign w:val="center"/>
          </w:tcPr>
          <w:p w14:paraId="5DBBC3AD" w14:textId="1D76F6C7"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Blue</w:t>
            </w:r>
          </w:p>
        </w:tc>
      </w:tr>
      <w:tr w:rsidR="228CF246" w:rsidRPr="00D10954" w14:paraId="1FB497A3" w14:textId="77777777" w:rsidTr="004347D3">
        <w:trPr>
          <w:cantSplit/>
          <w:trHeight w:val="1515"/>
          <w:tblHeader/>
        </w:trPr>
        <w:tc>
          <w:tcPr>
            <w:tcW w:w="1545" w:type="dxa"/>
            <w:tcBorders>
              <w:left w:val="single" w:sz="6" w:space="0" w:color="auto"/>
            </w:tcBorders>
            <w:tcMar>
              <w:left w:w="105" w:type="dxa"/>
              <w:right w:w="105" w:type="dxa"/>
            </w:tcMar>
            <w:vAlign w:val="center"/>
          </w:tcPr>
          <w:p w14:paraId="080C549C" w14:textId="0EE8FEA7" w:rsidR="228CF246" w:rsidRPr="00D10954" w:rsidRDefault="228CF246" w:rsidP="0021246D">
            <w:pPr>
              <w:spacing w:after="120"/>
              <w:jc w:val="center"/>
              <w:rPr>
                <w:rFonts w:eastAsia="Arial" w:cs="Arial"/>
              </w:rPr>
            </w:pPr>
            <w:r w:rsidRPr="00D10954">
              <w:rPr>
                <w:rFonts w:eastAsia="Arial" w:cs="Arial"/>
                <w:b/>
                <w:bCs/>
              </w:rPr>
              <w:t>Low</w:t>
            </w:r>
          </w:p>
        </w:tc>
        <w:tc>
          <w:tcPr>
            <w:tcW w:w="1545" w:type="dxa"/>
            <w:shd w:val="clear" w:color="auto" w:fill="FFA500"/>
            <w:tcMar>
              <w:left w:w="105" w:type="dxa"/>
              <w:right w:w="105" w:type="dxa"/>
            </w:tcMar>
            <w:vAlign w:val="center"/>
          </w:tcPr>
          <w:p w14:paraId="6FD0A5C0" w14:textId="5A512FCD" w:rsidR="228CF246" w:rsidRPr="00D10954" w:rsidRDefault="228CF246" w:rsidP="228CF246">
            <w:pPr>
              <w:jc w:val="center"/>
              <w:rPr>
                <w:rFonts w:eastAsia="Arial" w:cs="Arial"/>
              </w:rPr>
            </w:pPr>
            <w:r w:rsidRPr="00D10954">
              <w:rPr>
                <w:rFonts w:eastAsia="Arial" w:cs="Arial"/>
              </w:rPr>
              <w:t>Orange</w:t>
            </w:r>
          </w:p>
        </w:tc>
        <w:tc>
          <w:tcPr>
            <w:tcW w:w="1545" w:type="dxa"/>
            <w:shd w:val="clear" w:color="auto" w:fill="FFFF00"/>
            <w:tcMar>
              <w:left w:w="105" w:type="dxa"/>
              <w:right w:w="105" w:type="dxa"/>
            </w:tcMar>
            <w:vAlign w:val="center"/>
          </w:tcPr>
          <w:p w14:paraId="5CDB9DA3" w14:textId="0E6E08BF" w:rsidR="228CF246" w:rsidRPr="00D10954" w:rsidRDefault="228CF246" w:rsidP="228CF246">
            <w:pPr>
              <w:jc w:val="center"/>
              <w:rPr>
                <w:rFonts w:eastAsia="Arial" w:cs="Arial"/>
              </w:rPr>
            </w:pPr>
            <w:r w:rsidRPr="00D10954">
              <w:rPr>
                <w:rFonts w:eastAsia="Arial" w:cs="Arial"/>
              </w:rPr>
              <w:t>Yellow</w:t>
            </w:r>
          </w:p>
        </w:tc>
        <w:tc>
          <w:tcPr>
            <w:tcW w:w="1545" w:type="dxa"/>
            <w:shd w:val="clear" w:color="auto" w:fill="006500"/>
            <w:tcMar>
              <w:left w:w="105" w:type="dxa"/>
              <w:right w:w="105" w:type="dxa"/>
            </w:tcMar>
            <w:vAlign w:val="center"/>
          </w:tcPr>
          <w:p w14:paraId="17FC4F3B" w14:textId="12CF37CE"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Green</w:t>
            </w:r>
          </w:p>
        </w:tc>
        <w:tc>
          <w:tcPr>
            <w:tcW w:w="1560" w:type="dxa"/>
            <w:shd w:val="clear" w:color="auto" w:fill="006500"/>
            <w:tcMar>
              <w:left w:w="105" w:type="dxa"/>
              <w:right w:w="105" w:type="dxa"/>
            </w:tcMar>
            <w:vAlign w:val="center"/>
          </w:tcPr>
          <w:p w14:paraId="2BA4C61B" w14:textId="25ED4B8C"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Green</w:t>
            </w:r>
          </w:p>
        </w:tc>
        <w:tc>
          <w:tcPr>
            <w:tcW w:w="1560" w:type="dxa"/>
            <w:tcBorders>
              <w:right w:val="single" w:sz="6" w:space="0" w:color="auto"/>
            </w:tcBorders>
            <w:shd w:val="clear" w:color="auto" w:fill="0000FF"/>
            <w:tcMar>
              <w:left w:w="105" w:type="dxa"/>
              <w:right w:w="105" w:type="dxa"/>
            </w:tcMar>
            <w:vAlign w:val="center"/>
          </w:tcPr>
          <w:p w14:paraId="6C4DD6FB" w14:textId="05A96320"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Blue</w:t>
            </w:r>
          </w:p>
        </w:tc>
      </w:tr>
      <w:tr w:rsidR="228CF246" w:rsidRPr="00D10954" w14:paraId="22A2B25F" w14:textId="77777777" w:rsidTr="004347D3">
        <w:trPr>
          <w:cantSplit/>
          <w:trHeight w:val="1515"/>
          <w:tblHeader/>
        </w:trPr>
        <w:tc>
          <w:tcPr>
            <w:tcW w:w="1545" w:type="dxa"/>
            <w:tcBorders>
              <w:left w:val="single" w:sz="6" w:space="0" w:color="auto"/>
            </w:tcBorders>
            <w:tcMar>
              <w:left w:w="105" w:type="dxa"/>
              <w:right w:w="105" w:type="dxa"/>
            </w:tcMar>
            <w:vAlign w:val="center"/>
          </w:tcPr>
          <w:p w14:paraId="4E94B111" w14:textId="2921DC08" w:rsidR="228CF246" w:rsidRPr="00D10954" w:rsidRDefault="228CF246" w:rsidP="008511DB">
            <w:pPr>
              <w:spacing w:after="120"/>
              <w:jc w:val="center"/>
              <w:rPr>
                <w:rFonts w:eastAsia="Arial" w:cs="Arial"/>
              </w:rPr>
            </w:pPr>
            <w:r w:rsidRPr="00D10954">
              <w:rPr>
                <w:rFonts w:eastAsia="Arial" w:cs="Arial"/>
                <w:b/>
                <w:bCs/>
              </w:rPr>
              <w:t>Medium</w:t>
            </w:r>
          </w:p>
        </w:tc>
        <w:tc>
          <w:tcPr>
            <w:tcW w:w="1545" w:type="dxa"/>
            <w:shd w:val="clear" w:color="auto" w:fill="FFA500"/>
            <w:tcMar>
              <w:left w:w="105" w:type="dxa"/>
              <w:right w:w="105" w:type="dxa"/>
            </w:tcMar>
            <w:vAlign w:val="center"/>
          </w:tcPr>
          <w:p w14:paraId="2ED9962D" w14:textId="589BD9ED" w:rsidR="228CF246" w:rsidRPr="00D10954" w:rsidRDefault="228CF246" w:rsidP="228CF246">
            <w:pPr>
              <w:jc w:val="center"/>
              <w:rPr>
                <w:rFonts w:eastAsia="Arial" w:cs="Arial"/>
              </w:rPr>
            </w:pPr>
            <w:r w:rsidRPr="00D10954">
              <w:rPr>
                <w:rFonts w:eastAsia="Arial" w:cs="Arial"/>
              </w:rPr>
              <w:t>Orange</w:t>
            </w:r>
          </w:p>
        </w:tc>
        <w:tc>
          <w:tcPr>
            <w:tcW w:w="1545" w:type="dxa"/>
            <w:shd w:val="clear" w:color="auto" w:fill="FFA500"/>
            <w:tcMar>
              <w:left w:w="105" w:type="dxa"/>
              <w:right w:w="105" w:type="dxa"/>
            </w:tcMar>
            <w:vAlign w:val="center"/>
          </w:tcPr>
          <w:p w14:paraId="747A441F" w14:textId="71B721D5" w:rsidR="228CF246" w:rsidRPr="00D10954" w:rsidRDefault="228CF246" w:rsidP="228CF246">
            <w:pPr>
              <w:jc w:val="center"/>
              <w:rPr>
                <w:rFonts w:eastAsia="Arial" w:cs="Arial"/>
              </w:rPr>
            </w:pPr>
            <w:r w:rsidRPr="00D10954">
              <w:rPr>
                <w:rFonts w:eastAsia="Arial" w:cs="Arial"/>
              </w:rPr>
              <w:t>Orange</w:t>
            </w:r>
          </w:p>
        </w:tc>
        <w:tc>
          <w:tcPr>
            <w:tcW w:w="1545" w:type="dxa"/>
            <w:tcBorders>
              <w:bottom w:val="single" w:sz="6" w:space="0" w:color="auto"/>
            </w:tcBorders>
            <w:shd w:val="clear" w:color="auto" w:fill="FFFF00"/>
            <w:tcMar>
              <w:left w:w="105" w:type="dxa"/>
              <w:right w:w="105" w:type="dxa"/>
            </w:tcMar>
            <w:vAlign w:val="center"/>
          </w:tcPr>
          <w:p w14:paraId="677EEE10" w14:textId="77CCAA59" w:rsidR="228CF246" w:rsidRPr="00D10954" w:rsidRDefault="228CF246" w:rsidP="228CF246">
            <w:pPr>
              <w:jc w:val="center"/>
              <w:rPr>
                <w:rFonts w:eastAsia="Arial" w:cs="Arial"/>
              </w:rPr>
            </w:pPr>
            <w:r w:rsidRPr="00D10954">
              <w:rPr>
                <w:rFonts w:eastAsia="Arial" w:cs="Arial"/>
              </w:rPr>
              <w:t>Yellow</w:t>
            </w:r>
          </w:p>
        </w:tc>
        <w:tc>
          <w:tcPr>
            <w:tcW w:w="1560" w:type="dxa"/>
            <w:shd w:val="clear" w:color="auto" w:fill="006500"/>
            <w:tcMar>
              <w:left w:w="105" w:type="dxa"/>
              <w:right w:w="105" w:type="dxa"/>
            </w:tcMar>
            <w:vAlign w:val="center"/>
          </w:tcPr>
          <w:p w14:paraId="1613AE93" w14:textId="4F79CD8E"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Green</w:t>
            </w:r>
          </w:p>
        </w:tc>
        <w:tc>
          <w:tcPr>
            <w:tcW w:w="1560" w:type="dxa"/>
            <w:tcBorders>
              <w:right w:val="single" w:sz="6" w:space="0" w:color="auto"/>
            </w:tcBorders>
            <w:shd w:val="clear" w:color="auto" w:fill="006500"/>
            <w:tcMar>
              <w:left w:w="105" w:type="dxa"/>
              <w:right w:w="105" w:type="dxa"/>
            </w:tcMar>
            <w:vAlign w:val="center"/>
          </w:tcPr>
          <w:p w14:paraId="42356C82" w14:textId="4D144794"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Green</w:t>
            </w:r>
          </w:p>
        </w:tc>
      </w:tr>
      <w:tr w:rsidR="228CF246" w:rsidRPr="00D10954" w14:paraId="1B62884D" w14:textId="77777777" w:rsidTr="004347D3">
        <w:trPr>
          <w:cantSplit/>
          <w:trHeight w:val="1515"/>
          <w:tblHeader/>
        </w:trPr>
        <w:tc>
          <w:tcPr>
            <w:tcW w:w="1545" w:type="dxa"/>
            <w:tcBorders>
              <w:left w:val="single" w:sz="6" w:space="0" w:color="auto"/>
            </w:tcBorders>
            <w:tcMar>
              <w:left w:w="105" w:type="dxa"/>
              <w:right w:w="105" w:type="dxa"/>
            </w:tcMar>
            <w:vAlign w:val="center"/>
          </w:tcPr>
          <w:p w14:paraId="0030C59B" w14:textId="1302E006" w:rsidR="228CF246" w:rsidRPr="00D10954" w:rsidRDefault="228CF246" w:rsidP="008511DB">
            <w:pPr>
              <w:spacing w:after="120"/>
              <w:jc w:val="center"/>
              <w:rPr>
                <w:rFonts w:eastAsia="Arial" w:cs="Arial"/>
              </w:rPr>
            </w:pPr>
            <w:r w:rsidRPr="00D10954">
              <w:rPr>
                <w:rFonts w:eastAsia="Arial" w:cs="Arial"/>
                <w:b/>
                <w:bCs/>
              </w:rPr>
              <w:t>High</w:t>
            </w:r>
          </w:p>
        </w:tc>
        <w:tc>
          <w:tcPr>
            <w:tcW w:w="1545" w:type="dxa"/>
            <w:shd w:val="clear" w:color="auto" w:fill="A20000"/>
            <w:tcMar>
              <w:left w:w="105" w:type="dxa"/>
              <w:right w:w="105" w:type="dxa"/>
            </w:tcMar>
            <w:vAlign w:val="center"/>
          </w:tcPr>
          <w:p w14:paraId="10D534D1" w14:textId="0DEA34FE"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Red</w:t>
            </w:r>
          </w:p>
        </w:tc>
        <w:tc>
          <w:tcPr>
            <w:tcW w:w="1545" w:type="dxa"/>
            <w:shd w:val="clear" w:color="auto" w:fill="FFA500"/>
            <w:tcMar>
              <w:left w:w="105" w:type="dxa"/>
              <w:right w:w="105" w:type="dxa"/>
            </w:tcMar>
            <w:vAlign w:val="center"/>
          </w:tcPr>
          <w:p w14:paraId="201F9DAB" w14:textId="5F5DBC0C" w:rsidR="228CF246" w:rsidRPr="00D10954" w:rsidRDefault="228CF246" w:rsidP="228CF246">
            <w:pPr>
              <w:jc w:val="center"/>
              <w:rPr>
                <w:rFonts w:eastAsia="Arial" w:cs="Arial"/>
              </w:rPr>
            </w:pPr>
            <w:r w:rsidRPr="00D10954">
              <w:rPr>
                <w:rFonts w:eastAsia="Arial" w:cs="Arial"/>
              </w:rPr>
              <w:t>Orange</w:t>
            </w:r>
          </w:p>
        </w:tc>
        <w:tc>
          <w:tcPr>
            <w:tcW w:w="1545" w:type="dxa"/>
            <w:shd w:val="clear" w:color="auto" w:fill="FFA500"/>
            <w:tcMar>
              <w:left w:w="105" w:type="dxa"/>
              <w:right w:w="105" w:type="dxa"/>
            </w:tcMar>
            <w:vAlign w:val="center"/>
          </w:tcPr>
          <w:p w14:paraId="0EC1CDCC" w14:textId="33E67645" w:rsidR="228CF246" w:rsidRPr="00D10954" w:rsidRDefault="228CF246" w:rsidP="228CF246">
            <w:pPr>
              <w:jc w:val="center"/>
              <w:rPr>
                <w:rFonts w:eastAsia="Arial" w:cs="Arial"/>
              </w:rPr>
            </w:pPr>
            <w:r w:rsidRPr="00D10954">
              <w:rPr>
                <w:rFonts w:eastAsia="Arial" w:cs="Arial"/>
              </w:rPr>
              <w:t>Orange</w:t>
            </w:r>
          </w:p>
        </w:tc>
        <w:tc>
          <w:tcPr>
            <w:tcW w:w="1560" w:type="dxa"/>
            <w:shd w:val="clear" w:color="auto" w:fill="FFFF00"/>
            <w:tcMar>
              <w:left w:w="105" w:type="dxa"/>
              <w:right w:w="105" w:type="dxa"/>
            </w:tcMar>
            <w:vAlign w:val="center"/>
          </w:tcPr>
          <w:p w14:paraId="44C009C2" w14:textId="27849C7B" w:rsidR="228CF246" w:rsidRPr="00D10954" w:rsidRDefault="228CF246" w:rsidP="228CF246">
            <w:pPr>
              <w:jc w:val="center"/>
              <w:rPr>
                <w:rFonts w:eastAsia="Arial" w:cs="Arial"/>
              </w:rPr>
            </w:pPr>
            <w:r w:rsidRPr="00D10954">
              <w:rPr>
                <w:rFonts w:eastAsia="Arial" w:cs="Arial"/>
              </w:rPr>
              <w:t>Yellow</w:t>
            </w:r>
          </w:p>
        </w:tc>
        <w:tc>
          <w:tcPr>
            <w:tcW w:w="1560" w:type="dxa"/>
            <w:tcBorders>
              <w:right w:val="single" w:sz="6" w:space="0" w:color="auto"/>
            </w:tcBorders>
            <w:shd w:val="clear" w:color="auto" w:fill="FFFF00"/>
            <w:tcMar>
              <w:left w:w="105" w:type="dxa"/>
              <w:right w:w="105" w:type="dxa"/>
            </w:tcMar>
            <w:vAlign w:val="center"/>
          </w:tcPr>
          <w:p w14:paraId="4BB0BD11" w14:textId="4E451D5A" w:rsidR="228CF246" w:rsidRPr="00D10954" w:rsidRDefault="228CF246" w:rsidP="228CF246">
            <w:pPr>
              <w:jc w:val="center"/>
              <w:rPr>
                <w:rFonts w:eastAsia="Arial" w:cs="Arial"/>
              </w:rPr>
            </w:pPr>
            <w:r w:rsidRPr="00D10954">
              <w:rPr>
                <w:rFonts w:eastAsia="Arial" w:cs="Arial"/>
              </w:rPr>
              <w:t>Yellow</w:t>
            </w:r>
          </w:p>
        </w:tc>
      </w:tr>
      <w:tr w:rsidR="228CF246" w:rsidRPr="00D10954" w14:paraId="6C03FAAB" w14:textId="77777777" w:rsidTr="00F470F8">
        <w:trPr>
          <w:cantSplit/>
          <w:trHeight w:val="1520"/>
          <w:tblHeader/>
        </w:trPr>
        <w:tc>
          <w:tcPr>
            <w:tcW w:w="1545" w:type="dxa"/>
            <w:tcBorders>
              <w:left w:val="single" w:sz="6" w:space="0" w:color="auto"/>
              <w:bottom w:val="single" w:sz="6" w:space="0" w:color="auto"/>
            </w:tcBorders>
            <w:tcMar>
              <w:left w:w="105" w:type="dxa"/>
              <w:right w:w="105" w:type="dxa"/>
            </w:tcMar>
            <w:vAlign w:val="center"/>
          </w:tcPr>
          <w:p w14:paraId="57E0BDA2" w14:textId="7058F3BC" w:rsidR="228CF246" w:rsidRPr="00D10954" w:rsidRDefault="228CF246" w:rsidP="008511DB">
            <w:pPr>
              <w:spacing w:before="120"/>
              <w:jc w:val="center"/>
              <w:rPr>
                <w:rFonts w:eastAsia="Arial" w:cs="Arial"/>
              </w:rPr>
            </w:pPr>
            <w:r w:rsidRPr="00D10954">
              <w:rPr>
                <w:rFonts w:eastAsia="Arial" w:cs="Arial"/>
                <w:b/>
                <w:bCs/>
              </w:rPr>
              <w:t>Very High</w:t>
            </w:r>
          </w:p>
        </w:tc>
        <w:tc>
          <w:tcPr>
            <w:tcW w:w="1545" w:type="dxa"/>
            <w:tcBorders>
              <w:bottom w:val="single" w:sz="6" w:space="0" w:color="auto"/>
            </w:tcBorders>
            <w:shd w:val="clear" w:color="auto" w:fill="A20000"/>
            <w:tcMar>
              <w:left w:w="105" w:type="dxa"/>
              <w:right w:w="105" w:type="dxa"/>
            </w:tcMar>
            <w:vAlign w:val="center"/>
          </w:tcPr>
          <w:p w14:paraId="1E93821E" w14:textId="17804133"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Red</w:t>
            </w:r>
          </w:p>
        </w:tc>
        <w:tc>
          <w:tcPr>
            <w:tcW w:w="1545" w:type="dxa"/>
            <w:tcBorders>
              <w:bottom w:val="single" w:sz="6" w:space="0" w:color="auto"/>
            </w:tcBorders>
            <w:shd w:val="clear" w:color="auto" w:fill="A20000"/>
            <w:tcMar>
              <w:left w:w="105" w:type="dxa"/>
              <w:right w:w="105" w:type="dxa"/>
            </w:tcMar>
            <w:vAlign w:val="center"/>
          </w:tcPr>
          <w:p w14:paraId="0FB5CD37" w14:textId="2C4FDBFA"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Red</w:t>
            </w:r>
          </w:p>
        </w:tc>
        <w:tc>
          <w:tcPr>
            <w:tcW w:w="1545" w:type="dxa"/>
            <w:tcBorders>
              <w:bottom w:val="single" w:sz="6" w:space="0" w:color="auto"/>
            </w:tcBorders>
            <w:shd w:val="clear" w:color="auto" w:fill="A20000"/>
            <w:tcMar>
              <w:left w:w="105" w:type="dxa"/>
              <w:right w:w="105" w:type="dxa"/>
            </w:tcMar>
            <w:vAlign w:val="center"/>
          </w:tcPr>
          <w:p w14:paraId="5ADD0C25" w14:textId="0011454A" w:rsidR="228CF246" w:rsidRPr="00D10954" w:rsidRDefault="228CF246" w:rsidP="228CF246">
            <w:pPr>
              <w:jc w:val="center"/>
              <w:rPr>
                <w:rFonts w:eastAsia="Arial" w:cs="Arial"/>
                <w:color w:val="FFFFFF" w:themeColor="background1"/>
              </w:rPr>
            </w:pPr>
            <w:r w:rsidRPr="00D10954">
              <w:rPr>
                <w:rFonts w:eastAsia="Arial" w:cs="Arial"/>
                <w:color w:val="FFFFFF" w:themeColor="background1"/>
              </w:rPr>
              <w:t>Red</w:t>
            </w:r>
          </w:p>
        </w:tc>
        <w:tc>
          <w:tcPr>
            <w:tcW w:w="1560" w:type="dxa"/>
            <w:tcBorders>
              <w:bottom w:val="single" w:sz="6" w:space="0" w:color="auto"/>
            </w:tcBorders>
            <w:shd w:val="clear" w:color="auto" w:fill="FFA500"/>
            <w:tcMar>
              <w:left w:w="105" w:type="dxa"/>
              <w:right w:w="105" w:type="dxa"/>
            </w:tcMar>
            <w:vAlign w:val="center"/>
          </w:tcPr>
          <w:p w14:paraId="7170D972" w14:textId="720C940D" w:rsidR="228CF246" w:rsidRPr="00D10954" w:rsidRDefault="228CF246" w:rsidP="228CF246">
            <w:pPr>
              <w:jc w:val="center"/>
              <w:rPr>
                <w:rFonts w:eastAsia="Arial" w:cs="Arial"/>
              </w:rPr>
            </w:pPr>
            <w:r w:rsidRPr="00D10954">
              <w:rPr>
                <w:rFonts w:eastAsia="Arial" w:cs="Arial"/>
              </w:rPr>
              <w:t>Orange</w:t>
            </w:r>
          </w:p>
        </w:tc>
        <w:tc>
          <w:tcPr>
            <w:tcW w:w="1560" w:type="dxa"/>
            <w:tcBorders>
              <w:bottom w:val="single" w:sz="6" w:space="0" w:color="auto"/>
              <w:right w:val="single" w:sz="6" w:space="0" w:color="auto"/>
            </w:tcBorders>
            <w:shd w:val="clear" w:color="auto" w:fill="FFFF00"/>
            <w:tcMar>
              <w:left w:w="105" w:type="dxa"/>
              <w:right w:w="105" w:type="dxa"/>
            </w:tcMar>
            <w:vAlign w:val="center"/>
          </w:tcPr>
          <w:p w14:paraId="2E9A1C3E" w14:textId="3C223C92" w:rsidR="228CF246" w:rsidRPr="00D10954" w:rsidRDefault="228CF246" w:rsidP="228CF246">
            <w:pPr>
              <w:jc w:val="center"/>
              <w:rPr>
                <w:rFonts w:eastAsia="Arial" w:cs="Arial"/>
              </w:rPr>
            </w:pPr>
            <w:r w:rsidRPr="00D10954">
              <w:rPr>
                <w:rFonts w:eastAsia="Arial" w:cs="Arial"/>
              </w:rPr>
              <w:t>Yellow</w:t>
            </w:r>
          </w:p>
        </w:tc>
      </w:tr>
    </w:tbl>
    <w:p w14:paraId="089E0FC8" w14:textId="24C7A0AA" w:rsidR="228CF246" w:rsidRPr="00D10954" w:rsidRDefault="228CF246" w:rsidP="228CF246">
      <w:pPr>
        <w:spacing w:after="160" w:line="259" w:lineRule="auto"/>
        <w:rPr>
          <w:rFonts w:eastAsia="Arial" w:cs="Arial"/>
          <w:color w:val="000000" w:themeColor="text1"/>
        </w:rPr>
      </w:pPr>
    </w:p>
    <w:p w14:paraId="59C729CF" w14:textId="2D5ACB49" w:rsidR="30D1C8DE" w:rsidRPr="00D10954" w:rsidRDefault="30D1C8DE" w:rsidP="00127CAF">
      <w:pPr>
        <w:pStyle w:val="Heading4"/>
      </w:pPr>
      <w:r w:rsidRPr="00D10954">
        <w:t>Additional Considerations</w:t>
      </w:r>
    </w:p>
    <w:p w14:paraId="5200AE6A" w14:textId="0E4D9CA7" w:rsidR="58810D3D" w:rsidRPr="00D10954" w:rsidRDefault="58810D3D" w:rsidP="002A4A0A">
      <w:pPr>
        <w:rPr>
          <w:rFonts w:eastAsia="Arial" w:cs="Arial"/>
          <w:color w:val="000000" w:themeColor="text1"/>
        </w:rPr>
      </w:pPr>
      <w:r w:rsidRPr="00D10954">
        <w:rPr>
          <w:rFonts w:eastAsia="Arial" w:cs="Arial"/>
          <w:color w:val="000000" w:themeColor="text1"/>
        </w:rPr>
        <w:t xml:space="preserve">When different patterns of achievement have been observed across the </w:t>
      </w:r>
      <w:r w:rsidR="65FE23FE" w:rsidRPr="00D10954">
        <w:rPr>
          <w:rFonts w:eastAsia="Arial" w:cs="Arial"/>
          <w:color w:val="000000" w:themeColor="text1"/>
        </w:rPr>
        <w:t>State Indicators</w:t>
      </w:r>
      <w:r w:rsidRPr="00D10954">
        <w:rPr>
          <w:rFonts w:eastAsia="Arial" w:cs="Arial"/>
          <w:color w:val="000000" w:themeColor="text1"/>
        </w:rPr>
        <w:t xml:space="preserve"> in different grade spans, the SBE has chosen to differentiate their respective cut points </w:t>
      </w:r>
      <w:r w:rsidR="75B65FF2" w:rsidRPr="00D10954">
        <w:rPr>
          <w:rFonts w:eastAsia="Arial" w:cs="Arial"/>
          <w:color w:val="000000" w:themeColor="text1"/>
        </w:rPr>
        <w:t xml:space="preserve">when setting both </w:t>
      </w:r>
      <w:r w:rsidRPr="00D10954">
        <w:rPr>
          <w:rFonts w:eastAsia="Arial" w:cs="Arial"/>
          <w:color w:val="000000" w:themeColor="text1"/>
        </w:rPr>
        <w:t>statu</w:t>
      </w:r>
      <w:r w:rsidR="7DAFA32C" w:rsidRPr="00D10954">
        <w:rPr>
          <w:rFonts w:eastAsia="Arial" w:cs="Arial"/>
          <w:color w:val="000000" w:themeColor="text1"/>
        </w:rPr>
        <w:t>s</w:t>
      </w:r>
      <w:r w:rsidRPr="00D10954">
        <w:rPr>
          <w:rFonts w:eastAsia="Arial" w:cs="Arial"/>
          <w:color w:val="000000" w:themeColor="text1"/>
        </w:rPr>
        <w:t xml:space="preserve"> </w:t>
      </w:r>
      <w:r w:rsidR="48BFD7E5" w:rsidRPr="00D10954">
        <w:rPr>
          <w:rFonts w:eastAsia="Arial" w:cs="Arial"/>
          <w:color w:val="000000" w:themeColor="text1"/>
        </w:rPr>
        <w:t xml:space="preserve">and </w:t>
      </w:r>
      <w:r w:rsidRPr="00D10954">
        <w:rPr>
          <w:rFonts w:eastAsia="Arial" w:cs="Arial"/>
          <w:color w:val="000000" w:themeColor="text1"/>
        </w:rPr>
        <w:t xml:space="preserve">change. </w:t>
      </w:r>
      <w:r w:rsidR="6A9CEC6D" w:rsidRPr="00D10954">
        <w:rPr>
          <w:rFonts w:eastAsia="Arial" w:cs="Arial"/>
          <w:color w:val="000000" w:themeColor="text1"/>
        </w:rPr>
        <w:t>These differential five-by-fives are available within the Academic Indicator as well as the Suspension Rate Indicator.</w:t>
      </w:r>
    </w:p>
    <w:p w14:paraId="2839265E" w14:textId="31CF0F3C" w:rsidR="30D1C8DE" w:rsidRPr="00D10954" w:rsidRDefault="30D1C8DE" w:rsidP="00127CAF">
      <w:pPr>
        <w:pStyle w:val="Heading4"/>
      </w:pPr>
      <w:r w:rsidRPr="00D10954">
        <w:lastRenderedPageBreak/>
        <w:t>Status Levels and Change Levels Over Time</w:t>
      </w:r>
    </w:p>
    <w:p w14:paraId="4E591B1A" w14:textId="45EFBBE8" w:rsidR="30D1C8DE" w:rsidRPr="00D10954" w:rsidRDefault="00127CAF" w:rsidP="004457E7">
      <w:pPr>
        <w:rPr>
          <w:rFonts w:eastAsia="Arial" w:cs="Arial"/>
          <w:color w:val="000000" w:themeColor="text1"/>
        </w:rPr>
      </w:pPr>
      <w:r w:rsidRPr="00D10954">
        <w:rPr>
          <w:rFonts w:eastAsia="Arial" w:cs="Arial"/>
          <w:color w:val="000000" w:themeColor="text1"/>
        </w:rPr>
        <w:t xml:space="preserve">California’s Every Student Succeeds Act </w:t>
      </w:r>
      <w:r w:rsidR="004457E7" w:rsidRPr="00D10954">
        <w:rPr>
          <w:rFonts w:eastAsia="Arial" w:cs="Arial"/>
          <w:color w:val="000000" w:themeColor="text1"/>
        </w:rPr>
        <w:t xml:space="preserve">(ESSA) </w:t>
      </w:r>
      <w:r w:rsidRPr="00D10954">
        <w:rPr>
          <w:rFonts w:eastAsia="Arial" w:cs="Arial"/>
          <w:color w:val="000000" w:themeColor="text1"/>
        </w:rPr>
        <w:t xml:space="preserve">State Plan </w:t>
      </w:r>
      <w:r w:rsidR="004457E7" w:rsidRPr="00D10954">
        <w:rPr>
          <w:rFonts w:eastAsia="Arial" w:cs="Arial"/>
          <w:color w:val="000000" w:themeColor="text1"/>
        </w:rPr>
        <w:t>adopted by th</w:t>
      </w:r>
      <w:r w:rsidR="004457E7" w:rsidRPr="00D10954">
        <w:t>e SBE established an expectation that the performance levels for state indicators would be revised every seven years based on new distributions and established an annual review process to assess progress on all indicators statewide.</w:t>
      </w:r>
      <w:r w:rsidR="004457E7" w:rsidRPr="00D10954">
        <w:rPr>
          <w:rFonts w:eastAsia="Arial" w:cs="Arial"/>
          <w:color w:val="000000" w:themeColor="text1"/>
        </w:rPr>
        <w:t xml:space="preserve"> </w:t>
      </w:r>
      <w:r w:rsidR="30D1C8DE" w:rsidRPr="00D10954">
        <w:rPr>
          <w:rFonts w:eastAsia="Arial" w:cs="Arial"/>
          <w:color w:val="000000" w:themeColor="text1"/>
        </w:rPr>
        <w:t>Th</w:t>
      </w:r>
      <w:r w:rsidR="004457E7" w:rsidRPr="00D10954">
        <w:rPr>
          <w:rFonts w:eastAsia="Arial" w:cs="Arial"/>
          <w:color w:val="000000" w:themeColor="text1"/>
        </w:rPr>
        <w:t>is timeframe allows for stability in the Dashboard calculations an</w:t>
      </w:r>
      <w:r w:rsidR="005939E2" w:rsidRPr="00D10954">
        <w:rPr>
          <w:rFonts w:eastAsia="Arial" w:cs="Arial"/>
          <w:color w:val="000000" w:themeColor="text1"/>
        </w:rPr>
        <w:t>d</w:t>
      </w:r>
      <w:r w:rsidR="30D1C8DE" w:rsidRPr="00D10954">
        <w:rPr>
          <w:rFonts w:eastAsia="Arial" w:cs="Arial"/>
          <w:color w:val="000000" w:themeColor="text1"/>
        </w:rPr>
        <w:t xml:space="preserve"> assist</w:t>
      </w:r>
      <w:r w:rsidR="004457E7" w:rsidRPr="00D10954">
        <w:rPr>
          <w:rFonts w:eastAsia="Arial" w:cs="Arial"/>
          <w:color w:val="000000" w:themeColor="text1"/>
        </w:rPr>
        <w:t>s</w:t>
      </w:r>
      <w:r w:rsidR="30D1C8DE" w:rsidRPr="00D10954">
        <w:rPr>
          <w:rFonts w:eastAsia="Arial" w:cs="Arial"/>
          <w:color w:val="000000" w:themeColor="text1"/>
        </w:rPr>
        <w:t xml:space="preserve"> LEAs, schools and student groups in meeting their</w:t>
      </w:r>
      <w:r w:rsidR="578A35B4" w:rsidRPr="00D10954">
        <w:rPr>
          <w:rFonts w:eastAsia="Arial" w:cs="Arial"/>
          <w:color w:val="000000" w:themeColor="text1"/>
        </w:rPr>
        <w:t xml:space="preserve"> year-over-year</w:t>
      </w:r>
      <w:r w:rsidR="30D1C8DE" w:rsidRPr="00D10954">
        <w:rPr>
          <w:rFonts w:eastAsia="Arial" w:cs="Arial"/>
          <w:color w:val="000000" w:themeColor="text1"/>
        </w:rPr>
        <w:t xml:space="preserve"> growth expectations. </w:t>
      </w:r>
      <w:r w:rsidR="004457E7" w:rsidRPr="00D10954">
        <w:rPr>
          <w:rFonts w:eastAsia="Arial" w:cs="Arial"/>
          <w:color w:val="000000" w:themeColor="text1"/>
        </w:rPr>
        <w:t>During the adoption of the ESSA State Plan, t</w:t>
      </w:r>
      <w:r w:rsidR="472F81B7" w:rsidRPr="00D10954">
        <w:rPr>
          <w:rFonts w:eastAsia="Arial" w:cs="Arial"/>
          <w:color w:val="000000" w:themeColor="text1"/>
        </w:rPr>
        <w:t xml:space="preserve">he SBE </w:t>
      </w:r>
      <w:r w:rsidRPr="00D10954">
        <w:rPr>
          <w:rFonts w:eastAsia="Arial" w:cs="Arial"/>
          <w:color w:val="000000" w:themeColor="text1"/>
        </w:rPr>
        <w:t>expressed</w:t>
      </w:r>
      <w:r w:rsidR="472F81B7" w:rsidRPr="00D10954">
        <w:rPr>
          <w:rFonts w:eastAsia="Arial" w:cs="Arial"/>
          <w:color w:val="000000" w:themeColor="text1"/>
        </w:rPr>
        <w:t xml:space="preserve"> that c</w:t>
      </w:r>
      <w:r w:rsidR="30D1C8DE" w:rsidRPr="00D10954">
        <w:rPr>
          <w:rFonts w:eastAsia="Arial" w:cs="Arial"/>
          <w:color w:val="000000" w:themeColor="text1"/>
        </w:rPr>
        <w:t>onstantly resetting the cut points could cause confusion in the field as to what the objectives are for success across all indicators on the Dashboard.</w:t>
      </w:r>
    </w:p>
    <w:p w14:paraId="212F2CB2" w14:textId="1367956A" w:rsidR="35053802" w:rsidRPr="00D10954" w:rsidRDefault="30D1C8DE" w:rsidP="6944AD4D">
      <w:pPr>
        <w:pStyle w:val="Heading4"/>
      </w:pPr>
      <w:r w:rsidRPr="00D10954">
        <w:t xml:space="preserve">Revisiting </w:t>
      </w:r>
      <w:r w:rsidR="398CB112" w:rsidRPr="00D10954">
        <w:t xml:space="preserve">the </w:t>
      </w:r>
      <w:r w:rsidR="35053802" w:rsidRPr="00D10954">
        <w:t>Stability of Graduate Rate Status and Change Levels Over Time</w:t>
      </w:r>
    </w:p>
    <w:p w14:paraId="0A657078" w14:textId="02CCAD83" w:rsidR="35053802" w:rsidRPr="00D10954" w:rsidRDefault="35053802" w:rsidP="6944AD4D">
      <w:pPr>
        <w:rPr>
          <w:rFonts w:eastAsia="Arial" w:cs="Arial"/>
          <w:color w:val="000000" w:themeColor="text1"/>
        </w:rPr>
      </w:pPr>
      <w:r w:rsidRPr="00D10954">
        <w:rPr>
          <w:rFonts w:eastAsia="Arial" w:cs="Arial"/>
          <w:color w:val="000000" w:themeColor="text1"/>
        </w:rPr>
        <w:t xml:space="preserve">Table 11 displays the status distribution of </w:t>
      </w:r>
      <w:r w:rsidR="7E0F1A53" w:rsidRPr="00D10954">
        <w:rPr>
          <w:rFonts w:eastAsia="Arial" w:cs="Arial"/>
          <w:color w:val="000000" w:themeColor="text1"/>
        </w:rPr>
        <w:t>Graduation</w:t>
      </w:r>
      <w:r w:rsidRPr="00D10954">
        <w:rPr>
          <w:rFonts w:eastAsia="Arial" w:cs="Arial"/>
          <w:color w:val="000000" w:themeColor="text1"/>
        </w:rPr>
        <w:t xml:space="preserve"> rates in 2017, 2018, 2019 and 2022. </w:t>
      </w:r>
      <w:r w:rsidR="368206A3" w:rsidRPr="00D10954">
        <w:rPr>
          <w:rFonts w:eastAsia="Arial" w:cs="Arial"/>
          <w:color w:val="000000" w:themeColor="text1"/>
        </w:rPr>
        <w:t>Please note th</w:t>
      </w:r>
      <w:r w:rsidR="382EFD59" w:rsidRPr="00D10954">
        <w:rPr>
          <w:rFonts w:eastAsia="Arial" w:cs="Arial"/>
          <w:color w:val="000000" w:themeColor="text1"/>
        </w:rPr>
        <w:t xml:space="preserve">e following about the Graduation Rate indicator: </w:t>
      </w:r>
    </w:p>
    <w:p w14:paraId="133DB40F" w14:textId="6FDB3CC9" w:rsidR="368206A3" w:rsidRPr="00D10954" w:rsidRDefault="696558C1" w:rsidP="008C7548">
      <w:pPr>
        <w:pStyle w:val="ListParagraph"/>
        <w:numPr>
          <w:ilvl w:val="0"/>
          <w:numId w:val="34"/>
        </w:numPr>
        <w:rPr>
          <w:rFonts w:eastAsia="Arial" w:cs="Arial"/>
          <w:color w:val="000000" w:themeColor="text1"/>
        </w:rPr>
      </w:pPr>
      <w:r w:rsidRPr="00D10954">
        <w:rPr>
          <w:rFonts w:eastAsia="Arial" w:cs="Arial"/>
          <w:color w:val="000000" w:themeColor="text1"/>
        </w:rPr>
        <w:t>T</w:t>
      </w:r>
      <w:r w:rsidR="368206A3" w:rsidRPr="00D10954">
        <w:rPr>
          <w:rFonts w:eastAsia="Arial" w:cs="Arial"/>
          <w:color w:val="000000" w:themeColor="text1"/>
        </w:rPr>
        <w:t xml:space="preserve">he formula for the Graduation Rate Indicator </w:t>
      </w:r>
      <w:r w:rsidR="36968850" w:rsidRPr="00D10954">
        <w:rPr>
          <w:rFonts w:eastAsia="Arial" w:cs="Arial"/>
          <w:color w:val="000000" w:themeColor="text1"/>
        </w:rPr>
        <w:t xml:space="preserve">in 2017 and 2018 did not include DASS schools in the distribution </w:t>
      </w:r>
    </w:p>
    <w:p w14:paraId="640AE751" w14:textId="524C6BEF" w:rsidR="5C08B965" w:rsidRPr="00D10954" w:rsidRDefault="5C08B965" w:rsidP="008C7548">
      <w:pPr>
        <w:pStyle w:val="ListParagraph"/>
        <w:numPr>
          <w:ilvl w:val="0"/>
          <w:numId w:val="34"/>
        </w:numPr>
        <w:rPr>
          <w:rFonts w:eastAsia="Arial" w:cs="Arial"/>
          <w:color w:val="000000" w:themeColor="text1"/>
        </w:rPr>
      </w:pPr>
      <w:r w:rsidRPr="00D10954">
        <w:rPr>
          <w:rFonts w:eastAsia="Arial" w:cs="Arial"/>
          <w:color w:val="000000" w:themeColor="text1"/>
        </w:rPr>
        <w:t>I</w:t>
      </w:r>
      <w:r w:rsidR="36968850" w:rsidRPr="00D10954">
        <w:rPr>
          <w:rFonts w:eastAsia="Arial" w:cs="Arial"/>
          <w:color w:val="000000" w:themeColor="text1"/>
        </w:rPr>
        <w:t xml:space="preserve">t </w:t>
      </w:r>
      <w:r w:rsidR="368206A3" w:rsidRPr="00D10954">
        <w:rPr>
          <w:rFonts w:eastAsia="Arial" w:cs="Arial"/>
          <w:color w:val="000000" w:themeColor="text1"/>
        </w:rPr>
        <w:t>changed in 2019 to include the DASS 1-year rate</w:t>
      </w:r>
    </w:p>
    <w:p w14:paraId="21F296F1" w14:textId="143FD501" w:rsidR="35053802" w:rsidRPr="00D10954" w:rsidRDefault="5B87B65C" w:rsidP="008C7548">
      <w:pPr>
        <w:pStyle w:val="ListParagraph"/>
        <w:numPr>
          <w:ilvl w:val="0"/>
          <w:numId w:val="34"/>
        </w:numPr>
        <w:rPr>
          <w:rFonts w:eastAsia="Calibri"/>
          <w:color w:val="000000" w:themeColor="text1"/>
        </w:rPr>
      </w:pPr>
      <w:r w:rsidRPr="00D10954">
        <w:rPr>
          <w:rFonts w:eastAsia="Arial" w:cs="Arial"/>
          <w:color w:val="000000" w:themeColor="text1"/>
        </w:rPr>
        <w:t xml:space="preserve">It </w:t>
      </w:r>
      <w:r w:rsidR="664A7658" w:rsidRPr="00D10954">
        <w:rPr>
          <w:rFonts w:eastAsia="Arial" w:cs="Arial"/>
          <w:color w:val="000000" w:themeColor="text1"/>
        </w:rPr>
        <w:t>included DASS schools in 2022 but with the combination graduation rate</w:t>
      </w:r>
      <w:r w:rsidR="016FE67B" w:rsidRPr="00D10954">
        <w:rPr>
          <w:rFonts w:eastAsia="Arial" w:cs="Arial"/>
          <w:color w:val="000000" w:themeColor="text1"/>
        </w:rPr>
        <w:t xml:space="preserve">. </w:t>
      </w:r>
      <w:r w:rsidR="35053802" w:rsidRPr="00D10954">
        <w:rPr>
          <w:rFonts w:eastAsia="Arial" w:cs="Arial"/>
          <w:color w:val="auto"/>
        </w:rPr>
        <w:t xml:space="preserve">In 2017, 2018 and 2019, the </w:t>
      </w:r>
      <w:r w:rsidR="078A0BBD" w:rsidRPr="00D10954">
        <w:rPr>
          <w:rFonts w:eastAsia="Arial" w:cs="Arial"/>
          <w:color w:val="auto"/>
        </w:rPr>
        <w:t>Graduation Rate</w:t>
      </w:r>
      <w:r w:rsidR="35053802" w:rsidRPr="00D10954">
        <w:rPr>
          <w:rFonts w:eastAsia="Arial" w:cs="Arial"/>
          <w:color w:val="auto"/>
        </w:rPr>
        <w:t xml:space="preserve"> status levels remained consistent. However, the 2022 status levels deviate in an extreme way from the prior two years on the Dashboard.</w:t>
      </w:r>
    </w:p>
    <w:p w14:paraId="6F7C0673" w14:textId="4F576218" w:rsidR="35053802" w:rsidRPr="00D10954" w:rsidRDefault="35053802" w:rsidP="005266F6">
      <w:pPr>
        <w:pStyle w:val="Heading4"/>
        <w:spacing w:after="0"/>
      </w:pPr>
      <w:r w:rsidRPr="00D10954">
        <w:t xml:space="preserve">Table 11: Status Distributions for the 2017, 2018, 2019, and 2022 </w:t>
      </w:r>
      <w:r w:rsidR="41C1C262" w:rsidRPr="00D10954">
        <w:t>Graduation</w:t>
      </w:r>
      <w:r w:rsidRPr="00D10954">
        <w:t xml:space="preserve"> Rate</w:t>
      </w:r>
    </w:p>
    <w:p w14:paraId="24DC8AA7" w14:textId="15DC30F0" w:rsidR="35053802" w:rsidRPr="00D10954" w:rsidRDefault="35053802" w:rsidP="6944AD4D">
      <w:pPr>
        <w:rPr>
          <w:rFonts w:eastAsia="Arial" w:cs="Arial"/>
          <w:color w:val="000000" w:themeColor="text1"/>
        </w:rPr>
      </w:pPr>
      <w:r w:rsidRPr="00D10954">
        <w:rPr>
          <w:rFonts w:eastAsia="Arial" w:cs="Arial"/>
          <w:color w:val="000000" w:themeColor="text1"/>
        </w:rPr>
        <w:t>(Based on County Office of Education, District, and All Charter School Data)</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6: Status Distributions for the 2017, 2018, 2019, and 2022 Chronic Absenteeism Rate"/>
        <w:tblDescription w:val="Table 6: Status Distributions for the 2017, 2018, 2019, and 2022 Chronic Absenteeism Rate"/>
      </w:tblPr>
      <w:tblGrid>
        <w:gridCol w:w="1500"/>
        <w:gridCol w:w="1980"/>
        <w:gridCol w:w="1980"/>
        <w:gridCol w:w="1950"/>
        <w:gridCol w:w="1890"/>
      </w:tblGrid>
      <w:tr w:rsidR="6944AD4D" w:rsidRPr="00D10954" w14:paraId="75416828" w14:textId="77777777" w:rsidTr="00F345FB">
        <w:trPr>
          <w:cantSplit/>
          <w:trHeight w:val="315"/>
          <w:tblHeader/>
        </w:trPr>
        <w:tc>
          <w:tcPr>
            <w:tcW w:w="1500" w:type="dxa"/>
            <w:tcBorders>
              <w:top w:val="single" w:sz="6" w:space="0" w:color="auto"/>
              <w:left w:val="single" w:sz="6" w:space="0" w:color="auto"/>
            </w:tcBorders>
            <w:tcMar>
              <w:left w:w="105" w:type="dxa"/>
              <w:right w:w="105" w:type="dxa"/>
            </w:tcMar>
            <w:vAlign w:val="center"/>
          </w:tcPr>
          <w:p w14:paraId="2758AA5F" w14:textId="08C82133" w:rsidR="6944AD4D" w:rsidRPr="00D10954" w:rsidRDefault="6944AD4D" w:rsidP="6944AD4D">
            <w:pPr>
              <w:spacing w:after="0"/>
              <w:jc w:val="center"/>
              <w:rPr>
                <w:rFonts w:eastAsia="Arial" w:cs="Arial"/>
              </w:rPr>
            </w:pPr>
            <w:r w:rsidRPr="00D10954">
              <w:rPr>
                <w:rFonts w:eastAsia="Arial" w:cs="Arial"/>
                <w:b/>
                <w:bCs/>
              </w:rPr>
              <w:t>Percentile</w:t>
            </w:r>
          </w:p>
        </w:tc>
        <w:tc>
          <w:tcPr>
            <w:tcW w:w="1980" w:type="dxa"/>
            <w:tcBorders>
              <w:top w:val="single" w:sz="6" w:space="0" w:color="auto"/>
            </w:tcBorders>
            <w:tcMar>
              <w:left w:w="105" w:type="dxa"/>
              <w:right w:w="105" w:type="dxa"/>
            </w:tcMar>
            <w:vAlign w:val="center"/>
          </w:tcPr>
          <w:p w14:paraId="534759AA" w14:textId="30551AEC" w:rsidR="6944AD4D" w:rsidRPr="00D10954" w:rsidRDefault="6944AD4D" w:rsidP="6944AD4D">
            <w:pPr>
              <w:spacing w:after="0"/>
              <w:jc w:val="center"/>
              <w:rPr>
                <w:rFonts w:eastAsia="Arial" w:cs="Arial"/>
                <w:b/>
                <w:bCs/>
              </w:rPr>
            </w:pPr>
            <w:r w:rsidRPr="00D10954">
              <w:rPr>
                <w:rFonts w:eastAsia="Arial" w:cs="Arial"/>
                <w:b/>
                <w:bCs/>
              </w:rPr>
              <w:t>2017</w:t>
            </w:r>
            <w:r w:rsidRPr="00D10954">
              <w:br/>
            </w:r>
            <w:r w:rsidR="53562898" w:rsidRPr="00D10954">
              <w:rPr>
                <w:rFonts w:eastAsia="Arial" w:cs="Arial"/>
                <w:b/>
                <w:bCs/>
              </w:rPr>
              <w:t>Graduation Rate</w:t>
            </w:r>
            <w:r w:rsidRPr="00D10954">
              <w:rPr>
                <w:rFonts w:eastAsia="Arial" w:cs="Arial"/>
                <w:b/>
                <w:bCs/>
              </w:rPr>
              <w:t xml:space="preserve"> Status</w:t>
            </w:r>
          </w:p>
        </w:tc>
        <w:tc>
          <w:tcPr>
            <w:tcW w:w="1980" w:type="dxa"/>
            <w:tcBorders>
              <w:top w:val="single" w:sz="6" w:space="0" w:color="auto"/>
            </w:tcBorders>
            <w:tcMar>
              <w:left w:w="105" w:type="dxa"/>
              <w:right w:w="105" w:type="dxa"/>
            </w:tcMar>
            <w:vAlign w:val="center"/>
          </w:tcPr>
          <w:p w14:paraId="0D4A913A" w14:textId="256DEED9" w:rsidR="6944AD4D" w:rsidRPr="00D10954" w:rsidRDefault="6944AD4D" w:rsidP="6944AD4D">
            <w:pPr>
              <w:spacing w:after="0"/>
              <w:jc w:val="center"/>
              <w:rPr>
                <w:rFonts w:eastAsia="Arial" w:cs="Arial"/>
                <w:b/>
                <w:bCs/>
              </w:rPr>
            </w:pPr>
            <w:r w:rsidRPr="00D10954">
              <w:rPr>
                <w:rFonts w:eastAsia="Arial" w:cs="Arial"/>
                <w:b/>
                <w:bCs/>
              </w:rPr>
              <w:t>2018</w:t>
            </w:r>
            <w:r w:rsidRPr="00D10954">
              <w:br/>
            </w:r>
            <w:r w:rsidR="2BFBE9E4" w:rsidRPr="00D10954">
              <w:rPr>
                <w:rFonts w:eastAsia="Arial" w:cs="Arial"/>
                <w:b/>
                <w:bCs/>
              </w:rPr>
              <w:t>Graduation Rate</w:t>
            </w:r>
            <w:r w:rsidRPr="00D10954">
              <w:rPr>
                <w:rFonts w:eastAsia="Arial" w:cs="Arial"/>
                <w:b/>
                <w:bCs/>
              </w:rPr>
              <w:t xml:space="preserve"> Status</w:t>
            </w:r>
          </w:p>
        </w:tc>
        <w:tc>
          <w:tcPr>
            <w:tcW w:w="1950" w:type="dxa"/>
            <w:tcBorders>
              <w:top w:val="single" w:sz="6" w:space="0" w:color="auto"/>
            </w:tcBorders>
            <w:tcMar>
              <w:left w:w="105" w:type="dxa"/>
              <w:right w:w="105" w:type="dxa"/>
            </w:tcMar>
            <w:vAlign w:val="center"/>
          </w:tcPr>
          <w:p w14:paraId="67086108" w14:textId="5E0246E6" w:rsidR="6944AD4D" w:rsidRPr="00D10954" w:rsidRDefault="6944AD4D" w:rsidP="6944AD4D">
            <w:pPr>
              <w:spacing w:after="0"/>
              <w:jc w:val="center"/>
              <w:rPr>
                <w:rFonts w:eastAsia="Arial" w:cs="Arial"/>
                <w:b/>
                <w:bCs/>
              </w:rPr>
            </w:pPr>
            <w:r w:rsidRPr="00D10954">
              <w:rPr>
                <w:rFonts w:eastAsia="Arial" w:cs="Arial"/>
                <w:b/>
                <w:bCs/>
              </w:rPr>
              <w:t>2019</w:t>
            </w:r>
            <w:r w:rsidRPr="00D10954">
              <w:br/>
            </w:r>
            <w:r w:rsidR="49067456" w:rsidRPr="00D10954">
              <w:rPr>
                <w:rFonts w:eastAsia="Arial" w:cs="Arial"/>
                <w:b/>
                <w:bCs/>
              </w:rPr>
              <w:t>Graduation Rate</w:t>
            </w:r>
            <w:r w:rsidRPr="00D10954">
              <w:rPr>
                <w:rFonts w:eastAsia="Arial" w:cs="Arial"/>
                <w:b/>
                <w:bCs/>
              </w:rPr>
              <w:t xml:space="preserve"> Status</w:t>
            </w:r>
          </w:p>
        </w:tc>
        <w:tc>
          <w:tcPr>
            <w:tcW w:w="1890" w:type="dxa"/>
            <w:tcBorders>
              <w:top w:val="single" w:sz="6" w:space="0" w:color="auto"/>
              <w:right w:val="single" w:sz="6" w:space="0" w:color="auto"/>
            </w:tcBorders>
            <w:tcMar>
              <w:left w:w="105" w:type="dxa"/>
              <w:right w:w="105" w:type="dxa"/>
            </w:tcMar>
            <w:vAlign w:val="center"/>
          </w:tcPr>
          <w:p w14:paraId="399E0B9C" w14:textId="54A9BBE1" w:rsidR="6944AD4D" w:rsidRPr="00D10954" w:rsidRDefault="6944AD4D" w:rsidP="6944AD4D">
            <w:pPr>
              <w:spacing w:after="0"/>
              <w:jc w:val="center"/>
              <w:rPr>
                <w:rFonts w:eastAsia="Arial" w:cs="Arial"/>
                <w:b/>
                <w:bCs/>
              </w:rPr>
            </w:pPr>
            <w:r w:rsidRPr="00D10954">
              <w:rPr>
                <w:rFonts w:eastAsia="Arial" w:cs="Arial"/>
                <w:b/>
                <w:bCs/>
              </w:rPr>
              <w:t>2022</w:t>
            </w:r>
            <w:r w:rsidRPr="00D10954">
              <w:br/>
            </w:r>
            <w:r w:rsidR="4C874E38" w:rsidRPr="00D10954">
              <w:rPr>
                <w:rFonts w:eastAsia="Arial" w:cs="Arial"/>
                <w:b/>
                <w:bCs/>
              </w:rPr>
              <w:t xml:space="preserve">Graduation Rate </w:t>
            </w:r>
            <w:r w:rsidRPr="00D10954">
              <w:rPr>
                <w:rFonts w:eastAsia="Arial" w:cs="Arial"/>
                <w:b/>
                <w:bCs/>
              </w:rPr>
              <w:t>Status</w:t>
            </w:r>
          </w:p>
        </w:tc>
      </w:tr>
      <w:tr w:rsidR="6944AD4D" w:rsidRPr="00D10954" w14:paraId="2350D763" w14:textId="77777777" w:rsidTr="00F345FB">
        <w:trPr>
          <w:cantSplit/>
          <w:trHeight w:val="315"/>
        </w:trPr>
        <w:tc>
          <w:tcPr>
            <w:tcW w:w="1500" w:type="dxa"/>
            <w:tcBorders>
              <w:left w:val="single" w:sz="6" w:space="0" w:color="auto"/>
            </w:tcBorders>
            <w:tcMar>
              <w:left w:w="105" w:type="dxa"/>
              <w:right w:w="105" w:type="dxa"/>
            </w:tcMar>
            <w:vAlign w:val="center"/>
          </w:tcPr>
          <w:p w14:paraId="0A10EFE7" w14:textId="51B410CB" w:rsidR="6944AD4D" w:rsidRPr="00D10954" w:rsidRDefault="6944AD4D" w:rsidP="6944AD4D">
            <w:pPr>
              <w:spacing w:after="0"/>
              <w:ind w:left="60" w:right="60"/>
              <w:jc w:val="center"/>
              <w:rPr>
                <w:rFonts w:eastAsia="Arial" w:cs="Arial"/>
              </w:rPr>
            </w:pPr>
            <w:r w:rsidRPr="00D10954">
              <w:rPr>
                <w:rFonts w:eastAsia="Arial" w:cs="Arial"/>
              </w:rPr>
              <w:t>95</w:t>
            </w:r>
          </w:p>
        </w:tc>
        <w:tc>
          <w:tcPr>
            <w:tcW w:w="1980" w:type="dxa"/>
            <w:tcMar>
              <w:left w:w="105" w:type="dxa"/>
              <w:right w:w="105" w:type="dxa"/>
            </w:tcMar>
            <w:vAlign w:val="center"/>
          </w:tcPr>
          <w:p w14:paraId="20426EBD" w14:textId="1D67882E" w:rsidR="11E518F3" w:rsidRPr="00D10954" w:rsidRDefault="11E518F3" w:rsidP="6944AD4D">
            <w:pPr>
              <w:spacing w:after="0"/>
              <w:ind w:right="60"/>
              <w:jc w:val="center"/>
              <w:rPr>
                <w:rFonts w:eastAsia="Arial" w:cs="Arial"/>
              </w:rPr>
            </w:pPr>
            <w:r w:rsidRPr="00D10954">
              <w:rPr>
                <w:rFonts w:eastAsia="Arial" w:cs="Arial"/>
              </w:rPr>
              <w:t>99.0</w:t>
            </w:r>
            <w:r w:rsidR="6944AD4D" w:rsidRPr="00D10954">
              <w:rPr>
                <w:rFonts w:eastAsia="Arial" w:cs="Arial"/>
              </w:rPr>
              <w:t>%</w:t>
            </w:r>
          </w:p>
        </w:tc>
        <w:tc>
          <w:tcPr>
            <w:tcW w:w="1980" w:type="dxa"/>
            <w:tcMar>
              <w:left w:w="105" w:type="dxa"/>
              <w:right w:w="105" w:type="dxa"/>
            </w:tcMar>
            <w:vAlign w:val="center"/>
          </w:tcPr>
          <w:p w14:paraId="3EE2803E" w14:textId="02911ED2" w:rsidR="239A7ED3" w:rsidRPr="00D10954" w:rsidRDefault="239A7ED3" w:rsidP="6944AD4D">
            <w:pPr>
              <w:spacing w:after="0"/>
              <w:ind w:left="60" w:right="60"/>
              <w:jc w:val="center"/>
              <w:rPr>
                <w:rFonts w:eastAsia="Arial" w:cs="Arial"/>
              </w:rPr>
            </w:pPr>
            <w:r w:rsidRPr="00D10954">
              <w:rPr>
                <w:rFonts w:eastAsia="Arial" w:cs="Arial"/>
              </w:rPr>
              <w:t>98.</w:t>
            </w:r>
            <w:r w:rsidR="2C2C0FF6" w:rsidRPr="00D10954">
              <w:rPr>
                <w:rFonts w:eastAsia="Arial" w:cs="Arial"/>
              </w:rPr>
              <w:t>7</w:t>
            </w:r>
            <w:r w:rsidR="6944AD4D" w:rsidRPr="00D10954">
              <w:rPr>
                <w:rFonts w:eastAsia="Arial" w:cs="Arial"/>
              </w:rPr>
              <w:t>%</w:t>
            </w:r>
          </w:p>
        </w:tc>
        <w:tc>
          <w:tcPr>
            <w:tcW w:w="1950" w:type="dxa"/>
            <w:tcMar>
              <w:left w:w="105" w:type="dxa"/>
              <w:right w:w="105" w:type="dxa"/>
            </w:tcMar>
            <w:vAlign w:val="center"/>
          </w:tcPr>
          <w:p w14:paraId="34AC33E7" w14:textId="636CAEF8" w:rsidR="3EAB7AEE" w:rsidRPr="00D10954" w:rsidRDefault="3EAB7AEE" w:rsidP="6944AD4D">
            <w:pPr>
              <w:spacing w:after="0"/>
              <w:jc w:val="center"/>
              <w:rPr>
                <w:rFonts w:eastAsia="Arial" w:cs="Arial"/>
              </w:rPr>
            </w:pPr>
            <w:r w:rsidRPr="00D10954">
              <w:rPr>
                <w:rFonts w:eastAsia="Arial" w:cs="Arial"/>
              </w:rPr>
              <w:t>99.1%</w:t>
            </w:r>
          </w:p>
        </w:tc>
        <w:tc>
          <w:tcPr>
            <w:tcW w:w="1890" w:type="dxa"/>
            <w:tcBorders>
              <w:right w:val="single" w:sz="6" w:space="0" w:color="auto"/>
            </w:tcBorders>
            <w:tcMar>
              <w:left w:w="105" w:type="dxa"/>
              <w:right w:w="105" w:type="dxa"/>
            </w:tcMar>
            <w:vAlign w:val="center"/>
          </w:tcPr>
          <w:p w14:paraId="6E6FF862" w14:textId="1913ABEB" w:rsidR="55271875" w:rsidRPr="00D10954" w:rsidRDefault="55271875" w:rsidP="6944AD4D">
            <w:pPr>
              <w:spacing w:after="0"/>
              <w:jc w:val="center"/>
              <w:rPr>
                <w:rFonts w:eastAsia="Arial" w:cs="Arial"/>
              </w:rPr>
            </w:pPr>
            <w:r w:rsidRPr="00D10954">
              <w:rPr>
                <w:rFonts w:eastAsia="Arial" w:cs="Arial"/>
              </w:rPr>
              <w:t>98.9</w:t>
            </w:r>
            <w:r w:rsidR="6944AD4D" w:rsidRPr="00D10954">
              <w:rPr>
                <w:rFonts w:eastAsia="Arial" w:cs="Arial"/>
              </w:rPr>
              <w:t>%</w:t>
            </w:r>
          </w:p>
        </w:tc>
      </w:tr>
      <w:tr w:rsidR="6944AD4D" w:rsidRPr="00D10954" w14:paraId="19ECAD56" w14:textId="77777777" w:rsidTr="00F345FB">
        <w:trPr>
          <w:cantSplit/>
          <w:trHeight w:val="315"/>
        </w:trPr>
        <w:tc>
          <w:tcPr>
            <w:tcW w:w="1500" w:type="dxa"/>
            <w:tcBorders>
              <w:left w:val="single" w:sz="6" w:space="0" w:color="auto"/>
            </w:tcBorders>
            <w:tcMar>
              <w:left w:w="105" w:type="dxa"/>
              <w:right w:w="105" w:type="dxa"/>
            </w:tcMar>
            <w:vAlign w:val="center"/>
          </w:tcPr>
          <w:p w14:paraId="2467A874" w14:textId="2733CA95" w:rsidR="6944AD4D" w:rsidRPr="00D10954" w:rsidRDefault="6944AD4D" w:rsidP="6944AD4D">
            <w:pPr>
              <w:spacing w:after="0"/>
              <w:ind w:left="60" w:right="60"/>
              <w:jc w:val="center"/>
              <w:rPr>
                <w:rFonts w:eastAsia="Arial" w:cs="Arial"/>
              </w:rPr>
            </w:pPr>
            <w:r w:rsidRPr="00D10954">
              <w:rPr>
                <w:rFonts w:eastAsia="Arial" w:cs="Arial"/>
              </w:rPr>
              <w:t>90</w:t>
            </w:r>
          </w:p>
        </w:tc>
        <w:tc>
          <w:tcPr>
            <w:tcW w:w="1980" w:type="dxa"/>
            <w:tcMar>
              <w:left w:w="105" w:type="dxa"/>
              <w:right w:w="105" w:type="dxa"/>
            </w:tcMar>
            <w:vAlign w:val="center"/>
          </w:tcPr>
          <w:p w14:paraId="7B271E63" w14:textId="65E3CDDB" w:rsidR="00BCF33F" w:rsidRPr="00D10954" w:rsidRDefault="00BCF33F" w:rsidP="6944AD4D">
            <w:pPr>
              <w:spacing w:after="0"/>
              <w:ind w:right="60"/>
              <w:jc w:val="center"/>
              <w:rPr>
                <w:rFonts w:eastAsia="Arial" w:cs="Arial"/>
              </w:rPr>
            </w:pPr>
            <w:r w:rsidRPr="00D10954">
              <w:rPr>
                <w:rFonts w:eastAsia="Arial" w:cs="Arial"/>
              </w:rPr>
              <w:t>97.6</w:t>
            </w:r>
            <w:r w:rsidR="6944AD4D" w:rsidRPr="00D10954">
              <w:rPr>
                <w:rFonts w:eastAsia="Arial" w:cs="Arial"/>
              </w:rPr>
              <w:t>%</w:t>
            </w:r>
          </w:p>
        </w:tc>
        <w:tc>
          <w:tcPr>
            <w:tcW w:w="1980" w:type="dxa"/>
            <w:tcMar>
              <w:left w:w="105" w:type="dxa"/>
              <w:right w:w="105" w:type="dxa"/>
            </w:tcMar>
            <w:vAlign w:val="center"/>
          </w:tcPr>
          <w:p w14:paraId="4B48F3DB" w14:textId="3E1AE500" w:rsidR="423B8339" w:rsidRPr="00D10954" w:rsidRDefault="423B8339" w:rsidP="6944AD4D">
            <w:pPr>
              <w:spacing w:after="0"/>
              <w:ind w:left="60" w:right="60"/>
              <w:jc w:val="center"/>
              <w:rPr>
                <w:rFonts w:eastAsia="Arial" w:cs="Arial"/>
              </w:rPr>
            </w:pPr>
            <w:r w:rsidRPr="00D10954">
              <w:rPr>
                <w:rFonts w:eastAsia="Arial" w:cs="Arial"/>
              </w:rPr>
              <w:t>97.</w:t>
            </w:r>
            <w:r w:rsidR="0C7FB675" w:rsidRPr="00D10954">
              <w:rPr>
                <w:rFonts w:eastAsia="Arial" w:cs="Arial"/>
              </w:rPr>
              <w:t>6</w:t>
            </w:r>
            <w:r w:rsidR="6944AD4D" w:rsidRPr="00D10954">
              <w:rPr>
                <w:rFonts w:eastAsia="Arial" w:cs="Arial"/>
              </w:rPr>
              <w:t>%</w:t>
            </w:r>
          </w:p>
        </w:tc>
        <w:tc>
          <w:tcPr>
            <w:tcW w:w="1950" w:type="dxa"/>
            <w:tcMar>
              <w:left w:w="105" w:type="dxa"/>
              <w:right w:w="105" w:type="dxa"/>
            </w:tcMar>
            <w:vAlign w:val="center"/>
          </w:tcPr>
          <w:p w14:paraId="3BF24147" w14:textId="0EE34D37" w:rsidR="1CA799CA" w:rsidRPr="00D10954" w:rsidRDefault="1CA799CA" w:rsidP="6944AD4D">
            <w:pPr>
              <w:spacing w:after="0"/>
              <w:jc w:val="center"/>
              <w:rPr>
                <w:rFonts w:eastAsia="Arial" w:cs="Arial"/>
              </w:rPr>
            </w:pPr>
            <w:r w:rsidRPr="00D10954">
              <w:rPr>
                <w:rFonts w:eastAsia="Arial" w:cs="Arial"/>
              </w:rPr>
              <w:t>97.8%</w:t>
            </w:r>
          </w:p>
        </w:tc>
        <w:tc>
          <w:tcPr>
            <w:tcW w:w="1890" w:type="dxa"/>
            <w:tcBorders>
              <w:right w:val="single" w:sz="6" w:space="0" w:color="auto"/>
            </w:tcBorders>
            <w:tcMar>
              <w:left w:w="105" w:type="dxa"/>
              <w:right w:w="105" w:type="dxa"/>
            </w:tcMar>
            <w:vAlign w:val="center"/>
          </w:tcPr>
          <w:p w14:paraId="5516E825" w14:textId="72DE81B7" w:rsidR="4E55DB7B" w:rsidRPr="00D10954" w:rsidRDefault="4E55DB7B" w:rsidP="6944AD4D">
            <w:pPr>
              <w:spacing w:after="0"/>
              <w:jc w:val="center"/>
              <w:rPr>
                <w:rFonts w:eastAsia="Arial" w:cs="Arial"/>
              </w:rPr>
            </w:pPr>
            <w:r w:rsidRPr="00D10954">
              <w:rPr>
                <w:rFonts w:eastAsia="Arial" w:cs="Arial"/>
              </w:rPr>
              <w:t>97.9</w:t>
            </w:r>
            <w:r w:rsidR="6944AD4D" w:rsidRPr="00D10954">
              <w:rPr>
                <w:rFonts w:eastAsia="Arial" w:cs="Arial"/>
              </w:rPr>
              <w:t>%</w:t>
            </w:r>
          </w:p>
        </w:tc>
      </w:tr>
      <w:tr w:rsidR="6944AD4D" w:rsidRPr="00D10954" w14:paraId="1F01D494" w14:textId="77777777" w:rsidTr="00F345FB">
        <w:trPr>
          <w:cantSplit/>
          <w:trHeight w:val="315"/>
        </w:trPr>
        <w:tc>
          <w:tcPr>
            <w:tcW w:w="1500" w:type="dxa"/>
            <w:tcBorders>
              <w:left w:val="single" w:sz="6" w:space="0" w:color="auto"/>
            </w:tcBorders>
            <w:tcMar>
              <w:left w:w="105" w:type="dxa"/>
              <w:right w:w="105" w:type="dxa"/>
            </w:tcMar>
            <w:vAlign w:val="center"/>
          </w:tcPr>
          <w:p w14:paraId="57DFE7E1" w14:textId="431C5CA2" w:rsidR="6944AD4D" w:rsidRPr="00D10954" w:rsidRDefault="6944AD4D" w:rsidP="6944AD4D">
            <w:pPr>
              <w:spacing w:after="0"/>
              <w:ind w:left="60" w:right="60"/>
              <w:jc w:val="center"/>
              <w:rPr>
                <w:rFonts w:eastAsia="Arial" w:cs="Arial"/>
              </w:rPr>
            </w:pPr>
            <w:r w:rsidRPr="00D10954">
              <w:rPr>
                <w:rFonts w:eastAsia="Arial" w:cs="Arial"/>
              </w:rPr>
              <w:t>85</w:t>
            </w:r>
          </w:p>
        </w:tc>
        <w:tc>
          <w:tcPr>
            <w:tcW w:w="1980" w:type="dxa"/>
            <w:tcMar>
              <w:left w:w="105" w:type="dxa"/>
              <w:right w:w="105" w:type="dxa"/>
            </w:tcMar>
            <w:vAlign w:val="center"/>
          </w:tcPr>
          <w:p w14:paraId="1A26CBDA" w14:textId="2BCA267F" w:rsidR="51FA1D50" w:rsidRPr="00D10954" w:rsidRDefault="51FA1D50" w:rsidP="6944AD4D">
            <w:pPr>
              <w:spacing w:after="0"/>
              <w:ind w:right="60"/>
              <w:jc w:val="center"/>
              <w:rPr>
                <w:rFonts w:eastAsia="Arial" w:cs="Arial"/>
              </w:rPr>
            </w:pPr>
            <w:r w:rsidRPr="00D10954">
              <w:rPr>
                <w:rFonts w:eastAsia="Arial" w:cs="Arial"/>
              </w:rPr>
              <w:t>96.7</w:t>
            </w:r>
            <w:r w:rsidR="6944AD4D" w:rsidRPr="00D10954">
              <w:rPr>
                <w:rFonts w:eastAsia="Arial" w:cs="Arial"/>
              </w:rPr>
              <w:t>%</w:t>
            </w:r>
          </w:p>
        </w:tc>
        <w:tc>
          <w:tcPr>
            <w:tcW w:w="1980" w:type="dxa"/>
            <w:tcMar>
              <w:left w:w="105" w:type="dxa"/>
              <w:right w:w="105" w:type="dxa"/>
            </w:tcMar>
            <w:vAlign w:val="center"/>
          </w:tcPr>
          <w:p w14:paraId="6AFB14F8" w14:textId="236766F7" w:rsidR="427B55D6" w:rsidRPr="00D10954" w:rsidRDefault="427B55D6" w:rsidP="6944AD4D">
            <w:pPr>
              <w:spacing w:after="0"/>
              <w:ind w:left="60" w:right="60"/>
              <w:jc w:val="center"/>
              <w:rPr>
                <w:rFonts w:eastAsia="Arial" w:cs="Arial"/>
              </w:rPr>
            </w:pPr>
            <w:r w:rsidRPr="00D10954">
              <w:rPr>
                <w:rFonts w:eastAsia="Arial" w:cs="Arial"/>
              </w:rPr>
              <w:t>96.</w:t>
            </w:r>
            <w:r w:rsidR="645F7FCB" w:rsidRPr="00D10954">
              <w:rPr>
                <w:rFonts w:eastAsia="Arial" w:cs="Arial"/>
              </w:rPr>
              <w:t>7</w:t>
            </w:r>
            <w:r w:rsidR="6944AD4D" w:rsidRPr="00D10954">
              <w:rPr>
                <w:rFonts w:eastAsia="Arial" w:cs="Arial"/>
              </w:rPr>
              <w:t>%</w:t>
            </w:r>
          </w:p>
        </w:tc>
        <w:tc>
          <w:tcPr>
            <w:tcW w:w="1950" w:type="dxa"/>
            <w:tcMar>
              <w:left w:w="105" w:type="dxa"/>
              <w:right w:w="105" w:type="dxa"/>
            </w:tcMar>
            <w:vAlign w:val="center"/>
          </w:tcPr>
          <w:p w14:paraId="7CC2F26C" w14:textId="01B4ACA2" w:rsidR="6AA0CF15" w:rsidRPr="00D10954" w:rsidRDefault="6AA0CF15" w:rsidP="6944AD4D">
            <w:pPr>
              <w:spacing w:after="0"/>
              <w:jc w:val="center"/>
              <w:rPr>
                <w:rFonts w:eastAsia="Arial" w:cs="Arial"/>
              </w:rPr>
            </w:pPr>
            <w:r w:rsidRPr="00D10954">
              <w:rPr>
                <w:rFonts w:eastAsia="Arial" w:cs="Arial"/>
              </w:rPr>
              <w:t>96.9%</w:t>
            </w:r>
          </w:p>
        </w:tc>
        <w:tc>
          <w:tcPr>
            <w:tcW w:w="1890" w:type="dxa"/>
            <w:tcBorders>
              <w:right w:val="single" w:sz="6" w:space="0" w:color="auto"/>
            </w:tcBorders>
            <w:tcMar>
              <w:left w:w="105" w:type="dxa"/>
              <w:right w:w="105" w:type="dxa"/>
            </w:tcMar>
            <w:vAlign w:val="center"/>
          </w:tcPr>
          <w:p w14:paraId="01E070C0" w14:textId="22EDE8E2" w:rsidR="430790B1" w:rsidRPr="00D10954" w:rsidRDefault="430790B1" w:rsidP="6944AD4D">
            <w:pPr>
              <w:spacing w:after="0"/>
              <w:jc w:val="center"/>
              <w:rPr>
                <w:rFonts w:eastAsia="Arial" w:cs="Arial"/>
              </w:rPr>
            </w:pPr>
            <w:r w:rsidRPr="00D10954">
              <w:rPr>
                <w:rFonts w:eastAsia="Arial" w:cs="Arial"/>
              </w:rPr>
              <w:t>96.9</w:t>
            </w:r>
            <w:r w:rsidR="6944AD4D" w:rsidRPr="00D10954">
              <w:rPr>
                <w:rFonts w:eastAsia="Arial" w:cs="Arial"/>
              </w:rPr>
              <w:t>%</w:t>
            </w:r>
          </w:p>
        </w:tc>
      </w:tr>
      <w:tr w:rsidR="6944AD4D" w:rsidRPr="00D10954" w14:paraId="73B4967A" w14:textId="77777777" w:rsidTr="00F345FB">
        <w:trPr>
          <w:cantSplit/>
          <w:trHeight w:val="315"/>
        </w:trPr>
        <w:tc>
          <w:tcPr>
            <w:tcW w:w="1500" w:type="dxa"/>
            <w:tcBorders>
              <w:left w:val="single" w:sz="6" w:space="0" w:color="auto"/>
            </w:tcBorders>
            <w:tcMar>
              <w:left w:w="105" w:type="dxa"/>
              <w:right w:w="105" w:type="dxa"/>
            </w:tcMar>
            <w:vAlign w:val="center"/>
          </w:tcPr>
          <w:p w14:paraId="474857FB" w14:textId="47897D9B" w:rsidR="6944AD4D" w:rsidRPr="00D10954" w:rsidRDefault="6944AD4D" w:rsidP="6944AD4D">
            <w:pPr>
              <w:spacing w:after="0"/>
              <w:ind w:left="60" w:right="60"/>
              <w:jc w:val="center"/>
              <w:rPr>
                <w:rFonts w:eastAsia="Arial" w:cs="Arial"/>
              </w:rPr>
            </w:pPr>
            <w:r w:rsidRPr="00D10954">
              <w:rPr>
                <w:rFonts w:eastAsia="Arial" w:cs="Arial"/>
              </w:rPr>
              <w:t>80</w:t>
            </w:r>
          </w:p>
        </w:tc>
        <w:tc>
          <w:tcPr>
            <w:tcW w:w="1980" w:type="dxa"/>
            <w:tcMar>
              <w:left w:w="105" w:type="dxa"/>
              <w:right w:w="105" w:type="dxa"/>
            </w:tcMar>
            <w:vAlign w:val="center"/>
          </w:tcPr>
          <w:p w14:paraId="20D94EA5" w14:textId="1C8986D6" w:rsidR="3CBE046B" w:rsidRPr="00D10954" w:rsidRDefault="3CBE046B" w:rsidP="6944AD4D">
            <w:pPr>
              <w:spacing w:after="0"/>
              <w:ind w:right="60"/>
              <w:jc w:val="center"/>
              <w:rPr>
                <w:rFonts w:eastAsia="Arial" w:cs="Arial"/>
              </w:rPr>
            </w:pPr>
            <w:r w:rsidRPr="00D10954">
              <w:rPr>
                <w:rFonts w:eastAsia="Arial" w:cs="Arial"/>
              </w:rPr>
              <w:t>95.9</w:t>
            </w:r>
            <w:r w:rsidR="6944AD4D" w:rsidRPr="00D10954">
              <w:rPr>
                <w:rFonts w:eastAsia="Arial" w:cs="Arial"/>
              </w:rPr>
              <w:t>%</w:t>
            </w:r>
          </w:p>
        </w:tc>
        <w:tc>
          <w:tcPr>
            <w:tcW w:w="1980" w:type="dxa"/>
            <w:tcMar>
              <w:left w:w="105" w:type="dxa"/>
              <w:right w:w="105" w:type="dxa"/>
            </w:tcMar>
            <w:vAlign w:val="center"/>
          </w:tcPr>
          <w:p w14:paraId="60025F94" w14:textId="62CC2605" w:rsidR="04563D9B" w:rsidRPr="00D10954" w:rsidRDefault="04563D9B" w:rsidP="6944AD4D">
            <w:pPr>
              <w:spacing w:after="0"/>
              <w:ind w:left="60" w:right="60"/>
              <w:jc w:val="center"/>
              <w:rPr>
                <w:rFonts w:eastAsia="Arial" w:cs="Arial"/>
              </w:rPr>
            </w:pPr>
            <w:r w:rsidRPr="00D10954">
              <w:rPr>
                <w:rFonts w:eastAsia="Arial" w:cs="Arial"/>
              </w:rPr>
              <w:t>95.</w:t>
            </w:r>
            <w:r w:rsidR="5C7241AA" w:rsidRPr="00D10954">
              <w:rPr>
                <w:rFonts w:eastAsia="Arial" w:cs="Arial"/>
              </w:rPr>
              <w:t>9</w:t>
            </w:r>
            <w:r w:rsidR="6944AD4D" w:rsidRPr="00D10954">
              <w:rPr>
                <w:rFonts w:eastAsia="Arial" w:cs="Arial"/>
              </w:rPr>
              <w:t>%</w:t>
            </w:r>
          </w:p>
        </w:tc>
        <w:tc>
          <w:tcPr>
            <w:tcW w:w="1950" w:type="dxa"/>
            <w:tcMar>
              <w:left w:w="105" w:type="dxa"/>
              <w:right w:w="105" w:type="dxa"/>
            </w:tcMar>
            <w:vAlign w:val="center"/>
          </w:tcPr>
          <w:p w14:paraId="2BD10399" w14:textId="163631B3" w:rsidR="211BE706" w:rsidRPr="00D10954" w:rsidRDefault="211BE706" w:rsidP="6944AD4D">
            <w:pPr>
              <w:spacing w:after="0"/>
              <w:jc w:val="center"/>
              <w:rPr>
                <w:rFonts w:eastAsia="Arial" w:cs="Arial"/>
              </w:rPr>
            </w:pPr>
            <w:r w:rsidRPr="00D10954">
              <w:rPr>
                <w:rFonts w:eastAsia="Arial" w:cs="Arial"/>
              </w:rPr>
              <w:t>95.9%</w:t>
            </w:r>
          </w:p>
        </w:tc>
        <w:tc>
          <w:tcPr>
            <w:tcW w:w="1890" w:type="dxa"/>
            <w:tcBorders>
              <w:right w:val="single" w:sz="6" w:space="0" w:color="auto"/>
            </w:tcBorders>
            <w:tcMar>
              <w:left w:w="105" w:type="dxa"/>
              <w:right w:w="105" w:type="dxa"/>
            </w:tcMar>
            <w:vAlign w:val="center"/>
          </w:tcPr>
          <w:p w14:paraId="05A37FF8" w14:textId="47ACE09F" w:rsidR="7682BE9A" w:rsidRPr="00D10954" w:rsidRDefault="7682BE9A" w:rsidP="6944AD4D">
            <w:pPr>
              <w:spacing w:after="0"/>
              <w:jc w:val="center"/>
              <w:rPr>
                <w:rFonts w:eastAsia="Arial" w:cs="Arial"/>
              </w:rPr>
            </w:pPr>
            <w:r w:rsidRPr="00D10954">
              <w:rPr>
                <w:rFonts w:eastAsia="Arial" w:cs="Arial"/>
              </w:rPr>
              <w:t>96.3</w:t>
            </w:r>
            <w:r w:rsidR="6944AD4D" w:rsidRPr="00D10954">
              <w:rPr>
                <w:rFonts w:eastAsia="Arial" w:cs="Arial"/>
              </w:rPr>
              <w:t>%</w:t>
            </w:r>
          </w:p>
        </w:tc>
      </w:tr>
      <w:tr w:rsidR="6944AD4D" w:rsidRPr="00D10954" w14:paraId="6B8EF3CC" w14:textId="77777777" w:rsidTr="00F345FB">
        <w:trPr>
          <w:cantSplit/>
          <w:trHeight w:val="315"/>
        </w:trPr>
        <w:tc>
          <w:tcPr>
            <w:tcW w:w="1500" w:type="dxa"/>
            <w:tcBorders>
              <w:left w:val="single" w:sz="6" w:space="0" w:color="auto"/>
            </w:tcBorders>
            <w:tcMar>
              <w:left w:w="105" w:type="dxa"/>
              <w:right w:w="105" w:type="dxa"/>
            </w:tcMar>
            <w:vAlign w:val="center"/>
          </w:tcPr>
          <w:p w14:paraId="1E160C03" w14:textId="4CFC8420" w:rsidR="6944AD4D" w:rsidRPr="00D10954" w:rsidRDefault="6944AD4D" w:rsidP="6944AD4D">
            <w:pPr>
              <w:spacing w:after="0"/>
              <w:ind w:left="60" w:right="60"/>
              <w:jc w:val="center"/>
              <w:rPr>
                <w:rFonts w:eastAsia="Arial" w:cs="Arial"/>
              </w:rPr>
            </w:pPr>
            <w:r w:rsidRPr="00D10954">
              <w:rPr>
                <w:rFonts w:eastAsia="Arial" w:cs="Arial"/>
              </w:rPr>
              <w:t>75</w:t>
            </w:r>
          </w:p>
        </w:tc>
        <w:tc>
          <w:tcPr>
            <w:tcW w:w="1980" w:type="dxa"/>
            <w:tcMar>
              <w:left w:w="105" w:type="dxa"/>
              <w:right w:w="105" w:type="dxa"/>
            </w:tcMar>
            <w:vAlign w:val="center"/>
          </w:tcPr>
          <w:p w14:paraId="74CF1E1C" w14:textId="0F9C9772" w:rsidR="3292A65A" w:rsidRPr="00D10954" w:rsidRDefault="3292A65A" w:rsidP="6944AD4D">
            <w:pPr>
              <w:spacing w:after="0"/>
              <w:ind w:right="60"/>
              <w:jc w:val="center"/>
              <w:rPr>
                <w:rFonts w:eastAsia="Arial" w:cs="Arial"/>
              </w:rPr>
            </w:pPr>
            <w:r w:rsidRPr="00D10954">
              <w:rPr>
                <w:rFonts w:eastAsia="Arial" w:cs="Arial"/>
              </w:rPr>
              <w:t>95.1</w:t>
            </w:r>
            <w:r w:rsidR="6944AD4D" w:rsidRPr="00D10954">
              <w:rPr>
                <w:rFonts w:eastAsia="Arial" w:cs="Arial"/>
              </w:rPr>
              <w:t>%</w:t>
            </w:r>
          </w:p>
        </w:tc>
        <w:tc>
          <w:tcPr>
            <w:tcW w:w="1980" w:type="dxa"/>
            <w:tcMar>
              <w:left w:w="105" w:type="dxa"/>
              <w:right w:w="105" w:type="dxa"/>
            </w:tcMar>
            <w:vAlign w:val="center"/>
          </w:tcPr>
          <w:p w14:paraId="20069539" w14:textId="68727C03" w:rsidR="54C15AD6" w:rsidRPr="00D10954" w:rsidRDefault="54C15AD6" w:rsidP="6944AD4D">
            <w:pPr>
              <w:spacing w:after="0"/>
              <w:ind w:left="60" w:right="60"/>
              <w:jc w:val="center"/>
              <w:rPr>
                <w:rFonts w:eastAsia="Arial" w:cs="Arial"/>
              </w:rPr>
            </w:pPr>
            <w:r w:rsidRPr="00D10954">
              <w:rPr>
                <w:rFonts w:eastAsia="Arial" w:cs="Arial"/>
              </w:rPr>
              <w:t>9</w:t>
            </w:r>
            <w:r w:rsidR="16C5319F" w:rsidRPr="00D10954">
              <w:rPr>
                <w:rFonts w:eastAsia="Arial" w:cs="Arial"/>
              </w:rPr>
              <w:t>5.3</w:t>
            </w:r>
            <w:r w:rsidR="6944AD4D" w:rsidRPr="00D10954">
              <w:rPr>
                <w:rFonts w:eastAsia="Arial" w:cs="Arial"/>
              </w:rPr>
              <w:t>%</w:t>
            </w:r>
          </w:p>
        </w:tc>
        <w:tc>
          <w:tcPr>
            <w:tcW w:w="1950" w:type="dxa"/>
            <w:tcMar>
              <w:left w:w="105" w:type="dxa"/>
              <w:right w:w="105" w:type="dxa"/>
            </w:tcMar>
            <w:vAlign w:val="center"/>
          </w:tcPr>
          <w:p w14:paraId="40D253D8" w14:textId="46A21732" w:rsidR="2648C80E" w:rsidRPr="00D10954" w:rsidRDefault="2648C80E" w:rsidP="6944AD4D">
            <w:pPr>
              <w:spacing w:after="0"/>
              <w:jc w:val="center"/>
              <w:rPr>
                <w:rFonts w:eastAsia="Arial" w:cs="Arial"/>
              </w:rPr>
            </w:pPr>
            <w:r w:rsidRPr="00D10954">
              <w:rPr>
                <w:rFonts w:eastAsia="Arial" w:cs="Arial"/>
              </w:rPr>
              <w:t>95.3%</w:t>
            </w:r>
          </w:p>
        </w:tc>
        <w:tc>
          <w:tcPr>
            <w:tcW w:w="1890" w:type="dxa"/>
            <w:tcBorders>
              <w:right w:val="single" w:sz="6" w:space="0" w:color="auto"/>
            </w:tcBorders>
            <w:tcMar>
              <w:left w:w="105" w:type="dxa"/>
              <w:right w:w="105" w:type="dxa"/>
            </w:tcMar>
            <w:vAlign w:val="center"/>
          </w:tcPr>
          <w:p w14:paraId="1350C5A9" w14:textId="2050802A" w:rsidR="25C9C980" w:rsidRPr="00D10954" w:rsidRDefault="25C9C980" w:rsidP="6944AD4D">
            <w:pPr>
              <w:spacing w:after="0"/>
              <w:jc w:val="center"/>
              <w:rPr>
                <w:rFonts w:eastAsia="Arial" w:cs="Arial"/>
              </w:rPr>
            </w:pPr>
            <w:r w:rsidRPr="00D10954">
              <w:rPr>
                <w:rFonts w:eastAsia="Arial" w:cs="Arial"/>
              </w:rPr>
              <w:t>95.7</w:t>
            </w:r>
            <w:r w:rsidR="6944AD4D" w:rsidRPr="00D10954">
              <w:rPr>
                <w:rFonts w:eastAsia="Arial" w:cs="Arial"/>
              </w:rPr>
              <w:t>%</w:t>
            </w:r>
          </w:p>
        </w:tc>
      </w:tr>
      <w:tr w:rsidR="6944AD4D" w:rsidRPr="00D10954" w14:paraId="6D8AA76C" w14:textId="77777777" w:rsidTr="00F345FB">
        <w:trPr>
          <w:cantSplit/>
          <w:trHeight w:val="315"/>
        </w:trPr>
        <w:tc>
          <w:tcPr>
            <w:tcW w:w="1500" w:type="dxa"/>
            <w:tcBorders>
              <w:left w:val="single" w:sz="6" w:space="0" w:color="auto"/>
            </w:tcBorders>
            <w:tcMar>
              <w:left w:w="105" w:type="dxa"/>
              <w:right w:w="105" w:type="dxa"/>
            </w:tcMar>
            <w:vAlign w:val="center"/>
          </w:tcPr>
          <w:p w14:paraId="346DE509" w14:textId="49EFA49F" w:rsidR="6944AD4D" w:rsidRPr="00D10954" w:rsidRDefault="6944AD4D" w:rsidP="6944AD4D">
            <w:pPr>
              <w:spacing w:after="0"/>
              <w:ind w:left="60" w:right="60"/>
              <w:jc w:val="center"/>
              <w:rPr>
                <w:rFonts w:eastAsia="Arial" w:cs="Arial"/>
              </w:rPr>
            </w:pPr>
            <w:r w:rsidRPr="00D10954">
              <w:rPr>
                <w:rFonts w:eastAsia="Arial" w:cs="Arial"/>
              </w:rPr>
              <w:t>70</w:t>
            </w:r>
          </w:p>
        </w:tc>
        <w:tc>
          <w:tcPr>
            <w:tcW w:w="1980" w:type="dxa"/>
            <w:tcMar>
              <w:left w:w="105" w:type="dxa"/>
              <w:right w:w="105" w:type="dxa"/>
            </w:tcMar>
            <w:vAlign w:val="center"/>
          </w:tcPr>
          <w:p w14:paraId="36023D25" w14:textId="57B357CD" w:rsidR="3E3A1247" w:rsidRPr="00D10954" w:rsidRDefault="3E3A1247" w:rsidP="6944AD4D">
            <w:pPr>
              <w:spacing w:after="0"/>
              <w:ind w:right="60"/>
              <w:jc w:val="center"/>
              <w:rPr>
                <w:rFonts w:eastAsia="Arial" w:cs="Arial"/>
              </w:rPr>
            </w:pPr>
            <w:r w:rsidRPr="00D10954">
              <w:rPr>
                <w:rFonts w:eastAsia="Arial" w:cs="Arial"/>
              </w:rPr>
              <w:t>94.3</w:t>
            </w:r>
            <w:r w:rsidR="6944AD4D" w:rsidRPr="00D10954">
              <w:rPr>
                <w:rFonts w:eastAsia="Arial" w:cs="Arial"/>
              </w:rPr>
              <w:t>%</w:t>
            </w:r>
          </w:p>
        </w:tc>
        <w:tc>
          <w:tcPr>
            <w:tcW w:w="1980" w:type="dxa"/>
            <w:tcMar>
              <w:left w:w="105" w:type="dxa"/>
              <w:right w:w="105" w:type="dxa"/>
            </w:tcMar>
            <w:vAlign w:val="center"/>
          </w:tcPr>
          <w:p w14:paraId="28F39F5D" w14:textId="3300CD42" w:rsidR="2C2AE70A" w:rsidRPr="00D10954" w:rsidRDefault="2C2AE70A" w:rsidP="6944AD4D">
            <w:pPr>
              <w:spacing w:after="0"/>
              <w:ind w:left="60" w:right="60"/>
              <w:jc w:val="center"/>
              <w:rPr>
                <w:rFonts w:eastAsia="Arial" w:cs="Arial"/>
              </w:rPr>
            </w:pPr>
            <w:r w:rsidRPr="00D10954">
              <w:rPr>
                <w:rFonts w:eastAsia="Arial" w:cs="Arial"/>
              </w:rPr>
              <w:t>94.</w:t>
            </w:r>
            <w:r w:rsidR="283B9CEC" w:rsidRPr="00D10954">
              <w:rPr>
                <w:rFonts w:eastAsia="Arial" w:cs="Arial"/>
              </w:rPr>
              <w:t>4</w:t>
            </w:r>
            <w:r w:rsidR="6944AD4D" w:rsidRPr="00D10954">
              <w:rPr>
                <w:rFonts w:eastAsia="Arial" w:cs="Arial"/>
              </w:rPr>
              <w:t>%</w:t>
            </w:r>
          </w:p>
        </w:tc>
        <w:tc>
          <w:tcPr>
            <w:tcW w:w="1950" w:type="dxa"/>
            <w:tcMar>
              <w:left w:w="105" w:type="dxa"/>
              <w:right w:w="105" w:type="dxa"/>
            </w:tcMar>
            <w:vAlign w:val="center"/>
          </w:tcPr>
          <w:p w14:paraId="3C569EC8" w14:textId="0F060668" w:rsidR="4BA7986B" w:rsidRPr="00D10954" w:rsidRDefault="4BA7986B" w:rsidP="6944AD4D">
            <w:pPr>
              <w:spacing w:after="0"/>
              <w:jc w:val="center"/>
              <w:rPr>
                <w:rFonts w:eastAsia="Arial" w:cs="Arial"/>
              </w:rPr>
            </w:pPr>
            <w:r w:rsidRPr="00D10954">
              <w:rPr>
                <w:rFonts w:eastAsia="Arial" w:cs="Arial"/>
              </w:rPr>
              <w:t>94.4%</w:t>
            </w:r>
          </w:p>
        </w:tc>
        <w:tc>
          <w:tcPr>
            <w:tcW w:w="1890" w:type="dxa"/>
            <w:tcBorders>
              <w:right w:val="single" w:sz="6" w:space="0" w:color="auto"/>
            </w:tcBorders>
            <w:tcMar>
              <w:left w:w="105" w:type="dxa"/>
              <w:right w:w="105" w:type="dxa"/>
            </w:tcMar>
            <w:vAlign w:val="center"/>
          </w:tcPr>
          <w:p w14:paraId="30C6A3F3" w14:textId="462B3EA8" w:rsidR="10B0FDCE" w:rsidRPr="00D10954" w:rsidRDefault="10B0FDCE" w:rsidP="6944AD4D">
            <w:pPr>
              <w:spacing w:after="0"/>
              <w:jc w:val="center"/>
              <w:rPr>
                <w:rFonts w:eastAsia="Arial" w:cs="Arial"/>
              </w:rPr>
            </w:pPr>
            <w:r w:rsidRPr="00D10954">
              <w:rPr>
                <w:rFonts w:eastAsia="Arial" w:cs="Arial"/>
              </w:rPr>
              <w:t>94.9</w:t>
            </w:r>
            <w:r w:rsidR="6944AD4D" w:rsidRPr="00D10954">
              <w:rPr>
                <w:rFonts w:eastAsia="Arial" w:cs="Arial"/>
              </w:rPr>
              <w:t>%</w:t>
            </w:r>
          </w:p>
        </w:tc>
      </w:tr>
      <w:tr w:rsidR="6944AD4D" w:rsidRPr="00D10954" w14:paraId="552A3234" w14:textId="77777777" w:rsidTr="00F345FB">
        <w:trPr>
          <w:cantSplit/>
          <w:trHeight w:val="315"/>
        </w:trPr>
        <w:tc>
          <w:tcPr>
            <w:tcW w:w="1500" w:type="dxa"/>
            <w:tcBorders>
              <w:left w:val="single" w:sz="6" w:space="0" w:color="auto"/>
            </w:tcBorders>
            <w:tcMar>
              <w:left w:w="105" w:type="dxa"/>
              <w:right w:w="105" w:type="dxa"/>
            </w:tcMar>
            <w:vAlign w:val="center"/>
          </w:tcPr>
          <w:p w14:paraId="506DBBFD" w14:textId="2B95FA15" w:rsidR="6944AD4D" w:rsidRPr="00D10954" w:rsidRDefault="6944AD4D" w:rsidP="6944AD4D">
            <w:pPr>
              <w:spacing w:after="0"/>
              <w:ind w:left="60" w:right="60"/>
              <w:jc w:val="center"/>
              <w:rPr>
                <w:rFonts w:eastAsia="Arial" w:cs="Arial"/>
              </w:rPr>
            </w:pPr>
            <w:r w:rsidRPr="00D10954">
              <w:rPr>
                <w:rFonts w:eastAsia="Arial" w:cs="Arial"/>
              </w:rPr>
              <w:t>65</w:t>
            </w:r>
          </w:p>
        </w:tc>
        <w:tc>
          <w:tcPr>
            <w:tcW w:w="1980" w:type="dxa"/>
            <w:tcMar>
              <w:left w:w="105" w:type="dxa"/>
              <w:right w:w="105" w:type="dxa"/>
            </w:tcMar>
            <w:vAlign w:val="center"/>
          </w:tcPr>
          <w:p w14:paraId="2883F7A5" w14:textId="146C586E" w:rsidR="762C2336" w:rsidRPr="00D10954" w:rsidRDefault="762C2336" w:rsidP="6944AD4D">
            <w:pPr>
              <w:spacing w:after="0"/>
              <w:ind w:right="60"/>
              <w:jc w:val="center"/>
              <w:rPr>
                <w:rFonts w:eastAsia="Arial" w:cs="Arial"/>
              </w:rPr>
            </w:pPr>
            <w:r w:rsidRPr="00D10954">
              <w:rPr>
                <w:rFonts w:eastAsia="Arial" w:cs="Arial"/>
              </w:rPr>
              <w:t>93.6</w:t>
            </w:r>
            <w:r w:rsidR="6944AD4D" w:rsidRPr="00D10954">
              <w:rPr>
                <w:rFonts w:eastAsia="Arial" w:cs="Arial"/>
              </w:rPr>
              <w:t>%</w:t>
            </w:r>
          </w:p>
        </w:tc>
        <w:tc>
          <w:tcPr>
            <w:tcW w:w="1980" w:type="dxa"/>
            <w:tcMar>
              <w:left w:w="105" w:type="dxa"/>
              <w:right w:w="105" w:type="dxa"/>
            </w:tcMar>
            <w:vAlign w:val="center"/>
          </w:tcPr>
          <w:p w14:paraId="3984D422" w14:textId="6EA07E27" w:rsidR="047DD48C" w:rsidRPr="00D10954" w:rsidRDefault="047DD48C" w:rsidP="6944AD4D">
            <w:pPr>
              <w:spacing w:after="0"/>
              <w:ind w:left="60" w:right="60"/>
              <w:jc w:val="center"/>
              <w:rPr>
                <w:rFonts w:eastAsia="Arial" w:cs="Arial"/>
              </w:rPr>
            </w:pPr>
            <w:r w:rsidRPr="00D10954">
              <w:rPr>
                <w:rFonts w:eastAsia="Arial" w:cs="Arial"/>
              </w:rPr>
              <w:t>93.</w:t>
            </w:r>
            <w:r w:rsidR="4983CBC4" w:rsidRPr="00D10954">
              <w:rPr>
                <w:rFonts w:eastAsia="Arial" w:cs="Arial"/>
              </w:rPr>
              <w:t>8</w:t>
            </w:r>
            <w:r w:rsidR="6944AD4D" w:rsidRPr="00D10954">
              <w:rPr>
                <w:rFonts w:eastAsia="Arial" w:cs="Arial"/>
              </w:rPr>
              <w:t>%</w:t>
            </w:r>
          </w:p>
        </w:tc>
        <w:tc>
          <w:tcPr>
            <w:tcW w:w="1950" w:type="dxa"/>
            <w:tcMar>
              <w:left w:w="105" w:type="dxa"/>
              <w:right w:w="105" w:type="dxa"/>
            </w:tcMar>
            <w:vAlign w:val="center"/>
          </w:tcPr>
          <w:p w14:paraId="131687D7" w14:textId="5BC2128D" w:rsidR="628536FA" w:rsidRPr="00D10954" w:rsidRDefault="628536FA" w:rsidP="6944AD4D">
            <w:pPr>
              <w:spacing w:after="0"/>
              <w:jc w:val="center"/>
              <w:rPr>
                <w:rFonts w:eastAsia="Arial" w:cs="Arial"/>
              </w:rPr>
            </w:pPr>
            <w:r w:rsidRPr="00D10954">
              <w:rPr>
                <w:rFonts w:eastAsia="Arial" w:cs="Arial"/>
              </w:rPr>
              <w:t>93.8%</w:t>
            </w:r>
          </w:p>
        </w:tc>
        <w:tc>
          <w:tcPr>
            <w:tcW w:w="1890" w:type="dxa"/>
            <w:tcBorders>
              <w:right w:val="single" w:sz="6" w:space="0" w:color="auto"/>
            </w:tcBorders>
            <w:tcMar>
              <w:left w:w="105" w:type="dxa"/>
              <w:right w:w="105" w:type="dxa"/>
            </w:tcMar>
            <w:vAlign w:val="center"/>
          </w:tcPr>
          <w:p w14:paraId="73086725" w14:textId="4C9D510A" w:rsidR="4C108941" w:rsidRPr="00D10954" w:rsidRDefault="4C108941" w:rsidP="6944AD4D">
            <w:pPr>
              <w:spacing w:after="0"/>
              <w:jc w:val="center"/>
              <w:rPr>
                <w:rFonts w:eastAsia="Arial" w:cs="Arial"/>
              </w:rPr>
            </w:pPr>
            <w:r w:rsidRPr="00D10954">
              <w:rPr>
                <w:rFonts w:eastAsia="Arial" w:cs="Arial"/>
              </w:rPr>
              <w:t>93.9</w:t>
            </w:r>
            <w:r w:rsidR="6944AD4D" w:rsidRPr="00D10954">
              <w:rPr>
                <w:rFonts w:eastAsia="Arial" w:cs="Arial"/>
              </w:rPr>
              <w:t>%</w:t>
            </w:r>
          </w:p>
        </w:tc>
      </w:tr>
      <w:tr w:rsidR="6944AD4D" w:rsidRPr="00D10954" w14:paraId="48F540DC" w14:textId="77777777" w:rsidTr="00F345FB">
        <w:trPr>
          <w:cantSplit/>
          <w:trHeight w:val="315"/>
        </w:trPr>
        <w:tc>
          <w:tcPr>
            <w:tcW w:w="1500" w:type="dxa"/>
            <w:tcBorders>
              <w:left w:val="single" w:sz="6" w:space="0" w:color="auto"/>
            </w:tcBorders>
            <w:tcMar>
              <w:left w:w="105" w:type="dxa"/>
              <w:right w:w="105" w:type="dxa"/>
            </w:tcMar>
            <w:vAlign w:val="center"/>
          </w:tcPr>
          <w:p w14:paraId="2AA03D2C" w14:textId="50F21A4B" w:rsidR="6944AD4D" w:rsidRPr="00D10954" w:rsidRDefault="6944AD4D" w:rsidP="6944AD4D">
            <w:pPr>
              <w:spacing w:after="0"/>
              <w:ind w:left="60" w:right="60"/>
              <w:jc w:val="center"/>
              <w:rPr>
                <w:rFonts w:eastAsia="Arial" w:cs="Arial"/>
              </w:rPr>
            </w:pPr>
            <w:r w:rsidRPr="00D10954">
              <w:rPr>
                <w:rFonts w:eastAsia="Arial" w:cs="Arial"/>
              </w:rPr>
              <w:t>60</w:t>
            </w:r>
          </w:p>
        </w:tc>
        <w:tc>
          <w:tcPr>
            <w:tcW w:w="1980" w:type="dxa"/>
            <w:tcMar>
              <w:left w:w="105" w:type="dxa"/>
              <w:right w:w="105" w:type="dxa"/>
            </w:tcMar>
            <w:vAlign w:val="center"/>
          </w:tcPr>
          <w:p w14:paraId="411B6E6C" w14:textId="1E1D5402" w:rsidR="05C13120" w:rsidRPr="00D10954" w:rsidRDefault="05C13120" w:rsidP="6944AD4D">
            <w:pPr>
              <w:spacing w:after="0"/>
              <w:ind w:right="60"/>
              <w:jc w:val="center"/>
              <w:rPr>
                <w:rFonts w:eastAsia="Arial" w:cs="Arial"/>
              </w:rPr>
            </w:pPr>
            <w:r w:rsidRPr="00D10954">
              <w:rPr>
                <w:rFonts w:eastAsia="Arial" w:cs="Arial"/>
              </w:rPr>
              <w:t>92.5</w:t>
            </w:r>
            <w:r w:rsidR="6944AD4D" w:rsidRPr="00D10954">
              <w:rPr>
                <w:rFonts w:eastAsia="Arial" w:cs="Arial"/>
              </w:rPr>
              <w:t>%</w:t>
            </w:r>
          </w:p>
        </w:tc>
        <w:tc>
          <w:tcPr>
            <w:tcW w:w="1980" w:type="dxa"/>
            <w:tcMar>
              <w:left w:w="105" w:type="dxa"/>
              <w:right w:w="105" w:type="dxa"/>
            </w:tcMar>
            <w:vAlign w:val="center"/>
          </w:tcPr>
          <w:p w14:paraId="3DEA4836" w14:textId="01D17146" w:rsidR="3081BDFF" w:rsidRPr="00D10954" w:rsidRDefault="3081BDFF" w:rsidP="6944AD4D">
            <w:pPr>
              <w:spacing w:after="0"/>
              <w:ind w:left="60" w:right="60"/>
              <w:jc w:val="center"/>
              <w:rPr>
                <w:rFonts w:eastAsia="Arial" w:cs="Arial"/>
              </w:rPr>
            </w:pPr>
            <w:r w:rsidRPr="00D10954">
              <w:rPr>
                <w:rFonts w:eastAsia="Arial" w:cs="Arial"/>
              </w:rPr>
              <w:t>9</w:t>
            </w:r>
            <w:r w:rsidR="3BE325E1" w:rsidRPr="00D10954">
              <w:rPr>
                <w:rFonts w:eastAsia="Arial" w:cs="Arial"/>
              </w:rPr>
              <w:t>3.0</w:t>
            </w:r>
            <w:r w:rsidR="6944AD4D" w:rsidRPr="00D10954">
              <w:rPr>
                <w:rFonts w:eastAsia="Arial" w:cs="Arial"/>
              </w:rPr>
              <w:t>%</w:t>
            </w:r>
          </w:p>
        </w:tc>
        <w:tc>
          <w:tcPr>
            <w:tcW w:w="1950" w:type="dxa"/>
            <w:tcMar>
              <w:left w:w="105" w:type="dxa"/>
              <w:right w:w="105" w:type="dxa"/>
            </w:tcMar>
            <w:vAlign w:val="center"/>
          </w:tcPr>
          <w:p w14:paraId="66B5ECD6" w14:textId="34F599F2" w:rsidR="0EC9F76B" w:rsidRPr="00D10954" w:rsidRDefault="0EC9F76B" w:rsidP="6944AD4D">
            <w:pPr>
              <w:spacing w:after="0"/>
              <w:jc w:val="center"/>
              <w:rPr>
                <w:rFonts w:eastAsia="Arial" w:cs="Arial"/>
              </w:rPr>
            </w:pPr>
            <w:r w:rsidRPr="00D10954">
              <w:rPr>
                <w:rFonts w:eastAsia="Arial" w:cs="Arial"/>
              </w:rPr>
              <w:t>93.1%</w:t>
            </w:r>
          </w:p>
        </w:tc>
        <w:tc>
          <w:tcPr>
            <w:tcW w:w="1890" w:type="dxa"/>
            <w:tcBorders>
              <w:right w:val="single" w:sz="6" w:space="0" w:color="auto"/>
            </w:tcBorders>
            <w:tcMar>
              <w:left w:w="105" w:type="dxa"/>
              <w:right w:w="105" w:type="dxa"/>
            </w:tcMar>
            <w:vAlign w:val="center"/>
          </w:tcPr>
          <w:p w14:paraId="67D1A229" w14:textId="3451B9A8" w:rsidR="41393F9D" w:rsidRPr="00D10954" w:rsidRDefault="41393F9D" w:rsidP="6944AD4D">
            <w:pPr>
              <w:spacing w:after="0"/>
              <w:jc w:val="center"/>
              <w:rPr>
                <w:rFonts w:eastAsia="Arial" w:cs="Arial"/>
              </w:rPr>
            </w:pPr>
            <w:r w:rsidRPr="00D10954">
              <w:rPr>
                <w:rFonts w:eastAsia="Arial" w:cs="Arial"/>
              </w:rPr>
              <w:t>93.2</w:t>
            </w:r>
            <w:r w:rsidR="6944AD4D" w:rsidRPr="00D10954">
              <w:rPr>
                <w:rFonts w:eastAsia="Arial" w:cs="Arial"/>
              </w:rPr>
              <w:t>%</w:t>
            </w:r>
          </w:p>
        </w:tc>
      </w:tr>
      <w:tr w:rsidR="6944AD4D" w:rsidRPr="00D10954" w14:paraId="76CEEC21" w14:textId="77777777" w:rsidTr="00F345FB">
        <w:trPr>
          <w:cantSplit/>
          <w:trHeight w:val="315"/>
        </w:trPr>
        <w:tc>
          <w:tcPr>
            <w:tcW w:w="1500" w:type="dxa"/>
            <w:tcBorders>
              <w:left w:val="single" w:sz="6" w:space="0" w:color="auto"/>
            </w:tcBorders>
            <w:tcMar>
              <w:left w:w="105" w:type="dxa"/>
              <w:right w:w="105" w:type="dxa"/>
            </w:tcMar>
            <w:vAlign w:val="center"/>
          </w:tcPr>
          <w:p w14:paraId="32643FEC" w14:textId="583BE2D9" w:rsidR="6944AD4D" w:rsidRPr="00D10954" w:rsidRDefault="6944AD4D" w:rsidP="6944AD4D">
            <w:pPr>
              <w:spacing w:after="0"/>
              <w:ind w:left="60" w:right="60"/>
              <w:jc w:val="center"/>
              <w:rPr>
                <w:rFonts w:eastAsia="Arial" w:cs="Arial"/>
              </w:rPr>
            </w:pPr>
            <w:r w:rsidRPr="00D10954">
              <w:rPr>
                <w:rFonts w:eastAsia="Arial" w:cs="Arial"/>
              </w:rPr>
              <w:t>55</w:t>
            </w:r>
          </w:p>
        </w:tc>
        <w:tc>
          <w:tcPr>
            <w:tcW w:w="1980" w:type="dxa"/>
            <w:tcMar>
              <w:left w:w="105" w:type="dxa"/>
              <w:right w:w="105" w:type="dxa"/>
            </w:tcMar>
            <w:vAlign w:val="center"/>
          </w:tcPr>
          <w:p w14:paraId="63C2D88D" w14:textId="531BE740" w:rsidR="7A85324F" w:rsidRPr="00D10954" w:rsidRDefault="7A85324F" w:rsidP="6944AD4D">
            <w:pPr>
              <w:spacing w:after="0"/>
              <w:ind w:right="60"/>
              <w:jc w:val="center"/>
              <w:rPr>
                <w:rFonts w:eastAsia="Arial" w:cs="Arial"/>
              </w:rPr>
            </w:pPr>
            <w:r w:rsidRPr="00D10954">
              <w:rPr>
                <w:rFonts w:eastAsia="Arial" w:cs="Arial"/>
              </w:rPr>
              <w:t>91.9</w:t>
            </w:r>
            <w:r w:rsidR="0C415749" w:rsidRPr="00D10954">
              <w:rPr>
                <w:rFonts w:eastAsia="Arial" w:cs="Arial"/>
              </w:rPr>
              <w:t>%</w:t>
            </w:r>
          </w:p>
        </w:tc>
        <w:tc>
          <w:tcPr>
            <w:tcW w:w="1980" w:type="dxa"/>
            <w:tcMar>
              <w:left w:w="105" w:type="dxa"/>
              <w:right w:w="105" w:type="dxa"/>
            </w:tcMar>
            <w:vAlign w:val="center"/>
          </w:tcPr>
          <w:p w14:paraId="6FC1C816" w14:textId="08ABC392" w:rsidR="0F35EC12" w:rsidRPr="00D10954" w:rsidRDefault="0F35EC12" w:rsidP="6944AD4D">
            <w:pPr>
              <w:spacing w:after="0"/>
              <w:ind w:left="60" w:right="60"/>
              <w:jc w:val="center"/>
              <w:rPr>
                <w:rFonts w:eastAsia="Arial" w:cs="Arial"/>
              </w:rPr>
            </w:pPr>
            <w:r w:rsidRPr="00D10954">
              <w:rPr>
                <w:rFonts w:eastAsia="Arial" w:cs="Arial"/>
              </w:rPr>
              <w:t>9</w:t>
            </w:r>
            <w:r w:rsidR="46F1FD63" w:rsidRPr="00D10954">
              <w:rPr>
                <w:rFonts w:eastAsia="Arial" w:cs="Arial"/>
              </w:rPr>
              <w:t>2.0</w:t>
            </w:r>
            <w:r w:rsidR="6944AD4D" w:rsidRPr="00D10954">
              <w:rPr>
                <w:rFonts w:eastAsia="Arial" w:cs="Arial"/>
              </w:rPr>
              <w:t>%</w:t>
            </w:r>
          </w:p>
        </w:tc>
        <w:tc>
          <w:tcPr>
            <w:tcW w:w="1950" w:type="dxa"/>
            <w:tcMar>
              <w:left w:w="105" w:type="dxa"/>
              <w:right w:w="105" w:type="dxa"/>
            </w:tcMar>
            <w:vAlign w:val="center"/>
          </w:tcPr>
          <w:p w14:paraId="7DBB3609" w14:textId="59BC30F4" w:rsidR="2B860FC6" w:rsidRPr="00D10954" w:rsidRDefault="2B860FC6" w:rsidP="6944AD4D">
            <w:pPr>
              <w:spacing w:after="0"/>
              <w:jc w:val="center"/>
              <w:rPr>
                <w:rFonts w:eastAsia="Arial" w:cs="Arial"/>
              </w:rPr>
            </w:pPr>
            <w:r w:rsidRPr="00D10954">
              <w:rPr>
                <w:rFonts w:eastAsia="Arial" w:cs="Arial"/>
              </w:rPr>
              <w:t>92.3%</w:t>
            </w:r>
          </w:p>
        </w:tc>
        <w:tc>
          <w:tcPr>
            <w:tcW w:w="1890" w:type="dxa"/>
            <w:tcBorders>
              <w:right w:val="single" w:sz="6" w:space="0" w:color="auto"/>
            </w:tcBorders>
            <w:tcMar>
              <w:left w:w="105" w:type="dxa"/>
              <w:right w:w="105" w:type="dxa"/>
            </w:tcMar>
            <w:vAlign w:val="center"/>
          </w:tcPr>
          <w:p w14:paraId="6468F5D0" w14:textId="768499A1" w:rsidR="40C285B4" w:rsidRPr="00D10954" w:rsidRDefault="40C285B4" w:rsidP="6944AD4D">
            <w:pPr>
              <w:spacing w:after="0"/>
              <w:jc w:val="center"/>
              <w:rPr>
                <w:rFonts w:eastAsia="Arial" w:cs="Arial"/>
              </w:rPr>
            </w:pPr>
            <w:r w:rsidRPr="00D10954">
              <w:rPr>
                <w:rFonts w:eastAsia="Arial" w:cs="Arial"/>
              </w:rPr>
              <w:t>92.5</w:t>
            </w:r>
            <w:r w:rsidR="6944AD4D" w:rsidRPr="00D10954">
              <w:rPr>
                <w:rFonts w:eastAsia="Arial" w:cs="Arial"/>
              </w:rPr>
              <w:t>%</w:t>
            </w:r>
          </w:p>
        </w:tc>
      </w:tr>
      <w:tr w:rsidR="6944AD4D" w:rsidRPr="00D10954" w14:paraId="5DEC3EBB" w14:textId="77777777" w:rsidTr="00F345FB">
        <w:trPr>
          <w:cantSplit/>
          <w:trHeight w:val="315"/>
        </w:trPr>
        <w:tc>
          <w:tcPr>
            <w:tcW w:w="1500" w:type="dxa"/>
            <w:tcBorders>
              <w:left w:val="single" w:sz="6" w:space="0" w:color="auto"/>
            </w:tcBorders>
            <w:tcMar>
              <w:left w:w="105" w:type="dxa"/>
              <w:right w:w="105" w:type="dxa"/>
            </w:tcMar>
            <w:vAlign w:val="center"/>
          </w:tcPr>
          <w:p w14:paraId="5CAA25DA" w14:textId="0BE3EC51" w:rsidR="6944AD4D" w:rsidRPr="00D10954" w:rsidRDefault="6944AD4D" w:rsidP="6944AD4D">
            <w:pPr>
              <w:spacing w:after="0"/>
              <w:ind w:left="60" w:right="60"/>
              <w:jc w:val="center"/>
              <w:rPr>
                <w:rFonts w:eastAsia="Arial" w:cs="Arial"/>
              </w:rPr>
            </w:pPr>
            <w:r w:rsidRPr="00D10954">
              <w:rPr>
                <w:rFonts w:eastAsia="Arial" w:cs="Arial"/>
              </w:rPr>
              <w:t>50</w:t>
            </w:r>
          </w:p>
        </w:tc>
        <w:tc>
          <w:tcPr>
            <w:tcW w:w="1980" w:type="dxa"/>
            <w:tcMar>
              <w:left w:w="105" w:type="dxa"/>
              <w:right w:w="105" w:type="dxa"/>
            </w:tcMar>
            <w:vAlign w:val="center"/>
          </w:tcPr>
          <w:p w14:paraId="65B14F41" w14:textId="7FED7FC4" w:rsidR="2A51F76B" w:rsidRPr="00D10954" w:rsidRDefault="2A51F76B" w:rsidP="6944AD4D">
            <w:pPr>
              <w:spacing w:after="0"/>
              <w:ind w:right="60"/>
              <w:jc w:val="center"/>
              <w:rPr>
                <w:rFonts w:eastAsia="Arial" w:cs="Arial"/>
              </w:rPr>
            </w:pPr>
            <w:r w:rsidRPr="00D10954">
              <w:rPr>
                <w:rFonts w:eastAsia="Arial" w:cs="Arial"/>
              </w:rPr>
              <w:t>91.2</w:t>
            </w:r>
            <w:r w:rsidR="6944AD4D" w:rsidRPr="00D10954">
              <w:rPr>
                <w:rFonts w:eastAsia="Arial" w:cs="Arial"/>
              </w:rPr>
              <w:t>%</w:t>
            </w:r>
          </w:p>
        </w:tc>
        <w:tc>
          <w:tcPr>
            <w:tcW w:w="1980" w:type="dxa"/>
            <w:tcMar>
              <w:left w:w="105" w:type="dxa"/>
              <w:right w:w="105" w:type="dxa"/>
            </w:tcMar>
            <w:vAlign w:val="center"/>
          </w:tcPr>
          <w:p w14:paraId="6C7D5D12" w14:textId="136B22F7" w:rsidR="5A53FBED" w:rsidRPr="00D10954" w:rsidRDefault="5A53FBED" w:rsidP="6944AD4D">
            <w:pPr>
              <w:spacing w:after="0"/>
              <w:ind w:left="60" w:right="60"/>
              <w:jc w:val="center"/>
              <w:rPr>
                <w:rFonts w:eastAsia="Arial" w:cs="Arial"/>
              </w:rPr>
            </w:pPr>
            <w:r w:rsidRPr="00D10954">
              <w:rPr>
                <w:rFonts w:eastAsia="Arial" w:cs="Arial"/>
              </w:rPr>
              <w:t>9</w:t>
            </w:r>
            <w:r w:rsidR="02528068" w:rsidRPr="00D10954">
              <w:rPr>
                <w:rFonts w:eastAsia="Arial" w:cs="Arial"/>
              </w:rPr>
              <w:t>1.3</w:t>
            </w:r>
            <w:r w:rsidR="6944AD4D" w:rsidRPr="00D10954">
              <w:rPr>
                <w:rFonts w:eastAsia="Arial" w:cs="Arial"/>
              </w:rPr>
              <w:t>%</w:t>
            </w:r>
          </w:p>
        </w:tc>
        <w:tc>
          <w:tcPr>
            <w:tcW w:w="1950" w:type="dxa"/>
            <w:tcMar>
              <w:left w:w="105" w:type="dxa"/>
              <w:right w:w="105" w:type="dxa"/>
            </w:tcMar>
            <w:vAlign w:val="center"/>
          </w:tcPr>
          <w:p w14:paraId="1193EE5D" w14:textId="0596930D" w:rsidR="262FF214" w:rsidRPr="00D10954" w:rsidRDefault="262FF214" w:rsidP="6944AD4D">
            <w:pPr>
              <w:spacing w:after="0"/>
              <w:jc w:val="center"/>
              <w:rPr>
                <w:rFonts w:eastAsia="Arial" w:cs="Arial"/>
              </w:rPr>
            </w:pPr>
            <w:r w:rsidRPr="00D10954">
              <w:rPr>
                <w:rFonts w:eastAsia="Arial" w:cs="Arial"/>
              </w:rPr>
              <w:t>91.6</w:t>
            </w:r>
            <w:r w:rsidR="6944AD4D" w:rsidRPr="00D10954">
              <w:rPr>
                <w:rFonts w:eastAsia="Arial" w:cs="Arial"/>
              </w:rPr>
              <w:t>%</w:t>
            </w:r>
          </w:p>
        </w:tc>
        <w:tc>
          <w:tcPr>
            <w:tcW w:w="1890" w:type="dxa"/>
            <w:tcBorders>
              <w:right w:val="single" w:sz="6" w:space="0" w:color="auto"/>
            </w:tcBorders>
            <w:tcMar>
              <w:left w:w="105" w:type="dxa"/>
              <w:right w:w="105" w:type="dxa"/>
            </w:tcMar>
            <w:vAlign w:val="center"/>
          </w:tcPr>
          <w:p w14:paraId="11C9C864" w14:textId="5C19997B" w:rsidR="666E542F" w:rsidRPr="00D10954" w:rsidRDefault="666E542F" w:rsidP="6944AD4D">
            <w:pPr>
              <w:spacing w:after="0"/>
              <w:jc w:val="center"/>
              <w:rPr>
                <w:rFonts w:eastAsia="Arial" w:cs="Arial"/>
              </w:rPr>
            </w:pPr>
            <w:r w:rsidRPr="00D10954">
              <w:rPr>
                <w:rFonts w:eastAsia="Arial" w:cs="Arial"/>
              </w:rPr>
              <w:t>91.8</w:t>
            </w:r>
            <w:r w:rsidR="6944AD4D" w:rsidRPr="00D10954">
              <w:rPr>
                <w:rFonts w:eastAsia="Arial" w:cs="Arial"/>
              </w:rPr>
              <w:t>%</w:t>
            </w:r>
          </w:p>
        </w:tc>
      </w:tr>
      <w:tr w:rsidR="6944AD4D" w:rsidRPr="00D10954" w14:paraId="40D06B42" w14:textId="77777777" w:rsidTr="00F345FB">
        <w:trPr>
          <w:cantSplit/>
          <w:trHeight w:val="315"/>
        </w:trPr>
        <w:tc>
          <w:tcPr>
            <w:tcW w:w="1500" w:type="dxa"/>
            <w:tcBorders>
              <w:left w:val="single" w:sz="6" w:space="0" w:color="auto"/>
            </w:tcBorders>
            <w:tcMar>
              <w:left w:w="105" w:type="dxa"/>
              <w:right w:w="105" w:type="dxa"/>
            </w:tcMar>
            <w:vAlign w:val="center"/>
          </w:tcPr>
          <w:p w14:paraId="50481B83" w14:textId="49789E88" w:rsidR="6944AD4D" w:rsidRPr="00D10954" w:rsidRDefault="6944AD4D" w:rsidP="6944AD4D">
            <w:pPr>
              <w:spacing w:after="0"/>
              <w:ind w:left="60" w:right="60"/>
              <w:jc w:val="center"/>
              <w:rPr>
                <w:rFonts w:eastAsia="Arial" w:cs="Arial"/>
              </w:rPr>
            </w:pPr>
            <w:r w:rsidRPr="00D10954">
              <w:rPr>
                <w:rFonts w:eastAsia="Arial" w:cs="Arial"/>
              </w:rPr>
              <w:t>45</w:t>
            </w:r>
          </w:p>
        </w:tc>
        <w:tc>
          <w:tcPr>
            <w:tcW w:w="1980" w:type="dxa"/>
            <w:tcMar>
              <w:left w:w="105" w:type="dxa"/>
              <w:right w:w="105" w:type="dxa"/>
            </w:tcMar>
            <w:vAlign w:val="center"/>
          </w:tcPr>
          <w:p w14:paraId="71A9E298" w14:textId="7BA590FC" w:rsidR="0ECE00DF" w:rsidRPr="00D10954" w:rsidRDefault="0ECE00DF" w:rsidP="6944AD4D">
            <w:pPr>
              <w:spacing w:after="0"/>
              <w:ind w:right="60"/>
              <w:jc w:val="center"/>
              <w:rPr>
                <w:rFonts w:eastAsia="Arial" w:cs="Arial"/>
              </w:rPr>
            </w:pPr>
            <w:r w:rsidRPr="00D10954">
              <w:rPr>
                <w:rFonts w:eastAsia="Arial" w:cs="Arial"/>
              </w:rPr>
              <w:t>90.5</w:t>
            </w:r>
            <w:r w:rsidR="6944AD4D" w:rsidRPr="00D10954">
              <w:rPr>
                <w:rFonts w:eastAsia="Arial" w:cs="Arial"/>
              </w:rPr>
              <w:t>%</w:t>
            </w:r>
          </w:p>
        </w:tc>
        <w:tc>
          <w:tcPr>
            <w:tcW w:w="1980" w:type="dxa"/>
            <w:tcMar>
              <w:left w:w="105" w:type="dxa"/>
              <w:right w:w="105" w:type="dxa"/>
            </w:tcMar>
            <w:vAlign w:val="center"/>
          </w:tcPr>
          <w:p w14:paraId="29F07396" w14:textId="59DD924D" w:rsidR="26549469" w:rsidRPr="00D10954" w:rsidRDefault="26549469" w:rsidP="6944AD4D">
            <w:pPr>
              <w:spacing w:after="0"/>
              <w:ind w:left="60" w:right="60"/>
              <w:jc w:val="center"/>
              <w:rPr>
                <w:rFonts w:eastAsia="Arial" w:cs="Arial"/>
              </w:rPr>
            </w:pPr>
            <w:r w:rsidRPr="00D10954">
              <w:rPr>
                <w:rFonts w:eastAsia="Arial" w:cs="Arial"/>
              </w:rPr>
              <w:t>90.4</w:t>
            </w:r>
            <w:r w:rsidR="6944AD4D" w:rsidRPr="00D10954">
              <w:rPr>
                <w:rFonts w:eastAsia="Arial" w:cs="Arial"/>
              </w:rPr>
              <w:t>%</w:t>
            </w:r>
          </w:p>
        </w:tc>
        <w:tc>
          <w:tcPr>
            <w:tcW w:w="1950" w:type="dxa"/>
            <w:tcMar>
              <w:left w:w="105" w:type="dxa"/>
              <w:right w:w="105" w:type="dxa"/>
            </w:tcMar>
            <w:vAlign w:val="center"/>
          </w:tcPr>
          <w:p w14:paraId="15F7EA45" w14:textId="0902863A" w:rsidR="03EC03F7" w:rsidRPr="00D10954" w:rsidRDefault="03EC03F7" w:rsidP="6944AD4D">
            <w:pPr>
              <w:spacing w:after="0"/>
              <w:jc w:val="center"/>
              <w:rPr>
                <w:rFonts w:eastAsia="Arial" w:cs="Arial"/>
              </w:rPr>
            </w:pPr>
            <w:r w:rsidRPr="00D10954">
              <w:rPr>
                <w:rFonts w:eastAsia="Arial" w:cs="Arial"/>
              </w:rPr>
              <w:t>90.8%</w:t>
            </w:r>
          </w:p>
        </w:tc>
        <w:tc>
          <w:tcPr>
            <w:tcW w:w="1890" w:type="dxa"/>
            <w:tcBorders>
              <w:right w:val="single" w:sz="6" w:space="0" w:color="auto"/>
            </w:tcBorders>
            <w:tcMar>
              <w:left w:w="105" w:type="dxa"/>
              <w:right w:w="105" w:type="dxa"/>
            </w:tcMar>
            <w:vAlign w:val="center"/>
          </w:tcPr>
          <w:p w14:paraId="3F42D7AD" w14:textId="4824ADDB" w:rsidR="6DC6941E" w:rsidRPr="00D10954" w:rsidRDefault="6DC6941E" w:rsidP="6944AD4D">
            <w:pPr>
              <w:spacing w:after="0"/>
              <w:jc w:val="center"/>
              <w:rPr>
                <w:rFonts w:eastAsia="Arial" w:cs="Arial"/>
              </w:rPr>
            </w:pPr>
            <w:r w:rsidRPr="00D10954">
              <w:rPr>
                <w:rFonts w:eastAsia="Arial" w:cs="Arial"/>
              </w:rPr>
              <w:t>90.6</w:t>
            </w:r>
            <w:r w:rsidR="6944AD4D" w:rsidRPr="00D10954">
              <w:rPr>
                <w:rFonts w:eastAsia="Arial" w:cs="Arial"/>
              </w:rPr>
              <w:t>%</w:t>
            </w:r>
          </w:p>
        </w:tc>
      </w:tr>
      <w:tr w:rsidR="6944AD4D" w:rsidRPr="00D10954" w14:paraId="4388DF64" w14:textId="77777777" w:rsidTr="00F345FB">
        <w:trPr>
          <w:cantSplit/>
          <w:trHeight w:val="315"/>
        </w:trPr>
        <w:tc>
          <w:tcPr>
            <w:tcW w:w="1500" w:type="dxa"/>
            <w:tcBorders>
              <w:left w:val="single" w:sz="6" w:space="0" w:color="auto"/>
            </w:tcBorders>
            <w:tcMar>
              <w:left w:w="105" w:type="dxa"/>
              <w:right w:w="105" w:type="dxa"/>
            </w:tcMar>
            <w:vAlign w:val="center"/>
          </w:tcPr>
          <w:p w14:paraId="4881AAFA" w14:textId="424E3D9D" w:rsidR="6944AD4D" w:rsidRPr="00D10954" w:rsidRDefault="6944AD4D" w:rsidP="6944AD4D">
            <w:pPr>
              <w:spacing w:after="0"/>
              <w:ind w:left="60" w:right="60"/>
              <w:jc w:val="center"/>
              <w:rPr>
                <w:rFonts w:eastAsia="Arial" w:cs="Arial"/>
              </w:rPr>
            </w:pPr>
            <w:r w:rsidRPr="00D10954">
              <w:rPr>
                <w:rFonts w:eastAsia="Arial" w:cs="Arial"/>
              </w:rPr>
              <w:t>40</w:t>
            </w:r>
          </w:p>
        </w:tc>
        <w:tc>
          <w:tcPr>
            <w:tcW w:w="1980" w:type="dxa"/>
            <w:tcMar>
              <w:left w:w="105" w:type="dxa"/>
              <w:right w:w="105" w:type="dxa"/>
            </w:tcMar>
            <w:vAlign w:val="center"/>
          </w:tcPr>
          <w:p w14:paraId="6810BBB7" w14:textId="295E8956" w:rsidR="1C244B93" w:rsidRPr="00D10954" w:rsidRDefault="1C244B93" w:rsidP="6944AD4D">
            <w:pPr>
              <w:spacing w:after="0"/>
              <w:ind w:right="60"/>
              <w:jc w:val="center"/>
              <w:rPr>
                <w:rFonts w:eastAsia="Arial" w:cs="Arial"/>
              </w:rPr>
            </w:pPr>
            <w:r w:rsidRPr="00D10954">
              <w:rPr>
                <w:rFonts w:eastAsia="Arial" w:cs="Arial"/>
              </w:rPr>
              <w:t>89.5</w:t>
            </w:r>
            <w:r w:rsidR="6944AD4D" w:rsidRPr="00D10954">
              <w:rPr>
                <w:rFonts w:eastAsia="Arial" w:cs="Arial"/>
              </w:rPr>
              <w:t>%</w:t>
            </w:r>
          </w:p>
        </w:tc>
        <w:tc>
          <w:tcPr>
            <w:tcW w:w="1980" w:type="dxa"/>
            <w:tcMar>
              <w:left w:w="105" w:type="dxa"/>
              <w:right w:w="105" w:type="dxa"/>
            </w:tcMar>
            <w:vAlign w:val="center"/>
          </w:tcPr>
          <w:p w14:paraId="37D13B09" w14:textId="0807E60A" w:rsidR="3AD1E471" w:rsidRPr="00D10954" w:rsidRDefault="3AD1E471" w:rsidP="6944AD4D">
            <w:pPr>
              <w:spacing w:after="0"/>
              <w:ind w:left="60" w:right="60"/>
              <w:jc w:val="center"/>
              <w:rPr>
                <w:rFonts w:eastAsia="Arial" w:cs="Arial"/>
              </w:rPr>
            </w:pPr>
            <w:r w:rsidRPr="00D10954">
              <w:rPr>
                <w:rFonts w:eastAsia="Arial" w:cs="Arial"/>
              </w:rPr>
              <w:t>8</w:t>
            </w:r>
            <w:r w:rsidR="3BAF725B" w:rsidRPr="00D10954">
              <w:rPr>
                <w:rFonts w:eastAsia="Arial" w:cs="Arial"/>
              </w:rPr>
              <w:t>9.7</w:t>
            </w:r>
            <w:r w:rsidR="6944AD4D" w:rsidRPr="00D10954">
              <w:rPr>
                <w:rFonts w:eastAsia="Arial" w:cs="Arial"/>
              </w:rPr>
              <w:t>%</w:t>
            </w:r>
          </w:p>
        </w:tc>
        <w:tc>
          <w:tcPr>
            <w:tcW w:w="1950" w:type="dxa"/>
            <w:tcMar>
              <w:left w:w="105" w:type="dxa"/>
              <w:right w:w="105" w:type="dxa"/>
            </w:tcMar>
            <w:vAlign w:val="center"/>
          </w:tcPr>
          <w:p w14:paraId="30761713" w14:textId="05C5FAEC" w:rsidR="1FF8D4CF" w:rsidRPr="00D10954" w:rsidRDefault="1FF8D4CF" w:rsidP="6944AD4D">
            <w:pPr>
              <w:spacing w:after="0"/>
              <w:jc w:val="center"/>
              <w:rPr>
                <w:rFonts w:eastAsia="Arial" w:cs="Arial"/>
              </w:rPr>
            </w:pPr>
            <w:r w:rsidRPr="00D10954">
              <w:rPr>
                <w:rFonts w:eastAsia="Arial" w:cs="Arial"/>
              </w:rPr>
              <w:t>89.9%</w:t>
            </w:r>
          </w:p>
        </w:tc>
        <w:tc>
          <w:tcPr>
            <w:tcW w:w="1890" w:type="dxa"/>
            <w:tcBorders>
              <w:right w:val="single" w:sz="6" w:space="0" w:color="auto"/>
            </w:tcBorders>
            <w:tcMar>
              <w:left w:w="105" w:type="dxa"/>
              <w:right w:w="105" w:type="dxa"/>
            </w:tcMar>
            <w:vAlign w:val="center"/>
          </w:tcPr>
          <w:p w14:paraId="310EAE30" w14:textId="48631021" w:rsidR="2CFE6571" w:rsidRPr="00D10954" w:rsidRDefault="2CFE6571" w:rsidP="6944AD4D">
            <w:pPr>
              <w:spacing w:after="0"/>
              <w:jc w:val="center"/>
              <w:rPr>
                <w:rFonts w:eastAsia="Arial" w:cs="Arial"/>
              </w:rPr>
            </w:pPr>
            <w:r w:rsidRPr="00D10954">
              <w:rPr>
                <w:rFonts w:eastAsia="Arial" w:cs="Arial"/>
              </w:rPr>
              <w:t>89.4</w:t>
            </w:r>
            <w:r w:rsidR="6944AD4D" w:rsidRPr="00D10954">
              <w:rPr>
                <w:rFonts w:eastAsia="Arial" w:cs="Arial"/>
              </w:rPr>
              <w:t>%</w:t>
            </w:r>
          </w:p>
        </w:tc>
      </w:tr>
      <w:tr w:rsidR="6944AD4D" w:rsidRPr="00D10954" w14:paraId="246E28F7" w14:textId="77777777" w:rsidTr="00F345FB">
        <w:trPr>
          <w:cantSplit/>
          <w:trHeight w:val="315"/>
        </w:trPr>
        <w:tc>
          <w:tcPr>
            <w:tcW w:w="1500" w:type="dxa"/>
            <w:tcBorders>
              <w:left w:val="single" w:sz="6" w:space="0" w:color="auto"/>
            </w:tcBorders>
            <w:tcMar>
              <w:left w:w="105" w:type="dxa"/>
              <w:right w:w="105" w:type="dxa"/>
            </w:tcMar>
            <w:vAlign w:val="center"/>
          </w:tcPr>
          <w:p w14:paraId="6C97D1C3" w14:textId="51CA187B" w:rsidR="6944AD4D" w:rsidRPr="00D10954" w:rsidRDefault="6944AD4D" w:rsidP="6944AD4D">
            <w:pPr>
              <w:spacing w:after="0"/>
              <w:ind w:left="60" w:right="60"/>
              <w:jc w:val="center"/>
              <w:rPr>
                <w:rFonts w:eastAsia="Arial" w:cs="Arial"/>
              </w:rPr>
            </w:pPr>
            <w:r w:rsidRPr="00D10954">
              <w:rPr>
                <w:rFonts w:eastAsia="Arial" w:cs="Arial"/>
              </w:rPr>
              <w:t>35</w:t>
            </w:r>
          </w:p>
        </w:tc>
        <w:tc>
          <w:tcPr>
            <w:tcW w:w="1980" w:type="dxa"/>
            <w:tcMar>
              <w:left w:w="105" w:type="dxa"/>
              <w:right w:w="105" w:type="dxa"/>
            </w:tcMar>
            <w:vAlign w:val="center"/>
          </w:tcPr>
          <w:p w14:paraId="10634AB6" w14:textId="689C9318" w:rsidR="1F27465F" w:rsidRPr="00D10954" w:rsidRDefault="1F27465F" w:rsidP="6944AD4D">
            <w:pPr>
              <w:spacing w:after="0"/>
              <w:ind w:right="60"/>
              <w:jc w:val="center"/>
              <w:rPr>
                <w:rFonts w:eastAsia="Arial" w:cs="Arial"/>
              </w:rPr>
            </w:pPr>
            <w:r w:rsidRPr="00D10954">
              <w:rPr>
                <w:rFonts w:eastAsia="Arial" w:cs="Arial"/>
              </w:rPr>
              <w:t>88.0</w:t>
            </w:r>
            <w:r w:rsidR="6944AD4D" w:rsidRPr="00D10954">
              <w:rPr>
                <w:rFonts w:eastAsia="Arial" w:cs="Arial"/>
              </w:rPr>
              <w:t>%</w:t>
            </w:r>
          </w:p>
        </w:tc>
        <w:tc>
          <w:tcPr>
            <w:tcW w:w="1980" w:type="dxa"/>
            <w:tcMar>
              <w:left w:w="105" w:type="dxa"/>
              <w:right w:w="105" w:type="dxa"/>
            </w:tcMar>
            <w:vAlign w:val="center"/>
          </w:tcPr>
          <w:p w14:paraId="40E5DC15" w14:textId="7F98DF98" w:rsidR="5526E9BC" w:rsidRPr="00D10954" w:rsidRDefault="5526E9BC" w:rsidP="6944AD4D">
            <w:pPr>
              <w:spacing w:after="0"/>
              <w:ind w:left="60" w:right="60"/>
              <w:jc w:val="center"/>
              <w:rPr>
                <w:rFonts w:eastAsia="Arial" w:cs="Arial"/>
              </w:rPr>
            </w:pPr>
            <w:r w:rsidRPr="00D10954">
              <w:rPr>
                <w:rFonts w:eastAsia="Arial" w:cs="Arial"/>
              </w:rPr>
              <w:t>8</w:t>
            </w:r>
            <w:r w:rsidR="5F2A6B6B" w:rsidRPr="00D10954">
              <w:rPr>
                <w:rFonts w:eastAsia="Arial" w:cs="Arial"/>
              </w:rPr>
              <w:t>8.5</w:t>
            </w:r>
            <w:r w:rsidR="6944AD4D" w:rsidRPr="00D10954">
              <w:rPr>
                <w:rFonts w:eastAsia="Arial" w:cs="Arial"/>
              </w:rPr>
              <w:t>%</w:t>
            </w:r>
          </w:p>
        </w:tc>
        <w:tc>
          <w:tcPr>
            <w:tcW w:w="1950" w:type="dxa"/>
            <w:tcMar>
              <w:left w:w="105" w:type="dxa"/>
              <w:right w:w="105" w:type="dxa"/>
            </w:tcMar>
            <w:vAlign w:val="center"/>
          </w:tcPr>
          <w:p w14:paraId="219C0CDF" w14:textId="56D7C93E" w:rsidR="01A212CD" w:rsidRPr="00D10954" w:rsidRDefault="01A212CD" w:rsidP="6944AD4D">
            <w:pPr>
              <w:spacing w:after="0"/>
              <w:jc w:val="center"/>
              <w:rPr>
                <w:rFonts w:eastAsia="Arial" w:cs="Arial"/>
              </w:rPr>
            </w:pPr>
            <w:r w:rsidRPr="00D10954">
              <w:rPr>
                <w:rFonts w:eastAsia="Arial" w:cs="Arial"/>
              </w:rPr>
              <w:t>88.7%</w:t>
            </w:r>
          </w:p>
        </w:tc>
        <w:tc>
          <w:tcPr>
            <w:tcW w:w="1890" w:type="dxa"/>
            <w:tcBorders>
              <w:right w:val="single" w:sz="6" w:space="0" w:color="auto"/>
            </w:tcBorders>
            <w:tcMar>
              <w:left w:w="105" w:type="dxa"/>
              <w:right w:w="105" w:type="dxa"/>
            </w:tcMar>
            <w:vAlign w:val="center"/>
          </w:tcPr>
          <w:p w14:paraId="69B51F31" w14:textId="0DED3CDC" w:rsidR="262F5866" w:rsidRPr="00D10954" w:rsidRDefault="262F5866" w:rsidP="6944AD4D">
            <w:pPr>
              <w:spacing w:after="0"/>
              <w:jc w:val="center"/>
              <w:rPr>
                <w:rFonts w:eastAsia="Arial" w:cs="Arial"/>
              </w:rPr>
            </w:pPr>
            <w:r w:rsidRPr="00D10954">
              <w:rPr>
                <w:rFonts w:eastAsia="Arial" w:cs="Arial"/>
              </w:rPr>
              <w:t>88.1</w:t>
            </w:r>
            <w:r w:rsidR="6944AD4D" w:rsidRPr="00D10954">
              <w:rPr>
                <w:rFonts w:eastAsia="Arial" w:cs="Arial"/>
              </w:rPr>
              <w:t>%</w:t>
            </w:r>
          </w:p>
        </w:tc>
      </w:tr>
      <w:tr w:rsidR="6944AD4D" w:rsidRPr="00D10954" w14:paraId="547922D7" w14:textId="77777777" w:rsidTr="00F345FB">
        <w:trPr>
          <w:cantSplit/>
          <w:trHeight w:val="315"/>
        </w:trPr>
        <w:tc>
          <w:tcPr>
            <w:tcW w:w="1500" w:type="dxa"/>
            <w:tcBorders>
              <w:left w:val="single" w:sz="6" w:space="0" w:color="auto"/>
            </w:tcBorders>
            <w:tcMar>
              <w:left w:w="105" w:type="dxa"/>
              <w:right w:w="105" w:type="dxa"/>
            </w:tcMar>
            <w:vAlign w:val="center"/>
          </w:tcPr>
          <w:p w14:paraId="3B47132E" w14:textId="0355F89D" w:rsidR="6944AD4D" w:rsidRPr="00D10954" w:rsidRDefault="6944AD4D" w:rsidP="6944AD4D">
            <w:pPr>
              <w:spacing w:after="0"/>
              <w:ind w:left="60" w:right="60"/>
              <w:jc w:val="center"/>
              <w:rPr>
                <w:rFonts w:eastAsia="Arial" w:cs="Arial"/>
              </w:rPr>
            </w:pPr>
            <w:r w:rsidRPr="00D10954">
              <w:rPr>
                <w:rFonts w:eastAsia="Arial" w:cs="Arial"/>
              </w:rPr>
              <w:t>30</w:t>
            </w:r>
          </w:p>
        </w:tc>
        <w:tc>
          <w:tcPr>
            <w:tcW w:w="1980" w:type="dxa"/>
            <w:tcMar>
              <w:left w:w="105" w:type="dxa"/>
              <w:right w:w="105" w:type="dxa"/>
            </w:tcMar>
            <w:vAlign w:val="center"/>
          </w:tcPr>
          <w:p w14:paraId="3A081B52" w14:textId="520FF055" w:rsidR="133E3551" w:rsidRPr="00D10954" w:rsidRDefault="133E3551" w:rsidP="6944AD4D">
            <w:pPr>
              <w:spacing w:after="0"/>
              <w:ind w:right="60"/>
              <w:jc w:val="center"/>
              <w:rPr>
                <w:rFonts w:eastAsia="Arial" w:cs="Arial"/>
              </w:rPr>
            </w:pPr>
            <w:r w:rsidRPr="00D10954">
              <w:rPr>
                <w:rFonts w:eastAsia="Arial" w:cs="Arial"/>
              </w:rPr>
              <w:t>86.1</w:t>
            </w:r>
            <w:r w:rsidR="6944AD4D" w:rsidRPr="00D10954">
              <w:rPr>
                <w:rFonts w:eastAsia="Arial" w:cs="Arial"/>
              </w:rPr>
              <w:t>%</w:t>
            </w:r>
          </w:p>
        </w:tc>
        <w:tc>
          <w:tcPr>
            <w:tcW w:w="1980" w:type="dxa"/>
            <w:tcMar>
              <w:left w:w="105" w:type="dxa"/>
              <w:right w:w="105" w:type="dxa"/>
            </w:tcMar>
            <w:vAlign w:val="center"/>
          </w:tcPr>
          <w:p w14:paraId="66C85483" w14:textId="1211C675" w:rsidR="2DA0A3B6" w:rsidRPr="00D10954" w:rsidRDefault="2DA0A3B6" w:rsidP="6944AD4D">
            <w:pPr>
              <w:spacing w:after="0"/>
              <w:ind w:left="60" w:right="60"/>
              <w:jc w:val="center"/>
              <w:rPr>
                <w:rFonts w:eastAsia="Arial" w:cs="Arial"/>
              </w:rPr>
            </w:pPr>
            <w:r w:rsidRPr="00D10954">
              <w:rPr>
                <w:rFonts w:eastAsia="Arial" w:cs="Arial"/>
              </w:rPr>
              <w:t>86.5</w:t>
            </w:r>
            <w:r w:rsidR="6944AD4D" w:rsidRPr="00D10954">
              <w:rPr>
                <w:rFonts w:eastAsia="Arial" w:cs="Arial"/>
              </w:rPr>
              <w:t>%</w:t>
            </w:r>
          </w:p>
        </w:tc>
        <w:tc>
          <w:tcPr>
            <w:tcW w:w="1950" w:type="dxa"/>
            <w:tcMar>
              <w:left w:w="105" w:type="dxa"/>
              <w:right w:w="105" w:type="dxa"/>
            </w:tcMar>
            <w:vAlign w:val="center"/>
          </w:tcPr>
          <w:p w14:paraId="67335A0B" w14:textId="379E717B" w:rsidR="07D4D03F" w:rsidRPr="00D10954" w:rsidRDefault="07D4D03F" w:rsidP="6944AD4D">
            <w:pPr>
              <w:spacing w:after="0"/>
              <w:jc w:val="center"/>
              <w:rPr>
                <w:rFonts w:eastAsia="Arial" w:cs="Arial"/>
              </w:rPr>
            </w:pPr>
            <w:r w:rsidRPr="00D10954">
              <w:rPr>
                <w:rFonts w:eastAsia="Arial" w:cs="Arial"/>
              </w:rPr>
              <w:t>87.3%</w:t>
            </w:r>
          </w:p>
        </w:tc>
        <w:tc>
          <w:tcPr>
            <w:tcW w:w="1890" w:type="dxa"/>
            <w:tcBorders>
              <w:right w:val="single" w:sz="6" w:space="0" w:color="auto"/>
            </w:tcBorders>
            <w:tcMar>
              <w:left w:w="105" w:type="dxa"/>
              <w:right w:w="105" w:type="dxa"/>
            </w:tcMar>
            <w:vAlign w:val="center"/>
          </w:tcPr>
          <w:p w14:paraId="64CDC6CC" w14:textId="795C9DC3" w:rsidR="24DF3B7F" w:rsidRPr="00D10954" w:rsidRDefault="24DF3B7F" w:rsidP="6944AD4D">
            <w:pPr>
              <w:spacing w:after="0"/>
              <w:jc w:val="center"/>
              <w:rPr>
                <w:rFonts w:eastAsia="Arial" w:cs="Arial"/>
              </w:rPr>
            </w:pPr>
            <w:r w:rsidRPr="00D10954">
              <w:rPr>
                <w:rFonts w:eastAsia="Arial" w:cs="Arial"/>
              </w:rPr>
              <w:t>86.2</w:t>
            </w:r>
            <w:r w:rsidR="6944AD4D" w:rsidRPr="00D10954">
              <w:rPr>
                <w:rFonts w:eastAsia="Arial" w:cs="Arial"/>
              </w:rPr>
              <w:t>%</w:t>
            </w:r>
          </w:p>
        </w:tc>
      </w:tr>
      <w:tr w:rsidR="6944AD4D" w:rsidRPr="00D10954" w14:paraId="75F3928C" w14:textId="77777777" w:rsidTr="00F345FB">
        <w:trPr>
          <w:cantSplit/>
          <w:trHeight w:val="315"/>
        </w:trPr>
        <w:tc>
          <w:tcPr>
            <w:tcW w:w="1500" w:type="dxa"/>
            <w:tcBorders>
              <w:left w:val="single" w:sz="6" w:space="0" w:color="auto"/>
            </w:tcBorders>
            <w:tcMar>
              <w:left w:w="105" w:type="dxa"/>
              <w:right w:w="105" w:type="dxa"/>
            </w:tcMar>
            <w:vAlign w:val="center"/>
          </w:tcPr>
          <w:p w14:paraId="5F77C68F" w14:textId="45643914" w:rsidR="6944AD4D" w:rsidRPr="00D10954" w:rsidRDefault="6944AD4D" w:rsidP="6944AD4D">
            <w:pPr>
              <w:spacing w:after="0"/>
              <w:ind w:left="60" w:right="60"/>
              <w:jc w:val="center"/>
              <w:rPr>
                <w:rFonts w:eastAsia="Arial" w:cs="Arial"/>
              </w:rPr>
            </w:pPr>
            <w:r w:rsidRPr="00D10954">
              <w:rPr>
                <w:rFonts w:eastAsia="Arial" w:cs="Arial"/>
              </w:rPr>
              <w:lastRenderedPageBreak/>
              <w:t>25</w:t>
            </w:r>
          </w:p>
        </w:tc>
        <w:tc>
          <w:tcPr>
            <w:tcW w:w="1980" w:type="dxa"/>
            <w:tcMar>
              <w:left w:w="105" w:type="dxa"/>
              <w:right w:w="105" w:type="dxa"/>
            </w:tcMar>
            <w:vAlign w:val="center"/>
          </w:tcPr>
          <w:p w14:paraId="7CE82757" w14:textId="429515B6" w:rsidR="4F7FBA50" w:rsidRPr="00D10954" w:rsidRDefault="4F7FBA50" w:rsidP="6944AD4D">
            <w:pPr>
              <w:spacing w:after="0"/>
              <w:ind w:right="60"/>
              <w:jc w:val="center"/>
              <w:rPr>
                <w:rFonts w:eastAsia="Arial" w:cs="Arial"/>
              </w:rPr>
            </w:pPr>
            <w:r w:rsidRPr="00D10954">
              <w:rPr>
                <w:rFonts w:eastAsia="Arial" w:cs="Arial"/>
              </w:rPr>
              <w:t>83.9</w:t>
            </w:r>
            <w:r w:rsidR="6944AD4D" w:rsidRPr="00D10954">
              <w:rPr>
                <w:rFonts w:eastAsia="Arial" w:cs="Arial"/>
              </w:rPr>
              <w:t>%</w:t>
            </w:r>
          </w:p>
        </w:tc>
        <w:tc>
          <w:tcPr>
            <w:tcW w:w="1980" w:type="dxa"/>
            <w:tcMar>
              <w:left w:w="105" w:type="dxa"/>
              <w:right w:w="105" w:type="dxa"/>
            </w:tcMar>
            <w:vAlign w:val="center"/>
          </w:tcPr>
          <w:p w14:paraId="06813162" w14:textId="73547628" w:rsidR="44262906" w:rsidRPr="00D10954" w:rsidRDefault="44262906" w:rsidP="6944AD4D">
            <w:pPr>
              <w:spacing w:after="0"/>
              <w:ind w:left="60" w:right="60"/>
              <w:jc w:val="center"/>
              <w:rPr>
                <w:rFonts w:eastAsia="Arial" w:cs="Arial"/>
              </w:rPr>
            </w:pPr>
            <w:r w:rsidRPr="00D10954">
              <w:rPr>
                <w:rFonts w:eastAsia="Arial" w:cs="Arial"/>
              </w:rPr>
              <w:t>84.6</w:t>
            </w:r>
            <w:r w:rsidR="6944AD4D" w:rsidRPr="00D10954">
              <w:rPr>
                <w:rFonts w:eastAsia="Arial" w:cs="Arial"/>
              </w:rPr>
              <w:t>%</w:t>
            </w:r>
          </w:p>
        </w:tc>
        <w:tc>
          <w:tcPr>
            <w:tcW w:w="1950" w:type="dxa"/>
            <w:tcMar>
              <w:left w:w="105" w:type="dxa"/>
              <w:right w:w="105" w:type="dxa"/>
            </w:tcMar>
            <w:vAlign w:val="center"/>
          </w:tcPr>
          <w:p w14:paraId="62F4E75C" w14:textId="144BA46D" w:rsidR="7BCEDF3E" w:rsidRPr="00D10954" w:rsidRDefault="7BCEDF3E" w:rsidP="6944AD4D">
            <w:pPr>
              <w:spacing w:after="0"/>
              <w:jc w:val="center"/>
              <w:rPr>
                <w:rFonts w:eastAsia="Arial" w:cs="Arial"/>
              </w:rPr>
            </w:pPr>
            <w:r w:rsidRPr="00D10954">
              <w:rPr>
                <w:rFonts w:eastAsia="Arial" w:cs="Arial"/>
              </w:rPr>
              <w:t>85.7%</w:t>
            </w:r>
          </w:p>
        </w:tc>
        <w:tc>
          <w:tcPr>
            <w:tcW w:w="1890" w:type="dxa"/>
            <w:tcBorders>
              <w:right w:val="single" w:sz="6" w:space="0" w:color="auto"/>
            </w:tcBorders>
            <w:tcMar>
              <w:left w:w="105" w:type="dxa"/>
              <w:right w:w="105" w:type="dxa"/>
            </w:tcMar>
            <w:vAlign w:val="center"/>
          </w:tcPr>
          <w:p w14:paraId="42D62B52" w14:textId="237E00F0" w:rsidR="42E40609" w:rsidRPr="00D10954" w:rsidRDefault="42E40609" w:rsidP="6944AD4D">
            <w:pPr>
              <w:spacing w:after="0"/>
              <w:jc w:val="center"/>
              <w:rPr>
                <w:rFonts w:eastAsia="Arial" w:cs="Arial"/>
              </w:rPr>
            </w:pPr>
            <w:r w:rsidRPr="00D10954">
              <w:rPr>
                <w:rFonts w:eastAsia="Arial" w:cs="Arial"/>
              </w:rPr>
              <w:t>84.1</w:t>
            </w:r>
            <w:r w:rsidR="6944AD4D" w:rsidRPr="00D10954">
              <w:rPr>
                <w:rFonts w:eastAsia="Arial" w:cs="Arial"/>
              </w:rPr>
              <w:t>%</w:t>
            </w:r>
          </w:p>
        </w:tc>
      </w:tr>
      <w:tr w:rsidR="6944AD4D" w:rsidRPr="00D10954" w14:paraId="64C535BD" w14:textId="77777777" w:rsidTr="00F345FB">
        <w:trPr>
          <w:cantSplit/>
          <w:trHeight w:val="315"/>
        </w:trPr>
        <w:tc>
          <w:tcPr>
            <w:tcW w:w="1500" w:type="dxa"/>
            <w:tcBorders>
              <w:left w:val="single" w:sz="6" w:space="0" w:color="auto"/>
            </w:tcBorders>
            <w:tcMar>
              <w:left w:w="105" w:type="dxa"/>
              <w:right w:w="105" w:type="dxa"/>
            </w:tcMar>
            <w:vAlign w:val="center"/>
          </w:tcPr>
          <w:p w14:paraId="40855EC6" w14:textId="46028012" w:rsidR="6944AD4D" w:rsidRPr="00D10954" w:rsidRDefault="6944AD4D" w:rsidP="6944AD4D">
            <w:pPr>
              <w:spacing w:after="0"/>
              <w:ind w:left="60" w:right="60"/>
              <w:jc w:val="center"/>
              <w:rPr>
                <w:rFonts w:eastAsia="Arial" w:cs="Arial"/>
              </w:rPr>
            </w:pPr>
            <w:r w:rsidRPr="00D10954">
              <w:rPr>
                <w:rFonts w:eastAsia="Arial" w:cs="Arial"/>
              </w:rPr>
              <w:t>20</w:t>
            </w:r>
          </w:p>
        </w:tc>
        <w:tc>
          <w:tcPr>
            <w:tcW w:w="1980" w:type="dxa"/>
            <w:tcMar>
              <w:left w:w="105" w:type="dxa"/>
              <w:right w:w="105" w:type="dxa"/>
            </w:tcMar>
            <w:vAlign w:val="center"/>
          </w:tcPr>
          <w:p w14:paraId="50E4CFAA" w14:textId="6726E874" w:rsidR="6B68EC0B" w:rsidRPr="00D10954" w:rsidRDefault="6B68EC0B" w:rsidP="6944AD4D">
            <w:pPr>
              <w:spacing w:after="0"/>
              <w:ind w:right="60"/>
              <w:jc w:val="center"/>
              <w:rPr>
                <w:rFonts w:eastAsia="Arial" w:cs="Arial"/>
              </w:rPr>
            </w:pPr>
            <w:r w:rsidRPr="00D10954">
              <w:rPr>
                <w:rFonts w:eastAsia="Arial" w:cs="Arial"/>
              </w:rPr>
              <w:t>81.3</w:t>
            </w:r>
            <w:r w:rsidR="6944AD4D" w:rsidRPr="00D10954">
              <w:rPr>
                <w:rFonts w:eastAsia="Arial" w:cs="Arial"/>
              </w:rPr>
              <w:t>%</w:t>
            </w:r>
          </w:p>
        </w:tc>
        <w:tc>
          <w:tcPr>
            <w:tcW w:w="1980" w:type="dxa"/>
            <w:tcMar>
              <w:left w:w="105" w:type="dxa"/>
              <w:right w:w="105" w:type="dxa"/>
            </w:tcMar>
            <w:vAlign w:val="center"/>
          </w:tcPr>
          <w:p w14:paraId="35C68B88" w14:textId="60527C9B" w:rsidR="1E7789CE" w:rsidRPr="00D10954" w:rsidRDefault="1E7789CE" w:rsidP="6944AD4D">
            <w:pPr>
              <w:spacing w:after="0"/>
              <w:ind w:left="60" w:right="60"/>
              <w:jc w:val="center"/>
              <w:rPr>
                <w:rFonts w:eastAsia="Arial" w:cs="Arial"/>
              </w:rPr>
            </w:pPr>
            <w:r w:rsidRPr="00D10954">
              <w:rPr>
                <w:rFonts w:eastAsia="Arial" w:cs="Arial"/>
              </w:rPr>
              <w:t>82.1</w:t>
            </w:r>
            <w:r w:rsidR="6944AD4D" w:rsidRPr="00D10954">
              <w:rPr>
                <w:rFonts w:eastAsia="Arial" w:cs="Arial"/>
              </w:rPr>
              <w:t>%</w:t>
            </w:r>
          </w:p>
        </w:tc>
        <w:tc>
          <w:tcPr>
            <w:tcW w:w="1950" w:type="dxa"/>
            <w:tcMar>
              <w:left w:w="105" w:type="dxa"/>
              <w:right w:w="105" w:type="dxa"/>
            </w:tcMar>
            <w:vAlign w:val="center"/>
          </w:tcPr>
          <w:p w14:paraId="403A3D10" w14:textId="41768659" w:rsidR="55832E23" w:rsidRPr="00D10954" w:rsidRDefault="55832E23" w:rsidP="6944AD4D">
            <w:pPr>
              <w:spacing w:after="0"/>
              <w:jc w:val="center"/>
              <w:rPr>
                <w:rFonts w:eastAsia="Arial" w:cs="Arial"/>
              </w:rPr>
            </w:pPr>
            <w:r w:rsidRPr="00D10954">
              <w:rPr>
                <w:rFonts w:eastAsia="Arial" w:cs="Arial"/>
              </w:rPr>
              <w:t>83.7%</w:t>
            </w:r>
          </w:p>
        </w:tc>
        <w:tc>
          <w:tcPr>
            <w:tcW w:w="1890" w:type="dxa"/>
            <w:tcBorders>
              <w:right w:val="single" w:sz="6" w:space="0" w:color="auto"/>
            </w:tcBorders>
            <w:tcMar>
              <w:left w:w="105" w:type="dxa"/>
              <w:right w:w="105" w:type="dxa"/>
            </w:tcMar>
            <w:vAlign w:val="center"/>
          </w:tcPr>
          <w:p w14:paraId="19486A7F" w14:textId="6B975B52" w:rsidR="01A33AAF" w:rsidRPr="00D10954" w:rsidRDefault="01A33AAF" w:rsidP="6944AD4D">
            <w:pPr>
              <w:spacing w:after="0"/>
              <w:jc w:val="center"/>
              <w:rPr>
                <w:rFonts w:eastAsia="Arial" w:cs="Arial"/>
              </w:rPr>
            </w:pPr>
            <w:r w:rsidRPr="00D10954">
              <w:rPr>
                <w:rFonts w:eastAsia="Arial" w:cs="Arial"/>
              </w:rPr>
              <w:t>80.0</w:t>
            </w:r>
            <w:r w:rsidR="6944AD4D" w:rsidRPr="00D10954">
              <w:rPr>
                <w:rFonts w:eastAsia="Arial" w:cs="Arial"/>
              </w:rPr>
              <w:t>%</w:t>
            </w:r>
          </w:p>
        </w:tc>
      </w:tr>
      <w:tr w:rsidR="6944AD4D" w:rsidRPr="00D10954" w14:paraId="51595F13" w14:textId="77777777" w:rsidTr="00F345FB">
        <w:trPr>
          <w:cantSplit/>
          <w:trHeight w:val="315"/>
        </w:trPr>
        <w:tc>
          <w:tcPr>
            <w:tcW w:w="1500" w:type="dxa"/>
            <w:tcBorders>
              <w:left w:val="single" w:sz="6" w:space="0" w:color="auto"/>
            </w:tcBorders>
            <w:tcMar>
              <w:left w:w="105" w:type="dxa"/>
              <w:right w:w="105" w:type="dxa"/>
            </w:tcMar>
            <w:vAlign w:val="center"/>
          </w:tcPr>
          <w:p w14:paraId="1A977CEE" w14:textId="3FD53D40" w:rsidR="6944AD4D" w:rsidRPr="00D10954" w:rsidRDefault="6944AD4D" w:rsidP="6944AD4D">
            <w:pPr>
              <w:spacing w:after="0"/>
              <w:ind w:left="60" w:right="60"/>
              <w:jc w:val="center"/>
              <w:rPr>
                <w:rFonts w:eastAsia="Arial" w:cs="Arial"/>
              </w:rPr>
            </w:pPr>
            <w:r w:rsidRPr="00D10954">
              <w:rPr>
                <w:rFonts w:eastAsia="Arial" w:cs="Arial"/>
              </w:rPr>
              <w:t>15</w:t>
            </w:r>
          </w:p>
        </w:tc>
        <w:tc>
          <w:tcPr>
            <w:tcW w:w="1980" w:type="dxa"/>
            <w:tcMar>
              <w:left w:w="105" w:type="dxa"/>
              <w:right w:w="105" w:type="dxa"/>
            </w:tcMar>
            <w:vAlign w:val="center"/>
          </w:tcPr>
          <w:p w14:paraId="650EC0D8" w14:textId="18775489" w:rsidR="037E27A2" w:rsidRPr="00D10954" w:rsidRDefault="037E27A2" w:rsidP="6944AD4D">
            <w:pPr>
              <w:spacing w:after="0"/>
              <w:ind w:right="60"/>
              <w:jc w:val="center"/>
              <w:rPr>
                <w:rFonts w:eastAsia="Arial" w:cs="Arial"/>
              </w:rPr>
            </w:pPr>
            <w:r w:rsidRPr="00D10954">
              <w:rPr>
                <w:rFonts w:eastAsia="Arial" w:cs="Arial"/>
              </w:rPr>
              <w:t>77.2</w:t>
            </w:r>
            <w:r w:rsidR="6944AD4D" w:rsidRPr="00D10954">
              <w:rPr>
                <w:rFonts w:eastAsia="Arial" w:cs="Arial"/>
              </w:rPr>
              <w:t>%</w:t>
            </w:r>
          </w:p>
        </w:tc>
        <w:tc>
          <w:tcPr>
            <w:tcW w:w="1980" w:type="dxa"/>
            <w:tcMar>
              <w:left w:w="105" w:type="dxa"/>
              <w:right w:w="105" w:type="dxa"/>
            </w:tcMar>
            <w:vAlign w:val="center"/>
          </w:tcPr>
          <w:p w14:paraId="1CA00940" w14:textId="51F59F9A" w:rsidR="2DD33A2D" w:rsidRPr="00D10954" w:rsidRDefault="2DD33A2D" w:rsidP="6944AD4D">
            <w:pPr>
              <w:spacing w:after="0"/>
              <w:ind w:left="60" w:right="60"/>
              <w:jc w:val="center"/>
              <w:rPr>
                <w:rFonts w:eastAsia="Arial" w:cs="Arial"/>
              </w:rPr>
            </w:pPr>
            <w:r w:rsidRPr="00D10954">
              <w:rPr>
                <w:rFonts w:eastAsia="Arial" w:cs="Arial"/>
              </w:rPr>
              <w:t>77.1</w:t>
            </w:r>
            <w:r w:rsidR="6944AD4D" w:rsidRPr="00D10954">
              <w:rPr>
                <w:rFonts w:eastAsia="Arial" w:cs="Arial"/>
              </w:rPr>
              <w:t>%</w:t>
            </w:r>
          </w:p>
        </w:tc>
        <w:tc>
          <w:tcPr>
            <w:tcW w:w="1950" w:type="dxa"/>
            <w:tcMar>
              <w:left w:w="105" w:type="dxa"/>
              <w:right w:w="105" w:type="dxa"/>
            </w:tcMar>
            <w:vAlign w:val="center"/>
          </w:tcPr>
          <w:p w14:paraId="284EDBA5" w14:textId="2DA50252" w:rsidR="0B67B40C" w:rsidRPr="00D10954" w:rsidRDefault="0B67B40C" w:rsidP="6944AD4D">
            <w:pPr>
              <w:spacing w:after="0"/>
              <w:jc w:val="center"/>
              <w:rPr>
                <w:rFonts w:eastAsia="Arial" w:cs="Arial"/>
              </w:rPr>
            </w:pPr>
            <w:r w:rsidRPr="00D10954">
              <w:rPr>
                <w:rFonts w:eastAsia="Arial" w:cs="Arial"/>
              </w:rPr>
              <w:t>79.2%</w:t>
            </w:r>
          </w:p>
        </w:tc>
        <w:tc>
          <w:tcPr>
            <w:tcW w:w="1890" w:type="dxa"/>
            <w:tcBorders>
              <w:right w:val="single" w:sz="6" w:space="0" w:color="auto"/>
            </w:tcBorders>
            <w:tcMar>
              <w:left w:w="105" w:type="dxa"/>
              <w:right w:w="105" w:type="dxa"/>
            </w:tcMar>
            <w:vAlign w:val="center"/>
          </w:tcPr>
          <w:p w14:paraId="708C52D7" w14:textId="7F9089F4" w:rsidR="0549CF28" w:rsidRPr="00D10954" w:rsidRDefault="0549CF28" w:rsidP="6944AD4D">
            <w:pPr>
              <w:spacing w:after="0"/>
              <w:jc w:val="center"/>
              <w:rPr>
                <w:rFonts w:eastAsia="Arial" w:cs="Arial"/>
              </w:rPr>
            </w:pPr>
            <w:r w:rsidRPr="00D10954">
              <w:rPr>
                <w:rFonts w:eastAsia="Arial" w:cs="Arial"/>
              </w:rPr>
              <w:t>72.0</w:t>
            </w:r>
            <w:r w:rsidR="6944AD4D" w:rsidRPr="00D10954">
              <w:rPr>
                <w:rFonts w:eastAsia="Arial" w:cs="Arial"/>
              </w:rPr>
              <w:t>%</w:t>
            </w:r>
          </w:p>
        </w:tc>
      </w:tr>
      <w:tr w:rsidR="6944AD4D" w:rsidRPr="00D10954" w14:paraId="7A08A0C4" w14:textId="77777777" w:rsidTr="00F345FB">
        <w:trPr>
          <w:cantSplit/>
          <w:trHeight w:val="315"/>
        </w:trPr>
        <w:tc>
          <w:tcPr>
            <w:tcW w:w="1500" w:type="dxa"/>
            <w:tcBorders>
              <w:left w:val="single" w:sz="6" w:space="0" w:color="auto"/>
            </w:tcBorders>
            <w:tcMar>
              <w:left w:w="105" w:type="dxa"/>
              <w:right w:w="105" w:type="dxa"/>
            </w:tcMar>
            <w:vAlign w:val="center"/>
          </w:tcPr>
          <w:p w14:paraId="58C630CB" w14:textId="64440CFB" w:rsidR="6944AD4D" w:rsidRPr="00D10954" w:rsidRDefault="6944AD4D" w:rsidP="6944AD4D">
            <w:pPr>
              <w:spacing w:after="0"/>
              <w:ind w:left="60" w:right="60"/>
              <w:jc w:val="center"/>
              <w:rPr>
                <w:rFonts w:eastAsia="Arial" w:cs="Arial"/>
              </w:rPr>
            </w:pPr>
            <w:r w:rsidRPr="00D10954">
              <w:rPr>
                <w:rFonts w:eastAsia="Arial" w:cs="Arial"/>
              </w:rPr>
              <w:t>10</w:t>
            </w:r>
          </w:p>
        </w:tc>
        <w:tc>
          <w:tcPr>
            <w:tcW w:w="1980" w:type="dxa"/>
            <w:tcMar>
              <w:left w:w="105" w:type="dxa"/>
              <w:right w:w="105" w:type="dxa"/>
            </w:tcMar>
            <w:vAlign w:val="center"/>
          </w:tcPr>
          <w:p w14:paraId="288EA6CD" w14:textId="53D68053" w:rsidR="1DA60DA0" w:rsidRPr="00D10954" w:rsidRDefault="1DA60DA0" w:rsidP="6944AD4D">
            <w:pPr>
              <w:spacing w:after="0"/>
              <w:ind w:right="60"/>
              <w:jc w:val="center"/>
              <w:rPr>
                <w:rFonts w:eastAsia="Arial" w:cs="Arial"/>
              </w:rPr>
            </w:pPr>
            <w:r w:rsidRPr="00D10954">
              <w:rPr>
                <w:rFonts w:eastAsia="Arial" w:cs="Arial"/>
              </w:rPr>
              <w:t>63.3</w:t>
            </w:r>
            <w:r w:rsidR="6944AD4D" w:rsidRPr="00D10954">
              <w:rPr>
                <w:rFonts w:eastAsia="Arial" w:cs="Arial"/>
              </w:rPr>
              <w:t>%</w:t>
            </w:r>
          </w:p>
        </w:tc>
        <w:tc>
          <w:tcPr>
            <w:tcW w:w="1980" w:type="dxa"/>
            <w:tcMar>
              <w:left w:w="105" w:type="dxa"/>
              <w:right w:w="105" w:type="dxa"/>
            </w:tcMar>
            <w:vAlign w:val="center"/>
          </w:tcPr>
          <w:p w14:paraId="7008341B" w14:textId="7DDB9E31" w:rsidR="7AED84BC" w:rsidRPr="00D10954" w:rsidRDefault="7AED84BC" w:rsidP="6944AD4D">
            <w:pPr>
              <w:spacing w:after="0"/>
              <w:ind w:left="60" w:right="60"/>
              <w:jc w:val="center"/>
              <w:rPr>
                <w:rFonts w:eastAsia="Arial" w:cs="Arial"/>
              </w:rPr>
            </w:pPr>
            <w:r w:rsidRPr="00D10954">
              <w:rPr>
                <w:rFonts w:eastAsia="Arial" w:cs="Arial"/>
              </w:rPr>
              <w:t>66.1</w:t>
            </w:r>
            <w:r w:rsidR="6944AD4D" w:rsidRPr="00D10954">
              <w:rPr>
                <w:rFonts w:eastAsia="Arial" w:cs="Arial"/>
              </w:rPr>
              <w:t>%</w:t>
            </w:r>
          </w:p>
        </w:tc>
        <w:tc>
          <w:tcPr>
            <w:tcW w:w="1950" w:type="dxa"/>
            <w:tcMar>
              <w:left w:w="105" w:type="dxa"/>
              <w:right w:w="105" w:type="dxa"/>
            </w:tcMar>
            <w:vAlign w:val="center"/>
          </w:tcPr>
          <w:p w14:paraId="5C634D86" w14:textId="583BBACE" w:rsidR="644A4614" w:rsidRPr="00D10954" w:rsidRDefault="644A4614" w:rsidP="6944AD4D">
            <w:pPr>
              <w:spacing w:after="0"/>
              <w:jc w:val="center"/>
              <w:rPr>
                <w:rFonts w:eastAsia="Arial" w:cs="Arial"/>
              </w:rPr>
            </w:pPr>
            <w:r w:rsidRPr="00D10954">
              <w:rPr>
                <w:rFonts w:eastAsia="Arial" w:cs="Arial"/>
              </w:rPr>
              <w:t>69.6%</w:t>
            </w:r>
          </w:p>
        </w:tc>
        <w:tc>
          <w:tcPr>
            <w:tcW w:w="1890" w:type="dxa"/>
            <w:tcBorders>
              <w:right w:val="single" w:sz="6" w:space="0" w:color="auto"/>
            </w:tcBorders>
            <w:tcMar>
              <w:left w:w="105" w:type="dxa"/>
              <w:right w:w="105" w:type="dxa"/>
            </w:tcMar>
            <w:vAlign w:val="center"/>
          </w:tcPr>
          <w:p w14:paraId="3D8A6BF0" w14:textId="51FEDA3C" w:rsidR="160DD0D9" w:rsidRPr="00D10954" w:rsidRDefault="160DD0D9" w:rsidP="6944AD4D">
            <w:pPr>
              <w:spacing w:after="0"/>
              <w:jc w:val="center"/>
              <w:rPr>
                <w:rFonts w:eastAsia="Arial" w:cs="Arial"/>
              </w:rPr>
            </w:pPr>
            <w:r w:rsidRPr="00D10954">
              <w:rPr>
                <w:rFonts w:eastAsia="Arial" w:cs="Arial"/>
              </w:rPr>
              <w:t>59.0</w:t>
            </w:r>
            <w:r w:rsidR="6944AD4D" w:rsidRPr="00D10954">
              <w:rPr>
                <w:rFonts w:eastAsia="Arial" w:cs="Arial"/>
              </w:rPr>
              <w:t>%</w:t>
            </w:r>
          </w:p>
        </w:tc>
      </w:tr>
      <w:tr w:rsidR="6944AD4D" w:rsidRPr="00D10954" w14:paraId="07C380C4" w14:textId="77777777" w:rsidTr="00F345FB">
        <w:trPr>
          <w:cantSplit/>
          <w:trHeight w:val="315"/>
        </w:trPr>
        <w:tc>
          <w:tcPr>
            <w:tcW w:w="1500" w:type="dxa"/>
            <w:tcBorders>
              <w:left w:val="single" w:sz="6" w:space="0" w:color="auto"/>
              <w:bottom w:val="single" w:sz="6" w:space="0" w:color="auto"/>
            </w:tcBorders>
            <w:tcMar>
              <w:left w:w="105" w:type="dxa"/>
              <w:right w:w="105" w:type="dxa"/>
            </w:tcMar>
            <w:vAlign w:val="center"/>
          </w:tcPr>
          <w:p w14:paraId="21DC0E8A" w14:textId="3529C8E5" w:rsidR="6944AD4D" w:rsidRPr="00D10954" w:rsidRDefault="6944AD4D" w:rsidP="6944AD4D">
            <w:pPr>
              <w:spacing w:after="0"/>
              <w:ind w:left="60" w:right="60"/>
              <w:jc w:val="center"/>
              <w:rPr>
                <w:rFonts w:eastAsia="Arial" w:cs="Arial"/>
              </w:rPr>
            </w:pPr>
            <w:r w:rsidRPr="00D10954">
              <w:rPr>
                <w:rFonts w:eastAsia="Arial" w:cs="Arial"/>
              </w:rPr>
              <w:t>5</w:t>
            </w:r>
          </w:p>
        </w:tc>
        <w:tc>
          <w:tcPr>
            <w:tcW w:w="1980" w:type="dxa"/>
            <w:tcBorders>
              <w:bottom w:val="single" w:sz="6" w:space="0" w:color="auto"/>
            </w:tcBorders>
            <w:tcMar>
              <w:left w:w="105" w:type="dxa"/>
              <w:right w:w="105" w:type="dxa"/>
            </w:tcMar>
            <w:vAlign w:val="center"/>
          </w:tcPr>
          <w:p w14:paraId="4EB5440B" w14:textId="5C760C76" w:rsidR="621CA873" w:rsidRPr="00D10954" w:rsidRDefault="621CA873" w:rsidP="6944AD4D">
            <w:pPr>
              <w:spacing w:after="0"/>
              <w:ind w:right="60"/>
              <w:jc w:val="center"/>
              <w:rPr>
                <w:rFonts w:eastAsia="Arial" w:cs="Arial"/>
              </w:rPr>
            </w:pPr>
            <w:r w:rsidRPr="00D10954">
              <w:rPr>
                <w:rFonts w:eastAsia="Arial" w:cs="Arial"/>
              </w:rPr>
              <w:t>49.1</w:t>
            </w:r>
            <w:r w:rsidR="6944AD4D" w:rsidRPr="00D10954">
              <w:rPr>
                <w:rFonts w:eastAsia="Arial" w:cs="Arial"/>
              </w:rPr>
              <w:t>%</w:t>
            </w:r>
          </w:p>
        </w:tc>
        <w:tc>
          <w:tcPr>
            <w:tcW w:w="1980" w:type="dxa"/>
            <w:tcBorders>
              <w:bottom w:val="single" w:sz="6" w:space="0" w:color="auto"/>
            </w:tcBorders>
            <w:tcMar>
              <w:left w:w="105" w:type="dxa"/>
              <w:right w:w="105" w:type="dxa"/>
            </w:tcMar>
            <w:vAlign w:val="center"/>
          </w:tcPr>
          <w:p w14:paraId="06225836" w14:textId="43AC9D9A" w:rsidR="5C5CFFC2" w:rsidRPr="00D10954" w:rsidRDefault="5C5CFFC2" w:rsidP="6944AD4D">
            <w:pPr>
              <w:spacing w:after="0"/>
              <w:ind w:left="60" w:right="60"/>
              <w:jc w:val="center"/>
              <w:rPr>
                <w:rFonts w:eastAsia="Arial" w:cs="Arial"/>
              </w:rPr>
            </w:pPr>
            <w:r w:rsidRPr="00D10954">
              <w:rPr>
                <w:rFonts w:eastAsia="Arial" w:cs="Arial"/>
              </w:rPr>
              <w:t>52.5</w:t>
            </w:r>
            <w:r w:rsidR="6944AD4D" w:rsidRPr="00D10954">
              <w:rPr>
                <w:rFonts w:eastAsia="Arial" w:cs="Arial"/>
              </w:rPr>
              <w:t>%</w:t>
            </w:r>
          </w:p>
        </w:tc>
        <w:tc>
          <w:tcPr>
            <w:tcW w:w="1950" w:type="dxa"/>
            <w:tcBorders>
              <w:bottom w:val="single" w:sz="6" w:space="0" w:color="auto"/>
            </w:tcBorders>
            <w:tcMar>
              <w:left w:w="105" w:type="dxa"/>
              <w:right w:w="105" w:type="dxa"/>
            </w:tcMar>
            <w:vAlign w:val="center"/>
          </w:tcPr>
          <w:p w14:paraId="26C0CAB3" w14:textId="74C0BBDD" w:rsidR="77850A73" w:rsidRPr="00D10954" w:rsidRDefault="77850A73" w:rsidP="6944AD4D">
            <w:pPr>
              <w:spacing w:after="0"/>
              <w:jc w:val="center"/>
              <w:rPr>
                <w:rFonts w:eastAsia="Arial" w:cs="Arial"/>
              </w:rPr>
            </w:pPr>
            <w:r w:rsidRPr="00D10954">
              <w:rPr>
                <w:rFonts w:eastAsia="Arial" w:cs="Arial"/>
              </w:rPr>
              <w:t>47.9%</w:t>
            </w:r>
          </w:p>
        </w:tc>
        <w:tc>
          <w:tcPr>
            <w:tcW w:w="1890" w:type="dxa"/>
            <w:tcBorders>
              <w:bottom w:val="single" w:sz="6" w:space="0" w:color="auto"/>
              <w:right w:val="single" w:sz="6" w:space="0" w:color="auto"/>
            </w:tcBorders>
            <w:tcMar>
              <w:left w:w="105" w:type="dxa"/>
              <w:right w:w="105" w:type="dxa"/>
            </w:tcMar>
            <w:vAlign w:val="center"/>
          </w:tcPr>
          <w:p w14:paraId="4CE7E482" w14:textId="3E5D97C3" w:rsidR="4DA728BF" w:rsidRPr="00D10954" w:rsidRDefault="4DA728BF" w:rsidP="6944AD4D">
            <w:pPr>
              <w:spacing w:after="0"/>
              <w:jc w:val="center"/>
              <w:rPr>
                <w:rFonts w:eastAsia="Arial" w:cs="Arial"/>
              </w:rPr>
            </w:pPr>
            <w:r w:rsidRPr="00D10954">
              <w:rPr>
                <w:rFonts w:eastAsia="Arial" w:cs="Arial"/>
              </w:rPr>
              <w:t>37.2</w:t>
            </w:r>
            <w:r w:rsidR="6944AD4D" w:rsidRPr="00D10954">
              <w:rPr>
                <w:rFonts w:eastAsia="Arial" w:cs="Arial"/>
              </w:rPr>
              <w:t>%</w:t>
            </w:r>
          </w:p>
        </w:tc>
      </w:tr>
    </w:tbl>
    <w:p w14:paraId="0295B87A" w14:textId="0B98A0B4" w:rsidR="6944AD4D" w:rsidRPr="00D10954" w:rsidRDefault="6944AD4D" w:rsidP="6944AD4D">
      <w:pPr>
        <w:spacing w:after="160"/>
        <w:rPr>
          <w:rFonts w:eastAsia="Arial" w:cs="Arial"/>
          <w:color w:val="000000" w:themeColor="text1"/>
        </w:rPr>
      </w:pPr>
    </w:p>
    <w:p w14:paraId="702EB2E9" w14:textId="50F59B8A" w:rsidR="35053802" w:rsidRPr="00D10954" w:rsidRDefault="35053802" w:rsidP="6944AD4D">
      <w:pPr>
        <w:rPr>
          <w:rFonts w:eastAsia="Arial" w:cs="Arial"/>
          <w:color w:val="000000" w:themeColor="text1"/>
        </w:rPr>
      </w:pPr>
      <w:r w:rsidRPr="00D10954">
        <w:rPr>
          <w:rFonts w:eastAsia="Arial" w:cs="Arial"/>
          <w:color w:val="000000" w:themeColor="text1"/>
        </w:rPr>
        <w:t>Table 12 displays the change distribution of</w:t>
      </w:r>
      <w:r w:rsidR="0FCCD71E" w:rsidRPr="00D10954">
        <w:rPr>
          <w:rFonts w:eastAsia="Arial" w:cs="Arial"/>
          <w:color w:val="000000" w:themeColor="text1"/>
        </w:rPr>
        <w:t xml:space="preserve"> Graduation</w:t>
      </w:r>
      <w:r w:rsidRPr="00D10954">
        <w:rPr>
          <w:rFonts w:eastAsia="Arial" w:cs="Arial"/>
          <w:color w:val="000000" w:themeColor="text1"/>
        </w:rPr>
        <w:t xml:space="preserve"> rates in 2018 and 2019. </w:t>
      </w:r>
      <w:r w:rsidR="5ABAB6F5" w:rsidRPr="00D10954">
        <w:rPr>
          <w:rFonts w:eastAsia="Arial" w:cs="Arial"/>
          <w:color w:val="000000" w:themeColor="text1"/>
        </w:rPr>
        <w:t xml:space="preserve">Data for 2017 is not available, as it was based on a difference between the current year and a three-year average. </w:t>
      </w:r>
      <w:r w:rsidRPr="00D10954">
        <w:rPr>
          <w:rFonts w:eastAsia="Arial" w:cs="Arial"/>
          <w:color w:val="000000" w:themeColor="text1"/>
        </w:rPr>
        <w:t>Data for 2022 is not available due to the status-only Dashboard that was published in that year.</w:t>
      </w:r>
    </w:p>
    <w:p w14:paraId="775B9487" w14:textId="2F64F701" w:rsidR="35053802" w:rsidRPr="00D10954" w:rsidRDefault="35053802" w:rsidP="6944AD4D">
      <w:pPr>
        <w:rPr>
          <w:rFonts w:eastAsia="Arial" w:cs="Arial"/>
          <w:color w:val="000000" w:themeColor="text1"/>
        </w:rPr>
      </w:pPr>
      <w:r w:rsidRPr="00D10954">
        <w:rPr>
          <w:rFonts w:eastAsia="Arial" w:cs="Arial"/>
          <w:color w:val="000000" w:themeColor="text1"/>
        </w:rPr>
        <w:t xml:space="preserve">In both 2018 and 2019, the </w:t>
      </w:r>
      <w:r w:rsidR="6D0B92DF" w:rsidRPr="00D10954">
        <w:rPr>
          <w:rFonts w:eastAsia="Arial" w:cs="Arial"/>
          <w:color w:val="000000" w:themeColor="text1"/>
        </w:rPr>
        <w:t>Graduation</w:t>
      </w:r>
      <w:r w:rsidRPr="00D10954">
        <w:rPr>
          <w:rFonts w:eastAsia="Arial" w:cs="Arial"/>
          <w:color w:val="000000" w:themeColor="text1"/>
        </w:rPr>
        <w:t xml:space="preserve"> </w:t>
      </w:r>
      <w:r w:rsidR="69B2473C" w:rsidRPr="00D10954">
        <w:rPr>
          <w:rFonts w:eastAsia="Arial" w:cs="Arial"/>
          <w:color w:val="000000" w:themeColor="text1"/>
        </w:rPr>
        <w:t xml:space="preserve">change distributions </w:t>
      </w:r>
      <w:r w:rsidRPr="00D10954">
        <w:rPr>
          <w:rFonts w:eastAsia="Arial" w:cs="Arial"/>
          <w:color w:val="000000" w:themeColor="text1"/>
        </w:rPr>
        <w:t>remained consistent.</w:t>
      </w:r>
    </w:p>
    <w:p w14:paraId="03C682C1" w14:textId="0B23739B" w:rsidR="35053802" w:rsidRPr="00D10954" w:rsidRDefault="35053802" w:rsidP="005266F6">
      <w:pPr>
        <w:pStyle w:val="Heading4"/>
        <w:spacing w:after="0"/>
      </w:pPr>
      <w:r w:rsidRPr="00D10954">
        <w:t>Table 12: Change Distributions for the 2018, 2019, and 2022 Chronic Absenteeism</w:t>
      </w:r>
    </w:p>
    <w:p w14:paraId="35244856" w14:textId="4CDF6DDB" w:rsidR="35053802" w:rsidRPr="00D10954" w:rsidRDefault="35053802" w:rsidP="6944AD4D">
      <w:pPr>
        <w:spacing w:after="120"/>
        <w:rPr>
          <w:rFonts w:eastAsia="Arial" w:cs="Arial"/>
          <w:color w:val="000000" w:themeColor="text1"/>
        </w:rPr>
      </w:pPr>
      <w:r w:rsidRPr="00D10954">
        <w:rPr>
          <w:rFonts w:eastAsia="Arial" w:cs="Arial"/>
          <w:color w:val="000000" w:themeColor="text1"/>
        </w:rPr>
        <w:t>(Based on County Office of Education, District, and All Charter School Data)</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Table 7: Change Distributions for the 2018, 2019, and 2022 Chronic Absenteeism"/>
        <w:tblDescription w:val="Table 7: Change Distributions for the 2018, 2019, and 2022 Chronic Absenteeism"/>
      </w:tblPr>
      <w:tblGrid>
        <w:gridCol w:w="2426"/>
        <w:gridCol w:w="2426"/>
        <w:gridCol w:w="2426"/>
        <w:gridCol w:w="2426"/>
      </w:tblGrid>
      <w:tr w:rsidR="6944AD4D" w:rsidRPr="00D10954" w14:paraId="7B693DFB" w14:textId="77777777" w:rsidTr="00F345FB">
        <w:trPr>
          <w:cantSplit/>
          <w:trHeight w:val="300"/>
          <w:tblHeader/>
        </w:trPr>
        <w:tc>
          <w:tcPr>
            <w:tcW w:w="2430" w:type="dxa"/>
            <w:tcBorders>
              <w:top w:val="single" w:sz="6" w:space="0" w:color="auto"/>
              <w:left w:val="single" w:sz="6" w:space="0" w:color="auto"/>
            </w:tcBorders>
            <w:tcMar>
              <w:left w:w="105" w:type="dxa"/>
              <w:right w:w="105" w:type="dxa"/>
            </w:tcMar>
            <w:vAlign w:val="center"/>
          </w:tcPr>
          <w:p w14:paraId="752EC27F" w14:textId="58D2BA34" w:rsidR="6944AD4D" w:rsidRPr="00D10954" w:rsidRDefault="6944AD4D" w:rsidP="6944AD4D">
            <w:pPr>
              <w:spacing w:after="0"/>
              <w:jc w:val="center"/>
              <w:rPr>
                <w:rFonts w:eastAsia="Arial" w:cs="Arial"/>
                <w:color w:val="000000" w:themeColor="text1"/>
              </w:rPr>
            </w:pPr>
            <w:r w:rsidRPr="00D10954">
              <w:rPr>
                <w:rFonts w:eastAsia="Arial" w:cs="Arial"/>
                <w:b/>
                <w:bCs/>
                <w:color w:val="000000" w:themeColor="text1"/>
              </w:rPr>
              <w:t>Percentile</w:t>
            </w:r>
          </w:p>
        </w:tc>
        <w:tc>
          <w:tcPr>
            <w:tcW w:w="2430" w:type="dxa"/>
            <w:tcBorders>
              <w:top w:val="single" w:sz="6" w:space="0" w:color="auto"/>
            </w:tcBorders>
            <w:tcMar>
              <w:left w:w="105" w:type="dxa"/>
              <w:right w:w="105" w:type="dxa"/>
            </w:tcMar>
            <w:vAlign w:val="center"/>
          </w:tcPr>
          <w:p w14:paraId="5A924AD9" w14:textId="6A82963A" w:rsidR="6944AD4D" w:rsidRPr="00D10954" w:rsidRDefault="6944AD4D" w:rsidP="6944AD4D">
            <w:pPr>
              <w:spacing w:after="0"/>
              <w:jc w:val="center"/>
              <w:rPr>
                <w:rFonts w:eastAsia="Arial" w:cs="Arial"/>
              </w:rPr>
            </w:pPr>
            <w:r w:rsidRPr="00D10954">
              <w:rPr>
                <w:rFonts w:eastAsia="Arial" w:cs="Arial"/>
                <w:b/>
                <w:bCs/>
              </w:rPr>
              <w:t>2018</w:t>
            </w:r>
            <w:r w:rsidRPr="00D10954">
              <w:br/>
            </w:r>
            <w:r w:rsidR="5D3DE29B" w:rsidRPr="00D10954">
              <w:rPr>
                <w:rFonts w:eastAsia="Arial" w:cs="Arial"/>
                <w:b/>
                <w:bCs/>
              </w:rPr>
              <w:t xml:space="preserve">Graduation </w:t>
            </w:r>
            <w:r w:rsidRPr="00D10954">
              <w:br/>
            </w:r>
            <w:r w:rsidR="5D3DE29B" w:rsidRPr="00D10954">
              <w:rPr>
                <w:rFonts w:eastAsia="Arial" w:cs="Arial"/>
                <w:b/>
                <w:bCs/>
              </w:rPr>
              <w:t>Rate</w:t>
            </w:r>
            <w:r w:rsidRPr="00D10954">
              <w:rPr>
                <w:rFonts w:eastAsia="Arial" w:cs="Arial"/>
                <w:b/>
                <w:bCs/>
              </w:rPr>
              <w:t xml:space="preserve"> Change</w:t>
            </w:r>
          </w:p>
        </w:tc>
        <w:tc>
          <w:tcPr>
            <w:tcW w:w="2430" w:type="dxa"/>
            <w:tcBorders>
              <w:top w:val="single" w:sz="6" w:space="0" w:color="auto"/>
            </w:tcBorders>
            <w:tcMar>
              <w:left w:w="105" w:type="dxa"/>
              <w:right w:w="105" w:type="dxa"/>
            </w:tcMar>
            <w:vAlign w:val="center"/>
          </w:tcPr>
          <w:p w14:paraId="5F84C7C0" w14:textId="498A3E24" w:rsidR="6944AD4D" w:rsidRPr="00D10954" w:rsidRDefault="6944AD4D" w:rsidP="6944AD4D">
            <w:pPr>
              <w:spacing w:after="0"/>
              <w:jc w:val="center"/>
              <w:rPr>
                <w:rFonts w:eastAsia="Arial" w:cs="Arial"/>
              </w:rPr>
            </w:pPr>
            <w:r w:rsidRPr="00D10954">
              <w:rPr>
                <w:rFonts w:eastAsia="Arial" w:cs="Arial"/>
                <w:b/>
                <w:bCs/>
              </w:rPr>
              <w:t>2019</w:t>
            </w:r>
            <w:r w:rsidRPr="00D10954">
              <w:br/>
            </w:r>
            <w:r w:rsidR="087159E7" w:rsidRPr="00D10954">
              <w:rPr>
                <w:rFonts w:eastAsia="Arial" w:cs="Arial"/>
                <w:b/>
                <w:bCs/>
              </w:rPr>
              <w:t>Graduation Rate</w:t>
            </w:r>
            <w:r w:rsidRPr="00D10954">
              <w:rPr>
                <w:rFonts w:eastAsia="Arial" w:cs="Arial"/>
                <w:b/>
                <w:bCs/>
              </w:rPr>
              <w:t xml:space="preserve"> Change</w:t>
            </w:r>
          </w:p>
        </w:tc>
        <w:tc>
          <w:tcPr>
            <w:tcW w:w="2430" w:type="dxa"/>
            <w:tcBorders>
              <w:top w:val="single" w:sz="6" w:space="0" w:color="auto"/>
              <w:right w:val="single" w:sz="6" w:space="0" w:color="auto"/>
            </w:tcBorders>
            <w:tcMar>
              <w:left w:w="105" w:type="dxa"/>
              <w:right w:w="105" w:type="dxa"/>
            </w:tcMar>
            <w:vAlign w:val="center"/>
          </w:tcPr>
          <w:p w14:paraId="05717FBB" w14:textId="75D31D46" w:rsidR="6944AD4D" w:rsidRPr="00D10954" w:rsidRDefault="6944AD4D" w:rsidP="6944AD4D">
            <w:pPr>
              <w:spacing w:after="0"/>
              <w:jc w:val="center"/>
              <w:rPr>
                <w:rFonts w:eastAsia="Arial" w:cs="Arial"/>
              </w:rPr>
            </w:pPr>
            <w:r w:rsidRPr="00D10954">
              <w:rPr>
                <w:rFonts w:eastAsia="Arial" w:cs="Arial"/>
                <w:b/>
                <w:bCs/>
              </w:rPr>
              <w:t>2022</w:t>
            </w:r>
            <w:r w:rsidRPr="00D10954">
              <w:br/>
            </w:r>
            <w:r w:rsidR="3E82E686" w:rsidRPr="00D10954">
              <w:rPr>
                <w:rFonts w:eastAsia="Arial" w:cs="Arial"/>
                <w:b/>
                <w:bCs/>
              </w:rPr>
              <w:t>Graduation Rate</w:t>
            </w:r>
            <w:r w:rsidRPr="00D10954">
              <w:rPr>
                <w:rFonts w:eastAsia="Arial" w:cs="Arial"/>
                <w:b/>
                <w:bCs/>
              </w:rPr>
              <w:t xml:space="preserve"> Change</w:t>
            </w:r>
          </w:p>
        </w:tc>
      </w:tr>
      <w:tr w:rsidR="6944AD4D" w:rsidRPr="00D10954" w14:paraId="744A8CFD" w14:textId="77777777" w:rsidTr="00F345FB">
        <w:trPr>
          <w:cantSplit/>
          <w:trHeight w:val="300"/>
        </w:trPr>
        <w:tc>
          <w:tcPr>
            <w:tcW w:w="2430" w:type="dxa"/>
            <w:tcBorders>
              <w:left w:val="single" w:sz="6" w:space="0" w:color="auto"/>
            </w:tcBorders>
            <w:tcMar>
              <w:left w:w="105" w:type="dxa"/>
              <w:right w:w="105" w:type="dxa"/>
            </w:tcMar>
            <w:vAlign w:val="center"/>
          </w:tcPr>
          <w:p w14:paraId="3118F1DD" w14:textId="4602DEF8"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95</w:t>
            </w:r>
          </w:p>
        </w:tc>
        <w:tc>
          <w:tcPr>
            <w:tcW w:w="2430" w:type="dxa"/>
            <w:tcMar>
              <w:left w:w="105" w:type="dxa"/>
              <w:right w:w="105" w:type="dxa"/>
            </w:tcMar>
            <w:vAlign w:val="center"/>
          </w:tcPr>
          <w:p w14:paraId="7F44F54B" w14:textId="238A0B93" w:rsidR="6B6EE8EF" w:rsidRPr="00D10954" w:rsidRDefault="6B6EE8EF" w:rsidP="6944AD4D">
            <w:pPr>
              <w:spacing w:after="0"/>
              <w:ind w:left="60" w:right="60"/>
              <w:jc w:val="center"/>
              <w:rPr>
                <w:rFonts w:eastAsia="Arial" w:cs="Arial"/>
                <w:color w:val="000000" w:themeColor="text1"/>
              </w:rPr>
            </w:pPr>
            <w:r w:rsidRPr="00D10954">
              <w:rPr>
                <w:rFonts w:eastAsia="Arial" w:cs="Arial"/>
                <w:color w:val="000000" w:themeColor="text1"/>
              </w:rPr>
              <w:t>13.1</w:t>
            </w:r>
            <w:r w:rsidR="6944AD4D" w:rsidRPr="00D10954">
              <w:rPr>
                <w:rFonts w:eastAsia="Arial" w:cs="Arial"/>
                <w:color w:val="000000" w:themeColor="text1"/>
              </w:rPr>
              <w:t>%</w:t>
            </w:r>
          </w:p>
        </w:tc>
        <w:tc>
          <w:tcPr>
            <w:tcW w:w="2430" w:type="dxa"/>
            <w:tcMar>
              <w:left w:w="105" w:type="dxa"/>
              <w:right w:w="105" w:type="dxa"/>
            </w:tcMar>
            <w:vAlign w:val="center"/>
          </w:tcPr>
          <w:p w14:paraId="49235B84" w14:textId="0CED0C6E" w:rsidR="5D70EC92" w:rsidRPr="00D10954" w:rsidRDefault="5D70EC92" w:rsidP="6944AD4D">
            <w:pPr>
              <w:spacing w:after="0"/>
              <w:jc w:val="center"/>
              <w:rPr>
                <w:rFonts w:eastAsia="Arial" w:cs="Arial"/>
                <w:color w:val="000000" w:themeColor="text1"/>
              </w:rPr>
            </w:pPr>
            <w:r w:rsidRPr="00D10954">
              <w:rPr>
                <w:rFonts w:eastAsia="Arial" w:cs="Arial"/>
                <w:color w:val="000000" w:themeColor="text1"/>
              </w:rPr>
              <w:t>11.4</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7F76E11F" w14:textId="54F6BEC9"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2B27D0E5" w14:textId="77777777" w:rsidTr="00F345FB">
        <w:trPr>
          <w:cantSplit/>
          <w:trHeight w:val="300"/>
        </w:trPr>
        <w:tc>
          <w:tcPr>
            <w:tcW w:w="2430" w:type="dxa"/>
            <w:tcBorders>
              <w:left w:val="single" w:sz="6" w:space="0" w:color="auto"/>
            </w:tcBorders>
            <w:tcMar>
              <w:left w:w="105" w:type="dxa"/>
              <w:right w:w="105" w:type="dxa"/>
            </w:tcMar>
            <w:vAlign w:val="center"/>
          </w:tcPr>
          <w:p w14:paraId="7D95B1AB" w14:textId="054A2FEC"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90</w:t>
            </w:r>
          </w:p>
        </w:tc>
        <w:tc>
          <w:tcPr>
            <w:tcW w:w="2430" w:type="dxa"/>
            <w:tcMar>
              <w:left w:w="105" w:type="dxa"/>
              <w:right w:w="105" w:type="dxa"/>
            </w:tcMar>
            <w:vAlign w:val="center"/>
          </w:tcPr>
          <w:p w14:paraId="5587889E" w14:textId="522A0F5D" w:rsidR="7A8712F6" w:rsidRPr="00D10954" w:rsidRDefault="7A8712F6" w:rsidP="6944AD4D">
            <w:pPr>
              <w:spacing w:after="0"/>
              <w:ind w:left="60" w:right="60"/>
              <w:jc w:val="center"/>
              <w:rPr>
                <w:rFonts w:eastAsia="Arial" w:cs="Arial"/>
                <w:color w:val="000000" w:themeColor="text1"/>
              </w:rPr>
            </w:pPr>
            <w:r w:rsidRPr="00D10954">
              <w:rPr>
                <w:rFonts w:eastAsia="Arial" w:cs="Arial"/>
                <w:color w:val="000000" w:themeColor="text1"/>
              </w:rPr>
              <w:t>6.9</w:t>
            </w:r>
            <w:r w:rsidR="6944AD4D" w:rsidRPr="00D10954">
              <w:rPr>
                <w:rFonts w:eastAsia="Arial" w:cs="Arial"/>
                <w:color w:val="000000" w:themeColor="text1"/>
              </w:rPr>
              <w:t>%</w:t>
            </w:r>
          </w:p>
        </w:tc>
        <w:tc>
          <w:tcPr>
            <w:tcW w:w="2430" w:type="dxa"/>
            <w:tcMar>
              <w:left w:w="105" w:type="dxa"/>
              <w:right w:w="105" w:type="dxa"/>
            </w:tcMar>
            <w:vAlign w:val="center"/>
          </w:tcPr>
          <w:p w14:paraId="42C9D1BF" w14:textId="0C80BB0A" w:rsidR="3D9B68A1" w:rsidRPr="00D10954" w:rsidRDefault="3D9B68A1" w:rsidP="6944AD4D">
            <w:pPr>
              <w:spacing w:after="0"/>
              <w:jc w:val="center"/>
              <w:rPr>
                <w:rFonts w:eastAsia="Arial" w:cs="Arial"/>
                <w:color w:val="000000" w:themeColor="text1"/>
              </w:rPr>
            </w:pPr>
            <w:r w:rsidRPr="00D10954">
              <w:rPr>
                <w:rFonts w:eastAsia="Arial" w:cs="Arial"/>
                <w:color w:val="000000" w:themeColor="text1"/>
              </w:rPr>
              <w:t>6.6</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02FDC188" w14:textId="16D49AEC"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0A7E48F5" w14:textId="77777777" w:rsidTr="00F345FB">
        <w:trPr>
          <w:cantSplit/>
          <w:trHeight w:val="300"/>
        </w:trPr>
        <w:tc>
          <w:tcPr>
            <w:tcW w:w="2430" w:type="dxa"/>
            <w:tcBorders>
              <w:left w:val="single" w:sz="6" w:space="0" w:color="auto"/>
            </w:tcBorders>
            <w:tcMar>
              <w:left w:w="105" w:type="dxa"/>
              <w:right w:w="105" w:type="dxa"/>
            </w:tcMar>
            <w:vAlign w:val="center"/>
          </w:tcPr>
          <w:p w14:paraId="4A05CE5B" w14:textId="225B9A4F"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85</w:t>
            </w:r>
          </w:p>
        </w:tc>
        <w:tc>
          <w:tcPr>
            <w:tcW w:w="2430" w:type="dxa"/>
            <w:tcMar>
              <w:left w:w="105" w:type="dxa"/>
              <w:right w:w="105" w:type="dxa"/>
            </w:tcMar>
            <w:vAlign w:val="center"/>
          </w:tcPr>
          <w:p w14:paraId="471CBBB3" w14:textId="4FB1A00D" w:rsidR="2F9BF009" w:rsidRPr="00D10954" w:rsidRDefault="2F9BF009" w:rsidP="6944AD4D">
            <w:pPr>
              <w:spacing w:after="0"/>
              <w:ind w:left="60" w:right="60"/>
              <w:jc w:val="center"/>
              <w:rPr>
                <w:rFonts w:eastAsia="Arial" w:cs="Arial"/>
                <w:color w:val="000000" w:themeColor="text1"/>
              </w:rPr>
            </w:pPr>
            <w:r w:rsidRPr="00D10954">
              <w:rPr>
                <w:rFonts w:eastAsia="Arial" w:cs="Arial"/>
                <w:color w:val="000000" w:themeColor="text1"/>
              </w:rPr>
              <w:t>4.7</w:t>
            </w:r>
            <w:r w:rsidR="6944AD4D" w:rsidRPr="00D10954">
              <w:rPr>
                <w:rFonts w:eastAsia="Arial" w:cs="Arial"/>
                <w:color w:val="000000" w:themeColor="text1"/>
              </w:rPr>
              <w:t>%</w:t>
            </w:r>
          </w:p>
        </w:tc>
        <w:tc>
          <w:tcPr>
            <w:tcW w:w="2430" w:type="dxa"/>
            <w:tcMar>
              <w:left w:w="105" w:type="dxa"/>
              <w:right w:w="105" w:type="dxa"/>
            </w:tcMar>
            <w:vAlign w:val="center"/>
          </w:tcPr>
          <w:p w14:paraId="4C67501A" w14:textId="3936F10C" w:rsidR="01075C5D" w:rsidRPr="00D10954" w:rsidRDefault="01075C5D" w:rsidP="6944AD4D">
            <w:pPr>
              <w:spacing w:after="0"/>
              <w:jc w:val="center"/>
              <w:rPr>
                <w:rFonts w:eastAsia="Arial" w:cs="Arial"/>
                <w:color w:val="000000" w:themeColor="text1"/>
              </w:rPr>
            </w:pPr>
            <w:r w:rsidRPr="00D10954">
              <w:rPr>
                <w:rFonts w:eastAsia="Arial" w:cs="Arial"/>
                <w:color w:val="000000" w:themeColor="text1"/>
              </w:rPr>
              <w:t>5.1</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589D6A1D" w14:textId="0E73C1DC"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6BD4357A" w14:textId="77777777" w:rsidTr="00F345FB">
        <w:trPr>
          <w:cantSplit/>
          <w:trHeight w:val="300"/>
        </w:trPr>
        <w:tc>
          <w:tcPr>
            <w:tcW w:w="2430" w:type="dxa"/>
            <w:tcBorders>
              <w:left w:val="single" w:sz="6" w:space="0" w:color="auto"/>
            </w:tcBorders>
            <w:tcMar>
              <w:left w:w="105" w:type="dxa"/>
              <w:right w:w="105" w:type="dxa"/>
            </w:tcMar>
            <w:vAlign w:val="center"/>
          </w:tcPr>
          <w:p w14:paraId="121D3803" w14:textId="724492B9"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80</w:t>
            </w:r>
          </w:p>
        </w:tc>
        <w:tc>
          <w:tcPr>
            <w:tcW w:w="2430" w:type="dxa"/>
            <w:tcMar>
              <w:left w:w="105" w:type="dxa"/>
              <w:right w:w="105" w:type="dxa"/>
            </w:tcMar>
            <w:vAlign w:val="center"/>
          </w:tcPr>
          <w:p w14:paraId="1164AC10" w14:textId="46A54735" w:rsidR="6A85FE5C" w:rsidRPr="00D10954" w:rsidRDefault="6A85FE5C" w:rsidP="6944AD4D">
            <w:pPr>
              <w:spacing w:after="0"/>
              <w:ind w:left="60" w:right="60"/>
              <w:jc w:val="center"/>
              <w:rPr>
                <w:rFonts w:eastAsia="Arial" w:cs="Arial"/>
                <w:color w:val="000000" w:themeColor="text1"/>
              </w:rPr>
            </w:pPr>
            <w:r w:rsidRPr="00D10954">
              <w:rPr>
                <w:rFonts w:eastAsia="Arial" w:cs="Arial"/>
                <w:color w:val="000000" w:themeColor="text1"/>
              </w:rPr>
              <w:t>3.2</w:t>
            </w:r>
            <w:r w:rsidR="6944AD4D" w:rsidRPr="00D10954">
              <w:rPr>
                <w:rFonts w:eastAsia="Arial" w:cs="Arial"/>
                <w:color w:val="000000" w:themeColor="text1"/>
              </w:rPr>
              <w:t>%</w:t>
            </w:r>
          </w:p>
        </w:tc>
        <w:tc>
          <w:tcPr>
            <w:tcW w:w="2430" w:type="dxa"/>
            <w:tcMar>
              <w:left w:w="105" w:type="dxa"/>
              <w:right w:w="105" w:type="dxa"/>
            </w:tcMar>
            <w:vAlign w:val="center"/>
          </w:tcPr>
          <w:p w14:paraId="35F5407E" w14:textId="16633E0F" w:rsidR="3B59EA47" w:rsidRPr="00D10954" w:rsidRDefault="3B59EA47" w:rsidP="6944AD4D">
            <w:pPr>
              <w:spacing w:after="0"/>
              <w:jc w:val="center"/>
              <w:rPr>
                <w:rFonts w:eastAsia="Arial" w:cs="Arial"/>
                <w:color w:val="000000" w:themeColor="text1"/>
              </w:rPr>
            </w:pPr>
            <w:r w:rsidRPr="00D10954">
              <w:rPr>
                <w:rFonts w:eastAsia="Arial" w:cs="Arial"/>
                <w:color w:val="000000" w:themeColor="text1"/>
              </w:rPr>
              <w:t>3.7</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41F631AE" w14:textId="23BFAE1E"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22921D07" w14:textId="77777777" w:rsidTr="00F345FB">
        <w:trPr>
          <w:cantSplit/>
          <w:trHeight w:val="300"/>
        </w:trPr>
        <w:tc>
          <w:tcPr>
            <w:tcW w:w="2430" w:type="dxa"/>
            <w:tcBorders>
              <w:left w:val="single" w:sz="6" w:space="0" w:color="auto"/>
            </w:tcBorders>
            <w:tcMar>
              <w:left w:w="105" w:type="dxa"/>
              <w:right w:w="105" w:type="dxa"/>
            </w:tcMar>
            <w:vAlign w:val="center"/>
          </w:tcPr>
          <w:p w14:paraId="60DE3C29" w14:textId="53CEE22C"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75</w:t>
            </w:r>
          </w:p>
        </w:tc>
        <w:tc>
          <w:tcPr>
            <w:tcW w:w="2430" w:type="dxa"/>
            <w:tcMar>
              <w:left w:w="105" w:type="dxa"/>
              <w:right w:w="105" w:type="dxa"/>
            </w:tcMar>
            <w:vAlign w:val="center"/>
          </w:tcPr>
          <w:p w14:paraId="1E2BE80E" w14:textId="0F9C6BAE" w:rsidR="0C3D7E41" w:rsidRPr="00D10954" w:rsidRDefault="0C3D7E41" w:rsidP="6944AD4D">
            <w:pPr>
              <w:spacing w:after="0"/>
              <w:ind w:left="60" w:right="60"/>
              <w:jc w:val="center"/>
              <w:rPr>
                <w:rFonts w:eastAsia="Arial" w:cs="Arial"/>
                <w:color w:val="000000" w:themeColor="text1"/>
              </w:rPr>
            </w:pPr>
            <w:r w:rsidRPr="00D10954">
              <w:rPr>
                <w:rFonts w:eastAsia="Arial" w:cs="Arial"/>
                <w:color w:val="000000" w:themeColor="text1"/>
              </w:rPr>
              <w:t>2.5</w:t>
            </w:r>
            <w:r w:rsidR="6944AD4D" w:rsidRPr="00D10954">
              <w:rPr>
                <w:rFonts w:eastAsia="Arial" w:cs="Arial"/>
                <w:color w:val="000000" w:themeColor="text1"/>
              </w:rPr>
              <w:t>%</w:t>
            </w:r>
          </w:p>
        </w:tc>
        <w:tc>
          <w:tcPr>
            <w:tcW w:w="2430" w:type="dxa"/>
            <w:tcMar>
              <w:left w:w="105" w:type="dxa"/>
              <w:right w:w="105" w:type="dxa"/>
            </w:tcMar>
            <w:vAlign w:val="center"/>
          </w:tcPr>
          <w:p w14:paraId="40FD5FF9" w14:textId="0BE38D36" w:rsidR="03AA17D5" w:rsidRPr="00D10954" w:rsidRDefault="03AA17D5" w:rsidP="6944AD4D">
            <w:pPr>
              <w:spacing w:after="0"/>
              <w:jc w:val="center"/>
              <w:rPr>
                <w:rFonts w:eastAsia="Arial" w:cs="Arial"/>
                <w:color w:val="000000" w:themeColor="text1"/>
              </w:rPr>
            </w:pPr>
            <w:r w:rsidRPr="00D10954">
              <w:rPr>
                <w:rFonts w:eastAsia="Arial" w:cs="Arial"/>
                <w:color w:val="000000" w:themeColor="text1"/>
              </w:rPr>
              <w:t>2.7</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58E627CF" w14:textId="69EA39A5"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324F93B0" w14:textId="77777777" w:rsidTr="00F345FB">
        <w:trPr>
          <w:cantSplit/>
          <w:trHeight w:val="300"/>
        </w:trPr>
        <w:tc>
          <w:tcPr>
            <w:tcW w:w="2430" w:type="dxa"/>
            <w:tcBorders>
              <w:left w:val="single" w:sz="6" w:space="0" w:color="auto"/>
            </w:tcBorders>
            <w:tcMar>
              <w:left w:w="105" w:type="dxa"/>
              <w:right w:w="105" w:type="dxa"/>
            </w:tcMar>
            <w:vAlign w:val="center"/>
          </w:tcPr>
          <w:p w14:paraId="711D2484" w14:textId="1FF93354"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70</w:t>
            </w:r>
          </w:p>
        </w:tc>
        <w:tc>
          <w:tcPr>
            <w:tcW w:w="2430" w:type="dxa"/>
            <w:tcMar>
              <w:left w:w="105" w:type="dxa"/>
              <w:right w:w="105" w:type="dxa"/>
            </w:tcMar>
            <w:vAlign w:val="center"/>
          </w:tcPr>
          <w:p w14:paraId="61CE05DE" w14:textId="48BFDA1E" w:rsidR="7F31CE31" w:rsidRPr="00D10954" w:rsidRDefault="7F31CE31" w:rsidP="6944AD4D">
            <w:pPr>
              <w:spacing w:after="0"/>
              <w:ind w:left="60" w:right="60"/>
              <w:jc w:val="center"/>
              <w:rPr>
                <w:rFonts w:eastAsia="Arial" w:cs="Arial"/>
                <w:color w:val="000000" w:themeColor="text1"/>
              </w:rPr>
            </w:pPr>
            <w:r w:rsidRPr="00D10954">
              <w:rPr>
                <w:rFonts w:eastAsia="Arial" w:cs="Arial"/>
                <w:color w:val="000000" w:themeColor="text1"/>
              </w:rPr>
              <w:t>1.9</w:t>
            </w:r>
            <w:r w:rsidR="6944AD4D" w:rsidRPr="00D10954">
              <w:rPr>
                <w:rFonts w:eastAsia="Arial" w:cs="Arial"/>
                <w:color w:val="000000" w:themeColor="text1"/>
              </w:rPr>
              <w:t>%</w:t>
            </w:r>
          </w:p>
        </w:tc>
        <w:tc>
          <w:tcPr>
            <w:tcW w:w="2430" w:type="dxa"/>
            <w:tcMar>
              <w:left w:w="105" w:type="dxa"/>
              <w:right w:w="105" w:type="dxa"/>
            </w:tcMar>
            <w:vAlign w:val="center"/>
          </w:tcPr>
          <w:p w14:paraId="3E0DB17F" w14:textId="6E357E99" w:rsidR="200BF5AE" w:rsidRPr="00D10954" w:rsidRDefault="200BF5AE" w:rsidP="6944AD4D">
            <w:pPr>
              <w:spacing w:after="0"/>
              <w:jc w:val="center"/>
              <w:rPr>
                <w:rFonts w:eastAsia="Arial" w:cs="Arial"/>
                <w:color w:val="000000" w:themeColor="text1"/>
              </w:rPr>
            </w:pPr>
            <w:r w:rsidRPr="00D10954">
              <w:rPr>
                <w:rFonts w:eastAsia="Arial" w:cs="Arial"/>
                <w:color w:val="000000" w:themeColor="text1"/>
              </w:rPr>
              <w:t>2.1</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2975A701" w14:textId="3A8F7577"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031A3797" w14:textId="77777777" w:rsidTr="00F345FB">
        <w:trPr>
          <w:cantSplit/>
          <w:trHeight w:val="300"/>
        </w:trPr>
        <w:tc>
          <w:tcPr>
            <w:tcW w:w="2430" w:type="dxa"/>
            <w:tcBorders>
              <w:left w:val="single" w:sz="6" w:space="0" w:color="auto"/>
            </w:tcBorders>
            <w:tcMar>
              <w:left w:w="105" w:type="dxa"/>
              <w:right w:w="105" w:type="dxa"/>
            </w:tcMar>
            <w:vAlign w:val="center"/>
          </w:tcPr>
          <w:p w14:paraId="40505EF7" w14:textId="2009388F"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65</w:t>
            </w:r>
          </w:p>
        </w:tc>
        <w:tc>
          <w:tcPr>
            <w:tcW w:w="2430" w:type="dxa"/>
            <w:tcMar>
              <w:left w:w="105" w:type="dxa"/>
              <w:right w:w="105" w:type="dxa"/>
            </w:tcMar>
            <w:vAlign w:val="center"/>
          </w:tcPr>
          <w:p w14:paraId="54AF6968" w14:textId="4A43DC27" w:rsidR="49556A49" w:rsidRPr="00D10954" w:rsidRDefault="49556A49" w:rsidP="6944AD4D">
            <w:pPr>
              <w:spacing w:after="0"/>
              <w:ind w:left="60" w:right="60"/>
              <w:jc w:val="center"/>
              <w:rPr>
                <w:rFonts w:eastAsia="Arial" w:cs="Arial"/>
                <w:color w:val="000000" w:themeColor="text1"/>
              </w:rPr>
            </w:pPr>
            <w:r w:rsidRPr="00D10954">
              <w:rPr>
                <w:rFonts w:eastAsia="Arial" w:cs="Arial"/>
                <w:color w:val="000000" w:themeColor="text1"/>
              </w:rPr>
              <w:t>1.5</w:t>
            </w:r>
            <w:r w:rsidR="6944AD4D" w:rsidRPr="00D10954">
              <w:rPr>
                <w:rFonts w:eastAsia="Arial" w:cs="Arial"/>
                <w:color w:val="000000" w:themeColor="text1"/>
              </w:rPr>
              <w:t>%</w:t>
            </w:r>
          </w:p>
        </w:tc>
        <w:tc>
          <w:tcPr>
            <w:tcW w:w="2430" w:type="dxa"/>
            <w:tcMar>
              <w:left w:w="105" w:type="dxa"/>
              <w:right w:w="105" w:type="dxa"/>
            </w:tcMar>
            <w:vAlign w:val="center"/>
          </w:tcPr>
          <w:p w14:paraId="7D93C9C3" w14:textId="118B2729" w:rsidR="6CDA3F7C" w:rsidRPr="00D10954" w:rsidRDefault="6CDA3F7C" w:rsidP="6944AD4D">
            <w:pPr>
              <w:spacing w:after="0"/>
              <w:jc w:val="center"/>
              <w:rPr>
                <w:rFonts w:eastAsia="Arial" w:cs="Arial"/>
                <w:color w:val="000000" w:themeColor="text1"/>
              </w:rPr>
            </w:pPr>
            <w:r w:rsidRPr="00D10954">
              <w:rPr>
                <w:rFonts w:eastAsia="Arial" w:cs="Arial"/>
                <w:color w:val="000000" w:themeColor="text1"/>
              </w:rPr>
              <w:t>1.5</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608DB643" w14:textId="5FBF5F0E"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4224E5B3" w14:textId="77777777" w:rsidTr="00F345FB">
        <w:trPr>
          <w:cantSplit/>
          <w:trHeight w:val="300"/>
        </w:trPr>
        <w:tc>
          <w:tcPr>
            <w:tcW w:w="2430" w:type="dxa"/>
            <w:tcBorders>
              <w:left w:val="single" w:sz="6" w:space="0" w:color="auto"/>
            </w:tcBorders>
            <w:tcMar>
              <w:left w:w="105" w:type="dxa"/>
              <w:right w:w="105" w:type="dxa"/>
            </w:tcMar>
            <w:vAlign w:val="center"/>
          </w:tcPr>
          <w:p w14:paraId="4FBC3560" w14:textId="02CE3893"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60</w:t>
            </w:r>
          </w:p>
        </w:tc>
        <w:tc>
          <w:tcPr>
            <w:tcW w:w="2430" w:type="dxa"/>
            <w:tcMar>
              <w:left w:w="105" w:type="dxa"/>
              <w:right w:w="105" w:type="dxa"/>
            </w:tcMar>
            <w:vAlign w:val="center"/>
          </w:tcPr>
          <w:p w14:paraId="1A9AF6B4" w14:textId="1D5B8B5D" w:rsidR="13E79244" w:rsidRPr="00D10954" w:rsidRDefault="13E79244" w:rsidP="6944AD4D">
            <w:pPr>
              <w:spacing w:after="0"/>
              <w:ind w:left="60" w:right="60"/>
              <w:jc w:val="center"/>
              <w:rPr>
                <w:rFonts w:eastAsia="Arial" w:cs="Arial"/>
                <w:color w:val="000000" w:themeColor="text1"/>
              </w:rPr>
            </w:pPr>
            <w:r w:rsidRPr="00D10954">
              <w:rPr>
                <w:rFonts w:eastAsia="Arial" w:cs="Arial"/>
                <w:color w:val="000000" w:themeColor="text1"/>
              </w:rPr>
              <w:t>1.1</w:t>
            </w:r>
            <w:r w:rsidR="6944AD4D" w:rsidRPr="00D10954">
              <w:rPr>
                <w:rFonts w:eastAsia="Arial" w:cs="Arial"/>
                <w:color w:val="000000" w:themeColor="text1"/>
              </w:rPr>
              <w:t>%</w:t>
            </w:r>
          </w:p>
        </w:tc>
        <w:tc>
          <w:tcPr>
            <w:tcW w:w="2430" w:type="dxa"/>
            <w:tcMar>
              <w:left w:w="105" w:type="dxa"/>
              <w:right w:w="105" w:type="dxa"/>
            </w:tcMar>
            <w:vAlign w:val="center"/>
          </w:tcPr>
          <w:p w14:paraId="6345D3BC" w14:textId="0C6AECE2" w:rsidR="2C73EFF8" w:rsidRPr="00D10954" w:rsidRDefault="2C73EFF8" w:rsidP="6944AD4D">
            <w:pPr>
              <w:spacing w:after="0"/>
              <w:jc w:val="center"/>
              <w:rPr>
                <w:rFonts w:eastAsia="Arial" w:cs="Arial"/>
                <w:color w:val="000000" w:themeColor="text1"/>
              </w:rPr>
            </w:pPr>
            <w:r w:rsidRPr="00D10954">
              <w:rPr>
                <w:rFonts w:eastAsia="Arial" w:cs="Arial"/>
                <w:color w:val="000000" w:themeColor="text1"/>
              </w:rPr>
              <w:t>1.1</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795ADF73" w14:textId="1177ABFD"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7BDD654D" w14:textId="77777777" w:rsidTr="00F345FB">
        <w:trPr>
          <w:cantSplit/>
          <w:trHeight w:val="300"/>
        </w:trPr>
        <w:tc>
          <w:tcPr>
            <w:tcW w:w="2430" w:type="dxa"/>
            <w:tcBorders>
              <w:left w:val="single" w:sz="6" w:space="0" w:color="auto"/>
            </w:tcBorders>
            <w:tcMar>
              <w:left w:w="105" w:type="dxa"/>
              <w:right w:w="105" w:type="dxa"/>
            </w:tcMar>
            <w:vAlign w:val="center"/>
          </w:tcPr>
          <w:p w14:paraId="56950E61" w14:textId="565D3C57"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55</w:t>
            </w:r>
          </w:p>
        </w:tc>
        <w:tc>
          <w:tcPr>
            <w:tcW w:w="2430" w:type="dxa"/>
            <w:tcMar>
              <w:left w:w="105" w:type="dxa"/>
              <w:right w:w="105" w:type="dxa"/>
            </w:tcMar>
            <w:vAlign w:val="center"/>
          </w:tcPr>
          <w:p w14:paraId="257612CC" w14:textId="2E9FA0A6" w:rsidR="4E196B1D" w:rsidRPr="00D10954" w:rsidRDefault="4E196B1D" w:rsidP="6944AD4D">
            <w:pPr>
              <w:spacing w:after="0"/>
              <w:ind w:left="60" w:right="60"/>
              <w:jc w:val="center"/>
              <w:rPr>
                <w:rFonts w:eastAsia="Arial" w:cs="Arial"/>
                <w:color w:val="000000" w:themeColor="text1"/>
              </w:rPr>
            </w:pPr>
            <w:r w:rsidRPr="00D10954">
              <w:rPr>
                <w:rFonts w:eastAsia="Arial" w:cs="Arial"/>
                <w:color w:val="000000" w:themeColor="text1"/>
              </w:rPr>
              <w:t>0.6</w:t>
            </w:r>
            <w:r w:rsidR="6944AD4D" w:rsidRPr="00D10954">
              <w:rPr>
                <w:rFonts w:eastAsia="Arial" w:cs="Arial"/>
                <w:color w:val="000000" w:themeColor="text1"/>
              </w:rPr>
              <w:t>%</w:t>
            </w:r>
          </w:p>
        </w:tc>
        <w:tc>
          <w:tcPr>
            <w:tcW w:w="2430" w:type="dxa"/>
            <w:tcMar>
              <w:left w:w="105" w:type="dxa"/>
              <w:right w:w="105" w:type="dxa"/>
            </w:tcMar>
            <w:vAlign w:val="center"/>
          </w:tcPr>
          <w:p w14:paraId="26094402" w14:textId="3CDFAC32" w:rsidR="1D575C77" w:rsidRPr="00D10954" w:rsidRDefault="1D575C77" w:rsidP="6944AD4D">
            <w:pPr>
              <w:spacing w:after="0"/>
              <w:jc w:val="center"/>
              <w:rPr>
                <w:rFonts w:eastAsia="Arial" w:cs="Arial"/>
                <w:color w:val="000000" w:themeColor="text1"/>
              </w:rPr>
            </w:pPr>
            <w:r w:rsidRPr="00D10954">
              <w:rPr>
                <w:rFonts w:eastAsia="Arial" w:cs="Arial"/>
                <w:color w:val="000000" w:themeColor="text1"/>
              </w:rPr>
              <w:t>0.7</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07771C2B" w14:textId="7494F8AB"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2A396582" w14:textId="77777777" w:rsidTr="00F345FB">
        <w:trPr>
          <w:cantSplit/>
          <w:trHeight w:val="300"/>
        </w:trPr>
        <w:tc>
          <w:tcPr>
            <w:tcW w:w="2430" w:type="dxa"/>
            <w:tcBorders>
              <w:left w:val="single" w:sz="6" w:space="0" w:color="auto"/>
            </w:tcBorders>
            <w:tcMar>
              <w:left w:w="105" w:type="dxa"/>
              <w:right w:w="105" w:type="dxa"/>
            </w:tcMar>
            <w:vAlign w:val="center"/>
          </w:tcPr>
          <w:p w14:paraId="6428E196" w14:textId="246D3DED"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50</w:t>
            </w:r>
          </w:p>
        </w:tc>
        <w:tc>
          <w:tcPr>
            <w:tcW w:w="2430" w:type="dxa"/>
            <w:tcMar>
              <w:left w:w="105" w:type="dxa"/>
              <w:right w:w="105" w:type="dxa"/>
            </w:tcMar>
            <w:vAlign w:val="center"/>
          </w:tcPr>
          <w:p w14:paraId="3B121B59" w14:textId="14EA2D23" w:rsidR="18FE75B3" w:rsidRPr="00D10954" w:rsidRDefault="18FE75B3" w:rsidP="6944AD4D">
            <w:pPr>
              <w:spacing w:after="0"/>
              <w:ind w:left="60" w:right="60"/>
              <w:jc w:val="center"/>
              <w:rPr>
                <w:rFonts w:eastAsia="Arial" w:cs="Arial"/>
                <w:color w:val="000000" w:themeColor="text1"/>
              </w:rPr>
            </w:pPr>
            <w:r w:rsidRPr="00D10954">
              <w:rPr>
                <w:rFonts w:eastAsia="Arial" w:cs="Arial"/>
                <w:color w:val="000000" w:themeColor="text1"/>
              </w:rPr>
              <w:t>0.3</w:t>
            </w:r>
            <w:r w:rsidR="6944AD4D" w:rsidRPr="00D10954">
              <w:rPr>
                <w:rFonts w:eastAsia="Arial" w:cs="Arial"/>
                <w:color w:val="000000" w:themeColor="text1"/>
              </w:rPr>
              <w:t>%</w:t>
            </w:r>
          </w:p>
        </w:tc>
        <w:tc>
          <w:tcPr>
            <w:tcW w:w="2430" w:type="dxa"/>
            <w:tcMar>
              <w:left w:w="105" w:type="dxa"/>
              <w:right w:w="105" w:type="dxa"/>
            </w:tcMar>
            <w:vAlign w:val="center"/>
          </w:tcPr>
          <w:p w14:paraId="0605D0B9" w14:textId="676E5361" w:rsidR="096640BA" w:rsidRPr="00D10954" w:rsidRDefault="096640BA" w:rsidP="6944AD4D">
            <w:pPr>
              <w:spacing w:after="0"/>
              <w:jc w:val="center"/>
              <w:rPr>
                <w:rFonts w:eastAsia="Arial" w:cs="Arial"/>
                <w:color w:val="000000" w:themeColor="text1"/>
              </w:rPr>
            </w:pPr>
            <w:r w:rsidRPr="00D10954">
              <w:rPr>
                <w:rFonts w:eastAsia="Arial" w:cs="Arial"/>
                <w:color w:val="000000" w:themeColor="text1"/>
              </w:rPr>
              <w:t>0.4</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7408E62B" w14:textId="5A7430AE"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7A816520" w14:textId="77777777" w:rsidTr="00F345FB">
        <w:trPr>
          <w:cantSplit/>
          <w:trHeight w:val="300"/>
        </w:trPr>
        <w:tc>
          <w:tcPr>
            <w:tcW w:w="2430" w:type="dxa"/>
            <w:tcBorders>
              <w:left w:val="single" w:sz="6" w:space="0" w:color="auto"/>
            </w:tcBorders>
            <w:tcMar>
              <w:left w:w="105" w:type="dxa"/>
              <w:right w:w="105" w:type="dxa"/>
            </w:tcMar>
            <w:vAlign w:val="center"/>
          </w:tcPr>
          <w:p w14:paraId="15E3096B" w14:textId="155AA1A8"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45</w:t>
            </w:r>
          </w:p>
        </w:tc>
        <w:tc>
          <w:tcPr>
            <w:tcW w:w="2430" w:type="dxa"/>
            <w:tcMar>
              <w:left w:w="105" w:type="dxa"/>
              <w:right w:w="105" w:type="dxa"/>
            </w:tcMar>
            <w:vAlign w:val="center"/>
          </w:tcPr>
          <w:p w14:paraId="6C05A119" w14:textId="5A9EC0DC" w:rsidR="3837C1A7" w:rsidRPr="00D10954" w:rsidRDefault="3837C1A7" w:rsidP="6944AD4D">
            <w:pPr>
              <w:spacing w:after="0"/>
              <w:ind w:left="60" w:right="60"/>
              <w:jc w:val="center"/>
              <w:rPr>
                <w:rFonts w:eastAsia="Arial" w:cs="Arial"/>
                <w:color w:val="000000" w:themeColor="text1"/>
              </w:rPr>
            </w:pPr>
            <w:r w:rsidRPr="00D10954">
              <w:rPr>
                <w:rFonts w:eastAsia="Arial" w:cs="Arial"/>
                <w:color w:val="000000" w:themeColor="text1"/>
              </w:rPr>
              <w:t>0.1</w:t>
            </w:r>
            <w:r w:rsidR="6944AD4D" w:rsidRPr="00D10954">
              <w:rPr>
                <w:rFonts w:eastAsia="Arial" w:cs="Arial"/>
                <w:color w:val="000000" w:themeColor="text1"/>
              </w:rPr>
              <w:t>%</w:t>
            </w:r>
          </w:p>
        </w:tc>
        <w:tc>
          <w:tcPr>
            <w:tcW w:w="2430" w:type="dxa"/>
            <w:tcMar>
              <w:left w:w="105" w:type="dxa"/>
              <w:right w:w="105" w:type="dxa"/>
            </w:tcMar>
            <w:vAlign w:val="center"/>
          </w:tcPr>
          <w:p w14:paraId="0CC14269" w14:textId="7311E10F" w:rsidR="420FB5DD" w:rsidRPr="00D10954" w:rsidRDefault="420FB5DD" w:rsidP="6944AD4D">
            <w:pPr>
              <w:spacing w:after="0"/>
              <w:jc w:val="center"/>
              <w:rPr>
                <w:rFonts w:eastAsia="Arial" w:cs="Arial"/>
                <w:color w:val="000000" w:themeColor="text1"/>
              </w:rPr>
            </w:pPr>
            <w:r w:rsidRPr="00D10954">
              <w:rPr>
                <w:rFonts w:eastAsia="Arial" w:cs="Arial"/>
                <w:color w:val="000000" w:themeColor="text1"/>
              </w:rPr>
              <w:t>0.0</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7E198466" w14:textId="2E934923"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30321938" w14:textId="77777777" w:rsidTr="00F345FB">
        <w:trPr>
          <w:cantSplit/>
          <w:trHeight w:val="300"/>
        </w:trPr>
        <w:tc>
          <w:tcPr>
            <w:tcW w:w="2430" w:type="dxa"/>
            <w:tcBorders>
              <w:left w:val="single" w:sz="6" w:space="0" w:color="auto"/>
            </w:tcBorders>
            <w:tcMar>
              <w:left w:w="105" w:type="dxa"/>
              <w:right w:w="105" w:type="dxa"/>
            </w:tcMar>
            <w:vAlign w:val="center"/>
          </w:tcPr>
          <w:p w14:paraId="24BB709C" w14:textId="0E94D851"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40</w:t>
            </w:r>
          </w:p>
        </w:tc>
        <w:tc>
          <w:tcPr>
            <w:tcW w:w="2430" w:type="dxa"/>
            <w:tcMar>
              <w:left w:w="105" w:type="dxa"/>
              <w:right w:w="105" w:type="dxa"/>
            </w:tcMar>
            <w:vAlign w:val="center"/>
          </w:tcPr>
          <w:p w14:paraId="7026DDEA" w14:textId="02B8ABD8" w:rsidR="421974C8" w:rsidRPr="00D10954" w:rsidRDefault="421974C8" w:rsidP="6944AD4D">
            <w:pPr>
              <w:spacing w:after="0"/>
              <w:ind w:left="60" w:right="60"/>
              <w:jc w:val="center"/>
              <w:rPr>
                <w:rFonts w:eastAsia="Arial" w:cs="Arial"/>
                <w:color w:val="000000" w:themeColor="text1"/>
              </w:rPr>
            </w:pPr>
            <w:r w:rsidRPr="00D10954">
              <w:rPr>
                <w:rFonts w:eastAsia="Arial" w:cs="Arial"/>
                <w:color w:val="000000" w:themeColor="text1"/>
              </w:rPr>
              <w:t>-0.2</w:t>
            </w:r>
            <w:r w:rsidR="6944AD4D" w:rsidRPr="00D10954">
              <w:rPr>
                <w:rFonts w:eastAsia="Arial" w:cs="Arial"/>
                <w:color w:val="000000" w:themeColor="text1"/>
              </w:rPr>
              <w:t>%</w:t>
            </w:r>
          </w:p>
        </w:tc>
        <w:tc>
          <w:tcPr>
            <w:tcW w:w="2430" w:type="dxa"/>
            <w:tcMar>
              <w:left w:w="105" w:type="dxa"/>
              <w:right w:w="105" w:type="dxa"/>
            </w:tcMar>
            <w:vAlign w:val="center"/>
          </w:tcPr>
          <w:p w14:paraId="6226B154" w14:textId="613E6739" w:rsidR="4305DE56" w:rsidRPr="00D10954" w:rsidRDefault="4305DE56" w:rsidP="6944AD4D">
            <w:pPr>
              <w:spacing w:after="0"/>
              <w:jc w:val="center"/>
              <w:rPr>
                <w:rFonts w:eastAsia="Arial" w:cs="Arial"/>
                <w:color w:val="000000" w:themeColor="text1"/>
              </w:rPr>
            </w:pPr>
            <w:r w:rsidRPr="00D10954">
              <w:rPr>
                <w:rFonts w:eastAsia="Arial" w:cs="Arial"/>
                <w:color w:val="000000" w:themeColor="text1"/>
              </w:rPr>
              <w:t>-0.3</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4A2634F7" w14:textId="24BA68E9"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530942E7" w14:textId="77777777" w:rsidTr="00F345FB">
        <w:trPr>
          <w:cantSplit/>
          <w:trHeight w:val="300"/>
        </w:trPr>
        <w:tc>
          <w:tcPr>
            <w:tcW w:w="2430" w:type="dxa"/>
            <w:tcBorders>
              <w:left w:val="single" w:sz="6" w:space="0" w:color="auto"/>
            </w:tcBorders>
            <w:tcMar>
              <w:left w:w="105" w:type="dxa"/>
              <w:right w:w="105" w:type="dxa"/>
            </w:tcMar>
            <w:vAlign w:val="center"/>
          </w:tcPr>
          <w:p w14:paraId="337ED7C5" w14:textId="22836C58"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35</w:t>
            </w:r>
          </w:p>
        </w:tc>
        <w:tc>
          <w:tcPr>
            <w:tcW w:w="2430" w:type="dxa"/>
            <w:tcMar>
              <w:left w:w="105" w:type="dxa"/>
              <w:right w:w="105" w:type="dxa"/>
            </w:tcMar>
            <w:vAlign w:val="center"/>
          </w:tcPr>
          <w:p w14:paraId="7D041C9F" w14:textId="7408C2E1" w:rsidR="3B6F87EE" w:rsidRPr="00D10954" w:rsidRDefault="3B6F87EE" w:rsidP="6944AD4D">
            <w:pPr>
              <w:spacing w:after="0"/>
              <w:ind w:left="60" w:right="60"/>
              <w:jc w:val="center"/>
              <w:rPr>
                <w:rFonts w:eastAsia="Arial" w:cs="Arial"/>
                <w:color w:val="000000" w:themeColor="text1"/>
              </w:rPr>
            </w:pPr>
            <w:r w:rsidRPr="00D10954">
              <w:rPr>
                <w:rFonts w:eastAsia="Arial" w:cs="Arial"/>
                <w:color w:val="000000" w:themeColor="text1"/>
              </w:rPr>
              <w:t>-0.5</w:t>
            </w:r>
            <w:r w:rsidR="6944AD4D" w:rsidRPr="00D10954">
              <w:rPr>
                <w:rFonts w:eastAsia="Arial" w:cs="Arial"/>
                <w:color w:val="000000" w:themeColor="text1"/>
              </w:rPr>
              <w:t>%</w:t>
            </w:r>
          </w:p>
        </w:tc>
        <w:tc>
          <w:tcPr>
            <w:tcW w:w="2430" w:type="dxa"/>
            <w:tcMar>
              <w:left w:w="105" w:type="dxa"/>
              <w:right w:w="105" w:type="dxa"/>
            </w:tcMar>
            <w:vAlign w:val="center"/>
          </w:tcPr>
          <w:p w14:paraId="3C747025" w14:textId="621F5F3B" w:rsidR="0F7C783F" w:rsidRPr="00D10954" w:rsidRDefault="0F7C783F" w:rsidP="6944AD4D">
            <w:pPr>
              <w:spacing w:after="0"/>
              <w:jc w:val="center"/>
              <w:rPr>
                <w:rFonts w:eastAsia="Arial" w:cs="Arial"/>
                <w:color w:val="000000" w:themeColor="text1"/>
              </w:rPr>
            </w:pPr>
            <w:r w:rsidRPr="00D10954">
              <w:rPr>
                <w:rFonts w:eastAsia="Arial" w:cs="Arial"/>
                <w:color w:val="000000" w:themeColor="text1"/>
              </w:rPr>
              <w:t>-0.7</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7C4A5BE8" w14:textId="6CC2751D"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1FDE0460" w14:textId="77777777" w:rsidTr="00F345FB">
        <w:trPr>
          <w:cantSplit/>
          <w:trHeight w:val="300"/>
        </w:trPr>
        <w:tc>
          <w:tcPr>
            <w:tcW w:w="2430" w:type="dxa"/>
            <w:tcBorders>
              <w:left w:val="single" w:sz="6" w:space="0" w:color="auto"/>
            </w:tcBorders>
            <w:tcMar>
              <w:left w:w="105" w:type="dxa"/>
              <w:right w:w="105" w:type="dxa"/>
            </w:tcMar>
            <w:vAlign w:val="center"/>
          </w:tcPr>
          <w:p w14:paraId="43F022FD" w14:textId="57F957A6"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30</w:t>
            </w:r>
          </w:p>
        </w:tc>
        <w:tc>
          <w:tcPr>
            <w:tcW w:w="2430" w:type="dxa"/>
            <w:tcMar>
              <w:left w:w="105" w:type="dxa"/>
              <w:right w:w="105" w:type="dxa"/>
            </w:tcMar>
            <w:vAlign w:val="center"/>
          </w:tcPr>
          <w:p w14:paraId="5CDD42E6" w14:textId="0FDDD1A7" w:rsidR="18E9A31F" w:rsidRPr="00D10954" w:rsidRDefault="18E9A31F" w:rsidP="6944AD4D">
            <w:pPr>
              <w:spacing w:after="0"/>
              <w:ind w:left="60" w:right="60"/>
              <w:jc w:val="center"/>
              <w:rPr>
                <w:rFonts w:eastAsia="Arial" w:cs="Arial"/>
                <w:color w:val="000000" w:themeColor="text1"/>
              </w:rPr>
            </w:pPr>
            <w:r w:rsidRPr="00D10954">
              <w:rPr>
                <w:rFonts w:eastAsia="Arial" w:cs="Arial"/>
                <w:color w:val="000000" w:themeColor="text1"/>
              </w:rPr>
              <w:t>-1.0</w:t>
            </w:r>
            <w:r w:rsidR="6944AD4D" w:rsidRPr="00D10954">
              <w:rPr>
                <w:rFonts w:eastAsia="Arial" w:cs="Arial"/>
                <w:color w:val="000000" w:themeColor="text1"/>
              </w:rPr>
              <w:t>%</w:t>
            </w:r>
          </w:p>
        </w:tc>
        <w:tc>
          <w:tcPr>
            <w:tcW w:w="2430" w:type="dxa"/>
            <w:tcMar>
              <w:left w:w="105" w:type="dxa"/>
              <w:right w:w="105" w:type="dxa"/>
            </w:tcMar>
            <w:vAlign w:val="center"/>
          </w:tcPr>
          <w:p w14:paraId="6B127D7D" w14:textId="64DAD677" w:rsidR="6A8D04A4" w:rsidRPr="00D10954" w:rsidRDefault="6A8D04A4" w:rsidP="6944AD4D">
            <w:pPr>
              <w:spacing w:after="0"/>
              <w:jc w:val="center"/>
              <w:rPr>
                <w:rFonts w:eastAsia="Arial" w:cs="Arial"/>
                <w:color w:val="000000" w:themeColor="text1"/>
              </w:rPr>
            </w:pPr>
            <w:r w:rsidRPr="00D10954">
              <w:rPr>
                <w:rFonts w:eastAsia="Arial" w:cs="Arial"/>
                <w:color w:val="000000" w:themeColor="text1"/>
              </w:rPr>
              <w:t>-1.1</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4D67C5B6" w14:textId="1AB5EAE3"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10E919A9" w14:textId="77777777" w:rsidTr="00F345FB">
        <w:trPr>
          <w:cantSplit/>
          <w:trHeight w:val="300"/>
        </w:trPr>
        <w:tc>
          <w:tcPr>
            <w:tcW w:w="2430" w:type="dxa"/>
            <w:tcBorders>
              <w:left w:val="single" w:sz="6" w:space="0" w:color="auto"/>
            </w:tcBorders>
            <w:tcMar>
              <w:left w:w="105" w:type="dxa"/>
              <w:right w:w="105" w:type="dxa"/>
            </w:tcMar>
            <w:vAlign w:val="center"/>
          </w:tcPr>
          <w:p w14:paraId="450A98E4" w14:textId="52EAD2B7"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25</w:t>
            </w:r>
          </w:p>
        </w:tc>
        <w:tc>
          <w:tcPr>
            <w:tcW w:w="2430" w:type="dxa"/>
            <w:tcMar>
              <w:left w:w="105" w:type="dxa"/>
              <w:right w:w="105" w:type="dxa"/>
            </w:tcMar>
            <w:vAlign w:val="center"/>
          </w:tcPr>
          <w:p w14:paraId="3318987E" w14:textId="5DC78F3A" w:rsidR="0DFBEBF8" w:rsidRPr="00D10954" w:rsidRDefault="0DFBEBF8" w:rsidP="6944AD4D">
            <w:pPr>
              <w:spacing w:after="0"/>
              <w:ind w:left="60" w:right="60"/>
              <w:jc w:val="center"/>
              <w:rPr>
                <w:rFonts w:eastAsia="Arial" w:cs="Arial"/>
                <w:color w:val="000000" w:themeColor="text1"/>
              </w:rPr>
            </w:pPr>
            <w:r w:rsidRPr="00D10954">
              <w:rPr>
                <w:rFonts w:eastAsia="Arial" w:cs="Arial"/>
                <w:color w:val="000000" w:themeColor="text1"/>
              </w:rPr>
              <w:t>-1.4</w:t>
            </w:r>
            <w:r w:rsidR="6944AD4D" w:rsidRPr="00D10954">
              <w:rPr>
                <w:rFonts w:eastAsia="Arial" w:cs="Arial"/>
                <w:color w:val="000000" w:themeColor="text1"/>
              </w:rPr>
              <w:t>%</w:t>
            </w:r>
          </w:p>
        </w:tc>
        <w:tc>
          <w:tcPr>
            <w:tcW w:w="2430" w:type="dxa"/>
            <w:tcMar>
              <w:left w:w="105" w:type="dxa"/>
              <w:right w:w="105" w:type="dxa"/>
            </w:tcMar>
            <w:vAlign w:val="center"/>
          </w:tcPr>
          <w:p w14:paraId="6EC5FCD6" w14:textId="3040BF17" w:rsidR="6611CB78" w:rsidRPr="00D10954" w:rsidRDefault="6611CB78" w:rsidP="6944AD4D">
            <w:pPr>
              <w:spacing w:after="0"/>
              <w:jc w:val="center"/>
              <w:rPr>
                <w:rFonts w:eastAsia="Arial" w:cs="Arial"/>
                <w:color w:val="000000" w:themeColor="text1"/>
              </w:rPr>
            </w:pPr>
            <w:r w:rsidRPr="00D10954">
              <w:rPr>
                <w:rFonts w:eastAsia="Arial" w:cs="Arial"/>
                <w:color w:val="000000" w:themeColor="text1"/>
              </w:rPr>
              <w:t>-1.7</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06C0E380" w14:textId="58DFC871"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42953BE8" w14:textId="77777777" w:rsidTr="00F345FB">
        <w:trPr>
          <w:cantSplit/>
          <w:trHeight w:val="300"/>
        </w:trPr>
        <w:tc>
          <w:tcPr>
            <w:tcW w:w="2430" w:type="dxa"/>
            <w:tcBorders>
              <w:left w:val="single" w:sz="6" w:space="0" w:color="auto"/>
            </w:tcBorders>
            <w:tcMar>
              <w:left w:w="105" w:type="dxa"/>
              <w:right w:w="105" w:type="dxa"/>
            </w:tcMar>
            <w:vAlign w:val="center"/>
          </w:tcPr>
          <w:p w14:paraId="5B2B42CB" w14:textId="361BA276"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20</w:t>
            </w:r>
          </w:p>
        </w:tc>
        <w:tc>
          <w:tcPr>
            <w:tcW w:w="2430" w:type="dxa"/>
            <w:tcMar>
              <w:left w:w="105" w:type="dxa"/>
              <w:right w:w="105" w:type="dxa"/>
            </w:tcMar>
            <w:vAlign w:val="center"/>
          </w:tcPr>
          <w:p w14:paraId="2D836532" w14:textId="224A03D7" w:rsidR="2126C7BC" w:rsidRPr="00D10954" w:rsidRDefault="2126C7BC" w:rsidP="6944AD4D">
            <w:pPr>
              <w:spacing w:after="0"/>
              <w:ind w:left="60" w:right="60"/>
              <w:jc w:val="center"/>
              <w:rPr>
                <w:rFonts w:eastAsia="Arial" w:cs="Arial"/>
                <w:color w:val="000000" w:themeColor="text1"/>
              </w:rPr>
            </w:pPr>
            <w:r w:rsidRPr="00D10954">
              <w:rPr>
                <w:rFonts w:eastAsia="Arial" w:cs="Arial"/>
                <w:color w:val="000000" w:themeColor="text1"/>
              </w:rPr>
              <w:t>-2.2</w:t>
            </w:r>
            <w:r w:rsidR="6944AD4D" w:rsidRPr="00D10954">
              <w:rPr>
                <w:rFonts w:eastAsia="Arial" w:cs="Arial"/>
                <w:color w:val="000000" w:themeColor="text1"/>
              </w:rPr>
              <w:t>%</w:t>
            </w:r>
          </w:p>
        </w:tc>
        <w:tc>
          <w:tcPr>
            <w:tcW w:w="2430" w:type="dxa"/>
            <w:tcMar>
              <w:left w:w="105" w:type="dxa"/>
              <w:right w:w="105" w:type="dxa"/>
            </w:tcMar>
            <w:vAlign w:val="center"/>
          </w:tcPr>
          <w:p w14:paraId="2537F8E8" w14:textId="237836F6" w:rsidR="59C2C9B3" w:rsidRPr="00D10954" w:rsidRDefault="59C2C9B3" w:rsidP="6944AD4D">
            <w:pPr>
              <w:spacing w:after="0"/>
              <w:jc w:val="center"/>
              <w:rPr>
                <w:rFonts w:eastAsia="Arial" w:cs="Arial"/>
                <w:color w:val="000000" w:themeColor="text1"/>
              </w:rPr>
            </w:pPr>
            <w:r w:rsidRPr="00D10954">
              <w:rPr>
                <w:rFonts w:eastAsia="Arial" w:cs="Arial"/>
                <w:color w:val="000000" w:themeColor="text1"/>
              </w:rPr>
              <w:t>-2.5</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26ACC169" w14:textId="7451259F"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11D2451B" w14:textId="77777777" w:rsidTr="00F345FB">
        <w:trPr>
          <w:cantSplit/>
          <w:trHeight w:val="300"/>
        </w:trPr>
        <w:tc>
          <w:tcPr>
            <w:tcW w:w="2430" w:type="dxa"/>
            <w:tcBorders>
              <w:left w:val="single" w:sz="6" w:space="0" w:color="auto"/>
            </w:tcBorders>
            <w:tcMar>
              <w:left w:w="105" w:type="dxa"/>
              <w:right w:w="105" w:type="dxa"/>
            </w:tcMar>
            <w:vAlign w:val="center"/>
          </w:tcPr>
          <w:p w14:paraId="0052F9B3" w14:textId="222B1936"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15</w:t>
            </w:r>
          </w:p>
        </w:tc>
        <w:tc>
          <w:tcPr>
            <w:tcW w:w="2430" w:type="dxa"/>
            <w:tcMar>
              <w:left w:w="105" w:type="dxa"/>
              <w:right w:w="105" w:type="dxa"/>
            </w:tcMar>
            <w:vAlign w:val="center"/>
          </w:tcPr>
          <w:p w14:paraId="6F64DAF7" w14:textId="7394D143" w:rsidR="6839B539" w:rsidRPr="00D10954" w:rsidRDefault="6839B539" w:rsidP="6944AD4D">
            <w:pPr>
              <w:spacing w:after="0"/>
              <w:ind w:left="60" w:right="60"/>
              <w:jc w:val="center"/>
              <w:rPr>
                <w:rFonts w:eastAsia="Arial" w:cs="Arial"/>
                <w:color w:val="000000" w:themeColor="text1"/>
              </w:rPr>
            </w:pPr>
            <w:r w:rsidRPr="00D10954">
              <w:rPr>
                <w:rFonts w:eastAsia="Arial" w:cs="Arial"/>
                <w:color w:val="000000" w:themeColor="text1"/>
              </w:rPr>
              <w:t>-3.4</w:t>
            </w:r>
            <w:r w:rsidR="6944AD4D" w:rsidRPr="00D10954">
              <w:rPr>
                <w:rFonts w:eastAsia="Arial" w:cs="Arial"/>
                <w:color w:val="000000" w:themeColor="text1"/>
              </w:rPr>
              <w:t>%</w:t>
            </w:r>
          </w:p>
        </w:tc>
        <w:tc>
          <w:tcPr>
            <w:tcW w:w="2430" w:type="dxa"/>
            <w:tcMar>
              <w:left w:w="105" w:type="dxa"/>
              <w:right w:w="105" w:type="dxa"/>
            </w:tcMar>
            <w:vAlign w:val="center"/>
          </w:tcPr>
          <w:p w14:paraId="25D77057" w14:textId="465565DF" w:rsidR="146C4582" w:rsidRPr="00D10954" w:rsidRDefault="146C4582" w:rsidP="6944AD4D">
            <w:pPr>
              <w:spacing w:after="0"/>
              <w:jc w:val="center"/>
              <w:rPr>
                <w:rFonts w:eastAsia="Arial" w:cs="Arial"/>
                <w:color w:val="000000" w:themeColor="text1"/>
              </w:rPr>
            </w:pPr>
            <w:r w:rsidRPr="00D10954">
              <w:rPr>
                <w:rFonts w:eastAsia="Arial" w:cs="Arial"/>
                <w:color w:val="000000" w:themeColor="text1"/>
              </w:rPr>
              <w:t>-3.6</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4FF27F49" w14:textId="5A1263D0"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7A57E102" w14:textId="77777777" w:rsidTr="00F345FB">
        <w:trPr>
          <w:cantSplit/>
          <w:trHeight w:val="300"/>
        </w:trPr>
        <w:tc>
          <w:tcPr>
            <w:tcW w:w="2430" w:type="dxa"/>
            <w:tcBorders>
              <w:left w:val="single" w:sz="6" w:space="0" w:color="auto"/>
            </w:tcBorders>
            <w:tcMar>
              <w:left w:w="105" w:type="dxa"/>
              <w:right w:w="105" w:type="dxa"/>
            </w:tcMar>
            <w:vAlign w:val="center"/>
          </w:tcPr>
          <w:p w14:paraId="6B607D94" w14:textId="0A796E49"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10</w:t>
            </w:r>
          </w:p>
        </w:tc>
        <w:tc>
          <w:tcPr>
            <w:tcW w:w="2430" w:type="dxa"/>
            <w:tcMar>
              <w:left w:w="105" w:type="dxa"/>
              <w:right w:w="105" w:type="dxa"/>
            </w:tcMar>
            <w:vAlign w:val="center"/>
          </w:tcPr>
          <w:p w14:paraId="76AD9D98" w14:textId="2C55BC61" w:rsidR="058666D1" w:rsidRPr="00D10954" w:rsidRDefault="058666D1" w:rsidP="6944AD4D">
            <w:pPr>
              <w:spacing w:after="0"/>
              <w:ind w:left="60" w:right="60"/>
              <w:jc w:val="center"/>
              <w:rPr>
                <w:rFonts w:eastAsia="Arial" w:cs="Arial"/>
                <w:color w:val="000000" w:themeColor="text1"/>
              </w:rPr>
            </w:pPr>
            <w:r w:rsidRPr="00D10954">
              <w:rPr>
                <w:rFonts w:eastAsia="Arial" w:cs="Arial"/>
                <w:color w:val="000000" w:themeColor="text1"/>
              </w:rPr>
              <w:t>-5.0</w:t>
            </w:r>
            <w:r w:rsidR="6944AD4D" w:rsidRPr="00D10954">
              <w:rPr>
                <w:rFonts w:eastAsia="Arial" w:cs="Arial"/>
                <w:color w:val="000000" w:themeColor="text1"/>
              </w:rPr>
              <w:t>%</w:t>
            </w:r>
          </w:p>
        </w:tc>
        <w:tc>
          <w:tcPr>
            <w:tcW w:w="2430" w:type="dxa"/>
            <w:tcMar>
              <w:left w:w="105" w:type="dxa"/>
              <w:right w:w="105" w:type="dxa"/>
            </w:tcMar>
            <w:vAlign w:val="center"/>
          </w:tcPr>
          <w:p w14:paraId="0E0FF787" w14:textId="1E8C7710" w:rsidR="5EF585F7" w:rsidRPr="00D10954" w:rsidRDefault="5EF585F7" w:rsidP="6944AD4D">
            <w:pPr>
              <w:spacing w:after="0"/>
              <w:jc w:val="center"/>
              <w:rPr>
                <w:rFonts w:eastAsia="Arial" w:cs="Arial"/>
                <w:color w:val="000000" w:themeColor="text1"/>
              </w:rPr>
            </w:pPr>
            <w:r w:rsidRPr="00D10954">
              <w:rPr>
                <w:rFonts w:eastAsia="Arial" w:cs="Arial"/>
                <w:color w:val="000000" w:themeColor="text1"/>
              </w:rPr>
              <w:t>-5.5</w:t>
            </w:r>
            <w:r w:rsidR="6944AD4D" w:rsidRPr="00D10954">
              <w:rPr>
                <w:rFonts w:eastAsia="Arial" w:cs="Arial"/>
                <w:color w:val="000000" w:themeColor="text1"/>
              </w:rPr>
              <w:t>%</w:t>
            </w:r>
          </w:p>
        </w:tc>
        <w:tc>
          <w:tcPr>
            <w:tcW w:w="2430" w:type="dxa"/>
            <w:tcBorders>
              <w:right w:val="single" w:sz="6" w:space="0" w:color="auto"/>
            </w:tcBorders>
            <w:tcMar>
              <w:left w:w="105" w:type="dxa"/>
              <w:right w:w="105" w:type="dxa"/>
            </w:tcMar>
            <w:vAlign w:val="center"/>
          </w:tcPr>
          <w:p w14:paraId="4ED81B23" w14:textId="52A8DBDC"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r w:rsidR="6944AD4D" w:rsidRPr="00D10954" w14:paraId="2D179BF6" w14:textId="77777777" w:rsidTr="00F345FB">
        <w:trPr>
          <w:cantSplit/>
          <w:trHeight w:val="300"/>
        </w:trPr>
        <w:tc>
          <w:tcPr>
            <w:tcW w:w="2430" w:type="dxa"/>
            <w:tcBorders>
              <w:left w:val="single" w:sz="6" w:space="0" w:color="auto"/>
              <w:bottom w:val="single" w:sz="6" w:space="0" w:color="auto"/>
            </w:tcBorders>
            <w:tcMar>
              <w:left w:w="105" w:type="dxa"/>
              <w:right w:w="105" w:type="dxa"/>
            </w:tcMar>
            <w:vAlign w:val="center"/>
          </w:tcPr>
          <w:p w14:paraId="3FCA7D52" w14:textId="4D48D5FF" w:rsidR="6944AD4D" w:rsidRPr="00D10954" w:rsidRDefault="6944AD4D" w:rsidP="6944AD4D">
            <w:pPr>
              <w:spacing w:after="0"/>
              <w:ind w:left="60" w:right="60"/>
              <w:jc w:val="center"/>
              <w:rPr>
                <w:rFonts w:eastAsia="Arial" w:cs="Arial"/>
                <w:color w:val="000000" w:themeColor="text1"/>
              </w:rPr>
            </w:pPr>
            <w:r w:rsidRPr="00D10954">
              <w:rPr>
                <w:rFonts w:eastAsia="Arial" w:cs="Arial"/>
                <w:color w:val="000000" w:themeColor="text1"/>
              </w:rPr>
              <w:t>5</w:t>
            </w:r>
          </w:p>
        </w:tc>
        <w:tc>
          <w:tcPr>
            <w:tcW w:w="2430" w:type="dxa"/>
            <w:tcBorders>
              <w:bottom w:val="single" w:sz="6" w:space="0" w:color="auto"/>
            </w:tcBorders>
            <w:tcMar>
              <w:left w:w="105" w:type="dxa"/>
              <w:right w:w="105" w:type="dxa"/>
            </w:tcMar>
            <w:vAlign w:val="center"/>
          </w:tcPr>
          <w:p w14:paraId="7170DBD1" w14:textId="1B1C87D7" w:rsidR="763EF805" w:rsidRPr="00D10954" w:rsidRDefault="763EF805" w:rsidP="6944AD4D">
            <w:pPr>
              <w:spacing w:after="0"/>
              <w:ind w:left="60" w:right="60"/>
              <w:jc w:val="center"/>
              <w:rPr>
                <w:rFonts w:eastAsia="Arial" w:cs="Arial"/>
                <w:color w:val="000000" w:themeColor="text1"/>
              </w:rPr>
            </w:pPr>
            <w:r w:rsidRPr="00D10954">
              <w:rPr>
                <w:rFonts w:eastAsia="Arial" w:cs="Arial"/>
                <w:color w:val="000000" w:themeColor="text1"/>
              </w:rPr>
              <w:t>-7.9</w:t>
            </w:r>
            <w:r w:rsidR="6944AD4D" w:rsidRPr="00D10954">
              <w:rPr>
                <w:rFonts w:eastAsia="Arial" w:cs="Arial"/>
                <w:color w:val="000000" w:themeColor="text1"/>
              </w:rPr>
              <w:t>%</w:t>
            </w:r>
          </w:p>
        </w:tc>
        <w:tc>
          <w:tcPr>
            <w:tcW w:w="2430" w:type="dxa"/>
            <w:tcBorders>
              <w:bottom w:val="single" w:sz="6" w:space="0" w:color="auto"/>
            </w:tcBorders>
            <w:tcMar>
              <w:left w:w="105" w:type="dxa"/>
              <w:right w:w="105" w:type="dxa"/>
            </w:tcMar>
            <w:vAlign w:val="center"/>
          </w:tcPr>
          <w:p w14:paraId="3D052790" w14:textId="74FAFA67" w:rsidR="6DE735CA" w:rsidRPr="00D10954" w:rsidRDefault="6DE735CA" w:rsidP="6944AD4D">
            <w:pPr>
              <w:spacing w:after="0"/>
              <w:jc w:val="center"/>
              <w:rPr>
                <w:rFonts w:eastAsia="Arial" w:cs="Arial"/>
                <w:color w:val="000000" w:themeColor="text1"/>
              </w:rPr>
            </w:pPr>
            <w:r w:rsidRPr="00D10954">
              <w:rPr>
                <w:rFonts w:eastAsia="Arial" w:cs="Arial"/>
                <w:color w:val="000000" w:themeColor="text1"/>
              </w:rPr>
              <w:t>-11.1</w:t>
            </w:r>
            <w:r w:rsidR="6944AD4D" w:rsidRPr="00D10954">
              <w:rPr>
                <w:rFonts w:eastAsia="Arial" w:cs="Arial"/>
                <w:color w:val="000000" w:themeColor="text1"/>
              </w:rPr>
              <w:t>%</w:t>
            </w:r>
          </w:p>
        </w:tc>
        <w:tc>
          <w:tcPr>
            <w:tcW w:w="2430" w:type="dxa"/>
            <w:tcBorders>
              <w:bottom w:val="single" w:sz="6" w:space="0" w:color="auto"/>
              <w:right w:val="single" w:sz="6" w:space="0" w:color="auto"/>
            </w:tcBorders>
            <w:tcMar>
              <w:left w:w="105" w:type="dxa"/>
              <w:right w:w="105" w:type="dxa"/>
            </w:tcMar>
            <w:vAlign w:val="center"/>
          </w:tcPr>
          <w:p w14:paraId="56ADA650" w14:textId="37422897" w:rsidR="6944AD4D" w:rsidRPr="00D10954" w:rsidRDefault="6944AD4D" w:rsidP="6944AD4D">
            <w:pPr>
              <w:spacing w:after="0"/>
              <w:jc w:val="center"/>
              <w:rPr>
                <w:rFonts w:eastAsia="Arial" w:cs="Arial"/>
                <w:color w:val="000000" w:themeColor="text1"/>
              </w:rPr>
            </w:pPr>
            <w:r w:rsidRPr="00D10954">
              <w:rPr>
                <w:rFonts w:eastAsia="Arial" w:cs="Arial"/>
                <w:color w:val="000000" w:themeColor="text1"/>
              </w:rPr>
              <w:t>N/A</w:t>
            </w:r>
          </w:p>
        </w:tc>
      </w:tr>
    </w:tbl>
    <w:p w14:paraId="286E6714" w14:textId="77777777" w:rsidR="6944AD4D" w:rsidRPr="00D10954" w:rsidRDefault="6944AD4D" w:rsidP="6944AD4D">
      <w:pPr>
        <w:pStyle w:val="Body"/>
        <w:spacing w:after="360"/>
      </w:pPr>
    </w:p>
    <w:p w14:paraId="2CE8763C" w14:textId="31B573CA" w:rsidR="30D1C8DE" w:rsidRPr="00D10954" w:rsidRDefault="63A00084" w:rsidP="00127CAF">
      <w:pPr>
        <w:pStyle w:val="Heading4"/>
      </w:pPr>
      <w:r w:rsidRPr="00D10954">
        <w:lastRenderedPageBreak/>
        <w:t xml:space="preserve">Revisiting </w:t>
      </w:r>
      <w:r w:rsidR="2D681110" w:rsidRPr="00D10954">
        <w:t xml:space="preserve">the </w:t>
      </w:r>
      <w:r w:rsidR="30D1C8DE" w:rsidRPr="00D10954">
        <w:t>Stability of Chronic Absenteeism Status and Change Levels Over Time</w:t>
      </w:r>
    </w:p>
    <w:p w14:paraId="040E0245" w14:textId="44EF2EDB" w:rsidR="30D1C8DE" w:rsidRPr="00D10954" w:rsidRDefault="30D1C8DE" w:rsidP="004775E3">
      <w:pPr>
        <w:rPr>
          <w:rFonts w:eastAsia="Arial" w:cs="Arial"/>
          <w:color w:val="000000" w:themeColor="text1"/>
        </w:rPr>
      </w:pPr>
      <w:r w:rsidRPr="00D10954">
        <w:rPr>
          <w:rFonts w:eastAsia="Arial" w:cs="Arial"/>
          <w:color w:val="000000" w:themeColor="text1"/>
        </w:rPr>
        <w:t xml:space="preserve">Table </w:t>
      </w:r>
      <w:r w:rsidR="3BE3670A" w:rsidRPr="00D10954">
        <w:rPr>
          <w:rFonts w:eastAsia="Arial" w:cs="Arial"/>
          <w:color w:val="000000" w:themeColor="text1"/>
        </w:rPr>
        <w:t>1</w:t>
      </w:r>
      <w:r w:rsidR="37602E41" w:rsidRPr="00D10954">
        <w:rPr>
          <w:rFonts w:eastAsia="Arial" w:cs="Arial"/>
          <w:color w:val="000000" w:themeColor="text1"/>
        </w:rPr>
        <w:t>3</w:t>
      </w:r>
      <w:r w:rsidRPr="00D10954">
        <w:rPr>
          <w:rFonts w:eastAsia="Arial" w:cs="Arial"/>
          <w:color w:val="000000" w:themeColor="text1"/>
        </w:rPr>
        <w:t xml:space="preserve"> displays the status distribution of Chronic Absenteeism rates in 2017, 2018, 2019 and 2022. In 2017, 2018 and 2019, the Chronic Absenteeism status levels remained consistent. However, the 2022 status levels deviate from the prior two years on the Dashboard</w:t>
      </w:r>
      <w:r w:rsidR="00F6135C" w:rsidRPr="00D10954">
        <w:rPr>
          <w:rFonts w:eastAsia="Arial" w:cs="Arial"/>
          <w:color w:val="000000" w:themeColor="text1"/>
        </w:rPr>
        <w:t xml:space="preserve"> due to the impacts of COVID-19 on the 2021-22 school year</w:t>
      </w:r>
      <w:r w:rsidRPr="00D10954">
        <w:rPr>
          <w:rFonts w:eastAsia="Arial" w:cs="Arial"/>
          <w:color w:val="000000" w:themeColor="text1"/>
        </w:rPr>
        <w:t>.</w:t>
      </w:r>
    </w:p>
    <w:p w14:paraId="22F2D191" w14:textId="426A8DF4" w:rsidR="30D1C8DE" w:rsidRPr="00D10954" w:rsidRDefault="30D1C8DE" w:rsidP="005266F6">
      <w:pPr>
        <w:pStyle w:val="Heading4"/>
        <w:spacing w:after="0"/>
      </w:pPr>
      <w:r w:rsidRPr="00D10954">
        <w:t xml:space="preserve">Table </w:t>
      </w:r>
      <w:r w:rsidR="0741CBDE" w:rsidRPr="00D10954">
        <w:t>1</w:t>
      </w:r>
      <w:r w:rsidR="1E84324D" w:rsidRPr="00D10954">
        <w:t>3</w:t>
      </w:r>
      <w:r w:rsidRPr="00D10954">
        <w:t>: Status Distributions for the 201</w:t>
      </w:r>
      <w:r w:rsidR="765A3703" w:rsidRPr="00D10954">
        <w:t>7, 201</w:t>
      </w:r>
      <w:r w:rsidRPr="00D10954">
        <w:t>8, 2019</w:t>
      </w:r>
      <w:r w:rsidR="00127CAF" w:rsidRPr="00D10954">
        <w:t>, and</w:t>
      </w:r>
      <w:r w:rsidRPr="00D10954">
        <w:t xml:space="preserve"> 2022 Chronic Absenteeism Rate</w:t>
      </w:r>
    </w:p>
    <w:p w14:paraId="089FD045" w14:textId="15DC30F0" w:rsidR="30D1C8DE" w:rsidRPr="00D10954" w:rsidRDefault="30D1C8DE" w:rsidP="00127CAF">
      <w:pPr>
        <w:rPr>
          <w:rFonts w:eastAsia="Arial" w:cs="Arial"/>
          <w:color w:val="000000" w:themeColor="text1"/>
        </w:rPr>
      </w:pPr>
      <w:r w:rsidRPr="00D10954">
        <w:rPr>
          <w:rFonts w:eastAsia="Arial" w:cs="Arial"/>
          <w:color w:val="000000" w:themeColor="text1"/>
        </w:rPr>
        <w:t>(Based on County Office of Education, District, and All Charter School Data)</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able 6: Status Distributions for the 2017, 2018, 2019, and 2022 Chronic Absenteeism Rate"/>
        <w:tblDescription w:val="Table 6: Status Distributions for the 2017, 2018, 2019, and 2022 Chronic Absenteeism Rate"/>
      </w:tblPr>
      <w:tblGrid>
        <w:gridCol w:w="1500"/>
        <w:gridCol w:w="1980"/>
        <w:gridCol w:w="1980"/>
        <w:gridCol w:w="1950"/>
        <w:gridCol w:w="1890"/>
      </w:tblGrid>
      <w:tr w:rsidR="228CF246" w:rsidRPr="00D10954" w14:paraId="10D2EA90" w14:textId="77777777" w:rsidTr="00556405">
        <w:trPr>
          <w:cantSplit/>
          <w:trHeight w:val="315"/>
          <w:tblHeader/>
        </w:trPr>
        <w:tc>
          <w:tcPr>
            <w:tcW w:w="1500" w:type="dxa"/>
            <w:tcBorders>
              <w:top w:val="single" w:sz="6" w:space="0" w:color="auto"/>
              <w:left w:val="single" w:sz="6" w:space="0" w:color="auto"/>
            </w:tcBorders>
            <w:tcMar>
              <w:left w:w="105" w:type="dxa"/>
              <w:right w:w="105" w:type="dxa"/>
            </w:tcMar>
            <w:vAlign w:val="center"/>
          </w:tcPr>
          <w:p w14:paraId="7A810C37" w14:textId="08C82133" w:rsidR="228CF246" w:rsidRPr="00D10954" w:rsidRDefault="228CF246" w:rsidP="00926CA4">
            <w:pPr>
              <w:spacing w:after="0"/>
              <w:jc w:val="center"/>
              <w:rPr>
                <w:rFonts w:eastAsia="Arial" w:cs="Arial"/>
              </w:rPr>
            </w:pPr>
            <w:r w:rsidRPr="00D10954">
              <w:rPr>
                <w:rFonts w:eastAsia="Arial" w:cs="Arial"/>
                <w:b/>
                <w:bCs/>
              </w:rPr>
              <w:t>Percentile</w:t>
            </w:r>
          </w:p>
        </w:tc>
        <w:tc>
          <w:tcPr>
            <w:tcW w:w="1980" w:type="dxa"/>
            <w:tcBorders>
              <w:top w:val="single" w:sz="6" w:space="0" w:color="auto"/>
            </w:tcBorders>
            <w:tcMar>
              <w:left w:w="105" w:type="dxa"/>
              <w:right w:w="105" w:type="dxa"/>
            </w:tcMar>
            <w:vAlign w:val="center"/>
          </w:tcPr>
          <w:p w14:paraId="70B5CFBB" w14:textId="6E63D6BE" w:rsidR="228CF246" w:rsidRPr="00D10954" w:rsidRDefault="228CF246" w:rsidP="00926CA4">
            <w:pPr>
              <w:spacing w:after="0"/>
              <w:jc w:val="center"/>
              <w:rPr>
                <w:rFonts w:eastAsia="Arial" w:cs="Arial"/>
              </w:rPr>
            </w:pPr>
            <w:r w:rsidRPr="00D10954">
              <w:rPr>
                <w:rFonts w:eastAsia="Arial" w:cs="Arial"/>
                <w:b/>
                <w:bCs/>
              </w:rPr>
              <w:t>2017</w:t>
            </w:r>
            <w:r w:rsidRPr="00D10954">
              <w:br/>
            </w:r>
            <w:r w:rsidRPr="00D10954">
              <w:rPr>
                <w:rFonts w:eastAsia="Arial" w:cs="Arial"/>
                <w:b/>
                <w:bCs/>
              </w:rPr>
              <w:t>Chronic Absenteeism Status</w:t>
            </w:r>
          </w:p>
        </w:tc>
        <w:tc>
          <w:tcPr>
            <w:tcW w:w="1980" w:type="dxa"/>
            <w:tcBorders>
              <w:top w:val="single" w:sz="6" w:space="0" w:color="auto"/>
            </w:tcBorders>
            <w:tcMar>
              <w:left w:w="105" w:type="dxa"/>
              <w:right w:w="105" w:type="dxa"/>
            </w:tcMar>
            <w:vAlign w:val="center"/>
          </w:tcPr>
          <w:p w14:paraId="1A64D201" w14:textId="216DB917" w:rsidR="228CF246" w:rsidRPr="00D10954" w:rsidRDefault="228CF246" w:rsidP="00926CA4">
            <w:pPr>
              <w:spacing w:after="0"/>
              <w:jc w:val="center"/>
              <w:rPr>
                <w:rFonts w:eastAsia="Arial" w:cs="Arial"/>
              </w:rPr>
            </w:pPr>
            <w:r w:rsidRPr="00D10954">
              <w:rPr>
                <w:rFonts w:eastAsia="Arial" w:cs="Arial"/>
                <w:b/>
                <w:bCs/>
              </w:rPr>
              <w:t>2018</w:t>
            </w:r>
            <w:r w:rsidRPr="00D10954">
              <w:br/>
            </w:r>
            <w:r w:rsidRPr="00D10954">
              <w:rPr>
                <w:rFonts w:eastAsia="Arial" w:cs="Arial"/>
                <w:b/>
                <w:bCs/>
              </w:rPr>
              <w:t>Chronic Absenteeism Status</w:t>
            </w:r>
          </w:p>
        </w:tc>
        <w:tc>
          <w:tcPr>
            <w:tcW w:w="1950" w:type="dxa"/>
            <w:tcBorders>
              <w:top w:val="single" w:sz="6" w:space="0" w:color="auto"/>
            </w:tcBorders>
            <w:tcMar>
              <w:left w:w="105" w:type="dxa"/>
              <w:right w:w="105" w:type="dxa"/>
            </w:tcMar>
            <w:vAlign w:val="center"/>
          </w:tcPr>
          <w:p w14:paraId="62E60415" w14:textId="47BCA736" w:rsidR="228CF246" w:rsidRPr="00D10954" w:rsidRDefault="228CF246" w:rsidP="00926CA4">
            <w:pPr>
              <w:spacing w:after="0"/>
              <w:jc w:val="center"/>
              <w:rPr>
                <w:rFonts w:eastAsia="Arial" w:cs="Arial"/>
              </w:rPr>
            </w:pPr>
            <w:r w:rsidRPr="00D10954">
              <w:rPr>
                <w:rFonts w:eastAsia="Arial" w:cs="Arial"/>
                <w:b/>
                <w:bCs/>
              </w:rPr>
              <w:t>2019</w:t>
            </w:r>
            <w:r w:rsidRPr="00D10954">
              <w:br/>
            </w:r>
            <w:r w:rsidRPr="00D10954">
              <w:rPr>
                <w:rFonts w:eastAsia="Arial" w:cs="Arial"/>
                <w:b/>
                <w:bCs/>
              </w:rPr>
              <w:t>Chronic Absenteeism Status</w:t>
            </w:r>
          </w:p>
        </w:tc>
        <w:tc>
          <w:tcPr>
            <w:tcW w:w="1890" w:type="dxa"/>
            <w:tcBorders>
              <w:top w:val="single" w:sz="6" w:space="0" w:color="auto"/>
              <w:right w:val="single" w:sz="6" w:space="0" w:color="auto"/>
            </w:tcBorders>
            <w:tcMar>
              <w:left w:w="105" w:type="dxa"/>
              <w:right w:w="105" w:type="dxa"/>
            </w:tcMar>
            <w:vAlign w:val="center"/>
          </w:tcPr>
          <w:p w14:paraId="6932D915" w14:textId="24C40740" w:rsidR="228CF246" w:rsidRPr="00D10954" w:rsidRDefault="228CF246" w:rsidP="00926CA4">
            <w:pPr>
              <w:spacing w:after="0"/>
              <w:jc w:val="center"/>
              <w:rPr>
                <w:rFonts w:eastAsia="Arial" w:cs="Arial"/>
              </w:rPr>
            </w:pPr>
            <w:r w:rsidRPr="00D10954">
              <w:rPr>
                <w:rFonts w:eastAsia="Arial" w:cs="Arial"/>
                <w:b/>
                <w:bCs/>
              </w:rPr>
              <w:t>2022</w:t>
            </w:r>
            <w:r w:rsidRPr="00D10954">
              <w:br/>
            </w:r>
            <w:r w:rsidRPr="00D10954">
              <w:rPr>
                <w:rFonts w:eastAsia="Arial" w:cs="Arial"/>
                <w:b/>
                <w:bCs/>
              </w:rPr>
              <w:t>Chronic Absenteeism Status</w:t>
            </w:r>
          </w:p>
        </w:tc>
      </w:tr>
      <w:tr w:rsidR="228CF246" w:rsidRPr="00D10954" w14:paraId="50BA38AB" w14:textId="77777777" w:rsidTr="00556405">
        <w:trPr>
          <w:cantSplit/>
          <w:trHeight w:val="315"/>
        </w:trPr>
        <w:tc>
          <w:tcPr>
            <w:tcW w:w="1500" w:type="dxa"/>
            <w:tcBorders>
              <w:left w:val="single" w:sz="6" w:space="0" w:color="auto"/>
            </w:tcBorders>
            <w:tcMar>
              <w:left w:w="105" w:type="dxa"/>
              <w:right w:w="105" w:type="dxa"/>
            </w:tcMar>
            <w:vAlign w:val="center"/>
          </w:tcPr>
          <w:p w14:paraId="24B51514" w14:textId="51B410CB" w:rsidR="228CF246" w:rsidRPr="00D10954" w:rsidRDefault="228CF246" w:rsidP="00926CA4">
            <w:pPr>
              <w:spacing w:after="0"/>
              <w:ind w:left="60" w:right="60"/>
              <w:jc w:val="center"/>
              <w:rPr>
                <w:rFonts w:eastAsia="Arial" w:cs="Arial"/>
              </w:rPr>
            </w:pPr>
            <w:r w:rsidRPr="00D10954">
              <w:rPr>
                <w:rFonts w:eastAsia="Arial" w:cs="Arial"/>
              </w:rPr>
              <w:t>95</w:t>
            </w:r>
          </w:p>
        </w:tc>
        <w:tc>
          <w:tcPr>
            <w:tcW w:w="1980" w:type="dxa"/>
            <w:tcMar>
              <w:left w:w="105" w:type="dxa"/>
              <w:right w:w="105" w:type="dxa"/>
            </w:tcMar>
            <w:vAlign w:val="center"/>
          </w:tcPr>
          <w:p w14:paraId="014BA0F5" w14:textId="490516E4" w:rsidR="228CF246" w:rsidRPr="00D10954" w:rsidRDefault="228CF246" w:rsidP="00926CA4">
            <w:pPr>
              <w:spacing w:after="0"/>
              <w:ind w:left="60" w:right="60"/>
              <w:jc w:val="center"/>
              <w:rPr>
                <w:rFonts w:eastAsia="Arial" w:cs="Arial"/>
              </w:rPr>
            </w:pPr>
            <w:r w:rsidRPr="00D10954">
              <w:rPr>
                <w:rFonts w:eastAsia="Arial" w:cs="Arial"/>
              </w:rPr>
              <w:t>0.9%</w:t>
            </w:r>
          </w:p>
        </w:tc>
        <w:tc>
          <w:tcPr>
            <w:tcW w:w="1980" w:type="dxa"/>
            <w:tcMar>
              <w:left w:w="105" w:type="dxa"/>
              <w:right w:w="105" w:type="dxa"/>
            </w:tcMar>
            <w:vAlign w:val="center"/>
          </w:tcPr>
          <w:p w14:paraId="599BC551" w14:textId="3CE5FA25" w:rsidR="228CF246" w:rsidRPr="00D10954" w:rsidRDefault="228CF246" w:rsidP="00926CA4">
            <w:pPr>
              <w:spacing w:after="0"/>
              <w:ind w:left="60" w:right="60"/>
              <w:jc w:val="center"/>
              <w:rPr>
                <w:rFonts w:eastAsia="Arial" w:cs="Arial"/>
              </w:rPr>
            </w:pPr>
            <w:r w:rsidRPr="00D10954">
              <w:rPr>
                <w:rFonts w:eastAsia="Arial" w:cs="Arial"/>
              </w:rPr>
              <w:t>0.6%</w:t>
            </w:r>
          </w:p>
        </w:tc>
        <w:tc>
          <w:tcPr>
            <w:tcW w:w="1950" w:type="dxa"/>
            <w:tcMar>
              <w:left w:w="105" w:type="dxa"/>
              <w:right w:w="105" w:type="dxa"/>
            </w:tcMar>
            <w:vAlign w:val="center"/>
          </w:tcPr>
          <w:p w14:paraId="4F33C7E3" w14:textId="4D03C3B0" w:rsidR="228CF246" w:rsidRPr="00D10954" w:rsidRDefault="228CF246" w:rsidP="00926CA4">
            <w:pPr>
              <w:spacing w:after="0"/>
              <w:jc w:val="center"/>
              <w:rPr>
                <w:rFonts w:eastAsia="Arial" w:cs="Arial"/>
              </w:rPr>
            </w:pPr>
            <w:r w:rsidRPr="00D10954">
              <w:rPr>
                <w:rFonts w:eastAsia="Arial" w:cs="Arial"/>
              </w:rPr>
              <w:t>0.8%</w:t>
            </w:r>
          </w:p>
        </w:tc>
        <w:tc>
          <w:tcPr>
            <w:tcW w:w="1890" w:type="dxa"/>
            <w:tcBorders>
              <w:right w:val="single" w:sz="6" w:space="0" w:color="auto"/>
            </w:tcBorders>
            <w:tcMar>
              <w:left w:w="105" w:type="dxa"/>
              <w:right w:w="105" w:type="dxa"/>
            </w:tcMar>
            <w:vAlign w:val="center"/>
          </w:tcPr>
          <w:p w14:paraId="1E07CC76" w14:textId="4CE7C672" w:rsidR="228CF246" w:rsidRPr="00D10954" w:rsidRDefault="228CF246" w:rsidP="00926CA4">
            <w:pPr>
              <w:spacing w:after="0"/>
              <w:jc w:val="center"/>
              <w:rPr>
                <w:rFonts w:eastAsia="Arial" w:cs="Arial"/>
              </w:rPr>
            </w:pPr>
            <w:r w:rsidRPr="00D10954">
              <w:rPr>
                <w:rFonts w:eastAsia="Arial" w:cs="Arial"/>
              </w:rPr>
              <w:t>2.0%</w:t>
            </w:r>
          </w:p>
        </w:tc>
      </w:tr>
      <w:tr w:rsidR="228CF246" w:rsidRPr="00D10954" w14:paraId="2E01DFDD" w14:textId="77777777" w:rsidTr="00556405">
        <w:trPr>
          <w:cantSplit/>
          <w:trHeight w:val="315"/>
        </w:trPr>
        <w:tc>
          <w:tcPr>
            <w:tcW w:w="1500" w:type="dxa"/>
            <w:tcBorders>
              <w:left w:val="single" w:sz="6" w:space="0" w:color="auto"/>
            </w:tcBorders>
            <w:tcMar>
              <w:left w:w="105" w:type="dxa"/>
              <w:right w:w="105" w:type="dxa"/>
            </w:tcMar>
            <w:vAlign w:val="center"/>
          </w:tcPr>
          <w:p w14:paraId="45D2D793" w14:textId="2733CA95" w:rsidR="228CF246" w:rsidRPr="00D10954" w:rsidRDefault="228CF246" w:rsidP="00926CA4">
            <w:pPr>
              <w:spacing w:after="0"/>
              <w:ind w:left="60" w:right="60"/>
              <w:jc w:val="center"/>
              <w:rPr>
                <w:rFonts w:eastAsia="Arial" w:cs="Arial"/>
              </w:rPr>
            </w:pPr>
            <w:r w:rsidRPr="00D10954">
              <w:rPr>
                <w:rFonts w:eastAsia="Arial" w:cs="Arial"/>
              </w:rPr>
              <w:t>90</w:t>
            </w:r>
          </w:p>
        </w:tc>
        <w:tc>
          <w:tcPr>
            <w:tcW w:w="1980" w:type="dxa"/>
            <w:tcMar>
              <w:left w:w="105" w:type="dxa"/>
              <w:right w:w="105" w:type="dxa"/>
            </w:tcMar>
            <w:vAlign w:val="center"/>
          </w:tcPr>
          <w:p w14:paraId="20DE14A8" w14:textId="622FA691" w:rsidR="228CF246" w:rsidRPr="00D10954" w:rsidRDefault="228CF246" w:rsidP="00926CA4">
            <w:pPr>
              <w:spacing w:after="0"/>
              <w:ind w:left="60" w:right="60"/>
              <w:jc w:val="center"/>
              <w:rPr>
                <w:rFonts w:eastAsia="Arial" w:cs="Arial"/>
              </w:rPr>
            </w:pPr>
            <w:r w:rsidRPr="00D10954">
              <w:rPr>
                <w:rFonts w:eastAsia="Arial" w:cs="Arial"/>
              </w:rPr>
              <w:t>2.2%</w:t>
            </w:r>
          </w:p>
        </w:tc>
        <w:tc>
          <w:tcPr>
            <w:tcW w:w="1980" w:type="dxa"/>
            <w:tcMar>
              <w:left w:w="105" w:type="dxa"/>
              <w:right w:w="105" w:type="dxa"/>
            </w:tcMar>
            <w:vAlign w:val="center"/>
          </w:tcPr>
          <w:p w14:paraId="028F8C34" w14:textId="2487D1A8" w:rsidR="228CF246" w:rsidRPr="00D10954" w:rsidRDefault="228CF246" w:rsidP="00926CA4">
            <w:pPr>
              <w:spacing w:after="0"/>
              <w:ind w:left="60" w:right="60"/>
              <w:jc w:val="center"/>
              <w:rPr>
                <w:rFonts w:eastAsia="Arial" w:cs="Arial"/>
              </w:rPr>
            </w:pPr>
            <w:r w:rsidRPr="00D10954">
              <w:rPr>
                <w:rFonts w:eastAsia="Arial" w:cs="Arial"/>
              </w:rPr>
              <w:t>2.3%</w:t>
            </w:r>
          </w:p>
        </w:tc>
        <w:tc>
          <w:tcPr>
            <w:tcW w:w="1950" w:type="dxa"/>
            <w:tcMar>
              <w:left w:w="105" w:type="dxa"/>
              <w:right w:w="105" w:type="dxa"/>
            </w:tcMar>
            <w:vAlign w:val="center"/>
          </w:tcPr>
          <w:p w14:paraId="656D5509" w14:textId="25A5BB34" w:rsidR="228CF246" w:rsidRPr="00D10954" w:rsidRDefault="228CF246" w:rsidP="00926CA4">
            <w:pPr>
              <w:spacing w:after="0"/>
              <w:jc w:val="center"/>
              <w:rPr>
                <w:rFonts w:eastAsia="Arial" w:cs="Arial"/>
              </w:rPr>
            </w:pPr>
            <w:r w:rsidRPr="00D10954">
              <w:rPr>
                <w:rFonts w:eastAsia="Arial" w:cs="Arial"/>
              </w:rPr>
              <w:t>2.2%</w:t>
            </w:r>
          </w:p>
        </w:tc>
        <w:tc>
          <w:tcPr>
            <w:tcW w:w="1890" w:type="dxa"/>
            <w:tcBorders>
              <w:right w:val="single" w:sz="6" w:space="0" w:color="auto"/>
            </w:tcBorders>
            <w:tcMar>
              <w:left w:w="105" w:type="dxa"/>
              <w:right w:w="105" w:type="dxa"/>
            </w:tcMar>
            <w:vAlign w:val="center"/>
          </w:tcPr>
          <w:p w14:paraId="3C8463F0" w14:textId="3ACD21E9" w:rsidR="228CF246" w:rsidRPr="00D10954" w:rsidRDefault="228CF246" w:rsidP="00926CA4">
            <w:pPr>
              <w:spacing w:after="0"/>
              <w:jc w:val="center"/>
              <w:rPr>
                <w:rFonts w:eastAsia="Arial" w:cs="Arial"/>
              </w:rPr>
            </w:pPr>
            <w:r w:rsidRPr="00D10954">
              <w:rPr>
                <w:rFonts w:eastAsia="Arial" w:cs="Arial"/>
              </w:rPr>
              <w:t>6.1%</w:t>
            </w:r>
          </w:p>
        </w:tc>
      </w:tr>
      <w:tr w:rsidR="228CF246" w:rsidRPr="00D10954" w14:paraId="6120A63F" w14:textId="77777777" w:rsidTr="00556405">
        <w:trPr>
          <w:cantSplit/>
          <w:trHeight w:val="315"/>
        </w:trPr>
        <w:tc>
          <w:tcPr>
            <w:tcW w:w="1500" w:type="dxa"/>
            <w:tcBorders>
              <w:left w:val="single" w:sz="6" w:space="0" w:color="auto"/>
            </w:tcBorders>
            <w:tcMar>
              <w:left w:w="105" w:type="dxa"/>
              <w:right w:w="105" w:type="dxa"/>
            </w:tcMar>
            <w:vAlign w:val="center"/>
          </w:tcPr>
          <w:p w14:paraId="112F9395" w14:textId="431C5CA2" w:rsidR="228CF246" w:rsidRPr="00D10954" w:rsidRDefault="228CF246" w:rsidP="00926CA4">
            <w:pPr>
              <w:spacing w:after="0"/>
              <w:ind w:left="60" w:right="60"/>
              <w:jc w:val="center"/>
              <w:rPr>
                <w:rFonts w:eastAsia="Arial" w:cs="Arial"/>
              </w:rPr>
            </w:pPr>
            <w:r w:rsidRPr="00D10954">
              <w:rPr>
                <w:rFonts w:eastAsia="Arial" w:cs="Arial"/>
              </w:rPr>
              <w:t>85</w:t>
            </w:r>
          </w:p>
        </w:tc>
        <w:tc>
          <w:tcPr>
            <w:tcW w:w="1980" w:type="dxa"/>
            <w:tcMar>
              <w:left w:w="105" w:type="dxa"/>
              <w:right w:w="105" w:type="dxa"/>
            </w:tcMar>
            <w:vAlign w:val="center"/>
          </w:tcPr>
          <w:p w14:paraId="36A02987" w14:textId="1681573A" w:rsidR="228CF246" w:rsidRPr="00D10954" w:rsidRDefault="228CF246" w:rsidP="00926CA4">
            <w:pPr>
              <w:spacing w:after="0"/>
              <w:ind w:left="60" w:right="60"/>
              <w:jc w:val="center"/>
              <w:rPr>
                <w:rFonts w:eastAsia="Arial" w:cs="Arial"/>
              </w:rPr>
            </w:pPr>
            <w:r w:rsidRPr="00D10954">
              <w:rPr>
                <w:rFonts w:eastAsia="Arial" w:cs="Arial"/>
              </w:rPr>
              <w:t>3.3%</w:t>
            </w:r>
          </w:p>
        </w:tc>
        <w:tc>
          <w:tcPr>
            <w:tcW w:w="1980" w:type="dxa"/>
            <w:tcMar>
              <w:left w:w="105" w:type="dxa"/>
              <w:right w:w="105" w:type="dxa"/>
            </w:tcMar>
            <w:vAlign w:val="center"/>
          </w:tcPr>
          <w:p w14:paraId="3197C9E1" w14:textId="6EAAE3D1" w:rsidR="228CF246" w:rsidRPr="00D10954" w:rsidRDefault="228CF246" w:rsidP="00926CA4">
            <w:pPr>
              <w:spacing w:after="0"/>
              <w:ind w:left="60" w:right="60"/>
              <w:jc w:val="center"/>
              <w:rPr>
                <w:rFonts w:eastAsia="Arial" w:cs="Arial"/>
              </w:rPr>
            </w:pPr>
            <w:r w:rsidRPr="00D10954">
              <w:rPr>
                <w:rFonts w:eastAsia="Arial" w:cs="Arial"/>
              </w:rPr>
              <w:t>3.3%</w:t>
            </w:r>
          </w:p>
        </w:tc>
        <w:tc>
          <w:tcPr>
            <w:tcW w:w="1950" w:type="dxa"/>
            <w:tcMar>
              <w:left w:w="105" w:type="dxa"/>
              <w:right w:w="105" w:type="dxa"/>
            </w:tcMar>
            <w:vAlign w:val="center"/>
          </w:tcPr>
          <w:p w14:paraId="21AC5DF8" w14:textId="11B85261" w:rsidR="228CF246" w:rsidRPr="00D10954" w:rsidRDefault="228CF246" w:rsidP="00926CA4">
            <w:pPr>
              <w:spacing w:after="0"/>
              <w:jc w:val="center"/>
              <w:rPr>
                <w:rFonts w:eastAsia="Arial" w:cs="Arial"/>
              </w:rPr>
            </w:pPr>
            <w:r w:rsidRPr="00D10954">
              <w:rPr>
                <w:rFonts w:eastAsia="Arial" w:cs="Arial"/>
              </w:rPr>
              <w:t>3.4%</w:t>
            </w:r>
          </w:p>
        </w:tc>
        <w:tc>
          <w:tcPr>
            <w:tcW w:w="1890" w:type="dxa"/>
            <w:tcBorders>
              <w:right w:val="single" w:sz="6" w:space="0" w:color="auto"/>
            </w:tcBorders>
            <w:tcMar>
              <w:left w:w="105" w:type="dxa"/>
              <w:right w:w="105" w:type="dxa"/>
            </w:tcMar>
            <w:vAlign w:val="center"/>
          </w:tcPr>
          <w:p w14:paraId="335A7975" w14:textId="4D6F703D" w:rsidR="228CF246" w:rsidRPr="00D10954" w:rsidRDefault="228CF246" w:rsidP="00926CA4">
            <w:pPr>
              <w:spacing w:after="0"/>
              <w:jc w:val="center"/>
              <w:rPr>
                <w:rFonts w:eastAsia="Arial" w:cs="Arial"/>
              </w:rPr>
            </w:pPr>
            <w:r w:rsidRPr="00D10954">
              <w:rPr>
                <w:rFonts w:eastAsia="Arial" w:cs="Arial"/>
              </w:rPr>
              <w:t>9.1%</w:t>
            </w:r>
          </w:p>
        </w:tc>
      </w:tr>
      <w:tr w:rsidR="228CF246" w:rsidRPr="00D10954" w14:paraId="1A0703AB" w14:textId="77777777" w:rsidTr="00556405">
        <w:trPr>
          <w:cantSplit/>
          <w:trHeight w:val="315"/>
        </w:trPr>
        <w:tc>
          <w:tcPr>
            <w:tcW w:w="1500" w:type="dxa"/>
            <w:tcBorders>
              <w:left w:val="single" w:sz="6" w:space="0" w:color="auto"/>
            </w:tcBorders>
            <w:tcMar>
              <w:left w:w="105" w:type="dxa"/>
              <w:right w:w="105" w:type="dxa"/>
            </w:tcMar>
            <w:vAlign w:val="center"/>
          </w:tcPr>
          <w:p w14:paraId="21CAA264" w14:textId="47897D9B" w:rsidR="228CF246" w:rsidRPr="00D10954" w:rsidRDefault="228CF246" w:rsidP="00926CA4">
            <w:pPr>
              <w:spacing w:after="0"/>
              <w:ind w:left="60" w:right="60"/>
              <w:jc w:val="center"/>
              <w:rPr>
                <w:rFonts w:eastAsia="Arial" w:cs="Arial"/>
              </w:rPr>
            </w:pPr>
            <w:r w:rsidRPr="00D10954">
              <w:rPr>
                <w:rFonts w:eastAsia="Arial" w:cs="Arial"/>
              </w:rPr>
              <w:t>80</w:t>
            </w:r>
          </w:p>
        </w:tc>
        <w:tc>
          <w:tcPr>
            <w:tcW w:w="1980" w:type="dxa"/>
            <w:tcMar>
              <w:left w:w="105" w:type="dxa"/>
              <w:right w:w="105" w:type="dxa"/>
            </w:tcMar>
            <w:vAlign w:val="center"/>
          </w:tcPr>
          <w:p w14:paraId="36FCFACF" w14:textId="2F0AB14F" w:rsidR="228CF246" w:rsidRPr="00D10954" w:rsidRDefault="228CF246" w:rsidP="00926CA4">
            <w:pPr>
              <w:spacing w:after="0"/>
              <w:ind w:left="60" w:right="60"/>
              <w:jc w:val="center"/>
              <w:rPr>
                <w:rFonts w:eastAsia="Arial" w:cs="Arial"/>
              </w:rPr>
            </w:pPr>
            <w:r w:rsidRPr="00D10954">
              <w:rPr>
                <w:rFonts w:eastAsia="Arial" w:cs="Arial"/>
              </w:rPr>
              <w:t>4.0%</w:t>
            </w:r>
          </w:p>
        </w:tc>
        <w:tc>
          <w:tcPr>
            <w:tcW w:w="1980" w:type="dxa"/>
            <w:tcMar>
              <w:left w:w="105" w:type="dxa"/>
              <w:right w:w="105" w:type="dxa"/>
            </w:tcMar>
            <w:vAlign w:val="center"/>
          </w:tcPr>
          <w:p w14:paraId="6E8EC150" w14:textId="18CD15D5" w:rsidR="228CF246" w:rsidRPr="00D10954" w:rsidRDefault="228CF246" w:rsidP="00926CA4">
            <w:pPr>
              <w:spacing w:after="0"/>
              <w:ind w:left="60" w:right="60"/>
              <w:jc w:val="center"/>
              <w:rPr>
                <w:rFonts w:eastAsia="Arial" w:cs="Arial"/>
              </w:rPr>
            </w:pPr>
            <w:r w:rsidRPr="00D10954">
              <w:rPr>
                <w:rFonts w:eastAsia="Arial" w:cs="Arial"/>
              </w:rPr>
              <w:t>4.3%</w:t>
            </w:r>
          </w:p>
        </w:tc>
        <w:tc>
          <w:tcPr>
            <w:tcW w:w="1950" w:type="dxa"/>
            <w:tcMar>
              <w:left w:w="105" w:type="dxa"/>
              <w:right w:w="105" w:type="dxa"/>
            </w:tcMar>
            <w:vAlign w:val="center"/>
          </w:tcPr>
          <w:p w14:paraId="3A89D4C1" w14:textId="25004542" w:rsidR="228CF246" w:rsidRPr="00D10954" w:rsidRDefault="228CF246" w:rsidP="00926CA4">
            <w:pPr>
              <w:spacing w:after="0"/>
              <w:jc w:val="center"/>
              <w:rPr>
                <w:rFonts w:eastAsia="Arial" w:cs="Arial"/>
              </w:rPr>
            </w:pPr>
            <w:r w:rsidRPr="00D10954">
              <w:rPr>
                <w:rFonts w:eastAsia="Arial" w:cs="Arial"/>
              </w:rPr>
              <w:t>4.3%</w:t>
            </w:r>
          </w:p>
        </w:tc>
        <w:tc>
          <w:tcPr>
            <w:tcW w:w="1890" w:type="dxa"/>
            <w:tcBorders>
              <w:right w:val="single" w:sz="6" w:space="0" w:color="auto"/>
            </w:tcBorders>
            <w:tcMar>
              <w:left w:w="105" w:type="dxa"/>
              <w:right w:w="105" w:type="dxa"/>
            </w:tcMar>
            <w:vAlign w:val="center"/>
          </w:tcPr>
          <w:p w14:paraId="0D1F7136" w14:textId="44968D09" w:rsidR="228CF246" w:rsidRPr="00D10954" w:rsidRDefault="228CF246" w:rsidP="00926CA4">
            <w:pPr>
              <w:spacing w:after="0"/>
              <w:jc w:val="center"/>
              <w:rPr>
                <w:rFonts w:eastAsia="Arial" w:cs="Arial"/>
              </w:rPr>
            </w:pPr>
            <w:r w:rsidRPr="00D10954">
              <w:rPr>
                <w:rFonts w:eastAsia="Arial" w:cs="Arial"/>
              </w:rPr>
              <w:t>11.9%</w:t>
            </w:r>
          </w:p>
        </w:tc>
      </w:tr>
      <w:tr w:rsidR="228CF246" w:rsidRPr="00D10954" w14:paraId="28BF7BA7" w14:textId="77777777" w:rsidTr="00556405">
        <w:trPr>
          <w:cantSplit/>
          <w:trHeight w:val="315"/>
        </w:trPr>
        <w:tc>
          <w:tcPr>
            <w:tcW w:w="1500" w:type="dxa"/>
            <w:tcBorders>
              <w:left w:val="single" w:sz="6" w:space="0" w:color="auto"/>
            </w:tcBorders>
            <w:tcMar>
              <w:left w:w="105" w:type="dxa"/>
              <w:right w:w="105" w:type="dxa"/>
            </w:tcMar>
            <w:vAlign w:val="center"/>
          </w:tcPr>
          <w:p w14:paraId="25879F27" w14:textId="4CFC8420" w:rsidR="228CF246" w:rsidRPr="00D10954" w:rsidRDefault="228CF246" w:rsidP="00926CA4">
            <w:pPr>
              <w:spacing w:after="0"/>
              <w:ind w:left="60" w:right="60"/>
              <w:jc w:val="center"/>
              <w:rPr>
                <w:rFonts w:eastAsia="Arial" w:cs="Arial"/>
              </w:rPr>
            </w:pPr>
            <w:r w:rsidRPr="00D10954">
              <w:rPr>
                <w:rFonts w:eastAsia="Arial" w:cs="Arial"/>
              </w:rPr>
              <w:t>75</w:t>
            </w:r>
          </w:p>
        </w:tc>
        <w:tc>
          <w:tcPr>
            <w:tcW w:w="1980" w:type="dxa"/>
            <w:tcMar>
              <w:left w:w="105" w:type="dxa"/>
              <w:right w:w="105" w:type="dxa"/>
            </w:tcMar>
            <w:vAlign w:val="center"/>
          </w:tcPr>
          <w:p w14:paraId="269DFBC4" w14:textId="34034A83" w:rsidR="228CF246" w:rsidRPr="00D10954" w:rsidRDefault="228CF246" w:rsidP="00926CA4">
            <w:pPr>
              <w:spacing w:after="0"/>
              <w:ind w:left="60" w:right="60"/>
              <w:jc w:val="center"/>
              <w:rPr>
                <w:rFonts w:eastAsia="Arial" w:cs="Arial"/>
              </w:rPr>
            </w:pPr>
            <w:r w:rsidRPr="00D10954">
              <w:rPr>
                <w:rFonts w:eastAsia="Arial" w:cs="Arial"/>
              </w:rPr>
              <w:t>4.8%</w:t>
            </w:r>
          </w:p>
        </w:tc>
        <w:tc>
          <w:tcPr>
            <w:tcW w:w="1980" w:type="dxa"/>
            <w:tcMar>
              <w:left w:w="105" w:type="dxa"/>
              <w:right w:w="105" w:type="dxa"/>
            </w:tcMar>
            <w:vAlign w:val="center"/>
          </w:tcPr>
          <w:p w14:paraId="40F01344" w14:textId="02332CCB" w:rsidR="228CF246" w:rsidRPr="00D10954" w:rsidRDefault="228CF246" w:rsidP="00926CA4">
            <w:pPr>
              <w:spacing w:after="0"/>
              <w:ind w:left="60" w:right="60"/>
              <w:jc w:val="center"/>
              <w:rPr>
                <w:rFonts w:eastAsia="Arial" w:cs="Arial"/>
              </w:rPr>
            </w:pPr>
            <w:r w:rsidRPr="00D10954">
              <w:rPr>
                <w:rFonts w:eastAsia="Arial" w:cs="Arial"/>
              </w:rPr>
              <w:t>4.9%</w:t>
            </w:r>
          </w:p>
        </w:tc>
        <w:tc>
          <w:tcPr>
            <w:tcW w:w="1950" w:type="dxa"/>
            <w:tcMar>
              <w:left w:w="105" w:type="dxa"/>
              <w:right w:w="105" w:type="dxa"/>
            </w:tcMar>
            <w:vAlign w:val="center"/>
          </w:tcPr>
          <w:p w14:paraId="1A7D8FF9" w14:textId="1EC07C7C" w:rsidR="228CF246" w:rsidRPr="00D10954" w:rsidRDefault="228CF246" w:rsidP="00926CA4">
            <w:pPr>
              <w:spacing w:after="0"/>
              <w:jc w:val="center"/>
              <w:rPr>
                <w:rFonts w:eastAsia="Arial" w:cs="Arial"/>
              </w:rPr>
            </w:pPr>
            <w:r w:rsidRPr="00D10954">
              <w:rPr>
                <w:rFonts w:eastAsia="Arial" w:cs="Arial"/>
              </w:rPr>
              <w:t>5.1%</w:t>
            </w:r>
          </w:p>
        </w:tc>
        <w:tc>
          <w:tcPr>
            <w:tcW w:w="1890" w:type="dxa"/>
            <w:tcBorders>
              <w:right w:val="single" w:sz="6" w:space="0" w:color="auto"/>
            </w:tcBorders>
            <w:tcMar>
              <w:left w:w="105" w:type="dxa"/>
              <w:right w:w="105" w:type="dxa"/>
            </w:tcMar>
            <w:vAlign w:val="center"/>
          </w:tcPr>
          <w:p w14:paraId="3B9DA1A9" w14:textId="0D7BDC06" w:rsidR="228CF246" w:rsidRPr="00D10954" w:rsidRDefault="228CF246" w:rsidP="00926CA4">
            <w:pPr>
              <w:spacing w:after="0"/>
              <w:jc w:val="center"/>
              <w:rPr>
                <w:rFonts w:eastAsia="Arial" w:cs="Arial"/>
              </w:rPr>
            </w:pPr>
            <w:r w:rsidRPr="00D10954">
              <w:rPr>
                <w:rFonts w:eastAsia="Arial" w:cs="Arial"/>
              </w:rPr>
              <w:t>14.4%</w:t>
            </w:r>
          </w:p>
        </w:tc>
      </w:tr>
      <w:tr w:rsidR="228CF246" w:rsidRPr="00D10954" w14:paraId="7A1F2691" w14:textId="77777777" w:rsidTr="00556405">
        <w:trPr>
          <w:cantSplit/>
          <w:trHeight w:val="315"/>
        </w:trPr>
        <w:tc>
          <w:tcPr>
            <w:tcW w:w="1500" w:type="dxa"/>
            <w:tcBorders>
              <w:left w:val="single" w:sz="6" w:space="0" w:color="auto"/>
            </w:tcBorders>
            <w:tcMar>
              <w:left w:w="105" w:type="dxa"/>
              <w:right w:w="105" w:type="dxa"/>
            </w:tcMar>
            <w:vAlign w:val="center"/>
          </w:tcPr>
          <w:p w14:paraId="757C17B9" w14:textId="49EFA49F" w:rsidR="228CF246" w:rsidRPr="00D10954" w:rsidRDefault="228CF246" w:rsidP="00926CA4">
            <w:pPr>
              <w:spacing w:after="0"/>
              <w:ind w:left="60" w:right="60"/>
              <w:jc w:val="center"/>
              <w:rPr>
                <w:rFonts w:eastAsia="Arial" w:cs="Arial"/>
              </w:rPr>
            </w:pPr>
            <w:r w:rsidRPr="00D10954">
              <w:rPr>
                <w:rFonts w:eastAsia="Arial" w:cs="Arial"/>
              </w:rPr>
              <w:t>70</w:t>
            </w:r>
          </w:p>
        </w:tc>
        <w:tc>
          <w:tcPr>
            <w:tcW w:w="1980" w:type="dxa"/>
            <w:tcMar>
              <w:left w:w="105" w:type="dxa"/>
              <w:right w:w="105" w:type="dxa"/>
            </w:tcMar>
            <w:vAlign w:val="center"/>
          </w:tcPr>
          <w:p w14:paraId="54861083" w14:textId="5D25A820" w:rsidR="228CF246" w:rsidRPr="00D10954" w:rsidRDefault="228CF246" w:rsidP="00926CA4">
            <w:pPr>
              <w:spacing w:after="0"/>
              <w:ind w:left="60" w:right="60"/>
              <w:jc w:val="center"/>
              <w:rPr>
                <w:rFonts w:eastAsia="Arial" w:cs="Arial"/>
              </w:rPr>
            </w:pPr>
            <w:r w:rsidRPr="00D10954">
              <w:rPr>
                <w:rFonts w:eastAsia="Arial" w:cs="Arial"/>
              </w:rPr>
              <w:t>5.5%</w:t>
            </w:r>
          </w:p>
        </w:tc>
        <w:tc>
          <w:tcPr>
            <w:tcW w:w="1980" w:type="dxa"/>
            <w:tcMar>
              <w:left w:w="105" w:type="dxa"/>
              <w:right w:w="105" w:type="dxa"/>
            </w:tcMar>
            <w:vAlign w:val="center"/>
          </w:tcPr>
          <w:p w14:paraId="661BBAC5" w14:textId="2FAC2C65" w:rsidR="228CF246" w:rsidRPr="00D10954" w:rsidRDefault="228CF246" w:rsidP="00926CA4">
            <w:pPr>
              <w:spacing w:after="0"/>
              <w:ind w:left="60" w:right="60"/>
              <w:jc w:val="center"/>
              <w:rPr>
                <w:rFonts w:eastAsia="Arial" w:cs="Arial"/>
              </w:rPr>
            </w:pPr>
            <w:r w:rsidRPr="00D10954">
              <w:rPr>
                <w:rFonts w:eastAsia="Arial" w:cs="Arial"/>
              </w:rPr>
              <w:t>5.7%</w:t>
            </w:r>
          </w:p>
        </w:tc>
        <w:tc>
          <w:tcPr>
            <w:tcW w:w="1950" w:type="dxa"/>
            <w:tcMar>
              <w:left w:w="105" w:type="dxa"/>
              <w:right w:w="105" w:type="dxa"/>
            </w:tcMar>
            <w:vAlign w:val="center"/>
          </w:tcPr>
          <w:p w14:paraId="7314040B" w14:textId="74EF7529" w:rsidR="228CF246" w:rsidRPr="00D10954" w:rsidRDefault="228CF246" w:rsidP="00926CA4">
            <w:pPr>
              <w:spacing w:after="0"/>
              <w:jc w:val="center"/>
              <w:rPr>
                <w:rFonts w:eastAsia="Arial" w:cs="Arial"/>
              </w:rPr>
            </w:pPr>
            <w:r w:rsidRPr="00D10954">
              <w:rPr>
                <w:rFonts w:eastAsia="Arial" w:cs="Arial"/>
              </w:rPr>
              <w:t>5.8%</w:t>
            </w:r>
          </w:p>
        </w:tc>
        <w:tc>
          <w:tcPr>
            <w:tcW w:w="1890" w:type="dxa"/>
            <w:tcBorders>
              <w:right w:val="single" w:sz="6" w:space="0" w:color="auto"/>
            </w:tcBorders>
            <w:tcMar>
              <w:left w:w="105" w:type="dxa"/>
              <w:right w:w="105" w:type="dxa"/>
            </w:tcMar>
            <w:vAlign w:val="center"/>
          </w:tcPr>
          <w:p w14:paraId="47C3C4AA" w14:textId="6FF653AB" w:rsidR="228CF246" w:rsidRPr="00D10954" w:rsidRDefault="228CF246" w:rsidP="00926CA4">
            <w:pPr>
              <w:spacing w:after="0"/>
              <w:jc w:val="center"/>
              <w:rPr>
                <w:rFonts w:eastAsia="Arial" w:cs="Arial"/>
              </w:rPr>
            </w:pPr>
            <w:r w:rsidRPr="00D10954">
              <w:rPr>
                <w:rFonts w:eastAsia="Arial" w:cs="Arial"/>
              </w:rPr>
              <w:t>16.9%</w:t>
            </w:r>
          </w:p>
        </w:tc>
      </w:tr>
      <w:tr w:rsidR="228CF246" w:rsidRPr="00D10954" w14:paraId="29170AF8" w14:textId="77777777" w:rsidTr="00556405">
        <w:trPr>
          <w:cantSplit/>
          <w:trHeight w:val="315"/>
        </w:trPr>
        <w:tc>
          <w:tcPr>
            <w:tcW w:w="1500" w:type="dxa"/>
            <w:tcBorders>
              <w:left w:val="single" w:sz="6" w:space="0" w:color="auto"/>
            </w:tcBorders>
            <w:tcMar>
              <w:left w:w="105" w:type="dxa"/>
              <w:right w:w="105" w:type="dxa"/>
            </w:tcMar>
            <w:vAlign w:val="center"/>
          </w:tcPr>
          <w:p w14:paraId="5D511CB1" w14:textId="2B95FA15" w:rsidR="228CF246" w:rsidRPr="00D10954" w:rsidRDefault="228CF246" w:rsidP="00926CA4">
            <w:pPr>
              <w:spacing w:after="0"/>
              <w:ind w:left="60" w:right="60"/>
              <w:jc w:val="center"/>
              <w:rPr>
                <w:rFonts w:eastAsia="Arial" w:cs="Arial"/>
              </w:rPr>
            </w:pPr>
            <w:r w:rsidRPr="00D10954">
              <w:rPr>
                <w:rFonts w:eastAsia="Arial" w:cs="Arial"/>
              </w:rPr>
              <w:t>65</w:t>
            </w:r>
          </w:p>
        </w:tc>
        <w:tc>
          <w:tcPr>
            <w:tcW w:w="1980" w:type="dxa"/>
            <w:tcMar>
              <w:left w:w="105" w:type="dxa"/>
              <w:right w:w="105" w:type="dxa"/>
            </w:tcMar>
            <w:vAlign w:val="center"/>
          </w:tcPr>
          <w:p w14:paraId="7170FA40" w14:textId="08D4EFA5" w:rsidR="228CF246" w:rsidRPr="00D10954" w:rsidRDefault="228CF246" w:rsidP="00926CA4">
            <w:pPr>
              <w:spacing w:after="0"/>
              <w:ind w:left="60" w:right="60"/>
              <w:jc w:val="center"/>
              <w:rPr>
                <w:rFonts w:eastAsia="Arial" w:cs="Arial"/>
              </w:rPr>
            </w:pPr>
            <w:r w:rsidRPr="00D10954">
              <w:rPr>
                <w:rFonts w:eastAsia="Arial" w:cs="Arial"/>
              </w:rPr>
              <w:t>6.1%</w:t>
            </w:r>
          </w:p>
        </w:tc>
        <w:tc>
          <w:tcPr>
            <w:tcW w:w="1980" w:type="dxa"/>
            <w:tcMar>
              <w:left w:w="105" w:type="dxa"/>
              <w:right w:w="105" w:type="dxa"/>
            </w:tcMar>
            <w:vAlign w:val="center"/>
          </w:tcPr>
          <w:p w14:paraId="452EE5DA" w14:textId="62380FD3" w:rsidR="228CF246" w:rsidRPr="00D10954" w:rsidRDefault="228CF246" w:rsidP="00926CA4">
            <w:pPr>
              <w:spacing w:after="0"/>
              <w:ind w:left="60" w:right="60"/>
              <w:jc w:val="center"/>
              <w:rPr>
                <w:rFonts w:eastAsia="Arial" w:cs="Arial"/>
              </w:rPr>
            </w:pPr>
            <w:r w:rsidRPr="00D10954">
              <w:rPr>
                <w:rFonts w:eastAsia="Arial" w:cs="Arial"/>
              </w:rPr>
              <w:t>6.2%</w:t>
            </w:r>
          </w:p>
        </w:tc>
        <w:tc>
          <w:tcPr>
            <w:tcW w:w="1950" w:type="dxa"/>
            <w:tcMar>
              <w:left w:w="105" w:type="dxa"/>
              <w:right w:w="105" w:type="dxa"/>
            </w:tcMar>
            <w:vAlign w:val="center"/>
          </w:tcPr>
          <w:p w14:paraId="7B4D8F5F" w14:textId="7A407B75" w:rsidR="228CF246" w:rsidRPr="00D10954" w:rsidRDefault="228CF246" w:rsidP="00926CA4">
            <w:pPr>
              <w:spacing w:after="0"/>
              <w:jc w:val="center"/>
              <w:rPr>
                <w:rFonts w:eastAsia="Arial" w:cs="Arial"/>
              </w:rPr>
            </w:pPr>
            <w:r w:rsidRPr="00D10954">
              <w:rPr>
                <w:rFonts w:eastAsia="Arial" w:cs="Arial"/>
              </w:rPr>
              <w:t>6.5%</w:t>
            </w:r>
          </w:p>
        </w:tc>
        <w:tc>
          <w:tcPr>
            <w:tcW w:w="1890" w:type="dxa"/>
            <w:tcBorders>
              <w:right w:val="single" w:sz="6" w:space="0" w:color="auto"/>
            </w:tcBorders>
            <w:tcMar>
              <w:left w:w="105" w:type="dxa"/>
              <w:right w:w="105" w:type="dxa"/>
            </w:tcMar>
            <w:vAlign w:val="center"/>
          </w:tcPr>
          <w:p w14:paraId="29C24477" w14:textId="1BFB367E" w:rsidR="228CF246" w:rsidRPr="00D10954" w:rsidRDefault="228CF246" w:rsidP="00926CA4">
            <w:pPr>
              <w:spacing w:after="0"/>
              <w:jc w:val="center"/>
              <w:rPr>
                <w:rFonts w:eastAsia="Arial" w:cs="Arial"/>
              </w:rPr>
            </w:pPr>
            <w:r w:rsidRPr="00D10954">
              <w:rPr>
                <w:rFonts w:eastAsia="Arial" w:cs="Arial"/>
              </w:rPr>
              <w:t>19.3%</w:t>
            </w:r>
          </w:p>
        </w:tc>
      </w:tr>
      <w:tr w:rsidR="228CF246" w:rsidRPr="00D10954" w14:paraId="2665A7EB" w14:textId="77777777" w:rsidTr="00556405">
        <w:trPr>
          <w:cantSplit/>
          <w:trHeight w:val="315"/>
        </w:trPr>
        <w:tc>
          <w:tcPr>
            <w:tcW w:w="1500" w:type="dxa"/>
            <w:tcBorders>
              <w:left w:val="single" w:sz="6" w:space="0" w:color="auto"/>
            </w:tcBorders>
            <w:tcMar>
              <w:left w:w="105" w:type="dxa"/>
              <w:right w:w="105" w:type="dxa"/>
            </w:tcMar>
            <w:vAlign w:val="center"/>
          </w:tcPr>
          <w:p w14:paraId="5E0501B9" w14:textId="50F21A4B" w:rsidR="228CF246" w:rsidRPr="00D10954" w:rsidRDefault="228CF246" w:rsidP="00926CA4">
            <w:pPr>
              <w:spacing w:after="0"/>
              <w:ind w:left="60" w:right="60"/>
              <w:jc w:val="center"/>
              <w:rPr>
                <w:rFonts w:eastAsia="Arial" w:cs="Arial"/>
              </w:rPr>
            </w:pPr>
            <w:r w:rsidRPr="00D10954">
              <w:rPr>
                <w:rFonts w:eastAsia="Arial" w:cs="Arial"/>
              </w:rPr>
              <w:t>60</w:t>
            </w:r>
          </w:p>
        </w:tc>
        <w:tc>
          <w:tcPr>
            <w:tcW w:w="1980" w:type="dxa"/>
            <w:tcMar>
              <w:left w:w="105" w:type="dxa"/>
              <w:right w:w="105" w:type="dxa"/>
            </w:tcMar>
            <w:vAlign w:val="center"/>
          </w:tcPr>
          <w:p w14:paraId="6582CB8F" w14:textId="475190A8" w:rsidR="228CF246" w:rsidRPr="00D10954" w:rsidRDefault="228CF246" w:rsidP="00926CA4">
            <w:pPr>
              <w:spacing w:after="0"/>
              <w:ind w:left="60" w:right="60"/>
              <w:jc w:val="center"/>
              <w:rPr>
                <w:rFonts w:eastAsia="Arial" w:cs="Arial"/>
              </w:rPr>
            </w:pPr>
            <w:r w:rsidRPr="00D10954">
              <w:rPr>
                <w:rFonts w:eastAsia="Arial" w:cs="Arial"/>
              </w:rPr>
              <w:t>6.8%</w:t>
            </w:r>
          </w:p>
        </w:tc>
        <w:tc>
          <w:tcPr>
            <w:tcW w:w="1980" w:type="dxa"/>
            <w:tcMar>
              <w:left w:w="105" w:type="dxa"/>
              <w:right w:w="105" w:type="dxa"/>
            </w:tcMar>
            <w:vAlign w:val="center"/>
          </w:tcPr>
          <w:p w14:paraId="4EFD564B" w14:textId="51D97294" w:rsidR="228CF246" w:rsidRPr="00D10954" w:rsidRDefault="228CF246" w:rsidP="00926CA4">
            <w:pPr>
              <w:spacing w:after="0"/>
              <w:ind w:left="60" w:right="60"/>
              <w:jc w:val="center"/>
              <w:rPr>
                <w:rFonts w:eastAsia="Arial" w:cs="Arial"/>
              </w:rPr>
            </w:pPr>
            <w:r w:rsidRPr="00D10954">
              <w:rPr>
                <w:rFonts w:eastAsia="Arial" w:cs="Arial"/>
              </w:rPr>
              <w:t>6.9%</w:t>
            </w:r>
          </w:p>
        </w:tc>
        <w:tc>
          <w:tcPr>
            <w:tcW w:w="1950" w:type="dxa"/>
            <w:tcMar>
              <w:left w:w="105" w:type="dxa"/>
              <w:right w:w="105" w:type="dxa"/>
            </w:tcMar>
            <w:vAlign w:val="center"/>
          </w:tcPr>
          <w:p w14:paraId="2B0C52CA" w14:textId="3FEE8870" w:rsidR="228CF246" w:rsidRPr="00D10954" w:rsidRDefault="228CF246" w:rsidP="00926CA4">
            <w:pPr>
              <w:spacing w:after="0"/>
              <w:jc w:val="center"/>
              <w:rPr>
                <w:rFonts w:eastAsia="Arial" w:cs="Arial"/>
              </w:rPr>
            </w:pPr>
            <w:r w:rsidRPr="00D10954">
              <w:rPr>
                <w:rFonts w:eastAsia="Arial" w:cs="Arial"/>
              </w:rPr>
              <w:t>7.3%</w:t>
            </w:r>
          </w:p>
        </w:tc>
        <w:tc>
          <w:tcPr>
            <w:tcW w:w="1890" w:type="dxa"/>
            <w:tcBorders>
              <w:right w:val="single" w:sz="6" w:space="0" w:color="auto"/>
            </w:tcBorders>
            <w:tcMar>
              <w:left w:w="105" w:type="dxa"/>
              <w:right w:w="105" w:type="dxa"/>
            </w:tcMar>
            <w:vAlign w:val="center"/>
          </w:tcPr>
          <w:p w14:paraId="14A90387" w14:textId="72404EFB" w:rsidR="228CF246" w:rsidRPr="00D10954" w:rsidRDefault="228CF246" w:rsidP="00926CA4">
            <w:pPr>
              <w:spacing w:after="0"/>
              <w:jc w:val="center"/>
              <w:rPr>
                <w:rFonts w:eastAsia="Arial" w:cs="Arial"/>
              </w:rPr>
            </w:pPr>
            <w:r w:rsidRPr="00D10954">
              <w:rPr>
                <w:rFonts w:eastAsia="Arial" w:cs="Arial"/>
              </w:rPr>
              <w:t>21.6%</w:t>
            </w:r>
          </w:p>
        </w:tc>
      </w:tr>
      <w:tr w:rsidR="228CF246" w:rsidRPr="00D10954" w14:paraId="4EDB2983" w14:textId="77777777" w:rsidTr="00556405">
        <w:trPr>
          <w:cantSplit/>
          <w:trHeight w:val="315"/>
        </w:trPr>
        <w:tc>
          <w:tcPr>
            <w:tcW w:w="1500" w:type="dxa"/>
            <w:tcBorders>
              <w:left w:val="single" w:sz="6" w:space="0" w:color="auto"/>
            </w:tcBorders>
            <w:tcMar>
              <w:left w:w="105" w:type="dxa"/>
              <w:right w:w="105" w:type="dxa"/>
            </w:tcMar>
            <w:vAlign w:val="center"/>
          </w:tcPr>
          <w:p w14:paraId="4D52A12B" w14:textId="583BE2D9" w:rsidR="228CF246" w:rsidRPr="00D10954" w:rsidRDefault="228CF246" w:rsidP="00926CA4">
            <w:pPr>
              <w:spacing w:after="0"/>
              <w:ind w:left="60" w:right="60"/>
              <w:jc w:val="center"/>
              <w:rPr>
                <w:rFonts w:eastAsia="Arial" w:cs="Arial"/>
              </w:rPr>
            </w:pPr>
            <w:r w:rsidRPr="00D10954">
              <w:rPr>
                <w:rFonts w:eastAsia="Arial" w:cs="Arial"/>
              </w:rPr>
              <w:t>55</w:t>
            </w:r>
          </w:p>
        </w:tc>
        <w:tc>
          <w:tcPr>
            <w:tcW w:w="1980" w:type="dxa"/>
            <w:tcMar>
              <w:left w:w="105" w:type="dxa"/>
              <w:right w:w="105" w:type="dxa"/>
            </w:tcMar>
            <w:vAlign w:val="center"/>
          </w:tcPr>
          <w:p w14:paraId="27A6DFEA" w14:textId="1D77898D" w:rsidR="228CF246" w:rsidRPr="00D10954" w:rsidRDefault="228CF246" w:rsidP="00926CA4">
            <w:pPr>
              <w:spacing w:after="0"/>
              <w:ind w:left="60" w:right="60"/>
              <w:jc w:val="center"/>
              <w:rPr>
                <w:rFonts w:eastAsia="Arial" w:cs="Arial"/>
              </w:rPr>
            </w:pPr>
            <w:r w:rsidRPr="00D10954">
              <w:rPr>
                <w:rFonts w:eastAsia="Arial" w:cs="Arial"/>
              </w:rPr>
              <w:t>7.5%</w:t>
            </w:r>
          </w:p>
        </w:tc>
        <w:tc>
          <w:tcPr>
            <w:tcW w:w="1980" w:type="dxa"/>
            <w:tcMar>
              <w:left w:w="105" w:type="dxa"/>
              <w:right w:w="105" w:type="dxa"/>
            </w:tcMar>
            <w:vAlign w:val="center"/>
          </w:tcPr>
          <w:p w14:paraId="4B944E64" w14:textId="2D66A615" w:rsidR="228CF246" w:rsidRPr="00D10954" w:rsidRDefault="228CF246" w:rsidP="00926CA4">
            <w:pPr>
              <w:spacing w:after="0"/>
              <w:ind w:left="60" w:right="60"/>
              <w:jc w:val="center"/>
              <w:rPr>
                <w:rFonts w:eastAsia="Arial" w:cs="Arial"/>
              </w:rPr>
            </w:pPr>
            <w:r w:rsidRPr="00D10954">
              <w:rPr>
                <w:rFonts w:eastAsia="Arial" w:cs="Arial"/>
              </w:rPr>
              <w:t>7.7%</w:t>
            </w:r>
          </w:p>
        </w:tc>
        <w:tc>
          <w:tcPr>
            <w:tcW w:w="1950" w:type="dxa"/>
            <w:tcMar>
              <w:left w:w="105" w:type="dxa"/>
              <w:right w:w="105" w:type="dxa"/>
            </w:tcMar>
            <w:vAlign w:val="center"/>
          </w:tcPr>
          <w:p w14:paraId="42506B75" w14:textId="388C9B42" w:rsidR="228CF246" w:rsidRPr="00D10954" w:rsidRDefault="228CF246" w:rsidP="00926CA4">
            <w:pPr>
              <w:spacing w:after="0"/>
              <w:jc w:val="center"/>
              <w:rPr>
                <w:rFonts w:eastAsia="Arial" w:cs="Arial"/>
              </w:rPr>
            </w:pPr>
            <w:r w:rsidRPr="00D10954">
              <w:rPr>
                <w:rFonts w:eastAsia="Arial" w:cs="Arial"/>
              </w:rPr>
              <w:t>8.2%</w:t>
            </w:r>
          </w:p>
        </w:tc>
        <w:tc>
          <w:tcPr>
            <w:tcW w:w="1890" w:type="dxa"/>
            <w:tcBorders>
              <w:right w:val="single" w:sz="6" w:space="0" w:color="auto"/>
            </w:tcBorders>
            <w:tcMar>
              <w:left w:w="105" w:type="dxa"/>
              <w:right w:w="105" w:type="dxa"/>
            </w:tcMar>
            <w:vAlign w:val="center"/>
          </w:tcPr>
          <w:p w14:paraId="6B3F5CFD" w14:textId="6E192C70" w:rsidR="228CF246" w:rsidRPr="00D10954" w:rsidRDefault="228CF246" w:rsidP="00926CA4">
            <w:pPr>
              <w:spacing w:after="0"/>
              <w:jc w:val="center"/>
              <w:rPr>
                <w:rFonts w:eastAsia="Arial" w:cs="Arial"/>
              </w:rPr>
            </w:pPr>
            <w:r w:rsidRPr="00D10954">
              <w:rPr>
                <w:rFonts w:eastAsia="Arial" w:cs="Arial"/>
              </w:rPr>
              <w:t>24.0%</w:t>
            </w:r>
          </w:p>
        </w:tc>
      </w:tr>
      <w:tr w:rsidR="228CF246" w:rsidRPr="00D10954" w14:paraId="58025761" w14:textId="77777777" w:rsidTr="00556405">
        <w:trPr>
          <w:cantSplit/>
          <w:trHeight w:val="315"/>
        </w:trPr>
        <w:tc>
          <w:tcPr>
            <w:tcW w:w="1500" w:type="dxa"/>
            <w:tcBorders>
              <w:left w:val="single" w:sz="6" w:space="0" w:color="auto"/>
            </w:tcBorders>
            <w:tcMar>
              <w:left w:w="105" w:type="dxa"/>
              <w:right w:w="105" w:type="dxa"/>
            </w:tcMar>
            <w:vAlign w:val="center"/>
          </w:tcPr>
          <w:p w14:paraId="3E47CC8D" w14:textId="0BE3EC51" w:rsidR="228CF246" w:rsidRPr="00D10954" w:rsidRDefault="228CF246" w:rsidP="00926CA4">
            <w:pPr>
              <w:spacing w:after="0"/>
              <w:ind w:left="60" w:right="60"/>
              <w:jc w:val="center"/>
              <w:rPr>
                <w:rFonts w:eastAsia="Arial" w:cs="Arial"/>
              </w:rPr>
            </w:pPr>
            <w:r w:rsidRPr="00D10954">
              <w:rPr>
                <w:rFonts w:eastAsia="Arial" w:cs="Arial"/>
              </w:rPr>
              <w:t>50</w:t>
            </w:r>
          </w:p>
        </w:tc>
        <w:tc>
          <w:tcPr>
            <w:tcW w:w="1980" w:type="dxa"/>
            <w:tcMar>
              <w:left w:w="105" w:type="dxa"/>
              <w:right w:w="105" w:type="dxa"/>
            </w:tcMar>
            <w:vAlign w:val="center"/>
          </w:tcPr>
          <w:p w14:paraId="1B5571D6" w14:textId="14DDA733" w:rsidR="228CF246" w:rsidRPr="00D10954" w:rsidRDefault="228CF246" w:rsidP="00926CA4">
            <w:pPr>
              <w:spacing w:after="0"/>
              <w:ind w:left="60" w:right="60"/>
              <w:jc w:val="center"/>
              <w:rPr>
                <w:rFonts w:eastAsia="Arial" w:cs="Arial"/>
              </w:rPr>
            </w:pPr>
            <w:r w:rsidRPr="00D10954">
              <w:rPr>
                <w:rFonts w:eastAsia="Arial" w:cs="Arial"/>
              </w:rPr>
              <w:t>8.2%</w:t>
            </w:r>
          </w:p>
        </w:tc>
        <w:tc>
          <w:tcPr>
            <w:tcW w:w="1980" w:type="dxa"/>
            <w:tcMar>
              <w:left w:w="105" w:type="dxa"/>
              <w:right w:w="105" w:type="dxa"/>
            </w:tcMar>
            <w:vAlign w:val="center"/>
          </w:tcPr>
          <w:p w14:paraId="17167393" w14:textId="50D61423" w:rsidR="228CF246" w:rsidRPr="00D10954" w:rsidRDefault="228CF246" w:rsidP="00926CA4">
            <w:pPr>
              <w:spacing w:after="0"/>
              <w:ind w:left="60" w:right="60"/>
              <w:jc w:val="center"/>
              <w:rPr>
                <w:rFonts w:eastAsia="Arial" w:cs="Arial"/>
              </w:rPr>
            </w:pPr>
            <w:r w:rsidRPr="00D10954">
              <w:rPr>
                <w:rFonts w:eastAsia="Arial" w:cs="Arial"/>
              </w:rPr>
              <w:t>8.5%</w:t>
            </w:r>
          </w:p>
        </w:tc>
        <w:tc>
          <w:tcPr>
            <w:tcW w:w="1950" w:type="dxa"/>
            <w:tcMar>
              <w:left w:w="105" w:type="dxa"/>
              <w:right w:w="105" w:type="dxa"/>
            </w:tcMar>
            <w:vAlign w:val="center"/>
          </w:tcPr>
          <w:p w14:paraId="2725A612" w14:textId="501EEBF7" w:rsidR="228CF246" w:rsidRPr="00D10954" w:rsidRDefault="228CF246" w:rsidP="00926CA4">
            <w:pPr>
              <w:spacing w:after="0"/>
              <w:jc w:val="center"/>
              <w:rPr>
                <w:rFonts w:eastAsia="Arial" w:cs="Arial"/>
              </w:rPr>
            </w:pPr>
            <w:r w:rsidRPr="00D10954">
              <w:rPr>
                <w:rFonts w:eastAsia="Arial" w:cs="Arial"/>
              </w:rPr>
              <w:t>9.0%</w:t>
            </w:r>
          </w:p>
        </w:tc>
        <w:tc>
          <w:tcPr>
            <w:tcW w:w="1890" w:type="dxa"/>
            <w:tcBorders>
              <w:right w:val="single" w:sz="6" w:space="0" w:color="auto"/>
            </w:tcBorders>
            <w:tcMar>
              <w:left w:w="105" w:type="dxa"/>
              <w:right w:w="105" w:type="dxa"/>
            </w:tcMar>
            <w:vAlign w:val="center"/>
          </w:tcPr>
          <w:p w14:paraId="76A22F76" w14:textId="68556FD2" w:rsidR="228CF246" w:rsidRPr="00D10954" w:rsidRDefault="228CF246" w:rsidP="00926CA4">
            <w:pPr>
              <w:spacing w:after="0"/>
              <w:jc w:val="center"/>
              <w:rPr>
                <w:rFonts w:eastAsia="Arial" w:cs="Arial"/>
              </w:rPr>
            </w:pPr>
            <w:r w:rsidRPr="00D10954">
              <w:rPr>
                <w:rFonts w:eastAsia="Arial" w:cs="Arial"/>
              </w:rPr>
              <w:t>26.1%</w:t>
            </w:r>
          </w:p>
        </w:tc>
      </w:tr>
      <w:tr w:rsidR="228CF246" w:rsidRPr="00D10954" w14:paraId="0B8E773B" w14:textId="77777777" w:rsidTr="00556405">
        <w:trPr>
          <w:cantSplit/>
          <w:trHeight w:val="315"/>
        </w:trPr>
        <w:tc>
          <w:tcPr>
            <w:tcW w:w="1500" w:type="dxa"/>
            <w:tcBorders>
              <w:left w:val="single" w:sz="6" w:space="0" w:color="auto"/>
            </w:tcBorders>
            <w:tcMar>
              <w:left w:w="105" w:type="dxa"/>
              <w:right w:w="105" w:type="dxa"/>
            </w:tcMar>
            <w:vAlign w:val="center"/>
          </w:tcPr>
          <w:p w14:paraId="73DB30A7" w14:textId="49789E88" w:rsidR="228CF246" w:rsidRPr="00D10954" w:rsidRDefault="228CF246" w:rsidP="00926CA4">
            <w:pPr>
              <w:spacing w:after="0"/>
              <w:ind w:left="60" w:right="60"/>
              <w:jc w:val="center"/>
              <w:rPr>
                <w:rFonts w:eastAsia="Arial" w:cs="Arial"/>
              </w:rPr>
            </w:pPr>
            <w:r w:rsidRPr="00D10954">
              <w:rPr>
                <w:rFonts w:eastAsia="Arial" w:cs="Arial"/>
              </w:rPr>
              <w:t>45</w:t>
            </w:r>
          </w:p>
        </w:tc>
        <w:tc>
          <w:tcPr>
            <w:tcW w:w="1980" w:type="dxa"/>
            <w:tcMar>
              <w:left w:w="105" w:type="dxa"/>
              <w:right w:w="105" w:type="dxa"/>
            </w:tcMar>
            <w:vAlign w:val="center"/>
          </w:tcPr>
          <w:p w14:paraId="2D9A676B" w14:textId="148D6582" w:rsidR="228CF246" w:rsidRPr="00D10954" w:rsidRDefault="228CF246" w:rsidP="00926CA4">
            <w:pPr>
              <w:spacing w:after="0"/>
              <w:ind w:left="60" w:right="60"/>
              <w:jc w:val="center"/>
              <w:rPr>
                <w:rFonts w:eastAsia="Arial" w:cs="Arial"/>
              </w:rPr>
            </w:pPr>
            <w:r w:rsidRPr="00D10954">
              <w:rPr>
                <w:rFonts w:eastAsia="Arial" w:cs="Arial"/>
              </w:rPr>
              <w:t>9.0%</w:t>
            </w:r>
          </w:p>
        </w:tc>
        <w:tc>
          <w:tcPr>
            <w:tcW w:w="1980" w:type="dxa"/>
            <w:tcMar>
              <w:left w:w="105" w:type="dxa"/>
              <w:right w:w="105" w:type="dxa"/>
            </w:tcMar>
            <w:vAlign w:val="center"/>
          </w:tcPr>
          <w:p w14:paraId="52149B8D" w14:textId="09F53927" w:rsidR="228CF246" w:rsidRPr="00D10954" w:rsidRDefault="228CF246" w:rsidP="00926CA4">
            <w:pPr>
              <w:spacing w:after="0"/>
              <w:ind w:left="60" w:right="60"/>
              <w:jc w:val="center"/>
              <w:rPr>
                <w:rFonts w:eastAsia="Arial" w:cs="Arial"/>
              </w:rPr>
            </w:pPr>
            <w:r w:rsidRPr="00D10954">
              <w:rPr>
                <w:rFonts w:eastAsia="Arial" w:cs="Arial"/>
              </w:rPr>
              <w:t>9.3%</w:t>
            </w:r>
          </w:p>
        </w:tc>
        <w:tc>
          <w:tcPr>
            <w:tcW w:w="1950" w:type="dxa"/>
            <w:tcMar>
              <w:left w:w="105" w:type="dxa"/>
              <w:right w:w="105" w:type="dxa"/>
            </w:tcMar>
            <w:vAlign w:val="center"/>
          </w:tcPr>
          <w:p w14:paraId="3E4CA82A" w14:textId="05055C6A" w:rsidR="228CF246" w:rsidRPr="00D10954" w:rsidRDefault="228CF246" w:rsidP="00926CA4">
            <w:pPr>
              <w:spacing w:after="0"/>
              <w:jc w:val="center"/>
              <w:rPr>
                <w:rFonts w:eastAsia="Arial" w:cs="Arial"/>
              </w:rPr>
            </w:pPr>
            <w:r w:rsidRPr="00D10954">
              <w:rPr>
                <w:rFonts w:eastAsia="Arial" w:cs="Arial"/>
              </w:rPr>
              <w:t>9.7%</w:t>
            </w:r>
          </w:p>
        </w:tc>
        <w:tc>
          <w:tcPr>
            <w:tcW w:w="1890" w:type="dxa"/>
            <w:tcBorders>
              <w:right w:val="single" w:sz="6" w:space="0" w:color="auto"/>
            </w:tcBorders>
            <w:tcMar>
              <w:left w:w="105" w:type="dxa"/>
              <w:right w:w="105" w:type="dxa"/>
            </w:tcMar>
            <w:vAlign w:val="center"/>
          </w:tcPr>
          <w:p w14:paraId="11E33DFD" w14:textId="39359908" w:rsidR="228CF246" w:rsidRPr="00D10954" w:rsidRDefault="228CF246" w:rsidP="00926CA4">
            <w:pPr>
              <w:spacing w:after="0"/>
              <w:jc w:val="center"/>
              <w:rPr>
                <w:rFonts w:eastAsia="Arial" w:cs="Arial"/>
              </w:rPr>
            </w:pPr>
            <w:r w:rsidRPr="00D10954">
              <w:rPr>
                <w:rFonts w:eastAsia="Arial" w:cs="Arial"/>
              </w:rPr>
              <w:t>28.1%</w:t>
            </w:r>
          </w:p>
        </w:tc>
      </w:tr>
      <w:tr w:rsidR="228CF246" w:rsidRPr="00D10954" w14:paraId="7ABD6F52" w14:textId="77777777" w:rsidTr="00556405">
        <w:trPr>
          <w:cantSplit/>
          <w:trHeight w:val="315"/>
        </w:trPr>
        <w:tc>
          <w:tcPr>
            <w:tcW w:w="1500" w:type="dxa"/>
            <w:tcBorders>
              <w:left w:val="single" w:sz="6" w:space="0" w:color="auto"/>
            </w:tcBorders>
            <w:tcMar>
              <w:left w:w="105" w:type="dxa"/>
              <w:right w:w="105" w:type="dxa"/>
            </w:tcMar>
            <w:vAlign w:val="center"/>
          </w:tcPr>
          <w:p w14:paraId="51E450E3" w14:textId="424E3D9D" w:rsidR="228CF246" w:rsidRPr="00D10954" w:rsidRDefault="228CF246" w:rsidP="00926CA4">
            <w:pPr>
              <w:spacing w:after="0"/>
              <w:ind w:left="60" w:right="60"/>
              <w:jc w:val="center"/>
              <w:rPr>
                <w:rFonts w:eastAsia="Arial" w:cs="Arial"/>
              </w:rPr>
            </w:pPr>
            <w:r w:rsidRPr="00D10954">
              <w:rPr>
                <w:rFonts w:eastAsia="Arial" w:cs="Arial"/>
              </w:rPr>
              <w:t>40</w:t>
            </w:r>
          </w:p>
        </w:tc>
        <w:tc>
          <w:tcPr>
            <w:tcW w:w="1980" w:type="dxa"/>
            <w:tcMar>
              <w:left w:w="105" w:type="dxa"/>
              <w:right w:w="105" w:type="dxa"/>
            </w:tcMar>
            <w:vAlign w:val="center"/>
          </w:tcPr>
          <w:p w14:paraId="4396B3DF" w14:textId="59A20900" w:rsidR="228CF246" w:rsidRPr="00D10954" w:rsidRDefault="228CF246" w:rsidP="00926CA4">
            <w:pPr>
              <w:spacing w:after="0"/>
              <w:ind w:right="60"/>
              <w:jc w:val="center"/>
              <w:rPr>
                <w:rFonts w:eastAsia="Arial" w:cs="Arial"/>
              </w:rPr>
            </w:pPr>
            <w:r w:rsidRPr="00D10954">
              <w:rPr>
                <w:rFonts w:eastAsia="Arial" w:cs="Arial"/>
              </w:rPr>
              <w:t>9.8%</w:t>
            </w:r>
          </w:p>
        </w:tc>
        <w:tc>
          <w:tcPr>
            <w:tcW w:w="1980" w:type="dxa"/>
            <w:tcMar>
              <w:left w:w="105" w:type="dxa"/>
              <w:right w:w="105" w:type="dxa"/>
            </w:tcMar>
            <w:vAlign w:val="center"/>
          </w:tcPr>
          <w:p w14:paraId="574A767A" w14:textId="7C7A4965" w:rsidR="228CF246" w:rsidRPr="00D10954" w:rsidRDefault="228CF246" w:rsidP="00926CA4">
            <w:pPr>
              <w:spacing w:after="0"/>
              <w:ind w:left="60" w:right="60"/>
              <w:jc w:val="center"/>
              <w:rPr>
                <w:rFonts w:eastAsia="Arial" w:cs="Arial"/>
              </w:rPr>
            </w:pPr>
            <w:r w:rsidRPr="00D10954">
              <w:rPr>
                <w:rFonts w:eastAsia="Arial" w:cs="Arial"/>
              </w:rPr>
              <w:t>10.3%</w:t>
            </w:r>
          </w:p>
        </w:tc>
        <w:tc>
          <w:tcPr>
            <w:tcW w:w="1950" w:type="dxa"/>
            <w:tcMar>
              <w:left w:w="105" w:type="dxa"/>
              <w:right w:w="105" w:type="dxa"/>
            </w:tcMar>
            <w:vAlign w:val="center"/>
          </w:tcPr>
          <w:p w14:paraId="262F68C6" w14:textId="41A24671" w:rsidR="228CF246" w:rsidRPr="00D10954" w:rsidRDefault="228CF246" w:rsidP="00926CA4">
            <w:pPr>
              <w:spacing w:after="0"/>
              <w:jc w:val="center"/>
              <w:rPr>
                <w:rFonts w:eastAsia="Arial" w:cs="Arial"/>
              </w:rPr>
            </w:pPr>
            <w:r w:rsidRPr="00D10954">
              <w:rPr>
                <w:rFonts w:eastAsia="Arial" w:cs="Arial"/>
              </w:rPr>
              <w:t>10.8%</w:t>
            </w:r>
          </w:p>
        </w:tc>
        <w:tc>
          <w:tcPr>
            <w:tcW w:w="1890" w:type="dxa"/>
            <w:tcBorders>
              <w:right w:val="single" w:sz="6" w:space="0" w:color="auto"/>
            </w:tcBorders>
            <w:tcMar>
              <w:left w:w="105" w:type="dxa"/>
              <w:right w:w="105" w:type="dxa"/>
            </w:tcMar>
            <w:vAlign w:val="center"/>
          </w:tcPr>
          <w:p w14:paraId="311C646E" w14:textId="37404F12" w:rsidR="228CF246" w:rsidRPr="00D10954" w:rsidRDefault="228CF246" w:rsidP="00926CA4">
            <w:pPr>
              <w:spacing w:after="0"/>
              <w:jc w:val="center"/>
              <w:rPr>
                <w:rFonts w:eastAsia="Arial" w:cs="Arial"/>
              </w:rPr>
            </w:pPr>
            <w:r w:rsidRPr="00D10954">
              <w:rPr>
                <w:rFonts w:eastAsia="Arial" w:cs="Arial"/>
              </w:rPr>
              <w:t>30.3%</w:t>
            </w:r>
          </w:p>
        </w:tc>
      </w:tr>
      <w:tr w:rsidR="228CF246" w:rsidRPr="00D10954" w14:paraId="3A261296" w14:textId="77777777" w:rsidTr="00556405">
        <w:trPr>
          <w:cantSplit/>
          <w:trHeight w:val="315"/>
        </w:trPr>
        <w:tc>
          <w:tcPr>
            <w:tcW w:w="1500" w:type="dxa"/>
            <w:tcBorders>
              <w:left w:val="single" w:sz="6" w:space="0" w:color="auto"/>
            </w:tcBorders>
            <w:tcMar>
              <w:left w:w="105" w:type="dxa"/>
              <w:right w:w="105" w:type="dxa"/>
            </w:tcMar>
            <w:vAlign w:val="center"/>
          </w:tcPr>
          <w:p w14:paraId="1F2FD313" w14:textId="51CA187B" w:rsidR="228CF246" w:rsidRPr="00D10954" w:rsidRDefault="228CF246" w:rsidP="00926CA4">
            <w:pPr>
              <w:spacing w:after="0"/>
              <w:ind w:left="60" w:right="60"/>
              <w:jc w:val="center"/>
              <w:rPr>
                <w:rFonts w:eastAsia="Arial" w:cs="Arial"/>
              </w:rPr>
            </w:pPr>
            <w:r w:rsidRPr="00D10954">
              <w:rPr>
                <w:rFonts w:eastAsia="Arial" w:cs="Arial"/>
              </w:rPr>
              <w:t>35</w:t>
            </w:r>
          </w:p>
        </w:tc>
        <w:tc>
          <w:tcPr>
            <w:tcW w:w="1980" w:type="dxa"/>
            <w:tcMar>
              <w:left w:w="105" w:type="dxa"/>
              <w:right w:w="105" w:type="dxa"/>
            </w:tcMar>
            <w:vAlign w:val="center"/>
          </w:tcPr>
          <w:p w14:paraId="4D2F66BD" w14:textId="2A3F0CF8" w:rsidR="228CF246" w:rsidRPr="00D10954" w:rsidRDefault="228CF246" w:rsidP="00926CA4">
            <w:pPr>
              <w:spacing w:after="0"/>
              <w:ind w:left="60" w:right="60"/>
              <w:jc w:val="center"/>
              <w:rPr>
                <w:rFonts w:eastAsia="Arial" w:cs="Arial"/>
              </w:rPr>
            </w:pPr>
            <w:r w:rsidRPr="00D10954">
              <w:rPr>
                <w:rFonts w:eastAsia="Arial" w:cs="Arial"/>
              </w:rPr>
              <w:t>10.8%</w:t>
            </w:r>
          </w:p>
        </w:tc>
        <w:tc>
          <w:tcPr>
            <w:tcW w:w="1980" w:type="dxa"/>
            <w:tcMar>
              <w:left w:w="105" w:type="dxa"/>
              <w:right w:w="105" w:type="dxa"/>
            </w:tcMar>
            <w:vAlign w:val="center"/>
          </w:tcPr>
          <w:p w14:paraId="291355D8" w14:textId="108CB2C6" w:rsidR="228CF246" w:rsidRPr="00D10954" w:rsidRDefault="228CF246" w:rsidP="00926CA4">
            <w:pPr>
              <w:spacing w:after="0"/>
              <w:ind w:left="60" w:right="60"/>
              <w:jc w:val="center"/>
              <w:rPr>
                <w:rFonts w:eastAsia="Arial" w:cs="Arial"/>
              </w:rPr>
            </w:pPr>
            <w:r w:rsidRPr="00D10954">
              <w:rPr>
                <w:rFonts w:eastAsia="Arial" w:cs="Arial"/>
              </w:rPr>
              <w:t>11.3%</w:t>
            </w:r>
          </w:p>
        </w:tc>
        <w:tc>
          <w:tcPr>
            <w:tcW w:w="1950" w:type="dxa"/>
            <w:tcMar>
              <w:left w:w="105" w:type="dxa"/>
              <w:right w:w="105" w:type="dxa"/>
            </w:tcMar>
            <w:vAlign w:val="center"/>
          </w:tcPr>
          <w:p w14:paraId="503A45B6" w14:textId="4165866A" w:rsidR="228CF246" w:rsidRPr="00D10954" w:rsidRDefault="228CF246" w:rsidP="00926CA4">
            <w:pPr>
              <w:spacing w:after="0"/>
              <w:jc w:val="center"/>
              <w:rPr>
                <w:rFonts w:eastAsia="Arial" w:cs="Arial"/>
              </w:rPr>
            </w:pPr>
            <w:r w:rsidRPr="00D10954">
              <w:rPr>
                <w:rFonts w:eastAsia="Arial" w:cs="Arial"/>
              </w:rPr>
              <w:t>11.7%</w:t>
            </w:r>
          </w:p>
        </w:tc>
        <w:tc>
          <w:tcPr>
            <w:tcW w:w="1890" w:type="dxa"/>
            <w:tcBorders>
              <w:right w:val="single" w:sz="6" w:space="0" w:color="auto"/>
            </w:tcBorders>
            <w:tcMar>
              <w:left w:w="105" w:type="dxa"/>
              <w:right w:w="105" w:type="dxa"/>
            </w:tcMar>
            <w:vAlign w:val="center"/>
          </w:tcPr>
          <w:p w14:paraId="558012AD" w14:textId="4DB151E5" w:rsidR="228CF246" w:rsidRPr="00D10954" w:rsidRDefault="228CF246" w:rsidP="00926CA4">
            <w:pPr>
              <w:spacing w:after="0"/>
              <w:jc w:val="center"/>
              <w:rPr>
                <w:rFonts w:eastAsia="Arial" w:cs="Arial"/>
              </w:rPr>
            </w:pPr>
            <w:r w:rsidRPr="00D10954">
              <w:rPr>
                <w:rFonts w:eastAsia="Arial" w:cs="Arial"/>
              </w:rPr>
              <w:t>32.6%</w:t>
            </w:r>
          </w:p>
        </w:tc>
      </w:tr>
      <w:tr w:rsidR="228CF246" w:rsidRPr="00D10954" w14:paraId="1DF62ABB" w14:textId="77777777" w:rsidTr="00556405">
        <w:trPr>
          <w:cantSplit/>
          <w:trHeight w:val="315"/>
        </w:trPr>
        <w:tc>
          <w:tcPr>
            <w:tcW w:w="1500" w:type="dxa"/>
            <w:tcBorders>
              <w:left w:val="single" w:sz="6" w:space="0" w:color="auto"/>
            </w:tcBorders>
            <w:tcMar>
              <w:left w:w="105" w:type="dxa"/>
              <w:right w:w="105" w:type="dxa"/>
            </w:tcMar>
            <w:vAlign w:val="center"/>
          </w:tcPr>
          <w:p w14:paraId="2F96C3FE" w14:textId="0355F89D" w:rsidR="228CF246" w:rsidRPr="00D10954" w:rsidRDefault="228CF246" w:rsidP="00926CA4">
            <w:pPr>
              <w:spacing w:after="0"/>
              <w:ind w:left="60" w:right="60"/>
              <w:jc w:val="center"/>
              <w:rPr>
                <w:rFonts w:eastAsia="Arial" w:cs="Arial"/>
              </w:rPr>
            </w:pPr>
            <w:r w:rsidRPr="00D10954">
              <w:rPr>
                <w:rFonts w:eastAsia="Arial" w:cs="Arial"/>
              </w:rPr>
              <w:t>30</w:t>
            </w:r>
          </w:p>
        </w:tc>
        <w:tc>
          <w:tcPr>
            <w:tcW w:w="1980" w:type="dxa"/>
            <w:tcMar>
              <w:left w:w="105" w:type="dxa"/>
              <w:right w:w="105" w:type="dxa"/>
            </w:tcMar>
            <w:vAlign w:val="center"/>
          </w:tcPr>
          <w:p w14:paraId="6097B6DA" w14:textId="1F422C34" w:rsidR="228CF246" w:rsidRPr="00D10954" w:rsidRDefault="228CF246" w:rsidP="00926CA4">
            <w:pPr>
              <w:spacing w:after="0"/>
              <w:ind w:left="60" w:right="60"/>
              <w:jc w:val="center"/>
              <w:rPr>
                <w:rFonts w:eastAsia="Arial" w:cs="Arial"/>
              </w:rPr>
            </w:pPr>
            <w:r w:rsidRPr="00D10954">
              <w:rPr>
                <w:rFonts w:eastAsia="Arial" w:cs="Arial"/>
              </w:rPr>
              <w:t>12.0%</w:t>
            </w:r>
          </w:p>
        </w:tc>
        <w:tc>
          <w:tcPr>
            <w:tcW w:w="1980" w:type="dxa"/>
            <w:tcMar>
              <w:left w:w="105" w:type="dxa"/>
              <w:right w:w="105" w:type="dxa"/>
            </w:tcMar>
            <w:vAlign w:val="center"/>
          </w:tcPr>
          <w:p w14:paraId="13B17F57" w14:textId="6ACD4463" w:rsidR="228CF246" w:rsidRPr="00D10954" w:rsidRDefault="228CF246" w:rsidP="00926CA4">
            <w:pPr>
              <w:spacing w:after="0"/>
              <w:ind w:left="60" w:right="60"/>
              <w:jc w:val="center"/>
              <w:rPr>
                <w:rFonts w:eastAsia="Arial" w:cs="Arial"/>
              </w:rPr>
            </w:pPr>
            <w:r w:rsidRPr="00D10954">
              <w:rPr>
                <w:rFonts w:eastAsia="Arial" w:cs="Arial"/>
              </w:rPr>
              <w:t>12.4%</w:t>
            </w:r>
          </w:p>
        </w:tc>
        <w:tc>
          <w:tcPr>
            <w:tcW w:w="1950" w:type="dxa"/>
            <w:tcMar>
              <w:left w:w="105" w:type="dxa"/>
              <w:right w:w="105" w:type="dxa"/>
            </w:tcMar>
            <w:vAlign w:val="center"/>
          </w:tcPr>
          <w:p w14:paraId="229D1A2D" w14:textId="63CAB45E" w:rsidR="228CF246" w:rsidRPr="00D10954" w:rsidRDefault="228CF246" w:rsidP="00926CA4">
            <w:pPr>
              <w:spacing w:after="0"/>
              <w:jc w:val="center"/>
              <w:rPr>
                <w:rFonts w:eastAsia="Arial" w:cs="Arial"/>
              </w:rPr>
            </w:pPr>
            <w:r w:rsidRPr="00D10954">
              <w:rPr>
                <w:rFonts w:eastAsia="Arial" w:cs="Arial"/>
              </w:rPr>
              <w:t>13.0%</w:t>
            </w:r>
          </w:p>
        </w:tc>
        <w:tc>
          <w:tcPr>
            <w:tcW w:w="1890" w:type="dxa"/>
            <w:tcBorders>
              <w:right w:val="single" w:sz="6" w:space="0" w:color="auto"/>
            </w:tcBorders>
            <w:tcMar>
              <w:left w:w="105" w:type="dxa"/>
              <w:right w:w="105" w:type="dxa"/>
            </w:tcMar>
            <w:vAlign w:val="center"/>
          </w:tcPr>
          <w:p w14:paraId="3118F7CD" w14:textId="1EABD76A" w:rsidR="228CF246" w:rsidRPr="00D10954" w:rsidRDefault="228CF246" w:rsidP="00926CA4">
            <w:pPr>
              <w:spacing w:after="0"/>
              <w:jc w:val="center"/>
              <w:rPr>
                <w:rFonts w:eastAsia="Arial" w:cs="Arial"/>
              </w:rPr>
            </w:pPr>
            <w:r w:rsidRPr="00D10954">
              <w:rPr>
                <w:rFonts w:eastAsia="Arial" w:cs="Arial"/>
              </w:rPr>
              <w:t>35.2%</w:t>
            </w:r>
          </w:p>
        </w:tc>
      </w:tr>
      <w:tr w:rsidR="228CF246" w:rsidRPr="00D10954" w14:paraId="3C9B9B37" w14:textId="77777777" w:rsidTr="00556405">
        <w:trPr>
          <w:cantSplit/>
          <w:trHeight w:val="315"/>
        </w:trPr>
        <w:tc>
          <w:tcPr>
            <w:tcW w:w="1500" w:type="dxa"/>
            <w:tcBorders>
              <w:left w:val="single" w:sz="6" w:space="0" w:color="auto"/>
            </w:tcBorders>
            <w:tcMar>
              <w:left w:w="105" w:type="dxa"/>
              <w:right w:w="105" w:type="dxa"/>
            </w:tcMar>
            <w:vAlign w:val="center"/>
          </w:tcPr>
          <w:p w14:paraId="2F6FF39D" w14:textId="45643914" w:rsidR="228CF246" w:rsidRPr="00D10954" w:rsidRDefault="228CF246" w:rsidP="00926CA4">
            <w:pPr>
              <w:spacing w:after="0"/>
              <w:ind w:left="60" w:right="60"/>
              <w:jc w:val="center"/>
              <w:rPr>
                <w:rFonts w:eastAsia="Arial" w:cs="Arial"/>
              </w:rPr>
            </w:pPr>
            <w:r w:rsidRPr="00D10954">
              <w:rPr>
                <w:rFonts w:eastAsia="Arial" w:cs="Arial"/>
              </w:rPr>
              <w:t>25</w:t>
            </w:r>
          </w:p>
        </w:tc>
        <w:tc>
          <w:tcPr>
            <w:tcW w:w="1980" w:type="dxa"/>
            <w:tcMar>
              <w:left w:w="105" w:type="dxa"/>
              <w:right w:w="105" w:type="dxa"/>
            </w:tcMar>
            <w:vAlign w:val="center"/>
          </w:tcPr>
          <w:p w14:paraId="6CEA3F6F" w14:textId="64AC2F90" w:rsidR="228CF246" w:rsidRPr="00D10954" w:rsidRDefault="228CF246" w:rsidP="00926CA4">
            <w:pPr>
              <w:spacing w:after="0"/>
              <w:ind w:left="60" w:right="60"/>
              <w:jc w:val="center"/>
              <w:rPr>
                <w:rFonts w:eastAsia="Arial" w:cs="Arial"/>
              </w:rPr>
            </w:pPr>
            <w:r w:rsidRPr="00D10954">
              <w:rPr>
                <w:rFonts w:eastAsia="Arial" w:cs="Arial"/>
              </w:rPr>
              <w:t>13.6%</w:t>
            </w:r>
          </w:p>
        </w:tc>
        <w:tc>
          <w:tcPr>
            <w:tcW w:w="1980" w:type="dxa"/>
            <w:tcMar>
              <w:left w:w="105" w:type="dxa"/>
              <w:right w:w="105" w:type="dxa"/>
            </w:tcMar>
            <w:vAlign w:val="center"/>
          </w:tcPr>
          <w:p w14:paraId="35E86E20" w14:textId="79390787" w:rsidR="228CF246" w:rsidRPr="00D10954" w:rsidRDefault="228CF246" w:rsidP="00926CA4">
            <w:pPr>
              <w:spacing w:after="0"/>
              <w:ind w:left="60" w:right="60"/>
              <w:jc w:val="center"/>
              <w:rPr>
                <w:rFonts w:eastAsia="Arial" w:cs="Arial"/>
              </w:rPr>
            </w:pPr>
            <w:r w:rsidRPr="00D10954">
              <w:rPr>
                <w:rFonts w:eastAsia="Arial" w:cs="Arial"/>
              </w:rPr>
              <w:t>13.7%</w:t>
            </w:r>
          </w:p>
        </w:tc>
        <w:tc>
          <w:tcPr>
            <w:tcW w:w="1950" w:type="dxa"/>
            <w:tcMar>
              <w:left w:w="105" w:type="dxa"/>
              <w:right w:w="105" w:type="dxa"/>
            </w:tcMar>
            <w:vAlign w:val="center"/>
          </w:tcPr>
          <w:p w14:paraId="637C5E88" w14:textId="72D810E0" w:rsidR="228CF246" w:rsidRPr="00D10954" w:rsidRDefault="228CF246" w:rsidP="00926CA4">
            <w:pPr>
              <w:spacing w:after="0"/>
              <w:jc w:val="center"/>
              <w:rPr>
                <w:rFonts w:eastAsia="Arial" w:cs="Arial"/>
              </w:rPr>
            </w:pPr>
            <w:r w:rsidRPr="00D10954">
              <w:rPr>
                <w:rFonts w:eastAsia="Arial" w:cs="Arial"/>
              </w:rPr>
              <w:t>14.3%</w:t>
            </w:r>
          </w:p>
        </w:tc>
        <w:tc>
          <w:tcPr>
            <w:tcW w:w="1890" w:type="dxa"/>
            <w:tcBorders>
              <w:right w:val="single" w:sz="6" w:space="0" w:color="auto"/>
            </w:tcBorders>
            <w:tcMar>
              <w:left w:w="105" w:type="dxa"/>
              <w:right w:w="105" w:type="dxa"/>
            </w:tcMar>
            <w:vAlign w:val="center"/>
          </w:tcPr>
          <w:p w14:paraId="3587B19C" w14:textId="1DAD8675" w:rsidR="228CF246" w:rsidRPr="00D10954" w:rsidRDefault="228CF246" w:rsidP="00926CA4">
            <w:pPr>
              <w:spacing w:after="0"/>
              <w:jc w:val="center"/>
              <w:rPr>
                <w:rFonts w:eastAsia="Arial" w:cs="Arial"/>
              </w:rPr>
            </w:pPr>
            <w:r w:rsidRPr="00D10954">
              <w:rPr>
                <w:rFonts w:eastAsia="Arial" w:cs="Arial"/>
              </w:rPr>
              <w:t>37.5%</w:t>
            </w:r>
          </w:p>
        </w:tc>
      </w:tr>
      <w:tr w:rsidR="228CF246" w:rsidRPr="00D10954" w14:paraId="5BFA18F5" w14:textId="77777777" w:rsidTr="00556405">
        <w:trPr>
          <w:cantSplit/>
          <w:trHeight w:val="315"/>
        </w:trPr>
        <w:tc>
          <w:tcPr>
            <w:tcW w:w="1500" w:type="dxa"/>
            <w:tcBorders>
              <w:left w:val="single" w:sz="6" w:space="0" w:color="auto"/>
            </w:tcBorders>
            <w:tcMar>
              <w:left w:w="105" w:type="dxa"/>
              <w:right w:w="105" w:type="dxa"/>
            </w:tcMar>
            <w:vAlign w:val="center"/>
          </w:tcPr>
          <w:p w14:paraId="5D746069" w14:textId="46028012" w:rsidR="228CF246" w:rsidRPr="00D10954" w:rsidRDefault="228CF246" w:rsidP="00926CA4">
            <w:pPr>
              <w:spacing w:after="0"/>
              <w:ind w:left="60" w:right="60"/>
              <w:jc w:val="center"/>
              <w:rPr>
                <w:rFonts w:eastAsia="Arial" w:cs="Arial"/>
              </w:rPr>
            </w:pPr>
            <w:r w:rsidRPr="00D10954">
              <w:rPr>
                <w:rFonts w:eastAsia="Arial" w:cs="Arial"/>
              </w:rPr>
              <w:t>20</w:t>
            </w:r>
          </w:p>
        </w:tc>
        <w:tc>
          <w:tcPr>
            <w:tcW w:w="1980" w:type="dxa"/>
            <w:tcMar>
              <w:left w:w="105" w:type="dxa"/>
              <w:right w:w="105" w:type="dxa"/>
            </w:tcMar>
            <w:vAlign w:val="center"/>
          </w:tcPr>
          <w:p w14:paraId="214043FD" w14:textId="00794095" w:rsidR="228CF246" w:rsidRPr="00D10954" w:rsidRDefault="228CF246" w:rsidP="00926CA4">
            <w:pPr>
              <w:spacing w:after="0"/>
              <w:ind w:left="60" w:right="60"/>
              <w:jc w:val="center"/>
              <w:rPr>
                <w:rFonts w:eastAsia="Arial" w:cs="Arial"/>
              </w:rPr>
            </w:pPr>
            <w:r w:rsidRPr="00D10954">
              <w:rPr>
                <w:rFonts w:eastAsia="Arial" w:cs="Arial"/>
              </w:rPr>
              <w:t>15.4%</w:t>
            </w:r>
          </w:p>
        </w:tc>
        <w:tc>
          <w:tcPr>
            <w:tcW w:w="1980" w:type="dxa"/>
            <w:tcMar>
              <w:left w:w="105" w:type="dxa"/>
              <w:right w:w="105" w:type="dxa"/>
            </w:tcMar>
            <w:vAlign w:val="center"/>
          </w:tcPr>
          <w:p w14:paraId="6A0AE2B0" w14:textId="04B7E5A6" w:rsidR="228CF246" w:rsidRPr="00D10954" w:rsidRDefault="228CF246" w:rsidP="00926CA4">
            <w:pPr>
              <w:spacing w:after="0"/>
              <w:ind w:left="60" w:right="60"/>
              <w:jc w:val="center"/>
              <w:rPr>
                <w:rFonts w:eastAsia="Arial" w:cs="Arial"/>
              </w:rPr>
            </w:pPr>
            <w:r w:rsidRPr="00D10954">
              <w:rPr>
                <w:rFonts w:eastAsia="Arial" w:cs="Arial"/>
              </w:rPr>
              <w:t>15.6%</w:t>
            </w:r>
          </w:p>
        </w:tc>
        <w:tc>
          <w:tcPr>
            <w:tcW w:w="1950" w:type="dxa"/>
            <w:tcMar>
              <w:left w:w="105" w:type="dxa"/>
              <w:right w:w="105" w:type="dxa"/>
            </w:tcMar>
            <w:vAlign w:val="center"/>
          </w:tcPr>
          <w:p w14:paraId="39E28AA5" w14:textId="5AAAC738" w:rsidR="228CF246" w:rsidRPr="00D10954" w:rsidRDefault="228CF246" w:rsidP="00926CA4">
            <w:pPr>
              <w:spacing w:after="0"/>
              <w:jc w:val="center"/>
              <w:rPr>
                <w:rFonts w:eastAsia="Arial" w:cs="Arial"/>
              </w:rPr>
            </w:pPr>
            <w:r w:rsidRPr="00D10954">
              <w:rPr>
                <w:rFonts w:eastAsia="Arial" w:cs="Arial"/>
              </w:rPr>
              <w:t>16.2%</w:t>
            </w:r>
          </w:p>
        </w:tc>
        <w:tc>
          <w:tcPr>
            <w:tcW w:w="1890" w:type="dxa"/>
            <w:tcBorders>
              <w:right w:val="single" w:sz="6" w:space="0" w:color="auto"/>
            </w:tcBorders>
            <w:tcMar>
              <w:left w:w="105" w:type="dxa"/>
              <w:right w:w="105" w:type="dxa"/>
            </w:tcMar>
            <w:vAlign w:val="center"/>
          </w:tcPr>
          <w:p w14:paraId="1FFB3352" w14:textId="3C9D8D57" w:rsidR="228CF246" w:rsidRPr="00D10954" w:rsidRDefault="228CF246" w:rsidP="00926CA4">
            <w:pPr>
              <w:spacing w:after="0"/>
              <w:jc w:val="center"/>
              <w:rPr>
                <w:rFonts w:eastAsia="Arial" w:cs="Arial"/>
              </w:rPr>
            </w:pPr>
            <w:r w:rsidRPr="00D10954">
              <w:rPr>
                <w:rFonts w:eastAsia="Arial" w:cs="Arial"/>
              </w:rPr>
              <w:t>40.6%</w:t>
            </w:r>
          </w:p>
        </w:tc>
      </w:tr>
      <w:tr w:rsidR="228CF246" w:rsidRPr="00D10954" w14:paraId="73E54329" w14:textId="77777777" w:rsidTr="00556405">
        <w:trPr>
          <w:cantSplit/>
          <w:trHeight w:val="315"/>
        </w:trPr>
        <w:tc>
          <w:tcPr>
            <w:tcW w:w="1500" w:type="dxa"/>
            <w:tcBorders>
              <w:left w:val="single" w:sz="6" w:space="0" w:color="auto"/>
            </w:tcBorders>
            <w:tcMar>
              <w:left w:w="105" w:type="dxa"/>
              <w:right w:w="105" w:type="dxa"/>
            </w:tcMar>
            <w:vAlign w:val="center"/>
          </w:tcPr>
          <w:p w14:paraId="788E5BD6" w14:textId="3FD53D40" w:rsidR="228CF246" w:rsidRPr="00D10954" w:rsidRDefault="228CF246" w:rsidP="00926CA4">
            <w:pPr>
              <w:spacing w:after="0"/>
              <w:ind w:left="60" w:right="60"/>
              <w:jc w:val="center"/>
              <w:rPr>
                <w:rFonts w:eastAsia="Arial" w:cs="Arial"/>
              </w:rPr>
            </w:pPr>
            <w:r w:rsidRPr="00D10954">
              <w:rPr>
                <w:rFonts w:eastAsia="Arial" w:cs="Arial"/>
              </w:rPr>
              <w:t>15</w:t>
            </w:r>
          </w:p>
        </w:tc>
        <w:tc>
          <w:tcPr>
            <w:tcW w:w="1980" w:type="dxa"/>
            <w:tcMar>
              <w:left w:w="105" w:type="dxa"/>
              <w:right w:w="105" w:type="dxa"/>
            </w:tcMar>
            <w:vAlign w:val="center"/>
          </w:tcPr>
          <w:p w14:paraId="246314F7" w14:textId="4E3E4FA7" w:rsidR="228CF246" w:rsidRPr="00D10954" w:rsidRDefault="228CF246" w:rsidP="00926CA4">
            <w:pPr>
              <w:spacing w:after="0"/>
              <w:ind w:left="60" w:right="60"/>
              <w:jc w:val="center"/>
              <w:rPr>
                <w:rFonts w:eastAsia="Arial" w:cs="Arial"/>
              </w:rPr>
            </w:pPr>
            <w:r w:rsidRPr="00D10954">
              <w:rPr>
                <w:rFonts w:eastAsia="Arial" w:cs="Arial"/>
              </w:rPr>
              <w:t>17.7%</w:t>
            </w:r>
          </w:p>
        </w:tc>
        <w:tc>
          <w:tcPr>
            <w:tcW w:w="1980" w:type="dxa"/>
            <w:tcMar>
              <w:left w:w="105" w:type="dxa"/>
              <w:right w:w="105" w:type="dxa"/>
            </w:tcMar>
            <w:vAlign w:val="center"/>
          </w:tcPr>
          <w:p w14:paraId="3DD295A4" w14:textId="07276343" w:rsidR="228CF246" w:rsidRPr="00D10954" w:rsidRDefault="228CF246" w:rsidP="00926CA4">
            <w:pPr>
              <w:spacing w:after="0"/>
              <w:ind w:left="60" w:right="60"/>
              <w:jc w:val="center"/>
              <w:rPr>
                <w:rFonts w:eastAsia="Arial" w:cs="Arial"/>
              </w:rPr>
            </w:pPr>
            <w:r w:rsidRPr="00D10954">
              <w:rPr>
                <w:rFonts w:eastAsia="Arial" w:cs="Arial"/>
              </w:rPr>
              <w:t>18.2%</w:t>
            </w:r>
          </w:p>
        </w:tc>
        <w:tc>
          <w:tcPr>
            <w:tcW w:w="1950" w:type="dxa"/>
            <w:tcMar>
              <w:left w:w="105" w:type="dxa"/>
              <w:right w:w="105" w:type="dxa"/>
            </w:tcMar>
            <w:vAlign w:val="center"/>
          </w:tcPr>
          <w:p w14:paraId="4EF631CD" w14:textId="72F309A2" w:rsidR="228CF246" w:rsidRPr="00D10954" w:rsidRDefault="228CF246" w:rsidP="00926CA4">
            <w:pPr>
              <w:spacing w:after="0"/>
              <w:jc w:val="center"/>
              <w:rPr>
                <w:rFonts w:eastAsia="Arial" w:cs="Arial"/>
              </w:rPr>
            </w:pPr>
            <w:r w:rsidRPr="00D10954">
              <w:rPr>
                <w:rFonts w:eastAsia="Arial" w:cs="Arial"/>
              </w:rPr>
              <w:t>18.5%</w:t>
            </w:r>
          </w:p>
        </w:tc>
        <w:tc>
          <w:tcPr>
            <w:tcW w:w="1890" w:type="dxa"/>
            <w:tcBorders>
              <w:right w:val="single" w:sz="6" w:space="0" w:color="auto"/>
            </w:tcBorders>
            <w:tcMar>
              <w:left w:w="105" w:type="dxa"/>
              <w:right w:w="105" w:type="dxa"/>
            </w:tcMar>
            <w:vAlign w:val="center"/>
          </w:tcPr>
          <w:p w14:paraId="69B00DC0" w14:textId="324181D2" w:rsidR="228CF246" w:rsidRPr="00D10954" w:rsidRDefault="228CF246" w:rsidP="00926CA4">
            <w:pPr>
              <w:spacing w:after="0"/>
              <w:jc w:val="center"/>
              <w:rPr>
                <w:rFonts w:eastAsia="Arial" w:cs="Arial"/>
              </w:rPr>
            </w:pPr>
            <w:r w:rsidRPr="00D10954">
              <w:rPr>
                <w:rFonts w:eastAsia="Arial" w:cs="Arial"/>
              </w:rPr>
              <w:t>44.3%</w:t>
            </w:r>
          </w:p>
        </w:tc>
      </w:tr>
      <w:tr w:rsidR="228CF246" w:rsidRPr="00D10954" w14:paraId="54367EF8" w14:textId="77777777" w:rsidTr="00556405">
        <w:trPr>
          <w:cantSplit/>
          <w:trHeight w:val="315"/>
        </w:trPr>
        <w:tc>
          <w:tcPr>
            <w:tcW w:w="1500" w:type="dxa"/>
            <w:tcBorders>
              <w:left w:val="single" w:sz="6" w:space="0" w:color="auto"/>
            </w:tcBorders>
            <w:tcMar>
              <w:left w:w="105" w:type="dxa"/>
              <w:right w:w="105" w:type="dxa"/>
            </w:tcMar>
            <w:vAlign w:val="center"/>
          </w:tcPr>
          <w:p w14:paraId="3B7E925F" w14:textId="64440CFB" w:rsidR="228CF246" w:rsidRPr="00D10954" w:rsidRDefault="228CF246" w:rsidP="00926CA4">
            <w:pPr>
              <w:spacing w:after="0"/>
              <w:ind w:left="60" w:right="60"/>
              <w:jc w:val="center"/>
              <w:rPr>
                <w:rFonts w:eastAsia="Arial" w:cs="Arial"/>
              </w:rPr>
            </w:pPr>
            <w:r w:rsidRPr="00D10954">
              <w:rPr>
                <w:rFonts w:eastAsia="Arial" w:cs="Arial"/>
              </w:rPr>
              <w:t>10</w:t>
            </w:r>
          </w:p>
        </w:tc>
        <w:tc>
          <w:tcPr>
            <w:tcW w:w="1980" w:type="dxa"/>
            <w:tcMar>
              <w:left w:w="105" w:type="dxa"/>
              <w:right w:w="105" w:type="dxa"/>
            </w:tcMar>
            <w:vAlign w:val="center"/>
          </w:tcPr>
          <w:p w14:paraId="22BDBF7D" w14:textId="0E6C1AC3" w:rsidR="228CF246" w:rsidRPr="00D10954" w:rsidRDefault="228CF246" w:rsidP="00926CA4">
            <w:pPr>
              <w:spacing w:after="0"/>
              <w:ind w:left="60" w:right="60"/>
              <w:jc w:val="center"/>
              <w:rPr>
                <w:rFonts w:eastAsia="Arial" w:cs="Arial"/>
              </w:rPr>
            </w:pPr>
            <w:r w:rsidRPr="00D10954">
              <w:rPr>
                <w:rFonts w:eastAsia="Arial" w:cs="Arial"/>
              </w:rPr>
              <w:t>22.3%</w:t>
            </w:r>
          </w:p>
        </w:tc>
        <w:tc>
          <w:tcPr>
            <w:tcW w:w="1980" w:type="dxa"/>
            <w:tcMar>
              <w:left w:w="105" w:type="dxa"/>
              <w:right w:w="105" w:type="dxa"/>
            </w:tcMar>
            <w:vAlign w:val="center"/>
          </w:tcPr>
          <w:p w14:paraId="5195E6DD" w14:textId="5C5C9CF3" w:rsidR="228CF246" w:rsidRPr="00D10954" w:rsidRDefault="228CF246" w:rsidP="00926CA4">
            <w:pPr>
              <w:spacing w:after="0"/>
              <w:ind w:left="60" w:right="60"/>
              <w:jc w:val="center"/>
              <w:rPr>
                <w:rFonts w:eastAsia="Arial" w:cs="Arial"/>
              </w:rPr>
            </w:pPr>
            <w:r w:rsidRPr="00D10954">
              <w:rPr>
                <w:rFonts w:eastAsia="Arial" w:cs="Arial"/>
              </w:rPr>
              <w:t>22.7%</w:t>
            </w:r>
          </w:p>
        </w:tc>
        <w:tc>
          <w:tcPr>
            <w:tcW w:w="1950" w:type="dxa"/>
            <w:tcMar>
              <w:left w:w="105" w:type="dxa"/>
              <w:right w:w="105" w:type="dxa"/>
            </w:tcMar>
            <w:vAlign w:val="center"/>
          </w:tcPr>
          <w:p w14:paraId="54CB7EFF" w14:textId="3AB213EF" w:rsidR="228CF246" w:rsidRPr="00D10954" w:rsidRDefault="228CF246" w:rsidP="00926CA4">
            <w:pPr>
              <w:spacing w:after="0"/>
              <w:jc w:val="center"/>
              <w:rPr>
                <w:rFonts w:eastAsia="Arial" w:cs="Arial"/>
              </w:rPr>
            </w:pPr>
            <w:r w:rsidRPr="00D10954">
              <w:rPr>
                <w:rFonts w:eastAsia="Arial" w:cs="Arial"/>
              </w:rPr>
              <w:t>23.2%</w:t>
            </w:r>
          </w:p>
        </w:tc>
        <w:tc>
          <w:tcPr>
            <w:tcW w:w="1890" w:type="dxa"/>
            <w:tcBorders>
              <w:right w:val="single" w:sz="6" w:space="0" w:color="auto"/>
            </w:tcBorders>
            <w:tcMar>
              <w:left w:w="105" w:type="dxa"/>
              <w:right w:w="105" w:type="dxa"/>
            </w:tcMar>
            <w:vAlign w:val="center"/>
          </w:tcPr>
          <w:p w14:paraId="6C27DEE7" w14:textId="605EF118" w:rsidR="228CF246" w:rsidRPr="00D10954" w:rsidRDefault="228CF246" w:rsidP="00926CA4">
            <w:pPr>
              <w:spacing w:after="0"/>
              <w:jc w:val="center"/>
              <w:rPr>
                <w:rFonts w:eastAsia="Arial" w:cs="Arial"/>
              </w:rPr>
            </w:pPr>
            <w:r w:rsidRPr="00D10954">
              <w:rPr>
                <w:rFonts w:eastAsia="Arial" w:cs="Arial"/>
              </w:rPr>
              <w:t>48.6%</w:t>
            </w:r>
          </w:p>
        </w:tc>
      </w:tr>
      <w:tr w:rsidR="228CF246" w:rsidRPr="00D10954" w14:paraId="5B49A8F9" w14:textId="77777777" w:rsidTr="00556405">
        <w:trPr>
          <w:cantSplit/>
          <w:trHeight w:val="315"/>
        </w:trPr>
        <w:tc>
          <w:tcPr>
            <w:tcW w:w="1500" w:type="dxa"/>
            <w:tcBorders>
              <w:left w:val="single" w:sz="6" w:space="0" w:color="auto"/>
              <w:bottom w:val="single" w:sz="6" w:space="0" w:color="auto"/>
            </w:tcBorders>
            <w:tcMar>
              <w:left w:w="105" w:type="dxa"/>
              <w:right w:w="105" w:type="dxa"/>
            </w:tcMar>
            <w:vAlign w:val="center"/>
          </w:tcPr>
          <w:p w14:paraId="5619A52D" w14:textId="3529C8E5" w:rsidR="228CF246" w:rsidRPr="00D10954" w:rsidRDefault="228CF246" w:rsidP="00926CA4">
            <w:pPr>
              <w:spacing w:after="0"/>
              <w:ind w:left="60" w:right="60"/>
              <w:jc w:val="center"/>
              <w:rPr>
                <w:rFonts w:eastAsia="Arial" w:cs="Arial"/>
              </w:rPr>
            </w:pPr>
            <w:r w:rsidRPr="00D10954">
              <w:rPr>
                <w:rFonts w:eastAsia="Arial" w:cs="Arial"/>
              </w:rPr>
              <w:t>5</w:t>
            </w:r>
          </w:p>
        </w:tc>
        <w:tc>
          <w:tcPr>
            <w:tcW w:w="1980" w:type="dxa"/>
            <w:tcBorders>
              <w:bottom w:val="single" w:sz="6" w:space="0" w:color="auto"/>
            </w:tcBorders>
            <w:tcMar>
              <w:left w:w="105" w:type="dxa"/>
              <w:right w:w="105" w:type="dxa"/>
            </w:tcMar>
            <w:vAlign w:val="center"/>
          </w:tcPr>
          <w:p w14:paraId="654EED46" w14:textId="49587319" w:rsidR="228CF246" w:rsidRPr="00D10954" w:rsidRDefault="228CF246" w:rsidP="00926CA4">
            <w:pPr>
              <w:spacing w:after="0"/>
              <w:ind w:left="60" w:right="60"/>
              <w:jc w:val="center"/>
              <w:rPr>
                <w:rFonts w:eastAsia="Arial" w:cs="Arial"/>
              </w:rPr>
            </w:pPr>
            <w:r w:rsidRPr="00D10954">
              <w:rPr>
                <w:rFonts w:eastAsia="Arial" w:cs="Arial"/>
              </w:rPr>
              <w:t>32.3%</w:t>
            </w:r>
          </w:p>
        </w:tc>
        <w:tc>
          <w:tcPr>
            <w:tcW w:w="1980" w:type="dxa"/>
            <w:tcBorders>
              <w:bottom w:val="single" w:sz="6" w:space="0" w:color="auto"/>
            </w:tcBorders>
            <w:tcMar>
              <w:left w:w="105" w:type="dxa"/>
              <w:right w:w="105" w:type="dxa"/>
            </w:tcMar>
            <w:vAlign w:val="center"/>
          </w:tcPr>
          <w:p w14:paraId="6ABA7000" w14:textId="2464D615" w:rsidR="228CF246" w:rsidRPr="00D10954" w:rsidRDefault="228CF246" w:rsidP="00926CA4">
            <w:pPr>
              <w:spacing w:after="0"/>
              <w:ind w:left="60" w:right="60"/>
              <w:jc w:val="center"/>
              <w:rPr>
                <w:rFonts w:eastAsia="Arial" w:cs="Arial"/>
              </w:rPr>
            </w:pPr>
            <w:r w:rsidRPr="00D10954">
              <w:rPr>
                <w:rFonts w:eastAsia="Arial" w:cs="Arial"/>
              </w:rPr>
              <w:t>34.1%</w:t>
            </w:r>
          </w:p>
        </w:tc>
        <w:tc>
          <w:tcPr>
            <w:tcW w:w="1950" w:type="dxa"/>
            <w:tcBorders>
              <w:bottom w:val="single" w:sz="6" w:space="0" w:color="auto"/>
            </w:tcBorders>
            <w:tcMar>
              <w:left w:w="105" w:type="dxa"/>
              <w:right w:w="105" w:type="dxa"/>
            </w:tcMar>
            <w:vAlign w:val="center"/>
          </w:tcPr>
          <w:p w14:paraId="02C89901" w14:textId="4B78010E" w:rsidR="228CF246" w:rsidRPr="00D10954" w:rsidRDefault="228CF246" w:rsidP="00926CA4">
            <w:pPr>
              <w:spacing w:after="0"/>
              <w:jc w:val="center"/>
              <w:rPr>
                <w:rFonts w:eastAsia="Arial" w:cs="Arial"/>
              </w:rPr>
            </w:pPr>
            <w:r w:rsidRPr="00D10954">
              <w:rPr>
                <w:rFonts w:eastAsia="Arial" w:cs="Arial"/>
              </w:rPr>
              <w:t>31.6%</w:t>
            </w:r>
          </w:p>
        </w:tc>
        <w:tc>
          <w:tcPr>
            <w:tcW w:w="1890" w:type="dxa"/>
            <w:tcBorders>
              <w:bottom w:val="single" w:sz="6" w:space="0" w:color="auto"/>
              <w:right w:val="single" w:sz="6" w:space="0" w:color="auto"/>
            </w:tcBorders>
            <w:tcMar>
              <w:left w:w="105" w:type="dxa"/>
              <w:right w:w="105" w:type="dxa"/>
            </w:tcMar>
            <w:vAlign w:val="center"/>
          </w:tcPr>
          <w:p w14:paraId="531EA742" w14:textId="11A6D7F9" w:rsidR="228CF246" w:rsidRPr="00D10954" w:rsidRDefault="228CF246" w:rsidP="00926CA4">
            <w:pPr>
              <w:spacing w:after="0"/>
              <w:jc w:val="center"/>
              <w:rPr>
                <w:rFonts w:eastAsia="Arial" w:cs="Arial"/>
              </w:rPr>
            </w:pPr>
            <w:r w:rsidRPr="00D10954">
              <w:rPr>
                <w:rFonts w:eastAsia="Arial" w:cs="Arial"/>
              </w:rPr>
              <w:t>56.5%</w:t>
            </w:r>
          </w:p>
        </w:tc>
      </w:tr>
    </w:tbl>
    <w:p w14:paraId="3A05ACC7" w14:textId="0B98A0B4" w:rsidR="228CF246" w:rsidRPr="00D10954" w:rsidRDefault="228CF246" w:rsidP="00127CAF">
      <w:pPr>
        <w:spacing w:after="160"/>
        <w:rPr>
          <w:rFonts w:eastAsia="Arial" w:cs="Arial"/>
          <w:color w:val="000000" w:themeColor="text1"/>
        </w:rPr>
      </w:pPr>
    </w:p>
    <w:p w14:paraId="0BB2BACE" w14:textId="0B0D99B8" w:rsidR="30D1C8DE" w:rsidRPr="00D10954" w:rsidRDefault="30D1C8DE" w:rsidP="005939E2">
      <w:pPr>
        <w:rPr>
          <w:rFonts w:eastAsia="Arial" w:cs="Arial"/>
          <w:color w:val="000000" w:themeColor="text1"/>
        </w:rPr>
      </w:pPr>
      <w:r w:rsidRPr="00D10954">
        <w:rPr>
          <w:rFonts w:eastAsia="Arial" w:cs="Arial"/>
          <w:color w:val="000000" w:themeColor="text1"/>
        </w:rPr>
        <w:t xml:space="preserve">Table </w:t>
      </w:r>
      <w:r w:rsidR="23040586" w:rsidRPr="00D10954">
        <w:rPr>
          <w:rFonts w:eastAsia="Arial" w:cs="Arial"/>
          <w:color w:val="000000" w:themeColor="text1"/>
        </w:rPr>
        <w:t>1</w:t>
      </w:r>
      <w:r w:rsidR="4C4B5CAC" w:rsidRPr="00D10954">
        <w:rPr>
          <w:rFonts w:eastAsia="Arial" w:cs="Arial"/>
          <w:color w:val="000000" w:themeColor="text1"/>
        </w:rPr>
        <w:t>4</w:t>
      </w:r>
      <w:r w:rsidRPr="00D10954">
        <w:rPr>
          <w:rFonts w:eastAsia="Arial" w:cs="Arial"/>
          <w:color w:val="000000" w:themeColor="text1"/>
        </w:rPr>
        <w:t xml:space="preserve"> displays the change distribution of Chronic Absenteeism rates in 2018 and 2019. Data for 2022 is not available due to the status-only Dashboard that was published in that year. In both 2018 and 2019, the Chronic Absenteeism </w:t>
      </w:r>
      <w:r w:rsidR="54542091" w:rsidRPr="00D10954">
        <w:rPr>
          <w:rFonts w:eastAsia="Arial" w:cs="Arial"/>
          <w:color w:val="000000" w:themeColor="text1"/>
        </w:rPr>
        <w:t>change</w:t>
      </w:r>
      <w:r w:rsidR="63A00084" w:rsidRPr="00D10954">
        <w:rPr>
          <w:rFonts w:eastAsia="Arial" w:cs="Arial"/>
          <w:color w:val="000000" w:themeColor="text1"/>
        </w:rPr>
        <w:t xml:space="preserve"> </w:t>
      </w:r>
      <w:r w:rsidR="54542091" w:rsidRPr="00D10954">
        <w:rPr>
          <w:rFonts w:eastAsia="Arial" w:cs="Arial"/>
          <w:color w:val="000000" w:themeColor="text1"/>
        </w:rPr>
        <w:t>distributions</w:t>
      </w:r>
      <w:r w:rsidRPr="00D10954">
        <w:rPr>
          <w:rFonts w:eastAsia="Arial" w:cs="Arial"/>
          <w:color w:val="000000" w:themeColor="text1"/>
        </w:rPr>
        <w:t xml:space="preserve"> remained consistent.</w:t>
      </w:r>
    </w:p>
    <w:p w14:paraId="038F06DD" w14:textId="77777777" w:rsidR="005266F6" w:rsidRPr="00D10954" w:rsidRDefault="005266F6">
      <w:pPr>
        <w:spacing w:after="160" w:line="259" w:lineRule="auto"/>
        <w:rPr>
          <w:rFonts w:eastAsiaTheme="majorEastAsia" w:cstheme="majorBidi"/>
          <w:b/>
          <w:iCs/>
        </w:rPr>
      </w:pPr>
      <w:r w:rsidRPr="00D10954">
        <w:br w:type="page"/>
      </w:r>
    </w:p>
    <w:p w14:paraId="299A69BC" w14:textId="53DA94E5" w:rsidR="30D1C8DE" w:rsidRPr="00D10954" w:rsidRDefault="30D1C8DE" w:rsidP="005266F6">
      <w:pPr>
        <w:pStyle w:val="Heading4"/>
        <w:spacing w:after="0"/>
      </w:pPr>
      <w:r w:rsidRPr="00D10954">
        <w:lastRenderedPageBreak/>
        <w:t xml:space="preserve">Table </w:t>
      </w:r>
      <w:r w:rsidR="4AFCF2B2" w:rsidRPr="00D10954">
        <w:t>1</w:t>
      </w:r>
      <w:r w:rsidR="4CDE31B0" w:rsidRPr="00D10954">
        <w:t>4</w:t>
      </w:r>
      <w:r w:rsidRPr="00D10954">
        <w:t>: Change Distributions for the 2018, 2019</w:t>
      </w:r>
      <w:r w:rsidR="00127CAF" w:rsidRPr="00D10954">
        <w:t>, and</w:t>
      </w:r>
      <w:r w:rsidRPr="00D10954">
        <w:t xml:space="preserve"> 2022 Chronic Absenteeism</w:t>
      </w:r>
    </w:p>
    <w:p w14:paraId="44C777B8" w14:textId="4CDF6DDB" w:rsidR="30D1C8DE" w:rsidRPr="00D10954" w:rsidRDefault="30D1C8DE" w:rsidP="005266F6">
      <w:pPr>
        <w:rPr>
          <w:rFonts w:eastAsia="Arial" w:cs="Arial"/>
          <w:color w:val="000000" w:themeColor="text1"/>
        </w:rPr>
      </w:pPr>
      <w:r w:rsidRPr="00D10954">
        <w:rPr>
          <w:rFonts w:eastAsia="Arial" w:cs="Arial"/>
          <w:color w:val="000000" w:themeColor="text1"/>
        </w:rPr>
        <w:t>(Based on County Office of Education, District, and All Charter School Data)</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Table 7: Change Distributions for the 2018, 2019, and 2022 Chronic Absenteeism"/>
        <w:tblDescription w:val="Table 7: Change Distributions for the 2018, 2019, and 2022 Chronic Absenteeism"/>
      </w:tblPr>
      <w:tblGrid>
        <w:gridCol w:w="2430"/>
        <w:gridCol w:w="2430"/>
        <w:gridCol w:w="2430"/>
        <w:gridCol w:w="2430"/>
      </w:tblGrid>
      <w:tr w:rsidR="228CF246" w:rsidRPr="00D10954" w14:paraId="00FCB763" w14:textId="77777777" w:rsidTr="00487411">
        <w:trPr>
          <w:cantSplit/>
          <w:trHeight w:val="300"/>
          <w:tblHeader/>
        </w:trPr>
        <w:tc>
          <w:tcPr>
            <w:tcW w:w="2430" w:type="dxa"/>
            <w:tcBorders>
              <w:top w:val="single" w:sz="6" w:space="0" w:color="auto"/>
              <w:left w:val="single" w:sz="6" w:space="0" w:color="auto"/>
            </w:tcBorders>
            <w:tcMar>
              <w:left w:w="105" w:type="dxa"/>
              <w:right w:w="105" w:type="dxa"/>
            </w:tcMar>
            <w:vAlign w:val="center"/>
          </w:tcPr>
          <w:p w14:paraId="76984C7E" w14:textId="58D2BA34" w:rsidR="228CF246" w:rsidRPr="00D10954" w:rsidRDefault="228CF246" w:rsidP="00926CA4">
            <w:pPr>
              <w:spacing w:after="0"/>
              <w:jc w:val="center"/>
              <w:rPr>
                <w:rFonts w:eastAsia="Arial" w:cs="Arial"/>
                <w:color w:val="000000" w:themeColor="text1"/>
              </w:rPr>
            </w:pPr>
            <w:r w:rsidRPr="00D10954">
              <w:rPr>
                <w:rFonts w:eastAsia="Arial" w:cs="Arial"/>
                <w:b/>
                <w:bCs/>
                <w:color w:val="000000" w:themeColor="text1"/>
              </w:rPr>
              <w:t>Percentile</w:t>
            </w:r>
          </w:p>
        </w:tc>
        <w:tc>
          <w:tcPr>
            <w:tcW w:w="2430" w:type="dxa"/>
            <w:tcBorders>
              <w:top w:val="single" w:sz="6" w:space="0" w:color="auto"/>
            </w:tcBorders>
            <w:tcMar>
              <w:left w:w="105" w:type="dxa"/>
              <w:right w:w="105" w:type="dxa"/>
            </w:tcMar>
            <w:vAlign w:val="center"/>
          </w:tcPr>
          <w:p w14:paraId="389DD134" w14:textId="77777777" w:rsidR="006074D5" w:rsidRPr="00D10954" w:rsidRDefault="228CF246" w:rsidP="00926CA4">
            <w:pPr>
              <w:spacing w:after="0"/>
              <w:jc w:val="center"/>
            </w:pPr>
            <w:r w:rsidRPr="00D10954">
              <w:rPr>
                <w:rFonts w:eastAsia="Arial" w:cs="Arial"/>
                <w:b/>
                <w:bCs/>
              </w:rPr>
              <w:t>2018</w:t>
            </w:r>
          </w:p>
          <w:p w14:paraId="21931BFE" w14:textId="489C8B6E" w:rsidR="228CF246" w:rsidRPr="00D10954" w:rsidRDefault="228CF246" w:rsidP="00926CA4">
            <w:pPr>
              <w:spacing w:after="0"/>
              <w:jc w:val="center"/>
              <w:rPr>
                <w:rFonts w:eastAsia="Arial" w:cs="Arial"/>
              </w:rPr>
            </w:pPr>
            <w:r w:rsidRPr="00D10954">
              <w:rPr>
                <w:rFonts w:eastAsia="Arial" w:cs="Arial"/>
                <w:b/>
                <w:bCs/>
              </w:rPr>
              <w:t>Chronic Absenteeism Change</w:t>
            </w:r>
          </w:p>
        </w:tc>
        <w:tc>
          <w:tcPr>
            <w:tcW w:w="2430" w:type="dxa"/>
            <w:tcBorders>
              <w:top w:val="single" w:sz="6" w:space="0" w:color="auto"/>
            </w:tcBorders>
            <w:tcMar>
              <w:left w:w="105" w:type="dxa"/>
              <w:right w:w="105" w:type="dxa"/>
            </w:tcMar>
            <w:vAlign w:val="center"/>
          </w:tcPr>
          <w:p w14:paraId="222A81E0" w14:textId="77777777" w:rsidR="006074D5" w:rsidRPr="00D10954" w:rsidRDefault="228CF246" w:rsidP="00926CA4">
            <w:pPr>
              <w:spacing w:after="0"/>
              <w:jc w:val="center"/>
            </w:pPr>
            <w:r w:rsidRPr="00D10954">
              <w:rPr>
                <w:rFonts w:eastAsia="Arial" w:cs="Arial"/>
                <w:b/>
                <w:bCs/>
              </w:rPr>
              <w:t>2019</w:t>
            </w:r>
          </w:p>
          <w:p w14:paraId="313A91C9" w14:textId="689B2014" w:rsidR="228CF246" w:rsidRPr="00D10954" w:rsidRDefault="228CF246" w:rsidP="00926CA4">
            <w:pPr>
              <w:spacing w:after="0"/>
              <w:jc w:val="center"/>
              <w:rPr>
                <w:rFonts w:eastAsia="Arial" w:cs="Arial"/>
              </w:rPr>
            </w:pPr>
            <w:r w:rsidRPr="00D10954">
              <w:rPr>
                <w:rFonts w:eastAsia="Arial" w:cs="Arial"/>
                <w:b/>
                <w:bCs/>
              </w:rPr>
              <w:t>Chronic Absenteeism Change</w:t>
            </w:r>
          </w:p>
        </w:tc>
        <w:tc>
          <w:tcPr>
            <w:tcW w:w="2430" w:type="dxa"/>
            <w:tcBorders>
              <w:top w:val="single" w:sz="6" w:space="0" w:color="auto"/>
              <w:right w:val="single" w:sz="6" w:space="0" w:color="auto"/>
            </w:tcBorders>
            <w:tcMar>
              <w:left w:w="105" w:type="dxa"/>
              <w:right w:w="105" w:type="dxa"/>
            </w:tcMar>
            <w:vAlign w:val="center"/>
          </w:tcPr>
          <w:p w14:paraId="46C058DA" w14:textId="77777777" w:rsidR="006074D5" w:rsidRPr="00D10954" w:rsidRDefault="228CF246" w:rsidP="00926CA4">
            <w:pPr>
              <w:spacing w:after="0"/>
              <w:jc w:val="center"/>
            </w:pPr>
            <w:r w:rsidRPr="00D10954">
              <w:rPr>
                <w:rFonts w:eastAsia="Arial" w:cs="Arial"/>
                <w:b/>
                <w:bCs/>
              </w:rPr>
              <w:t>2022</w:t>
            </w:r>
          </w:p>
          <w:p w14:paraId="3AB76088" w14:textId="4CE9F748" w:rsidR="228CF246" w:rsidRPr="00D10954" w:rsidRDefault="228CF246" w:rsidP="00926CA4">
            <w:pPr>
              <w:spacing w:after="0"/>
              <w:jc w:val="center"/>
              <w:rPr>
                <w:rFonts w:eastAsia="Arial" w:cs="Arial"/>
              </w:rPr>
            </w:pPr>
            <w:r w:rsidRPr="00D10954">
              <w:rPr>
                <w:rFonts w:eastAsia="Arial" w:cs="Arial"/>
                <w:b/>
                <w:bCs/>
              </w:rPr>
              <w:t>Chronic Absenteeism Change</w:t>
            </w:r>
          </w:p>
        </w:tc>
      </w:tr>
      <w:tr w:rsidR="228CF246" w:rsidRPr="00D10954" w14:paraId="04F88D92" w14:textId="77777777" w:rsidTr="00487411">
        <w:trPr>
          <w:cantSplit/>
          <w:trHeight w:val="300"/>
          <w:tblHeader/>
        </w:trPr>
        <w:tc>
          <w:tcPr>
            <w:tcW w:w="2430" w:type="dxa"/>
            <w:tcBorders>
              <w:left w:val="single" w:sz="6" w:space="0" w:color="auto"/>
            </w:tcBorders>
            <w:tcMar>
              <w:left w:w="105" w:type="dxa"/>
              <w:right w:w="105" w:type="dxa"/>
            </w:tcMar>
            <w:vAlign w:val="center"/>
          </w:tcPr>
          <w:p w14:paraId="61752EA7" w14:textId="4602DEF8"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95</w:t>
            </w:r>
          </w:p>
        </w:tc>
        <w:tc>
          <w:tcPr>
            <w:tcW w:w="2430" w:type="dxa"/>
            <w:tcMar>
              <w:left w:w="105" w:type="dxa"/>
              <w:right w:w="105" w:type="dxa"/>
            </w:tcMar>
            <w:vAlign w:val="center"/>
          </w:tcPr>
          <w:p w14:paraId="786EE6B2" w14:textId="07BB9EE2"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-6.0%</w:t>
            </w:r>
          </w:p>
        </w:tc>
        <w:tc>
          <w:tcPr>
            <w:tcW w:w="2430" w:type="dxa"/>
            <w:tcMar>
              <w:left w:w="105" w:type="dxa"/>
              <w:right w:w="105" w:type="dxa"/>
            </w:tcMar>
            <w:vAlign w:val="center"/>
          </w:tcPr>
          <w:p w14:paraId="0A82B5A6" w14:textId="3FE9BE5E"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-6.9%</w:t>
            </w:r>
          </w:p>
        </w:tc>
        <w:tc>
          <w:tcPr>
            <w:tcW w:w="2430" w:type="dxa"/>
            <w:tcBorders>
              <w:right w:val="single" w:sz="6" w:space="0" w:color="auto"/>
            </w:tcBorders>
            <w:tcMar>
              <w:left w:w="105" w:type="dxa"/>
              <w:right w:w="105" w:type="dxa"/>
            </w:tcMar>
            <w:vAlign w:val="center"/>
          </w:tcPr>
          <w:p w14:paraId="498625A2" w14:textId="54F6BEC9"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55C9FDA3" w14:textId="77777777" w:rsidTr="00487411">
        <w:trPr>
          <w:cantSplit/>
          <w:trHeight w:val="300"/>
          <w:tblHeader/>
        </w:trPr>
        <w:tc>
          <w:tcPr>
            <w:tcW w:w="2430" w:type="dxa"/>
            <w:tcBorders>
              <w:left w:val="single" w:sz="6" w:space="0" w:color="auto"/>
            </w:tcBorders>
            <w:tcMar>
              <w:left w:w="105" w:type="dxa"/>
              <w:right w:w="105" w:type="dxa"/>
            </w:tcMar>
            <w:vAlign w:val="center"/>
          </w:tcPr>
          <w:p w14:paraId="48D986C6" w14:textId="054A2FEC"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90</w:t>
            </w:r>
          </w:p>
        </w:tc>
        <w:tc>
          <w:tcPr>
            <w:tcW w:w="2430" w:type="dxa"/>
            <w:tcMar>
              <w:left w:w="105" w:type="dxa"/>
              <w:right w:w="105" w:type="dxa"/>
            </w:tcMar>
            <w:vAlign w:val="center"/>
          </w:tcPr>
          <w:p w14:paraId="4E52399B" w14:textId="3FFE9EC3"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-3.5%</w:t>
            </w:r>
          </w:p>
        </w:tc>
        <w:tc>
          <w:tcPr>
            <w:tcW w:w="2430" w:type="dxa"/>
            <w:tcMar>
              <w:left w:w="105" w:type="dxa"/>
              <w:right w:w="105" w:type="dxa"/>
            </w:tcMar>
            <w:vAlign w:val="center"/>
          </w:tcPr>
          <w:p w14:paraId="13F83D78" w14:textId="7F8F45FA"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-3.9%</w:t>
            </w:r>
          </w:p>
        </w:tc>
        <w:tc>
          <w:tcPr>
            <w:tcW w:w="2430" w:type="dxa"/>
            <w:tcBorders>
              <w:right w:val="single" w:sz="6" w:space="0" w:color="auto"/>
            </w:tcBorders>
            <w:tcMar>
              <w:left w:w="105" w:type="dxa"/>
              <w:right w:w="105" w:type="dxa"/>
            </w:tcMar>
            <w:vAlign w:val="center"/>
          </w:tcPr>
          <w:p w14:paraId="449F74E9" w14:textId="16D49AEC"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1FBB5C9D" w14:textId="77777777" w:rsidTr="00487411">
        <w:trPr>
          <w:cantSplit/>
          <w:trHeight w:val="300"/>
          <w:tblHeader/>
        </w:trPr>
        <w:tc>
          <w:tcPr>
            <w:tcW w:w="2430" w:type="dxa"/>
            <w:tcBorders>
              <w:left w:val="single" w:sz="6" w:space="0" w:color="auto"/>
            </w:tcBorders>
            <w:tcMar>
              <w:left w:w="105" w:type="dxa"/>
              <w:right w:w="105" w:type="dxa"/>
            </w:tcMar>
            <w:vAlign w:val="center"/>
          </w:tcPr>
          <w:p w14:paraId="6573DFFD" w14:textId="225B9A4F"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85</w:t>
            </w:r>
          </w:p>
        </w:tc>
        <w:tc>
          <w:tcPr>
            <w:tcW w:w="2430" w:type="dxa"/>
            <w:tcMar>
              <w:left w:w="105" w:type="dxa"/>
              <w:right w:w="105" w:type="dxa"/>
            </w:tcMar>
            <w:vAlign w:val="center"/>
          </w:tcPr>
          <w:p w14:paraId="12F7EA07" w14:textId="5613CF10"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-2.3%</w:t>
            </w:r>
          </w:p>
        </w:tc>
        <w:tc>
          <w:tcPr>
            <w:tcW w:w="2430" w:type="dxa"/>
            <w:tcMar>
              <w:left w:w="105" w:type="dxa"/>
              <w:right w:w="105" w:type="dxa"/>
            </w:tcMar>
            <w:vAlign w:val="center"/>
          </w:tcPr>
          <w:p w14:paraId="794F2F10" w14:textId="7CE7C7E9"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-2.6%</w:t>
            </w:r>
          </w:p>
        </w:tc>
        <w:tc>
          <w:tcPr>
            <w:tcW w:w="2430" w:type="dxa"/>
            <w:tcBorders>
              <w:right w:val="single" w:sz="6" w:space="0" w:color="auto"/>
            </w:tcBorders>
            <w:tcMar>
              <w:left w:w="105" w:type="dxa"/>
              <w:right w:w="105" w:type="dxa"/>
            </w:tcMar>
            <w:vAlign w:val="center"/>
          </w:tcPr>
          <w:p w14:paraId="1DE084B3" w14:textId="0E73C1DC"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3F1D0EEB" w14:textId="77777777" w:rsidTr="00487411">
        <w:trPr>
          <w:cantSplit/>
          <w:trHeight w:val="300"/>
          <w:tblHeader/>
        </w:trPr>
        <w:tc>
          <w:tcPr>
            <w:tcW w:w="2430" w:type="dxa"/>
            <w:tcBorders>
              <w:left w:val="single" w:sz="6" w:space="0" w:color="auto"/>
            </w:tcBorders>
            <w:tcMar>
              <w:left w:w="105" w:type="dxa"/>
              <w:right w:w="105" w:type="dxa"/>
            </w:tcMar>
            <w:vAlign w:val="center"/>
          </w:tcPr>
          <w:p w14:paraId="1CC42E43" w14:textId="724492B9"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80</w:t>
            </w:r>
          </w:p>
        </w:tc>
        <w:tc>
          <w:tcPr>
            <w:tcW w:w="2430" w:type="dxa"/>
            <w:tcMar>
              <w:left w:w="105" w:type="dxa"/>
              <w:right w:w="105" w:type="dxa"/>
            </w:tcMar>
            <w:vAlign w:val="center"/>
          </w:tcPr>
          <w:p w14:paraId="62EC6FA0" w14:textId="2A212BD9"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-1.7%</w:t>
            </w:r>
          </w:p>
        </w:tc>
        <w:tc>
          <w:tcPr>
            <w:tcW w:w="2430" w:type="dxa"/>
            <w:tcMar>
              <w:left w:w="105" w:type="dxa"/>
              <w:right w:w="105" w:type="dxa"/>
            </w:tcMar>
            <w:vAlign w:val="center"/>
          </w:tcPr>
          <w:p w14:paraId="7845044F" w14:textId="1D0ABF00"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-1.7%</w:t>
            </w:r>
          </w:p>
        </w:tc>
        <w:tc>
          <w:tcPr>
            <w:tcW w:w="2430" w:type="dxa"/>
            <w:tcBorders>
              <w:right w:val="single" w:sz="6" w:space="0" w:color="auto"/>
            </w:tcBorders>
            <w:tcMar>
              <w:left w:w="105" w:type="dxa"/>
              <w:right w:w="105" w:type="dxa"/>
            </w:tcMar>
            <w:vAlign w:val="center"/>
          </w:tcPr>
          <w:p w14:paraId="0A92800D" w14:textId="23BFAE1E"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5A39E7F5" w14:textId="77777777" w:rsidTr="00487411">
        <w:trPr>
          <w:cantSplit/>
          <w:trHeight w:val="300"/>
          <w:tblHeader/>
        </w:trPr>
        <w:tc>
          <w:tcPr>
            <w:tcW w:w="2430" w:type="dxa"/>
            <w:tcBorders>
              <w:left w:val="single" w:sz="6" w:space="0" w:color="auto"/>
            </w:tcBorders>
            <w:tcMar>
              <w:left w:w="105" w:type="dxa"/>
              <w:right w:w="105" w:type="dxa"/>
            </w:tcMar>
            <w:vAlign w:val="center"/>
          </w:tcPr>
          <w:p w14:paraId="69029F80" w14:textId="53CEE22C"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75</w:t>
            </w:r>
          </w:p>
        </w:tc>
        <w:tc>
          <w:tcPr>
            <w:tcW w:w="2430" w:type="dxa"/>
            <w:tcMar>
              <w:left w:w="105" w:type="dxa"/>
              <w:right w:w="105" w:type="dxa"/>
            </w:tcMar>
            <w:vAlign w:val="center"/>
          </w:tcPr>
          <w:p w14:paraId="47C2AE3D" w14:textId="230C85B3"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-1.2%</w:t>
            </w:r>
          </w:p>
        </w:tc>
        <w:tc>
          <w:tcPr>
            <w:tcW w:w="2430" w:type="dxa"/>
            <w:tcMar>
              <w:left w:w="105" w:type="dxa"/>
              <w:right w:w="105" w:type="dxa"/>
            </w:tcMar>
            <w:vAlign w:val="center"/>
          </w:tcPr>
          <w:p w14:paraId="6A011254" w14:textId="45F8A324"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-1.3%</w:t>
            </w:r>
          </w:p>
        </w:tc>
        <w:tc>
          <w:tcPr>
            <w:tcW w:w="2430" w:type="dxa"/>
            <w:tcBorders>
              <w:right w:val="single" w:sz="6" w:space="0" w:color="auto"/>
            </w:tcBorders>
            <w:tcMar>
              <w:left w:w="105" w:type="dxa"/>
              <w:right w:w="105" w:type="dxa"/>
            </w:tcMar>
            <w:vAlign w:val="center"/>
          </w:tcPr>
          <w:p w14:paraId="50EA08E9" w14:textId="69EA39A5"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2DFCAE92" w14:textId="77777777" w:rsidTr="00487411">
        <w:trPr>
          <w:cantSplit/>
          <w:trHeight w:val="300"/>
          <w:tblHeader/>
        </w:trPr>
        <w:tc>
          <w:tcPr>
            <w:tcW w:w="2430" w:type="dxa"/>
            <w:tcBorders>
              <w:left w:val="single" w:sz="6" w:space="0" w:color="auto"/>
            </w:tcBorders>
            <w:tcMar>
              <w:left w:w="105" w:type="dxa"/>
              <w:right w:w="105" w:type="dxa"/>
            </w:tcMar>
            <w:vAlign w:val="center"/>
          </w:tcPr>
          <w:p w14:paraId="06CEC9E5" w14:textId="1FF93354"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70</w:t>
            </w:r>
          </w:p>
        </w:tc>
        <w:tc>
          <w:tcPr>
            <w:tcW w:w="2430" w:type="dxa"/>
            <w:tcMar>
              <w:left w:w="105" w:type="dxa"/>
              <w:right w:w="105" w:type="dxa"/>
            </w:tcMar>
            <w:vAlign w:val="center"/>
          </w:tcPr>
          <w:p w14:paraId="0E91D9AC" w14:textId="1D376431"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-0.7%</w:t>
            </w:r>
          </w:p>
        </w:tc>
        <w:tc>
          <w:tcPr>
            <w:tcW w:w="2430" w:type="dxa"/>
            <w:tcMar>
              <w:left w:w="105" w:type="dxa"/>
              <w:right w:w="105" w:type="dxa"/>
            </w:tcMar>
            <w:vAlign w:val="center"/>
          </w:tcPr>
          <w:p w14:paraId="46291546" w14:textId="43687B8C"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-0.9%</w:t>
            </w:r>
          </w:p>
        </w:tc>
        <w:tc>
          <w:tcPr>
            <w:tcW w:w="2430" w:type="dxa"/>
            <w:tcBorders>
              <w:right w:val="single" w:sz="6" w:space="0" w:color="auto"/>
            </w:tcBorders>
            <w:tcMar>
              <w:left w:w="105" w:type="dxa"/>
              <w:right w:w="105" w:type="dxa"/>
            </w:tcMar>
            <w:vAlign w:val="center"/>
          </w:tcPr>
          <w:p w14:paraId="0E7C43A2" w14:textId="3A8F7577"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1B1394DA" w14:textId="77777777" w:rsidTr="00487411">
        <w:trPr>
          <w:cantSplit/>
          <w:trHeight w:val="300"/>
          <w:tblHeader/>
        </w:trPr>
        <w:tc>
          <w:tcPr>
            <w:tcW w:w="2430" w:type="dxa"/>
            <w:tcBorders>
              <w:left w:val="single" w:sz="6" w:space="0" w:color="auto"/>
            </w:tcBorders>
            <w:tcMar>
              <w:left w:w="105" w:type="dxa"/>
              <w:right w:w="105" w:type="dxa"/>
            </w:tcMar>
            <w:vAlign w:val="center"/>
          </w:tcPr>
          <w:p w14:paraId="76A629AC" w14:textId="2009388F"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65</w:t>
            </w:r>
          </w:p>
        </w:tc>
        <w:tc>
          <w:tcPr>
            <w:tcW w:w="2430" w:type="dxa"/>
            <w:tcMar>
              <w:left w:w="105" w:type="dxa"/>
              <w:right w:w="105" w:type="dxa"/>
            </w:tcMar>
            <w:vAlign w:val="center"/>
          </w:tcPr>
          <w:p w14:paraId="23EEB943" w14:textId="740A45BE"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-0.5%</w:t>
            </w:r>
          </w:p>
        </w:tc>
        <w:tc>
          <w:tcPr>
            <w:tcW w:w="2430" w:type="dxa"/>
            <w:tcMar>
              <w:left w:w="105" w:type="dxa"/>
              <w:right w:w="105" w:type="dxa"/>
            </w:tcMar>
            <w:vAlign w:val="center"/>
          </w:tcPr>
          <w:p w14:paraId="16779E08" w14:textId="6151F7BC"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-0.6%</w:t>
            </w:r>
          </w:p>
        </w:tc>
        <w:tc>
          <w:tcPr>
            <w:tcW w:w="2430" w:type="dxa"/>
            <w:tcBorders>
              <w:right w:val="single" w:sz="6" w:space="0" w:color="auto"/>
            </w:tcBorders>
            <w:tcMar>
              <w:left w:w="105" w:type="dxa"/>
              <w:right w:w="105" w:type="dxa"/>
            </w:tcMar>
            <w:vAlign w:val="center"/>
          </w:tcPr>
          <w:p w14:paraId="25E0505F" w14:textId="5FBF5F0E"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61D12EAE" w14:textId="77777777" w:rsidTr="00487411">
        <w:trPr>
          <w:cantSplit/>
          <w:trHeight w:val="300"/>
          <w:tblHeader/>
        </w:trPr>
        <w:tc>
          <w:tcPr>
            <w:tcW w:w="2430" w:type="dxa"/>
            <w:tcBorders>
              <w:left w:val="single" w:sz="6" w:space="0" w:color="auto"/>
            </w:tcBorders>
            <w:tcMar>
              <w:left w:w="105" w:type="dxa"/>
              <w:right w:w="105" w:type="dxa"/>
            </w:tcMar>
            <w:vAlign w:val="center"/>
          </w:tcPr>
          <w:p w14:paraId="49136797" w14:textId="02CE3893"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60</w:t>
            </w:r>
          </w:p>
        </w:tc>
        <w:tc>
          <w:tcPr>
            <w:tcW w:w="2430" w:type="dxa"/>
            <w:tcMar>
              <w:left w:w="105" w:type="dxa"/>
              <w:right w:w="105" w:type="dxa"/>
            </w:tcMar>
            <w:vAlign w:val="center"/>
          </w:tcPr>
          <w:p w14:paraId="1FBA0FF1" w14:textId="31562764"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-0.2%</w:t>
            </w:r>
          </w:p>
        </w:tc>
        <w:tc>
          <w:tcPr>
            <w:tcW w:w="2430" w:type="dxa"/>
            <w:tcMar>
              <w:left w:w="105" w:type="dxa"/>
              <w:right w:w="105" w:type="dxa"/>
            </w:tcMar>
            <w:vAlign w:val="center"/>
          </w:tcPr>
          <w:p w14:paraId="1E6F7F0E" w14:textId="76F5A417"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-0.3%</w:t>
            </w:r>
          </w:p>
        </w:tc>
        <w:tc>
          <w:tcPr>
            <w:tcW w:w="2430" w:type="dxa"/>
            <w:tcBorders>
              <w:right w:val="single" w:sz="6" w:space="0" w:color="auto"/>
            </w:tcBorders>
            <w:tcMar>
              <w:left w:w="105" w:type="dxa"/>
              <w:right w:w="105" w:type="dxa"/>
            </w:tcMar>
            <w:vAlign w:val="center"/>
          </w:tcPr>
          <w:p w14:paraId="2ECF018B" w14:textId="1177ABFD"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2A7D08A2" w14:textId="77777777" w:rsidTr="00487411">
        <w:trPr>
          <w:cantSplit/>
          <w:trHeight w:val="300"/>
          <w:tblHeader/>
        </w:trPr>
        <w:tc>
          <w:tcPr>
            <w:tcW w:w="2430" w:type="dxa"/>
            <w:tcBorders>
              <w:left w:val="single" w:sz="6" w:space="0" w:color="auto"/>
            </w:tcBorders>
            <w:tcMar>
              <w:left w:w="105" w:type="dxa"/>
              <w:right w:w="105" w:type="dxa"/>
            </w:tcMar>
            <w:vAlign w:val="center"/>
          </w:tcPr>
          <w:p w14:paraId="099032E7" w14:textId="565D3C57"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55</w:t>
            </w:r>
          </w:p>
        </w:tc>
        <w:tc>
          <w:tcPr>
            <w:tcW w:w="2430" w:type="dxa"/>
            <w:tcMar>
              <w:left w:w="105" w:type="dxa"/>
              <w:right w:w="105" w:type="dxa"/>
            </w:tcMar>
            <w:vAlign w:val="center"/>
          </w:tcPr>
          <w:p w14:paraId="7F9E22B8" w14:textId="71069975"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0.0%</w:t>
            </w:r>
          </w:p>
        </w:tc>
        <w:tc>
          <w:tcPr>
            <w:tcW w:w="2430" w:type="dxa"/>
            <w:tcMar>
              <w:left w:w="105" w:type="dxa"/>
              <w:right w:w="105" w:type="dxa"/>
            </w:tcMar>
            <w:vAlign w:val="center"/>
          </w:tcPr>
          <w:p w14:paraId="7B971096" w14:textId="45A7CB44"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0.0%</w:t>
            </w:r>
          </w:p>
        </w:tc>
        <w:tc>
          <w:tcPr>
            <w:tcW w:w="2430" w:type="dxa"/>
            <w:tcBorders>
              <w:right w:val="single" w:sz="6" w:space="0" w:color="auto"/>
            </w:tcBorders>
            <w:tcMar>
              <w:left w:w="105" w:type="dxa"/>
              <w:right w:w="105" w:type="dxa"/>
            </w:tcMar>
            <w:vAlign w:val="center"/>
          </w:tcPr>
          <w:p w14:paraId="737533A9" w14:textId="7494F8AB"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47967618" w14:textId="77777777" w:rsidTr="00487411">
        <w:trPr>
          <w:cantSplit/>
          <w:trHeight w:val="300"/>
          <w:tblHeader/>
        </w:trPr>
        <w:tc>
          <w:tcPr>
            <w:tcW w:w="2430" w:type="dxa"/>
            <w:tcBorders>
              <w:left w:val="single" w:sz="6" w:space="0" w:color="auto"/>
            </w:tcBorders>
            <w:tcMar>
              <w:left w:w="105" w:type="dxa"/>
              <w:right w:w="105" w:type="dxa"/>
            </w:tcMar>
            <w:vAlign w:val="center"/>
          </w:tcPr>
          <w:p w14:paraId="23FED391" w14:textId="246D3DED"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50</w:t>
            </w:r>
          </w:p>
        </w:tc>
        <w:tc>
          <w:tcPr>
            <w:tcW w:w="2430" w:type="dxa"/>
            <w:tcMar>
              <w:left w:w="105" w:type="dxa"/>
              <w:right w:w="105" w:type="dxa"/>
            </w:tcMar>
            <w:vAlign w:val="center"/>
          </w:tcPr>
          <w:p w14:paraId="065B2874" w14:textId="56218FF8"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0.1%</w:t>
            </w:r>
          </w:p>
        </w:tc>
        <w:tc>
          <w:tcPr>
            <w:tcW w:w="2430" w:type="dxa"/>
            <w:tcMar>
              <w:left w:w="105" w:type="dxa"/>
              <w:right w:w="105" w:type="dxa"/>
            </w:tcMar>
            <w:vAlign w:val="center"/>
          </w:tcPr>
          <w:p w14:paraId="72DAD0F7" w14:textId="1CE1F373"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0.1%</w:t>
            </w:r>
          </w:p>
        </w:tc>
        <w:tc>
          <w:tcPr>
            <w:tcW w:w="2430" w:type="dxa"/>
            <w:tcBorders>
              <w:right w:val="single" w:sz="6" w:space="0" w:color="auto"/>
            </w:tcBorders>
            <w:tcMar>
              <w:left w:w="105" w:type="dxa"/>
              <w:right w:w="105" w:type="dxa"/>
            </w:tcMar>
            <w:vAlign w:val="center"/>
          </w:tcPr>
          <w:p w14:paraId="7C919DC7" w14:textId="5A7430AE"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39B9EBA9" w14:textId="77777777" w:rsidTr="00487411">
        <w:trPr>
          <w:cantSplit/>
          <w:trHeight w:val="300"/>
          <w:tblHeader/>
        </w:trPr>
        <w:tc>
          <w:tcPr>
            <w:tcW w:w="2430" w:type="dxa"/>
            <w:tcBorders>
              <w:left w:val="single" w:sz="6" w:space="0" w:color="auto"/>
            </w:tcBorders>
            <w:tcMar>
              <w:left w:w="105" w:type="dxa"/>
              <w:right w:w="105" w:type="dxa"/>
            </w:tcMar>
            <w:vAlign w:val="center"/>
          </w:tcPr>
          <w:p w14:paraId="0DBCDEC1" w14:textId="155AA1A8"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45</w:t>
            </w:r>
          </w:p>
        </w:tc>
        <w:tc>
          <w:tcPr>
            <w:tcW w:w="2430" w:type="dxa"/>
            <w:tcMar>
              <w:left w:w="105" w:type="dxa"/>
              <w:right w:w="105" w:type="dxa"/>
            </w:tcMar>
            <w:vAlign w:val="center"/>
          </w:tcPr>
          <w:p w14:paraId="0F48C0F0" w14:textId="510CCB13"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0.4%</w:t>
            </w:r>
          </w:p>
        </w:tc>
        <w:tc>
          <w:tcPr>
            <w:tcW w:w="2430" w:type="dxa"/>
            <w:tcMar>
              <w:left w:w="105" w:type="dxa"/>
              <w:right w:w="105" w:type="dxa"/>
            </w:tcMar>
            <w:vAlign w:val="center"/>
          </w:tcPr>
          <w:p w14:paraId="5437558E" w14:textId="32EE1A6F"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0.4%</w:t>
            </w:r>
          </w:p>
        </w:tc>
        <w:tc>
          <w:tcPr>
            <w:tcW w:w="2430" w:type="dxa"/>
            <w:tcBorders>
              <w:right w:val="single" w:sz="6" w:space="0" w:color="auto"/>
            </w:tcBorders>
            <w:tcMar>
              <w:left w:w="105" w:type="dxa"/>
              <w:right w:w="105" w:type="dxa"/>
            </w:tcMar>
            <w:vAlign w:val="center"/>
          </w:tcPr>
          <w:p w14:paraId="268DCC1F" w14:textId="2E934923"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22C1C3BA" w14:textId="77777777" w:rsidTr="00487411">
        <w:trPr>
          <w:cantSplit/>
          <w:trHeight w:val="300"/>
          <w:tblHeader/>
        </w:trPr>
        <w:tc>
          <w:tcPr>
            <w:tcW w:w="2430" w:type="dxa"/>
            <w:tcBorders>
              <w:left w:val="single" w:sz="6" w:space="0" w:color="auto"/>
            </w:tcBorders>
            <w:tcMar>
              <w:left w:w="105" w:type="dxa"/>
              <w:right w:w="105" w:type="dxa"/>
            </w:tcMar>
            <w:vAlign w:val="center"/>
          </w:tcPr>
          <w:p w14:paraId="7FF4C48A" w14:textId="0E94D851"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40</w:t>
            </w:r>
          </w:p>
        </w:tc>
        <w:tc>
          <w:tcPr>
            <w:tcW w:w="2430" w:type="dxa"/>
            <w:tcMar>
              <w:left w:w="105" w:type="dxa"/>
              <w:right w:w="105" w:type="dxa"/>
            </w:tcMar>
            <w:vAlign w:val="center"/>
          </w:tcPr>
          <w:p w14:paraId="259DBBC0" w14:textId="26BBCDED"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0.6%</w:t>
            </w:r>
          </w:p>
        </w:tc>
        <w:tc>
          <w:tcPr>
            <w:tcW w:w="2430" w:type="dxa"/>
            <w:tcMar>
              <w:left w:w="105" w:type="dxa"/>
              <w:right w:w="105" w:type="dxa"/>
            </w:tcMar>
            <w:vAlign w:val="center"/>
          </w:tcPr>
          <w:p w14:paraId="41C5AEAD" w14:textId="0B6511C2"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0.6%</w:t>
            </w:r>
          </w:p>
        </w:tc>
        <w:tc>
          <w:tcPr>
            <w:tcW w:w="2430" w:type="dxa"/>
            <w:tcBorders>
              <w:right w:val="single" w:sz="6" w:space="0" w:color="auto"/>
            </w:tcBorders>
            <w:tcMar>
              <w:left w:w="105" w:type="dxa"/>
              <w:right w:w="105" w:type="dxa"/>
            </w:tcMar>
            <w:vAlign w:val="center"/>
          </w:tcPr>
          <w:p w14:paraId="5AF05C6F" w14:textId="24BA68E9"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3BC23641" w14:textId="77777777" w:rsidTr="00487411">
        <w:trPr>
          <w:cantSplit/>
          <w:trHeight w:val="300"/>
          <w:tblHeader/>
        </w:trPr>
        <w:tc>
          <w:tcPr>
            <w:tcW w:w="2430" w:type="dxa"/>
            <w:tcBorders>
              <w:left w:val="single" w:sz="6" w:space="0" w:color="auto"/>
            </w:tcBorders>
            <w:tcMar>
              <w:left w:w="105" w:type="dxa"/>
              <w:right w:w="105" w:type="dxa"/>
            </w:tcMar>
            <w:vAlign w:val="center"/>
          </w:tcPr>
          <w:p w14:paraId="3C896FCC" w14:textId="22836C58"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35</w:t>
            </w:r>
          </w:p>
        </w:tc>
        <w:tc>
          <w:tcPr>
            <w:tcW w:w="2430" w:type="dxa"/>
            <w:tcMar>
              <w:left w:w="105" w:type="dxa"/>
              <w:right w:w="105" w:type="dxa"/>
            </w:tcMar>
            <w:vAlign w:val="center"/>
          </w:tcPr>
          <w:p w14:paraId="0EEDDA6C" w14:textId="6C2CEB8C"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0.9%</w:t>
            </w:r>
          </w:p>
        </w:tc>
        <w:tc>
          <w:tcPr>
            <w:tcW w:w="2430" w:type="dxa"/>
            <w:tcMar>
              <w:left w:w="105" w:type="dxa"/>
              <w:right w:w="105" w:type="dxa"/>
            </w:tcMar>
            <w:vAlign w:val="center"/>
          </w:tcPr>
          <w:p w14:paraId="3D211D99" w14:textId="78B352EF"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0.9%</w:t>
            </w:r>
          </w:p>
        </w:tc>
        <w:tc>
          <w:tcPr>
            <w:tcW w:w="2430" w:type="dxa"/>
            <w:tcBorders>
              <w:right w:val="single" w:sz="6" w:space="0" w:color="auto"/>
            </w:tcBorders>
            <w:tcMar>
              <w:left w:w="105" w:type="dxa"/>
              <w:right w:w="105" w:type="dxa"/>
            </w:tcMar>
            <w:vAlign w:val="center"/>
          </w:tcPr>
          <w:p w14:paraId="1850A94D" w14:textId="6CC2751D"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485210A3" w14:textId="77777777" w:rsidTr="00487411">
        <w:trPr>
          <w:cantSplit/>
          <w:trHeight w:val="300"/>
          <w:tblHeader/>
        </w:trPr>
        <w:tc>
          <w:tcPr>
            <w:tcW w:w="2430" w:type="dxa"/>
            <w:tcBorders>
              <w:left w:val="single" w:sz="6" w:space="0" w:color="auto"/>
            </w:tcBorders>
            <w:tcMar>
              <w:left w:w="105" w:type="dxa"/>
              <w:right w:w="105" w:type="dxa"/>
            </w:tcMar>
            <w:vAlign w:val="center"/>
          </w:tcPr>
          <w:p w14:paraId="25F4CEF6" w14:textId="57F957A6"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30</w:t>
            </w:r>
          </w:p>
        </w:tc>
        <w:tc>
          <w:tcPr>
            <w:tcW w:w="2430" w:type="dxa"/>
            <w:tcMar>
              <w:left w:w="105" w:type="dxa"/>
              <w:right w:w="105" w:type="dxa"/>
            </w:tcMar>
            <w:vAlign w:val="center"/>
          </w:tcPr>
          <w:p w14:paraId="6EED0AB6" w14:textId="67F32B4D"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1.2%</w:t>
            </w:r>
          </w:p>
        </w:tc>
        <w:tc>
          <w:tcPr>
            <w:tcW w:w="2430" w:type="dxa"/>
            <w:tcMar>
              <w:left w:w="105" w:type="dxa"/>
              <w:right w:w="105" w:type="dxa"/>
            </w:tcMar>
            <w:vAlign w:val="center"/>
          </w:tcPr>
          <w:p w14:paraId="570D7BF3" w14:textId="322C6CE2"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1.2%</w:t>
            </w:r>
          </w:p>
        </w:tc>
        <w:tc>
          <w:tcPr>
            <w:tcW w:w="2430" w:type="dxa"/>
            <w:tcBorders>
              <w:right w:val="single" w:sz="6" w:space="0" w:color="auto"/>
            </w:tcBorders>
            <w:tcMar>
              <w:left w:w="105" w:type="dxa"/>
              <w:right w:w="105" w:type="dxa"/>
            </w:tcMar>
            <w:vAlign w:val="center"/>
          </w:tcPr>
          <w:p w14:paraId="127980A0" w14:textId="1AB5EAE3"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4415C96F" w14:textId="77777777" w:rsidTr="00487411">
        <w:trPr>
          <w:cantSplit/>
          <w:trHeight w:val="300"/>
          <w:tblHeader/>
        </w:trPr>
        <w:tc>
          <w:tcPr>
            <w:tcW w:w="2430" w:type="dxa"/>
            <w:tcBorders>
              <w:left w:val="single" w:sz="6" w:space="0" w:color="auto"/>
            </w:tcBorders>
            <w:tcMar>
              <w:left w:w="105" w:type="dxa"/>
              <w:right w:w="105" w:type="dxa"/>
            </w:tcMar>
            <w:vAlign w:val="center"/>
          </w:tcPr>
          <w:p w14:paraId="0A016A9B" w14:textId="52EAD2B7"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25</w:t>
            </w:r>
          </w:p>
        </w:tc>
        <w:tc>
          <w:tcPr>
            <w:tcW w:w="2430" w:type="dxa"/>
            <w:tcMar>
              <w:left w:w="105" w:type="dxa"/>
              <w:right w:w="105" w:type="dxa"/>
            </w:tcMar>
            <w:vAlign w:val="center"/>
          </w:tcPr>
          <w:p w14:paraId="0FA889EB" w14:textId="07E374E8"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1.7%</w:t>
            </w:r>
          </w:p>
        </w:tc>
        <w:tc>
          <w:tcPr>
            <w:tcW w:w="2430" w:type="dxa"/>
            <w:tcMar>
              <w:left w:w="105" w:type="dxa"/>
              <w:right w:w="105" w:type="dxa"/>
            </w:tcMar>
            <w:vAlign w:val="center"/>
          </w:tcPr>
          <w:p w14:paraId="1A040383" w14:textId="3FDC89DB"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1.6%</w:t>
            </w:r>
          </w:p>
        </w:tc>
        <w:tc>
          <w:tcPr>
            <w:tcW w:w="2430" w:type="dxa"/>
            <w:tcBorders>
              <w:right w:val="single" w:sz="6" w:space="0" w:color="auto"/>
            </w:tcBorders>
            <w:tcMar>
              <w:left w:w="105" w:type="dxa"/>
              <w:right w:w="105" w:type="dxa"/>
            </w:tcMar>
            <w:vAlign w:val="center"/>
          </w:tcPr>
          <w:p w14:paraId="4DE439C9" w14:textId="58DFC871"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4CA86682" w14:textId="77777777" w:rsidTr="00487411">
        <w:trPr>
          <w:cantSplit/>
          <w:trHeight w:val="300"/>
          <w:tblHeader/>
        </w:trPr>
        <w:tc>
          <w:tcPr>
            <w:tcW w:w="2430" w:type="dxa"/>
            <w:tcBorders>
              <w:left w:val="single" w:sz="6" w:space="0" w:color="auto"/>
            </w:tcBorders>
            <w:tcMar>
              <w:left w:w="105" w:type="dxa"/>
              <w:right w:w="105" w:type="dxa"/>
            </w:tcMar>
            <w:vAlign w:val="center"/>
          </w:tcPr>
          <w:p w14:paraId="4337D767" w14:textId="361BA276"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20</w:t>
            </w:r>
          </w:p>
        </w:tc>
        <w:tc>
          <w:tcPr>
            <w:tcW w:w="2430" w:type="dxa"/>
            <w:tcMar>
              <w:left w:w="105" w:type="dxa"/>
              <w:right w:w="105" w:type="dxa"/>
            </w:tcMar>
            <w:vAlign w:val="center"/>
          </w:tcPr>
          <w:p w14:paraId="2EDC5F1A" w14:textId="7AE0E173"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2.2%</w:t>
            </w:r>
          </w:p>
        </w:tc>
        <w:tc>
          <w:tcPr>
            <w:tcW w:w="2430" w:type="dxa"/>
            <w:tcMar>
              <w:left w:w="105" w:type="dxa"/>
              <w:right w:w="105" w:type="dxa"/>
            </w:tcMar>
            <w:vAlign w:val="center"/>
          </w:tcPr>
          <w:p w14:paraId="3F9328C9" w14:textId="07E1EC1B"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2.1%</w:t>
            </w:r>
          </w:p>
        </w:tc>
        <w:tc>
          <w:tcPr>
            <w:tcW w:w="2430" w:type="dxa"/>
            <w:tcBorders>
              <w:right w:val="single" w:sz="6" w:space="0" w:color="auto"/>
            </w:tcBorders>
            <w:tcMar>
              <w:left w:w="105" w:type="dxa"/>
              <w:right w:w="105" w:type="dxa"/>
            </w:tcMar>
            <w:vAlign w:val="center"/>
          </w:tcPr>
          <w:p w14:paraId="4DACCA50" w14:textId="7451259F"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407A6092" w14:textId="77777777" w:rsidTr="00487411">
        <w:trPr>
          <w:cantSplit/>
          <w:trHeight w:val="300"/>
          <w:tblHeader/>
        </w:trPr>
        <w:tc>
          <w:tcPr>
            <w:tcW w:w="2430" w:type="dxa"/>
            <w:tcBorders>
              <w:left w:val="single" w:sz="6" w:space="0" w:color="auto"/>
            </w:tcBorders>
            <w:tcMar>
              <w:left w:w="105" w:type="dxa"/>
              <w:right w:w="105" w:type="dxa"/>
            </w:tcMar>
            <w:vAlign w:val="center"/>
          </w:tcPr>
          <w:p w14:paraId="31A5B163" w14:textId="222B1936"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15</w:t>
            </w:r>
          </w:p>
        </w:tc>
        <w:tc>
          <w:tcPr>
            <w:tcW w:w="2430" w:type="dxa"/>
            <w:tcMar>
              <w:left w:w="105" w:type="dxa"/>
              <w:right w:w="105" w:type="dxa"/>
            </w:tcMar>
            <w:vAlign w:val="center"/>
          </w:tcPr>
          <w:p w14:paraId="3CE489F0" w14:textId="5D431025"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3.1%</w:t>
            </w:r>
          </w:p>
        </w:tc>
        <w:tc>
          <w:tcPr>
            <w:tcW w:w="2430" w:type="dxa"/>
            <w:tcMar>
              <w:left w:w="105" w:type="dxa"/>
              <w:right w:w="105" w:type="dxa"/>
            </w:tcMar>
            <w:vAlign w:val="center"/>
          </w:tcPr>
          <w:p w14:paraId="63AB6F35" w14:textId="32AFA9C5"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3.1%</w:t>
            </w:r>
          </w:p>
        </w:tc>
        <w:tc>
          <w:tcPr>
            <w:tcW w:w="2430" w:type="dxa"/>
            <w:tcBorders>
              <w:right w:val="single" w:sz="6" w:space="0" w:color="auto"/>
            </w:tcBorders>
            <w:tcMar>
              <w:left w:w="105" w:type="dxa"/>
              <w:right w:w="105" w:type="dxa"/>
            </w:tcMar>
            <w:vAlign w:val="center"/>
          </w:tcPr>
          <w:p w14:paraId="7D35D433" w14:textId="5A1263D0"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rsidRPr="00D10954" w14:paraId="3EB84465" w14:textId="77777777" w:rsidTr="00487411">
        <w:trPr>
          <w:cantSplit/>
          <w:trHeight w:val="300"/>
          <w:tblHeader/>
        </w:trPr>
        <w:tc>
          <w:tcPr>
            <w:tcW w:w="2430" w:type="dxa"/>
            <w:tcBorders>
              <w:left w:val="single" w:sz="6" w:space="0" w:color="auto"/>
            </w:tcBorders>
            <w:tcMar>
              <w:left w:w="105" w:type="dxa"/>
              <w:right w:w="105" w:type="dxa"/>
            </w:tcMar>
            <w:vAlign w:val="center"/>
          </w:tcPr>
          <w:p w14:paraId="37C6DCB9" w14:textId="0A796E49"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10</w:t>
            </w:r>
          </w:p>
        </w:tc>
        <w:tc>
          <w:tcPr>
            <w:tcW w:w="2430" w:type="dxa"/>
            <w:tcMar>
              <w:left w:w="105" w:type="dxa"/>
              <w:right w:w="105" w:type="dxa"/>
            </w:tcMar>
            <w:vAlign w:val="center"/>
          </w:tcPr>
          <w:p w14:paraId="7E505885" w14:textId="01EBC852"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4.5%</w:t>
            </w:r>
          </w:p>
        </w:tc>
        <w:tc>
          <w:tcPr>
            <w:tcW w:w="2430" w:type="dxa"/>
            <w:tcMar>
              <w:left w:w="105" w:type="dxa"/>
              <w:right w:w="105" w:type="dxa"/>
            </w:tcMar>
            <w:vAlign w:val="center"/>
          </w:tcPr>
          <w:p w14:paraId="04C3E6D2" w14:textId="0F07C51E"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4.6%</w:t>
            </w:r>
          </w:p>
        </w:tc>
        <w:tc>
          <w:tcPr>
            <w:tcW w:w="2430" w:type="dxa"/>
            <w:tcBorders>
              <w:right w:val="single" w:sz="6" w:space="0" w:color="auto"/>
            </w:tcBorders>
            <w:tcMar>
              <w:left w:w="105" w:type="dxa"/>
              <w:right w:w="105" w:type="dxa"/>
            </w:tcMar>
            <w:vAlign w:val="center"/>
          </w:tcPr>
          <w:p w14:paraId="5C59190D" w14:textId="52A8DBDC"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N/A</w:t>
            </w:r>
          </w:p>
        </w:tc>
      </w:tr>
      <w:tr w:rsidR="228CF246" w14:paraId="15F45AD7" w14:textId="77777777" w:rsidTr="00487411">
        <w:trPr>
          <w:cantSplit/>
          <w:trHeight w:val="300"/>
          <w:tblHeader/>
        </w:trPr>
        <w:tc>
          <w:tcPr>
            <w:tcW w:w="2430" w:type="dxa"/>
            <w:tcBorders>
              <w:left w:val="single" w:sz="6" w:space="0" w:color="auto"/>
              <w:bottom w:val="single" w:sz="6" w:space="0" w:color="auto"/>
            </w:tcBorders>
            <w:tcMar>
              <w:left w:w="105" w:type="dxa"/>
              <w:right w:w="105" w:type="dxa"/>
            </w:tcMar>
            <w:vAlign w:val="center"/>
          </w:tcPr>
          <w:p w14:paraId="2483CF30" w14:textId="4D48D5FF"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5</w:t>
            </w:r>
          </w:p>
        </w:tc>
        <w:tc>
          <w:tcPr>
            <w:tcW w:w="2430" w:type="dxa"/>
            <w:tcBorders>
              <w:bottom w:val="single" w:sz="6" w:space="0" w:color="auto"/>
            </w:tcBorders>
            <w:tcMar>
              <w:left w:w="105" w:type="dxa"/>
              <w:right w:w="105" w:type="dxa"/>
            </w:tcMar>
            <w:vAlign w:val="center"/>
          </w:tcPr>
          <w:p w14:paraId="7ED4C5F2" w14:textId="1795EA89" w:rsidR="228CF246" w:rsidRPr="00D10954" w:rsidRDefault="228CF246" w:rsidP="00926CA4">
            <w:pPr>
              <w:spacing w:after="0"/>
              <w:ind w:left="60" w:right="60"/>
              <w:jc w:val="center"/>
              <w:rPr>
                <w:rFonts w:eastAsia="Arial" w:cs="Arial"/>
                <w:color w:val="000000" w:themeColor="text1"/>
              </w:rPr>
            </w:pPr>
            <w:r w:rsidRPr="00D10954">
              <w:rPr>
                <w:rFonts w:eastAsia="Arial" w:cs="Arial"/>
                <w:color w:val="000000" w:themeColor="text1"/>
              </w:rPr>
              <w:t>7.8%</w:t>
            </w:r>
          </w:p>
        </w:tc>
        <w:tc>
          <w:tcPr>
            <w:tcW w:w="2430" w:type="dxa"/>
            <w:tcBorders>
              <w:bottom w:val="single" w:sz="6" w:space="0" w:color="auto"/>
            </w:tcBorders>
            <w:tcMar>
              <w:left w:w="105" w:type="dxa"/>
              <w:right w:w="105" w:type="dxa"/>
            </w:tcMar>
            <w:vAlign w:val="center"/>
          </w:tcPr>
          <w:p w14:paraId="13542C33" w14:textId="0DCD7058" w:rsidR="228CF246" w:rsidRPr="00D10954" w:rsidRDefault="228CF246" w:rsidP="00926CA4">
            <w:pPr>
              <w:spacing w:after="0"/>
              <w:jc w:val="center"/>
              <w:rPr>
                <w:rFonts w:eastAsia="Arial" w:cs="Arial"/>
                <w:color w:val="000000" w:themeColor="text1"/>
              </w:rPr>
            </w:pPr>
            <w:r w:rsidRPr="00D10954">
              <w:rPr>
                <w:rFonts w:eastAsia="Arial" w:cs="Arial"/>
                <w:color w:val="000000" w:themeColor="text1"/>
              </w:rPr>
              <w:t>7.3%</w:t>
            </w:r>
          </w:p>
        </w:tc>
        <w:tc>
          <w:tcPr>
            <w:tcW w:w="2430" w:type="dxa"/>
            <w:tcBorders>
              <w:bottom w:val="single" w:sz="6" w:space="0" w:color="auto"/>
              <w:right w:val="single" w:sz="6" w:space="0" w:color="auto"/>
            </w:tcBorders>
            <w:tcMar>
              <w:left w:w="105" w:type="dxa"/>
              <w:right w:w="105" w:type="dxa"/>
            </w:tcMar>
            <w:vAlign w:val="center"/>
          </w:tcPr>
          <w:p w14:paraId="17787BA3" w14:textId="37422897" w:rsidR="228CF246" w:rsidRDefault="228CF246" w:rsidP="00926CA4">
            <w:pPr>
              <w:spacing w:after="0"/>
              <w:jc w:val="center"/>
              <w:rPr>
                <w:rFonts w:eastAsia="Arial" w:cs="Arial"/>
                <w:color w:val="000000" w:themeColor="text1"/>
              </w:rPr>
            </w:pPr>
            <w:r w:rsidRPr="00D10954">
              <w:rPr>
                <w:rFonts w:eastAsia="Arial" w:cs="Arial"/>
                <w:color w:val="000000" w:themeColor="text1"/>
              </w:rPr>
              <w:t>N/A</w:t>
            </w:r>
          </w:p>
        </w:tc>
      </w:tr>
    </w:tbl>
    <w:p w14:paraId="77F3810E" w14:textId="77777777" w:rsidR="00B57DDB" w:rsidRDefault="00B57DDB" w:rsidP="00604C1F">
      <w:pPr>
        <w:pStyle w:val="Body"/>
        <w:spacing w:after="360"/>
      </w:pPr>
    </w:p>
    <w:sectPr w:rsidR="00B57DDB" w:rsidSect="00B57DDB">
      <w:headerReference w:type="default" r:id="rId41"/>
      <w:headerReference w:type="first" r:id="rId42"/>
      <w:pgSz w:w="12240" w:h="15840"/>
      <w:pgMar w:top="1440" w:right="1080" w:bottom="1080" w:left="144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3548" w14:textId="77777777" w:rsidR="00363D9A" w:rsidRDefault="00363D9A" w:rsidP="007C0AA4">
      <w:r>
        <w:separator/>
      </w:r>
    </w:p>
    <w:p w14:paraId="7FD7C898" w14:textId="77777777" w:rsidR="00363D9A" w:rsidRDefault="00363D9A"/>
  </w:endnote>
  <w:endnote w:type="continuationSeparator" w:id="0">
    <w:p w14:paraId="2D69D79B" w14:textId="77777777" w:rsidR="00363D9A" w:rsidRDefault="00363D9A" w:rsidP="007C0AA4">
      <w:r>
        <w:continuationSeparator/>
      </w:r>
    </w:p>
    <w:p w14:paraId="50810F9A" w14:textId="77777777" w:rsidR="00363D9A" w:rsidRDefault="00363D9A"/>
  </w:endnote>
  <w:endnote w:type="continuationNotice" w:id="1">
    <w:p w14:paraId="7C9F7BBD" w14:textId="77777777" w:rsidR="00363D9A" w:rsidRDefault="00363D9A"/>
    <w:p w14:paraId="0D5AF1FC" w14:textId="77777777" w:rsidR="00363D9A" w:rsidRDefault="00363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EE65" w14:textId="77777777" w:rsidR="00CD3255" w:rsidRPr="007B31F9" w:rsidRDefault="00CD3255" w:rsidP="007B3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AB54" w14:textId="77777777" w:rsidR="00CD3255" w:rsidRPr="00A31EA8" w:rsidRDefault="00CD3255" w:rsidP="00A31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BFC1" w14:textId="77777777" w:rsidR="00363D9A" w:rsidRDefault="00363D9A" w:rsidP="007C0AA4">
      <w:r>
        <w:separator/>
      </w:r>
    </w:p>
    <w:p w14:paraId="26C0450D" w14:textId="77777777" w:rsidR="00363D9A" w:rsidRDefault="00363D9A"/>
  </w:footnote>
  <w:footnote w:type="continuationSeparator" w:id="0">
    <w:p w14:paraId="7C27B530" w14:textId="77777777" w:rsidR="00363D9A" w:rsidRDefault="00363D9A" w:rsidP="007C0AA4">
      <w:r>
        <w:continuationSeparator/>
      </w:r>
    </w:p>
    <w:p w14:paraId="1A5EF830" w14:textId="77777777" w:rsidR="00363D9A" w:rsidRDefault="00363D9A"/>
  </w:footnote>
  <w:footnote w:type="continuationNotice" w:id="1">
    <w:p w14:paraId="403D9F6B" w14:textId="77777777" w:rsidR="00363D9A" w:rsidRDefault="00363D9A"/>
    <w:p w14:paraId="1719B1B4" w14:textId="77777777" w:rsidR="00363D9A" w:rsidRDefault="00363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C091" w14:textId="77777777" w:rsidR="00CD3255" w:rsidRDefault="00CD3255" w:rsidP="00B664B2">
    <w:pPr>
      <w:tabs>
        <w:tab w:val="center" w:pos="4680"/>
        <w:tab w:val="right" w:pos="9360"/>
      </w:tabs>
      <w:jc w:val="right"/>
    </w:pPr>
    <w:r>
      <w:t>memo</w:t>
    </w:r>
    <w:r w:rsidRPr="00BC505C">
      <w:t>-pptb</w:t>
    </w:r>
    <w:r>
      <w:t>-amard</w:t>
    </w:r>
    <w:r w:rsidRPr="00BC505C">
      <w:t>-</w:t>
    </w:r>
    <w:r>
      <w:t>feb19</w:t>
    </w:r>
    <w:r w:rsidRPr="00BC505C">
      <w:t>item0</w:t>
    </w:r>
    <w:r>
      <w:t>1</w:t>
    </w:r>
  </w:p>
  <w:p w14:paraId="769BF53F" w14:textId="77777777" w:rsidR="00CD3255" w:rsidRDefault="00CD3255" w:rsidP="005B7828">
    <w:pPr>
      <w:tabs>
        <w:tab w:val="center" w:pos="4680"/>
        <w:tab w:val="right" w:pos="9360"/>
      </w:tabs>
      <w:spacing w:after="360"/>
      <w:jc w:val="right"/>
      <w:rPr>
        <w:rFonts w:cs="Arial"/>
      </w:rPr>
    </w:pPr>
    <w:r w:rsidRPr="003E06F5">
      <w:rPr>
        <w:rFonts w:cs="Arial"/>
      </w:rPr>
      <w:t xml:space="preserve">Page </w:t>
    </w:r>
    <w:r w:rsidRPr="003E06F5">
      <w:rPr>
        <w:rFonts w:cs="Arial"/>
        <w:color w:val="2B579A"/>
        <w:shd w:val="clear" w:color="auto" w:fill="E6E6E6"/>
      </w:rPr>
      <w:fldChar w:fldCharType="begin"/>
    </w:r>
    <w:r w:rsidRPr="003E06F5">
      <w:rPr>
        <w:rFonts w:cs="Arial"/>
      </w:rPr>
      <w:instrText xml:space="preserve"> PAGE   \* MERGEFORMAT </w:instrText>
    </w:r>
    <w:r w:rsidRPr="003E06F5">
      <w:rPr>
        <w:rFonts w:cs="Arial"/>
        <w:color w:val="2B579A"/>
        <w:shd w:val="clear" w:color="auto" w:fill="E6E6E6"/>
      </w:rPr>
      <w:fldChar w:fldCharType="separate"/>
    </w:r>
    <w:r>
      <w:rPr>
        <w:rFonts w:cs="Arial"/>
        <w:noProof/>
      </w:rPr>
      <w:t>4</w:t>
    </w:r>
    <w:r w:rsidRPr="003E06F5">
      <w:rPr>
        <w:rFonts w:cs="Arial"/>
        <w:color w:val="2B579A"/>
        <w:shd w:val="clear" w:color="auto" w:fill="E6E6E6"/>
      </w:rPr>
      <w:fldChar w:fldCharType="end"/>
    </w:r>
    <w:r w:rsidRPr="003E06F5">
      <w:rPr>
        <w:rFonts w:cs="Arial"/>
      </w:rPr>
      <w:t xml:space="preserve"> of </w:t>
    </w:r>
    <w:r>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15AB" w14:textId="57F4ADFC" w:rsidR="00CD3255" w:rsidRPr="003A3C17" w:rsidRDefault="00CD3255" w:rsidP="00F5515A">
    <w:pPr>
      <w:pStyle w:val="Header"/>
      <w:spacing w:after="0"/>
      <w:jc w:val="right"/>
      <w:rPr>
        <w:rFonts w:ascii="Arial" w:hAnsi="Arial" w:cs="Arial"/>
        <w:sz w:val="24"/>
      </w:rPr>
    </w:pPr>
    <w:r w:rsidRPr="003A3C17">
      <w:rPr>
        <w:rFonts w:ascii="Arial" w:hAnsi="Arial" w:cs="Arial"/>
        <w:sz w:val="24"/>
      </w:rPr>
      <w:t>memo-itb-amard-</w:t>
    </w:r>
    <w:r w:rsidR="002A5694">
      <w:rPr>
        <w:rFonts w:ascii="Arial" w:hAnsi="Arial" w:cs="Arial"/>
        <w:sz w:val="24"/>
      </w:rPr>
      <w:t>june</w:t>
    </w:r>
    <w:r w:rsidRPr="003A3C17">
      <w:rPr>
        <w:rFonts w:ascii="Arial" w:hAnsi="Arial" w:cs="Arial"/>
        <w:sz w:val="24"/>
      </w:rPr>
      <w:t>23item01</w:t>
    </w:r>
  </w:p>
  <w:p w14:paraId="7BA4F87D" w14:textId="659D9266" w:rsidR="00CD3255" w:rsidRPr="00563762" w:rsidRDefault="00CD3255" w:rsidP="00563762">
    <w:pPr>
      <w:jc w:val="right"/>
    </w:pPr>
    <w:r w:rsidRPr="00563762">
      <w:t xml:space="preserve">Page </w:t>
    </w:r>
    <w:r w:rsidR="00563762" w:rsidRPr="00563762">
      <w:fldChar w:fldCharType="begin"/>
    </w:r>
    <w:r w:rsidR="00563762" w:rsidRPr="00563762">
      <w:instrText xml:space="preserve"> PAGE  </w:instrText>
    </w:r>
    <w:r w:rsidR="00563762" w:rsidRPr="00563762">
      <w:fldChar w:fldCharType="separate"/>
    </w:r>
    <w:r w:rsidR="00563762" w:rsidRPr="00563762">
      <w:t>5</w:t>
    </w:r>
    <w:r w:rsidR="00563762" w:rsidRPr="00563762">
      <w:fldChar w:fldCharType="end"/>
    </w:r>
    <w:r w:rsidRPr="00563762">
      <w:t xml:space="preserve"> of </w:t>
    </w:r>
    <w:r w:rsidR="004161C0" w:rsidRPr="00563762">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24B9" w14:textId="77777777" w:rsidR="00CD3255" w:rsidRDefault="00CD3255">
    <w:pPr>
      <w:pStyle w:val="HeaderFooter"/>
      <w:rPr>
        <w:rFonts w:hint="eastAsia"/>
      </w:rPr>
    </w:pPr>
  </w:p>
  <w:p w14:paraId="369EBA3B" w14:textId="77777777" w:rsidR="00CD3255" w:rsidRDefault="00CD3255"/>
  <w:p w14:paraId="025B27EE" w14:textId="77777777" w:rsidR="00CD3255" w:rsidRDefault="00CD325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12EB" w14:textId="51024B15" w:rsidR="00CD3255" w:rsidRDefault="00CD3255" w:rsidP="00CA2119">
    <w:pPr>
      <w:pStyle w:val="Header"/>
      <w:spacing w:after="0"/>
      <w:jc w:val="right"/>
      <w:rPr>
        <w:rFonts w:ascii="Arial" w:hAnsi="Arial" w:cs="Arial"/>
        <w:sz w:val="24"/>
        <w:szCs w:val="24"/>
      </w:rPr>
    </w:pPr>
    <w:r>
      <w:rPr>
        <w:rFonts w:ascii="Arial" w:hAnsi="Arial" w:cs="Arial"/>
        <w:sz w:val="24"/>
        <w:szCs w:val="24"/>
      </w:rPr>
      <w:t>memo-itb-amard-juneitem01</w:t>
    </w:r>
  </w:p>
  <w:p w14:paraId="6F1C9211" w14:textId="3788E9F7" w:rsidR="00CD3255" w:rsidRDefault="00CD3255" w:rsidP="00CA2119">
    <w:pPr>
      <w:pStyle w:val="Header"/>
      <w:spacing w:after="0"/>
      <w:jc w:val="right"/>
      <w:rPr>
        <w:rFonts w:ascii="Arial" w:hAnsi="Arial" w:cs="Arial"/>
        <w:sz w:val="24"/>
        <w:szCs w:val="24"/>
      </w:rPr>
    </w:pPr>
    <w:r>
      <w:rPr>
        <w:rFonts w:ascii="Arial" w:hAnsi="Arial" w:cs="Arial"/>
        <w:sz w:val="24"/>
        <w:szCs w:val="24"/>
      </w:rPr>
      <w:t>Attachment 1</w:t>
    </w:r>
  </w:p>
  <w:p w14:paraId="361C8811" w14:textId="71EA7824" w:rsidR="00CD3255" w:rsidRPr="00C309C8" w:rsidRDefault="00CD3255" w:rsidP="005D6C1F">
    <w:pPr>
      <w:pStyle w:val="Header"/>
      <w:spacing w:after="480"/>
      <w:jc w:val="right"/>
      <w:rPr>
        <w:rFonts w:ascii="Arial" w:hAnsi="Arial" w:cs="Arial"/>
        <w:sz w:val="24"/>
        <w:szCs w:val="24"/>
      </w:rPr>
    </w:pPr>
    <w:r w:rsidRPr="003373A6">
      <w:rPr>
        <w:rFonts w:ascii="Arial" w:hAnsi="Arial" w:cs="Arial"/>
        <w:sz w:val="24"/>
        <w:szCs w:val="24"/>
      </w:rPr>
      <w:t>Page</w:t>
    </w:r>
    <w:r w:rsidRPr="001B6F27">
      <w:rPr>
        <w:rFonts w:ascii="Arial" w:hAnsi="Arial" w:cs="Arial"/>
        <w:sz w:val="24"/>
        <w:szCs w:val="24"/>
      </w:rPr>
      <w:t xml:space="preserve"> </w:t>
    </w:r>
    <w:r w:rsidRPr="001B6F27">
      <w:rPr>
        <w:rFonts w:ascii="Arial" w:hAnsi="Arial" w:cs="Arial"/>
        <w:sz w:val="24"/>
        <w:szCs w:val="24"/>
      </w:rPr>
      <w:fldChar w:fldCharType="begin"/>
    </w:r>
    <w:r w:rsidRPr="001B6F27">
      <w:rPr>
        <w:rFonts w:ascii="Arial" w:hAnsi="Arial" w:cs="Arial"/>
        <w:sz w:val="24"/>
        <w:szCs w:val="24"/>
      </w:rPr>
      <w:instrText xml:space="preserve"> PAGE  \* Arabic  \* MERGEFORMAT </w:instrText>
    </w:r>
    <w:r w:rsidRPr="001B6F27">
      <w:rPr>
        <w:rFonts w:ascii="Arial" w:hAnsi="Arial" w:cs="Arial"/>
        <w:sz w:val="24"/>
        <w:szCs w:val="24"/>
      </w:rPr>
      <w:fldChar w:fldCharType="separate"/>
    </w:r>
    <w:r w:rsidRPr="001B6F27">
      <w:rPr>
        <w:rFonts w:ascii="Arial" w:hAnsi="Arial" w:cs="Arial"/>
        <w:noProof/>
        <w:sz w:val="24"/>
        <w:szCs w:val="24"/>
      </w:rPr>
      <w:t>1</w:t>
    </w:r>
    <w:r w:rsidRPr="001B6F27">
      <w:rPr>
        <w:rFonts w:ascii="Arial" w:hAnsi="Arial" w:cs="Arial"/>
        <w:sz w:val="24"/>
        <w:szCs w:val="24"/>
      </w:rPr>
      <w:fldChar w:fldCharType="end"/>
    </w:r>
    <w:r w:rsidRPr="00732DC6">
      <w:rPr>
        <w:rFonts w:ascii="Arial" w:hAnsi="Arial" w:cs="Arial"/>
        <w:sz w:val="24"/>
        <w:szCs w:val="24"/>
      </w:rPr>
      <w:t xml:space="preserve"> of </w:t>
    </w:r>
    <w:r w:rsidR="006241B1">
      <w:rPr>
        <w:rFonts w:ascii="Arial" w:hAnsi="Arial" w:cs="Arial"/>
        <w:sz w:val="24"/>
        <w:szCs w:val="24"/>
      </w:rPr>
      <w:t>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9F33" w14:textId="133BE5E3" w:rsidR="00CD3255" w:rsidRDefault="00CD3255" w:rsidP="00F5515A">
    <w:pPr>
      <w:pStyle w:val="Header"/>
      <w:spacing w:after="0"/>
      <w:jc w:val="right"/>
      <w:rPr>
        <w:rFonts w:ascii="Arial" w:hAnsi="Arial" w:cs="Arial"/>
        <w:sz w:val="24"/>
        <w:szCs w:val="24"/>
      </w:rPr>
    </w:pPr>
    <w:r>
      <w:rPr>
        <w:rFonts w:ascii="Arial" w:hAnsi="Arial" w:cs="Arial"/>
        <w:sz w:val="24"/>
        <w:szCs w:val="24"/>
      </w:rPr>
      <w:t>memo-itb-amard-june23item01</w:t>
    </w:r>
  </w:p>
  <w:p w14:paraId="4422EE9D" w14:textId="7C73CE00" w:rsidR="00CD3255" w:rsidRDefault="00CD3255" w:rsidP="00F5515A">
    <w:pPr>
      <w:pStyle w:val="Header"/>
      <w:spacing w:after="0"/>
      <w:jc w:val="right"/>
      <w:rPr>
        <w:rFonts w:ascii="Arial" w:hAnsi="Arial" w:cs="Arial"/>
        <w:sz w:val="24"/>
        <w:szCs w:val="24"/>
      </w:rPr>
    </w:pPr>
    <w:r>
      <w:rPr>
        <w:rFonts w:ascii="Arial" w:hAnsi="Arial" w:cs="Arial"/>
        <w:sz w:val="24"/>
        <w:szCs w:val="24"/>
      </w:rPr>
      <w:t>Attachment 1</w:t>
    </w:r>
  </w:p>
  <w:p w14:paraId="00885FE6" w14:textId="468B22E2" w:rsidR="00CD3255" w:rsidRPr="00563762" w:rsidRDefault="00CD3255" w:rsidP="00563762">
    <w:pPr>
      <w:jc w:val="right"/>
    </w:pPr>
    <w:r w:rsidRPr="00563762">
      <w:t xml:space="preserve">Page </w:t>
    </w:r>
    <w:r w:rsidRPr="00563762">
      <w:fldChar w:fldCharType="begin"/>
    </w:r>
    <w:r w:rsidRPr="00563762">
      <w:instrText xml:space="preserve"> PAGE  \* Arabic  \* MERGEFORMAT </w:instrText>
    </w:r>
    <w:r w:rsidRPr="00563762">
      <w:fldChar w:fldCharType="separate"/>
    </w:r>
    <w:r w:rsidRPr="00563762">
      <w:t>1</w:t>
    </w:r>
    <w:r w:rsidRPr="00563762">
      <w:fldChar w:fldCharType="end"/>
    </w:r>
    <w:r w:rsidRPr="00563762">
      <w:t xml:space="preserve"> of </w:t>
    </w:r>
    <w:r w:rsidR="006241B1" w:rsidRPr="00563762">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0853C"/>
    <w:multiLevelType w:val="hybridMultilevel"/>
    <w:tmpl w:val="F1643FC6"/>
    <w:lvl w:ilvl="0" w:tplc="E85A4AC0">
      <w:start w:val="1"/>
      <w:numFmt w:val="bullet"/>
      <w:lvlText w:val=""/>
      <w:lvlJc w:val="left"/>
      <w:pPr>
        <w:ind w:left="720" w:hanging="360"/>
      </w:pPr>
      <w:rPr>
        <w:rFonts w:ascii="Symbol" w:hAnsi="Symbol" w:hint="default"/>
      </w:rPr>
    </w:lvl>
    <w:lvl w:ilvl="1" w:tplc="0B120530">
      <w:start w:val="1"/>
      <w:numFmt w:val="bullet"/>
      <w:lvlText w:val="o"/>
      <w:lvlJc w:val="left"/>
      <w:pPr>
        <w:ind w:left="1440" w:hanging="360"/>
      </w:pPr>
      <w:rPr>
        <w:rFonts w:ascii="Courier New" w:hAnsi="Courier New" w:hint="default"/>
      </w:rPr>
    </w:lvl>
    <w:lvl w:ilvl="2" w:tplc="5640269A">
      <w:start w:val="1"/>
      <w:numFmt w:val="bullet"/>
      <w:lvlText w:val=""/>
      <w:lvlJc w:val="left"/>
      <w:pPr>
        <w:ind w:left="2160" w:hanging="360"/>
      </w:pPr>
      <w:rPr>
        <w:rFonts w:ascii="Wingdings" w:hAnsi="Wingdings" w:hint="default"/>
      </w:rPr>
    </w:lvl>
    <w:lvl w:ilvl="3" w:tplc="2E445AA6">
      <w:start w:val="1"/>
      <w:numFmt w:val="bullet"/>
      <w:lvlText w:val=""/>
      <w:lvlJc w:val="left"/>
      <w:pPr>
        <w:ind w:left="2880" w:hanging="360"/>
      </w:pPr>
      <w:rPr>
        <w:rFonts w:ascii="Symbol" w:hAnsi="Symbol" w:hint="default"/>
      </w:rPr>
    </w:lvl>
    <w:lvl w:ilvl="4" w:tplc="1E04D8B0">
      <w:start w:val="1"/>
      <w:numFmt w:val="bullet"/>
      <w:lvlText w:val="o"/>
      <w:lvlJc w:val="left"/>
      <w:pPr>
        <w:ind w:left="3600" w:hanging="360"/>
      </w:pPr>
      <w:rPr>
        <w:rFonts w:ascii="Courier New" w:hAnsi="Courier New" w:hint="default"/>
      </w:rPr>
    </w:lvl>
    <w:lvl w:ilvl="5" w:tplc="93942F32">
      <w:start w:val="1"/>
      <w:numFmt w:val="bullet"/>
      <w:lvlText w:val=""/>
      <w:lvlJc w:val="left"/>
      <w:pPr>
        <w:ind w:left="4320" w:hanging="360"/>
      </w:pPr>
      <w:rPr>
        <w:rFonts w:ascii="Wingdings" w:hAnsi="Wingdings" w:hint="default"/>
      </w:rPr>
    </w:lvl>
    <w:lvl w:ilvl="6" w:tplc="17520764">
      <w:start w:val="1"/>
      <w:numFmt w:val="bullet"/>
      <w:lvlText w:val=""/>
      <w:lvlJc w:val="left"/>
      <w:pPr>
        <w:ind w:left="5040" w:hanging="360"/>
      </w:pPr>
      <w:rPr>
        <w:rFonts w:ascii="Symbol" w:hAnsi="Symbol" w:hint="default"/>
      </w:rPr>
    </w:lvl>
    <w:lvl w:ilvl="7" w:tplc="074AF91E">
      <w:start w:val="1"/>
      <w:numFmt w:val="bullet"/>
      <w:lvlText w:val="o"/>
      <w:lvlJc w:val="left"/>
      <w:pPr>
        <w:ind w:left="5760" w:hanging="360"/>
      </w:pPr>
      <w:rPr>
        <w:rFonts w:ascii="Courier New" w:hAnsi="Courier New" w:hint="default"/>
      </w:rPr>
    </w:lvl>
    <w:lvl w:ilvl="8" w:tplc="AB1601F8">
      <w:start w:val="1"/>
      <w:numFmt w:val="bullet"/>
      <w:lvlText w:val=""/>
      <w:lvlJc w:val="left"/>
      <w:pPr>
        <w:ind w:left="6480" w:hanging="360"/>
      </w:pPr>
      <w:rPr>
        <w:rFonts w:ascii="Wingdings" w:hAnsi="Wingdings" w:hint="default"/>
      </w:rPr>
    </w:lvl>
  </w:abstractNum>
  <w:abstractNum w:abstractNumId="2" w15:restartNumberingAfterBreak="0">
    <w:nsid w:val="07C21038"/>
    <w:multiLevelType w:val="hybridMultilevel"/>
    <w:tmpl w:val="4054637C"/>
    <w:lvl w:ilvl="0" w:tplc="1E286398">
      <w:start w:val="1"/>
      <w:numFmt w:val="bullet"/>
      <w:lvlText w:val=""/>
      <w:lvlJc w:val="left"/>
      <w:pPr>
        <w:ind w:left="720" w:hanging="360"/>
      </w:pPr>
      <w:rPr>
        <w:rFonts w:ascii="Symbol" w:hAnsi="Symbol" w:hint="default"/>
      </w:rPr>
    </w:lvl>
    <w:lvl w:ilvl="1" w:tplc="580651A0">
      <w:start w:val="1"/>
      <w:numFmt w:val="bullet"/>
      <w:lvlText w:val="o"/>
      <w:lvlJc w:val="left"/>
      <w:pPr>
        <w:ind w:left="1440" w:hanging="360"/>
      </w:pPr>
      <w:rPr>
        <w:rFonts w:ascii="Courier New" w:hAnsi="Courier New" w:hint="default"/>
      </w:rPr>
    </w:lvl>
    <w:lvl w:ilvl="2" w:tplc="F9B6526C">
      <w:start w:val="1"/>
      <w:numFmt w:val="bullet"/>
      <w:lvlText w:val=""/>
      <w:lvlJc w:val="left"/>
      <w:pPr>
        <w:ind w:left="2160" w:hanging="360"/>
      </w:pPr>
      <w:rPr>
        <w:rFonts w:ascii="Wingdings" w:hAnsi="Wingdings" w:hint="default"/>
      </w:rPr>
    </w:lvl>
    <w:lvl w:ilvl="3" w:tplc="79A413AC">
      <w:start w:val="1"/>
      <w:numFmt w:val="bullet"/>
      <w:lvlText w:val=""/>
      <w:lvlJc w:val="left"/>
      <w:pPr>
        <w:ind w:left="2880" w:hanging="360"/>
      </w:pPr>
      <w:rPr>
        <w:rFonts w:ascii="Symbol" w:hAnsi="Symbol" w:hint="default"/>
      </w:rPr>
    </w:lvl>
    <w:lvl w:ilvl="4" w:tplc="F77CE136">
      <w:start w:val="1"/>
      <w:numFmt w:val="bullet"/>
      <w:lvlText w:val="o"/>
      <w:lvlJc w:val="left"/>
      <w:pPr>
        <w:ind w:left="3600" w:hanging="360"/>
      </w:pPr>
      <w:rPr>
        <w:rFonts w:ascii="Courier New" w:hAnsi="Courier New" w:hint="default"/>
      </w:rPr>
    </w:lvl>
    <w:lvl w:ilvl="5" w:tplc="8D743876">
      <w:start w:val="1"/>
      <w:numFmt w:val="bullet"/>
      <w:lvlText w:val=""/>
      <w:lvlJc w:val="left"/>
      <w:pPr>
        <w:ind w:left="4320" w:hanging="360"/>
      </w:pPr>
      <w:rPr>
        <w:rFonts w:ascii="Wingdings" w:hAnsi="Wingdings" w:hint="default"/>
      </w:rPr>
    </w:lvl>
    <w:lvl w:ilvl="6" w:tplc="62385508">
      <w:start w:val="1"/>
      <w:numFmt w:val="bullet"/>
      <w:lvlText w:val=""/>
      <w:lvlJc w:val="left"/>
      <w:pPr>
        <w:ind w:left="5040" w:hanging="360"/>
      </w:pPr>
      <w:rPr>
        <w:rFonts w:ascii="Symbol" w:hAnsi="Symbol" w:hint="default"/>
      </w:rPr>
    </w:lvl>
    <w:lvl w:ilvl="7" w:tplc="6D3AC898">
      <w:start w:val="1"/>
      <w:numFmt w:val="bullet"/>
      <w:lvlText w:val="o"/>
      <w:lvlJc w:val="left"/>
      <w:pPr>
        <w:ind w:left="5760" w:hanging="360"/>
      </w:pPr>
      <w:rPr>
        <w:rFonts w:ascii="Courier New" w:hAnsi="Courier New" w:hint="default"/>
      </w:rPr>
    </w:lvl>
    <w:lvl w:ilvl="8" w:tplc="F788DB94">
      <w:start w:val="1"/>
      <w:numFmt w:val="bullet"/>
      <w:lvlText w:val=""/>
      <w:lvlJc w:val="left"/>
      <w:pPr>
        <w:ind w:left="6480" w:hanging="360"/>
      </w:pPr>
      <w:rPr>
        <w:rFonts w:ascii="Wingdings" w:hAnsi="Wingdings" w:hint="default"/>
      </w:rPr>
    </w:lvl>
  </w:abstractNum>
  <w:abstractNum w:abstractNumId="3" w15:restartNumberingAfterBreak="0">
    <w:nsid w:val="14320617"/>
    <w:multiLevelType w:val="hybridMultilevel"/>
    <w:tmpl w:val="8672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9547D"/>
    <w:multiLevelType w:val="hybridMultilevel"/>
    <w:tmpl w:val="3FAE84EA"/>
    <w:numStyleLink w:val="ImportedStyle2"/>
  </w:abstractNum>
  <w:abstractNum w:abstractNumId="5" w15:restartNumberingAfterBreak="0">
    <w:nsid w:val="17E30C79"/>
    <w:multiLevelType w:val="hybridMultilevel"/>
    <w:tmpl w:val="3FAE84EA"/>
    <w:styleLink w:val="ImportedStyle2"/>
    <w:lvl w:ilvl="0" w:tplc="73062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589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410CB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81494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5823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1E864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57CDF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5835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6ADA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A9E256"/>
    <w:multiLevelType w:val="hybridMultilevel"/>
    <w:tmpl w:val="8872DD80"/>
    <w:lvl w:ilvl="0" w:tplc="059EC85E">
      <w:start w:val="1"/>
      <w:numFmt w:val="bullet"/>
      <w:lvlText w:val=""/>
      <w:lvlJc w:val="left"/>
      <w:pPr>
        <w:ind w:left="720" w:hanging="360"/>
      </w:pPr>
      <w:rPr>
        <w:rFonts w:ascii="Symbol" w:hAnsi="Symbol" w:hint="default"/>
      </w:rPr>
    </w:lvl>
    <w:lvl w:ilvl="1" w:tplc="5C0A60CA">
      <w:start w:val="1"/>
      <w:numFmt w:val="bullet"/>
      <w:lvlText w:val="o"/>
      <w:lvlJc w:val="left"/>
      <w:pPr>
        <w:ind w:left="1440" w:hanging="360"/>
      </w:pPr>
      <w:rPr>
        <w:rFonts w:ascii="Courier New" w:hAnsi="Courier New" w:hint="default"/>
      </w:rPr>
    </w:lvl>
    <w:lvl w:ilvl="2" w:tplc="99BC3704">
      <w:start w:val="1"/>
      <w:numFmt w:val="bullet"/>
      <w:lvlText w:val=""/>
      <w:lvlJc w:val="left"/>
      <w:pPr>
        <w:ind w:left="2160" w:hanging="360"/>
      </w:pPr>
      <w:rPr>
        <w:rFonts w:ascii="Wingdings" w:hAnsi="Wingdings" w:hint="default"/>
      </w:rPr>
    </w:lvl>
    <w:lvl w:ilvl="3" w:tplc="00563F8E">
      <w:start w:val="1"/>
      <w:numFmt w:val="bullet"/>
      <w:lvlText w:val=""/>
      <w:lvlJc w:val="left"/>
      <w:pPr>
        <w:ind w:left="2880" w:hanging="360"/>
      </w:pPr>
      <w:rPr>
        <w:rFonts w:ascii="Symbol" w:hAnsi="Symbol" w:hint="default"/>
      </w:rPr>
    </w:lvl>
    <w:lvl w:ilvl="4" w:tplc="AD820A2E">
      <w:start w:val="1"/>
      <w:numFmt w:val="bullet"/>
      <w:lvlText w:val="o"/>
      <w:lvlJc w:val="left"/>
      <w:pPr>
        <w:ind w:left="3600" w:hanging="360"/>
      </w:pPr>
      <w:rPr>
        <w:rFonts w:ascii="Courier New" w:hAnsi="Courier New" w:hint="default"/>
      </w:rPr>
    </w:lvl>
    <w:lvl w:ilvl="5" w:tplc="FC8E878A">
      <w:start w:val="1"/>
      <w:numFmt w:val="bullet"/>
      <w:lvlText w:val=""/>
      <w:lvlJc w:val="left"/>
      <w:pPr>
        <w:ind w:left="4320" w:hanging="360"/>
      </w:pPr>
      <w:rPr>
        <w:rFonts w:ascii="Wingdings" w:hAnsi="Wingdings" w:hint="default"/>
      </w:rPr>
    </w:lvl>
    <w:lvl w:ilvl="6" w:tplc="33329390">
      <w:start w:val="1"/>
      <w:numFmt w:val="bullet"/>
      <w:lvlText w:val=""/>
      <w:lvlJc w:val="left"/>
      <w:pPr>
        <w:ind w:left="5040" w:hanging="360"/>
      </w:pPr>
      <w:rPr>
        <w:rFonts w:ascii="Symbol" w:hAnsi="Symbol" w:hint="default"/>
      </w:rPr>
    </w:lvl>
    <w:lvl w:ilvl="7" w:tplc="8CF4EDE2">
      <w:start w:val="1"/>
      <w:numFmt w:val="bullet"/>
      <w:lvlText w:val="o"/>
      <w:lvlJc w:val="left"/>
      <w:pPr>
        <w:ind w:left="5760" w:hanging="360"/>
      </w:pPr>
      <w:rPr>
        <w:rFonts w:ascii="Courier New" w:hAnsi="Courier New" w:hint="default"/>
      </w:rPr>
    </w:lvl>
    <w:lvl w:ilvl="8" w:tplc="88221BAA">
      <w:start w:val="1"/>
      <w:numFmt w:val="bullet"/>
      <w:lvlText w:val=""/>
      <w:lvlJc w:val="left"/>
      <w:pPr>
        <w:ind w:left="6480" w:hanging="360"/>
      </w:pPr>
      <w:rPr>
        <w:rFonts w:ascii="Wingdings" w:hAnsi="Wingdings" w:hint="default"/>
      </w:rPr>
    </w:lvl>
  </w:abstractNum>
  <w:abstractNum w:abstractNumId="7" w15:restartNumberingAfterBreak="0">
    <w:nsid w:val="248C1C02"/>
    <w:multiLevelType w:val="hybridMultilevel"/>
    <w:tmpl w:val="C31EFBD0"/>
    <w:lvl w:ilvl="0" w:tplc="170EC876">
      <w:start w:val="1"/>
      <w:numFmt w:val="bullet"/>
      <w:lvlText w:val=""/>
      <w:lvlJc w:val="left"/>
      <w:pPr>
        <w:ind w:left="720" w:hanging="360"/>
      </w:pPr>
      <w:rPr>
        <w:rFonts w:ascii="Symbol" w:hAnsi="Symbol" w:hint="default"/>
      </w:rPr>
    </w:lvl>
    <w:lvl w:ilvl="1" w:tplc="EBBC213A">
      <w:start w:val="1"/>
      <w:numFmt w:val="bullet"/>
      <w:lvlText w:val="o"/>
      <w:lvlJc w:val="left"/>
      <w:pPr>
        <w:ind w:left="1440" w:hanging="360"/>
      </w:pPr>
      <w:rPr>
        <w:rFonts w:ascii="Courier New" w:hAnsi="Courier New" w:hint="default"/>
      </w:rPr>
    </w:lvl>
    <w:lvl w:ilvl="2" w:tplc="1E6464C0">
      <w:start w:val="1"/>
      <w:numFmt w:val="bullet"/>
      <w:lvlText w:val=""/>
      <w:lvlJc w:val="left"/>
      <w:pPr>
        <w:ind w:left="2160" w:hanging="360"/>
      </w:pPr>
      <w:rPr>
        <w:rFonts w:ascii="Wingdings" w:hAnsi="Wingdings" w:hint="default"/>
      </w:rPr>
    </w:lvl>
    <w:lvl w:ilvl="3" w:tplc="9EC6B85A">
      <w:start w:val="1"/>
      <w:numFmt w:val="bullet"/>
      <w:lvlText w:val=""/>
      <w:lvlJc w:val="left"/>
      <w:pPr>
        <w:ind w:left="2880" w:hanging="360"/>
      </w:pPr>
      <w:rPr>
        <w:rFonts w:ascii="Symbol" w:hAnsi="Symbol" w:hint="default"/>
      </w:rPr>
    </w:lvl>
    <w:lvl w:ilvl="4" w:tplc="DDC0CA1A">
      <w:start w:val="1"/>
      <w:numFmt w:val="bullet"/>
      <w:lvlText w:val="o"/>
      <w:lvlJc w:val="left"/>
      <w:pPr>
        <w:ind w:left="3600" w:hanging="360"/>
      </w:pPr>
      <w:rPr>
        <w:rFonts w:ascii="Courier New" w:hAnsi="Courier New" w:hint="default"/>
      </w:rPr>
    </w:lvl>
    <w:lvl w:ilvl="5" w:tplc="03924C94">
      <w:start w:val="1"/>
      <w:numFmt w:val="bullet"/>
      <w:lvlText w:val=""/>
      <w:lvlJc w:val="left"/>
      <w:pPr>
        <w:ind w:left="4320" w:hanging="360"/>
      </w:pPr>
      <w:rPr>
        <w:rFonts w:ascii="Wingdings" w:hAnsi="Wingdings" w:hint="default"/>
      </w:rPr>
    </w:lvl>
    <w:lvl w:ilvl="6" w:tplc="4AEEEE66">
      <w:start w:val="1"/>
      <w:numFmt w:val="bullet"/>
      <w:lvlText w:val=""/>
      <w:lvlJc w:val="left"/>
      <w:pPr>
        <w:ind w:left="5040" w:hanging="360"/>
      </w:pPr>
      <w:rPr>
        <w:rFonts w:ascii="Symbol" w:hAnsi="Symbol" w:hint="default"/>
      </w:rPr>
    </w:lvl>
    <w:lvl w:ilvl="7" w:tplc="702CBA5E">
      <w:start w:val="1"/>
      <w:numFmt w:val="bullet"/>
      <w:lvlText w:val="o"/>
      <w:lvlJc w:val="left"/>
      <w:pPr>
        <w:ind w:left="5760" w:hanging="360"/>
      </w:pPr>
      <w:rPr>
        <w:rFonts w:ascii="Courier New" w:hAnsi="Courier New" w:hint="default"/>
      </w:rPr>
    </w:lvl>
    <w:lvl w:ilvl="8" w:tplc="203CEEA2">
      <w:start w:val="1"/>
      <w:numFmt w:val="bullet"/>
      <w:lvlText w:val=""/>
      <w:lvlJc w:val="left"/>
      <w:pPr>
        <w:ind w:left="6480" w:hanging="360"/>
      </w:pPr>
      <w:rPr>
        <w:rFonts w:ascii="Wingdings" w:hAnsi="Wingdings" w:hint="default"/>
      </w:rPr>
    </w:lvl>
  </w:abstractNum>
  <w:abstractNum w:abstractNumId="8" w15:restartNumberingAfterBreak="0">
    <w:nsid w:val="24CB28A6"/>
    <w:multiLevelType w:val="hybridMultilevel"/>
    <w:tmpl w:val="A0B01212"/>
    <w:lvl w:ilvl="0" w:tplc="8D8CCC5C">
      <w:start w:val="1"/>
      <w:numFmt w:val="bullet"/>
      <w:lvlText w:val=""/>
      <w:lvlJc w:val="left"/>
      <w:pPr>
        <w:ind w:left="720" w:hanging="360"/>
      </w:pPr>
      <w:rPr>
        <w:rFonts w:ascii="Symbol" w:hAnsi="Symbol" w:hint="default"/>
      </w:rPr>
    </w:lvl>
    <w:lvl w:ilvl="1" w:tplc="774E657E">
      <w:start w:val="1"/>
      <w:numFmt w:val="bullet"/>
      <w:lvlText w:val="o"/>
      <w:lvlJc w:val="left"/>
      <w:pPr>
        <w:ind w:left="1440" w:hanging="360"/>
      </w:pPr>
      <w:rPr>
        <w:rFonts w:ascii="Courier New" w:hAnsi="Courier New" w:hint="default"/>
      </w:rPr>
    </w:lvl>
    <w:lvl w:ilvl="2" w:tplc="12D27614">
      <w:start w:val="1"/>
      <w:numFmt w:val="bullet"/>
      <w:lvlText w:val=""/>
      <w:lvlJc w:val="left"/>
      <w:pPr>
        <w:ind w:left="2160" w:hanging="360"/>
      </w:pPr>
      <w:rPr>
        <w:rFonts w:ascii="Wingdings" w:hAnsi="Wingdings" w:hint="default"/>
      </w:rPr>
    </w:lvl>
    <w:lvl w:ilvl="3" w:tplc="77706BDC">
      <w:start w:val="1"/>
      <w:numFmt w:val="bullet"/>
      <w:lvlText w:val=""/>
      <w:lvlJc w:val="left"/>
      <w:pPr>
        <w:ind w:left="2880" w:hanging="360"/>
      </w:pPr>
      <w:rPr>
        <w:rFonts w:ascii="Symbol" w:hAnsi="Symbol" w:hint="default"/>
      </w:rPr>
    </w:lvl>
    <w:lvl w:ilvl="4" w:tplc="3A16EFC6">
      <w:start w:val="1"/>
      <w:numFmt w:val="bullet"/>
      <w:lvlText w:val="o"/>
      <w:lvlJc w:val="left"/>
      <w:pPr>
        <w:ind w:left="3600" w:hanging="360"/>
      </w:pPr>
      <w:rPr>
        <w:rFonts w:ascii="Courier New" w:hAnsi="Courier New" w:hint="default"/>
      </w:rPr>
    </w:lvl>
    <w:lvl w:ilvl="5" w:tplc="0C1012C4">
      <w:start w:val="1"/>
      <w:numFmt w:val="bullet"/>
      <w:lvlText w:val=""/>
      <w:lvlJc w:val="left"/>
      <w:pPr>
        <w:ind w:left="4320" w:hanging="360"/>
      </w:pPr>
      <w:rPr>
        <w:rFonts w:ascii="Wingdings" w:hAnsi="Wingdings" w:hint="default"/>
      </w:rPr>
    </w:lvl>
    <w:lvl w:ilvl="6" w:tplc="36026282">
      <w:start w:val="1"/>
      <w:numFmt w:val="bullet"/>
      <w:lvlText w:val=""/>
      <w:lvlJc w:val="left"/>
      <w:pPr>
        <w:ind w:left="5040" w:hanging="360"/>
      </w:pPr>
      <w:rPr>
        <w:rFonts w:ascii="Symbol" w:hAnsi="Symbol" w:hint="default"/>
      </w:rPr>
    </w:lvl>
    <w:lvl w:ilvl="7" w:tplc="996A06E0">
      <w:start w:val="1"/>
      <w:numFmt w:val="bullet"/>
      <w:lvlText w:val="o"/>
      <w:lvlJc w:val="left"/>
      <w:pPr>
        <w:ind w:left="5760" w:hanging="360"/>
      </w:pPr>
      <w:rPr>
        <w:rFonts w:ascii="Courier New" w:hAnsi="Courier New" w:hint="default"/>
      </w:rPr>
    </w:lvl>
    <w:lvl w:ilvl="8" w:tplc="27D8F9A8">
      <w:start w:val="1"/>
      <w:numFmt w:val="bullet"/>
      <w:lvlText w:val=""/>
      <w:lvlJc w:val="left"/>
      <w:pPr>
        <w:ind w:left="6480" w:hanging="360"/>
      </w:pPr>
      <w:rPr>
        <w:rFonts w:ascii="Wingdings" w:hAnsi="Wingdings" w:hint="default"/>
      </w:rPr>
    </w:lvl>
  </w:abstractNum>
  <w:abstractNum w:abstractNumId="9" w15:restartNumberingAfterBreak="0">
    <w:nsid w:val="28ABCAA2"/>
    <w:multiLevelType w:val="hybridMultilevel"/>
    <w:tmpl w:val="7FB4AC20"/>
    <w:lvl w:ilvl="0" w:tplc="E5A0A8AA">
      <w:start w:val="1"/>
      <w:numFmt w:val="bullet"/>
      <w:lvlText w:val=""/>
      <w:lvlJc w:val="left"/>
      <w:pPr>
        <w:ind w:left="720" w:hanging="360"/>
      </w:pPr>
      <w:rPr>
        <w:rFonts w:ascii="Symbol" w:hAnsi="Symbol" w:hint="default"/>
      </w:rPr>
    </w:lvl>
    <w:lvl w:ilvl="1" w:tplc="3410D1D6">
      <w:start w:val="1"/>
      <w:numFmt w:val="bullet"/>
      <w:lvlText w:val="o"/>
      <w:lvlJc w:val="left"/>
      <w:pPr>
        <w:ind w:left="1440" w:hanging="360"/>
      </w:pPr>
      <w:rPr>
        <w:rFonts w:ascii="Courier New" w:hAnsi="Courier New" w:hint="default"/>
      </w:rPr>
    </w:lvl>
    <w:lvl w:ilvl="2" w:tplc="8CCA8EEA">
      <w:start w:val="1"/>
      <w:numFmt w:val="bullet"/>
      <w:lvlText w:val=""/>
      <w:lvlJc w:val="left"/>
      <w:pPr>
        <w:ind w:left="2160" w:hanging="360"/>
      </w:pPr>
      <w:rPr>
        <w:rFonts w:ascii="Wingdings" w:hAnsi="Wingdings" w:hint="default"/>
      </w:rPr>
    </w:lvl>
    <w:lvl w:ilvl="3" w:tplc="1D4A17C0">
      <w:start w:val="1"/>
      <w:numFmt w:val="bullet"/>
      <w:lvlText w:val=""/>
      <w:lvlJc w:val="left"/>
      <w:pPr>
        <w:ind w:left="2880" w:hanging="360"/>
      </w:pPr>
      <w:rPr>
        <w:rFonts w:ascii="Symbol" w:hAnsi="Symbol" w:hint="default"/>
      </w:rPr>
    </w:lvl>
    <w:lvl w:ilvl="4" w:tplc="96AA8410">
      <w:start w:val="1"/>
      <w:numFmt w:val="bullet"/>
      <w:lvlText w:val="o"/>
      <w:lvlJc w:val="left"/>
      <w:pPr>
        <w:ind w:left="3600" w:hanging="360"/>
      </w:pPr>
      <w:rPr>
        <w:rFonts w:ascii="Courier New" w:hAnsi="Courier New" w:hint="default"/>
      </w:rPr>
    </w:lvl>
    <w:lvl w:ilvl="5" w:tplc="EF5635E8">
      <w:start w:val="1"/>
      <w:numFmt w:val="bullet"/>
      <w:lvlText w:val=""/>
      <w:lvlJc w:val="left"/>
      <w:pPr>
        <w:ind w:left="4320" w:hanging="360"/>
      </w:pPr>
      <w:rPr>
        <w:rFonts w:ascii="Wingdings" w:hAnsi="Wingdings" w:hint="default"/>
      </w:rPr>
    </w:lvl>
    <w:lvl w:ilvl="6" w:tplc="8084C7C0">
      <w:start w:val="1"/>
      <w:numFmt w:val="bullet"/>
      <w:lvlText w:val=""/>
      <w:lvlJc w:val="left"/>
      <w:pPr>
        <w:ind w:left="5040" w:hanging="360"/>
      </w:pPr>
      <w:rPr>
        <w:rFonts w:ascii="Symbol" w:hAnsi="Symbol" w:hint="default"/>
      </w:rPr>
    </w:lvl>
    <w:lvl w:ilvl="7" w:tplc="C3506068">
      <w:start w:val="1"/>
      <w:numFmt w:val="bullet"/>
      <w:lvlText w:val="o"/>
      <w:lvlJc w:val="left"/>
      <w:pPr>
        <w:ind w:left="5760" w:hanging="360"/>
      </w:pPr>
      <w:rPr>
        <w:rFonts w:ascii="Courier New" w:hAnsi="Courier New" w:hint="default"/>
      </w:rPr>
    </w:lvl>
    <w:lvl w:ilvl="8" w:tplc="D93ED86E">
      <w:start w:val="1"/>
      <w:numFmt w:val="bullet"/>
      <w:lvlText w:val=""/>
      <w:lvlJc w:val="left"/>
      <w:pPr>
        <w:ind w:left="6480" w:hanging="360"/>
      </w:pPr>
      <w:rPr>
        <w:rFonts w:ascii="Wingdings" w:hAnsi="Wingdings" w:hint="default"/>
      </w:rPr>
    </w:lvl>
  </w:abstractNum>
  <w:abstractNum w:abstractNumId="10" w15:restartNumberingAfterBreak="0">
    <w:nsid w:val="2B3995DB"/>
    <w:multiLevelType w:val="hybridMultilevel"/>
    <w:tmpl w:val="1FEAD396"/>
    <w:lvl w:ilvl="0" w:tplc="C2D89212">
      <w:start w:val="1"/>
      <w:numFmt w:val="bullet"/>
      <w:lvlText w:val=""/>
      <w:lvlJc w:val="left"/>
      <w:pPr>
        <w:ind w:left="720" w:hanging="360"/>
      </w:pPr>
      <w:rPr>
        <w:rFonts w:ascii="Symbol" w:hAnsi="Symbol" w:hint="default"/>
      </w:rPr>
    </w:lvl>
    <w:lvl w:ilvl="1" w:tplc="5798C950">
      <w:start w:val="1"/>
      <w:numFmt w:val="bullet"/>
      <w:lvlText w:val="o"/>
      <w:lvlJc w:val="left"/>
      <w:pPr>
        <w:ind w:left="1440" w:hanging="360"/>
      </w:pPr>
      <w:rPr>
        <w:rFonts w:ascii="Courier New" w:hAnsi="Courier New" w:hint="default"/>
      </w:rPr>
    </w:lvl>
    <w:lvl w:ilvl="2" w:tplc="8A92891C">
      <w:start w:val="1"/>
      <w:numFmt w:val="bullet"/>
      <w:lvlText w:val=""/>
      <w:lvlJc w:val="left"/>
      <w:pPr>
        <w:ind w:left="2160" w:hanging="360"/>
      </w:pPr>
      <w:rPr>
        <w:rFonts w:ascii="Wingdings" w:hAnsi="Wingdings" w:hint="default"/>
      </w:rPr>
    </w:lvl>
    <w:lvl w:ilvl="3" w:tplc="5E64A2D4">
      <w:start w:val="1"/>
      <w:numFmt w:val="bullet"/>
      <w:lvlText w:val=""/>
      <w:lvlJc w:val="left"/>
      <w:pPr>
        <w:ind w:left="2880" w:hanging="360"/>
      </w:pPr>
      <w:rPr>
        <w:rFonts w:ascii="Symbol" w:hAnsi="Symbol" w:hint="default"/>
      </w:rPr>
    </w:lvl>
    <w:lvl w:ilvl="4" w:tplc="206C400E">
      <w:start w:val="1"/>
      <w:numFmt w:val="bullet"/>
      <w:lvlText w:val="o"/>
      <w:lvlJc w:val="left"/>
      <w:pPr>
        <w:ind w:left="3600" w:hanging="360"/>
      </w:pPr>
      <w:rPr>
        <w:rFonts w:ascii="Courier New" w:hAnsi="Courier New" w:hint="default"/>
      </w:rPr>
    </w:lvl>
    <w:lvl w:ilvl="5" w:tplc="B93A82B0">
      <w:start w:val="1"/>
      <w:numFmt w:val="bullet"/>
      <w:lvlText w:val=""/>
      <w:lvlJc w:val="left"/>
      <w:pPr>
        <w:ind w:left="4320" w:hanging="360"/>
      </w:pPr>
      <w:rPr>
        <w:rFonts w:ascii="Wingdings" w:hAnsi="Wingdings" w:hint="default"/>
      </w:rPr>
    </w:lvl>
    <w:lvl w:ilvl="6" w:tplc="FE22E62E">
      <w:start w:val="1"/>
      <w:numFmt w:val="bullet"/>
      <w:lvlText w:val=""/>
      <w:lvlJc w:val="left"/>
      <w:pPr>
        <w:ind w:left="5040" w:hanging="360"/>
      </w:pPr>
      <w:rPr>
        <w:rFonts w:ascii="Symbol" w:hAnsi="Symbol" w:hint="default"/>
      </w:rPr>
    </w:lvl>
    <w:lvl w:ilvl="7" w:tplc="F7960180">
      <w:start w:val="1"/>
      <w:numFmt w:val="bullet"/>
      <w:lvlText w:val="o"/>
      <w:lvlJc w:val="left"/>
      <w:pPr>
        <w:ind w:left="5760" w:hanging="360"/>
      </w:pPr>
      <w:rPr>
        <w:rFonts w:ascii="Courier New" w:hAnsi="Courier New" w:hint="default"/>
      </w:rPr>
    </w:lvl>
    <w:lvl w:ilvl="8" w:tplc="D7160EC2">
      <w:start w:val="1"/>
      <w:numFmt w:val="bullet"/>
      <w:lvlText w:val=""/>
      <w:lvlJc w:val="left"/>
      <w:pPr>
        <w:ind w:left="6480" w:hanging="360"/>
      </w:pPr>
      <w:rPr>
        <w:rFonts w:ascii="Wingdings" w:hAnsi="Wingdings" w:hint="default"/>
      </w:rPr>
    </w:lvl>
  </w:abstractNum>
  <w:abstractNum w:abstractNumId="11" w15:restartNumberingAfterBreak="0">
    <w:nsid w:val="2C643901"/>
    <w:multiLevelType w:val="hybridMultilevel"/>
    <w:tmpl w:val="3070BAEC"/>
    <w:numStyleLink w:val="ImportedStyle40"/>
  </w:abstractNum>
  <w:abstractNum w:abstractNumId="12" w15:restartNumberingAfterBreak="0">
    <w:nsid w:val="2D083C6D"/>
    <w:multiLevelType w:val="hybridMultilevel"/>
    <w:tmpl w:val="D038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79F7B"/>
    <w:multiLevelType w:val="hybridMultilevel"/>
    <w:tmpl w:val="C8ACF4DE"/>
    <w:lvl w:ilvl="0" w:tplc="6DC801D8">
      <w:start w:val="1"/>
      <w:numFmt w:val="bullet"/>
      <w:lvlText w:val=""/>
      <w:lvlJc w:val="left"/>
      <w:pPr>
        <w:ind w:left="720" w:hanging="360"/>
      </w:pPr>
      <w:rPr>
        <w:rFonts w:ascii="Symbol" w:hAnsi="Symbol" w:hint="default"/>
      </w:rPr>
    </w:lvl>
    <w:lvl w:ilvl="1" w:tplc="F286C01A">
      <w:start w:val="1"/>
      <w:numFmt w:val="bullet"/>
      <w:lvlText w:val="o"/>
      <w:lvlJc w:val="left"/>
      <w:pPr>
        <w:ind w:left="1440" w:hanging="360"/>
      </w:pPr>
      <w:rPr>
        <w:rFonts w:ascii="Courier New" w:hAnsi="Courier New" w:hint="default"/>
      </w:rPr>
    </w:lvl>
    <w:lvl w:ilvl="2" w:tplc="51188F64">
      <w:start w:val="1"/>
      <w:numFmt w:val="bullet"/>
      <w:lvlText w:val=""/>
      <w:lvlJc w:val="left"/>
      <w:pPr>
        <w:ind w:left="2160" w:hanging="360"/>
      </w:pPr>
      <w:rPr>
        <w:rFonts w:ascii="Wingdings" w:hAnsi="Wingdings" w:hint="default"/>
      </w:rPr>
    </w:lvl>
    <w:lvl w:ilvl="3" w:tplc="91641FAA">
      <w:start w:val="1"/>
      <w:numFmt w:val="bullet"/>
      <w:lvlText w:val=""/>
      <w:lvlJc w:val="left"/>
      <w:pPr>
        <w:ind w:left="2880" w:hanging="360"/>
      </w:pPr>
      <w:rPr>
        <w:rFonts w:ascii="Symbol" w:hAnsi="Symbol" w:hint="default"/>
      </w:rPr>
    </w:lvl>
    <w:lvl w:ilvl="4" w:tplc="10ACDAAC">
      <w:start w:val="1"/>
      <w:numFmt w:val="bullet"/>
      <w:lvlText w:val="o"/>
      <w:lvlJc w:val="left"/>
      <w:pPr>
        <w:ind w:left="3600" w:hanging="360"/>
      </w:pPr>
      <w:rPr>
        <w:rFonts w:ascii="Courier New" w:hAnsi="Courier New" w:hint="default"/>
      </w:rPr>
    </w:lvl>
    <w:lvl w:ilvl="5" w:tplc="99D05EB2">
      <w:start w:val="1"/>
      <w:numFmt w:val="bullet"/>
      <w:lvlText w:val=""/>
      <w:lvlJc w:val="left"/>
      <w:pPr>
        <w:ind w:left="4320" w:hanging="360"/>
      </w:pPr>
      <w:rPr>
        <w:rFonts w:ascii="Wingdings" w:hAnsi="Wingdings" w:hint="default"/>
      </w:rPr>
    </w:lvl>
    <w:lvl w:ilvl="6" w:tplc="67ACAAA6">
      <w:start w:val="1"/>
      <w:numFmt w:val="bullet"/>
      <w:lvlText w:val=""/>
      <w:lvlJc w:val="left"/>
      <w:pPr>
        <w:ind w:left="5040" w:hanging="360"/>
      </w:pPr>
      <w:rPr>
        <w:rFonts w:ascii="Symbol" w:hAnsi="Symbol" w:hint="default"/>
      </w:rPr>
    </w:lvl>
    <w:lvl w:ilvl="7" w:tplc="2BE2C98A">
      <w:start w:val="1"/>
      <w:numFmt w:val="bullet"/>
      <w:lvlText w:val="o"/>
      <w:lvlJc w:val="left"/>
      <w:pPr>
        <w:ind w:left="5760" w:hanging="360"/>
      </w:pPr>
      <w:rPr>
        <w:rFonts w:ascii="Courier New" w:hAnsi="Courier New" w:hint="default"/>
      </w:rPr>
    </w:lvl>
    <w:lvl w:ilvl="8" w:tplc="3410AACA">
      <w:start w:val="1"/>
      <w:numFmt w:val="bullet"/>
      <w:lvlText w:val=""/>
      <w:lvlJc w:val="left"/>
      <w:pPr>
        <w:ind w:left="6480" w:hanging="360"/>
      </w:pPr>
      <w:rPr>
        <w:rFonts w:ascii="Wingdings" w:hAnsi="Wingdings" w:hint="default"/>
      </w:rPr>
    </w:lvl>
  </w:abstractNum>
  <w:abstractNum w:abstractNumId="14" w15:restartNumberingAfterBreak="0">
    <w:nsid w:val="32D00258"/>
    <w:multiLevelType w:val="hybridMultilevel"/>
    <w:tmpl w:val="3FCA88D8"/>
    <w:lvl w:ilvl="0" w:tplc="457E7F3C">
      <w:start w:val="1"/>
      <w:numFmt w:val="bullet"/>
      <w:lvlText w:val=""/>
      <w:lvlJc w:val="left"/>
      <w:pPr>
        <w:ind w:left="720" w:hanging="360"/>
      </w:pPr>
      <w:rPr>
        <w:rFonts w:ascii="Symbol" w:hAnsi="Symbol" w:hint="default"/>
      </w:rPr>
    </w:lvl>
    <w:lvl w:ilvl="1" w:tplc="BED46A6A">
      <w:start w:val="1"/>
      <w:numFmt w:val="bullet"/>
      <w:lvlText w:val="o"/>
      <w:lvlJc w:val="left"/>
      <w:pPr>
        <w:ind w:left="1440" w:hanging="360"/>
      </w:pPr>
      <w:rPr>
        <w:rFonts w:ascii="Courier New" w:hAnsi="Courier New" w:hint="default"/>
      </w:rPr>
    </w:lvl>
    <w:lvl w:ilvl="2" w:tplc="F6EC6A60">
      <w:start w:val="1"/>
      <w:numFmt w:val="bullet"/>
      <w:lvlText w:val=""/>
      <w:lvlJc w:val="left"/>
      <w:pPr>
        <w:ind w:left="2160" w:hanging="360"/>
      </w:pPr>
      <w:rPr>
        <w:rFonts w:ascii="Wingdings" w:hAnsi="Wingdings" w:hint="default"/>
      </w:rPr>
    </w:lvl>
    <w:lvl w:ilvl="3" w:tplc="7464A0D6">
      <w:start w:val="1"/>
      <w:numFmt w:val="bullet"/>
      <w:lvlText w:val=""/>
      <w:lvlJc w:val="left"/>
      <w:pPr>
        <w:ind w:left="2880" w:hanging="360"/>
      </w:pPr>
      <w:rPr>
        <w:rFonts w:ascii="Symbol" w:hAnsi="Symbol" w:hint="default"/>
      </w:rPr>
    </w:lvl>
    <w:lvl w:ilvl="4" w:tplc="C1CC3870">
      <w:start w:val="1"/>
      <w:numFmt w:val="bullet"/>
      <w:lvlText w:val="o"/>
      <w:lvlJc w:val="left"/>
      <w:pPr>
        <w:ind w:left="3600" w:hanging="360"/>
      </w:pPr>
      <w:rPr>
        <w:rFonts w:ascii="Courier New" w:hAnsi="Courier New" w:hint="default"/>
      </w:rPr>
    </w:lvl>
    <w:lvl w:ilvl="5" w:tplc="872895AE">
      <w:start w:val="1"/>
      <w:numFmt w:val="bullet"/>
      <w:lvlText w:val=""/>
      <w:lvlJc w:val="left"/>
      <w:pPr>
        <w:ind w:left="4320" w:hanging="360"/>
      </w:pPr>
      <w:rPr>
        <w:rFonts w:ascii="Wingdings" w:hAnsi="Wingdings" w:hint="default"/>
      </w:rPr>
    </w:lvl>
    <w:lvl w:ilvl="6" w:tplc="A6EC55D2">
      <w:start w:val="1"/>
      <w:numFmt w:val="bullet"/>
      <w:lvlText w:val=""/>
      <w:lvlJc w:val="left"/>
      <w:pPr>
        <w:ind w:left="5040" w:hanging="360"/>
      </w:pPr>
      <w:rPr>
        <w:rFonts w:ascii="Symbol" w:hAnsi="Symbol" w:hint="default"/>
      </w:rPr>
    </w:lvl>
    <w:lvl w:ilvl="7" w:tplc="EDE6389A">
      <w:start w:val="1"/>
      <w:numFmt w:val="bullet"/>
      <w:lvlText w:val="o"/>
      <w:lvlJc w:val="left"/>
      <w:pPr>
        <w:ind w:left="5760" w:hanging="360"/>
      </w:pPr>
      <w:rPr>
        <w:rFonts w:ascii="Courier New" w:hAnsi="Courier New" w:hint="default"/>
      </w:rPr>
    </w:lvl>
    <w:lvl w:ilvl="8" w:tplc="E9B67FE2">
      <w:start w:val="1"/>
      <w:numFmt w:val="bullet"/>
      <w:lvlText w:val=""/>
      <w:lvlJc w:val="left"/>
      <w:pPr>
        <w:ind w:left="6480" w:hanging="360"/>
      </w:pPr>
      <w:rPr>
        <w:rFonts w:ascii="Wingdings" w:hAnsi="Wingdings" w:hint="default"/>
      </w:rPr>
    </w:lvl>
  </w:abstractNum>
  <w:abstractNum w:abstractNumId="15" w15:restartNumberingAfterBreak="0">
    <w:nsid w:val="33963FBF"/>
    <w:multiLevelType w:val="hybridMultilevel"/>
    <w:tmpl w:val="E380299C"/>
    <w:numStyleLink w:val="ImportedStyle4"/>
  </w:abstractNum>
  <w:abstractNum w:abstractNumId="16" w15:restartNumberingAfterBreak="0">
    <w:nsid w:val="371D3286"/>
    <w:multiLevelType w:val="hybridMultilevel"/>
    <w:tmpl w:val="9FC0F726"/>
    <w:lvl w:ilvl="0" w:tplc="FDDC7A54">
      <w:start w:val="1"/>
      <w:numFmt w:val="bullet"/>
      <w:lvlText w:val=""/>
      <w:lvlJc w:val="left"/>
      <w:pPr>
        <w:ind w:left="720" w:hanging="360"/>
      </w:pPr>
      <w:rPr>
        <w:rFonts w:ascii="Symbol" w:hAnsi="Symbol" w:hint="default"/>
      </w:rPr>
    </w:lvl>
    <w:lvl w:ilvl="1" w:tplc="7BEEFA00">
      <w:start w:val="1"/>
      <w:numFmt w:val="bullet"/>
      <w:lvlText w:val="o"/>
      <w:lvlJc w:val="left"/>
      <w:pPr>
        <w:ind w:left="1440" w:hanging="360"/>
      </w:pPr>
      <w:rPr>
        <w:rFonts w:ascii="Courier New" w:hAnsi="Courier New" w:hint="default"/>
      </w:rPr>
    </w:lvl>
    <w:lvl w:ilvl="2" w:tplc="75D4E08E">
      <w:start w:val="1"/>
      <w:numFmt w:val="bullet"/>
      <w:lvlText w:val=""/>
      <w:lvlJc w:val="left"/>
      <w:pPr>
        <w:ind w:left="2160" w:hanging="360"/>
      </w:pPr>
      <w:rPr>
        <w:rFonts w:ascii="Wingdings" w:hAnsi="Wingdings" w:hint="default"/>
      </w:rPr>
    </w:lvl>
    <w:lvl w:ilvl="3" w:tplc="2A5EA0D2">
      <w:start w:val="1"/>
      <w:numFmt w:val="bullet"/>
      <w:lvlText w:val=""/>
      <w:lvlJc w:val="left"/>
      <w:pPr>
        <w:ind w:left="2880" w:hanging="360"/>
      </w:pPr>
      <w:rPr>
        <w:rFonts w:ascii="Symbol" w:hAnsi="Symbol" w:hint="default"/>
      </w:rPr>
    </w:lvl>
    <w:lvl w:ilvl="4" w:tplc="156E9244">
      <w:start w:val="1"/>
      <w:numFmt w:val="bullet"/>
      <w:lvlText w:val="o"/>
      <w:lvlJc w:val="left"/>
      <w:pPr>
        <w:ind w:left="3600" w:hanging="360"/>
      </w:pPr>
      <w:rPr>
        <w:rFonts w:ascii="Courier New" w:hAnsi="Courier New" w:hint="default"/>
      </w:rPr>
    </w:lvl>
    <w:lvl w:ilvl="5" w:tplc="B14AEF24">
      <w:start w:val="1"/>
      <w:numFmt w:val="bullet"/>
      <w:lvlText w:val=""/>
      <w:lvlJc w:val="left"/>
      <w:pPr>
        <w:ind w:left="4320" w:hanging="360"/>
      </w:pPr>
      <w:rPr>
        <w:rFonts w:ascii="Wingdings" w:hAnsi="Wingdings" w:hint="default"/>
      </w:rPr>
    </w:lvl>
    <w:lvl w:ilvl="6" w:tplc="CAC20534">
      <w:start w:val="1"/>
      <w:numFmt w:val="bullet"/>
      <w:lvlText w:val=""/>
      <w:lvlJc w:val="left"/>
      <w:pPr>
        <w:ind w:left="5040" w:hanging="360"/>
      </w:pPr>
      <w:rPr>
        <w:rFonts w:ascii="Symbol" w:hAnsi="Symbol" w:hint="default"/>
      </w:rPr>
    </w:lvl>
    <w:lvl w:ilvl="7" w:tplc="DDE65A54">
      <w:start w:val="1"/>
      <w:numFmt w:val="bullet"/>
      <w:lvlText w:val="o"/>
      <w:lvlJc w:val="left"/>
      <w:pPr>
        <w:ind w:left="5760" w:hanging="360"/>
      </w:pPr>
      <w:rPr>
        <w:rFonts w:ascii="Courier New" w:hAnsi="Courier New" w:hint="default"/>
      </w:rPr>
    </w:lvl>
    <w:lvl w:ilvl="8" w:tplc="D160C6A0">
      <w:start w:val="1"/>
      <w:numFmt w:val="bullet"/>
      <w:lvlText w:val=""/>
      <w:lvlJc w:val="left"/>
      <w:pPr>
        <w:ind w:left="6480" w:hanging="360"/>
      </w:pPr>
      <w:rPr>
        <w:rFonts w:ascii="Wingdings" w:hAnsi="Wingdings" w:hint="default"/>
      </w:rPr>
    </w:lvl>
  </w:abstractNum>
  <w:abstractNum w:abstractNumId="17" w15:restartNumberingAfterBreak="0">
    <w:nsid w:val="39F5CC76"/>
    <w:multiLevelType w:val="hybridMultilevel"/>
    <w:tmpl w:val="B0D45CD6"/>
    <w:lvl w:ilvl="0" w:tplc="F362BA4A">
      <w:start w:val="1"/>
      <w:numFmt w:val="bullet"/>
      <w:lvlText w:val=""/>
      <w:lvlJc w:val="left"/>
      <w:pPr>
        <w:ind w:left="720" w:hanging="360"/>
      </w:pPr>
      <w:rPr>
        <w:rFonts w:ascii="Symbol" w:hAnsi="Symbol" w:hint="default"/>
      </w:rPr>
    </w:lvl>
    <w:lvl w:ilvl="1" w:tplc="1B0AD534">
      <w:start w:val="1"/>
      <w:numFmt w:val="bullet"/>
      <w:lvlText w:val="o"/>
      <w:lvlJc w:val="left"/>
      <w:pPr>
        <w:ind w:left="1440" w:hanging="360"/>
      </w:pPr>
      <w:rPr>
        <w:rFonts w:ascii="Courier New" w:hAnsi="Courier New" w:hint="default"/>
      </w:rPr>
    </w:lvl>
    <w:lvl w:ilvl="2" w:tplc="DAF0C05A">
      <w:start w:val="1"/>
      <w:numFmt w:val="bullet"/>
      <w:lvlText w:val=""/>
      <w:lvlJc w:val="left"/>
      <w:pPr>
        <w:ind w:left="2160" w:hanging="360"/>
      </w:pPr>
      <w:rPr>
        <w:rFonts w:ascii="Wingdings" w:hAnsi="Wingdings" w:hint="default"/>
      </w:rPr>
    </w:lvl>
    <w:lvl w:ilvl="3" w:tplc="E962DB96">
      <w:start w:val="1"/>
      <w:numFmt w:val="bullet"/>
      <w:lvlText w:val=""/>
      <w:lvlJc w:val="left"/>
      <w:pPr>
        <w:ind w:left="2880" w:hanging="360"/>
      </w:pPr>
      <w:rPr>
        <w:rFonts w:ascii="Symbol" w:hAnsi="Symbol" w:hint="default"/>
      </w:rPr>
    </w:lvl>
    <w:lvl w:ilvl="4" w:tplc="856E715E">
      <w:start w:val="1"/>
      <w:numFmt w:val="bullet"/>
      <w:lvlText w:val="o"/>
      <w:lvlJc w:val="left"/>
      <w:pPr>
        <w:ind w:left="3600" w:hanging="360"/>
      </w:pPr>
      <w:rPr>
        <w:rFonts w:ascii="Courier New" w:hAnsi="Courier New" w:hint="default"/>
      </w:rPr>
    </w:lvl>
    <w:lvl w:ilvl="5" w:tplc="A2DC84FE">
      <w:start w:val="1"/>
      <w:numFmt w:val="bullet"/>
      <w:lvlText w:val=""/>
      <w:lvlJc w:val="left"/>
      <w:pPr>
        <w:ind w:left="4320" w:hanging="360"/>
      </w:pPr>
      <w:rPr>
        <w:rFonts w:ascii="Wingdings" w:hAnsi="Wingdings" w:hint="default"/>
      </w:rPr>
    </w:lvl>
    <w:lvl w:ilvl="6" w:tplc="8EA8680C">
      <w:start w:val="1"/>
      <w:numFmt w:val="bullet"/>
      <w:lvlText w:val=""/>
      <w:lvlJc w:val="left"/>
      <w:pPr>
        <w:ind w:left="5040" w:hanging="360"/>
      </w:pPr>
      <w:rPr>
        <w:rFonts w:ascii="Symbol" w:hAnsi="Symbol" w:hint="default"/>
      </w:rPr>
    </w:lvl>
    <w:lvl w:ilvl="7" w:tplc="ED6267EE">
      <w:start w:val="1"/>
      <w:numFmt w:val="bullet"/>
      <w:lvlText w:val="o"/>
      <w:lvlJc w:val="left"/>
      <w:pPr>
        <w:ind w:left="5760" w:hanging="360"/>
      </w:pPr>
      <w:rPr>
        <w:rFonts w:ascii="Courier New" w:hAnsi="Courier New" w:hint="default"/>
      </w:rPr>
    </w:lvl>
    <w:lvl w:ilvl="8" w:tplc="A5705BFC">
      <w:start w:val="1"/>
      <w:numFmt w:val="bullet"/>
      <w:lvlText w:val=""/>
      <w:lvlJc w:val="left"/>
      <w:pPr>
        <w:ind w:left="6480" w:hanging="360"/>
      </w:pPr>
      <w:rPr>
        <w:rFonts w:ascii="Wingdings" w:hAnsi="Wingdings" w:hint="default"/>
      </w:rPr>
    </w:lvl>
  </w:abstractNum>
  <w:abstractNum w:abstractNumId="18" w15:restartNumberingAfterBreak="0">
    <w:nsid w:val="3D775041"/>
    <w:multiLevelType w:val="hybridMultilevel"/>
    <w:tmpl w:val="66986B12"/>
    <w:numStyleLink w:val="ImportedStyle3"/>
  </w:abstractNum>
  <w:abstractNum w:abstractNumId="19" w15:restartNumberingAfterBreak="0">
    <w:nsid w:val="44F9E41D"/>
    <w:multiLevelType w:val="hybridMultilevel"/>
    <w:tmpl w:val="BADC3696"/>
    <w:lvl w:ilvl="0" w:tplc="916A0B04">
      <w:start w:val="1"/>
      <w:numFmt w:val="bullet"/>
      <w:lvlText w:val=""/>
      <w:lvlJc w:val="left"/>
      <w:pPr>
        <w:ind w:left="720" w:hanging="360"/>
      </w:pPr>
      <w:rPr>
        <w:rFonts w:ascii="Symbol" w:hAnsi="Symbol" w:hint="default"/>
      </w:rPr>
    </w:lvl>
    <w:lvl w:ilvl="1" w:tplc="0736199E">
      <w:start w:val="1"/>
      <w:numFmt w:val="bullet"/>
      <w:lvlText w:val="o"/>
      <w:lvlJc w:val="left"/>
      <w:pPr>
        <w:ind w:left="1440" w:hanging="360"/>
      </w:pPr>
      <w:rPr>
        <w:rFonts w:ascii="Courier New" w:hAnsi="Courier New" w:hint="default"/>
      </w:rPr>
    </w:lvl>
    <w:lvl w:ilvl="2" w:tplc="00EE0D10">
      <w:start w:val="1"/>
      <w:numFmt w:val="bullet"/>
      <w:lvlText w:val=""/>
      <w:lvlJc w:val="left"/>
      <w:pPr>
        <w:ind w:left="2160" w:hanging="360"/>
      </w:pPr>
      <w:rPr>
        <w:rFonts w:ascii="Wingdings" w:hAnsi="Wingdings" w:hint="default"/>
      </w:rPr>
    </w:lvl>
    <w:lvl w:ilvl="3" w:tplc="9904DC56">
      <w:start w:val="1"/>
      <w:numFmt w:val="bullet"/>
      <w:lvlText w:val=""/>
      <w:lvlJc w:val="left"/>
      <w:pPr>
        <w:ind w:left="2880" w:hanging="360"/>
      </w:pPr>
      <w:rPr>
        <w:rFonts w:ascii="Symbol" w:hAnsi="Symbol" w:hint="default"/>
      </w:rPr>
    </w:lvl>
    <w:lvl w:ilvl="4" w:tplc="9244C65E">
      <w:start w:val="1"/>
      <w:numFmt w:val="bullet"/>
      <w:lvlText w:val="o"/>
      <w:lvlJc w:val="left"/>
      <w:pPr>
        <w:ind w:left="3600" w:hanging="360"/>
      </w:pPr>
      <w:rPr>
        <w:rFonts w:ascii="Courier New" w:hAnsi="Courier New" w:hint="default"/>
      </w:rPr>
    </w:lvl>
    <w:lvl w:ilvl="5" w:tplc="B1E2C688">
      <w:start w:val="1"/>
      <w:numFmt w:val="bullet"/>
      <w:lvlText w:val=""/>
      <w:lvlJc w:val="left"/>
      <w:pPr>
        <w:ind w:left="4320" w:hanging="360"/>
      </w:pPr>
      <w:rPr>
        <w:rFonts w:ascii="Wingdings" w:hAnsi="Wingdings" w:hint="default"/>
      </w:rPr>
    </w:lvl>
    <w:lvl w:ilvl="6" w:tplc="E8A0E94A">
      <w:start w:val="1"/>
      <w:numFmt w:val="bullet"/>
      <w:lvlText w:val=""/>
      <w:lvlJc w:val="left"/>
      <w:pPr>
        <w:ind w:left="5040" w:hanging="360"/>
      </w:pPr>
      <w:rPr>
        <w:rFonts w:ascii="Symbol" w:hAnsi="Symbol" w:hint="default"/>
      </w:rPr>
    </w:lvl>
    <w:lvl w:ilvl="7" w:tplc="51407CC6">
      <w:start w:val="1"/>
      <w:numFmt w:val="bullet"/>
      <w:lvlText w:val="o"/>
      <w:lvlJc w:val="left"/>
      <w:pPr>
        <w:ind w:left="5760" w:hanging="360"/>
      </w:pPr>
      <w:rPr>
        <w:rFonts w:ascii="Courier New" w:hAnsi="Courier New" w:hint="default"/>
      </w:rPr>
    </w:lvl>
    <w:lvl w:ilvl="8" w:tplc="2DDCC1B0">
      <w:start w:val="1"/>
      <w:numFmt w:val="bullet"/>
      <w:lvlText w:val=""/>
      <w:lvlJc w:val="left"/>
      <w:pPr>
        <w:ind w:left="6480" w:hanging="360"/>
      </w:pPr>
      <w:rPr>
        <w:rFonts w:ascii="Wingdings" w:hAnsi="Wingdings" w:hint="default"/>
      </w:rPr>
    </w:lvl>
  </w:abstractNum>
  <w:abstractNum w:abstractNumId="20" w15:restartNumberingAfterBreak="0">
    <w:nsid w:val="46441F73"/>
    <w:multiLevelType w:val="hybridMultilevel"/>
    <w:tmpl w:val="8E6667A6"/>
    <w:lvl w:ilvl="0" w:tplc="AE8CD542">
      <w:start w:val="1"/>
      <w:numFmt w:val="bullet"/>
      <w:lvlText w:val=""/>
      <w:lvlJc w:val="left"/>
      <w:pPr>
        <w:ind w:left="720" w:hanging="360"/>
      </w:pPr>
      <w:rPr>
        <w:rFonts w:ascii="Symbol" w:hAnsi="Symbol" w:hint="default"/>
      </w:rPr>
    </w:lvl>
    <w:lvl w:ilvl="1" w:tplc="CDFA9A9C">
      <w:start w:val="1"/>
      <w:numFmt w:val="bullet"/>
      <w:lvlText w:val="o"/>
      <w:lvlJc w:val="left"/>
      <w:pPr>
        <w:ind w:left="1440" w:hanging="360"/>
      </w:pPr>
      <w:rPr>
        <w:rFonts w:ascii="Courier New" w:hAnsi="Courier New" w:hint="default"/>
      </w:rPr>
    </w:lvl>
    <w:lvl w:ilvl="2" w:tplc="D1C4FF54">
      <w:start w:val="1"/>
      <w:numFmt w:val="bullet"/>
      <w:lvlText w:val=""/>
      <w:lvlJc w:val="left"/>
      <w:pPr>
        <w:ind w:left="2160" w:hanging="360"/>
      </w:pPr>
      <w:rPr>
        <w:rFonts w:ascii="Wingdings" w:hAnsi="Wingdings" w:hint="default"/>
      </w:rPr>
    </w:lvl>
    <w:lvl w:ilvl="3" w:tplc="C22A7090">
      <w:start w:val="1"/>
      <w:numFmt w:val="bullet"/>
      <w:lvlText w:val=""/>
      <w:lvlJc w:val="left"/>
      <w:pPr>
        <w:ind w:left="2880" w:hanging="360"/>
      </w:pPr>
      <w:rPr>
        <w:rFonts w:ascii="Symbol" w:hAnsi="Symbol" w:hint="default"/>
      </w:rPr>
    </w:lvl>
    <w:lvl w:ilvl="4" w:tplc="CF9288B2">
      <w:start w:val="1"/>
      <w:numFmt w:val="bullet"/>
      <w:lvlText w:val="o"/>
      <w:lvlJc w:val="left"/>
      <w:pPr>
        <w:ind w:left="3600" w:hanging="360"/>
      </w:pPr>
      <w:rPr>
        <w:rFonts w:ascii="Courier New" w:hAnsi="Courier New" w:hint="default"/>
      </w:rPr>
    </w:lvl>
    <w:lvl w:ilvl="5" w:tplc="9612BCE2">
      <w:start w:val="1"/>
      <w:numFmt w:val="bullet"/>
      <w:lvlText w:val=""/>
      <w:lvlJc w:val="left"/>
      <w:pPr>
        <w:ind w:left="4320" w:hanging="360"/>
      </w:pPr>
      <w:rPr>
        <w:rFonts w:ascii="Wingdings" w:hAnsi="Wingdings" w:hint="default"/>
      </w:rPr>
    </w:lvl>
    <w:lvl w:ilvl="6" w:tplc="E0FE15DE">
      <w:start w:val="1"/>
      <w:numFmt w:val="bullet"/>
      <w:lvlText w:val=""/>
      <w:lvlJc w:val="left"/>
      <w:pPr>
        <w:ind w:left="5040" w:hanging="360"/>
      </w:pPr>
      <w:rPr>
        <w:rFonts w:ascii="Symbol" w:hAnsi="Symbol" w:hint="default"/>
      </w:rPr>
    </w:lvl>
    <w:lvl w:ilvl="7" w:tplc="51382C5C">
      <w:start w:val="1"/>
      <w:numFmt w:val="bullet"/>
      <w:lvlText w:val="o"/>
      <w:lvlJc w:val="left"/>
      <w:pPr>
        <w:ind w:left="5760" w:hanging="360"/>
      </w:pPr>
      <w:rPr>
        <w:rFonts w:ascii="Courier New" w:hAnsi="Courier New" w:hint="default"/>
      </w:rPr>
    </w:lvl>
    <w:lvl w:ilvl="8" w:tplc="141CDAD4">
      <w:start w:val="1"/>
      <w:numFmt w:val="bullet"/>
      <w:lvlText w:val=""/>
      <w:lvlJc w:val="left"/>
      <w:pPr>
        <w:ind w:left="6480" w:hanging="360"/>
      </w:pPr>
      <w:rPr>
        <w:rFonts w:ascii="Wingdings" w:hAnsi="Wingdings" w:hint="default"/>
      </w:rPr>
    </w:lvl>
  </w:abstractNum>
  <w:abstractNum w:abstractNumId="21" w15:restartNumberingAfterBreak="0">
    <w:nsid w:val="4B12F516"/>
    <w:multiLevelType w:val="hybridMultilevel"/>
    <w:tmpl w:val="73C259CE"/>
    <w:lvl w:ilvl="0" w:tplc="BDD8A0D2">
      <w:start w:val="1"/>
      <w:numFmt w:val="bullet"/>
      <w:lvlText w:val=""/>
      <w:lvlJc w:val="left"/>
      <w:pPr>
        <w:ind w:left="720" w:hanging="360"/>
      </w:pPr>
      <w:rPr>
        <w:rFonts w:ascii="Symbol" w:hAnsi="Symbol" w:hint="default"/>
      </w:rPr>
    </w:lvl>
    <w:lvl w:ilvl="1" w:tplc="2020D9B2">
      <w:start w:val="1"/>
      <w:numFmt w:val="bullet"/>
      <w:lvlText w:val="o"/>
      <w:lvlJc w:val="left"/>
      <w:pPr>
        <w:ind w:left="1440" w:hanging="360"/>
      </w:pPr>
      <w:rPr>
        <w:rFonts w:ascii="Courier New" w:hAnsi="Courier New" w:hint="default"/>
      </w:rPr>
    </w:lvl>
    <w:lvl w:ilvl="2" w:tplc="33B879AC">
      <w:start w:val="1"/>
      <w:numFmt w:val="bullet"/>
      <w:lvlText w:val=""/>
      <w:lvlJc w:val="left"/>
      <w:pPr>
        <w:ind w:left="2160" w:hanging="360"/>
      </w:pPr>
      <w:rPr>
        <w:rFonts w:ascii="Wingdings" w:hAnsi="Wingdings" w:hint="default"/>
      </w:rPr>
    </w:lvl>
    <w:lvl w:ilvl="3" w:tplc="5D8E9E5E">
      <w:start w:val="1"/>
      <w:numFmt w:val="bullet"/>
      <w:lvlText w:val=""/>
      <w:lvlJc w:val="left"/>
      <w:pPr>
        <w:ind w:left="2880" w:hanging="360"/>
      </w:pPr>
      <w:rPr>
        <w:rFonts w:ascii="Symbol" w:hAnsi="Symbol" w:hint="default"/>
      </w:rPr>
    </w:lvl>
    <w:lvl w:ilvl="4" w:tplc="261A0918">
      <w:start w:val="1"/>
      <w:numFmt w:val="bullet"/>
      <w:lvlText w:val="o"/>
      <w:lvlJc w:val="left"/>
      <w:pPr>
        <w:ind w:left="3600" w:hanging="360"/>
      </w:pPr>
      <w:rPr>
        <w:rFonts w:ascii="Courier New" w:hAnsi="Courier New" w:hint="default"/>
      </w:rPr>
    </w:lvl>
    <w:lvl w:ilvl="5" w:tplc="600AFBB2">
      <w:start w:val="1"/>
      <w:numFmt w:val="bullet"/>
      <w:lvlText w:val=""/>
      <w:lvlJc w:val="left"/>
      <w:pPr>
        <w:ind w:left="4320" w:hanging="360"/>
      </w:pPr>
      <w:rPr>
        <w:rFonts w:ascii="Wingdings" w:hAnsi="Wingdings" w:hint="default"/>
      </w:rPr>
    </w:lvl>
    <w:lvl w:ilvl="6" w:tplc="68C0E5B2">
      <w:start w:val="1"/>
      <w:numFmt w:val="bullet"/>
      <w:lvlText w:val=""/>
      <w:lvlJc w:val="left"/>
      <w:pPr>
        <w:ind w:left="5040" w:hanging="360"/>
      </w:pPr>
      <w:rPr>
        <w:rFonts w:ascii="Symbol" w:hAnsi="Symbol" w:hint="default"/>
      </w:rPr>
    </w:lvl>
    <w:lvl w:ilvl="7" w:tplc="6012E624">
      <w:start w:val="1"/>
      <w:numFmt w:val="bullet"/>
      <w:lvlText w:val="o"/>
      <w:lvlJc w:val="left"/>
      <w:pPr>
        <w:ind w:left="5760" w:hanging="360"/>
      </w:pPr>
      <w:rPr>
        <w:rFonts w:ascii="Courier New" w:hAnsi="Courier New" w:hint="default"/>
      </w:rPr>
    </w:lvl>
    <w:lvl w:ilvl="8" w:tplc="8B42E97C">
      <w:start w:val="1"/>
      <w:numFmt w:val="bullet"/>
      <w:lvlText w:val=""/>
      <w:lvlJc w:val="left"/>
      <w:pPr>
        <w:ind w:left="6480" w:hanging="360"/>
      </w:pPr>
      <w:rPr>
        <w:rFonts w:ascii="Wingdings" w:hAnsi="Wingdings" w:hint="default"/>
      </w:rPr>
    </w:lvl>
  </w:abstractNum>
  <w:abstractNum w:abstractNumId="22" w15:restartNumberingAfterBreak="0">
    <w:nsid w:val="4CC01402"/>
    <w:multiLevelType w:val="hybridMultilevel"/>
    <w:tmpl w:val="35742A7C"/>
    <w:numStyleLink w:val="ImportedStyle1"/>
  </w:abstractNum>
  <w:abstractNum w:abstractNumId="23" w15:restartNumberingAfterBreak="0">
    <w:nsid w:val="4E030A45"/>
    <w:multiLevelType w:val="hybridMultilevel"/>
    <w:tmpl w:val="5082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54C23"/>
    <w:multiLevelType w:val="hybridMultilevel"/>
    <w:tmpl w:val="3070BAEC"/>
    <w:styleLink w:val="ImportedStyle40"/>
    <w:lvl w:ilvl="0" w:tplc="857453AE">
      <w:start w:val="1"/>
      <w:numFmt w:val="bullet"/>
      <w:lvlText w:val="•"/>
      <w:lvlJc w:val="left"/>
      <w:pPr>
        <w:tabs>
          <w:tab w:val="left" w:pos="830"/>
        </w:tabs>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784A46A">
      <w:start w:val="1"/>
      <w:numFmt w:val="bullet"/>
      <w:lvlText w:val="·"/>
      <w:lvlJc w:val="left"/>
      <w:pPr>
        <w:tabs>
          <w:tab w:val="left" w:pos="830"/>
        </w:tabs>
        <w:ind w:left="82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tplc="02C20CFC">
      <w:start w:val="1"/>
      <w:numFmt w:val="bullet"/>
      <w:lvlText w:val="·"/>
      <w:lvlJc w:val="left"/>
      <w:pPr>
        <w:tabs>
          <w:tab w:val="left" w:pos="830"/>
        </w:tabs>
        <w:ind w:left="179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tplc="8B9A3266">
      <w:start w:val="1"/>
      <w:numFmt w:val="bullet"/>
      <w:lvlText w:val="·"/>
      <w:lvlJc w:val="left"/>
      <w:pPr>
        <w:tabs>
          <w:tab w:val="left" w:pos="830"/>
        </w:tabs>
        <w:ind w:left="276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tplc="04627822">
      <w:start w:val="1"/>
      <w:numFmt w:val="bullet"/>
      <w:lvlText w:val="·"/>
      <w:lvlJc w:val="left"/>
      <w:pPr>
        <w:tabs>
          <w:tab w:val="left" w:pos="830"/>
        </w:tabs>
        <w:ind w:left="373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tplc="3B4C3E9A">
      <w:start w:val="1"/>
      <w:numFmt w:val="bullet"/>
      <w:lvlText w:val="·"/>
      <w:lvlJc w:val="left"/>
      <w:pPr>
        <w:tabs>
          <w:tab w:val="left" w:pos="830"/>
        </w:tabs>
        <w:ind w:left="470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tplc="FAB6DD16">
      <w:start w:val="1"/>
      <w:numFmt w:val="bullet"/>
      <w:lvlText w:val="·"/>
      <w:lvlJc w:val="left"/>
      <w:pPr>
        <w:tabs>
          <w:tab w:val="left" w:pos="830"/>
        </w:tabs>
        <w:ind w:left="567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tplc="16EE0558">
      <w:start w:val="1"/>
      <w:numFmt w:val="bullet"/>
      <w:lvlText w:val="·"/>
      <w:lvlJc w:val="left"/>
      <w:pPr>
        <w:tabs>
          <w:tab w:val="left" w:pos="830"/>
        </w:tabs>
        <w:ind w:left="664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tplc="5DC0E3AE">
      <w:start w:val="1"/>
      <w:numFmt w:val="bullet"/>
      <w:lvlText w:val="·"/>
      <w:lvlJc w:val="left"/>
      <w:pPr>
        <w:tabs>
          <w:tab w:val="left" w:pos="830"/>
        </w:tabs>
        <w:ind w:left="7619" w:hanging="360"/>
      </w:pPr>
      <w:rPr>
        <w:rFonts w:ascii="Symbol" w:eastAsia="Symbol" w:hAnsi="Symbol" w:cs="Symbol"/>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5" w15:restartNumberingAfterBreak="0">
    <w:nsid w:val="57121D10"/>
    <w:multiLevelType w:val="hybridMultilevel"/>
    <w:tmpl w:val="35742A7C"/>
    <w:styleLink w:val="ImportedStyle1"/>
    <w:lvl w:ilvl="0" w:tplc="49A245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A027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71E59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8E8B7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03C50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2A6F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06F2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C06B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65486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B25D77"/>
    <w:multiLevelType w:val="hybridMultilevel"/>
    <w:tmpl w:val="E380299C"/>
    <w:styleLink w:val="ImportedStyle4"/>
    <w:lvl w:ilvl="0" w:tplc="D1AA0F5A">
      <w:start w:val="1"/>
      <w:numFmt w:val="decimal"/>
      <w:lvlText w:val="%1)"/>
      <w:lvlJc w:val="left"/>
      <w:pPr>
        <w:tabs>
          <w:tab w:val="num" w:pos="359"/>
        </w:tabs>
        <w:ind w:left="25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7EA5F82">
      <w:start w:val="1"/>
      <w:numFmt w:val="decimal"/>
      <w:lvlText w:val="%2)"/>
      <w:lvlJc w:val="left"/>
      <w:pPr>
        <w:tabs>
          <w:tab w:val="left" w:pos="359"/>
          <w:tab w:val="num" w:pos="1079"/>
        </w:tabs>
        <w:ind w:left="97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064F40E">
      <w:start w:val="1"/>
      <w:numFmt w:val="decimal"/>
      <w:lvlText w:val="%3)"/>
      <w:lvlJc w:val="left"/>
      <w:pPr>
        <w:tabs>
          <w:tab w:val="left" w:pos="359"/>
          <w:tab w:val="num" w:pos="1799"/>
        </w:tabs>
        <w:ind w:left="169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0BC60E6">
      <w:start w:val="1"/>
      <w:numFmt w:val="decimal"/>
      <w:lvlText w:val="%4)"/>
      <w:lvlJc w:val="left"/>
      <w:pPr>
        <w:tabs>
          <w:tab w:val="left" w:pos="359"/>
          <w:tab w:val="num" w:pos="2519"/>
        </w:tabs>
        <w:ind w:left="241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F20654A">
      <w:start w:val="1"/>
      <w:numFmt w:val="decimal"/>
      <w:lvlText w:val="%5)"/>
      <w:lvlJc w:val="left"/>
      <w:pPr>
        <w:tabs>
          <w:tab w:val="left" w:pos="359"/>
          <w:tab w:val="num" w:pos="3239"/>
        </w:tabs>
        <w:ind w:left="313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B706958">
      <w:start w:val="1"/>
      <w:numFmt w:val="decimal"/>
      <w:lvlText w:val="%6)"/>
      <w:lvlJc w:val="left"/>
      <w:pPr>
        <w:tabs>
          <w:tab w:val="left" w:pos="359"/>
          <w:tab w:val="num" w:pos="3959"/>
        </w:tabs>
        <w:ind w:left="385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6EA33AC">
      <w:start w:val="1"/>
      <w:numFmt w:val="decimal"/>
      <w:lvlText w:val="%7)"/>
      <w:lvlJc w:val="left"/>
      <w:pPr>
        <w:tabs>
          <w:tab w:val="left" w:pos="359"/>
          <w:tab w:val="num" w:pos="4679"/>
        </w:tabs>
        <w:ind w:left="457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4EEB132">
      <w:start w:val="1"/>
      <w:numFmt w:val="decimal"/>
      <w:lvlText w:val="%8)"/>
      <w:lvlJc w:val="left"/>
      <w:pPr>
        <w:tabs>
          <w:tab w:val="left" w:pos="359"/>
          <w:tab w:val="num" w:pos="5399"/>
        </w:tabs>
        <w:ind w:left="529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620BFC">
      <w:start w:val="1"/>
      <w:numFmt w:val="decimal"/>
      <w:lvlText w:val="%9)"/>
      <w:lvlJc w:val="left"/>
      <w:pPr>
        <w:tabs>
          <w:tab w:val="left" w:pos="359"/>
          <w:tab w:val="num" w:pos="6119"/>
        </w:tabs>
        <w:ind w:left="6010" w:hanging="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0CF7F2C"/>
    <w:multiLevelType w:val="hybridMultilevel"/>
    <w:tmpl w:val="12468492"/>
    <w:lvl w:ilvl="0" w:tplc="6E067EAC">
      <w:start w:val="1"/>
      <w:numFmt w:val="bullet"/>
      <w:lvlText w:val=""/>
      <w:lvlJc w:val="left"/>
      <w:pPr>
        <w:ind w:left="720" w:hanging="360"/>
      </w:pPr>
      <w:rPr>
        <w:rFonts w:ascii="Symbol" w:hAnsi="Symbol" w:hint="default"/>
      </w:rPr>
    </w:lvl>
    <w:lvl w:ilvl="1" w:tplc="2C344BD8">
      <w:start w:val="1"/>
      <w:numFmt w:val="bullet"/>
      <w:lvlText w:val="o"/>
      <w:lvlJc w:val="left"/>
      <w:pPr>
        <w:ind w:left="1440" w:hanging="360"/>
      </w:pPr>
      <w:rPr>
        <w:rFonts w:ascii="Courier New" w:hAnsi="Courier New" w:hint="default"/>
      </w:rPr>
    </w:lvl>
    <w:lvl w:ilvl="2" w:tplc="1F02E7F8">
      <w:start w:val="1"/>
      <w:numFmt w:val="bullet"/>
      <w:lvlText w:val=""/>
      <w:lvlJc w:val="left"/>
      <w:pPr>
        <w:ind w:left="2160" w:hanging="360"/>
      </w:pPr>
      <w:rPr>
        <w:rFonts w:ascii="Wingdings" w:hAnsi="Wingdings" w:hint="default"/>
      </w:rPr>
    </w:lvl>
    <w:lvl w:ilvl="3" w:tplc="ABC67B10">
      <w:start w:val="1"/>
      <w:numFmt w:val="bullet"/>
      <w:lvlText w:val=""/>
      <w:lvlJc w:val="left"/>
      <w:pPr>
        <w:ind w:left="2880" w:hanging="360"/>
      </w:pPr>
      <w:rPr>
        <w:rFonts w:ascii="Symbol" w:hAnsi="Symbol" w:hint="default"/>
      </w:rPr>
    </w:lvl>
    <w:lvl w:ilvl="4" w:tplc="7064403E">
      <w:start w:val="1"/>
      <w:numFmt w:val="bullet"/>
      <w:lvlText w:val="o"/>
      <w:lvlJc w:val="left"/>
      <w:pPr>
        <w:ind w:left="3600" w:hanging="360"/>
      </w:pPr>
      <w:rPr>
        <w:rFonts w:ascii="Courier New" w:hAnsi="Courier New" w:hint="default"/>
      </w:rPr>
    </w:lvl>
    <w:lvl w:ilvl="5" w:tplc="0F7C5802">
      <w:start w:val="1"/>
      <w:numFmt w:val="bullet"/>
      <w:lvlText w:val=""/>
      <w:lvlJc w:val="left"/>
      <w:pPr>
        <w:ind w:left="4320" w:hanging="360"/>
      </w:pPr>
      <w:rPr>
        <w:rFonts w:ascii="Wingdings" w:hAnsi="Wingdings" w:hint="default"/>
      </w:rPr>
    </w:lvl>
    <w:lvl w:ilvl="6" w:tplc="B13E34C0">
      <w:start w:val="1"/>
      <w:numFmt w:val="bullet"/>
      <w:lvlText w:val=""/>
      <w:lvlJc w:val="left"/>
      <w:pPr>
        <w:ind w:left="5040" w:hanging="360"/>
      </w:pPr>
      <w:rPr>
        <w:rFonts w:ascii="Symbol" w:hAnsi="Symbol" w:hint="default"/>
      </w:rPr>
    </w:lvl>
    <w:lvl w:ilvl="7" w:tplc="FB825B42">
      <w:start w:val="1"/>
      <w:numFmt w:val="bullet"/>
      <w:lvlText w:val="o"/>
      <w:lvlJc w:val="left"/>
      <w:pPr>
        <w:ind w:left="5760" w:hanging="360"/>
      </w:pPr>
      <w:rPr>
        <w:rFonts w:ascii="Courier New" w:hAnsi="Courier New" w:hint="default"/>
      </w:rPr>
    </w:lvl>
    <w:lvl w:ilvl="8" w:tplc="850E13DA">
      <w:start w:val="1"/>
      <w:numFmt w:val="bullet"/>
      <w:lvlText w:val=""/>
      <w:lvlJc w:val="left"/>
      <w:pPr>
        <w:ind w:left="6480" w:hanging="360"/>
      </w:pPr>
      <w:rPr>
        <w:rFonts w:ascii="Wingdings" w:hAnsi="Wingdings" w:hint="default"/>
      </w:rPr>
    </w:lvl>
  </w:abstractNum>
  <w:abstractNum w:abstractNumId="28" w15:restartNumberingAfterBreak="0">
    <w:nsid w:val="61D22798"/>
    <w:multiLevelType w:val="hybridMultilevel"/>
    <w:tmpl w:val="EE10A24A"/>
    <w:lvl w:ilvl="0" w:tplc="85C0A04E">
      <w:start w:val="1"/>
      <w:numFmt w:val="bullet"/>
      <w:lvlText w:val=""/>
      <w:lvlJc w:val="left"/>
      <w:pPr>
        <w:ind w:left="720" w:hanging="360"/>
      </w:pPr>
      <w:rPr>
        <w:rFonts w:ascii="Symbol" w:hAnsi="Symbol" w:hint="default"/>
      </w:rPr>
    </w:lvl>
    <w:lvl w:ilvl="1" w:tplc="4C6C544E">
      <w:start w:val="1"/>
      <w:numFmt w:val="bullet"/>
      <w:lvlText w:val="o"/>
      <w:lvlJc w:val="left"/>
      <w:pPr>
        <w:ind w:left="1440" w:hanging="360"/>
      </w:pPr>
      <w:rPr>
        <w:rFonts w:ascii="Courier New" w:hAnsi="Courier New" w:hint="default"/>
      </w:rPr>
    </w:lvl>
    <w:lvl w:ilvl="2" w:tplc="931E8F42">
      <w:start w:val="1"/>
      <w:numFmt w:val="bullet"/>
      <w:lvlText w:val=""/>
      <w:lvlJc w:val="left"/>
      <w:pPr>
        <w:ind w:left="2160" w:hanging="360"/>
      </w:pPr>
      <w:rPr>
        <w:rFonts w:ascii="Wingdings" w:hAnsi="Wingdings" w:hint="default"/>
      </w:rPr>
    </w:lvl>
    <w:lvl w:ilvl="3" w:tplc="4792FA28">
      <w:start w:val="1"/>
      <w:numFmt w:val="bullet"/>
      <w:lvlText w:val=""/>
      <w:lvlJc w:val="left"/>
      <w:pPr>
        <w:ind w:left="2880" w:hanging="360"/>
      </w:pPr>
      <w:rPr>
        <w:rFonts w:ascii="Symbol" w:hAnsi="Symbol" w:hint="default"/>
      </w:rPr>
    </w:lvl>
    <w:lvl w:ilvl="4" w:tplc="6A06EE3E">
      <w:start w:val="1"/>
      <w:numFmt w:val="bullet"/>
      <w:lvlText w:val="o"/>
      <w:lvlJc w:val="left"/>
      <w:pPr>
        <w:ind w:left="3600" w:hanging="360"/>
      </w:pPr>
      <w:rPr>
        <w:rFonts w:ascii="Courier New" w:hAnsi="Courier New" w:hint="default"/>
      </w:rPr>
    </w:lvl>
    <w:lvl w:ilvl="5" w:tplc="52D4100A">
      <w:start w:val="1"/>
      <w:numFmt w:val="bullet"/>
      <w:lvlText w:val=""/>
      <w:lvlJc w:val="left"/>
      <w:pPr>
        <w:ind w:left="4320" w:hanging="360"/>
      </w:pPr>
      <w:rPr>
        <w:rFonts w:ascii="Wingdings" w:hAnsi="Wingdings" w:hint="default"/>
      </w:rPr>
    </w:lvl>
    <w:lvl w:ilvl="6" w:tplc="A1107532">
      <w:start w:val="1"/>
      <w:numFmt w:val="bullet"/>
      <w:lvlText w:val=""/>
      <w:lvlJc w:val="left"/>
      <w:pPr>
        <w:ind w:left="5040" w:hanging="360"/>
      </w:pPr>
      <w:rPr>
        <w:rFonts w:ascii="Symbol" w:hAnsi="Symbol" w:hint="default"/>
      </w:rPr>
    </w:lvl>
    <w:lvl w:ilvl="7" w:tplc="8BF84EDE">
      <w:start w:val="1"/>
      <w:numFmt w:val="bullet"/>
      <w:lvlText w:val="o"/>
      <w:lvlJc w:val="left"/>
      <w:pPr>
        <w:ind w:left="5760" w:hanging="360"/>
      </w:pPr>
      <w:rPr>
        <w:rFonts w:ascii="Courier New" w:hAnsi="Courier New" w:hint="default"/>
      </w:rPr>
    </w:lvl>
    <w:lvl w:ilvl="8" w:tplc="143CAEF4">
      <w:start w:val="1"/>
      <w:numFmt w:val="bullet"/>
      <w:lvlText w:val=""/>
      <w:lvlJc w:val="left"/>
      <w:pPr>
        <w:ind w:left="6480" w:hanging="360"/>
      </w:pPr>
      <w:rPr>
        <w:rFonts w:ascii="Wingdings" w:hAnsi="Wingdings" w:hint="default"/>
      </w:rPr>
    </w:lvl>
  </w:abstractNum>
  <w:abstractNum w:abstractNumId="29" w15:restartNumberingAfterBreak="0">
    <w:nsid w:val="6A7B9E67"/>
    <w:multiLevelType w:val="hybridMultilevel"/>
    <w:tmpl w:val="6E7ABE0A"/>
    <w:lvl w:ilvl="0" w:tplc="07163C30">
      <w:start w:val="1"/>
      <w:numFmt w:val="bullet"/>
      <w:lvlText w:val=""/>
      <w:lvlJc w:val="left"/>
      <w:pPr>
        <w:ind w:left="720" w:hanging="360"/>
      </w:pPr>
      <w:rPr>
        <w:rFonts w:ascii="Symbol" w:hAnsi="Symbol" w:hint="default"/>
      </w:rPr>
    </w:lvl>
    <w:lvl w:ilvl="1" w:tplc="698450FE">
      <w:start w:val="1"/>
      <w:numFmt w:val="bullet"/>
      <w:lvlText w:val="o"/>
      <w:lvlJc w:val="left"/>
      <w:pPr>
        <w:ind w:left="1440" w:hanging="360"/>
      </w:pPr>
      <w:rPr>
        <w:rFonts w:ascii="Courier New" w:hAnsi="Courier New" w:hint="default"/>
      </w:rPr>
    </w:lvl>
    <w:lvl w:ilvl="2" w:tplc="93F6AA68">
      <w:start w:val="1"/>
      <w:numFmt w:val="bullet"/>
      <w:lvlText w:val=""/>
      <w:lvlJc w:val="left"/>
      <w:pPr>
        <w:ind w:left="2160" w:hanging="360"/>
      </w:pPr>
      <w:rPr>
        <w:rFonts w:ascii="Wingdings" w:hAnsi="Wingdings" w:hint="default"/>
      </w:rPr>
    </w:lvl>
    <w:lvl w:ilvl="3" w:tplc="F8627186">
      <w:start w:val="1"/>
      <w:numFmt w:val="bullet"/>
      <w:lvlText w:val=""/>
      <w:lvlJc w:val="left"/>
      <w:pPr>
        <w:ind w:left="2880" w:hanging="360"/>
      </w:pPr>
      <w:rPr>
        <w:rFonts w:ascii="Symbol" w:hAnsi="Symbol" w:hint="default"/>
      </w:rPr>
    </w:lvl>
    <w:lvl w:ilvl="4" w:tplc="9A147366">
      <w:start w:val="1"/>
      <w:numFmt w:val="bullet"/>
      <w:lvlText w:val="o"/>
      <w:lvlJc w:val="left"/>
      <w:pPr>
        <w:ind w:left="3600" w:hanging="360"/>
      </w:pPr>
      <w:rPr>
        <w:rFonts w:ascii="Courier New" w:hAnsi="Courier New" w:hint="default"/>
      </w:rPr>
    </w:lvl>
    <w:lvl w:ilvl="5" w:tplc="AE3224A6">
      <w:start w:val="1"/>
      <w:numFmt w:val="bullet"/>
      <w:lvlText w:val=""/>
      <w:lvlJc w:val="left"/>
      <w:pPr>
        <w:ind w:left="4320" w:hanging="360"/>
      </w:pPr>
      <w:rPr>
        <w:rFonts w:ascii="Wingdings" w:hAnsi="Wingdings" w:hint="default"/>
      </w:rPr>
    </w:lvl>
    <w:lvl w:ilvl="6" w:tplc="3B464888">
      <w:start w:val="1"/>
      <w:numFmt w:val="bullet"/>
      <w:lvlText w:val=""/>
      <w:lvlJc w:val="left"/>
      <w:pPr>
        <w:ind w:left="5040" w:hanging="360"/>
      </w:pPr>
      <w:rPr>
        <w:rFonts w:ascii="Symbol" w:hAnsi="Symbol" w:hint="default"/>
      </w:rPr>
    </w:lvl>
    <w:lvl w:ilvl="7" w:tplc="12ACC9C4">
      <w:start w:val="1"/>
      <w:numFmt w:val="bullet"/>
      <w:lvlText w:val="o"/>
      <w:lvlJc w:val="left"/>
      <w:pPr>
        <w:ind w:left="5760" w:hanging="360"/>
      </w:pPr>
      <w:rPr>
        <w:rFonts w:ascii="Courier New" w:hAnsi="Courier New" w:hint="default"/>
      </w:rPr>
    </w:lvl>
    <w:lvl w:ilvl="8" w:tplc="04489C28">
      <w:start w:val="1"/>
      <w:numFmt w:val="bullet"/>
      <w:lvlText w:val=""/>
      <w:lvlJc w:val="left"/>
      <w:pPr>
        <w:ind w:left="6480" w:hanging="360"/>
      </w:pPr>
      <w:rPr>
        <w:rFonts w:ascii="Wingdings" w:hAnsi="Wingdings" w:hint="default"/>
      </w:rPr>
    </w:lvl>
  </w:abstractNum>
  <w:abstractNum w:abstractNumId="30" w15:restartNumberingAfterBreak="0">
    <w:nsid w:val="6BA9D075"/>
    <w:multiLevelType w:val="hybridMultilevel"/>
    <w:tmpl w:val="7E6A183E"/>
    <w:lvl w:ilvl="0" w:tplc="54F0D28A">
      <w:start w:val="1"/>
      <w:numFmt w:val="bullet"/>
      <w:lvlText w:val=""/>
      <w:lvlJc w:val="left"/>
      <w:pPr>
        <w:ind w:left="720" w:hanging="360"/>
      </w:pPr>
      <w:rPr>
        <w:rFonts w:ascii="Symbol" w:hAnsi="Symbol" w:hint="default"/>
      </w:rPr>
    </w:lvl>
    <w:lvl w:ilvl="1" w:tplc="83386A36">
      <w:start w:val="1"/>
      <w:numFmt w:val="bullet"/>
      <w:lvlText w:val="o"/>
      <w:lvlJc w:val="left"/>
      <w:pPr>
        <w:ind w:left="1440" w:hanging="360"/>
      </w:pPr>
      <w:rPr>
        <w:rFonts w:ascii="Courier New" w:hAnsi="Courier New" w:hint="default"/>
      </w:rPr>
    </w:lvl>
    <w:lvl w:ilvl="2" w:tplc="1946EEFA">
      <w:start w:val="1"/>
      <w:numFmt w:val="bullet"/>
      <w:lvlText w:val=""/>
      <w:lvlJc w:val="left"/>
      <w:pPr>
        <w:ind w:left="2160" w:hanging="360"/>
      </w:pPr>
      <w:rPr>
        <w:rFonts w:ascii="Wingdings" w:hAnsi="Wingdings" w:hint="default"/>
      </w:rPr>
    </w:lvl>
    <w:lvl w:ilvl="3" w:tplc="82F8F692">
      <w:start w:val="1"/>
      <w:numFmt w:val="bullet"/>
      <w:lvlText w:val=""/>
      <w:lvlJc w:val="left"/>
      <w:pPr>
        <w:ind w:left="2880" w:hanging="360"/>
      </w:pPr>
      <w:rPr>
        <w:rFonts w:ascii="Symbol" w:hAnsi="Symbol" w:hint="default"/>
      </w:rPr>
    </w:lvl>
    <w:lvl w:ilvl="4" w:tplc="F39C5874">
      <w:start w:val="1"/>
      <w:numFmt w:val="bullet"/>
      <w:lvlText w:val="o"/>
      <w:lvlJc w:val="left"/>
      <w:pPr>
        <w:ind w:left="3600" w:hanging="360"/>
      </w:pPr>
      <w:rPr>
        <w:rFonts w:ascii="Courier New" w:hAnsi="Courier New" w:hint="default"/>
      </w:rPr>
    </w:lvl>
    <w:lvl w:ilvl="5" w:tplc="E20EB376">
      <w:start w:val="1"/>
      <w:numFmt w:val="bullet"/>
      <w:lvlText w:val=""/>
      <w:lvlJc w:val="left"/>
      <w:pPr>
        <w:ind w:left="4320" w:hanging="360"/>
      </w:pPr>
      <w:rPr>
        <w:rFonts w:ascii="Wingdings" w:hAnsi="Wingdings" w:hint="default"/>
      </w:rPr>
    </w:lvl>
    <w:lvl w:ilvl="6" w:tplc="5128E890">
      <w:start w:val="1"/>
      <w:numFmt w:val="bullet"/>
      <w:lvlText w:val=""/>
      <w:lvlJc w:val="left"/>
      <w:pPr>
        <w:ind w:left="5040" w:hanging="360"/>
      </w:pPr>
      <w:rPr>
        <w:rFonts w:ascii="Symbol" w:hAnsi="Symbol" w:hint="default"/>
      </w:rPr>
    </w:lvl>
    <w:lvl w:ilvl="7" w:tplc="7FCC354C">
      <w:start w:val="1"/>
      <w:numFmt w:val="bullet"/>
      <w:lvlText w:val="o"/>
      <w:lvlJc w:val="left"/>
      <w:pPr>
        <w:ind w:left="5760" w:hanging="360"/>
      </w:pPr>
      <w:rPr>
        <w:rFonts w:ascii="Courier New" w:hAnsi="Courier New" w:hint="default"/>
      </w:rPr>
    </w:lvl>
    <w:lvl w:ilvl="8" w:tplc="03D69E10">
      <w:start w:val="1"/>
      <w:numFmt w:val="bullet"/>
      <w:lvlText w:val=""/>
      <w:lvlJc w:val="left"/>
      <w:pPr>
        <w:ind w:left="6480" w:hanging="360"/>
      </w:pPr>
      <w:rPr>
        <w:rFonts w:ascii="Wingdings" w:hAnsi="Wingdings" w:hint="default"/>
      </w:rPr>
    </w:lvl>
  </w:abstractNum>
  <w:abstractNum w:abstractNumId="31" w15:restartNumberingAfterBreak="0">
    <w:nsid w:val="7925D11E"/>
    <w:multiLevelType w:val="hybridMultilevel"/>
    <w:tmpl w:val="CBF87164"/>
    <w:lvl w:ilvl="0" w:tplc="AB44F820">
      <w:start w:val="1"/>
      <w:numFmt w:val="bullet"/>
      <w:lvlText w:val=""/>
      <w:lvlJc w:val="left"/>
      <w:pPr>
        <w:ind w:left="720" w:hanging="360"/>
      </w:pPr>
      <w:rPr>
        <w:rFonts w:ascii="Symbol" w:hAnsi="Symbol" w:hint="default"/>
      </w:rPr>
    </w:lvl>
    <w:lvl w:ilvl="1" w:tplc="79D44D0E">
      <w:start w:val="1"/>
      <w:numFmt w:val="bullet"/>
      <w:lvlText w:val="o"/>
      <w:lvlJc w:val="left"/>
      <w:pPr>
        <w:ind w:left="1440" w:hanging="360"/>
      </w:pPr>
      <w:rPr>
        <w:rFonts w:ascii="Courier New" w:hAnsi="Courier New" w:hint="default"/>
      </w:rPr>
    </w:lvl>
    <w:lvl w:ilvl="2" w:tplc="8F701D80">
      <w:start w:val="1"/>
      <w:numFmt w:val="bullet"/>
      <w:lvlText w:val=""/>
      <w:lvlJc w:val="left"/>
      <w:pPr>
        <w:ind w:left="2160" w:hanging="360"/>
      </w:pPr>
      <w:rPr>
        <w:rFonts w:ascii="Wingdings" w:hAnsi="Wingdings" w:hint="default"/>
      </w:rPr>
    </w:lvl>
    <w:lvl w:ilvl="3" w:tplc="FB3238AA">
      <w:start w:val="1"/>
      <w:numFmt w:val="bullet"/>
      <w:lvlText w:val=""/>
      <w:lvlJc w:val="left"/>
      <w:pPr>
        <w:ind w:left="2880" w:hanging="360"/>
      </w:pPr>
      <w:rPr>
        <w:rFonts w:ascii="Symbol" w:hAnsi="Symbol" w:hint="default"/>
      </w:rPr>
    </w:lvl>
    <w:lvl w:ilvl="4" w:tplc="47E8041A">
      <w:start w:val="1"/>
      <w:numFmt w:val="bullet"/>
      <w:lvlText w:val="o"/>
      <w:lvlJc w:val="left"/>
      <w:pPr>
        <w:ind w:left="3600" w:hanging="360"/>
      </w:pPr>
      <w:rPr>
        <w:rFonts w:ascii="Courier New" w:hAnsi="Courier New" w:hint="default"/>
      </w:rPr>
    </w:lvl>
    <w:lvl w:ilvl="5" w:tplc="B5504862">
      <w:start w:val="1"/>
      <w:numFmt w:val="bullet"/>
      <w:lvlText w:val=""/>
      <w:lvlJc w:val="left"/>
      <w:pPr>
        <w:ind w:left="4320" w:hanging="360"/>
      </w:pPr>
      <w:rPr>
        <w:rFonts w:ascii="Wingdings" w:hAnsi="Wingdings" w:hint="default"/>
      </w:rPr>
    </w:lvl>
    <w:lvl w:ilvl="6" w:tplc="5AF28136">
      <w:start w:val="1"/>
      <w:numFmt w:val="bullet"/>
      <w:lvlText w:val=""/>
      <w:lvlJc w:val="left"/>
      <w:pPr>
        <w:ind w:left="5040" w:hanging="360"/>
      </w:pPr>
      <w:rPr>
        <w:rFonts w:ascii="Symbol" w:hAnsi="Symbol" w:hint="default"/>
      </w:rPr>
    </w:lvl>
    <w:lvl w:ilvl="7" w:tplc="70307CE4">
      <w:start w:val="1"/>
      <w:numFmt w:val="bullet"/>
      <w:lvlText w:val="o"/>
      <w:lvlJc w:val="left"/>
      <w:pPr>
        <w:ind w:left="5760" w:hanging="360"/>
      </w:pPr>
      <w:rPr>
        <w:rFonts w:ascii="Courier New" w:hAnsi="Courier New" w:hint="default"/>
      </w:rPr>
    </w:lvl>
    <w:lvl w:ilvl="8" w:tplc="9F5E66C6">
      <w:start w:val="1"/>
      <w:numFmt w:val="bullet"/>
      <w:lvlText w:val=""/>
      <w:lvlJc w:val="left"/>
      <w:pPr>
        <w:ind w:left="6480" w:hanging="360"/>
      </w:pPr>
      <w:rPr>
        <w:rFonts w:ascii="Wingdings" w:hAnsi="Wingdings" w:hint="default"/>
      </w:rPr>
    </w:lvl>
  </w:abstractNum>
  <w:abstractNum w:abstractNumId="32" w15:restartNumberingAfterBreak="0">
    <w:nsid w:val="7A7663A3"/>
    <w:multiLevelType w:val="hybridMultilevel"/>
    <w:tmpl w:val="66986B12"/>
    <w:styleLink w:val="ImportedStyle3"/>
    <w:lvl w:ilvl="0" w:tplc="109EDD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DAC8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1AC7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B071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54AA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1E39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C46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A0DC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4C61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4084980">
    <w:abstractNumId w:val="29"/>
  </w:num>
  <w:num w:numId="2" w16cid:durableId="2027752023">
    <w:abstractNumId w:val="9"/>
  </w:num>
  <w:num w:numId="3" w16cid:durableId="1325353050">
    <w:abstractNumId w:val="21"/>
  </w:num>
  <w:num w:numId="4" w16cid:durableId="913468438">
    <w:abstractNumId w:val="27"/>
  </w:num>
  <w:num w:numId="5" w16cid:durableId="506600897">
    <w:abstractNumId w:val="6"/>
  </w:num>
  <w:num w:numId="6" w16cid:durableId="1021591601">
    <w:abstractNumId w:val="19"/>
  </w:num>
  <w:num w:numId="7" w16cid:durableId="1762098024">
    <w:abstractNumId w:val="13"/>
  </w:num>
  <w:num w:numId="8" w16cid:durableId="1511524553">
    <w:abstractNumId w:val="8"/>
  </w:num>
  <w:num w:numId="9" w16cid:durableId="535697859">
    <w:abstractNumId w:val="2"/>
  </w:num>
  <w:num w:numId="10" w16cid:durableId="8142854">
    <w:abstractNumId w:val="31"/>
  </w:num>
  <w:num w:numId="11" w16cid:durableId="1945384582">
    <w:abstractNumId w:val="16"/>
  </w:num>
  <w:num w:numId="12" w16cid:durableId="1520007416">
    <w:abstractNumId w:val="20"/>
  </w:num>
  <w:num w:numId="13" w16cid:durableId="979574315">
    <w:abstractNumId w:val="28"/>
  </w:num>
  <w:num w:numId="14" w16cid:durableId="2074311836">
    <w:abstractNumId w:val="7"/>
  </w:num>
  <w:num w:numId="15" w16cid:durableId="1826774064">
    <w:abstractNumId w:val="17"/>
  </w:num>
  <w:num w:numId="16" w16cid:durableId="701200761">
    <w:abstractNumId w:val="1"/>
  </w:num>
  <w:num w:numId="17" w16cid:durableId="1952004860">
    <w:abstractNumId w:val="25"/>
  </w:num>
  <w:num w:numId="18" w16cid:durableId="145438096">
    <w:abstractNumId w:val="22"/>
  </w:num>
  <w:num w:numId="19" w16cid:durableId="909000456">
    <w:abstractNumId w:val="5"/>
  </w:num>
  <w:num w:numId="20" w16cid:durableId="2001108446">
    <w:abstractNumId w:val="4"/>
  </w:num>
  <w:num w:numId="21" w16cid:durableId="1208302176">
    <w:abstractNumId w:val="32"/>
  </w:num>
  <w:num w:numId="22" w16cid:durableId="498538973">
    <w:abstractNumId w:val="18"/>
  </w:num>
  <w:num w:numId="23" w16cid:durableId="478306969">
    <w:abstractNumId w:val="26"/>
  </w:num>
  <w:num w:numId="24" w16cid:durableId="2052223701">
    <w:abstractNumId w:val="15"/>
  </w:num>
  <w:num w:numId="25" w16cid:durableId="28189535">
    <w:abstractNumId w:val="15"/>
    <w:lvlOverride w:ilvl="0">
      <w:startOverride w:val="3"/>
    </w:lvlOverride>
  </w:num>
  <w:num w:numId="26" w16cid:durableId="536241543">
    <w:abstractNumId w:val="24"/>
  </w:num>
  <w:num w:numId="27" w16cid:durableId="1605115875">
    <w:abstractNumId w:val="11"/>
  </w:num>
  <w:num w:numId="28" w16cid:durableId="1695115374">
    <w:abstractNumId w:val="0"/>
  </w:num>
  <w:num w:numId="29" w16cid:durableId="471680830">
    <w:abstractNumId w:val="12"/>
  </w:num>
  <w:num w:numId="30" w16cid:durableId="235211921">
    <w:abstractNumId w:val="3"/>
  </w:num>
  <w:num w:numId="31" w16cid:durableId="490869572">
    <w:abstractNumId w:val="14"/>
  </w:num>
  <w:num w:numId="32" w16cid:durableId="1984582912">
    <w:abstractNumId w:val="30"/>
  </w:num>
  <w:num w:numId="33" w16cid:durableId="712851286">
    <w:abstractNumId w:val="23"/>
  </w:num>
  <w:num w:numId="34" w16cid:durableId="973366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5C1C"/>
    <w:rsid w:val="00006612"/>
    <w:rsid w:val="00007946"/>
    <w:rsid w:val="00007974"/>
    <w:rsid w:val="00012773"/>
    <w:rsid w:val="00012AC6"/>
    <w:rsid w:val="00013BE2"/>
    <w:rsid w:val="0001445D"/>
    <w:rsid w:val="0001462C"/>
    <w:rsid w:val="00014730"/>
    <w:rsid w:val="00014E6E"/>
    <w:rsid w:val="0001564A"/>
    <w:rsid w:val="000209BD"/>
    <w:rsid w:val="00020D2E"/>
    <w:rsid w:val="000225E1"/>
    <w:rsid w:val="00024867"/>
    <w:rsid w:val="000249B6"/>
    <w:rsid w:val="00024F15"/>
    <w:rsid w:val="000254A5"/>
    <w:rsid w:val="000300DA"/>
    <w:rsid w:val="00030B27"/>
    <w:rsid w:val="00030FD8"/>
    <w:rsid w:val="0003208D"/>
    <w:rsid w:val="00033BCB"/>
    <w:rsid w:val="00037C7D"/>
    <w:rsid w:val="00043450"/>
    <w:rsid w:val="000457E8"/>
    <w:rsid w:val="0004642E"/>
    <w:rsid w:val="00047438"/>
    <w:rsid w:val="00053B2A"/>
    <w:rsid w:val="000570F0"/>
    <w:rsid w:val="000572ED"/>
    <w:rsid w:val="0005766D"/>
    <w:rsid w:val="00057A96"/>
    <w:rsid w:val="00061B26"/>
    <w:rsid w:val="0006395D"/>
    <w:rsid w:val="00063C5D"/>
    <w:rsid w:val="00065FB3"/>
    <w:rsid w:val="0006721D"/>
    <w:rsid w:val="0007215F"/>
    <w:rsid w:val="000736B9"/>
    <w:rsid w:val="000737D6"/>
    <w:rsid w:val="000748AC"/>
    <w:rsid w:val="000768D2"/>
    <w:rsid w:val="00077927"/>
    <w:rsid w:val="00077D8D"/>
    <w:rsid w:val="0007B436"/>
    <w:rsid w:val="00080DD7"/>
    <w:rsid w:val="00081A73"/>
    <w:rsid w:val="00082498"/>
    <w:rsid w:val="00083A8C"/>
    <w:rsid w:val="00093370"/>
    <w:rsid w:val="00095ABA"/>
    <w:rsid w:val="000968F2"/>
    <w:rsid w:val="000A2D6E"/>
    <w:rsid w:val="000A621A"/>
    <w:rsid w:val="000B12BC"/>
    <w:rsid w:val="000B50CC"/>
    <w:rsid w:val="000C0694"/>
    <w:rsid w:val="000C139F"/>
    <w:rsid w:val="000C4BEA"/>
    <w:rsid w:val="000C5BAA"/>
    <w:rsid w:val="000C5CE6"/>
    <w:rsid w:val="000D1D15"/>
    <w:rsid w:val="000D2ECA"/>
    <w:rsid w:val="000D3945"/>
    <w:rsid w:val="000E15F4"/>
    <w:rsid w:val="000E4043"/>
    <w:rsid w:val="000E53B7"/>
    <w:rsid w:val="000F00D4"/>
    <w:rsid w:val="000F146C"/>
    <w:rsid w:val="000F4286"/>
    <w:rsid w:val="000F4663"/>
    <w:rsid w:val="000F4966"/>
    <w:rsid w:val="000F5B6C"/>
    <w:rsid w:val="000F6EF8"/>
    <w:rsid w:val="000F72F6"/>
    <w:rsid w:val="000F74BC"/>
    <w:rsid w:val="001000D3"/>
    <w:rsid w:val="00100D88"/>
    <w:rsid w:val="00102181"/>
    <w:rsid w:val="00102D78"/>
    <w:rsid w:val="00107745"/>
    <w:rsid w:val="0012516C"/>
    <w:rsid w:val="001273B5"/>
    <w:rsid w:val="00127CAF"/>
    <w:rsid w:val="001296C2"/>
    <w:rsid w:val="001300B1"/>
    <w:rsid w:val="00135B29"/>
    <w:rsid w:val="00137E6B"/>
    <w:rsid w:val="0014465A"/>
    <w:rsid w:val="0014516A"/>
    <w:rsid w:val="00147A65"/>
    <w:rsid w:val="00150057"/>
    <w:rsid w:val="00150DC6"/>
    <w:rsid w:val="001514FA"/>
    <w:rsid w:val="00155E91"/>
    <w:rsid w:val="0016173B"/>
    <w:rsid w:val="001623D0"/>
    <w:rsid w:val="001648E9"/>
    <w:rsid w:val="001653D1"/>
    <w:rsid w:val="00165DCD"/>
    <w:rsid w:val="0016695A"/>
    <w:rsid w:val="0016700A"/>
    <w:rsid w:val="0016769E"/>
    <w:rsid w:val="001717DF"/>
    <w:rsid w:val="00171D04"/>
    <w:rsid w:val="00171FE9"/>
    <w:rsid w:val="00172EB7"/>
    <w:rsid w:val="0017337C"/>
    <w:rsid w:val="00174243"/>
    <w:rsid w:val="001744B5"/>
    <w:rsid w:val="00175584"/>
    <w:rsid w:val="00175BF1"/>
    <w:rsid w:val="001809AC"/>
    <w:rsid w:val="00180C1E"/>
    <w:rsid w:val="001838BB"/>
    <w:rsid w:val="001849E0"/>
    <w:rsid w:val="00184DB4"/>
    <w:rsid w:val="00184DEF"/>
    <w:rsid w:val="00185A92"/>
    <w:rsid w:val="00186301"/>
    <w:rsid w:val="00190105"/>
    <w:rsid w:val="001971FF"/>
    <w:rsid w:val="001973E9"/>
    <w:rsid w:val="001A24AF"/>
    <w:rsid w:val="001A362B"/>
    <w:rsid w:val="001A386E"/>
    <w:rsid w:val="001A3950"/>
    <w:rsid w:val="001A59B0"/>
    <w:rsid w:val="001A6D13"/>
    <w:rsid w:val="001A7093"/>
    <w:rsid w:val="001A72B9"/>
    <w:rsid w:val="001A7BB3"/>
    <w:rsid w:val="001B0176"/>
    <w:rsid w:val="001B1065"/>
    <w:rsid w:val="001B15C8"/>
    <w:rsid w:val="001B41BC"/>
    <w:rsid w:val="001B4BA8"/>
    <w:rsid w:val="001B5224"/>
    <w:rsid w:val="001B60B7"/>
    <w:rsid w:val="001B6390"/>
    <w:rsid w:val="001B67F8"/>
    <w:rsid w:val="001B6F27"/>
    <w:rsid w:val="001B76A1"/>
    <w:rsid w:val="001D39E8"/>
    <w:rsid w:val="001E07C0"/>
    <w:rsid w:val="001E1E79"/>
    <w:rsid w:val="001E217A"/>
    <w:rsid w:val="001E7041"/>
    <w:rsid w:val="001E7404"/>
    <w:rsid w:val="001F02D4"/>
    <w:rsid w:val="001F1083"/>
    <w:rsid w:val="001F52A4"/>
    <w:rsid w:val="001F5C80"/>
    <w:rsid w:val="00200CE5"/>
    <w:rsid w:val="00206A35"/>
    <w:rsid w:val="0020782B"/>
    <w:rsid w:val="0021246D"/>
    <w:rsid w:val="002222C6"/>
    <w:rsid w:val="00222A00"/>
    <w:rsid w:val="00224967"/>
    <w:rsid w:val="002258F6"/>
    <w:rsid w:val="0022609D"/>
    <w:rsid w:val="00226270"/>
    <w:rsid w:val="00227248"/>
    <w:rsid w:val="00232597"/>
    <w:rsid w:val="00237A26"/>
    <w:rsid w:val="002408E4"/>
    <w:rsid w:val="00240943"/>
    <w:rsid w:val="0024223A"/>
    <w:rsid w:val="00243C55"/>
    <w:rsid w:val="00243DFF"/>
    <w:rsid w:val="00245689"/>
    <w:rsid w:val="002507EF"/>
    <w:rsid w:val="002509C6"/>
    <w:rsid w:val="00255BC9"/>
    <w:rsid w:val="0025706E"/>
    <w:rsid w:val="002607BB"/>
    <w:rsid w:val="002608D7"/>
    <w:rsid w:val="00261343"/>
    <w:rsid w:val="002633DD"/>
    <w:rsid w:val="00263F10"/>
    <w:rsid w:val="0026709F"/>
    <w:rsid w:val="00270470"/>
    <w:rsid w:val="00273BA0"/>
    <w:rsid w:val="002761B2"/>
    <w:rsid w:val="00282857"/>
    <w:rsid w:val="00283FF4"/>
    <w:rsid w:val="002864DA"/>
    <w:rsid w:val="00287379"/>
    <w:rsid w:val="00290B6C"/>
    <w:rsid w:val="00291E5D"/>
    <w:rsid w:val="0029286A"/>
    <w:rsid w:val="00293299"/>
    <w:rsid w:val="00294351"/>
    <w:rsid w:val="00294D00"/>
    <w:rsid w:val="00294E4C"/>
    <w:rsid w:val="002955CE"/>
    <w:rsid w:val="00295D22"/>
    <w:rsid w:val="00296543"/>
    <w:rsid w:val="002A3E86"/>
    <w:rsid w:val="002A4A0A"/>
    <w:rsid w:val="002A5694"/>
    <w:rsid w:val="002A5757"/>
    <w:rsid w:val="002B1214"/>
    <w:rsid w:val="002B3937"/>
    <w:rsid w:val="002B3DEF"/>
    <w:rsid w:val="002B59A3"/>
    <w:rsid w:val="002B5D68"/>
    <w:rsid w:val="002B5EEE"/>
    <w:rsid w:val="002C0147"/>
    <w:rsid w:val="002C0A97"/>
    <w:rsid w:val="002C1A9C"/>
    <w:rsid w:val="002C1BD6"/>
    <w:rsid w:val="002C2F2D"/>
    <w:rsid w:val="002C5161"/>
    <w:rsid w:val="002C5957"/>
    <w:rsid w:val="002C67FE"/>
    <w:rsid w:val="002C725A"/>
    <w:rsid w:val="002D2FE0"/>
    <w:rsid w:val="002D351A"/>
    <w:rsid w:val="002D392A"/>
    <w:rsid w:val="002D5816"/>
    <w:rsid w:val="002E284E"/>
    <w:rsid w:val="002E5358"/>
    <w:rsid w:val="002F086E"/>
    <w:rsid w:val="002F2F8E"/>
    <w:rsid w:val="002F669B"/>
    <w:rsid w:val="0030550F"/>
    <w:rsid w:val="003066F5"/>
    <w:rsid w:val="003069E7"/>
    <w:rsid w:val="00307875"/>
    <w:rsid w:val="003125CF"/>
    <w:rsid w:val="0031310B"/>
    <w:rsid w:val="00315DC2"/>
    <w:rsid w:val="00317D76"/>
    <w:rsid w:val="00320F71"/>
    <w:rsid w:val="00321D49"/>
    <w:rsid w:val="00322C00"/>
    <w:rsid w:val="00325EAA"/>
    <w:rsid w:val="0033157A"/>
    <w:rsid w:val="003333A4"/>
    <w:rsid w:val="0033616F"/>
    <w:rsid w:val="003373A6"/>
    <w:rsid w:val="00341350"/>
    <w:rsid w:val="00343E99"/>
    <w:rsid w:val="0034488E"/>
    <w:rsid w:val="0034490F"/>
    <w:rsid w:val="00346E9D"/>
    <w:rsid w:val="00347CFF"/>
    <w:rsid w:val="0035036A"/>
    <w:rsid w:val="003517C9"/>
    <w:rsid w:val="00352900"/>
    <w:rsid w:val="00353182"/>
    <w:rsid w:val="0035336D"/>
    <w:rsid w:val="00354B61"/>
    <w:rsid w:val="00355DC0"/>
    <w:rsid w:val="00356411"/>
    <w:rsid w:val="00360B9D"/>
    <w:rsid w:val="00362347"/>
    <w:rsid w:val="003626AB"/>
    <w:rsid w:val="00363D9A"/>
    <w:rsid w:val="00364886"/>
    <w:rsid w:val="00364C1F"/>
    <w:rsid w:val="00364D1C"/>
    <w:rsid w:val="0036592C"/>
    <w:rsid w:val="003669F5"/>
    <w:rsid w:val="00371A43"/>
    <w:rsid w:val="00371ADA"/>
    <w:rsid w:val="00373A5F"/>
    <w:rsid w:val="0037445B"/>
    <w:rsid w:val="0037514A"/>
    <w:rsid w:val="00375E84"/>
    <w:rsid w:val="00380864"/>
    <w:rsid w:val="00380D2A"/>
    <w:rsid w:val="003842A6"/>
    <w:rsid w:val="00384B7F"/>
    <w:rsid w:val="00386600"/>
    <w:rsid w:val="00386EE3"/>
    <w:rsid w:val="00390D4D"/>
    <w:rsid w:val="003910C8"/>
    <w:rsid w:val="00391101"/>
    <w:rsid w:val="00393597"/>
    <w:rsid w:val="00393A45"/>
    <w:rsid w:val="003941B8"/>
    <w:rsid w:val="003979B0"/>
    <w:rsid w:val="003A196E"/>
    <w:rsid w:val="003A2A40"/>
    <w:rsid w:val="003A2E33"/>
    <w:rsid w:val="003A3C17"/>
    <w:rsid w:val="003A5C5A"/>
    <w:rsid w:val="003A78AA"/>
    <w:rsid w:val="003B2DA2"/>
    <w:rsid w:val="003B355C"/>
    <w:rsid w:val="003C0030"/>
    <w:rsid w:val="003C1FD8"/>
    <w:rsid w:val="003C3CEF"/>
    <w:rsid w:val="003C6010"/>
    <w:rsid w:val="003C6DF5"/>
    <w:rsid w:val="003C7C3A"/>
    <w:rsid w:val="003D0123"/>
    <w:rsid w:val="003D01D5"/>
    <w:rsid w:val="003D263F"/>
    <w:rsid w:val="003D2957"/>
    <w:rsid w:val="003D3110"/>
    <w:rsid w:val="003D6A46"/>
    <w:rsid w:val="003E05F6"/>
    <w:rsid w:val="003E06F5"/>
    <w:rsid w:val="003E1257"/>
    <w:rsid w:val="003E29C8"/>
    <w:rsid w:val="003E3B94"/>
    <w:rsid w:val="003E47EE"/>
    <w:rsid w:val="003E55D6"/>
    <w:rsid w:val="003F032B"/>
    <w:rsid w:val="003F3D87"/>
    <w:rsid w:val="003F4345"/>
    <w:rsid w:val="003F521D"/>
    <w:rsid w:val="003F5290"/>
    <w:rsid w:val="003F67B6"/>
    <w:rsid w:val="003F783C"/>
    <w:rsid w:val="00400D86"/>
    <w:rsid w:val="00402459"/>
    <w:rsid w:val="00404FAE"/>
    <w:rsid w:val="004161C0"/>
    <w:rsid w:val="004210F5"/>
    <w:rsid w:val="00423A85"/>
    <w:rsid w:val="00424300"/>
    <w:rsid w:val="00424B7F"/>
    <w:rsid w:val="004270E2"/>
    <w:rsid w:val="0043077D"/>
    <w:rsid w:val="00431174"/>
    <w:rsid w:val="0043167A"/>
    <w:rsid w:val="0043426F"/>
    <w:rsid w:val="004347D3"/>
    <w:rsid w:val="00434D57"/>
    <w:rsid w:val="004356C5"/>
    <w:rsid w:val="00442DD5"/>
    <w:rsid w:val="004457E7"/>
    <w:rsid w:val="004462D6"/>
    <w:rsid w:val="00446446"/>
    <w:rsid w:val="00446B70"/>
    <w:rsid w:val="00451DFC"/>
    <w:rsid w:val="00452104"/>
    <w:rsid w:val="00452B32"/>
    <w:rsid w:val="00454C8C"/>
    <w:rsid w:val="00461F27"/>
    <w:rsid w:val="00472B1E"/>
    <w:rsid w:val="00474A2F"/>
    <w:rsid w:val="0047543F"/>
    <w:rsid w:val="00475614"/>
    <w:rsid w:val="004774AD"/>
    <w:rsid w:val="004775E3"/>
    <w:rsid w:val="0048209E"/>
    <w:rsid w:val="00483626"/>
    <w:rsid w:val="00483D75"/>
    <w:rsid w:val="00485D39"/>
    <w:rsid w:val="00487411"/>
    <w:rsid w:val="00491278"/>
    <w:rsid w:val="004926EF"/>
    <w:rsid w:val="004941A8"/>
    <w:rsid w:val="00494406"/>
    <w:rsid w:val="004945CF"/>
    <w:rsid w:val="0049542A"/>
    <w:rsid w:val="0049571A"/>
    <w:rsid w:val="0049BDDF"/>
    <w:rsid w:val="004A0A03"/>
    <w:rsid w:val="004A12CA"/>
    <w:rsid w:val="004A5DD9"/>
    <w:rsid w:val="004A7CF3"/>
    <w:rsid w:val="004B0AEA"/>
    <w:rsid w:val="004B116A"/>
    <w:rsid w:val="004B2A07"/>
    <w:rsid w:val="004B6088"/>
    <w:rsid w:val="004B7659"/>
    <w:rsid w:val="004B7BDE"/>
    <w:rsid w:val="004B7C6A"/>
    <w:rsid w:val="004C0027"/>
    <w:rsid w:val="004C0A3A"/>
    <w:rsid w:val="004C0E5C"/>
    <w:rsid w:val="004C1E67"/>
    <w:rsid w:val="004C2DF4"/>
    <w:rsid w:val="004C5043"/>
    <w:rsid w:val="004C5C0F"/>
    <w:rsid w:val="004C638C"/>
    <w:rsid w:val="004C63B7"/>
    <w:rsid w:val="004C6ABC"/>
    <w:rsid w:val="004C6E38"/>
    <w:rsid w:val="004D2CE8"/>
    <w:rsid w:val="004D3A79"/>
    <w:rsid w:val="004D52AB"/>
    <w:rsid w:val="004D7B9D"/>
    <w:rsid w:val="004E121C"/>
    <w:rsid w:val="004F154E"/>
    <w:rsid w:val="004F3258"/>
    <w:rsid w:val="004F45DF"/>
    <w:rsid w:val="005025A7"/>
    <w:rsid w:val="005032BA"/>
    <w:rsid w:val="00504E2F"/>
    <w:rsid w:val="00506773"/>
    <w:rsid w:val="0050692D"/>
    <w:rsid w:val="0050693A"/>
    <w:rsid w:val="0051357C"/>
    <w:rsid w:val="00513C81"/>
    <w:rsid w:val="0051479B"/>
    <w:rsid w:val="0051550B"/>
    <w:rsid w:val="00515C91"/>
    <w:rsid w:val="00515F6F"/>
    <w:rsid w:val="00516967"/>
    <w:rsid w:val="00517A54"/>
    <w:rsid w:val="005201A3"/>
    <w:rsid w:val="005203DF"/>
    <w:rsid w:val="005214BE"/>
    <w:rsid w:val="00522B2E"/>
    <w:rsid w:val="005255C2"/>
    <w:rsid w:val="00525609"/>
    <w:rsid w:val="005266F6"/>
    <w:rsid w:val="00531319"/>
    <w:rsid w:val="005326B8"/>
    <w:rsid w:val="00532B28"/>
    <w:rsid w:val="00533265"/>
    <w:rsid w:val="00534BAB"/>
    <w:rsid w:val="00535CBB"/>
    <w:rsid w:val="005407F7"/>
    <w:rsid w:val="00541097"/>
    <w:rsid w:val="00542684"/>
    <w:rsid w:val="0054334A"/>
    <w:rsid w:val="00543490"/>
    <w:rsid w:val="0054367F"/>
    <w:rsid w:val="0054565D"/>
    <w:rsid w:val="00545DEB"/>
    <w:rsid w:val="00550A9B"/>
    <w:rsid w:val="0055121B"/>
    <w:rsid w:val="00552978"/>
    <w:rsid w:val="00553A61"/>
    <w:rsid w:val="00556405"/>
    <w:rsid w:val="005617A8"/>
    <w:rsid w:val="005627AB"/>
    <w:rsid w:val="00563762"/>
    <w:rsid w:val="00565D7C"/>
    <w:rsid w:val="005672E0"/>
    <w:rsid w:val="00567812"/>
    <w:rsid w:val="00570C01"/>
    <w:rsid w:val="00571341"/>
    <w:rsid w:val="005728BD"/>
    <w:rsid w:val="00575AAE"/>
    <w:rsid w:val="00580143"/>
    <w:rsid w:val="005824E0"/>
    <w:rsid w:val="00583296"/>
    <w:rsid w:val="005862E4"/>
    <w:rsid w:val="005939E2"/>
    <w:rsid w:val="00594809"/>
    <w:rsid w:val="00596DBF"/>
    <w:rsid w:val="005A2B1C"/>
    <w:rsid w:val="005A44EF"/>
    <w:rsid w:val="005B1325"/>
    <w:rsid w:val="005B6CE6"/>
    <w:rsid w:val="005B705F"/>
    <w:rsid w:val="005B7828"/>
    <w:rsid w:val="005B7DD8"/>
    <w:rsid w:val="005C28F2"/>
    <w:rsid w:val="005C2F7B"/>
    <w:rsid w:val="005C4047"/>
    <w:rsid w:val="005C5312"/>
    <w:rsid w:val="005C596D"/>
    <w:rsid w:val="005C62EC"/>
    <w:rsid w:val="005C7024"/>
    <w:rsid w:val="005D06A8"/>
    <w:rsid w:val="005D1639"/>
    <w:rsid w:val="005D195E"/>
    <w:rsid w:val="005D2D7D"/>
    <w:rsid w:val="005D4857"/>
    <w:rsid w:val="005D4EFF"/>
    <w:rsid w:val="005D600A"/>
    <w:rsid w:val="005D6C1F"/>
    <w:rsid w:val="005E2AC8"/>
    <w:rsid w:val="005E365A"/>
    <w:rsid w:val="005E3F66"/>
    <w:rsid w:val="005E4F46"/>
    <w:rsid w:val="005E5F34"/>
    <w:rsid w:val="005F0CC9"/>
    <w:rsid w:val="005F264D"/>
    <w:rsid w:val="005F3C16"/>
    <w:rsid w:val="005F49FB"/>
    <w:rsid w:val="005F4BFA"/>
    <w:rsid w:val="005F4C3C"/>
    <w:rsid w:val="005F53B6"/>
    <w:rsid w:val="005F77BB"/>
    <w:rsid w:val="0060155D"/>
    <w:rsid w:val="00604C1F"/>
    <w:rsid w:val="006065A2"/>
    <w:rsid w:val="00607323"/>
    <w:rsid w:val="006074D5"/>
    <w:rsid w:val="00607835"/>
    <w:rsid w:val="0061089D"/>
    <w:rsid w:val="00611761"/>
    <w:rsid w:val="006174C9"/>
    <w:rsid w:val="00621D9A"/>
    <w:rsid w:val="006241B1"/>
    <w:rsid w:val="00624D06"/>
    <w:rsid w:val="00625B36"/>
    <w:rsid w:val="00625FF9"/>
    <w:rsid w:val="006332BB"/>
    <w:rsid w:val="006351A3"/>
    <w:rsid w:val="006361A7"/>
    <w:rsid w:val="00636D6E"/>
    <w:rsid w:val="00636F1F"/>
    <w:rsid w:val="00636F47"/>
    <w:rsid w:val="00641F34"/>
    <w:rsid w:val="006424AA"/>
    <w:rsid w:val="006431D2"/>
    <w:rsid w:val="00644A3A"/>
    <w:rsid w:val="0064625F"/>
    <w:rsid w:val="006553D7"/>
    <w:rsid w:val="00655A00"/>
    <w:rsid w:val="00657038"/>
    <w:rsid w:val="006611CC"/>
    <w:rsid w:val="006628DF"/>
    <w:rsid w:val="00663A59"/>
    <w:rsid w:val="006649D5"/>
    <w:rsid w:val="00667729"/>
    <w:rsid w:val="00671408"/>
    <w:rsid w:val="00672983"/>
    <w:rsid w:val="00675169"/>
    <w:rsid w:val="00681207"/>
    <w:rsid w:val="006866D1"/>
    <w:rsid w:val="00690519"/>
    <w:rsid w:val="006912EE"/>
    <w:rsid w:val="00693756"/>
    <w:rsid w:val="006967DC"/>
    <w:rsid w:val="006A0544"/>
    <w:rsid w:val="006A1804"/>
    <w:rsid w:val="006A2A7E"/>
    <w:rsid w:val="006A33E5"/>
    <w:rsid w:val="006A5209"/>
    <w:rsid w:val="006A6500"/>
    <w:rsid w:val="006B2C38"/>
    <w:rsid w:val="006B3DB6"/>
    <w:rsid w:val="006B449B"/>
    <w:rsid w:val="006B5607"/>
    <w:rsid w:val="006B745C"/>
    <w:rsid w:val="006B7B0E"/>
    <w:rsid w:val="006C012C"/>
    <w:rsid w:val="006C1742"/>
    <w:rsid w:val="006C2B3F"/>
    <w:rsid w:val="006C6469"/>
    <w:rsid w:val="006C6920"/>
    <w:rsid w:val="006D3389"/>
    <w:rsid w:val="006D422F"/>
    <w:rsid w:val="006D4D60"/>
    <w:rsid w:val="006D781A"/>
    <w:rsid w:val="006DB0D9"/>
    <w:rsid w:val="006E1B3E"/>
    <w:rsid w:val="006E1F3D"/>
    <w:rsid w:val="006F22F2"/>
    <w:rsid w:val="006F301E"/>
    <w:rsid w:val="006F337A"/>
    <w:rsid w:val="006F4407"/>
    <w:rsid w:val="006F4A52"/>
    <w:rsid w:val="006F4EE4"/>
    <w:rsid w:val="006F5430"/>
    <w:rsid w:val="006F6A94"/>
    <w:rsid w:val="006F7686"/>
    <w:rsid w:val="00700A26"/>
    <w:rsid w:val="00700F8F"/>
    <w:rsid w:val="0070161B"/>
    <w:rsid w:val="0070180A"/>
    <w:rsid w:val="00701FC0"/>
    <w:rsid w:val="00704131"/>
    <w:rsid w:val="00706EC5"/>
    <w:rsid w:val="007145BB"/>
    <w:rsid w:val="00714921"/>
    <w:rsid w:val="007153E9"/>
    <w:rsid w:val="00716ED0"/>
    <w:rsid w:val="007173A2"/>
    <w:rsid w:val="0071775B"/>
    <w:rsid w:val="00720781"/>
    <w:rsid w:val="00721606"/>
    <w:rsid w:val="00721FEB"/>
    <w:rsid w:val="0072649A"/>
    <w:rsid w:val="00731812"/>
    <w:rsid w:val="00732700"/>
    <w:rsid w:val="00732DC6"/>
    <w:rsid w:val="007337D9"/>
    <w:rsid w:val="00740740"/>
    <w:rsid w:val="00741B63"/>
    <w:rsid w:val="00742108"/>
    <w:rsid w:val="00742F6B"/>
    <w:rsid w:val="00747798"/>
    <w:rsid w:val="00752783"/>
    <w:rsid w:val="00752E78"/>
    <w:rsid w:val="00756F0D"/>
    <w:rsid w:val="007572AB"/>
    <w:rsid w:val="00760095"/>
    <w:rsid w:val="00760E82"/>
    <w:rsid w:val="0076164C"/>
    <w:rsid w:val="00762A8F"/>
    <w:rsid w:val="007648FD"/>
    <w:rsid w:val="0076491C"/>
    <w:rsid w:val="0076549C"/>
    <w:rsid w:val="00771214"/>
    <w:rsid w:val="00775FCF"/>
    <w:rsid w:val="00782EF5"/>
    <w:rsid w:val="00783AD7"/>
    <w:rsid w:val="0078748E"/>
    <w:rsid w:val="007917C5"/>
    <w:rsid w:val="00793DBC"/>
    <w:rsid w:val="007948E5"/>
    <w:rsid w:val="00795D43"/>
    <w:rsid w:val="0079780C"/>
    <w:rsid w:val="00797CB6"/>
    <w:rsid w:val="007A0480"/>
    <w:rsid w:val="007A08DD"/>
    <w:rsid w:val="007A20B5"/>
    <w:rsid w:val="007A2202"/>
    <w:rsid w:val="007A2653"/>
    <w:rsid w:val="007A2C0A"/>
    <w:rsid w:val="007A37D2"/>
    <w:rsid w:val="007A3BF7"/>
    <w:rsid w:val="007A4380"/>
    <w:rsid w:val="007A4475"/>
    <w:rsid w:val="007A4BBE"/>
    <w:rsid w:val="007A7171"/>
    <w:rsid w:val="007A7921"/>
    <w:rsid w:val="007B0BD6"/>
    <w:rsid w:val="007B1E97"/>
    <w:rsid w:val="007B31F9"/>
    <w:rsid w:val="007B3D0B"/>
    <w:rsid w:val="007B5BBD"/>
    <w:rsid w:val="007B6591"/>
    <w:rsid w:val="007C0AA4"/>
    <w:rsid w:val="007C1FFE"/>
    <w:rsid w:val="007C2568"/>
    <w:rsid w:val="007C275C"/>
    <w:rsid w:val="007C3B96"/>
    <w:rsid w:val="007C3CF7"/>
    <w:rsid w:val="007C4A99"/>
    <w:rsid w:val="007C6952"/>
    <w:rsid w:val="007D1544"/>
    <w:rsid w:val="007D5581"/>
    <w:rsid w:val="007E37F6"/>
    <w:rsid w:val="007E54EC"/>
    <w:rsid w:val="007E6762"/>
    <w:rsid w:val="007E78E7"/>
    <w:rsid w:val="007E7A1B"/>
    <w:rsid w:val="007E7EA0"/>
    <w:rsid w:val="007F149F"/>
    <w:rsid w:val="007F2156"/>
    <w:rsid w:val="007F27E3"/>
    <w:rsid w:val="007F293B"/>
    <w:rsid w:val="007F39C9"/>
    <w:rsid w:val="007F4FE2"/>
    <w:rsid w:val="007F4FF2"/>
    <w:rsid w:val="007F5F53"/>
    <w:rsid w:val="007F63F6"/>
    <w:rsid w:val="007F7924"/>
    <w:rsid w:val="007F7EF4"/>
    <w:rsid w:val="00801D8F"/>
    <w:rsid w:val="00805405"/>
    <w:rsid w:val="0080673D"/>
    <w:rsid w:val="008071F8"/>
    <w:rsid w:val="00810639"/>
    <w:rsid w:val="00811B4B"/>
    <w:rsid w:val="00813906"/>
    <w:rsid w:val="0081473F"/>
    <w:rsid w:val="00814F84"/>
    <w:rsid w:val="00816043"/>
    <w:rsid w:val="00820F8C"/>
    <w:rsid w:val="00821371"/>
    <w:rsid w:val="008213F2"/>
    <w:rsid w:val="00821A32"/>
    <w:rsid w:val="00823888"/>
    <w:rsid w:val="008252A8"/>
    <w:rsid w:val="00830883"/>
    <w:rsid w:val="0083221A"/>
    <w:rsid w:val="0083268F"/>
    <w:rsid w:val="00834D72"/>
    <w:rsid w:val="008350DE"/>
    <w:rsid w:val="008371BD"/>
    <w:rsid w:val="00840589"/>
    <w:rsid w:val="00844A5F"/>
    <w:rsid w:val="00844EBF"/>
    <w:rsid w:val="008509FC"/>
    <w:rsid w:val="008511DB"/>
    <w:rsid w:val="00853445"/>
    <w:rsid w:val="008535C8"/>
    <w:rsid w:val="00857FD2"/>
    <w:rsid w:val="00862A99"/>
    <w:rsid w:val="00863F8D"/>
    <w:rsid w:val="008673A2"/>
    <w:rsid w:val="0087117E"/>
    <w:rsid w:val="0087433D"/>
    <w:rsid w:val="00874D9E"/>
    <w:rsid w:val="00877447"/>
    <w:rsid w:val="00880E1F"/>
    <w:rsid w:val="008826B6"/>
    <w:rsid w:val="00885BDC"/>
    <w:rsid w:val="00885EBE"/>
    <w:rsid w:val="00887FCE"/>
    <w:rsid w:val="0089097A"/>
    <w:rsid w:val="008912BA"/>
    <w:rsid w:val="00891A9A"/>
    <w:rsid w:val="00893C71"/>
    <w:rsid w:val="00896429"/>
    <w:rsid w:val="008A0A4A"/>
    <w:rsid w:val="008A19B3"/>
    <w:rsid w:val="008A23D6"/>
    <w:rsid w:val="008A39C6"/>
    <w:rsid w:val="008A4343"/>
    <w:rsid w:val="008A68DF"/>
    <w:rsid w:val="008B00B7"/>
    <w:rsid w:val="008B04FE"/>
    <w:rsid w:val="008B1135"/>
    <w:rsid w:val="008B1F74"/>
    <w:rsid w:val="008C256A"/>
    <w:rsid w:val="008C64D8"/>
    <w:rsid w:val="008C6C89"/>
    <w:rsid w:val="008C749F"/>
    <w:rsid w:val="008C7548"/>
    <w:rsid w:val="008C7818"/>
    <w:rsid w:val="008D09A3"/>
    <w:rsid w:val="008D2B05"/>
    <w:rsid w:val="008D4717"/>
    <w:rsid w:val="008D7B66"/>
    <w:rsid w:val="008E141A"/>
    <w:rsid w:val="008E2F4B"/>
    <w:rsid w:val="008E39BB"/>
    <w:rsid w:val="008E3E81"/>
    <w:rsid w:val="008E5180"/>
    <w:rsid w:val="008E5AB5"/>
    <w:rsid w:val="008E7635"/>
    <w:rsid w:val="008F2BD3"/>
    <w:rsid w:val="008F5063"/>
    <w:rsid w:val="008F536C"/>
    <w:rsid w:val="008F5D47"/>
    <w:rsid w:val="008F5E77"/>
    <w:rsid w:val="008F6CA0"/>
    <w:rsid w:val="0090034F"/>
    <w:rsid w:val="00901AD4"/>
    <w:rsid w:val="00903A37"/>
    <w:rsid w:val="0090560C"/>
    <w:rsid w:val="0090582E"/>
    <w:rsid w:val="00905D34"/>
    <w:rsid w:val="009063E9"/>
    <w:rsid w:val="00907DBC"/>
    <w:rsid w:val="009105D3"/>
    <w:rsid w:val="00912917"/>
    <w:rsid w:val="00912DF5"/>
    <w:rsid w:val="0091547C"/>
    <w:rsid w:val="009234DC"/>
    <w:rsid w:val="00924DAB"/>
    <w:rsid w:val="00924EB1"/>
    <w:rsid w:val="0092510F"/>
    <w:rsid w:val="00926CA4"/>
    <w:rsid w:val="00927461"/>
    <w:rsid w:val="009327B6"/>
    <w:rsid w:val="009327B7"/>
    <w:rsid w:val="009335E9"/>
    <w:rsid w:val="00935E90"/>
    <w:rsid w:val="009441A6"/>
    <w:rsid w:val="00944E39"/>
    <w:rsid w:val="00945DD5"/>
    <w:rsid w:val="009503B8"/>
    <w:rsid w:val="0095064B"/>
    <w:rsid w:val="009524CA"/>
    <w:rsid w:val="00952DBB"/>
    <w:rsid w:val="00952FD3"/>
    <w:rsid w:val="00956432"/>
    <w:rsid w:val="00956933"/>
    <w:rsid w:val="00957E11"/>
    <w:rsid w:val="00961CCB"/>
    <w:rsid w:val="00961F67"/>
    <w:rsid w:val="00963290"/>
    <w:rsid w:val="00963F0D"/>
    <w:rsid w:val="009660DA"/>
    <w:rsid w:val="00967735"/>
    <w:rsid w:val="00971527"/>
    <w:rsid w:val="00972AE7"/>
    <w:rsid w:val="009750EF"/>
    <w:rsid w:val="009777A0"/>
    <w:rsid w:val="00980A3C"/>
    <w:rsid w:val="00982A10"/>
    <w:rsid w:val="009837B8"/>
    <w:rsid w:val="00985212"/>
    <w:rsid w:val="009859AF"/>
    <w:rsid w:val="00991A2C"/>
    <w:rsid w:val="0099311E"/>
    <w:rsid w:val="00993299"/>
    <w:rsid w:val="009949F7"/>
    <w:rsid w:val="009958B6"/>
    <w:rsid w:val="009A0127"/>
    <w:rsid w:val="009A024D"/>
    <w:rsid w:val="009A0B4F"/>
    <w:rsid w:val="009A2E68"/>
    <w:rsid w:val="009A76A6"/>
    <w:rsid w:val="009B1BE5"/>
    <w:rsid w:val="009B35AA"/>
    <w:rsid w:val="009B76F6"/>
    <w:rsid w:val="009BF11F"/>
    <w:rsid w:val="009C4051"/>
    <w:rsid w:val="009C542B"/>
    <w:rsid w:val="009C7E96"/>
    <w:rsid w:val="009D2041"/>
    <w:rsid w:val="009D234C"/>
    <w:rsid w:val="009D47D0"/>
    <w:rsid w:val="009D5194"/>
    <w:rsid w:val="009D6AE8"/>
    <w:rsid w:val="009E0A0D"/>
    <w:rsid w:val="009E56E8"/>
    <w:rsid w:val="009E71DE"/>
    <w:rsid w:val="009F062A"/>
    <w:rsid w:val="009F1460"/>
    <w:rsid w:val="009F30D0"/>
    <w:rsid w:val="009F4E11"/>
    <w:rsid w:val="009F5742"/>
    <w:rsid w:val="009F5D8C"/>
    <w:rsid w:val="009F6601"/>
    <w:rsid w:val="009F685D"/>
    <w:rsid w:val="00A0001C"/>
    <w:rsid w:val="00A06882"/>
    <w:rsid w:val="00A11875"/>
    <w:rsid w:val="00A12940"/>
    <w:rsid w:val="00A129D1"/>
    <w:rsid w:val="00A1502E"/>
    <w:rsid w:val="00A1776E"/>
    <w:rsid w:val="00A2191B"/>
    <w:rsid w:val="00A21A12"/>
    <w:rsid w:val="00A31EA8"/>
    <w:rsid w:val="00A33304"/>
    <w:rsid w:val="00A3354B"/>
    <w:rsid w:val="00A342E6"/>
    <w:rsid w:val="00A35C73"/>
    <w:rsid w:val="00A40E2F"/>
    <w:rsid w:val="00A4455A"/>
    <w:rsid w:val="00A467BA"/>
    <w:rsid w:val="00A47796"/>
    <w:rsid w:val="00A5113F"/>
    <w:rsid w:val="00A53673"/>
    <w:rsid w:val="00A53A02"/>
    <w:rsid w:val="00A57A63"/>
    <w:rsid w:val="00A62AE2"/>
    <w:rsid w:val="00A62E0F"/>
    <w:rsid w:val="00A63B67"/>
    <w:rsid w:val="00A66790"/>
    <w:rsid w:val="00A7150A"/>
    <w:rsid w:val="00A72891"/>
    <w:rsid w:val="00A73708"/>
    <w:rsid w:val="00A7551C"/>
    <w:rsid w:val="00A76BE9"/>
    <w:rsid w:val="00A80960"/>
    <w:rsid w:val="00A81115"/>
    <w:rsid w:val="00A841AF"/>
    <w:rsid w:val="00A8543A"/>
    <w:rsid w:val="00A90BB2"/>
    <w:rsid w:val="00A917D1"/>
    <w:rsid w:val="00A927C7"/>
    <w:rsid w:val="00A92C5C"/>
    <w:rsid w:val="00A94E65"/>
    <w:rsid w:val="00A96FF6"/>
    <w:rsid w:val="00AA2394"/>
    <w:rsid w:val="00AA2964"/>
    <w:rsid w:val="00AA3D06"/>
    <w:rsid w:val="00AA5089"/>
    <w:rsid w:val="00AB2074"/>
    <w:rsid w:val="00AB21FC"/>
    <w:rsid w:val="00AB3680"/>
    <w:rsid w:val="00AB416C"/>
    <w:rsid w:val="00AB4C92"/>
    <w:rsid w:val="00AB579A"/>
    <w:rsid w:val="00AB7867"/>
    <w:rsid w:val="00AC16A6"/>
    <w:rsid w:val="00AC3146"/>
    <w:rsid w:val="00AC3A33"/>
    <w:rsid w:val="00AC5321"/>
    <w:rsid w:val="00AC5A0D"/>
    <w:rsid w:val="00AC6FDA"/>
    <w:rsid w:val="00AC7F9C"/>
    <w:rsid w:val="00AD026B"/>
    <w:rsid w:val="00AD2131"/>
    <w:rsid w:val="00AD45BE"/>
    <w:rsid w:val="00AD697A"/>
    <w:rsid w:val="00AD7EFE"/>
    <w:rsid w:val="00AE0812"/>
    <w:rsid w:val="00AE0A90"/>
    <w:rsid w:val="00AE5D04"/>
    <w:rsid w:val="00AE650D"/>
    <w:rsid w:val="00AF086D"/>
    <w:rsid w:val="00AF2178"/>
    <w:rsid w:val="00AF3986"/>
    <w:rsid w:val="00AF5063"/>
    <w:rsid w:val="00AF6A57"/>
    <w:rsid w:val="00B0165B"/>
    <w:rsid w:val="00B01CC5"/>
    <w:rsid w:val="00B05FFE"/>
    <w:rsid w:val="00B0629E"/>
    <w:rsid w:val="00B06AAB"/>
    <w:rsid w:val="00B07BF4"/>
    <w:rsid w:val="00B07F3B"/>
    <w:rsid w:val="00B107CD"/>
    <w:rsid w:val="00B113E5"/>
    <w:rsid w:val="00B12647"/>
    <w:rsid w:val="00B147D9"/>
    <w:rsid w:val="00B16FD0"/>
    <w:rsid w:val="00B17BDA"/>
    <w:rsid w:val="00B20293"/>
    <w:rsid w:val="00B217DA"/>
    <w:rsid w:val="00B22D5B"/>
    <w:rsid w:val="00B24259"/>
    <w:rsid w:val="00B24391"/>
    <w:rsid w:val="00B24F73"/>
    <w:rsid w:val="00B26F58"/>
    <w:rsid w:val="00B271CF"/>
    <w:rsid w:val="00B30B84"/>
    <w:rsid w:val="00B312A4"/>
    <w:rsid w:val="00B324F8"/>
    <w:rsid w:val="00B378A9"/>
    <w:rsid w:val="00B37BE6"/>
    <w:rsid w:val="00B40DBF"/>
    <w:rsid w:val="00B40E46"/>
    <w:rsid w:val="00B40F50"/>
    <w:rsid w:val="00B45556"/>
    <w:rsid w:val="00B47B53"/>
    <w:rsid w:val="00B51347"/>
    <w:rsid w:val="00B51EB7"/>
    <w:rsid w:val="00B542EF"/>
    <w:rsid w:val="00B54B63"/>
    <w:rsid w:val="00B559F1"/>
    <w:rsid w:val="00B55A9A"/>
    <w:rsid w:val="00B56C97"/>
    <w:rsid w:val="00B57297"/>
    <w:rsid w:val="00B57DDB"/>
    <w:rsid w:val="00B622C2"/>
    <w:rsid w:val="00B631D5"/>
    <w:rsid w:val="00B64665"/>
    <w:rsid w:val="00B647EB"/>
    <w:rsid w:val="00B64CA3"/>
    <w:rsid w:val="00B664B2"/>
    <w:rsid w:val="00B711C0"/>
    <w:rsid w:val="00B72293"/>
    <w:rsid w:val="00B74305"/>
    <w:rsid w:val="00B7665D"/>
    <w:rsid w:val="00B814C1"/>
    <w:rsid w:val="00B819C7"/>
    <w:rsid w:val="00B825EC"/>
    <w:rsid w:val="00B8471B"/>
    <w:rsid w:val="00B85136"/>
    <w:rsid w:val="00B87160"/>
    <w:rsid w:val="00B87923"/>
    <w:rsid w:val="00B9016C"/>
    <w:rsid w:val="00B92816"/>
    <w:rsid w:val="00B93134"/>
    <w:rsid w:val="00B93546"/>
    <w:rsid w:val="00B9403E"/>
    <w:rsid w:val="00B975A0"/>
    <w:rsid w:val="00BA04D7"/>
    <w:rsid w:val="00BA2E54"/>
    <w:rsid w:val="00BB0609"/>
    <w:rsid w:val="00BB21F7"/>
    <w:rsid w:val="00BB305E"/>
    <w:rsid w:val="00BB39E9"/>
    <w:rsid w:val="00BB3E1C"/>
    <w:rsid w:val="00BB5923"/>
    <w:rsid w:val="00BC134A"/>
    <w:rsid w:val="00BC1984"/>
    <w:rsid w:val="00BC3667"/>
    <w:rsid w:val="00BC376B"/>
    <w:rsid w:val="00BC505C"/>
    <w:rsid w:val="00BC5FF2"/>
    <w:rsid w:val="00BC6CA2"/>
    <w:rsid w:val="00BCF33F"/>
    <w:rsid w:val="00BD0FAE"/>
    <w:rsid w:val="00BD1D9D"/>
    <w:rsid w:val="00BD71D7"/>
    <w:rsid w:val="00BE1794"/>
    <w:rsid w:val="00BE4B40"/>
    <w:rsid w:val="00BE5069"/>
    <w:rsid w:val="00BE5775"/>
    <w:rsid w:val="00BE5796"/>
    <w:rsid w:val="00BF20EA"/>
    <w:rsid w:val="00BF7F32"/>
    <w:rsid w:val="00C010D6"/>
    <w:rsid w:val="00C039F5"/>
    <w:rsid w:val="00C04FDE"/>
    <w:rsid w:val="00C05B8C"/>
    <w:rsid w:val="00C06DFD"/>
    <w:rsid w:val="00C06EA3"/>
    <w:rsid w:val="00C10531"/>
    <w:rsid w:val="00C13B12"/>
    <w:rsid w:val="00C17B1B"/>
    <w:rsid w:val="00C2037F"/>
    <w:rsid w:val="00C237C7"/>
    <w:rsid w:val="00C26377"/>
    <w:rsid w:val="00C270E6"/>
    <w:rsid w:val="00C30641"/>
    <w:rsid w:val="00C309C8"/>
    <w:rsid w:val="00C30EC6"/>
    <w:rsid w:val="00C30FB3"/>
    <w:rsid w:val="00C32BD4"/>
    <w:rsid w:val="00C37EB8"/>
    <w:rsid w:val="00C41841"/>
    <w:rsid w:val="00C420BB"/>
    <w:rsid w:val="00C425BF"/>
    <w:rsid w:val="00C43F8E"/>
    <w:rsid w:val="00C45E21"/>
    <w:rsid w:val="00C500C2"/>
    <w:rsid w:val="00C52D08"/>
    <w:rsid w:val="00C5533E"/>
    <w:rsid w:val="00C61F78"/>
    <w:rsid w:val="00C630A5"/>
    <w:rsid w:val="00C642D1"/>
    <w:rsid w:val="00C6708D"/>
    <w:rsid w:val="00C71201"/>
    <w:rsid w:val="00C75773"/>
    <w:rsid w:val="00C75941"/>
    <w:rsid w:val="00C76BA6"/>
    <w:rsid w:val="00C81055"/>
    <w:rsid w:val="00C8479D"/>
    <w:rsid w:val="00C850AB"/>
    <w:rsid w:val="00C866AE"/>
    <w:rsid w:val="00C86FC1"/>
    <w:rsid w:val="00C87248"/>
    <w:rsid w:val="00C877B4"/>
    <w:rsid w:val="00C90691"/>
    <w:rsid w:val="00C91054"/>
    <w:rsid w:val="00C92FC2"/>
    <w:rsid w:val="00C930E9"/>
    <w:rsid w:val="00C96461"/>
    <w:rsid w:val="00CA02FC"/>
    <w:rsid w:val="00CA2119"/>
    <w:rsid w:val="00CA2A2A"/>
    <w:rsid w:val="00CA2DCD"/>
    <w:rsid w:val="00CA5820"/>
    <w:rsid w:val="00CB1F6A"/>
    <w:rsid w:val="00CB47FE"/>
    <w:rsid w:val="00CB5CCA"/>
    <w:rsid w:val="00CB6D78"/>
    <w:rsid w:val="00CB7537"/>
    <w:rsid w:val="00CC2170"/>
    <w:rsid w:val="00CC2628"/>
    <w:rsid w:val="00CC5474"/>
    <w:rsid w:val="00CC7060"/>
    <w:rsid w:val="00CD14F0"/>
    <w:rsid w:val="00CD3255"/>
    <w:rsid w:val="00CD38D4"/>
    <w:rsid w:val="00CE03D7"/>
    <w:rsid w:val="00CE13D8"/>
    <w:rsid w:val="00CE37D2"/>
    <w:rsid w:val="00CE7F67"/>
    <w:rsid w:val="00CF059F"/>
    <w:rsid w:val="00CF1661"/>
    <w:rsid w:val="00CF3E10"/>
    <w:rsid w:val="00CF4CDD"/>
    <w:rsid w:val="00CF4E1D"/>
    <w:rsid w:val="00D00E34"/>
    <w:rsid w:val="00D039FF"/>
    <w:rsid w:val="00D04F54"/>
    <w:rsid w:val="00D06463"/>
    <w:rsid w:val="00D10954"/>
    <w:rsid w:val="00D1379D"/>
    <w:rsid w:val="00D13BEF"/>
    <w:rsid w:val="00D1466A"/>
    <w:rsid w:val="00D22724"/>
    <w:rsid w:val="00D22830"/>
    <w:rsid w:val="00D22BA6"/>
    <w:rsid w:val="00D268E6"/>
    <w:rsid w:val="00D30276"/>
    <w:rsid w:val="00D304B7"/>
    <w:rsid w:val="00D3062A"/>
    <w:rsid w:val="00D3189D"/>
    <w:rsid w:val="00D35996"/>
    <w:rsid w:val="00D368A9"/>
    <w:rsid w:val="00D37AAA"/>
    <w:rsid w:val="00D40172"/>
    <w:rsid w:val="00D41C52"/>
    <w:rsid w:val="00D42A9D"/>
    <w:rsid w:val="00D4409B"/>
    <w:rsid w:val="00D47492"/>
    <w:rsid w:val="00D52917"/>
    <w:rsid w:val="00D569B3"/>
    <w:rsid w:val="00D61BD9"/>
    <w:rsid w:val="00D62F71"/>
    <w:rsid w:val="00D63030"/>
    <w:rsid w:val="00D63F1B"/>
    <w:rsid w:val="00D655E2"/>
    <w:rsid w:val="00D71E4E"/>
    <w:rsid w:val="00D7208B"/>
    <w:rsid w:val="00D768A1"/>
    <w:rsid w:val="00D81024"/>
    <w:rsid w:val="00D81E7D"/>
    <w:rsid w:val="00D829ED"/>
    <w:rsid w:val="00D83B5D"/>
    <w:rsid w:val="00D844A7"/>
    <w:rsid w:val="00D84D27"/>
    <w:rsid w:val="00D871A0"/>
    <w:rsid w:val="00D9173D"/>
    <w:rsid w:val="00D97774"/>
    <w:rsid w:val="00DA01F6"/>
    <w:rsid w:val="00DA0254"/>
    <w:rsid w:val="00DA1EFE"/>
    <w:rsid w:val="00DA277C"/>
    <w:rsid w:val="00DA2A70"/>
    <w:rsid w:val="00DA4611"/>
    <w:rsid w:val="00DB061B"/>
    <w:rsid w:val="00DB2822"/>
    <w:rsid w:val="00DB6C9A"/>
    <w:rsid w:val="00DB74F0"/>
    <w:rsid w:val="00DC082E"/>
    <w:rsid w:val="00DC0C56"/>
    <w:rsid w:val="00DC2391"/>
    <w:rsid w:val="00DC2B7D"/>
    <w:rsid w:val="00DC41AB"/>
    <w:rsid w:val="00DC5FAA"/>
    <w:rsid w:val="00DC74DE"/>
    <w:rsid w:val="00DD31C2"/>
    <w:rsid w:val="00DD38E9"/>
    <w:rsid w:val="00DD572B"/>
    <w:rsid w:val="00DD704A"/>
    <w:rsid w:val="00DD7C44"/>
    <w:rsid w:val="00DE0567"/>
    <w:rsid w:val="00DE147E"/>
    <w:rsid w:val="00DE25E5"/>
    <w:rsid w:val="00DE4297"/>
    <w:rsid w:val="00DF0EB3"/>
    <w:rsid w:val="00DF3393"/>
    <w:rsid w:val="00DF36E5"/>
    <w:rsid w:val="00DF6499"/>
    <w:rsid w:val="00DF6B4A"/>
    <w:rsid w:val="00DF7607"/>
    <w:rsid w:val="00E033A3"/>
    <w:rsid w:val="00E0387E"/>
    <w:rsid w:val="00E04FF9"/>
    <w:rsid w:val="00E11EFC"/>
    <w:rsid w:val="00E14F52"/>
    <w:rsid w:val="00E1D859"/>
    <w:rsid w:val="00E22C65"/>
    <w:rsid w:val="00E22DB8"/>
    <w:rsid w:val="00E25A08"/>
    <w:rsid w:val="00E26AFA"/>
    <w:rsid w:val="00E30B58"/>
    <w:rsid w:val="00E32FDC"/>
    <w:rsid w:val="00E34F5B"/>
    <w:rsid w:val="00E4404F"/>
    <w:rsid w:val="00E47238"/>
    <w:rsid w:val="00E47439"/>
    <w:rsid w:val="00E508A6"/>
    <w:rsid w:val="00E52E25"/>
    <w:rsid w:val="00E535C0"/>
    <w:rsid w:val="00E54B25"/>
    <w:rsid w:val="00E57227"/>
    <w:rsid w:val="00E6006C"/>
    <w:rsid w:val="00E60BB1"/>
    <w:rsid w:val="00E63DE2"/>
    <w:rsid w:val="00E65726"/>
    <w:rsid w:val="00E65AF3"/>
    <w:rsid w:val="00E70999"/>
    <w:rsid w:val="00E70C62"/>
    <w:rsid w:val="00E73324"/>
    <w:rsid w:val="00E77D69"/>
    <w:rsid w:val="00E8078C"/>
    <w:rsid w:val="00E80A4D"/>
    <w:rsid w:val="00E80CDD"/>
    <w:rsid w:val="00E85506"/>
    <w:rsid w:val="00E93E41"/>
    <w:rsid w:val="00E94863"/>
    <w:rsid w:val="00E94B2E"/>
    <w:rsid w:val="00EA05E0"/>
    <w:rsid w:val="00EA1128"/>
    <w:rsid w:val="00EA1873"/>
    <w:rsid w:val="00EA38FE"/>
    <w:rsid w:val="00EA4B64"/>
    <w:rsid w:val="00EA6E24"/>
    <w:rsid w:val="00EA7B13"/>
    <w:rsid w:val="00EB1B64"/>
    <w:rsid w:val="00EB312E"/>
    <w:rsid w:val="00EB3B5A"/>
    <w:rsid w:val="00EB5CBB"/>
    <w:rsid w:val="00EB6107"/>
    <w:rsid w:val="00EB7598"/>
    <w:rsid w:val="00EC1321"/>
    <w:rsid w:val="00EC2845"/>
    <w:rsid w:val="00EC3FF1"/>
    <w:rsid w:val="00ED1F1B"/>
    <w:rsid w:val="00ED3F72"/>
    <w:rsid w:val="00ED5113"/>
    <w:rsid w:val="00ED6F03"/>
    <w:rsid w:val="00ED702F"/>
    <w:rsid w:val="00EE0847"/>
    <w:rsid w:val="00EE0D8B"/>
    <w:rsid w:val="00EE3CEE"/>
    <w:rsid w:val="00EE66DD"/>
    <w:rsid w:val="00EE7A2F"/>
    <w:rsid w:val="00EF0064"/>
    <w:rsid w:val="00EF0829"/>
    <w:rsid w:val="00EF0B26"/>
    <w:rsid w:val="00EF1B50"/>
    <w:rsid w:val="00EF48DF"/>
    <w:rsid w:val="00EF7363"/>
    <w:rsid w:val="00EF7A17"/>
    <w:rsid w:val="00F06887"/>
    <w:rsid w:val="00F106AA"/>
    <w:rsid w:val="00F11DA8"/>
    <w:rsid w:val="00F12966"/>
    <w:rsid w:val="00F14C8D"/>
    <w:rsid w:val="00F15E0F"/>
    <w:rsid w:val="00F1649F"/>
    <w:rsid w:val="00F165CC"/>
    <w:rsid w:val="00F20018"/>
    <w:rsid w:val="00F20089"/>
    <w:rsid w:val="00F23314"/>
    <w:rsid w:val="00F27E8D"/>
    <w:rsid w:val="00F307B8"/>
    <w:rsid w:val="00F31556"/>
    <w:rsid w:val="00F31D86"/>
    <w:rsid w:val="00F3226C"/>
    <w:rsid w:val="00F345FB"/>
    <w:rsid w:val="00F35DFD"/>
    <w:rsid w:val="00F3684C"/>
    <w:rsid w:val="00F37CA7"/>
    <w:rsid w:val="00F37F16"/>
    <w:rsid w:val="00F406D2"/>
    <w:rsid w:val="00F41758"/>
    <w:rsid w:val="00F41A87"/>
    <w:rsid w:val="00F4231A"/>
    <w:rsid w:val="00F46635"/>
    <w:rsid w:val="00F470F8"/>
    <w:rsid w:val="00F475EC"/>
    <w:rsid w:val="00F507C3"/>
    <w:rsid w:val="00F517FA"/>
    <w:rsid w:val="00F525A9"/>
    <w:rsid w:val="00F5515A"/>
    <w:rsid w:val="00F5725D"/>
    <w:rsid w:val="00F57925"/>
    <w:rsid w:val="00F608C9"/>
    <w:rsid w:val="00F6135C"/>
    <w:rsid w:val="00F6353A"/>
    <w:rsid w:val="00F64D88"/>
    <w:rsid w:val="00F742B6"/>
    <w:rsid w:val="00F75ED3"/>
    <w:rsid w:val="00F77D90"/>
    <w:rsid w:val="00F77EB0"/>
    <w:rsid w:val="00F8447E"/>
    <w:rsid w:val="00F91CC3"/>
    <w:rsid w:val="00F92E5F"/>
    <w:rsid w:val="00F94665"/>
    <w:rsid w:val="00F96E8F"/>
    <w:rsid w:val="00F9712B"/>
    <w:rsid w:val="00FA3D36"/>
    <w:rsid w:val="00FA677C"/>
    <w:rsid w:val="00FA7446"/>
    <w:rsid w:val="00FB1D55"/>
    <w:rsid w:val="00FB40CD"/>
    <w:rsid w:val="00FB5DE1"/>
    <w:rsid w:val="00FB7E2F"/>
    <w:rsid w:val="00FC3202"/>
    <w:rsid w:val="00FC3271"/>
    <w:rsid w:val="00FC4FD0"/>
    <w:rsid w:val="00FC53C8"/>
    <w:rsid w:val="00FC7145"/>
    <w:rsid w:val="00FD0000"/>
    <w:rsid w:val="00FD7C2E"/>
    <w:rsid w:val="00FE1287"/>
    <w:rsid w:val="00FE1765"/>
    <w:rsid w:val="00FE2650"/>
    <w:rsid w:val="00FE4CA2"/>
    <w:rsid w:val="00FE4DF6"/>
    <w:rsid w:val="00FE51B8"/>
    <w:rsid w:val="00FE7785"/>
    <w:rsid w:val="00FE785E"/>
    <w:rsid w:val="00FE79F3"/>
    <w:rsid w:val="00FF298B"/>
    <w:rsid w:val="00FF5394"/>
    <w:rsid w:val="00FF550B"/>
    <w:rsid w:val="00FF5D58"/>
    <w:rsid w:val="00FF71FE"/>
    <w:rsid w:val="01075C5D"/>
    <w:rsid w:val="0113711F"/>
    <w:rsid w:val="016C7C98"/>
    <w:rsid w:val="016FE67B"/>
    <w:rsid w:val="01831908"/>
    <w:rsid w:val="018AB9EF"/>
    <w:rsid w:val="01A212CD"/>
    <w:rsid w:val="01A33AAF"/>
    <w:rsid w:val="01C15A0A"/>
    <w:rsid w:val="01D1ED09"/>
    <w:rsid w:val="02528068"/>
    <w:rsid w:val="02679509"/>
    <w:rsid w:val="02966DC7"/>
    <w:rsid w:val="02DB8488"/>
    <w:rsid w:val="02FA637E"/>
    <w:rsid w:val="030A443E"/>
    <w:rsid w:val="030BEFB6"/>
    <w:rsid w:val="0343C4A5"/>
    <w:rsid w:val="035B2717"/>
    <w:rsid w:val="0369E2FD"/>
    <w:rsid w:val="037E27A2"/>
    <w:rsid w:val="038DD071"/>
    <w:rsid w:val="03AA17D5"/>
    <w:rsid w:val="03B78E88"/>
    <w:rsid w:val="03BBC171"/>
    <w:rsid w:val="03EC03F7"/>
    <w:rsid w:val="0436FE1D"/>
    <w:rsid w:val="04563D9B"/>
    <w:rsid w:val="047DD48C"/>
    <w:rsid w:val="04D08BA7"/>
    <w:rsid w:val="04DF9506"/>
    <w:rsid w:val="04E41801"/>
    <w:rsid w:val="04E78AC6"/>
    <w:rsid w:val="05045BCA"/>
    <w:rsid w:val="0549CF28"/>
    <w:rsid w:val="05592940"/>
    <w:rsid w:val="055B543D"/>
    <w:rsid w:val="05770F71"/>
    <w:rsid w:val="058666D1"/>
    <w:rsid w:val="0598EFB8"/>
    <w:rsid w:val="05B35C7E"/>
    <w:rsid w:val="05C13120"/>
    <w:rsid w:val="05C9DDFC"/>
    <w:rsid w:val="05EF2BB7"/>
    <w:rsid w:val="06417A08"/>
    <w:rsid w:val="0647A838"/>
    <w:rsid w:val="06603FD3"/>
    <w:rsid w:val="06740E00"/>
    <w:rsid w:val="0694CB2D"/>
    <w:rsid w:val="06BC6E32"/>
    <w:rsid w:val="06ED13F2"/>
    <w:rsid w:val="07076F76"/>
    <w:rsid w:val="070B183E"/>
    <w:rsid w:val="070DA75D"/>
    <w:rsid w:val="0741CBDE"/>
    <w:rsid w:val="078A0BBD"/>
    <w:rsid w:val="07A26110"/>
    <w:rsid w:val="07B0D758"/>
    <w:rsid w:val="07B468A3"/>
    <w:rsid w:val="07D4D03F"/>
    <w:rsid w:val="081189DA"/>
    <w:rsid w:val="083DCFD2"/>
    <w:rsid w:val="0844DC7E"/>
    <w:rsid w:val="08686AF3"/>
    <w:rsid w:val="087159E7"/>
    <w:rsid w:val="08743737"/>
    <w:rsid w:val="08AF417D"/>
    <w:rsid w:val="08EA6CAA"/>
    <w:rsid w:val="08ECEA3E"/>
    <w:rsid w:val="0921F3BF"/>
    <w:rsid w:val="092C89D2"/>
    <w:rsid w:val="094BED63"/>
    <w:rsid w:val="09594A5E"/>
    <w:rsid w:val="096640BA"/>
    <w:rsid w:val="097A8504"/>
    <w:rsid w:val="098D321F"/>
    <w:rsid w:val="09CD4B68"/>
    <w:rsid w:val="09E8F3DA"/>
    <w:rsid w:val="09F440FD"/>
    <w:rsid w:val="0A3F3029"/>
    <w:rsid w:val="0A901B45"/>
    <w:rsid w:val="0AB69CDC"/>
    <w:rsid w:val="0ABF5EA7"/>
    <w:rsid w:val="0B00379C"/>
    <w:rsid w:val="0B0BFA38"/>
    <w:rsid w:val="0B45AB06"/>
    <w:rsid w:val="0B67B40C"/>
    <w:rsid w:val="0B7C7D92"/>
    <w:rsid w:val="0B82CE1D"/>
    <w:rsid w:val="0BAE7F9C"/>
    <w:rsid w:val="0BBEB313"/>
    <w:rsid w:val="0BC4FAA4"/>
    <w:rsid w:val="0BD40F13"/>
    <w:rsid w:val="0BE38840"/>
    <w:rsid w:val="0BFF9F72"/>
    <w:rsid w:val="0C26AA7C"/>
    <w:rsid w:val="0C295811"/>
    <w:rsid w:val="0C3D7E41"/>
    <w:rsid w:val="0C41413F"/>
    <w:rsid w:val="0C415749"/>
    <w:rsid w:val="0C7FB675"/>
    <w:rsid w:val="0CA74244"/>
    <w:rsid w:val="0CB6CE11"/>
    <w:rsid w:val="0CE9D3B8"/>
    <w:rsid w:val="0D087771"/>
    <w:rsid w:val="0D76EC58"/>
    <w:rsid w:val="0DF4E0C7"/>
    <w:rsid w:val="0DF5A720"/>
    <w:rsid w:val="0DF6FF69"/>
    <w:rsid w:val="0DFBEBF8"/>
    <w:rsid w:val="0E3D8424"/>
    <w:rsid w:val="0E6CC7C4"/>
    <w:rsid w:val="0E7211AA"/>
    <w:rsid w:val="0E741F93"/>
    <w:rsid w:val="0E92B5D8"/>
    <w:rsid w:val="0E9EC5E0"/>
    <w:rsid w:val="0EC9F76B"/>
    <w:rsid w:val="0ECE00DF"/>
    <w:rsid w:val="0ED8F411"/>
    <w:rsid w:val="0EEB05CF"/>
    <w:rsid w:val="0EF93051"/>
    <w:rsid w:val="0F0EEE14"/>
    <w:rsid w:val="0F35EC12"/>
    <w:rsid w:val="0F5586B6"/>
    <w:rsid w:val="0F59F37C"/>
    <w:rsid w:val="0F638C68"/>
    <w:rsid w:val="0F639A8F"/>
    <w:rsid w:val="0F7C783F"/>
    <w:rsid w:val="0F913543"/>
    <w:rsid w:val="0FBDB4D1"/>
    <w:rsid w:val="0FCCD71E"/>
    <w:rsid w:val="1015753B"/>
    <w:rsid w:val="10224188"/>
    <w:rsid w:val="10247101"/>
    <w:rsid w:val="105FE372"/>
    <w:rsid w:val="1074C472"/>
    <w:rsid w:val="107D301B"/>
    <w:rsid w:val="10B0FDCE"/>
    <w:rsid w:val="10EEEF79"/>
    <w:rsid w:val="10F08400"/>
    <w:rsid w:val="10FF5CC9"/>
    <w:rsid w:val="110220A1"/>
    <w:rsid w:val="110FD9F9"/>
    <w:rsid w:val="11684852"/>
    <w:rsid w:val="1195C34B"/>
    <w:rsid w:val="11991EDB"/>
    <w:rsid w:val="11A28BDA"/>
    <w:rsid w:val="11D296B9"/>
    <w:rsid w:val="11DF904E"/>
    <w:rsid w:val="11E518F3"/>
    <w:rsid w:val="11EBBF16"/>
    <w:rsid w:val="1219007C"/>
    <w:rsid w:val="121A0E74"/>
    <w:rsid w:val="121B6BC2"/>
    <w:rsid w:val="1266182A"/>
    <w:rsid w:val="12AD3D2D"/>
    <w:rsid w:val="12D69A4D"/>
    <w:rsid w:val="12DEB8AF"/>
    <w:rsid w:val="131748F1"/>
    <w:rsid w:val="133E3551"/>
    <w:rsid w:val="1345DA41"/>
    <w:rsid w:val="134CFE9E"/>
    <w:rsid w:val="1389B03A"/>
    <w:rsid w:val="13C7288F"/>
    <w:rsid w:val="13C88E34"/>
    <w:rsid w:val="13E79244"/>
    <w:rsid w:val="140BA51A"/>
    <w:rsid w:val="1426903B"/>
    <w:rsid w:val="143E5C46"/>
    <w:rsid w:val="146C4582"/>
    <w:rsid w:val="148CC0FD"/>
    <w:rsid w:val="14921507"/>
    <w:rsid w:val="14A5B4A3"/>
    <w:rsid w:val="14D9D562"/>
    <w:rsid w:val="14EBDE5F"/>
    <w:rsid w:val="1511A424"/>
    <w:rsid w:val="1513BC33"/>
    <w:rsid w:val="1537EAF8"/>
    <w:rsid w:val="155E6D83"/>
    <w:rsid w:val="156E87FE"/>
    <w:rsid w:val="15D2CDEC"/>
    <w:rsid w:val="15F53BFA"/>
    <w:rsid w:val="160DD0D9"/>
    <w:rsid w:val="16261ED6"/>
    <w:rsid w:val="169B2373"/>
    <w:rsid w:val="16A80862"/>
    <w:rsid w:val="16BCCA79"/>
    <w:rsid w:val="16C5319F"/>
    <w:rsid w:val="16CD7694"/>
    <w:rsid w:val="17157923"/>
    <w:rsid w:val="178E9D07"/>
    <w:rsid w:val="17A07F37"/>
    <w:rsid w:val="17A434AE"/>
    <w:rsid w:val="17DCAB8B"/>
    <w:rsid w:val="18334718"/>
    <w:rsid w:val="183D33C7"/>
    <w:rsid w:val="184ED1D2"/>
    <w:rsid w:val="185881F7"/>
    <w:rsid w:val="18589ADA"/>
    <w:rsid w:val="187920C3"/>
    <w:rsid w:val="18959541"/>
    <w:rsid w:val="18E9A31F"/>
    <w:rsid w:val="18F7FDE6"/>
    <w:rsid w:val="18FE75B3"/>
    <w:rsid w:val="190E5DC7"/>
    <w:rsid w:val="193BB4DC"/>
    <w:rsid w:val="193D6A22"/>
    <w:rsid w:val="194C2EEC"/>
    <w:rsid w:val="195FD2A2"/>
    <w:rsid w:val="19625759"/>
    <w:rsid w:val="1974B50D"/>
    <w:rsid w:val="1A35AAB5"/>
    <w:rsid w:val="1A42C2C2"/>
    <w:rsid w:val="1A56B4D4"/>
    <w:rsid w:val="1A6A766E"/>
    <w:rsid w:val="1AAB614F"/>
    <w:rsid w:val="1AB4A7DC"/>
    <w:rsid w:val="1AB589BB"/>
    <w:rsid w:val="1AC8D268"/>
    <w:rsid w:val="1ADBD570"/>
    <w:rsid w:val="1ADDFE91"/>
    <w:rsid w:val="1AF36964"/>
    <w:rsid w:val="1AFF0C9C"/>
    <w:rsid w:val="1B2E76A4"/>
    <w:rsid w:val="1B6DF8BF"/>
    <w:rsid w:val="1B6E1480"/>
    <w:rsid w:val="1B8E59E8"/>
    <w:rsid w:val="1BC659F4"/>
    <w:rsid w:val="1BC94FD8"/>
    <w:rsid w:val="1BCD9D2F"/>
    <w:rsid w:val="1BD411D1"/>
    <w:rsid w:val="1BFAB459"/>
    <w:rsid w:val="1BFD5ABA"/>
    <w:rsid w:val="1C134633"/>
    <w:rsid w:val="1C1592FB"/>
    <w:rsid w:val="1C244B93"/>
    <w:rsid w:val="1C5F152A"/>
    <w:rsid w:val="1C881A45"/>
    <w:rsid w:val="1CA799CA"/>
    <w:rsid w:val="1D1EF187"/>
    <w:rsid w:val="1D3E55E0"/>
    <w:rsid w:val="1D474F03"/>
    <w:rsid w:val="1D575C77"/>
    <w:rsid w:val="1D7506DB"/>
    <w:rsid w:val="1D7BA3B3"/>
    <w:rsid w:val="1DA60DA0"/>
    <w:rsid w:val="1DD47E88"/>
    <w:rsid w:val="1DF56697"/>
    <w:rsid w:val="1E6DE54A"/>
    <w:rsid w:val="1E7789CE"/>
    <w:rsid w:val="1E84106C"/>
    <w:rsid w:val="1E84324D"/>
    <w:rsid w:val="1E8FB145"/>
    <w:rsid w:val="1ED8E91B"/>
    <w:rsid w:val="1EE689D2"/>
    <w:rsid w:val="1F001CFE"/>
    <w:rsid w:val="1F10D73C"/>
    <w:rsid w:val="1F177414"/>
    <w:rsid w:val="1F27465F"/>
    <w:rsid w:val="1F33A69D"/>
    <w:rsid w:val="1F5B55F1"/>
    <w:rsid w:val="1F6CCE61"/>
    <w:rsid w:val="1FA24B40"/>
    <w:rsid w:val="1FEB0D59"/>
    <w:rsid w:val="1FF8D4CF"/>
    <w:rsid w:val="1FF92C59"/>
    <w:rsid w:val="200A02AB"/>
    <w:rsid w:val="200BF5AE"/>
    <w:rsid w:val="203209AD"/>
    <w:rsid w:val="204A6C8E"/>
    <w:rsid w:val="207E2C11"/>
    <w:rsid w:val="209393D7"/>
    <w:rsid w:val="20A49B2F"/>
    <w:rsid w:val="20B38E01"/>
    <w:rsid w:val="20B884E7"/>
    <w:rsid w:val="2101554C"/>
    <w:rsid w:val="2104651A"/>
    <w:rsid w:val="2112782E"/>
    <w:rsid w:val="211B3E40"/>
    <w:rsid w:val="211BE706"/>
    <w:rsid w:val="2126C7BC"/>
    <w:rsid w:val="212B00EA"/>
    <w:rsid w:val="215D9EB0"/>
    <w:rsid w:val="2187EE5A"/>
    <w:rsid w:val="21C862A6"/>
    <w:rsid w:val="21EC5875"/>
    <w:rsid w:val="221FC0C0"/>
    <w:rsid w:val="2235D0CE"/>
    <w:rsid w:val="223ED9E7"/>
    <w:rsid w:val="224C5032"/>
    <w:rsid w:val="228CF246"/>
    <w:rsid w:val="22D4DBA4"/>
    <w:rsid w:val="22D5455A"/>
    <w:rsid w:val="23040586"/>
    <w:rsid w:val="23151210"/>
    <w:rsid w:val="234A429A"/>
    <w:rsid w:val="2368E092"/>
    <w:rsid w:val="2382DB6A"/>
    <w:rsid w:val="239A7ED3"/>
    <w:rsid w:val="23B64DE9"/>
    <w:rsid w:val="23BDEED1"/>
    <w:rsid w:val="23CA1318"/>
    <w:rsid w:val="23D1A12F"/>
    <w:rsid w:val="23EBA146"/>
    <w:rsid w:val="23F3FB53"/>
    <w:rsid w:val="23F8AE0A"/>
    <w:rsid w:val="240EFE69"/>
    <w:rsid w:val="24384F16"/>
    <w:rsid w:val="243E4363"/>
    <w:rsid w:val="247D15F9"/>
    <w:rsid w:val="24966312"/>
    <w:rsid w:val="24989296"/>
    <w:rsid w:val="24DF3B7F"/>
    <w:rsid w:val="24F7BE70"/>
    <w:rsid w:val="24FFC265"/>
    <w:rsid w:val="2507517D"/>
    <w:rsid w:val="2557A332"/>
    <w:rsid w:val="25653B10"/>
    <w:rsid w:val="2568015C"/>
    <w:rsid w:val="2586CBC3"/>
    <w:rsid w:val="25A8BCBA"/>
    <w:rsid w:val="25BB9A51"/>
    <w:rsid w:val="25BF4D40"/>
    <w:rsid w:val="25C9C980"/>
    <w:rsid w:val="25D827E0"/>
    <w:rsid w:val="25E3B526"/>
    <w:rsid w:val="262F5866"/>
    <w:rsid w:val="262FF214"/>
    <w:rsid w:val="2648C80E"/>
    <w:rsid w:val="26549469"/>
    <w:rsid w:val="2658925F"/>
    <w:rsid w:val="26725648"/>
    <w:rsid w:val="26A8FD2B"/>
    <w:rsid w:val="26DCCFEC"/>
    <w:rsid w:val="26FE4734"/>
    <w:rsid w:val="27094C89"/>
    <w:rsid w:val="27342BF2"/>
    <w:rsid w:val="274EC833"/>
    <w:rsid w:val="2768F56D"/>
    <w:rsid w:val="2790F8ED"/>
    <w:rsid w:val="27B9B0D4"/>
    <w:rsid w:val="27CB81EE"/>
    <w:rsid w:val="283B9CEC"/>
    <w:rsid w:val="284587A8"/>
    <w:rsid w:val="286CB753"/>
    <w:rsid w:val="2876AC2A"/>
    <w:rsid w:val="28BF1741"/>
    <w:rsid w:val="28BFF584"/>
    <w:rsid w:val="28CFD6BE"/>
    <w:rsid w:val="28F165C1"/>
    <w:rsid w:val="28F6FAC9"/>
    <w:rsid w:val="2908FCAE"/>
    <w:rsid w:val="292067D1"/>
    <w:rsid w:val="29361C9B"/>
    <w:rsid w:val="29462AAF"/>
    <w:rsid w:val="29C94554"/>
    <w:rsid w:val="29D267B5"/>
    <w:rsid w:val="29E7813A"/>
    <w:rsid w:val="2A127C8B"/>
    <w:rsid w:val="2A51F76B"/>
    <w:rsid w:val="2A62C49C"/>
    <w:rsid w:val="2AAB9903"/>
    <w:rsid w:val="2AE510B8"/>
    <w:rsid w:val="2AFC09F1"/>
    <w:rsid w:val="2B1147BA"/>
    <w:rsid w:val="2B462947"/>
    <w:rsid w:val="2B4629BE"/>
    <w:rsid w:val="2B833CC7"/>
    <w:rsid w:val="2B860FC6"/>
    <w:rsid w:val="2B86901F"/>
    <w:rsid w:val="2B96FD6F"/>
    <w:rsid w:val="2BA483E4"/>
    <w:rsid w:val="2BAD1874"/>
    <w:rsid w:val="2BADFB23"/>
    <w:rsid w:val="2BD16C8A"/>
    <w:rsid w:val="2BFBE9E4"/>
    <w:rsid w:val="2C155956"/>
    <w:rsid w:val="2C284B63"/>
    <w:rsid w:val="2C2AE70A"/>
    <w:rsid w:val="2C2C0FF6"/>
    <w:rsid w:val="2C30FBA6"/>
    <w:rsid w:val="2C333D3B"/>
    <w:rsid w:val="2C4ED199"/>
    <w:rsid w:val="2C73EFF8"/>
    <w:rsid w:val="2C8CCA94"/>
    <w:rsid w:val="2CAF51CE"/>
    <w:rsid w:val="2CFE6571"/>
    <w:rsid w:val="2D282B08"/>
    <w:rsid w:val="2D32CDD0"/>
    <w:rsid w:val="2D587E52"/>
    <w:rsid w:val="2D681110"/>
    <w:rsid w:val="2D767718"/>
    <w:rsid w:val="2D8F1572"/>
    <w:rsid w:val="2D9A655E"/>
    <w:rsid w:val="2DA0A3B6"/>
    <w:rsid w:val="2DB55E97"/>
    <w:rsid w:val="2DB95F58"/>
    <w:rsid w:val="2DBA1043"/>
    <w:rsid w:val="2DD33A2D"/>
    <w:rsid w:val="2DF547C0"/>
    <w:rsid w:val="2E130155"/>
    <w:rsid w:val="2E601B25"/>
    <w:rsid w:val="2E948780"/>
    <w:rsid w:val="2E94C910"/>
    <w:rsid w:val="2EA17B83"/>
    <w:rsid w:val="2F25EFF2"/>
    <w:rsid w:val="2F288EF1"/>
    <w:rsid w:val="2F28DBD0"/>
    <w:rsid w:val="2F306235"/>
    <w:rsid w:val="2F3635BF"/>
    <w:rsid w:val="2F57FC25"/>
    <w:rsid w:val="2F5FF221"/>
    <w:rsid w:val="2F672546"/>
    <w:rsid w:val="2F9BF009"/>
    <w:rsid w:val="2FD9200E"/>
    <w:rsid w:val="2FF73C86"/>
    <w:rsid w:val="303A7355"/>
    <w:rsid w:val="3081BDFF"/>
    <w:rsid w:val="30929853"/>
    <w:rsid w:val="3099B1F4"/>
    <w:rsid w:val="30BC5BDF"/>
    <w:rsid w:val="30D1C8DE"/>
    <w:rsid w:val="30E55038"/>
    <w:rsid w:val="30EFC656"/>
    <w:rsid w:val="30F2BE25"/>
    <w:rsid w:val="30FA740B"/>
    <w:rsid w:val="31092087"/>
    <w:rsid w:val="311F4F66"/>
    <w:rsid w:val="3129C78A"/>
    <w:rsid w:val="313DA882"/>
    <w:rsid w:val="3151302A"/>
    <w:rsid w:val="3165BF5E"/>
    <w:rsid w:val="316B2DCC"/>
    <w:rsid w:val="31793CDA"/>
    <w:rsid w:val="3189209E"/>
    <w:rsid w:val="319E716A"/>
    <w:rsid w:val="31E18722"/>
    <w:rsid w:val="31ED1696"/>
    <w:rsid w:val="320D9406"/>
    <w:rsid w:val="3239C036"/>
    <w:rsid w:val="323AE945"/>
    <w:rsid w:val="323CCE3A"/>
    <w:rsid w:val="3292A65A"/>
    <w:rsid w:val="3297980F"/>
    <w:rsid w:val="32982BA2"/>
    <w:rsid w:val="329A76FC"/>
    <w:rsid w:val="32DB2DC5"/>
    <w:rsid w:val="330369F4"/>
    <w:rsid w:val="332443BC"/>
    <w:rsid w:val="332BEBAF"/>
    <w:rsid w:val="33BE0825"/>
    <w:rsid w:val="33C35612"/>
    <w:rsid w:val="33E9FF05"/>
    <w:rsid w:val="3410C66C"/>
    <w:rsid w:val="344FB438"/>
    <w:rsid w:val="348564F7"/>
    <w:rsid w:val="34A9F2F3"/>
    <w:rsid w:val="34EF1B54"/>
    <w:rsid w:val="35053802"/>
    <w:rsid w:val="3574FB24"/>
    <w:rsid w:val="35784ED0"/>
    <w:rsid w:val="35E2628A"/>
    <w:rsid w:val="35F63930"/>
    <w:rsid w:val="360DDF3F"/>
    <w:rsid w:val="36574746"/>
    <w:rsid w:val="365DFA9A"/>
    <w:rsid w:val="366201CC"/>
    <w:rsid w:val="367EFEC9"/>
    <w:rsid w:val="3680C5BE"/>
    <w:rsid w:val="368206A3"/>
    <w:rsid w:val="36968850"/>
    <w:rsid w:val="36A0D439"/>
    <w:rsid w:val="36B9C723"/>
    <w:rsid w:val="36BE0FFB"/>
    <w:rsid w:val="3747BD54"/>
    <w:rsid w:val="374823A0"/>
    <w:rsid w:val="375CF43A"/>
    <w:rsid w:val="37602E41"/>
    <w:rsid w:val="37696DBB"/>
    <w:rsid w:val="3786990C"/>
    <w:rsid w:val="378B0223"/>
    <w:rsid w:val="37D81396"/>
    <w:rsid w:val="37E38E0E"/>
    <w:rsid w:val="381FB9D3"/>
    <w:rsid w:val="382EFD59"/>
    <w:rsid w:val="3837C1A7"/>
    <w:rsid w:val="385121C9"/>
    <w:rsid w:val="38AB16D8"/>
    <w:rsid w:val="38B5DA51"/>
    <w:rsid w:val="38FB28BE"/>
    <w:rsid w:val="391D6479"/>
    <w:rsid w:val="395B11CC"/>
    <w:rsid w:val="395C42AE"/>
    <w:rsid w:val="398CB112"/>
    <w:rsid w:val="399D924B"/>
    <w:rsid w:val="39CE7373"/>
    <w:rsid w:val="3A48295A"/>
    <w:rsid w:val="3A95A133"/>
    <w:rsid w:val="3A9E08B8"/>
    <w:rsid w:val="3AD1E471"/>
    <w:rsid w:val="3AFDB4BE"/>
    <w:rsid w:val="3B0A427C"/>
    <w:rsid w:val="3B193477"/>
    <w:rsid w:val="3B2A7668"/>
    <w:rsid w:val="3B34572D"/>
    <w:rsid w:val="3B59EA47"/>
    <w:rsid w:val="3B66D7CF"/>
    <w:rsid w:val="3B6F87EE"/>
    <w:rsid w:val="3B84D681"/>
    <w:rsid w:val="3B9894B9"/>
    <w:rsid w:val="3BAF725B"/>
    <w:rsid w:val="3BCA3850"/>
    <w:rsid w:val="3BD615BB"/>
    <w:rsid w:val="3BE325E1"/>
    <w:rsid w:val="3BE3670A"/>
    <w:rsid w:val="3BE39445"/>
    <w:rsid w:val="3C0077E5"/>
    <w:rsid w:val="3C200465"/>
    <w:rsid w:val="3C657AB4"/>
    <w:rsid w:val="3CBE046B"/>
    <w:rsid w:val="3CD040E5"/>
    <w:rsid w:val="3CF213F5"/>
    <w:rsid w:val="3D5866B6"/>
    <w:rsid w:val="3D7B8BB6"/>
    <w:rsid w:val="3D9B68A1"/>
    <w:rsid w:val="3DB75A36"/>
    <w:rsid w:val="3DCC7100"/>
    <w:rsid w:val="3DD0B76E"/>
    <w:rsid w:val="3DDA924D"/>
    <w:rsid w:val="3DFD59F0"/>
    <w:rsid w:val="3E014B15"/>
    <w:rsid w:val="3E0F2453"/>
    <w:rsid w:val="3E103818"/>
    <w:rsid w:val="3E2095EB"/>
    <w:rsid w:val="3E3A1247"/>
    <w:rsid w:val="3E6E3707"/>
    <w:rsid w:val="3E804973"/>
    <w:rsid w:val="3E82E686"/>
    <w:rsid w:val="3EAB7AEE"/>
    <w:rsid w:val="3ECFC53B"/>
    <w:rsid w:val="3ED38724"/>
    <w:rsid w:val="3F1A585C"/>
    <w:rsid w:val="3F381793"/>
    <w:rsid w:val="3F420F1E"/>
    <w:rsid w:val="3F480CBF"/>
    <w:rsid w:val="3F6C3F20"/>
    <w:rsid w:val="3F75E263"/>
    <w:rsid w:val="3F8238E4"/>
    <w:rsid w:val="3FD87BFC"/>
    <w:rsid w:val="3FEF43D8"/>
    <w:rsid w:val="40051236"/>
    <w:rsid w:val="4024C268"/>
    <w:rsid w:val="405924BB"/>
    <w:rsid w:val="408893A0"/>
    <w:rsid w:val="40A9414A"/>
    <w:rsid w:val="40C285B4"/>
    <w:rsid w:val="40E66382"/>
    <w:rsid w:val="4127FAB0"/>
    <w:rsid w:val="41393F9D"/>
    <w:rsid w:val="413F32C4"/>
    <w:rsid w:val="4172638C"/>
    <w:rsid w:val="41C1C262"/>
    <w:rsid w:val="41D0A777"/>
    <w:rsid w:val="41D15370"/>
    <w:rsid w:val="41F50175"/>
    <w:rsid w:val="4202CAEF"/>
    <w:rsid w:val="4204F3D3"/>
    <w:rsid w:val="420B27E6"/>
    <w:rsid w:val="420FB5DD"/>
    <w:rsid w:val="421974C8"/>
    <w:rsid w:val="4228F181"/>
    <w:rsid w:val="423B8339"/>
    <w:rsid w:val="4247051C"/>
    <w:rsid w:val="42492566"/>
    <w:rsid w:val="427B55D6"/>
    <w:rsid w:val="4288CEAB"/>
    <w:rsid w:val="42C52D2F"/>
    <w:rsid w:val="42E40609"/>
    <w:rsid w:val="4305DE56"/>
    <w:rsid w:val="430790B1"/>
    <w:rsid w:val="432EE4C4"/>
    <w:rsid w:val="437C1243"/>
    <w:rsid w:val="437EDCC8"/>
    <w:rsid w:val="43996C35"/>
    <w:rsid w:val="43C3FEA1"/>
    <w:rsid w:val="43C9C046"/>
    <w:rsid w:val="43D507AA"/>
    <w:rsid w:val="440D440B"/>
    <w:rsid w:val="44262906"/>
    <w:rsid w:val="449E1000"/>
    <w:rsid w:val="44B1C718"/>
    <w:rsid w:val="44B92A1C"/>
    <w:rsid w:val="44BE228C"/>
    <w:rsid w:val="44F1DD8C"/>
    <w:rsid w:val="453187AB"/>
    <w:rsid w:val="45461FFD"/>
    <w:rsid w:val="4568DAC4"/>
    <w:rsid w:val="45C28F38"/>
    <w:rsid w:val="45C52BA8"/>
    <w:rsid w:val="460DC279"/>
    <w:rsid w:val="463BEA32"/>
    <w:rsid w:val="468183AA"/>
    <w:rsid w:val="46D97856"/>
    <w:rsid w:val="46F1FD63"/>
    <w:rsid w:val="472F81B7"/>
    <w:rsid w:val="47414528"/>
    <w:rsid w:val="4767FCB5"/>
    <w:rsid w:val="476F4461"/>
    <w:rsid w:val="479DF201"/>
    <w:rsid w:val="47C8E69C"/>
    <w:rsid w:val="47CE09E6"/>
    <w:rsid w:val="47CFC0B3"/>
    <w:rsid w:val="47D14BE1"/>
    <w:rsid w:val="483511EA"/>
    <w:rsid w:val="487F4F4A"/>
    <w:rsid w:val="48B010F7"/>
    <w:rsid w:val="48BFD7E5"/>
    <w:rsid w:val="48C029A7"/>
    <w:rsid w:val="48C6869D"/>
    <w:rsid w:val="48DB6B05"/>
    <w:rsid w:val="49067456"/>
    <w:rsid w:val="49440A07"/>
    <w:rsid w:val="49556A49"/>
    <w:rsid w:val="495DCF1D"/>
    <w:rsid w:val="49708942"/>
    <w:rsid w:val="497BD077"/>
    <w:rsid w:val="497D9BA3"/>
    <w:rsid w:val="4983CBC4"/>
    <w:rsid w:val="49902D9A"/>
    <w:rsid w:val="49A27FE3"/>
    <w:rsid w:val="49BE6047"/>
    <w:rsid w:val="49F797F3"/>
    <w:rsid w:val="4A21EE4E"/>
    <w:rsid w:val="4A4665A5"/>
    <w:rsid w:val="4A4C586F"/>
    <w:rsid w:val="4A729E36"/>
    <w:rsid w:val="4A89E911"/>
    <w:rsid w:val="4AB2830F"/>
    <w:rsid w:val="4ABF67A1"/>
    <w:rsid w:val="4AD592C3"/>
    <w:rsid w:val="4AEC0440"/>
    <w:rsid w:val="4AFCF2B2"/>
    <w:rsid w:val="4B09FCBE"/>
    <w:rsid w:val="4B2D3BBA"/>
    <w:rsid w:val="4B31529A"/>
    <w:rsid w:val="4B3C7E53"/>
    <w:rsid w:val="4B500F6A"/>
    <w:rsid w:val="4B6078C7"/>
    <w:rsid w:val="4B8A7FC7"/>
    <w:rsid w:val="4B9B0CDE"/>
    <w:rsid w:val="4BA7986B"/>
    <w:rsid w:val="4C0A9DEF"/>
    <w:rsid w:val="4C108941"/>
    <w:rsid w:val="4C20C144"/>
    <w:rsid w:val="4C4B5CAC"/>
    <w:rsid w:val="4C874E38"/>
    <w:rsid w:val="4C9E6C79"/>
    <w:rsid w:val="4CCD22FB"/>
    <w:rsid w:val="4CDE31B0"/>
    <w:rsid w:val="4CF0D0AA"/>
    <w:rsid w:val="4D4CBA93"/>
    <w:rsid w:val="4D5824F8"/>
    <w:rsid w:val="4D787A2F"/>
    <w:rsid w:val="4DA205FD"/>
    <w:rsid w:val="4DA728BF"/>
    <w:rsid w:val="4DF6C08F"/>
    <w:rsid w:val="4E196B1D"/>
    <w:rsid w:val="4E19F886"/>
    <w:rsid w:val="4E1D186E"/>
    <w:rsid w:val="4E34678B"/>
    <w:rsid w:val="4E55DB7B"/>
    <w:rsid w:val="4E755156"/>
    <w:rsid w:val="4E77F4F5"/>
    <w:rsid w:val="4E79BAFA"/>
    <w:rsid w:val="4EF1CA4A"/>
    <w:rsid w:val="4EF3F559"/>
    <w:rsid w:val="4EFA281E"/>
    <w:rsid w:val="4F399342"/>
    <w:rsid w:val="4F3D0E7E"/>
    <w:rsid w:val="4F419399"/>
    <w:rsid w:val="4F4C13C3"/>
    <w:rsid w:val="4F7FBA50"/>
    <w:rsid w:val="4FB0AD56"/>
    <w:rsid w:val="4FD833FD"/>
    <w:rsid w:val="503777FC"/>
    <w:rsid w:val="5048DBF6"/>
    <w:rsid w:val="50D90F47"/>
    <w:rsid w:val="51722950"/>
    <w:rsid w:val="518A8438"/>
    <w:rsid w:val="518F7B25"/>
    <w:rsid w:val="51B32807"/>
    <w:rsid w:val="51C207B8"/>
    <w:rsid w:val="51D837EF"/>
    <w:rsid w:val="51F54F4D"/>
    <w:rsid w:val="51FA1D50"/>
    <w:rsid w:val="520AD98E"/>
    <w:rsid w:val="522755C1"/>
    <w:rsid w:val="52312276"/>
    <w:rsid w:val="524095C8"/>
    <w:rsid w:val="5251A466"/>
    <w:rsid w:val="528054FA"/>
    <w:rsid w:val="52E876AC"/>
    <w:rsid w:val="52FAEB63"/>
    <w:rsid w:val="52FB480B"/>
    <w:rsid w:val="530B483D"/>
    <w:rsid w:val="530FBD06"/>
    <w:rsid w:val="532CE9BE"/>
    <w:rsid w:val="5331B831"/>
    <w:rsid w:val="53358C13"/>
    <w:rsid w:val="5353D80A"/>
    <w:rsid w:val="53562898"/>
    <w:rsid w:val="5357670E"/>
    <w:rsid w:val="53740850"/>
    <w:rsid w:val="53808EB6"/>
    <w:rsid w:val="5393D555"/>
    <w:rsid w:val="53F9E08E"/>
    <w:rsid w:val="540F39CF"/>
    <w:rsid w:val="542B294F"/>
    <w:rsid w:val="54542091"/>
    <w:rsid w:val="54C15AD6"/>
    <w:rsid w:val="54CD5CE5"/>
    <w:rsid w:val="5511E09F"/>
    <w:rsid w:val="551FC5CD"/>
    <w:rsid w:val="5526E9BC"/>
    <w:rsid w:val="55271875"/>
    <w:rsid w:val="55832E23"/>
    <w:rsid w:val="55C09678"/>
    <w:rsid w:val="55CA82B7"/>
    <w:rsid w:val="56807BE3"/>
    <w:rsid w:val="56957C99"/>
    <w:rsid w:val="56B1104F"/>
    <w:rsid w:val="56B2CF1D"/>
    <w:rsid w:val="56DA566C"/>
    <w:rsid w:val="571A8CEB"/>
    <w:rsid w:val="572F940A"/>
    <w:rsid w:val="5736ABF2"/>
    <w:rsid w:val="578A35B4"/>
    <w:rsid w:val="57C5792F"/>
    <w:rsid w:val="57C7D7C7"/>
    <w:rsid w:val="582121A7"/>
    <w:rsid w:val="5822EEE1"/>
    <w:rsid w:val="58289162"/>
    <w:rsid w:val="5830A186"/>
    <w:rsid w:val="5865D881"/>
    <w:rsid w:val="5868155E"/>
    <w:rsid w:val="58810D3D"/>
    <w:rsid w:val="58816701"/>
    <w:rsid w:val="5887E207"/>
    <w:rsid w:val="5890B2C2"/>
    <w:rsid w:val="58BA53B0"/>
    <w:rsid w:val="58D0AB58"/>
    <w:rsid w:val="58D33BA7"/>
    <w:rsid w:val="58F271F1"/>
    <w:rsid w:val="5913D158"/>
    <w:rsid w:val="59426271"/>
    <w:rsid w:val="597C2E4B"/>
    <w:rsid w:val="59C2C9B3"/>
    <w:rsid w:val="5A3930FB"/>
    <w:rsid w:val="5A4ACC33"/>
    <w:rsid w:val="5A53FBED"/>
    <w:rsid w:val="5A55CCBA"/>
    <w:rsid w:val="5A580E32"/>
    <w:rsid w:val="5A6483AC"/>
    <w:rsid w:val="5A80ED1A"/>
    <w:rsid w:val="5A958831"/>
    <w:rsid w:val="5A9A6AD3"/>
    <w:rsid w:val="5AA05F20"/>
    <w:rsid w:val="5AA5B88E"/>
    <w:rsid w:val="5ABAB6F5"/>
    <w:rsid w:val="5AE4924E"/>
    <w:rsid w:val="5B010E96"/>
    <w:rsid w:val="5B0360C3"/>
    <w:rsid w:val="5B47E341"/>
    <w:rsid w:val="5B87B65C"/>
    <w:rsid w:val="5BA9D3B5"/>
    <w:rsid w:val="5BD1F1FC"/>
    <w:rsid w:val="5C08B965"/>
    <w:rsid w:val="5C53666F"/>
    <w:rsid w:val="5C5CFFC2"/>
    <w:rsid w:val="5C7241AA"/>
    <w:rsid w:val="5C777893"/>
    <w:rsid w:val="5CA2E45F"/>
    <w:rsid w:val="5CE49A56"/>
    <w:rsid w:val="5CF66004"/>
    <w:rsid w:val="5CF8A3F6"/>
    <w:rsid w:val="5CFC12FD"/>
    <w:rsid w:val="5D01038E"/>
    <w:rsid w:val="5D2D2EA4"/>
    <w:rsid w:val="5D3DE29B"/>
    <w:rsid w:val="5D70EC92"/>
    <w:rsid w:val="5D8554F5"/>
    <w:rsid w:val="5DA5D493"/>
    <w:rsid w:val="5DADF1D4"/>
    <w:rsid w:val="5DBDE15B"/>
    <w:rsid w:val="5DD2F2D8"/>
    <w:rsid w:val="5DE12E07"/>
    <w:rsid w:val="5E40014A"/>
    <w:rsid w:val="5E6DDC4F"/>
    <w:rsid w:val="5E923065"/>
    <w:rsid w:val="5E9C9A44"/>
    <w:rsid w:val="5EA3C199"/>
    <w:rsid w:val="5EF585F7"/>
    <w:rsid w:val="5F09089F"/>
    <w:rsid w:val="5F2A6B6B"/>
    <w:rsid w:val="5F3C2C95"/>
    <w:rsid w:val="5F431F0F"/>
    <w:rsid w:val="5F78197B"/>
    <w:rsid w:val="5F847F6A"/>
    <w:rsid w:val="5F91558D"/>
    <w:rsid w:val="5FEDCF65"/>
    <w:rsid w:val="6038D44D"/>
    <w:rsid w:val="605B6A1D"/>
    <w:rsid w:val="60735089"/>
    <w:rsid w:val="60D130D4"/>
    <w:rsid w:val="60DCAE36"/>
    <w:rsid w:val="615797D7"/>
    <w:rsid w:val="61AF2470"/>
    <w:rsid w:val="61BA055E"/>
    <w:rsid w:val="61CFE314"/>
    <w:rsid w:val="6207282E"/>
    <w:rsid w:val="620F20EA"/>
    <w:rsid w:val="621CA873"/>
    <w:rsid w:val="621CCEE6"/>
    <w:rsid w:val="623F6404"/>
    <w:rsid w:val="62413380"/>
    <w:rsid w:val="62538D00"/>
    <w:rsid w:val="6254C616"/>
    <w:rsid w:val="62601E68"/>
    <w:rsid w:val="62787E97"/>
    <w:rsid w:val="628536FA"/>
    <w:rsid w:val="62C8F64F"/>
    <w:rsid w:val="62F9AA2D"/>
    <w:rsid w:val="6353E8CE"/>
    <w:rsid w:val="63649F54"/>
    <w:rsid w:val="638AC574"/>
    <w:rsid w:val="63A00084"/>
    <w:rsid w:val="63DD03E1"/>
    <w:rsid w:val="643A2CE3"/>
    <w:rsid w:val="644A4614"/>
    <w:rsid w:val="644A6981"/>
    <w:rsid w:val="645F7FCB"/>
    <w:rsid w:val="647189B9"/>
    <w:rsid w:val="648EBA51"/>
    <w:rsid w:val="6490B9B0"/>
    <w:rsid w:val="64D7EA3E"/>
    <w:rsid w:val="64DDEE0E"/>
    <w:rsid w:val="64EED3D3"/>
    <w:rsid w:val="650538C8"/>
    <w:rsid w:val="65378D9E"/>
    <w:rsid w:val="653B0459"/>
    <w:rsid w:val="65418CB0"/>
    <w:rsid w:val="654494AB"/>
    <w:rsid w:val="656A1937"/>
    <w:rsid w:val="6589FA86"/>
    <w:rsid w:val="65AA7107"/>
    <w:rsid w:val="65BB73CF"/>
    <w:rsid w:val="65D7F4D9"/>
    <w:rsid w:val="65FE23FE"/>
    <w:rsid w:val="6611CB78"/>
    <w:rsid w:val="664A7658"/>
    <w:rsid w:val="66557E3C"/>
    <w:rsid w:val="666E542F"/>
    <w:rsid w:val="66AC2C10"/>
    <w:rsid w:val="66D7CDF3"/>
    <w:rsid w:val="66FBC542"/>
    <w:rsid w:val="6710F9A3"/>
    <w:rsid w:val="673F0FA1"/>
    <w:rsid w:val="67439D50"/>
    <w:rsid w:val="676122E2"/>
    <w:rsid w:val="67A8DCEC"/>
    <w:rsid w:val="67DB6891"/>
    <w:rsid w:val="6814DB1C"/>
    <w:rsid w:val="68209E05"/>
    <w:rsid w:val="6839B539"/>
    <w:rsid w:val="683CC906"/>
    <w:rsid w:val="6847402A"/>
    <w:rsid w:val="6847CDA1"/>
    <w:rsid w:val="68C3FBAD"/>
    <w:rsid w:val="68C5950C"/>
    <w:rsid w:val="68DD95BD"/>
    <w:rsid w:val="69209498"/>
    <w:rsid w:val="6930FBA3"/>
    <w:rsid w:val="6944AD4D"/>
    <w:rsid w:val="696558C1"/>
    <w:rsid w:val="6971EA5F"/>
    <w:rsid w:val="69A40E2B"/>
    <w:rsid w:val="69B2473C"/>
    <w:rsid w:val="69DC4A2D"/>
    <w:rsid w:val="69F002AC"/>
    <w:rsid w:val="6A0E757C"/>
    <w:rsid w:val="6A4C808F"/>
    <w:rsid w:val="6A590E70"/>
    <w:rsid w:val="6A76DF1D"/>
    <w:rsid w:val="6A85FE5C"/>
    <w:rsid w:val="6A8D04A4"/>
    <w:rsid w:val="6A9CEC6D"/>
    <w:rsid w:val="6AA0CF15"/>
    <w:rsid w:val="6AC3B582"/>
    <w:rsid w:val="6AC9CD6C"/>
    <w:rsid w:val="6B023549"/>
    <w:rsid w:val="6B1FDFD9"/>
    <w:rsid w:val="6B68EC0B"/>
    <w:rsid w:val="6B6EE8EF"/>
    <w:rsid w:val="6B74442C"/>
    <w:rsid w:val="6B80F259"/>
    <w:rsid w:val="6BAD216E"/>
    <w:rsid w:val="6C11E818"/>
    <w:rsid w:val="6C5B4955"/>
    <w:rsid w:val="6C78355A"/>
    <w:rsid w:val="6CA9E97A"/>
    <w:rsid w:val="6CBC7F9F"/>
    <w:rsid w:val="6CDA3F7C"/>
    <w:rsid w:val="6CE847B8"/>
    <w:rsid w:val="6D0B92DF"/>
    <w:rsid w:val="6D1EE671"/>
    <w:rsid w:val="6D313459"/>
    <w:rsid w:val="6D3A5943"/>
    <w:rsid w:val="6D48F1CF"/>
    <w:rsid w:val="6D4A4572"/>
    <w:rsid w:val="6D4A7E7E"/>
    <w:rsid w:val="6D8BD3AD"/>
    <w:rsid w:val="6D8C2646"/>
    <w:rsid w:val="6DC147B6"/>
    <w:rsid w:val="6DC6941E"/>
    <w:rsid w:val="6DE735CA"/>
    <w:rsid w:val="6E217F5A"/>
    <w:rsid w:val="6E2A155F"/>
    <w:rsid w:val="6E320046"/>
    <w:rsid w:val="6E6BA7F7"/>
    <w:rsid w:val="6E8A5318"/>
    <w:rsid w:val="6E96ABD6"/>
    <w:rsid w:val="6EFB7BE0"/>
    <w:rsid w:val="6F094662"/>
    <w:rsid w:val="6F636A4D"/>
    <w:rsid w:val="6F77C30C"/>
    <w:rsid w:val="6F8F45B9"/>
    <w:rsid w:val="6FA78F82"/>
    <w:rsid w:val="6FAB0BFF"/>
    <w:rsid w:val="6FBE8BFB"/>
    <w:rsid w:val="6FC410A3"/>
    <w:rsid w:val="6FE7E1EB"/>
    <w:rsid w:val="70321F3F"/>
    <w:rsid w:val="7036548C"/>
    <w:rsid w:val="703C3620"/>
    <w:rsid w:val="70549339"/>
    <w:rsid w:val="705F4430"/>
    <w:rsid w:val="7063B7A8"/>
    <w:rsid w:val="70729A50"/>
    <w:rsid w:val="70B1053C"/>
    <w:rsid w:val="70D76709"/>
    <w:rsid w:val="70E835E3"/>
    <w:rsid w:val="70EBB910"/>
    <w:rsid w:val="711BEFC5"/>
    <w:rsid w:val="718C3D4E"/>
    <w:rsid w:val="7229CAC5"/>
    <w:rsid w:val="722A7AA3"/>
    <w:rsid w:val="7239CA79"/>
    <w:rsid w:val="7239EB1F"/>
    <w:rsid w:val="725F44D0"/>
    <w:rsid w:val="725F9769"/>
    <w:rsid w:val="7263C5B3"/>
    <w:rsid w:val="7263C82F"/>
    <w:rsid w:val="7266F80F"/>
    <w:rsid w:val="72AC4AF8"/>
    <w:rsid w:val="7303A414"/>
    <w:rsid w:val="730FB320"/>
    <w:rsid w:val="731C9CAA"/>
    <w:rsid w:val="735DC43B"/>
    <w:rsid w:val="73B83353"/>
    <w:rsid w:val="73FFE8BA"/>
    <w:rsid w:val="74035550"/>
    <w:rsid w:val="74320BD2"/>
    <w:rsid w:val="74391FE5"/>
    <w:rsid w:val="744B48D7"/>
    <w:rsid w:val="74581B01"/>
    <w:rsid w:val="745B2545"/>
    <w:rsid w:val="745EB57A"/>
    <w:rsid w:val="74AAA2D9"/>
    <w:rsid w:val="74E8FB90"/>
    <w:rsid w:val="74F9949C"/>
    <w:rsid w:val="750485D8"/>
    <w:rsid w:val="75667D20"/>
    <w:rsid w:val="7597B6DA"/>
    <w:rsid w:val="759F25B1"/>
    <w:rsid w:val="75A50FB8"/>
    <w:rsid w:val="75ADD0E6"/>
    <w:rsid w:val="75B65FF2"/>
    <w:rsid w:val="75DDC02C"/>
    <w:rsid w:val="75E4715C"/>
    <w:rsid w:val="75E70490"/>
    <w:rsid w:val="75FA7AFA"/>
    <w:rsid w:val="76114913"/>
    <w:rsid w:val="7616D106"/>
    <w:rsid w:val="762C2336"/>
    <w:rsid w:val="763EF805"/>
    <w:rsid w:val="764B421C"/>
    <w:rsid w:val="765A3703"/>
    <w:rsid w:val="765F56F4"/>
    <w:rsid w:val="767134A9"/>
    <w:rsid w:val="76725884"/>
    <w:rsid w:val="767288A0"/>
    <w:rsid w:val="7682BE9A"/>
    <w:rsid w:val="7703ECCA"/>
    <w:rsid w:val="7714EB17"/>
    <w:rsid w:val="773A6932"/>
    <w:rsid w:val="776AE10C"/>
    <w:rsid w:val="77801ED7"/>
    <w:rsid w:val="77850A73"/>
    <w:rsid w:val="778A09FE"/>
    <w:rsid w:val="77A7F031"/>
    <w:rsid w:val="77B44463"/>
    <w:rsid w:val="77C05EA3"/>
    <w:rsid w:val="77E7127D"/>
    <w:rsid w:val="77EBEC5D"/>
    <w:rsid w:val="77F5944D"/>
    <w:rsid w:val="783B2214"/>
    <w:rsid w:val="785871FE"/>
    <w:rsid w:val="7889C90B"/>
    <w:rsid w:val="788E326B"/>
    <w:rsid w:val="7916EE73"/>
    <w:rsid w:val="797BCE94"/>
    <w:rsid w:val="797E38BF"/>
    <w:rsid w:val="79A9276C"/>
    <w:rsid w:val="79B68FDD"/>
    <w:rsid w:val="79F21025"/>
    <w:rsid w:val="79F6EE56"/>
    <w:rsid w:val="7A174A09"/>
    <w:rsid w:val="7A1F1BC2"/>
    <w:rsid w:val="7A28F633"/>
    <w:rsid w:val="7A38441F"/>
    <w:rsid w:val="7A3A4AA9"/>
    <w:rsid w:val="7A436F2F"/>
    <w:rsid w:val="7A584228"/>
    <w:rsid w:val="7A619CA4"/>
    <w:rsid w:val="7A7296D4"/>
    <w:rsid w:val="7A85324F"/>
    <w:rsid w:val="7A8712F6"/>
    <w:rsid w:val="7AAF2120"/>
    <w:rsid w:val="7AB1123E"/>
    <w:rsid w:val="7AC57D8B"/>
    <w:rsid w:val="7AD071A2"/>
    <w:rsid w:val="7AED84BC"/>
    <w:rsid w:val="7B515153"/>
    <w:rsid w:val="7B95299B"/>
    <w:rsid w:val="7B958956"/>
    <w:rsid w:val="7B97C12C"/>
    <w:rsid w:val="7BCEDF3E"/>
    <w:rsid w:val="7BD2F41B"/>
    <w:rsid w:val="7C0E6735"/>
    <w:rsid w:val="7C2935DF"/>
    <w:rsid w:val="7C2AA59F"/>
    <w:rsid w:val="7C3D1DB7"/>
    <w:rsid w:val="7C46E564"/>
    <w:rsid w:val="7C5F5D09"/>
    <w:rsid w:val="7C677438"/>
    <w:rsid w:val="7C9840A0"/>
    <w:rsid w:val="7CA339AE"/>
    <w:rsid w:val="7CCE551D"/>
    <w:rsid w:val="7CDDF883"/>
    <w:rsid w:val="7D0C9407"/>
    <w:rsid w:val="7D37F4BD"/>
    <w:rsid w:val="7D45B4BE"/>
    <w:rsid w:val="7D64B952"/>
    <w:rsid w:val="7D940D68"/>
    <w:rsid w:val="7DAFA32C"/>
    <w:rsid w:val="7DD22A2C"/>
    <w:rsid w:val="7E08F5B8"/>
    <w:rsid w:val="7E0F1A53"/>
    <w:rsid w:val="7E29BA46"/>
    <w:rsid w:val="7E47BE85"/>
    <w:rsid w:val="7E528F96"/>
    <w:rsid w:val="7E5499DA"/>
    <w:rsid w:val="7E568F2D"/>
    <w:rsid w:val="7E7096AD"/>
    <w:rsid w:val="7E7B2C8E"/>
    <w:rsid w:val="7E9F922B"/>
    <w:rsid w:val="7F0D59CD"/>
    <w:rsid w:val="7F0DA10C"/>
    <w:rsid w:val="7F0FB8A9"/>
    <w:rsid w:val="7F1CB5BE"/>
    <w:rsid w:val="7F2F9342"/>
    <w:rsid w:val="7F31CE31"/>
    <w:rsid w:val="7F4C6DBA"/>
    <w:rsid w:val="7FF434A3"/>
    <w:rsid w:val="7FF98D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7E1"/>
  <w15:docId w15:val="{B415CCB0-A683-4BC3-AA27-176B52F2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EA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F525A9"/>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7370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85212"/>
    <w:pPr>
      <w:keepNext/>
      <w:keepLines/>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A0A4A"/>
    <w:pPr>
      <w:keepNext/>
      <w:keepLines/>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paragraph" w:customStyle="1" w:styleId="HeaderFooter">
    <w:name w:val="Header &amp; Footer"/>
    <w:rsid w:val="00D13BE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D13BEF"/>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paragraph" w:styleId="Header">
    <w:name w:val="header"/>
    <w:basedOn w:val="Normal"/>
    <w:link w:val="HeaderChar"/>
    <w:unhideWhenUsed/>
    <w:rsid w:val="007C0AA4"/>
    <w:pPr>
      <w:tabs>
        <w:tab w:val="center" w:pos="4680"/>
        <w:tab w:val="right" w:pos="9360"/>
      </w:tabs>
    </w:pPr>
    <w:rPr>
      <w:rFonts w:asciiTheme="minorHAnsi" w:eastAsiaTheme="minorHAnsi" w:hAnsiTheme="minorHAnsi" w:cstheme="minorBidi"/>
      <w:sz w:val="22"/>
      <w:szCs w:val="22"/>
    </w:r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yperlink0">
    <w:name w:val="Hyperlink.0"/>
    <w:basedOn w:val="Hyperlink"/>
    <w:rPr>
      <w:strike w:val="0"/>
      <w:dstrike w:val="0"/>
      <w:outline w:val="0"/>
      <w:color w:val="0000FF"/>
      <w:u w:val="single" w:color="0000FF"/>
      <w:effect w:val="none"/>
      <w:shd w:val="clear" w:color="auto" w:fill="auto"/>
    </w:rPr>
  </w:style>
  <w:style w:type="paragraph" w:styleId="ListParagraph">
    <w:name w:val="List Paragraph"/>
    <w:aliases w:val="list,List1"/>
    <w:link w:val="ListParagraphChar"/>
    <w:qFormat/>
    <w:pPr>
      <w:ind w:left="720"/>
    </w:pPr>
    <w:rPr>
      <w:rFonts w:ascii="Arial" w:hAnsi="Arial" w:cs="Arial Unicode MS"/>
      <w:color w:val="000000"/>
      <w:sz w:val="24"/>
      <w:szCs w:val="24"/>
      <w:u w:color="000000"/>
    </w:rPr>
  </w:style>
  <w:style w:type="numbering" w:customStyle="1" w:styleId="ImportedStyle1">
    <w:name w:val="Imported Style 1"/>
    <w:rsid w:val="00D13BEF"/>
    <w:pPr>
      <w:numPr>
        <w:numId w:val="17"/>
      </w:numPr>
    </w:pPr>
  </w:style>
  <w:style w:type="paragraph" w:styleId="BodyText">
    <w:name w:val="Body Text"/>
    <w:basedOn w:val="Normal"/>
    <w:link w:val="BodyTextChar"/>
    <w:rsid w:val="00D844A7"/>
    <w:pPr>
      <w:spacing w:after="120"/>
    </w:pPr>
  </w:style>
  <w:style w:type="paragraph" w:styleId="ListBullet">
    <w:name w:val="List Bullet"/>
    <w:uiPriority w:val="99"/>
    <w:pPr>
      <w:numPr>
        <w:numId w:val="28"/>
      </w:numPr>
      <w:tabs>
        <w:tab w:val="left" w:pos="360"/>
      </w:tabs>
    </w:pPr>
    <w:rPr>
      <w:rFonts w:ascii="Arial" w:hAnsi="Arial" w:cs="Arial Unicode MS"/>
      <w:color w:val="000000"/>
      <w:u w:color="000000"/>
    </w:rPr>
  </w:style>
  <w:style w:type="numbering" w:customStyle="1" w:styleId="ImportedStyle2">
    <w:name w:val="Imported Style 2"/>
    <w:rsid w:val="00D13BEF"/>
    <w:pPr>
      <w:numPr>
        <w:numId w:val="19"/>
      </w:numPr>
    </w:pPr>
  </w:style>
  <w:style w:type="numbering" w:customStyle="1" w:styleId="ImportedStyle3">
    <w:name w:val="Imported Style 3"/>
    <w:rsid w:val="00D13BEF"/>
    <w:pPr>
      <w:numPr>
        <w:numId w:val="21"/>
      </w:numPr>
    </w:pPr>
  </w:style>
  <w:style w:type="character" w:customStyle="1" w:styleId="Hyperlink1">
    <w:name w:val="Hyperlink.1"/>
    <w:basedOn w:val="Hyperlink0"/>
    <w:rPr>
      <w:strike w:val="0"/>
      <w:dstrike w:val="0"/>
      <w:outline w:val="0"/>
      <w:color w:val="0000FF"/>
      <w:spacing w:val="0"/>
      <w:u w:val="single" w:color="0000FF"/>
      <w:effect w:val="none"/>
      <w:shd w:val="clear" w:color="auto" w:fill="auto"/>
    </w:rPr>
  </w:style>
  <w:style w:type="numbering" w:customStyle="1" w:styleId="ImportedStyle4">
    <w:name w:val="Imported Style 4"/>
    <w:rsid w:val="00D13BEF"/>
    <w:pPr>
      <w:numPr>
        <w:numId w:val="23"/>
      </w:numPr>
    </w:pPr>
  </w:style>
  <w:style w:type="numbering" w:customStyle="1" w:styleId="ImportedStyle40">
    <w:name w:val="Imported Style 4.0"/>
    <w:rsid w:val="00D13BEF"/>
    <w:pPr>
      <w:numPr>
        <w:numId w:val="26"/>
      </w:numPr>
    </w:pPr>
  </w:style>
  <w:style w:type="character" w:customStyle="1" w:styleId="Hyperlink2">
    <w:name w:val="Hyperlink.2"/>
    <w:basedOn w:val="Hyperlink0"/>
    <w:rPr>
      <w:rFonts w:ascii="Arial" w:eastAsia="Arial" w:hAnsi="Arial" w:cs="Arial"/>
      <w:strike w:val="0"/>
      <w:dstrike w:val="0"/>
      <w:outline w:val="0"/>
      <w:color w:val="0000FF"/>
      <w:u w:val="single" w:color="0000FF"/>
      <w:effect w:val="none"/>
      <w:shd w:val="clear" w:color="auto" w:fill="auto"/>
    </w:rPr>
  </w:style>
  <w:style w:type="character" w:customStyle="1" w:styleId="Hyperlink3">
    <w:name w:val="Hyperlink.3"/>
    <w:basedOn w:val="Hyperlink0"/>
    <w:rPr>
      <w:rFonts w:ascii="Arial" w:eastAsia="Arial" w:hAnsi="Arial" w:cs="Arial"/>
      <w:strike w:val="0"/>
      <w:dstrike w:val="0"/>
      <w:outline w:val="0"/>
      <w:color w:val="0000FF"/>
      <w:spacing w:val="0"/>
      <w:u w:val="single" w:color="0000FF"/>
      <w:effect w:val="none"/>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C30FB3"/>
    <w:rPr>
      <w:b/>
      <w:bCs/>
    </w:rPr>
  </w:style>
  <w:style w:type="character" w:customStyle="1" w:styleId="CommentSubjectChar">
    <w:name w:val="Comment Subject Char"/>
    <w:basedOn w:val="CommentTextChar"/>
    <w:link w:val="CommentSubject"/>
    <w:uiPriority w:val="99"/>
    <w:semiHidden/>
    <w:rsid w:val="00C30FB3"/>
    <w:rPr>
      <w:b/>
      <w:bCs/>
    </w:rPr>
  </w:style>
  <w:style w:type="paragraph" w:styleId="BalloonText">
    <w:name w:val="Balloon Text"/>
    <w:basedOn w:val="Normal"/>
    <w:link w:val="BalloonTextChar"/>
    <w:uiPriority w:val="99"/>
    <w:semiHidden/>
    <w:unhideWhenUsed/>
    <w:rsid w:val="00621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D9A"/>
    <w:rPr>
      <w:rFonts w:ascii="Segoe UI" w:hAnsi="Segoe UI" w:cs="Segoe UI"/>
      <w:sz w:val="18"/>
      <w:szCs w:val="18"/>
    </w:rPr>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24B7F"/>
    <w:pPr>
      <w:tabs>
        <w:tab w:val="center" w:pos="4680"/>
        <w:tab w:val="right" w:pos="9360"/>
      </w:tabs>
    </w:pPr>
  </w:style>
  <w:style w:type="character" w:customStyle="1" w:styleId="FooterChar">
    <w:name w:val="Footer Char"/>
    <w:basedOn w:val="DefaultParagraphFont"/>
    <w:link w:val="Footer"/>
    <w:uiPriority w:val="99"/>
    <w:rsid w:val="00424B7F"/>
    <w:rPr>
      <w:sz w:val="24"/>
      <w:szCs w:val="24"/>
    </w:rPr>
  </w:style>
  <w:style w:type="character" w:customStyle="1" w:styleId="Heading1Char">
    <w:name w:val="Heading 1 Char"/>
    <w:basedOn w:val="DefaultParagraphFont"/>
    <w:link w:val="Heading1"/>
    <w:uiPriority w:val="9"/>
    <w:rsid w:val="00F525A9"/>
    <w:rPr>
      <w:rFonts w:ascii="Arial" w:eastAsiaTheme="majorEastAsia" w:hAnsi="Arial" w:cstheme="majorBidi"/>
      <w:b/>
      <w:sz w:val="40"/>
      <w:szCs w:val="32"/>
    </w:rPr>
  </w:style>
  <w:style w:type="paragraph" w:styleId="EnvelopeAddress">
    <w:name w:val="envelope address"/>
    <w:basedOn w:val="Normal"/>
    <w:uiPriority w:val="99"/>
    <w:semiHidden/>
    <w:unhideWhenUsed/>
    <w:rsid w:val="00E80A4D"/>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E80A4D"/>
    <w:rPr>
      <w:rFonts w:ascii="Arial" w:eastAsiaTheme="majorEastAsia" w:hAnsi="Arial" w:cstheme="majorBidi"/>
      <w:b/>
      <w:sz w:val="36"/>
      <w:szCs w:val="26"/>
    </w:rPr>
  </w:style>
  <w:style w:type="character" w:customStyle="1" w:styleId="HeaderChar">
    <w:name w:val="Header Char"/>
    <w:basedOn w:val="DefaultParagraphFont"/>
    <w:link w:val="Header"/>
    <w:rsid w:val="00E80A4D"/>
  </w:style>
  <w:style w:type="character" w:styleId="Strong">
    <w:name w:val="Strong"/>
    <w:basedOn w:val="DefaultParagraphFont"/>
    <w:uiPriority w:val="22"/>
    <w:qFormat/>
    <w:rsid w:val="00E80A4D"/>
    <w:rPr>
      <w:b/>
      <w:bCs/>
    </w:rPr>
  </w:style>
  <w:style w:type="table" w:styleId="PlainTable1">
    <w:name w:val="Plain Table 1"/>
    <w:basedOn w:val="TableNormal"/>
    <w:uiPriority w:val="41"/>
    <w:rsid w:val="00E80A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E80A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E80A4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E80A4D"/>
  </w:style>
  <w:style w:type="character" w:styleId="FollowedHyperlink">
    <w:name w:val="FollowedHyperlink"/>
    <w:basedOn w:val="DefaultParagraphFont"/>
    <w:uiPriority w:val="99"/>
    <w:semiHidden/>
    <w:unhideWhenUsed/>
    <w:rsid w:val="00E80A4D"/>
    <w:rPr>
      <w:color w:val="954F72" w:themeColor="followedHyperlink"/>
      <w:u w:val="single"/>
    </w:rPr>
  </w:style>
  <w:style w:type="table" w:styleId="GridTable2-Accent3">
    <w:name w:val="Grid Table 2 Accent 3"/>
    <w:basedOn w:val="TableNormal"/>
    <w:uiPriority w:val="47"/>
    <w:rsid w:val="00E80A4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ssageHeaderChar">
    <w:name w:val="Message Header Char"/>
    <w:basedOn w:val="DefaultParagraphFont"/>
    <w:link w:val="MessageHeader"/>
    <w:uiPriority w:val="99"/>
    <w:rsid w:val="00E80A4D"/>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E80A4D"/>
    <w:rPr>
      <w:rFonts w:ascii="Arial" w:eastAsiaTheme="majorEastAsia" w:hAnsi="Arial" w:cstheme="majorBidi"/>
      <w:b/>
      <w:sz w:val="28"/>
      <w:szCs w:val="24"/>
    </w:rPr>
  </w:style>
  <w:style w:type="character" w:customStyle="1" w:styleId="Heading5Char">
    <w:name w:val="Heading 5 Char"/>
    <w:basedOn w:val="DefaultParagraphFont"/>
    <w:link w:val="Heading5"/>
    <w:uiPriority w:val="9"/>
    <w:rsid w:val="00E80A4D"/>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
    <w:basedOn w:val="DefaultParagraphFont"/>
    <w:link w:val="ListParagraph"/>
    <w:locked/>
    <w:rsid w:val="00E80A4D"/>
    <w:rPr>
      <w:rFonts w:ascii="Arial" w:hAnsi="Arial" w:cs="Arial Unicode MS"/>
      <w:color w:val="000000"/>
      <w:sz w:val="24"/>
      <w:szCs w:val="24"/>
      <w:u w:color="000000"/>
    </w:rPr>
  </w:style>
  <w:style w:type="paragraph" w:styleId="NormalWeb">
    <w:name w:val="Normal (Web)"/>
    <w:basedOn w:val="Normal"/>
    <w:uiPriority w:val="99"/>
    <w:unhideWhenUsed/>
    <w:rsid w:val="00E80A4D"/>
    <w:pPr>
      <w:spacing w:before="100" w:beforeAutospacing="1" w:after="100" w:afterAutospacing="1"/>
    </w:pPr>
  </w:style>
  <w:style w:type="character" w:customStyle="1" w:styleId="BodyTextChar">
    <w:name w:val="Body Text Char"/>
    <w:basedOn w:val="DefaultParagraphFont"/>
    <w:link w:val="BodyText"/>
    <w:rsid w:val="00E80A4D"/>
    <w:rPr>
      <w:rFonts w:ascii="Arial" w:eastAsia="Times New Roman" w:hAnsi="Arial" w:cs="Times New Roman"/>
      <w:sz w:val="24"/>
      <w:szCs w:val="24"/>
    </w:rPr>
  </w:style>
  <w:style w:type="character" w:customStyle="1" w:styleId="normalchar1">
    <w:name w:val="normal__char1"/>
    <w:rsid w:val="00E80A4D"/>
    <w:rPr>
      <w:rFonts w:ascii="Arial" w:hAnsi="Arial" w:cs="Arial" w:hint="default"/>
      <w:strike w:val="0"/>
      <w:dstrike w:val="0"/>
      <w:sz w:val="20"/>
      <w:szCs w:val="20"/>
      <w:u w:val="none"/>
      <w:effect w:val="none"/>
    </w:rPr>
  </w:style>
  <w:style w:type="paragraph" w:styleId="NoSpacing">
    <w:name w:val="No Spacing"/>
    <w:uiPriority w:val="1"/>
    <w:qFormat/>
    <w:rsid w:val="00E80A4D"/>
    <w:rPr>
      <w:rFonts w:eastAsia="Times New Roman"/>
      <w:sz w:val="24"/>
      <w:szCs w:val="24"/>
    </w:rPr>
  </w:style>
  <w:style w:type="table" w:customStyle="1" w:styleId="TableGrid1">
    <w:name w:val="Table Grid1"/>
    <w:basedOn w:val="TableNormal"/>
    <w:next w:val="TableGrid"/>
    <w:uiPriority w:val="39"/>
    <w:rsid w:val="00E80A4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0A4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80A4D"/>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E80A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80A4D"/>
    <w:rPr>
      <w:rFonts w:asciiTheme="minorHAnsi" w:eastAsiaTheme="minorHAnsi" w:hAnsiTheme="minorHAnsi" w:cstheme="minorBidi"/>
      <w:bdr w:val="none" w:sz="0" w:space="0" w:color="auto"/>
    </w:rPr>
  </w:style>
  <w:style w:type="character" w:styleId="FootnoteReference">
    <w:name w:val="footnote reference"/>
    <w:basedOn w:val="DefaultParagraphFont"/>
    <w:uiPriority w:val="99"/>
    <w:semiHidden/>
    <w:unhideWhenUsed/>
    <w:rsid w:val="00E80A4D"/>
    <w:rPr>
      <w:vertAlign w:val="superscript"/>
    </w:rPr>
  </w:style>
  <w:style w:type="table" w:customStyle="1" w:styleId="TableGrid3">
    <w:name w:val="Table Grid3"/>
    <w:basedOn w:val="TableNormal"/>
    <w:next w:val="TableGrid"/>
    <w:uiPriority w:val="39"/>
    <w:rsid w:val="00E80A4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80A4D"/>
    <w:rPr>
      <w:color w:val="605E5C"/>
      <w:shd w:val="clear" w:color="auto" w:fill="E1DFDD"/>
    </w:rPr>
  </w:style>
  <w:style w:type="character" w:customStyle="1" w:styleId="normaltextrun">
    <w:name w:val="normaltextrun"/>
    <w:basedOn w:val="DefaultParagraphFont"/>
    <w:rsid w:val="00E80A4D"/>
  </w:style>
  <w:style w:type="character" w:customStyle="1" w:styleId="eop">
    <w:name w:val="eop"/>
    <w:basedOn w:val="DefaultParagraphFont"/>
    <w:rsid w:val="00E80A4D"/>
  </w:style>
  <w:style w:type="character" w:styleId="UnresolvedMention">
    <w:name w:val="Unresolved Mention"/>
    <w:basedOn w:val="DefaultParagraphFont"/>
    <w:uiPriority w:val="99"/>
    <w:semiHidden/>
    <w:unhideWhenUsed/>
    <w:rsid w:val="00E80A4D"/>
    <w:rPr>
      <w:color w:val="605E5C"/>
      <w:shd w:val="clear" w:color="auto" w:fill="E1DFDD"/>
    </w:rPr>
  </w:style>
  <w:style w:type="paragraph" w:styleId="PlainText">
    <w:name w:val="Plain Text"/>
    <w:basedOn w:val="Normal"/>
    <w:link w:val="PlainTextChar"/>
    <w:uiPriority w:val="99"/>
    <w:semiHidden/>
    <w:unhideWhenUsed/>
    <w:rsid w:val="00E80A4D"/>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E80A4D"/>
    <w:rPr>
      <w:rFonts w:ascii="Consolas" w:eastAsiaTheme="minorHAnsi" w:hAnsi="Consolas" w:cstheme="minorBidi"/>
      <w:sz w:val="21"/>
      <w:szCs w:val="21"/>
      <w:bdr w:val="none" w:sz="0" w:space="0" w:color="auto"/>
    </w:rPr>
  </w:style>
  <w:style w:type="character" w:styleId="Mention">
    <w:name w:val="Mention"/>
    <w:basedOn w:val="DefaultParagraphFont"/>
    <w:uiPriority w:val="99"/>
    <w:unhideWhenUsed/>
    <w:rsid w:val="006E1F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15/documents/sep15item14a3rev.doc" TargetMode="External"/><Relationship Id="rId18" Type="http://schemas.openxmlformats.org/officeDocument/2006/relationships/hyperlink" Target="http://www.cde.ca.gov/be/pn/im/documents/memo-sbe-feb16item04.doc" TargetMode="External"/><Relationship Id="rId26" Type="http://schemas.openxmlformats.org/officeDocument/2006/relationships/hyperlink" Target="https://www.cde.ca.gov/be/pn/im/documents/memo-pptb-amard-feb18item02.docx"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cde.ca.gov/be/pn/im/documents/memo-dsib-amard-feb16item02.doc" TargetMode="External"/><Relationship Id="rId34" Type="http://schemas.openxmlformats.org/officeDocument/2006/relationships/hyperlink" Target="https://www.cde.ca.gov/be/ag/ag/yr22/documents/mar22item04.docx" TargetMode="External"/><Relationship Id="rId42"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cde.ca.gov/be/ag/ag/yr15/documents/sep15item14.doc" TargetMode="External"/><Relationship Id="rId17" Type="http://schemas.openxmlformats.org/officeDocument/2006/relationships/hyperlink" Target="http://www.cde.ca.gov/be/pn/im/documents/memo-sbe-feb16item03.doc" TargetMode="External"/><Relationship Id="rId25" Type="http://schemas.openxmlformats.org/officeDocument/2006/relationships/hyperlink" Target="http://www.cde.ca.gov/be/ag/ag/yr17/documents/mar17item02.doc" TargetMode="External"/><Relationship Id="rId33" Type="http://schemas.openxmlformats.org/officeDocument/2006/relationships/hyperlink" Target="https://www.cde.ca.gov/be/ag/ag/yr21/documents/may21item04.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de.ca.gov/be/pn/im/documents/memo-sbe-feb16item02.doc" TargetMode="External"/><Relationship Id="rId20" Type="http://schemas.openxmlformats.org/officeDocument/2006/relationships/hyperlink" Target="http://www.cde.ca.gov/be/pn/im/documents/memo-dsib-amard-feb16item01.doc" TargetMode="External"/><Relationship Id="rId29" Type="http://schemas.openxmlformats.org/officeDocument/2006/relationships/hyperlink" Target="https://www.cde.ca.gov/be/pn/im/documents/memo-pptb-amard-mar18item01.doc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de.ca.gov/be/ag/ag/yr16/documents/sep16item01.doc" TargetMode="External"/><Relationship Id="rId32" Type="http://schemas.openxmlformats.org/officeDocument/2006/relationships/hyperlink" Target="https://www.cde.ca.gov/be/ag/ag/yr20/documents/mar20item05.docx"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de.ca.gov/be/pn/im/documents/memo-sbe-feb16item01.doc" TargetMode="External"/><Relationship Id="rId23" Type="http://schemas.openxmlformats.org/officeDocument/2006/relationships/hyperlink" Target="http://www.cde.ca.gov/be/pn/im/documents/memo-dsib-amard-aug16item02rev.doc" TargetMode="External"/><Relationship Id="rId28" Type="http://schemas.openxmlformats.org/officeDocument/2006/relationships/hyperlink" Target="https://www.cde.ca.gov/be/ag/ag/yr18/documents/apr18item01.docx" TargetMode="External"/><Relationship Id="rId36" Type="http://schemas.openxmlformats.org/officeDocument/2006/relationships/hyperlink" Target="https://www.cde.ca.gov/be/ag/ag/yr23/documents/mar23item03.docx" TargetMode="External"/><Relationship Id="rId10" Type="http://schemas.openxmlformats.org/officeDocument/2006/relationships/endnotes" Target="endnotes.xml"/><Relationship Id="rId19" Type="http://schemas.openxmlformats.org/officeDocument/2006/relationships/hyperlink" Target="http://www.cde.ca.gov/be/pn/im/documents/memo-sbe-feb16item05.doc" TargetMode="External"/><Relationship Id="rId31" Type="http://schemas.openxmlformats.org/officeDocument/2006/relationships/hyperlink" Target="https://www.cde.ca.gov/be/ag/ag/yr19/documents/mar19item17.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ca.gov/be/ag/ag/yr16/documents/jan16item02rev.doc" TargetMode="External"/><Relationship Id="rId22" Type="http://schemas.openxmlformats.org/officeDocument/2006/relationships/hyperlink" Target="http://www.cde.ca.gov/be/ag/ag/yr16/documents/may16item02revised.doc" TargetMode="External"/><Relationship Id="rId27" Type="http://schemas.openxmlformats.org/officeDocument/2006/relationships/hyperlink" Target="https://www.cde.ca.gov/be/ag/ag/yr18/documents/mar18item01.docx" TargetMode="External"/><Relationship Id="rId30" Type="http://schemas.openxmlformats.org/officeDocument/2006/relationships/hyperlink" Target="https://www.cde.ca.gov/be/pn/im/documents/memo-pptb-amard-jun18item02.docx" TargetMode="External"/><Relationship Id="rId35" Type="http://schemas.openxmlformats.org/officeDocument/2006/relationships/hyperlink" Target="https://www.cde.ca.gov/be/ag/ag/yr22/documents/jul22item02.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William McGee</DisplayName>
        <AccountId>149</AccountId>
        <AccountType/>
      </UserInfo>
      <UserInfo>
        <DisplayName>Sarah Breed</DisplayName>
        <AccountId>169</AccountId>
        <AccountType/>
      </UserInfo>
      <UserInfo>
        <DisplayName>Cristina French</DisplayName>
        <AccountId>170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C7341-5A6F-468C-9DB6-E495ADC404E1}">
  <ds:schemaRefs>
    <ds:schemaRef ds:uri="http://schemas.microsoft.com/office/2006/metadata/properties"/>
    <ds:schemaRef ds:uri="http://schemas.microsoft.com/office/infopath/2007/PartnerControls"/>
    <ds:schemaRef ds:uri="1aae30ff-d7bc-47e3-882e-cd3423d00d62"/>
  </ds:schemaRefs>
</ds:datastoreItem>
</file>

<file path=customXml/itemProps2.xml><?xml version="1.0" encoding="utf-8"?>
<ds:datastoreItem xmlns:ds="http://schemas.openxmlformats.org/officeDocument/2006/customXml" ds:itemID="{9A35C8C3-B6E2-4814-B052-D50ACA40F89C}">
  <ds:schemaRefs>
    <ds:schemaRef ds:uri="http://schemas.microsoft.com/sharepoint/v3/contenttype/forms"/>
  </ds:schemaRefs>
</ds:datastoreItem>
</file>

<file path=customXml/itemProps3.xml><?xml version="1.0" encoding="utf-8"?>
<ds:datastoreItem xmlns:ds="http://schemas.openxmlformats.org/officeDocument/2006/customXml" ds:itemID="{B4BB1DB7-8E24-448A-951B-8C5ABD4C4A34}">
  <ds:schemaRefs>
    <ds:schemaRef ds:uri="http://schemas.openxmlformats.org/officeDocument/2006/bibliography"/>
  </ds:schemaRefs>
</ds:datastoreItem>
</file>

<file path=customXml/itemProps4.xml><?xml version="1.0" encoding="utf-8"?>
<ds:datastoreItem xmlns:ds="http://schemas.openxmlformats.org/officeDocument/2006/customXml" ds:itemID="{03EAAA44-5F74-45FC-8662-7D95F8A6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20</Pages>
  <Words>5521</Words>
  <Characters>31470</Characters>
  <DocSecurity>0</DocSecurity>
  <Lines>262</Lines>
  <Paragraphs>73</Paragraphs>
  <ScaleCrop>false</ScaleCrop>
  <HeadingPairs>
    <vt:vector size="2" baseType="variant">
      <vt:variant>
        <vt:lpstr>Title</vt:lpstr>
      </vt:variant>
      <vt:variant>
        <vt:i4>1</vt:i4>
      </vt:variant>
    </vt:vector>
  </HeadingPairs>
  <TitlesOfParts>
    <vt:vector size="1" baseType="lpstr">
      <vt:lpstr>February 2020 Memo IMB-AMARD Item 01 - Information Memorandum (CA State Board of Education)</vt:lpstr>
    </vt:vector>
  </TitlesOfParts>
  <Company>California State Board of Education</Company>
  <LinksUpToDate>false</LinksUpToDate>
  <CharactersWithSpaces>36918</CharactersWithSpaces>
  <SharedDoc>false</SharedDoc>
  <HLinks>
    <vt:vector size="150" baseType="variant">
      <vt:variant>
        <vt:i4>2162793</vt:i4>
      </vt:variant>
      <vt:variant>
        <vt:i4>78</vt:i4>
      </vt:variant>
      <vt:variant>
        <vt:i4>0</vt:i4>
      </vt:variant>
      <vt:variant>
        <vt:i4>5</vt:i4>
      </vt:variant>
      <vt:variant>
        <vt:lpwstr>https://www.cde.ca.gov/be/ag/ag/yr23/documents/mar23item03.docx</vt:lpwstr>
      </vt:variant>
      <vt:variant>
        <vt:lpwstr/>
      </vt:variant>
      <vt:variant>
        <vt:i4>3735677</vt:i4>
      </vt:variant>
      <vt:variant>
        <vt:i4>75</vt:i4>
      </vt:variant>
      <vt:variant>
        <vt:i4>0</vt:i4>
      </vt:variant>
      <vt:variant>
        <vt:i4>5</vt:i4>
      </vt:variant>
      <vt:variant>
        <vt:lpwstr>https://www.cde.ca.gov/be/ag/ag/yr22/documents/jul22item02.docx</vt:lpwstr>
      </vt:variant>
      <vt:variant>
        <vt:lpwstr/>
      </vt:variant>
      <vt:variant>
        <vt:i4>2490473</vt:i4>
      </vt:variant>
      <vt:variant>
        <vt:i4>72</vt:i4>
      </vt:variant>
      <vt:variant>
        <vt:i4>0</vt:i4>
      </vt:variant>
      <vt:variant>
        <vt:i4>5</vt:i4>
      </vt:variant>
      <vt:variant>
        <vt:lpwstr>https://www.cde.ca.gov/be/ag/ag/yr22/documents/mar22item04.docx</vt:lpwstr>
      </vt:variant>
      <vt:variant>
        <vt:lpwstr/>
      </vt:variant>
      <vt:variant>
        <vt:i4>2949225</vt:i4>
      </vt:variant>
      <vt:variant>
        <vt:i4>69</vt:i4>
      </vt:variant>
      <vt:variant>
        <vt:i4>0</vt:i4>
      </vt:variant>
      <vt:variant>
        <vt:i4>5</vt:i4>
      </vt:variant>
      <vt:variant>
        <vt:lpwstr>https://www.cde.ca.gov/be/ag/ag/yr21/documents/may21item04.docx</vt:lpwstr>
      </vt:variant>
      <vt:variant>
        <vt:lpwstr/>
      </vt:variant>
      <vt:variant>
        <vt:i4>2556009</vt:i4>
      </vt:variant>
      <vt:variant>
        <vt:i4>66</vt:i4>
      </vt:variant>
      <vt:variant>
        <vt:i4>0</vt:i4>
      </vt:variant>
      <vt:variant>
        <vt:i4>5</vt:i4>
      </vt:variant>
      <vt:variant>
        <vt:lpwstr>https://www.cde.ca.gov/be/ag/ag/yr20/documents/mar20item05.docx</vt:lpwstr>
      </vt:variant>
      <vt:variant>
        <vt:lpwstr/>
      </vt:variant>
      <vt:variant>
        <vt:i4>2424936</vt:i4>
      </vt:variant>
      <vt:variant>
        <vt:i4>63</vt:i4>
      </vt:variant>
      <vt:variant>
        <vt:i4>0</vt:i4>
      </vt:variant>
      <vt:variant>
        <vt:i4>5</vt:i4>
      </vt:variant>
      <vt:variant>
        <vt:lpwstr>https://www.cde.ca.gov/be/ag/ag/yr19/documents/mar19item17.docx</vt:lpwstr>
      </vt:variant>
      <vt:variant>
        <vt:lpwstr/>
      </vt:variant>
      <vt:variant>
        <vt:i4>6488096</vt:i4>
      </vt:variant>
      <vt:variant>
        <vt:i4>60</vt:i4>
      </vt:variant>
      <vt:variant>
        <vt:i4>0</vt:i4>
      </vt:variant>
      <vt:variant>
        <vt:i4>5</vt:i4>
      </vt:variant>
      <vt:variant>
        <vt:lpwstr>https://www.cde.ca.gov/be/pn/im/documents/memo-pptb-amard-jun18item02.docx</vt:lpwstr>
      </vt:variant>
      <vt:variant>
        <vt:lpwstr/>
      </vt:variant>
      <vt:variant>
        <vt:i4>7798840</vt:i4>
      </vt:variant>
      <vt:variant>
        <vt:i4>57</vt:i4>
      </vt:variant>
      <vt:variant>
        <vt:i4>0</vt:i4>
      </vt:variant>
      <vt:variant>
        <vt:i4>5</vt:i4>
      </vt:variant>
      <vt:variant>
        <vt:lpwstr>https://www.cde.ca.gov/be/pn/im/documents/memo-pptb-amard-mar18item01.docx</vt:lpwstr>
      </vt:variant>
      <vt:variant>
        <vt:lpwstr/>
      </vt:variant>
      <vt:variant>
        <vt:i4>3080312</vt:i4>
      </vt:variant>
      <vt:variant>
        <vt:i4>54</vt:i4>
      </vt:variant>
      <vt:variant>
        <vt:i4>0</vt:i4>
      </vt:variant>
      <vt:variant>
        <vt:i4>5</vt:i4>
      </vt:variant>
      <vt:variant>
        <vt:lpwstr>https://www.cde.ca.gov/be/ag/ag/yr18/documents/apr18item01.docx</vt:lpwstr>
      </vt:variant>
      <vt:variant>
        <vt:lpwstr/>
      </vt:variant>
      <vt:variant>
        <vt:i4>2293865</vt:i4>
      </vt:variant>
      <vt:variant>
        <vt:i4>51</vt:i4>
      </vt:variant>
      <vt:variant>
        <vt:i4>0</vt:i4>
      </vt:variant>
      <vt:variant>
        <vt:i4>5</vt:i4>
      </vt:variant>
      <vt:variant>
        <vt:lpwstr>https://www.cde.ca.gov/be/ag/ag/yr18/documents/mar18item01.docx</vt:lpwstr>
      </vt:variant>
      <vt:variant>
        <vt:lpwstr/>
      </vt:variant>
      <vt:variant>
        <vt:i4>7536672</vt:i4>
      </vt:variant>
      <vt:variant>
        <vt:i4>48</vt:i4>
      </vt:variant>
      <vt:variant>
        <vt:i4>0</vt:i4>
      </vt:variant>
      <vt:variant>
        <vt:i4>5</vt:i4>
      </vt:variant>
      <vt:variant>
        <vt:lpwstr>https://www.cde.ca.gov/be/pn/im/documents/memo-pptb-amard-feb18item02.docx</vt:lpwstr>
      </vt:variant>
      <vt:variant>
        <vt:lpwstr/>
      </vt:variant>
      <vt:variant>
        <vt:i4>131163</vt:i4>
      </vt:variant>
      <vt:variant>
        <vt:i4>45</vt:i4>
      </vt:variant>
      <vt:variant>
        <vt:i4>0</vt:i4>
      </vt:variant>
      <vt:variant>
        <vt:i4>5</vt:i4>
      </vt:variant>
      <vt:variant>
        <vt:lpwstr>http://www.cde.ca.gov/be/ag/ag/yr17/documents/mar17item02.doc</vt:lpwstr>
      </vt:variant>
      <vt:variant>
        <vt:lpwstr/>
      </vt:variant>
      <vt:variant>
        <vt:i4>393284</vt:i4>
      </vt:variant>
      <vt:variant>
        <vt:i4>42</vt:i4>
      </vt:variant>
      <vt:variant>
        <vt:i4>0</vt:i4>
      </vt:variant>
      <vt:variant>
        <vt:i4>5</vt:i4>
      </vt:variant>
      <vt:variant>
        <vt:lpwstr>http://www.cde.ca.gov/be/ag/ag/yr16/documents/sep16item01.doc</vt:lpwstr>
      </vt:variant>
      <vt:variant>
        <vt:lpwstr/>
      </vt:variant>
      <vt:variant>
        <vt:i4>6750251</vt:i4>
      </vt:variant>
      <vt:variant>
        <vt:i4>39</vt:i4>
      </vt:variant>
      <vt:variant>
        <vt:i4>0</vt:i4>
      </vt:variant>
      <vt:variant>
        <vt:i4>5</vt:i4>
      </vt:variant>
      <vt:variant>
        <vt:lpwstr>http://www.cde.ca.gov/be/pn/im/documents/memo-dsib-amard-aug16item02rev.doc</vt:lpwstr>
      </vt:variant>
      <vt:variant>
        <vt:lpwstr/>
      </vt:variant>
      <vt:variant>
        <vt:i4>5701660</vt:i4>
      </vt:variant>
      <vt:variant>
        <vt:i4>36</vt:i4>
      </vt:variant>
      <vt:variant>
        <vt:i4>0</vt:i4>
      </vt:variant>
      <vt:variant>
        <vt:i4>5</vt:i4>
      </vt:variant>
      <vt:variant>
        <vt:lpwstr>http://www.cde.ca.gov/be/ag/ag/yr16/documents/may16item02revised.doc</vt:lpwstr>
      </vt:variant>
      <vt:variant>
        <vt:lpwstr/>
      </vt:variant>
      <vt:variant>
        <vt:i4>4587546</vt:i4>
      </vt:variant>
      <vt:variant>
        <vt:i4>33</vt:i4>
      </vt:variant>
      <vt:variant>
        <vt:i4>0</vt:i4>
      </vt:variant>
      <vt:variant>
        <vt:i4>5</vt:i4>
      </vt:variant>
      <vt:variant>
        <vt:lpwstr>http://www.cde.ca.gov/be/pn/im/documents/memo-dsib-amard-feb16item02.doc</vt:lpwstr>
      </vt:variant>
      <vt:variant>
        <vt:lpwstr/>
      </vt:variant>
      <vt:variant>
        <vt:i4>4522010</vt:i4>
      </vt:variant>
      <vt:variant>
        <vt:i4>30</vt:i4>
      </vt:variant>
      <vt:variant>
        <vt:i4>0</vt:i4>
      </vt:variant>
      <vt:variant>
        <vt:i4>5</vt:i4>
      </vt:variant>
      <vt:variant>
        <vt:lpwstr>http://www.cde.ca.gov/be/pn/im/documents/memo-dsib-amard-feb16item01.doc</vt:lpwstr>
      </vt:variant>
      <vt:variant>
        <vt:lpwstr/>
      </vt:variant>
      <vt:variant>
        <vt:i4>4915277</vt:i4>
      </vt:variant>
      <vt:variant>
        <vt:i4>27</vt:i4>
      </vt:variant>
      <vt:variant>
        <vt:i4>0</vt:i4>
      </vt:variant>
      <vt:variant>
        <vt:i4>5</vt:i4>
      </vt:variant>
      <vt:variant>
        <vt:lpwstr>http://www.cde.ca.gov/be/pn/im/documents/memo-sbe-feb16item05.doc</vt:lpwstr>
      </vt:variant>
      <vt:variant>
        <vt:lpwstr/>
      </vt:variant>
      <vt:variant>
        <vt:i4>4915276</vt:i4>
      </vt:variant>
      <vt:variant>
        <vt:i4>24</vt:i4>
      </vt:variant>
      <vt:variant>
        <vt:i4>0</vt:i4>
      </vt:variant>
      <vt:variant>
        <vt:i4>5</vt:i4>
      </vt:variant>
      <vt:variant>
        <vt:lpwstr>http://www.cde.ca.gov/be/pn/im/documents/memo-sbe-feb16item04.doc</vt:lpwstr>
      </vt:variant>
      <vt:variant>
        <vt:lpwstr/>
      </vt:variant>
      <vt:variant>
        <vt:i4>4915275</vt:i4>
      </vt:variant>
      <vt:variant>
        <vt:i4>21</vt:i4>
      </vt:variant>
      <vt:variant>
        <vt:i4>0</vt:i4>
      </vt:variant>
      <vt:variant>
        <vt:i4>5</vt:i4>
      </vt:variant>
      <vt:variant>
        <vt:lpwstr>http://www.cde.ca.gov/be/pn/im/documents/memo-sbe-feb16item03.doc</vt:lpwstr>
      </vt:variant>
      <vt:variant>
        <vt:lpwstr/>
      </vt:variant>
      <vt:variant>
        <vt:i4>4915274</vt:i4>
      </vt:variant>
      <vt:variant>
        <vt:i4>18</vt:i4>
      </vt:variant>
      <vt:variant>
        <vt:i4>0</vt:i4>
      </vt:variant>
      <vt:variant>
        <vt:i4>5</vt:i4>
      </vt:variant>
      <vt:variant>
        <vt:lpwstr>http://www.cde.ca.gov/be/pn/im/documents/memo-sbe-feb16item02.doc</vt:lpwstr>
      </vt:variant>
      <vt:variant>
        <vt:lpwstr/>
      </vt:variant>
      <vt:variant>
        <vt:i4>4915273</vt:i4>
      </vt:variant>
      <vt:variant>
        <vt:i4>15</vt:i4>
      </vt:variant>
      <vt:variant>
        <vt:i4>0</vt:i4>
      </vt:variant>
      <vt:variant>
        <vt:i4>5</vt:i4>
      </vt:variant>
      <vt:variant>
        <vt:lpwstr>http://www.cde.ca.gov/be/pn/im/documents/memo-sbe-feb16item01.doc</vt:lpwstr>
      </vt:variant>
      <vt:variant>
        <vt:lpwstr/>
      </vt:variant>
      <vt:variant>
        <vt:i4>4194304</vt:i4>
      </vt:variant>
      <vt:variant>
        <vt:i4>9</vt:i4>
      </vt:variant>
      <vt:variant>
        <vt:i4>0</vt:i4>
      </vt:variant>
      <vt:variant>
        <vt:i4>5</vt:i4>
      </vt:variant>
      <vt:variant>
        <vt:lpwstr>http://www.cde.ca.gov/be/ag/ag/yr16/documents/jan16item02rev.doc</vt:lpwstr>
      </vt:variant>
      <vt:variant>
        <vt:lpwstr/>
      </vt:variant>
      <vt:variant>
        <vt:i4>2752556</vt:i4>
      </vt:variant>
      <vt:variant>
        <vt:i4>6</vt:i4>
      </vt:variant>
      <vt:variant>
        <vt:i4>0</vt:i4>
      </vt:variant>
      <vt:variant>
        <vt:i4>5</vt:i4>
      </vt:variant>
      <vt:variant>
        <vt:lpwstr>https://www.cde.ca.gov/be/ag/ag/yr15/documents/sep15item14a3rev.doc</vt:lpwstr>
      </vt:variant>
      <vt:variant>
        <vt:lpwstr/>
      </vt:variant>
      <vt:variant>
        <vt:i4>3801196</vt:i4>
      </vt:variant>
      <vt:variant>
        <vt:i4>0</vt:i4>
      </vt:variant>
      <vt:variant>
        <vt:i4>0</vt:i4>
      </vt:variant>
      <vt:variant>
        <vt:i4>5</vt:i4>
      </vt:variant>
      <vt:variant>
        <vt:lpwstr>https://www.cde.ca.gov/be/ag/ag/yr15/documents/sep15item14.doc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Memo ITB AMARD Item 01 - Information Memorandum (CA State Board of Education)</dc:title>
  <dc:subject>Review of Methodology for Establishing Cut Points for Status and Change on the California School Dashboard and Establishing a Performance Level Color Scheme for the Five-by-Five Grid.</dc:subject>
  <dc:creator/>
  <cp:keywords/>
  <dc:description/>
  <dcterms:created xsi:type="dcterms:W3CDTF">2023-06-14T22:10:00Z</dcterms:created>
  <dcterms:modified xsi:type="dcterms:W3CDTF">2023-06-15T23:10:00Z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