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158B8" w14:textId="03E15E32" w:rsidR="001E668B" w:rsidRPr="00331DCC" w:rsidRDefault="08040AE5" w:rsidP="00331DCC">
      <w:pPr>
        <w:pStyle w:val="Heading1"/>
        <w:spacing w:before="100" w:beforeAutospacing="1" w:after="120"/>
        <w:rPr>
          <w:rFonts w:ascii="Arial" w:eastAsia="Arial" w:hAnsi="Arial" w:cs="Arial"/>
          <w:b/>
          <w:bCs/>
          <w:color w:val="auto"/>
          <w:sz w:val="28"/>
          <w:szCs w:val="28"/>
        </w:rPr>
      </w:pPr>
      <w:r w:rsidRPr="00331DCC">
        <w:rPr>
          <w:rFonts w:ascii="Arial" w:eastAsia="Arial" w:hAnsi="Arial" w:cs="Arial"/>
          <w:b/>
          <w:bCs/>
          <w:color w:val="auto"/>
          <w:sz w:val="28"/>
          <w:szCs w:val="28"/>
        </w:rPr>
        <w:t>Attachment 1: Federal and State Law Regarding English Learners</w:t>
      </w:r>
    </w:p>
    <w:p w14:paraId="12C5B139" w14:textId="59DE707E" w:rsidR="009205E4" w:rsidRDefault="009205E4" w:rsidP="009205E4">
      <w:pPr>
        <w:spacing w:after="240" w:line="240" w:lineRule="auto"/>
        <w:rPr>
          <w:rFonts w:ascii="Arial" w:eastAsia="Arial" w:hAnsi="Arial" w:cs="Arial"/>
          <w:color w:val="000000" w:themeColor="text1"/>
        </w:rPr>
      </w:pPr>
      <w:r>
        <w:rPr>
          <w:rFonts w:ascii="Arial" w:eastAsia="Arial" w:hAnsi="Arial" w:cs="Arial"/>
          <w:color w:val="000000" w:themeColor="text1"/>
        </w:rPr>
        <w:t xml:space="preserve"> </w:t>
      </w:r>
      <w:r w:rsidRPr="009205E4">
        <w:rPr>
          <w:rFonts w:ascii="Arial" w:eastAsia="Arial" w:hAnsi="Arial" w:cs="Arial"/>
          <w:color w:val="000000" w:themeColor="text1"/>
        </w:rPr>
        <w:t>Table 1: Federal and State Law Regarding English Learners</w:t>
      </w:r>
    </w:p>
    <w:tbl>
      <w:tblPr>
        <w:tblStyle w:val="TableGrid"/>
        <w:tblW w:w="0" w:type="auto"/>
        <w:tblLook w:val="04A0" w:firstRow="1" w:lastRow="0" w:firstColumn="1" w:lastColumn="0" w:noHBand="0" w:noVBand="1"/>
      </w:tblPr>
      <w:tblGrid>
        <w:gridCol w:w="2474"/>
        <w:gridCol w:w="2271"/>
        <w:gridCol w:w="2304"/>
        <w:gridCol w:w="2301"/>
      </w:tblGrid>
      <w:tr w:rsidR="009205E4" w:rsidRPr="00331DCC" w14:paraId="1C273724" w14:textId="77777777" w:rsidTr="00331DCC">
        <w:trPr>
          <w:cantSplit/>
          <w:tblHeader/>
        </w:trPr>
        <w:tc>
          <w:tcPr>
            <w:tcW w:w="2515" w:type="dxa"/>
          </w:tcPr>
          <w:p w14:paraId="64E827FC" w14:textId="0E1CB03D" w:rsidR="009205E4" w:rsidRPr="00331DCC" w:rsidRDefault="009205E4" w:rsidP="009205E4">
            <w:pPr>
              <w:spacing w:after="240"/>
              <w:rPr>
                <w:rFonts w:ascii="Arial" w:eastAsia="Arial" w:hAnsi="Arial" w:cs="Arial"/>
                <w:b/>
                <w:bCs/>
                <w:color w:val="000000" w:themeColor="text1"/>
              </w:rPr>
            </w:pPr>
            <w:r w:rsidRPr="00331DCC">
              <w:rPr>
                <w:rFonts w:ascii="Arial" w:eastAsia="Arial" w:hAnsi="Arial" w:cs="Arial"/>
                <w:b/>
                <w:bCs/>
              </w:rPr>
              <w:t>Requirement</w:t>
            </w:r>
          </w:p>
        </w:tc>
        <w:tc>
          <w:tcPr>
            <w:tcW w:w="2159" w:type="dxa"/>
          </w:tcPr>
          <w:p w14:paraId="3952E396" w14:textId="7DA1C60F" w:rsidR="009205E4" w:rsidRPr="00331DCC" w:rsidRDefault="009205E4" w:rsidP="009205E4">
            <w:pPr>
              <w:spacing w:after="240"/>
              <w:rPr>
                <w:rFonts w:ascii="Arial" w:eastAsia="Arial" w:hAnsi="Arial" w:cs="Arial"/>
                <w:b/>
                <w:bCs/>
                <w:color w:val="000000" w:themeColor="text1"/>
              </w:rPr>
            </w:pPr>
            <w:r w:rsidRPr="00331DCC">
              <w:rPr>
                <w:rFonts w:ascii="Arial" w:eastAsia="Arial" w:hAnsi="Arial" w:cs="Arial"/>
                <w:b/>
                <w:bCs/>
              </w:rPr>
              <w:t>Federal Title I</w:t>
            </w:r>
            <w:r w:rsidRPr="00331DCC">
              <w:rPr>
                <w:rFonts w:ascii="Arial" w:eastAsia="Arial" w:hAnsi="Arial" w:cs="Arial"/>
                <w:b/>
                <w:bCs/>
                <w:vertAlign w:val="superscript"/>
              </w:rPr>
              <w:t>1</w:t>
            </w:r>
          </w:p>
        </w:tc>
        <w:tc>
          <w:tcPr>
            <w:tcW w:w="2338" w:type="dxa"/>
          </w:tcPr>
          <w:p w14:paraId="3BF1C0B1" w14:textId="42382C9A" w:rsidR="009205E4" w:rsidRPr="00331DCC" w:rsidRDefault="009205E4" w:rsidP="009205E4">
            <w:pPr>
              <w:spacing w:after="240"/>
              <w:rPr>
                <w:rFonts w:ascii="Arial" w:eastAsia="Arial" w:hAnsi="Arial" w:cs="Arial"/>
                <w:b/>
                <w:bCs/>
                <w:color w:val="000000" w:themeColor="text1"/>
              </w:rPr>
            </w:pPr>
            <w:r w:rsidRPr="00331DCC">
              <w:rPr>
                <w:rFonts w:ascii="Arial" w:eastAsia="Arial" w:hAnsi="Arial" w:cs="Arial"/>
                <w:b/>
                <w:bCs/>
              </w:rPr>
              <w:t>Federal Title III</w:t>
            </w:r>
            <w:r w:rsidRPr="00331DCC">
              <w:rPr>
                <w:rFonts w:ascii="Arial" w:eastAsia="Arial" w:hAnsi="Arial" w:cs="Arial"/>
                <w:b/>
                <w:bCs/>
                <w:vertAlign w:val="superscript"/>
              </w:rPr>
              <w:t>2</w:t>
            </w:r>
          </w:p>
        </w:tc>
        <w:tc>
          <w:tcPr>
            <w:tcW w:w="2338" w:type="dxa"/>
          </w:tcPr>
          <w:p w14:paraId="447A1FEA" w14:textId="0013F33B" w:rsidR="009205E4" w:rsidRPr="00331DCC" w:rsidRDefault="009205E4" w:rsidP="009205E4">
            <w:pPr>
              <w:spacing w:after="240"/>
              <w:rPr>
                <w:rFonts w:ascii="Arial" w:eastAsia="Arial" w:hAnsi="Arial" w:cs="Arial"/>
                <w:b/>
                <w:bCs/>
                <w:color w:val="000000" w:themeColor="text1"/>
              </w:rPr>
            </w:pPr>
            <w:r w:rsidRPr="00331DCC">
              <w:rPr>
                <w:rFonts w:ascii="Arial" w:eastAsia="Arial" w:hAnsi="Arial" w:cs="Arial"/>
                <w:b/>
                <w:bCs/>
              </w:rPr>
              <w:t>State Law &amp; Regulations</w:t>
            </w:r>
          </w:p>
        </w:tc>
      </w:tr>
      <w:tr w:rsidR="009205E4" w14:paraId="07532B4D" w14:textId="77777777" w:rsidTr="00331DCC">
        <w:trPr>
          <w:cantSplit/>
        </w:trPr>
        <w:tc>
          <w:tcPr>
            <w:tcW w:w="2515" w:type="dxa"/>
          </w:tcPr>
          <w:p w14:paraId="277B1F78" w14:textId="1866C566" w:rsidR="009205E4" w:rsidRDefault="009205E4" w:rsidP="009205E4">
            <w:pPr>
              <w:spacing w:after="240"/>
              <w:rPr>
                <w:rFonts w:ascii="Arial" w:eastAsia="Arial" w:hAnsi="Arial" w:cs="Arial"/>
                <w:color w:val="000000" w:themeColor="text1"/>
              </w:rPr>
            </w:pPr>
            <w:r w:rsidRPr="009205E4">
              <w:rPr>
                <w:rFonts w:ascii="Arial" w:eastAsia="Arial" w:hAnsi="Arial" w:cs="Arial"/>
                <w:color w:val="000000" w:themeColor="text1"/>
              </w:rPr>
              <w:t>English Language Proficiency standards adopted by the state must be derived from the four domains of Speaking, Listening, Reading, and Writing; address the different proficiency levels of EL students; and align with the challenging state academic standards.</w:t>
            </w:r>
          </w:p>
        </w:tc>
        <w:tc>
          <w:tcPr>
            <w:tcW w:w="2159" w:type="dxa"/>
          </w:tcPr>
          <w:p w14:paraId="21705BBB" w14:textId="0FFAAEA3" w:rsidR="009205E4" w:rsidRPr="009205E4" w:rsidRDefault="009205E4" w:rsidP="00331DCC">
            <w:pPr>
              <w:keepNext/>
              <w:keepLines/>
              <w:spacing w:after="120"/>
              <w:rPr>
                <w:rFonts w:ascii="Arial" w:eastAsia="Arial" w:hAnsi="Arial" w:cs="Arial"/>
                <w:color w:val="000000" w:themeColor="text1"/>
              </w:rPr>
            </w:pPr>
            <w:r w:rsidRPr="009205E4">
              <w:rPr>
                <w:rFonts w:ascii="Arial" w:eastAsia="Arial" w:hAnsi="Arial" w:cs="Arial"/>
                <w:color w:val="000000" w:themeColor="text1"/>
              </w:rPr>
              <w:t xml:space="preserve">20 United States Code (U.S.C) Section 6311[b][1][F], [b][2][G]; </w:t>
            </w:r>
            <w:r w:rsidRPr="009205E4">
              <w:rPr>
                <w:rFonts w:ascii="Arial" w:eastAsia="Arial" w:hAnsi="Arial" w:cs="Arial"/>
                <w:i/>
                <w:iCs/>
                <w:color w:val="000000" w:themeColor="text1"/>
              </w:rPr>
              <w:t xml:space="preserve">Code of Federal Regulations, </w:t>
            </w:r>
            <w:r w:rsidRPr="009205E4">
              <w:rPr>
                <w:rFonts w:ascii="Arial" w:eastAsia="Arial" w:hAnsi="Arial" w:cs="Arial"/>
                <w:color w:val="000000" w:themeColor="text1"/>
              </w:rPr>
              <w:t>Title 34, Section 200.5[a][2]).</w:t>
            </w:r>
          </w:p>
          <w:p w14:paraId="39730BB2" w14:textId="77777777" w:rsidR="009205E4" w:rsidRDefault="009205E4" w:rsidP="00331DCC">
            <w:pPr>
              <w:spacing w:after="240"/>
              <w:rPr>
                <w:rFonts w:ascii="Arial" w:eastAsia="Arial" w:hAnsi="Arial" w:cs="Arial"/>
                <w:color w:val="000000" w:themeColor="text1"/>
              </w:rPr>
            </w:pPr>
          </w:p>
        </w:tc>
        <w:tc>
          <w:tcPr>
            <w:tcW w:w="2338" w:type="dxa"/>
          </w:tcPr>
          <w:p w14:paraId="230E18E8" w14:textId="1F0A50A0" w:rsidR="009205E4" w:rsidRPr="009205E4" w:rsidRDefault="009205E4" w:rsidP="00331DCC">
            <w:pPr>
              <w:keepNext/>
              <w:keepLines/>
              <w:spacing w:after="120"/>
              <w:rPr>
                <w:rFonts w:ascii="Arial" w:eastAsia="Arial" w:hAnsi="Arial" w:cs="Arial"/>
              </w:rPr>
            </w:pPr>
            <w:r w:rsidRPr="009205E4">
              <w:rPr>
                <w:rFonts w:ascii="Arial" w:eastAsia="Arial" w:hAnsi="Arial" w:cs="Arial"/>
              </w:rPr>
              <w:t xml:space="preserve">20 U.S.C. Section 6823[b][3][E] </w:t>
            </w:r>
          </w:p>
          <w:p w14:paraId="0D9481FC" w14:textId="77777777" w:rsidR="009205E4" w:rsidRDefault="009205E4" w:rsidP="00331DCC">
            <w:pPr>
              <w:spacing w:after="240"/>
              <w:rPr>
                <w:rFonts w:ascii="Arial" w:eastAsia="Arial" w:hAnsi="Arial" w:cs="Arial"/>
                <w:color w:val="000000" w:themeColor="text1"/>
              </w:rPr>
            </w:pPr>
          </w:p>
        </w:tc>
        <w:tc>
          <w:tcPr>
            <w:tcW w:w="2338" w:type="dxa"/>
          </w:tcPr>
          <w:p w14:paraId="5F1F9D06" w14:textId="69C3C072" w:rsidR="009205E4" w:rsidRPr="009205E4" w:rsidRDefault="009205E4" w:rsidP="00331DCC">
            <w:pPr>
              <w:rPr>
                <w:rFonts w:ascii="Arial" w:eastAsia="Arial" w:hAnsi="Arial" w:cs="Arial"/>
              </w:rPr>
            </w:pPr>
            <w:r w:rsidRPr="009205E4">
              <w:rPr>
                <w:rFonts w:ascii="Arial" w:eastAsia="Arial" w:hAnsi="Arial" w:cs="Arial"/>
              </w:rPr>
              <w:t xml:space="preserve">California </w:t>
            </w:r>
            <w:r w:rsidRPr="009205E4">
              <w:rPr>
                <w:rFonts w:ascii="Arial" w:eastAsia="Arial" w:hAnsi="Arial" w:cs="Arial"/>
                <w:i/>
                <w:iCs/>
              </w:rPr>
              <w:t xml:space="preserve">Education Code (EC) </w:t>
            </w:r>
            <w:r w:rsidRPr="009205E4">
              <w:rPr>
                <w:rFonts w:ascii="Arial" w:eastAsia="Arial" w:hAnsi="Arial" w:cs="Arial"/>
              </w:rPr>
              <w:t>Section</w:t>
            </w:r>
            <w:r w:rsidRPr="009205E4">
              <w:rPr>
                <w:rFonts w:ascii="Arial" w:eastAsia="Arial" w:hAnsi="Arial" w:cs="Arial"/>
                <w:i/>
                <w:iCs/>
              </w:rPr>
              <w:t xml:space="preserve"> </w:t>
            </w:r>
            <w:r w:rsidRPr="009205E4">
              <w:rPr>
                <w:rFonts w:ascii="Arial" w:eastAsia="Arial" w:hAnsi="Arial" w:cs="Arial"/>
              </w:rPr>
              <w:t xml:space="preserve">60810[a][1], [b][1] </w:t>
            </w:r>
          </w:p>
          <w:p w14:paraId="154B5D9E" w14:textId="77777777" w:rsidR="009205E4" w:rsidRDefault="009205E4" w:rsidP="00331DCC">
            <w:pPr>
              <w:spacing w:after="240"/>
              <w:rPr>
                <w:rFonts w:ascii="Arial" w:eastAsia="Arial" w:hAnsi="Arial" w:cs="Arial"/>
                <w:color w:val="000000" w:themeColor="text1"/>
              </w:rPr>
            </w:pPr>
          </w:p>
        </w:tc>
      </w:tr>
      <w:tr w:rsidR="009205E4" w14:paraId="6DF13099" w14:textId="77777777" w:rsidTr="00331DCC">
        <w:trPr>
          <w:cantSplit/>
        </w:trPr>
        <w:tc>
          <w:tcPr>
            <w:tcW w:w="2515" w:type="dxa"/>
          </w:tcPr>
          <w:p w14:paraId="1CB0E598" w14:textId="5BB69818" w:rsidR="009205E4" w:rsidRDefault="009205E4" w:rsidP="009205E4">
            <w:pPr>
              <w:spacing w:after="240"/>
              <w:rPr>
                <w:rFonts w:ascii="Arial" w:eastAsia="Arial" w:hAnsi="Arial" w:cs="Arial"/>
                <w:color w:val="000000" w:themeColor="text1"/>
              </w:rPr>
            </w:pPr>
            <w:r w:rsidRPr="009205E4">
              <w:rPr>
                <w:rFonts w:ascii="Arial" w:eastAsia="Arial" w:hAnsi="Arial" w:cs="Arial"/>
              </w:rPr>
              <w:t>States must develop an assessment of English proficiency that is aligned with the state’s ELP standards, and is fair, valid, and reliable.</w:t>
            </w:r>
          </w:p>
        </w:tc>
        <w:tc>
          <w:tcPr>
            <w:tcW w:w="2159" w:type="dxa"/>
          </w:tcPr>
          <w:p w14:paraId="1A52197A" w14:textId="15BAC9B5" w:rsidR="009205E4" w:rsidRPr="009205E4" w:rsidRDefault="009205E4" w:rsidP="00331DCC">
            <w:pPr>
              <w:keepNext/>
              <w:keepLines/>
              <w:spacing w:after="120"/>
              <w:rPr>
                <w:rFonts w:ascii="Arial" w:eastAsia="Arial" w:hAnsi="Arial" w:cs="Arial"/>
              </w:rPr>
            </w:pPr>
            <w:r w:rsidRPr="009205E4">
              <w:rPr>
                <w:rFonts w:ascii="Arial" w:eastAsia="Arial" w:hAnsi="Arial" w:cs="Arial"/>
              </w:rPr>
              <w:t xml:space="preserve">20 U.S.C. Section 6311[b][2][G][ii] </w:t>
            </w:r>
          </w:p>
          <w:p w14:paraId="4964A9AC" w14:textId="77777777" w:rsidR="009205E4" w:rsidRDefault="009205E4" w:rsidP="00331DCC">
            <w:pPr>
              <w:spacing w:after="240"/>
              <w:rPr>
                <w:rFonts w:ascii="Arial" w:eastAsia="Arial" w:hAnsi="Arial" w:cs="Arial"/>
                <w:color w:val="000000" w:themeColor="text1"/>
              </w:rPr>
            </w:pPr>
          </w:p>
        </w:tc>
        <w:tc>
          <w:tcPr>
            <w:tcW w:w="2338" w:type="dxa"/>
          </w:tcPr>
          <w:p w14:paraId="5AA81943" w14:textId="77777777" w:rsidR="009205E4" w:rsidRPr="009205E4" w:rsidRDefault="009205E4" w:rsidP="00331DCC">
            <w:pPr>
              <w:keepNext/>
              <w:keepLines/>
              <w:spacing w:after="120"/>
              <w:rPr>
                <w:rFonts w:ascii="Arial" w:eastAsia="Arial" w:hAnsi="Arial" w:cs="Arial"/>
              </w:rPr>
            </w:pPr>
            <w:r w:rsidRPr="009205E4">
              <w:rPr>
                <w:rFonts w:ascii="Arial" w:eastAsia="Arial" w:hAnsi="Arial" w:cs="Arial"/>
              </w:rPr>
              <w:t>Title III details requirements for language instruction to English learner students, but specific assessment requirements are detailed in Title I. 34 CFR Section 200.2 (2)(i)</w:t>
            </w:r>
          </w:p>
          <w:p w14:paraId="35CE00D4" w14:textId="77777777" w:rsidR="009205E4" w:rsidRDefault="009205E4" w:rsidP="00331DCC">
            <w:pPr>
              <w:spacing w:after="240"/>
              <w:rPr>
                <w:rFonts w:ascii="Arial" w:eastAsia="Arial" w:hAnsi="Arial" w:cs="Arial"/>
                <w:color w:val="000000" w:themeColor="text1"/>
              </w:rPr>
            </w:pPr>
          </w:p>
        </w:tc>
        <w:tc>
          <w:tcPr>
            <w:tcW w:w="2338" w:type="dxa"/>
          </w:tcPr>
          <w:p w14:paraId="7DDE052A" w14:textId="77777777" w:rsidR="009205E4" w:rsidRPr="009205E4" w:rsidRDefault="009205E4" w:rsidP="00331DCC">
            <w:pPr>
              <w:keepNext/>
              <w:keepLines/>
              <w:spacing w:after="120"/>
              <w:rPr>
                <w:rFonts w:ascii="system-ui" w:eastAsia="system-ui" w:hAnsi="system-ui" w:cs="system-ui"/>
                <w:b/>
                <w:bCs/>
                <w:color w:val="1A1A1A"/>
              </w:rPr>
            </w:pPr>
            <w:r w:rsidRPr="009205E4">
              <w:rPr>
                <w:rFonts w:ascii="Arial" w:eastAsia="Arial" w:hAnsi="Arial" w:cs="Arial"/>
                <w:i/>
                <w:iCs/>
              </w:rPr>
              <w:t xml:space="preserve">EC </w:t>
            </w:r>
            <w:r w:rsidRPr="009205E4">
              <w:rPr>
                <w:rFonts w:ascii="Arial" w:eastAsia="Arial" w:hAnsi="Arial" w:cs="Arial"/>
              </w:rPr>
              <w:t>Section</w:t>
            </w:r>
            <w:r w:rsidRPr="009205E4">
              <w:rPr>
                <w:rFonts w:ascii="Arial" w:eastAsia="Arial" w:hAnsi="Arial" w:cs="Arial"/>
                <w:i/>
                <w:iCs/>
              </w:rPr>
              <w:t xml:space="preserve"> </w:t>
            </w:r>
            <w:r w:rsidRPr="009205E4">
              <w:rPr>
                <w:rFonts w:ascii="Arial" w:eastAsia="Arial" w:hAnsi="Arial" w:cs="Arial"/>
              </w:rPr>
              <w:t>60810 [2]</w:t>
            </w:r>
          </w:p>
          <w:p w14:paraId="3B029A96" w14:textId="77777777" w:rsidR="009205E4" w:rsidRDefault="009205E4" w:rsidP="00331DCC">
            <w:pPr>
              <w:spacing w:after="240"/>
              <w:rPr>
                <w:rFonts w:ascii="Arial" w:eastAsia="Arial" w:hAnsi="Arial" w:cs="Arial"/>
                <w:color w:val="000000" w:themeColor="text1"/>
              </w:rPr>
            </w:pPr>
          </w:p>
        </w:tc>
      </w:tr>
      <w:tr w:rsidR="009205E4" w14:paraId="34547292" w14:textId="77777777" w:rsidTr="00331DCC">
        <w:trPr>
          <w:cantSplit/>
        </w:trPr>
        <w:tc>
          <w:tcPr>
            <w:tcW w:w="2515" w:type="dxa"/>
          </w:tcPr>
          <w:p w14:paraId="58E2620E" w14:textId="497916B1" w:rsidR="009205E4" w:rsidRDefault="009205E4" w:rsidP="009205E4">
            <w:pPr>
              <w:spacing w:after="240"/>
              <w:rPr>
                <w:rFonts w:ascii="Arial" w:eastAsia="Arial" w:hAnsi="Arial" w:cs="Arial"/>
                <w:color w:val="000000" w:themeColor="text1"/>
              </w:rPr>
            </w:pPr>
            <w:r w:rsidRPr="009205E4">
              <w:rPr>
                <w:rFonts w:ascii="Arial" w:eastAsia="Arial" w:hAnsi="Arial" w:cs="Arial"/>
              </w:rPr>
              <w:lastRenderedPageBreak/>
              <w:t>LEAs must administer an annual assessment of English proficiency to all ELs served by that LEA in grades kindergarten through twelve.</w:t>
            </w:r>
          </w:p>
        </w:tc>
        <w:tc>
          <w:tcPr>
            <w:tcW w:w="2159" w:type="dxa"/>
          </w:tcPr>
          <w:p w14:paraId="7FD89251" w14:textId="456856A6" w:rsidR="009205E4" w:rsidRDefault="009205E4" w:rsidP="009205E4">
            <w:pPr>
              <w:spacing w:after="240"/>
              <w:rPr>
                <w:rFonts w:ascii="Arial" w:eastAsia="Arial" w:hAnsi="Arial" w:cs="Arial"/>
                <w:color w:val="000000" w:themeColor="text1"/>
              </w:rPr>
            </w:pPr>
            <w:r w:rsidRPr="009205E4">
              <w:rPr>
                <w:rFonts w:ascii="Arial" w:eastAsia="Arial" w:hAnsi="Arial" w:cs="Arial"/>
              </w:rPr>
              <w:t xml:space="preserve"> 20 U.S.C. Section 6311[b][2][G][i]</w:t>
            </w:r>
          </w:p>
        </w:tc>
        <w:tc>
          <w:tcPr>
            <w:tcW w:w="2338" w:type="dxa"/>
          </w:tcPr>
          <w:p w14:paraId="32722876" w14:textId="4ED0E9AF" w:rsidR="009205E4" w:rsidRDefault="009205E4" w:rsidP="009205E4">
            <w:pPr>
              <w:spacing w:after="240"/>
              <w:rPr>
                <w:rFonts w:ascii="Arial" w:eastAsia="Arial" w:hAnsi="Arial" w:cs="Arial"/>
                <w:color w:val="000000" w:themeColor="text1"/>
              </w:rPr>
            </w:pPr>
            <w:r w:rsidRPr="009205E4">
              <w:rPr>
                <w:rFonts w:ascii="Arial" w:eastAsia="Arial" w:hAnsi="Arial" w:cs="Arial"/>
              </w:rPr>
              <w:t>20 U.S.C. Section 6823[b][3][B]</w:t>
            </w:r>
          </w:p>
        </w:tc>
        <w:tc>
          <w:tcPr>
            <w:tcW w:w="2338" w:type="dxa"/>
          </w:tcPr>
          <w:p w14:paraId="6086F43B" w14:textId="3FA1AE13" w:rsidR="009205E4" w:rsidRDefault="009205E4" w:rsidP="009205E4">
            <w:pPr>
              <w:spacing w:after="240"/>
              <w:rPr>
                <w:rFonts w:ascii="Arial" w:eastAsia="Arial" w:hAnsi="Arial" w:cs="Arial"/>
                <w:color w:val="000000" w:themeColor="text1"/>
              </w:rPr>
            </w:pPr>
            <w:r w:rsidRPr="009205E4">
              <w:rPr>
                <w:rFonts w:ascii="Arial" w:eastAsia="Arial" w:hAnsi="Arial" w:cs="Arial"/>
                <w:i/>
                <w:iCs/>
              </w:rPr>
              <w:t xml:space="preserve">EC </w:t>
            </w:r>
            <w:r w:rsidRPr="009205E4">
              <w:rPr>
                <w:rFonts w:ascii="Arial" w:eastAsia="Arial" w:hAnsi="Arial" w:cs="Arial"/>
              </w:rPr>
              <w:t xml:space="preserve">sections 313, 60810; California </w:t>
            </w:r>
            <w:r w:rsidRPr="009205E4">
              <w:rPr>
                <w:rFonts w:ascii="Arial" w:eastAsia="Arial" w:hAnsi="Arial" w:cs="Arial"/>
                <w:i/>
                <w:iCs/>
              </w:rPr>
              <w:t>Code of Regulations</w:t>
            </w:r>
            <w:r w:rsidRPr="009205E4">
              <w:rPr>
                <w:rFonts w:ascii="Arial" w:eastAsia="Arial" w:hAnsi="Arial" w:cs="Arial"/>
              </w:rPr>
              <w:t xml:space="preserve">, Title 5 (5 </w:t>
            </w:r>
            <w:r w:rsidRPr="009205E4">
              <w:rPr>
                <w:rFonts w:ascii="Arial" w:eastAsia="Arial" w:hAnsi="Arial" w:cs="Arial"/>
                <w:i/>
                <w:iCs/>
              </w:rPr>
              <w:t>CCR</w:t>
            </w:r>
            <w:r w:rsidRPr="009205E4">
              <w:rPr>
                <w:rFonts w:ascii="Arial" w:eastAsia="Arial" w:hAnsi="Arial" w:cs="Arial"/>
              </w:rPr>
              <w:t>), Sections 11306, 11518.15(a)</w:t>
            </w:r>
          </w:p>
        </w:tc>
      </w:tr>
      <w:tr w:rsidR="00331DCC" w14:paraId="4874D9A4" w14:textId="77777777" w:rsidTr="00331DCC">
        <w:trPr>
          <w:cantSplit/>
        </w:trPr>
        <w:tc>
          <w:tcPr>
            <w:tcW w:w="2515" w:type="dxa"/>
          </w:tcPr>
          <w:p w14:paraId="6E18970E" w14:textId="37D5F6E3" w:rsidR="00331DCC" w:rsidRPr="009205E4" w:rsidRDefault="00331DCC" w:rsidP="009205E4">
            <w:pPr>
              <w:spacing w:after="240"/>
              <w:rPr>
                <w:rFonts w:ascii="Arial" w:eastAsia="Arial" w:hAnsi="Arial" w:cs="Arial"/>
              </w:rPr>
            </w:pPr>
            <w:r w:rsidRPr="009205E4">
              <w:rPr>
                <w:rFonts w:ascii="Arial" w:eastAsia="Arial" w:hAnsi="Arial" w:cs="Arial"/>
              </w:rPr>
              <w:t>LEAs are required to provide EL students with effective and appropriate instructional methods, including but not limited to establishing language acquisition programs, to ensure that all EL students have access to the core academic content standards and English language development standards to become proficient in English</w:t>
            </w:r>
          </w:p>
        </w:tc>
        <w:tc>
          <w:tcPr>
            <w:tcW w:w="2159" w:type="dxa"/>
          </w:tcPr>
          <w:p w14:paraId="2B1241E7" w14:textId="77777777" w:rsidR="00331DCC" w:rsidRPr="009205E4" w:rsidRDefault="00331DCC" w:rsidP="00331DCC">
            <w:pPr>
              <w:keepNext/>
              <w:keepLines/>
              <w:spacing w:after="120"/>
              <w:rPr>
                <w:rFonts w:ascii="Arial" w:eastAsia="Arial" w:hAnsi="Arial" w:cs="Arial"/>
              </w:rPr>
            </w:pPr>
            <w:r w:rsidRPr="009205E4">
              <w:rPr>
                <w:rFonts w:ascii="Arial" w:eastAsia="Arial" w:hAnsi="Arial" w:cs="Arial"/>
              </w:rPr>
              <w:t xml:space="preserve">20 U.S.C. Section 6311[b][2][B][vii][III] </w:t>
            </w:r>
          </w:p>
          <w:p w14:paraId="4067F603" w14:textId="77777777" w:rsidR="00331DCC" w:rsidRPr="009205E4" w:rsidRDefault="00331DCC" w:rsidP="009205E4">
            <w:pPr>
              <w:spacing w:after="240"/>
              <w:rPr>
                <w:rFonts w:ascii="Arial" w:eastAsia="Arial" w:hAnsi="Arial" w:cs="Arial"/>
              </w:rPr>
            </w:pPr>
          </w:p>
        </w:tc>
        <w:tc>
          <w:tcPr>
            <w:tcW w:w="2338" w:type="dxa"/>
          </w:tcPr>
          <w:p w14:paraId="6F55A9BA" w14:textId="37B80B21" w:rsidR="00331DCC" w:rsidRPr="009205E4" w:rsidRDefault="00331DCC" w:rsidP="009205E4">
            <w:pPr>
              <w:spacing w:after="240"/>
              <w:rPr>
                <w:rFonts w:ascii="Arial" w:eastAsia="Arial" w:hAnsi="Arial" w:cs="Arial"/>
              </w:rPr>
            </w:pPr>
            <w:r w:rsidRPr="009205E4">
              <w:rPr>
                <w:rFonts w:ascii="Arial" w:eastAsia="Arial" w:hAnsi="Arial" w:cs="Arial"/>
              </w:rPr>
              <w:t>20 U.S.C. sections 6823[b][3][E], 6826[b</w:t>
            </w:r>
            <w:proofErr w:type="gramStart"/>
            <w:r w:rsidRPr="009205E4">
              <w:rPr>
                <w:rFonts w:ascii="Arial" w:eastAsia="Arial" w:hAnsi="Arial" w:cs="Arial"/>
              </w:rPr>
              <w:t>][</w:t>
            </w:r>
            <w:proofErr w:type="gramEnd"/>
            <w:r w:rsidRPr="009205E4">
              <w:rPr>
                <w:rFonts w:ascii="Arial" w:eastAsia="Arial" w:hAnsi="Arial" w:cs="Arial"/>
              </w:rPr>
              <w:t>1,2]</w:t>
            </w:r>
          </w:p>
        </w:tc>
        <w:tc>
          <w:tcPr>
            <w:tcW w:w="2338" w:type="dxa"/>
          </w:tcPr>
          <w:p w14:paraId="445D4034" w14:textId="7ACE0005" w:rsidR="00331DCC" w:rsidRPr="009205E4" w:rsidRDefault="00331DCC" w:rsidP="009205E4">
            <w:pPr>
              <w:spacing w:after="240"/>
              <w:rPr>
                <w:rFonts w:ascii="Arial" w:eastAsia="Arial" w:hAnsi="Arial" w:cs="Arial"/>
                <w:i/>
                <w:iCs/>
              </w:rPr>
            </w:pPr>
            <w:r w:rsidRPr="009205E4">
              <w:rPr>
                <w:rFonts w:ascii="Arial" w:eastAsia="Arial" w:hAnsi="Arial" w:cs="Arial"/>
                <w:i/>
                <w:iCs/>
              </w:rPr>
              <w:t>EC</w:t>
            </w:r>
            <w:r w:rsidRPr="009205E4">
              <w:rPr>
                <w:rFonts w:ascii="Arial" w:eastAsia="Arial" w:hAnsi="Arial" w:cs="Arial"/>
              </w:rPr>
              <w:t xml:space="preserve"> sections 305, 306[c]</w:t>
            </w:r>
          </w:p>
        </w:tc>
      </w:tr>
    </w:tbl>
    <w:p w14:paraId="31A426FE" w14:textId="2EE9D854" w:rsidR="001E668B" w:rsidRPr="009205E4" w:rsidRDefault="08040AE5" w:rsidP="00331DCC">
      <w:pPr>
        <w:spacing w:before="240" w:after="0" w:line="240" w:lineRule="auto"/>
        <w:rPr>
          <w:rFonts w:ascii="Arial" w:eastAsia="Arial" w:hAnsi="Arial" w:cs="Arial"/>
          <w:color w:val="000000" w:themeColor="text1"/>
        </w:rPr>
      </w:pPr>
      <w:r w:rsidRPr="009205E4">
        <w:rPr>
          <w:rFonts w:ascii="Arial" w:eastAsia="Arial" w:hAnsi="Arial" w:cs="Arial"/>
          <w:color w:val="000000" w:themeColor="text1"/>
          <w:vertAlign w:val="superscript"/>
        </w:rPr>
        <w:t>1</w:t>
      </w:r>
      <w:r w:rsidRPr="009205E4">
        <w:rPr>
          <w:rFonts w:ascii="Arial" w:eastAsia="Arial" w:hAnsi="Arial" w:cs="Arial"/>
          <w:color w:val="000000" w:themeColor="text1"/>
        </w:rPr>
        <w:t xml:space="preserve"> Required as a condition of receiving federal funds per Title I of the Elementary and Secondary Education Act of 1965 (ESEA), as Amended by </w:t>
      </w:r>
      <w:proofErr w:type="gramStart"/>
      <w:r w:rsidRPr="009205E4">
        <w:rPr>
          <w:rFonts w:ascii="Arial" w:eastAsia="Arial" w:hAnsi="Arial" w:cs="Arial"/>
          <w:color w:val="000000" w:themeColor="text1"/>
        </w:rPr>
        <w:t>the Every</w:t>
      </w:r>
      <w:proofErr w:type="gramEnd"/>
      <w:r w:rsidRPr="009205E4">
        <w:rPr>
          <w:rFonts w:ascii="Arial" w:eastAsia="Arial" w:hAnsi="Arial" w:cs="Arial"/>
          <w:color w:val="000000" w:themeColor="text1"/>
        </w:rPr>
        <w:t xml:space="preserve"> Student Succeeds Act (ESSA).</w:t>
      </w:r>
    </w:p>
    <w:p w14:paraId="2C078E63" w14:textId="2634A83D" w:rsidR="001E668B" w:rsidRDefault="08040AE5" w:rsidP="00331DCC">
      <w:pPr>
        <w:spacing w:after="0" w:line="240" w:lineRule="auto"/>
      </w:pPr>
      <w:r w:rsidRPr="009205E4">
        <w:rPr>
          <w:rFonts w:ascii="Arial" w:eastAsia="Arial" w:hAnsi="Arial" w:cs="Arial"/>
          <w:color w:val="000000" w:themeColor="text1"/>
          <w:vertAlign w:val="superscript"/>
        </w:rPr>
        <w:t>2</w:t>
      </w:r>
      <w:r w:rsidRPr="009205E4">
        <w:rPr>
          <w:rFonts w:ascii="Arial" w:eastAsia="Arial" w:hAnsi="Arial" w:cs="Arial"/>
          <w:color w:val="000000" w:themeColor="text1"/>
        </w:rPr>
        <w:t xml:space="preserve"> Required as a condition of receiving federal funds per Title III of ESEA, as Amended by ESSA.</w:t>
      </w:r>
    </w:p>
    <w:sectPr w:rsidR="001E668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B624D" w14:textId="77777777" w:rsidR="00AE2B1E" w:rsidRDefault="00AE2B1E" w:rsidP="00AE2B1E">
      <w:pPr>
        <w:spacing w:after="0" w:line="240" w:lineRule="auto"/>
      </w:pPr>
      <w:r>
        <w:separator/>
      </w:r>
    </w:p>
  </w:endnote>
  <w:endnote w:type="continuationSeparator" w:id="0">
    <w:p w14:paraId="2EAF2605" w14:textId="77777777" w:rsidR="00AE2B1E" w:rsidRDefault="00AE2B1E" w:rsidP="00AE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5AAC0" w14:textId="77777777" w:rsidR="00AE2B1E" w:rsidRDefault="00AE2B1E" w:rsidP="00AE2B1E">
      <w:pPr>
        <w:spacing w:after="0" w:line="240" w:lineRule="auto"/>
      </w:pPr>
      <w:r>
        <w:separator/>
      </w:r>
    </w:p>
  </w:footnote>
  <w:footnote w:type="continuationSeparator" w:id="0">
    <w:p w14:paraId="68CF816F" w14:textId="77777777" w:rsidR="00AE2B1E" w:rsidRDefault="00AE2B1E" w:rsidP="00AE2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0DFE5" w14:textId="723C8BDB" w:rsidR="00AE2B1E" w:rsidRPr="00AE2B1E" w:rsidRDefault="00AE2B1E" w:rsidP="00AE2B1E">
    <w:pPr>
      <w:pStyle w:val="Heading1"/>
      <w:spacing w:line="240" w:lineRule="auto"/>
      <w:contextualSpacing/>
      <w:jc w:val="right"/>
      <w:rPr>
        <w:rFonts w:ascii="Arial" w:hAnsi="Arial" w:cs="Arial"/>
        <w:color w:val="auto"/>
        <w:sz w:val="24"/>
        <w:szCs w:val="24"/>
      </w:rPr>
    </w:pPr>
    <w:r w:rsidRPr="00AE2B1E">
      <w:rPr>
        <w:rFonts w:ascii="Arial" w:hAnsi="Arial" w:cs="Arial"/>
        <w:color w:val="auto"/>
        <w:sz w:val="24"/>
        <w:szCs w:val="24"/>
      </w:rPr>
      <w:t>memo-ofab-msd-jun24item01</w:t>
    </w:r>
  </w:p>
  <w:p w14:paraId="5E623897" w14:textId="0323D78B" w:rsidR="00AE2B1E" w:rsidRPr="00AE2B1E" w:rsidRDefault="00AE2B1E" w:rsidP="00AE2B1E">
    <w:pPr>
      <w:spacing w:line="240" w:lineRule="auto"/>
      <w:contextualSpacing/>
      <w:jc w:val="right"/>
      <w:rPr>
        <w:rFonts w:ascii="Arial" w:hAnsi="Arial" w:cs="Arial"/>
      </w:rPr>
    </w:pPr>
    <w:r w:rsidRPr="00AE2B1E">
      <w:rPr>
        <w:rFonts w:ascii="Arial" w:hAnsi="Arial" w:cs="Arial"/>
      </w:rPr>
      <w:t>Attachment 1</w:t>
    </w:r>
  </w:p>
  <w:p w14:paraId="47BEF0DE" w14:textId="7C81E165" w:rsidR="00AE2B1E" w:rsidRPr="00AE2B1E" w:rsidRDefault="00AE2B1E" w:rsidP="00AE2B1E">
    <w:pPr>
      <w:pStyle w:val="Header"/>
      <w:contextualSpacing/>
      <w:jc w:val="right"/>
      <w:rPr>
        <w:rFonts w:ascii="Arial" w:hAnsi="Arial" w:cs="Arial"/>
      </w:rPr>
    </w:pPr>
    <w:r w:rsidRPr="00AE2B1E">
      <w:rPr>
        <w:rFonts w:ascii="Arial" w:hAnsi="Arial" w:cs="Arial"/>
      </w:rPr>
      <w:t xml:space="preserve">Page </w:t>
    </w:r>
    <w:r w:rsidRPr="00AE2B1E">
      <w:rPr>
        <w:rFonts w:ascii="Arial" w:hAnsi="Arial" w:cs="Arial"/>
      </w:rPr>
      <w:fldChar w:fldCharType="begin"/>
    </w:r>
    <w:r w:rsidRPr="00AE2B1E">
      <w:rPr>
        <w:rFonts w:ascii="Arial" w:hAnsi="Arial" w:cs="Arial"/>
      </w:rPr>
      <w:instrText xml:space="preserve"> PAGE  \* Arabic  \* MERGEFORMAT </w:instrText>
    </w:r>
    <w:r w:rsidRPr="00AE2B1E">
      <w:rPr>
        <w:rFonts w:ascii="Arial" w:hAnsi="Arial" w:cs="Arial"/>
      </w:rPr>
      <w:fldChar w:fldCharType="separate"/>
    </w:r>
    <w:r w:rsidRPr="00AE2B1E">
      <w:rPr>
        <w:rFonts w:ascii="Arial" w:hAnsi="Arial" w:cs="Arial"/>
        <w:noProof/>
      </w:rPr>
      <w:t>1</w:t>
    </w:r>
    <w:r w:rsidRPr="00AE2B1E">
      <w:rPr>
        <w:rFonts w:ascii="Arial" w:hAnsi="Arial" w:cs="Arial"/>
      </w:rPr>
      <w:fldChar w:fldCharType="end"/>
    </w:r>
    <w:r w:rsidRPr="00AE2B1E">
      <w:rPr>
        <w:rFonts w:ascii="Arial" w:hAnsi="Arial" w:cs="Arial"/>
      </w:rPr>
      <w:t xml:space="preserve"> of </w:t>
    </w:r>
    <w:r w:rsidRPr="00AE2B1E">
      <w:rPr>
        <w:rFonts w:ascii="Arial" w:hAnsi="Arial" w:cs="Arial"/>
      </w:rPr>
      <w:fldChar w:fldCharType="begin"/>
    </w:r>
    <w:r w:rsidRPr="00AE2B1E">
      <w:rPr>
        <w:rFonts w:ascii="Arial" w:hAnsi="Arial" w:cs="Arial"/>
      </w:rPr>
      <w:instrText xml:space="preserve"> NUMPAGES  \* Arabic  \* MERGEFORMAT </w:instrText>
    </w:r>
    <w:r w:rsidRPr="00AE2B1E">
      <w:rPr>
        <w:rFonts w:ascii="Arial" w:hAnsi="Arial" w:cs="Arial"/>
      </w:rPr>
      <w:fldChar w:fldCharType="separate"/>
    </w:r>
    <w:r w:rsidRPr="00AE2B1E">
      <w:rPr>
        <w:rFonts w:ascii="Arial" w:hAnsi="Arial" w:cs="Arial"/>
        <w:noProof/>
      </w:rPr>
      <w:t>2</w:t>
    </w:r>
    <w:r w:rsidRPr="00AE2B1E">
      <w:rPr>
        <w:rFonts w:ascii="Arial" w:hAnsi="Arial" w:cs="Aria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90427B"/>
    <w:rsid w:val="000473E8"/>
    <w:rsid w:val="00122D65"/>
    <w:rsid w:val="001E668B"/>
    <w:rsid w:val="00243B7D"/>
    <w:rsid w:val="00331DCC"/>
    <w:rsid w:val="009205E4"/>
    <w:rsid w:val="00AE2B1E"/>
    <w:rsid w:val="00B214D1"/>
    <w:rsid w:val="057AE541"/>
    <w:rsid w:val="08040AE5"/>
    <w:rsid w:val="174B0E2E"/>
    <w:rsid w:val="29015A3A"/>
    <w:rsid w:val="29D28587"/>
    <w:rsid w:val="2A60912F"/>
    <w:rsid w:val="30B98EF3"/>
    <w:rsid w:val="34D3360A"/>
    <w:rsid w:val="3CEA37F0"/>
    <w:rsid w:val="4FBB37E8"/>
    <w:rsid w:val="52578AC3"/>
    <w:rsid w:val="5690427B"/>
    <w:rsid w:val="6FF8D98A"/>
    <w:rsid w:val="747E9247"/>
    <w:rsid w:val="74904B91"/>
    <w:rsid w:val="74B11D10"/>
    <w:rsid w:val="74ECC334"/>
    <w:rsid w:val="782DF8D8"/>
    <w:rsid w:val="7D88E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427B"/>
  <w15:chartTrackingRefBased/>
  <w15:docId w15:val="{62EC4C22-CC90-4037-93C6-115708FC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E2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B1E"/>
  </w:style>
  <w:style w:type="paragraph" w:styleId="Footer">
    <w:name w:val="footer"/>
    <w:basedOn w:val="Normal"/>
    <w:link w:val="FooterChar"/>
    <w:uiPriority w:val="99"/>
    <w:unhideWhenUsed/>
    <w:rsid w:val="00AE2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A2E949DB1E748A06F395561C30E85" ma:contentTypeVersion="6" ma:contentTypeDescription="Create a new document." ma:contentTypeScope="" ma:versionID="8c5715ffb3fb9979c9d99584bcd7c580">
  <xsd:schema xmlns:xsd="http://www.w3.org/2001/XMLSchema" xmlns:xs="http://www.w3.org/2001/XMLSchema" xmlns:p="http://schemas.microsoft.com/office/2006/metadata/properties" xmlns:ns2="0340925a-771f-4d60-882c-066fcc9b7ecb" xmlns:ns3="9e8f31f3-3644-45a3-a4e7-71c8c5cc658a" targetNamespace="http://schemas.microsoft.com/office/2006/metadata/properties" ma:root="true" ma:fieldsID="424c5ea191ba0938d49ef9b367aeaf03" ns2:_="" ns3:_="">
    <xsd:import namespace="0340925a-771f-4d60-882c-066fcc9b7ecb"/>
    <xsd:import namespace="9e8f31f3-3644-45a3-a4e7-71c8c5cc6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0925a-771f-4d60-882c-066fcc9b7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8f31f3-3644-45a3-a4e7-71c8c5cc6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9935FD-A04C-4EDF-8139-CEF21129B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0925a-771f-4d60-882c-066fcc9b7ecb"/>
    <ds:schemaRef ds:uri="9e8f31f3-3644-45a3-a4e7-71c8c5cc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F5981-FC0D-4D4C-A07D-7CA46D1AB94C}">
  <ds:schemaRefs>
    <ds:schemaRef ds:uri="http://schemas.microsoft.com/sharepoint/v3/contenttype/forms"/>
  </ds:schemaRefs>
</ds:datastoreItem>
</file>

<file path=customXml/itemProps3.xml><?xml version="1.0" encoding="utf-8"?>
<ds:datastoreItem xmlns:ds="http://schemas.openxmlformats.org/officeDocument/2006/customXml" ds:itemID="{4238AE05-1ECE-420B-BEC8-2D078BA017B2}">
  <ds:schemaRefs>
    <ds:schemaRef ds:uri="http://schemas.microsoft.com/office/infopath/2007/PartnerControls"/>
    <ds:schemaRef ds:uri="http://purl.org/dc/elements/1.1/"/>
    <ds:schemaRef ds:uri="http://schemas.microsoft.com/office/2006/metadata/properties"/>
    <ds:schemaRef ds:uri="9e8f31f3-3644-45a3-a4e7-71c8c5cc658a"/>
    <ds:schemaRef ds:uri="http://purl.org/dc/terms/"/>
    <ds:schemaRef ds:uri="0340925a-771f-4d60-882c-066fcc9b7ec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309</Words>
  <Characters>1763</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June 2024 Memo Item 1 Attachment 1 - Meeting Agendas (CA State Board of Education)</vt:lpstr>
    </vt:vector>
  </TitlesOfParts>
  <Company>California State Board of Education</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2024 Memo OFAB MSD Item 01 Attachment 1 - Meeting Agendas (CA State Board of Education)</dc:title>
  <dc:subject>Federal and State Law Regarding English Learners.</dc:subject>
  <cp:keywords/>
  <dc:description/>
  <dcterms:created xsi:type="dcterms:W3CDTF">2024-06-11T18:59:00Z</dcterms:created>
  <dcterms:modified xsi:type="dcterms:W3CDTF">2024-06-21T20:03:00Z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0x0101002F4A2E949DB1E748A06F395561C30E85</vt:lpwstr>
  </property>
</Properties>
</file>