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0A2C" w14:textId="77777777" w:rsidR="00057A96" w:rsidRDefault="00057A96" w:rsidP="00057A96">
      <w:r>
        <w:t>California Department of Education</w:t>
      </w:r>
    </w:p>
    <w:p w14:paraId="769AE30B" w14:textId="77777777" w:rsidR="00057A96" w:rsidRDefault="00057A96" w:rsidP="00057A96">
      <w:r>
        <w:t>Executive Office</w:t>
      </w:r>
    </w:p>
    <w:p w14:paraId="2F050B84" w14:textId="77777777" w:rsidR="00982A10" w:rsidRDefault="00057A96" w:rsidP="00982A10">
      <w:r>
        <w:t>SBE-00</w:t>
      </w:r>
      <w:r w:rsidR="00BC376B">
        <w:t>2</w:t>
      </w:r>
      <w:r>
        <w:t xml:space="preserve"> (REV. 1</w:t>
      </w:r>
      <w:r w:rsidR="000C139F">
        <w:t>1</w:t>
      </w:r>
      <w:r>
        <w:t>/2017)</w:t>
      </w:r>
    </w:p>
    <w:p w14:paraId="6F979DCB" w14:textId="705E2569" w:rsidR="00982A10" w:rsidRDefault="00982A10" w:rsidP="007B1D71">
      <w:pPr>
        <w:jc w:val="right"/>
      </w:pPr>
      <w:r>
        <w:br w:type="column"/>
      </w:r>
      <w:r w:rsidR="00C14098" w:rsidRPr="00D53D40">
        <w:t>memo-i</w:t>
      </w:r>
      <w:r w:rsidR="000A5FEC">
        <w:t>tb</w:t>
      </w:r>
      <w:r w:rsidR="00C14098" w:rsidRPr="00D53D40">
        <w:t>-adad-</w:t>
      </w:r>
      <w:r w:rsidR="00D53D40" w:rsidRPr="00D53D40">
        <w:t>jun2</w:t>
      </w:r>
      <w:r w:rsidR="001C6FB4">
        <w:t>5</w:t>
      </w:r>
      <w:r w:rsidR="00C14098" w:rsidRPr="00D53D40">
        <w:t>item0</w:t>
      </w:r>
      <w:r w:rsidR="001C6FB4">
        <w:t>2</w:t>
      </w:r>
    </w:p>
    <w:p w14:paraId="268D6298" w14:textId="77777777" w:rsidR="00982A10" w:rsidRDefault="00982A10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982A10" w:rsidSect="00DC71EE"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</w:sectPr>
      </w:pPr>
    </w:p>
    <w:p w14:paraId="190C1FC9" w14:textId="77777777" w:rsidR="00057A96" w:rsidRPr="008B1135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012C2F33" w14:textId="372E0C9C" w:rsidR="00057A96" w:rsidRPr="008B1135" w:rsidRDefault="008F6CA0" w:rsidP="008B1135">
      <w:pPr>
        <w:spacing w:after="360"/>
      </w:pPr>
      <w:r w:rsidRPr="008F6CA0">
        <w:rPr>
          <w:b/>
        </w:rPr>
        <w:t>DATE:</w:t>
      </w:r>
      <w:r>
        <w:tab/>
      </w:r>
      <w:r w:rsidR="00D53D40" w:rsidRPr="00512382">
        <w:t xml:space="preserve">June </w:t>
      </w:r>
      <w:r w:rsidR="001C6FB4" w:rsidRPr="00512382">
        <w:t>13</w:t>
      </w:r>
      <w:r w:rsidR="00BC78DB" w:rsidRPr="00512382">
        <w:t>, 202</w:t>
      </w:r>
      <w:r w:rsidR="001C6FB4" w:rsidRPr="00512382">
        <w:t>5</w:t>
      </w:r>
      <w:r w:rsidR="00057A96" w:rsidRPr="008B1135">
        <w:t xml:space="preserve"> </w:t>
      </w:r>
    </w:p>
    <w:p w14:paraId="171B6E74" w14:textId="514F32C6" w:rsidR="00057A96" w:rsidRPr="00C61F78" w:rsidRDefault="00057A96" w:rsidP="00C61F78">
      <w:pPr>
        <w:spacing w:after="360"/>
        <w:ind w:left="1440" w:hanging="1440"/>
      </w:pPr>
      <w:r w:rsidRPr="008B1135">
        <w:rPr>
          <w:b/>
        </w:rPr>
        <w:t>TO:</w:t>
      </w:r>
      <w:r w:rsidRPr="00C61F78">
        <w:rPr>
          <w:b/>
        </w:rPr>
        <w:tab/>
      </w:r>
      <w:r w:rsidRPr="00C61F78">
        <w:t>MEMBERS, State Board of Education</w:t>
      </w:r>
    </w:p>
    <w:p w14:paraId="12691117" w14:textId="77777777" w:rsidR="00057A96" w:rsidRPr="0033616F" w:rsidRDefault="00057A96" w:rsidP="00C61F78">
      <w:pPr>
        <w:spacing w:after="360"/>
        <w:ind w:left="1440" w:hanging="1440"/>
      </w:pPr>
      <w:r w:rsidRPr="008B1135">
        <w:rPr>
          <w:b/>
        </w:rPr>
        <w:t>FROM:</w:t>
      </w:r>
      <w:r w:rsidR="00C61F78">
        <w:tab/>
        <w:t>TO</w:t>
      </w:r>
      <w:r w:rsidR="001D4A5B">
        <w:t>NY THURMOND</w:t>
      </w:r>
      <w:r w:rsidR="00C61F78">
        <w:t xml:space="preserve">, </w:t>
      </w:r>
      <w:r w:rsidRPr="0033616F">
        <w:t>State Superintendent of Public Instruction</w:t>
      </w:r>
    </w:p>
    <w:p w14:paraId="63C16021" w14:textId="032D1070" w:rsidR="00597CBE" w:rsidRPr="0033616F" w:rsidRDefault="00057A96" w:rsidP="009A543C">
      <w:pPr>
        <w:spacing w:after="480"/>
        <w:ind w:left="1440" w:hanging="1440"/>
      </w:pPr>
      <w:r w:rsidRPr="008B1135">
        <w:rPr>
          <w:b/>
        </w:rPr>
        <w:t>SUBJECT:</w:t>
      </w:r>
      <w:r w:rsidRPr="00C61F78">
        <w:rPr>
          <w:b/>
        </w:rPr>
        <w:tab/>
      </w:r>
      <w:r w:rsidR="009A543C">
        <w:t>Proposed Goals and Priorities for the Next C</w:t>
      </w:r>
      <w:r w:rsidR="00B74462">
        <w:t xml:space="preserve">alifornia Assessment System </w:t>
      </w:r>
      <w:r w:rsidR="00B0447A">
        <w:t>Procurement</w:t>
      </w:r>
    </w:p>
    <w:p w14:paraId="0C91C019" w14:textId="77777777" w:rsidR="00057A96" w:rsidRPr="008B1135" w:rsidRDefault="00474A2F" w:rsidP="004A760C">
      <w:pPr>
        <w:pStyle w:val="Heading2"/>
        <w:spacing w:before="240" w:after="240"/>
        <w:rPr>
          <w:sz w:val="36"/>
        </w:rPr>
      </w:pPr>
      <w:r>
        <w:rPr>
          <w:sz w:val="36"/>
        </w:rPr>
        <w:t>Summary o</w:t>
      </w:r>
      <w:r w:rsidR="00057A96" w:rsidRPr="008B1135">
        <w:rPr>
          <w:sz w:val="36"/>
        </w:rPr>
        <w:t>f Key Issues</w:t>
      </w:r>
    </w:p>
    <w:p w14:paraId="0C3E2922" w14:textId="2402E2A7" w:rsidR="00814000" w:rsidRDefault="174CDE39" w:rsidP="00814000">
      <w:pPr>
        <w:rPr>
          <w:rFonts w:eastAsia="Arial"/>
        </w:rPr>
      </w:pPr>
      <w:r w:rsidRPr="750A3212">
        <w:rPr>
          <w:rFonts w:eastAsia="Arial"/>
        </w:rPr>
        <w:t xml:space="preserve">This memorandum provides an update on the proposed goals and priorities to be included in the </w:t>
      </w:r>
      <w:r w:rsidR="65029ACE" w:rsidRPr="750A3212">
        <w:rPr>
          <w:rFonts w:eastAsia="Arial"/>
        </w:rPr>
        <w:t xml:space="preserve">procurement for the </w:t>
      </w:r>
      <w:r w:rsidRPr="750A3212">
        <w:rPr>
          <w:rFonts w:eastAsia="Arial"/>
        </w:rPr>
        <w:t xml:space="preserve">next </w:t>
      </w:r>
      <w:r w:rsidR="3A0F9D02" w:rsidRPr="750A3212">
        <w:rPr>
          <w:rFonts w:eastAsia="Arial"/>
        </w:rPr>
        <w:t xml:space="preserve">assessment contractor </w:t>
      </w:r>
      <w:r w:rsidR="754D80FA" w:rsidRPr="750A3212">
        <w:rPr>
          <w:rFonts w:eastAsia="Arial"/>
        </w:rPr>
        <w:t xml:space="preserve">with the capacity and expertise </w:t>
      </w:r>
      <w:r w:rsidR="3A0F9D02" w:rsidRPr="750A3212">
        <w:rPr>
          <w:rFonts w:eastAsia="Arial"/>
        </w:rPr>
        <w:t xml:space="preserve">to develop, administer, score, analyze, and report assessments as well as implement a technology solution for the California Assessment of Student Performance and Progress (CAASPP) as defined in California </w:t>
      </w:r>
      <w:r w:rsidR="3A0F9D02" w:rsidRPr="007D1CF7">
        <w:rPr>
          <w:rFonts w:eastAsia="Arial"/>
          <w:i/>
          <w:iCs/>
        </w:rPr>
        <w:t>Education Code</w:t>
      </w:r>
      <w:r w:rsidR="3A0F9D02" w:rsidRPr="750A3212">
        <w:rPr>
          <w:rFonts w:eastAsia="Arial"/>
        </w:rPr>
        <w:t xml:space="preserve"> (</w:t>
      </w:r>
      <w:r w:rsidR="3A0F9D02" w:rsidRPr="007D1CF7">
        <w:rPr>
          <w:rFonts w:eastAsia="Arial"/>
          <w:i/>
          <w:iCs/>
        </w:rPr>
        <w:t>EC</w:t>
      </w:r>
      <w:r w:rsidR="3A0F9D02" w:rsidRPr="750A3212">
        <w:rPr>
          <w:rFonts w:eastAsia="Arial"/>
        </w:rPr>
        <w:t xml:space="preserve">) sections </w:t>
      </w:r>
      <w:r w:rsidR="00340BA2">
        <w:rPr>
          <w:rFonts w:eastAsia="Arial"/>
        </w:rPr>
        <w:t xml:space="preserve">60605 </w:t>
      </w:r>
      <w:r w:rsidR="3A0F9D02" w:rsidRPr="750A3212">
        <w:rPr>
          <w:rFonts w:eastAsia="Arial"/>
        </w:rPr>
        <w:t>through 6064</w:t>
      </w:r>
      <w:r w:rsidR="480BCA2A" w:rsidRPr="750A3212">
        <w:rPr>
          <w:rFonts w:eastAsia="Arial"/>
        </w:rPr>
        <w:t>8.5</w:t>
      </w:r>
      <w:r w:rsidR="3A0F9D02" w:rsidRPr="750A3212">
        <w:rPr>
          <w:rFonts w:eastAsia="Arial"/>
        </w:rPr>
        <w:t xml:space="preserve"> and English Language Proficiency Assessments for California (ELPAC) as defined in </w:t>
      </w:r>
      <w:r w:rsidR="3A0F9D02" w:rsidRPr="007D1CF7">
        <w:rPr>
          <w:rFonts w:eastAsia="Arial"/>
          <w:i/>
          <w:iCs/>
        </w:rPr>
        <w:t>EC</w:t>
      </w:r>
      <w:r w:rsidR="3A0F9D02" w:rsidRPr="750A3212">
        <w:rPr>
          <w:rFonts w:eastAsia="Arial"/>
        </w:rPr>
        <w:t xml:space="preserve"> sections 313 and 60810. </w:t>
      </w:r>
    </w:p>
    <w:p w14:paraId="59C8A845" w14:textId="0C43486D" w:rsidR="00BF58A2" w:rsidRPr="00CC24B1" w:rsidRDefault="00BF58A2" w:rsidP="00CC24B1">
      <w:pPr>
        <w:pStyle w:val="Heading3"/>
        <w:spacing w:before="480" w:after="240"/>
        <w:rPr>
          <w:rFonts w:ascii="Arial" w:hAnsi="Arial" w:cs="Arial"/>
          <w:b/>
          <w:bCs/>
          <w:color w:val="auto"/>
          <w:sz w:val="32"/>
          <w:szCs w:val="32"/>
        </w:rPr>
      </w:pPr>
      <w:r w:rsidRPr="00CC24B1">
        <w:rPr>
          <w:rFonts w:ascii="Arial" w:hAnsi="Arial" w:cs="Arial"/>
          <w:b/>
          <w:bCs/>
          <w:color w:val="auto"/>
          <w:sz w:val="32"/>
          <w:szCs w:val="32"/>
        </w:rPr>
        <w:t xml:space="preserve">Proposed Goals and Priorities for the Next </w:t>
      </w:r>
      <w:r w:rsidR="00C65C84">
        <w:rPr>
          <w:rFonts w:ascii="Arial" w:hAnsi="Arial" w:cs="Arial"/>
          <w:b/>
          <w:bCs/>
          <w:color w:val="auto"/>
          <w:sz w:val="32"/>
          <w:szCs w:val="32"/>
        </w:rPr>
        <w:t xml:space="preserve">California </w:t>
      </w:r>
      <w:r w:rsidRPr="00CC24B1">
        <w:rPr>
          <w:rFonts w:ascii="Arial" w:hAnsi="Arial" w:cs="Arial"/>
          <w:b/>
          <w:bCs/>
          <w:color w:val="auto"/>
          <w:sz w:val="32"/>
          <w:szCs w:val="32"/>
        </w:rPr>
        <w:t xml:space="preserve">Assessment </w:t>
      </w:r>
      <w:r w:rsidR="00C65C84">
        <w:rPr>
          <w:rFonts w:ascii="Arial" w:hAnsi="Arial" w:cs="Arial"/>
          <w:b/>
          <w:bCs/>
          <w:color w:val="auto"/>
          <w:sz w:val="32"/>
          <w:szCs w:val="32"/>
        </w:rPr>
        <w:t xml:space="preserve">System </w:t>
      </w:r>
      <w:r w:rsidRPr="00CC24B1">
        <w:rPr>
          <w:rFonts w:ascii="Arial" w:hAnsi="Arial" w:cs="Arial"/>
          <w:b/>
          <w:bCs/>
          <w:color w:val="auto"/>
          <w:sz w:val="32"/>
          <w:szCs w:val="32"/>
        </w:rPr>
        <w:t xml:space="preserve">Contract </w:t>
      </w:r>
    </w:p>
    <w:p w14:paraId="01EC42CD" w14:textId="2596A80D" w:rsidR="00BF58A2" w:rsidRPr="00BF58A2" w:rsidRDefault="00BF58A2" w:rsidP="00BF58A2">
      <w:pPr>
        <w:spacing w:after="240"/>
        <w:rPr>
          <w:b/>
          <w:bCs/>
        </w:rPr>
      </w:pPr>
      <w:r>
        <w:t xml:space="preserve">The </w:t>
      </w:r>
      <w:r w:rsidR="00957BE6">
        <w:t>California Department of Education (</w:t>
      </w:r>
      <w:r>
        <w:t>CDE</w:t>
      </w:r>
      <w:r w:rsidR="00957BE6">
        <w:t>)</w:t>
      </w:r>
      <w:r>
        <w:t xml:space="preserve"> will issue a</w:t>
      </w:r>
      <w:r w:rsidR="001D6A3E">
        <w:t>n open</w:t>
      </w:r>
      <w:r>
        <w:t xml:space="preserve"> Request for Submission</w:t>
      </w:r>
      <w:r w:rsidR="008D1B4B">
        <w:t xml:space="preserve"> (RFS)</w:t>
      </w:r>
      <w:r>
        <w:t xml:space="preserve"> to</w:t>
      </w:r>
      <w:r w:rsidR="001D6A3E">
        <w:t xml:space="preserve"> competitively</w:t>
      </w:r>
      <w:r>
        <w:t xml:space="preserve"> procure its next assessment contract for five administrations of the CAASPP and ELPAC, collectively known as the California Assessment System. This procurement </w:t>
      </w:r>
      <w:r w:rsidR="003647A2">
        <w:t>process di</w:t>
      </w:r>
      <w:r w:rsidR="007D1D9D">
        <w:t xml:space="preserve">ffers from the </w:t>
      </w:r>
      <w:r w:rsidR="00170E0D">
        <w:t>prior procurement</w:t>
      </w:r>
      <w:r w:rsidR="007D1D9D">
        <w:t xml:space="preserve">, which was a </w:t>
      </w:r>
      <w:r w:rsidR="00765122">
        <w:t>four</w:t>
      </w:r>
      <w:r w:rsidR="007D1D9D">
        <w:t>-stage request for qualification</w:t>
      </w:r>
      <w:r w:rsidR="00C03168">
        <w:t>s</w:t>
      </w:r>
      <w:r w:rsidR="006A3F15">
        <w:t>.</w:t>
      </w:r>
      <w:r w:rsidR="00B339F7">
        <w:t xml:space="preserve"> </w:t>
      </w:r>
      <w:r w:rsidR="00767734">
        <w:t xml:space="preserve">The </w:t>
      </w:r>
      <w:r w:rsidR="00765122">
        <w:t xml:space="preserve">first </w:t>
      </w:r>
      <w:r w:rsidR="00767734">
        <w:t xml:space="preserve">stage </w:t>
      </w:r>
      <w:r w:rsidR="00765122">
        <w:t xml:space="preserve">was qualifications. The second </w:t>
      </w:r>
      <w:r w:rsidR="00765122" w:rsidRPr="00530CB2">
        <w:t>stage was demonstration</w:t>
      </w:r>
      <w:r w:rsidR="00E2092F" w:rsidRPr="00530CB2">
        <w:t>s</w:t>
      </w:r>
      <w:r w:rsidR="00501B11" w:rsidRPr="00530CB2">
        <w:t xml:space="preserve">. The third stage was the </w:t>
      </w:r>
      <w:r w:rsidR="006E5329" w:rsidRPr="00530CB2">
        <w:t>RFS</w:t>
      </w:r>
      <w:r w:rsidR="00501B11" w:rsidRPr="00530CB2">
        <w:t xml:space="preserve"> of </w:t>
      </w:r>
      <w:r w:rsidR="00501B11" w:rsidRPr="00530CB2">
        <w:rPr>
          <w:rFonts w:cs="Arial"/>
          <w:color w:val="000000" w:themeColor="text1"/>
        </w:rPr>
        <w:t>a proposed scope of work</w:t>
      </w:r>
      <w:r w:rsidR="00501B11" w:rsidRPr="00530CB2">
        <w:t>, a draft proposed budget, and a transition plan</w:t>
      </w:r>
      <w:r w:rsidR="00467E7A" w:rsidRPr="00530CB2">
        <w:t>. The fourth stage was contract nego</w:t>
      </w:r>
      <w:r w:rsidR="006528B4" w:rsidRPr="00530CB2">
        <w:t>tia</w:t>
      </w:r>
      <w:r w:rsidR="00467E7A" w:rsidRPr="00530CB2">
        <w:t>tions with the selected con</w:t>
      </w:r>
      <w:r w:rsidR="006528B4" w:rsidRPr="00530CB2">
        <w:t>tractor</w:t>
      </w:r>
      <w:r w:rsidR="006528B4">
        <w:t xml:space="preserve">. The </w:t>
      </w:r>
      <w:r w:rsidR="00F4047C">
        <w:t>CDE found that the multi-stage</w:t>
      </w:r>
      <w:r w:rsidR="00501B11">
        <w:t xml:space="preserve"> </w:t>
      </w:r>
      <w:r w:rsidR="00767734">
        <w:t>process was necessary</w:t>
      </w:r>
      <w:r w:rsidR="001A1A2B">
        <w:t xml:space="preserve"> </w:t>
      </w:r>
      <w:r w:rsidR="00F4047C">
        <w:t>at that time</w:t>
      </w:r>
      <w:r w:rsidR="008E4760">
        <w:t>,</w:t>
      </w:r>
      <w:r w:rsidR="00F4047C">
        <w:t xml:space="preserve"> </w:t>
      </w:r>
      <w:r w:rsidR="001A1A2B">
        <w:t xml:space="preserve">so the state </w:t>
      </w:r>
      <w:r w:rsidR="007D3614">
        <w:t>could</w:t>
      </w:r>
      <w:r w:rsidR="001A4F99">
        <w:t xml:space="preserve"> identify</w:t>
      </w:r>
      <w:r w:rsidR="001A1A2B">
        <w:t xml:space="preserve"> </w:t>
      </w:r>
      <w:r w:rsidR="001130BB">
        <w:t xml:space="preserve">potential contractors </w:t>
      </w:r>
      <w:r w:rsidR="00972123">
        <w:t>with</w:t>
      </w:r>
      <w:r w:rsidR="00BA1886">
        <w:t xml:space="preserve"> </w:t>
      </w:r>
      <w:r w:rsidR="00BA4D1E">
        <w:t xml:space="preserve">the </w:t>
      </w:r>
      <w:r w:rsidR="001D206F">
        <w:t xml:space="preserve">capacity </w:t>
      </w:r>
      <w:r w:rsidR="001D206F" w:rsidRPr="00767092">
        <w:t>and expertise</w:t>
      </w:r>
      <w:r w:rsidR="00972123" w:rsidRPr="00767092">
        <w:t xml:space="preserve"> needed</w:t>
      </w:r>
      <w:r w:rsidR="001130BB" w:rsidRPr="00767092">
        <w:t xml:space="preserve">. </w:t>
      </w:r>
      <w:r w:rsidR="003F7E68" w:rsidRPr="00767092">
        <w:t>Th</w:t>
      </w:r>
      <w:r w:rsidR="0026413F" w:rsidRPr="00767092">
        <w:t>e CDE is</w:t>
      </w:r>
      <w:r w:rsidR="005D4C4C" w:rsidRPr="00767092">
        <w:t xml:space="preserve"> </w:t>
      </w:r>
      <w:r w:rsidR="001F4E27" w:rsidRPr="00767092">
        <w:t xml:space="preserve">proposing that the </w:t>
      </w:r>
      <w:r w:rsidR="005702CA" w:rsidRPr="00767092">
        <w:t>upcoming</w:t>
      </w:r>
      <w:r w:rsidR="003F7E68" w:rsidRPr="00767092">
        <w:t xml:space="preserve"> procurement process </w:t>
      </w:r>
      <w:r w:rsidR="0092652E" w:rsidRPr="00767092">
        <w:t xml:space="preserve">proceed with </w:t>
      </w:r>
      <w:r w:rsidR="00466A20" w:rsidRPr="00767092">
        <w:t>a</w:t>
      </w:r>
      <w:r w:rsidR="00CC30D0" w:rsidRPr="00767092">
        <w:t xml:space="preserve"> RFS</w:t>
      </w:r>
      <w:r w:rsidR="0092652E" w:rsidRPr="00767092">
        <w:t xml:space="preserve"> and contract negotiations</w:t>
      </w:r>
      <w:r w:rsidR="00320297" w:rsidRPr="00767092">
        <w:t>, a more</w:t>
      </w:r>
      <w:r w:rsidR="00320297">
        <w:t xml:space="preserve"> streamlined process </w:t>
      </w:r>
      <w:r>
        <w:t>to identify an assessment contractor with the proven capacity and expertise to successfully implement the California Assessment System.</w:t>
      </w:r>
      <w:r w:rsidR="00CB1094">
        <w:t xml:space="preserve"> </w:t>
      </w:r>
    </w:p>
    <w:p w14:paraId="5FCB5CE1" w14:textId="0A7A09F6" w:rsidR="00BF58A2" w:rsidRPr="00BF58A2" w:rsidRDefault="00BF58A2" w:rsidP="00BF58A2">
      <w:pPr>
        <w:spacing w:after="240"/>
        <w:rPr>
          <w:rFonts w:cs="Arial"/>
          <w:color w:val="000000" w:themeColor="text1"/>
        </w:rPr>
      </w:pPr>
      <w:r w:rsidRPr="44ED3439">
        <w:rPr>
          <w:rFonts w:cs="Arial"/>
          <w:color w:val="000000" w:themeColor="text1"/>
        </w:rPr>
        <w:t>The CDE is informing the</w:t>
      </w:r>
      <w:r w:rsidR="00957BE6" w:rsidRPr="44ED3439">
        <w:rPr>
          <w:rFonts w:cs="Arial"/>
          <w:color w:val="000000" w:themeColor="text1"/>
        </w:rPr>
        <w:t xml:space="preserve"> State Board of Education (</w:t>
      </w:r>
      <w:r w:rsidRPr="44ED3439">
        <w:rPr>
          <w:rFonts w:cs="Arial"/>
          <w:color w:val="000000" w:themeColor="text1"/>
        </w:rPr>
        <w:t>SBE</w:t>
      </w:r>
      <w:r w:rsidR="00957BE6" w:rsidRPr="44ED3439">
        <w:rPr>
          <w:rFonts w:cs="Arial"/>
          <w:color w:val="000000" w:themeColor="text1"/>
        </w:rPr>
        <w:t>)</w:t>
      </w:r>
      <w:r w:rsidRPr="44ED3439">
        <w:rPr>
          <w:rFonts w:cs="Arial"/>
          <w:color w:val="000000" w:themeColor="text1"/>
        </w:rPr>
        <w:t xml:space="preserve"> that for the California Assessment System </w:t>
      </w:r>
      <w:r w:rsidR="00326C57">
        <w:rPr>
          <w:rFonts w:cs="Arial"/>
          <w:color w:val="000000" w:themeColor="text1"/>
        </w:rPr>
        <w:t>RFS</w:t>
      </w:r>
      <w:r w:rsidRPr="44ED3439">
        <w:rPr>
          <w:rFonts w:cs="Arial"/>
          <w:color w:val="000000" w:themeColor="text1"/>
        </w:rPr>
        <w:t xml:space="preserve">, the CDE </w:t>
      </w:r>
      <w:r w:rsidR="004D6ACC">
        <w:rPr>
          <w:rFonts w:cs="Arial"/>
          <w:color w:val="000000" w:themeColor="text1"/>
        </w:rPr>
        <w:t>will request</w:t>
      </w:r>
      <w:r w:rsidRPr="44ED3439">
        <w:rPr>
          <w:rFonts w:cs="Arial"/>
          <w:color w:val="000000" w:themeColor="text1"/>
        </w:rPr>
        <w:t xml:space="preserve"> from the potential contractors a formal written submission that contains a proposed scope of work</w:t>
      </w:r>
      <w:bookmarkStart w:id="0" w:name="_Hlk34743647"/>
      <w:bookmarkEnd w:id="0"/>
      <w:r>
        <w:t xml:space="preserve">, a draft proposed budget, </w:t>
      </w:r>
      <w:r>
        <w:lastRenderedPageBreak/>
        <w:t>and a transition plan</w:t>
      </w:r>
      <w:r w:rsidR="007D076F">
        <w:t>.</w:t>
      </w:r>
      <w:r>
        <w:t xml:space="preserve"> </w:t>
      </w:r>
      <w:r w:rsidR="0036661E">
        <w:t>This contract, contingent on the availability of an appropriation for this purpose, is projected to begin March 1, 2027, allowing for a ten-month overlap with the current contract for transition activities, and continues through December 31, 2032.</w:t>
      </w:r>
    </w:p>
    <w:p w14:paraId="17B71C9A" w14:textId="268777A8" w:rsidR="00BF58A2" w:rsidRPr="00BF58A2" w:rsidRDefault="00BF58A2" w:rsidP="00BF58A2">
      <w:pPr>
        <w:spacing w:after="240"/>
        <w:rPr>
          <w:rFonts w:cs="Arial"/>
        </w:rPr>
      </w:pPr>
      <w:r w:rsidRPr="4B118D73">
        <w:rPr>
          <w:rFonts w:cs="Arial"/>
        </w:rPr>
        <w:t xml:space="preserve">The CDE </w:t>
      </w:r>
      <w:r w:rsidR="5E5B4CE8" w:rsidRPr="4B118D73">
        <w:rPr>
          <w:rFonts w:cs="Arial"/>
        </w:rPr>
        <w:t>will seek</w:t>
      </w:r>
      <w:r w:rsidRPr="4B118D73">
        <w:rPr>
          <w:rFonts w:cs="Arial"/>
        </w:rPr>
        <w:t xml:space="preserve"> </w:t>
      </w:r>
      <w:r w:rsidR="00E03015">
        <w:rPr>
          <w:rFonts w:cs="Arial"/>
        </w:rPr>
        <w:t xml:space="preserve">feedback and </w:t>
      </w:r>
      <w:r w:rsidRPr="4B118D73">
        <w:rPr>
          <w:rFonts w:cs="Arial"/>
        </w:rPr>
        <w:t xml:space="preserve">approval from the SBE to include the following goals and priorities </w:t>
      </w:r>
      <w:r w:rsidR="008B4851">
        <w:rPr>
          <w:rFonts w:cs="Arial"/>
        </w:rPr>
        <w:t>as part of</w:t>
      </w:r>
      <w:r w:rsidRPr="4B118D73">
        <w:rPr>
          <w:rFonts w:cs="Arial"/>
        </w:rPr>
        <w:t xml:space="preserve"> the </w:t>
      </w:r>
      <w:r w:rsidRPr="4B118D73">
        <w:rPr>
          <w:rFonts w:eastAsia="Arial" w:cs="Arial"/>
        </w:rPr>
        <w:t xml:space="preserve">California Assessment System </w:t>
      </w:r>
      <w:r w:rsidR="00A0535A" w:rsidRPr="4B118D73">
        <w:rPr>
          <w:rFonts w:eastAsia="Arial" w:cs="Arial"/>
        </w:rPr>
        <w:t>RFS</w:t>
      </w:r>
      <w:r w:rsidRPr="4B118D73">
        <w:rPr>
          <w:rFonts w:cs="Arial"/>
        </w:rPr>
        <w:t>:</w:t>
      </w:r>
    </w:p>
    <w:p w14:paraId="66D109E6" w14:textId="4259C853" w:rsidR="00BF58A2" w:rsidRPr="00BF58A2" w:rsidRDefault="00BF58A2" w:rsidP="00BF58A2">
      <w:pPr>
        <w:numPr>
          <w:ilvl w:val="0"/>
          <w:numId w:val="1"/>
        </w:numPr>
        <w:spacing w:before="240" w:after="240"/>
        <w:rPr>
          <w:rFonts w:eastAsia="Arial" w:cs="Arial"/>
        </w:rPr>
      </w:pPr>
      <w:r w:rsidRPr="44ED3439">
        <w:rPr>
          <w:rFonts w:eastAsiaTheme="majorEastAsia" w:cs="Arial"/>
        </w:rPr>
        <w:t xml:space="preserve">Implement the California Assessment System </w:t>
      </w:r>
      <w:r w:rsidR="1CAFB67E" w:rsidRPr="750A3212">
        <w:rPr>
          <w:rFonts w:eastAsiaTheme="majorEastAsia" w:cs="Arial"/>
          <w:shd w:val="clear" w:color="auto" w:fill="FFFFFF"/>
        </w:rPr>
        <w:t>during</w:t>
      </w:r>
      <w:r w:rsidRPr="44ED3439">
        <w:rPr>
          <w:rFonts w:eastAsiaTheme="majorEastAsia" w:cs="Arial"/>
          <w:shd w:val="clear" w:color="auto" w:fill="FFFFFF"/>
        </w:rPr>
        <w:t xml:space="preserve"> the 202</w:t>
      </w:r>
      <w:r w:rsidRPr="44ED3439">
        <w:rPr>
          <w:rFonts w:eastAsiaTheme="majorEastAsia" w:cs="Arial"/>
        </w:rPr>
        <w:t>7</w:t>
      </w:r>
      <w:r w:rsidRPr="44ED3439">
        <w:rPr>
          <w:rFonts w:eastAsiaTheme="majorEastAsia" w:cs="Arial"/>
          <w:shd w:val="clear" w:color="auto" w:fill="FFFFFF"/>
        </w:rPr>
        <w:t>–</w:t>
      </w:r>
      <w:r w:rsidRPr="44ED3439">
        <w:rPr>
          <w:rFonts w:eastAsiaTheme="majorEastAsia" w:cs="Arial"/>
        </w:rPr>
        <w:t>3</w:t>
      </w:r>
      <w:r w:rsidRPr="44ED3439">
        <w:rPr>
          <w:rFonts w:eastAsiaTheme="majorEastAsia" w:cs="Arial"/>
          <w:shd w:val="clear" w:color="auto" w:fill="FFFFFF"/>
        </w:rPr>
        <w:t>2 school years</w:t>
      </w:r>
      <w:r w:rsidRPr="44ED3439">
        <w:rPr>
          <w:rFonts w:eastAsiaTheme="majorEastAsia" w:cs="Arial"/>
        </w:rPr>
        <w:t xml:space="preserve"> with </w:t>
      </w:r>
      <w:r w:rsidRPr="44ED3439">
        <w:rPr>
          <w:rFonts w:eastAsiaTheme="majorEastAsia" w:cs="Arial"/>
          <w:shd w:val="clear" w:color="auto" w:fill="FFFFFF"/>
        </w:rPr>
        <w:t xml:space="preserve">the development and administration of high-quality assessments that </w:t>
      </w:r>
      <w:r w:rsidR="005038CC">
        <w:rPr>
          <w:rFonts w:eastAsiaTheme="majorEastAsia" w:cs="Arial"/>
          <w:shd w:val="clear" w:color="auto" w:fill="FFFFFF"/>
        </w:rPr>
        <w:t xml:space="preserve">provide </w:t>
      </w:r>
      <w:r w:rsidRPr="44ED3439">
        <w:rPr>
          <w:rFonts w:eastAsiaTheme="majorEastAsia" w:cs="Arial"/>
          <w:shd w:val="clear" w:color="auto" w:fill="FFFFFF"/>
        </w:rPr>
        <w:t xml:space="preserve">actionable </w:t>
      </w:r>
      <w:r w:rsidR="001B14FC">
        <w:rPr>
          <w:rFonts w:eastAsiaTheme="majorEastAsia" w:cs="Arial"/>
          <w:shd w:val="clear" w:color="auto" w:fill="FFFFFF"/>
        </w:rPr>
        <w:t>results</w:t>
      </w:r>
    </w:p>
    <w:p w14:paraId="004D62C4" w14:textId="77777777" w:rsidR="00625DE6" w:rsidRDefault="00BF58A2" w:rsidP="00BF58A2">
      <w:pPr>
        <w:numPr>
          <w:ilvl w:val="0"/>
          <w:numId w:val="1"/>
        </w:numPr>
        <w:spacing w:before="240" w:after="240"/>
        <w:rPr>
          <w:rFonts w:cs="Arial"/>
        </w:rPr>
      </w:pPr>
      <w:r w:rsidRPr="4B118D73">
        <w:rPr>
          <w:rFonts w:cs="Arial"/>
        </w:rPr>
        <w:t>Provide a robust assessment system that is</w:t>
      </w:r>
      <w:r w:rsidR="00625DE6">
        <w:rPr>
          <w:rFonts w:cs="Arial"/>
        </w:rPr>
        <w:t>:</w:t>
      </w:r>
    </w:p>
    <w:p w14:paraId="53A41B4E" w14:textId="65B957D2" w:rsidR="00F8030F" w:rsidRPr="005C5EA9" w:rsidRDefault="00F8030F" w:rsidP="005C5EA9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cs="Arial"/>
        </w:rPr>
      </w:pPr>
      <w:r w:rsidRPr="005C5EA9">
        <w:rPr>
          <w:rFonts w:cs="Arial"/>
        </w:rPr>
        <w:t>C</w:t>
      </w:r>
      <w:r w:rsidR="00BF58A2" w:rsidRPr="005C5EA9">
        <w:rPr>
          <w:rFonts w:cs="Arial"/>
        </w:rPr>
        <w:t>omprehensive</w:t>
      </w:r>
      <w:r w:rsidRPr="005C5EA9">
        <w:rPr>
          <w:rFonts w:cs="Arial"/>
        </w:rPr>
        <w:t xml:space="preserve"> and</w:t>
      </w:r>
      <w:r w:rsidR="00BF58A2" w:rsidRPr="005C5EA9">
        <w:rPr>
          <w:rFonts w:cs="Arial"/>
        </w:rPr>
        <w:t xml:space="preserve"> </w:t>
      </w:r>
      <w:r w:rsidR="201E3483" w:rsidRPr="005C5EA9">
        <w:rPr>
          <w:rFonts w:cs="Arial"/>
        </w:rPr>
        <w:t>coherent</w:t>
      </w:r>
    </w:p>
    <w:p w14:paraId="536F54B2" w14:textId="0CC86186" w:rsidR="005C5EA9" w:rsidRPr="005C5EA9" w:rsidRDefault="005C5EA9" w:rsidP="005C5EA9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cs="Arial"/>
        </w:rPr>
      </w:pPr>
      <w:r w:rsidRPr="005C5EA9">
        <w:rPr>
          <w:rFonts w:cs="Arial"/>
        </w:rPr>
        <w:t>F</w:t>
      </w:r>
      <w:r w:rsidR="1F82D91E" w:rsidRPr="005C5EA9">
        <w:rPr>
          <w:rFonts w:cs="Arial"/>
        </w:rPr>
        <w:t xml:space="preserve">lexible </w:t>
      </w:r>
      <w:r w:rsidRPr="005C5EA9">
        <w:rPr>
          <w:rFonts w:cs="Arial"/>
        </w:rPr>
        <w:t xml:space="preserve">and accessible </w:t>
      </w:r>
      <w:r w:rsidR="3DD53CEE" w:rsidRPr="005C5EA9">
        <w:rPr>
          <w:rFonts w:cs="Arial"/>
        </w:rPr>
        <w:t>to</w:t>
      </w:r>
      <w:r w:rsidR="1F82D91E" w:rsidRPr="005C5EA9">
        <w:rPr>
          <w:rFonts w:cs="Arial"/>
        </w:rPr>
        <w:t xml:space="preserve"> </w:t>
      </w:r>
      <w:r w:rsidR="00BF58A2" w:rsidRPr="005C5EA9">
        <w:rPr>
          <w:rFonts w:cs="Arial"/>
        </w:rPr>
        <w:t xml:space="preserve">support </w:t>
      </w:r>
      <w:r w:rsidRPr="005C5EA9">
        <w:rPr>
          <w:rFonts w:cs="Arial"/>
        </w:rPr>
        <w:t>the needs of educators, students, and families while providing data that supports valid inferences</w:t>
      </w:r>
    </w:p>
    <w:p w14:paraId="0AD7BBB5" w14:textId="48819F06" w:rsidR="005C5EA9" w:rsidRPr="005C5EA9" w:rsidRDefault="005C5EA9" w:rsidP="005C5EA9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cs="Arial"/>
        </w:rPr>
      </w:pPr>
      <w:r w:rsidRPr="005C5EA9">
        <w:rPr>
          <w:rFonts w:cs="Arial"/>
        </w:rPr>
        <w:t>Designed with technology solutions that meet industry best practices and standards</w:t>
      </w:r>
    </w:p>
    <w:p w14:paraId="34A90ACA" w14:textId="62A67164" w:rsidR="005C5EA9" w:rsidRDefault="005C5EA9" w:rsidP="005C5EA9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cs="Arial"/>
        </w:rPr>
      </w:pPr>
      <w:r w:rsidRPr="005C5EA9">
        <w:rPr>
          <w:rFonts w:cs="Arial"/>
        </w:rPr>
        <w:t>Innovative to increase efficiency and value</w:t>
      </w:r>
    </w:p>
    <w:p w14:paraId="2DF260DB" w14:textId="05DEAFD8" w:rsidR="005C5EA9" w:rsidRPr="005C5EA9" w:rsidRDefault="005C5EA9" w:rsidP="005C5EA9">
      <w:pPr>
        <w:pStyle w:val="ListParagraph"/>
        <w:numPr>
          <w:ilvl w:val="0"/>
          <w:numId w:val="1"/>
        </w:numPr>
        <w:spacing w:before="240" w:after="240"/>
        <w:rPr>
          <w:rFonts w:cs="Arial"/>
        </w:rPr>
      </w:pPr>
      <w:r>
        <w:rPr>
          <w:rFonts w:cs="Arial"/>
        </w:rPr>
        <w:t>Support California in complying with applicable state and federal laws</w:t>
      </w:r>
    </w:p>
    <w:p w14:paraId="2ADAC071" w14:textId="7764DA04" w:rsidR="00BF58A2" w:rsidRPr="00816FC1" w:rsidRDefault="006B6D60" w:rsidP="00816FC1">
      <w:pPr>
        <w:pStyle w:val="Heading4"/>
        <w:spacing w:before="480" w:after="240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 xml:space="preserve">Proposed </w:t>
      </w:r>
      <w:r w:rsidR="00BF58A2" w:rsidRPr="00816FC1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Procurement Schedule</w:t>
      </w:r>
    </w:p>
    <w:p w14:paraId="251571D0" w14:textId="77777777" w:rsidR="00BF58A2" w:rsidRDefault="00BF58A2" w:rsidP="00BF58A2">
      <w:pPr>
        <w:spacing w:after="240"/>
      </w:pPr>
      <w:r w:rsidRPr="00BF58A2">
        <w:t>The following schedule is tentative and subject to change.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display the Proposed Procurement Schedule."/>
      </w:tblPr>
      <w:tblGrid>
        <w:gridCol w:w="5935"/>
        <w:gridCol w:w="3415"/>
      </w:tblGrid>
      <w:tr w:rsidR="004410E2" w:rsidRPr="004410E2" w14:paraId="19D0C8E9" w14:textId="77777777" w:rsidTr="00E8790D">
        <w:trPr>
          <w:tblHeader/>
        </w:trPr>
        <w:tc>
          <w:tcPr>
            <w:tcW w:w="5935" w:type="dxa"/>
            <w:shd w:val="clear" w:color="auto" w:fill="D9D9D9" w:themeFill="background1" w:themeFillShade="D9"/>
          </w:tcPr>
          <w:p w14:paraId="37EDBEE2" w14:textId="42D488D6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  <w:b/>
                <w:bCs/>
              </w:rPr>
              <w:t>Activity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36C0B447" w14:textId="6E923FDF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  <w:b/>
                <w:bCs/>
              </w:rPr>
              <w:t>Action Date</w:t>
            </w:r>
          </w:p>
        </w:tc>
      </w:tr>
      <w:tr w:rsidR="004410E2" w:rsidRPr="004410E2" w14:paraId="57AED0ED" w14:textId="77777777" w:rsidTr="00E8790D">
        <w:tc>
          <w:tcPr>
            <w:tcW w:w="5935" w:type="dxa"/>
            <w:vAlign w:val="center"/>
          </w:tcPr>
          <w:p w14:paraId="79B84033" w14:textId="36F5C117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SBE Information Memorandum on Procurement Goals and Priorities</w:t>
            </w:r>
          </w:p>
        </w:tc>
        <w:tc>
          <w:tcPr>
            <w:tcW w:w="3415" w:type="dxa"/>
            <w:vAlign w:val="center"/>
          </w:tcPr>
          <w:p w14:paraId="2C83CF27" w14:textId="0CFD5D36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June 2025</w:t>
            </w:r>
          </w:p>
        </w:tc>
      </w:tr>
      <w:tr w:rsidR="004410E2" w:rsidRPr="004410E2" w14:paraId="14434E4D" w14:textId="77777777" w:rsidTr="00E8790D">
        <w:tc>
          <w:tcPr>
            <w:tcW w:w="5935" w:type="dxa"/>
            <w:vAlign w:val="center"/>
          </w:tcPr>
          <w:p w14:paraId="6891F20E" w14:textId="6EED8987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SBE Item Includes Information on Procurement Goals and Priorities</w:t>
            </w:r>
          </w:p>
        </w:tc>
        <w:tc>
          <w:tcPr>
            <w:tcW w:w="3415" w:type="dxa"/>
            <w:vAlign w:val="center"/>
          </w:tcPr>
          <w:p w14:paraId="41FFFABF" w14:textId="29C1E0A1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July 2025</w:t>
            </w:r>
          </w:p>
        </w:tc>
      </w:tr>
      <w:tr w:rsidR="00917F2E" w:rsidRPr="004410E2" w14:paraId="1A8C5757" w14:textId="77777777" w:rsidTr="00E8790D">
        <w:tc>
          <w:tcPr>
            <w:tcW w:w="5935" w:type="dxa"/>
            <w:vAlign w:val="center"/>
          </w:tcPr>
          <w:p w14:paraId="0B7BF3F3" w14:textId="4F6BECDB" w:rsidR="00917F2E" w:rsidRPr="004410E2" w:rsidRDefault="00591E3A" w:rsidP="004410E2">
            <w:pPr>
              <w:spacing w:before="120" w:after="120"/>
              <w:rPr>
                <w:rFonts w:eastAsia="Arial" w:cs="Arial"/>
              </w:rPr>
            </w:pPr>
            <w:r w:rsidRPr="004410E2">
              <w:rPr>
                <w:rFonts w:eastAsia="Arial" w:cs="Arial"/>
              </w:rPr>
              <w:t>SBE Information Memorandum on Procurement Goals and Priorities</w:t>
            </w:r>
          </w:p>
        </w:tc>
        <w:tc>
          <w:tcPr>
            <w:tcW w:w="3415" w:type="dxa"/>
            <w:vAlign w:val="center"/>
          </w:tcPr>
          <w:p w14:paraId="2D4A6834" w14:textId="0568C4EB" w:rsidR="00917F2E" w:rsidRPr="004410E2" w:rsidRDefault="00591E3A" w:rsidP="004410E2">
            <w:pPr>
              <w:spacing w:before="120"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August 2025</w:t>
            </w:r>
          </w:p>
        </w:tc>
      </w:tr>
      <w:tr w:rsidR="004410E2" w:rsidRPr="004410E2" w14:paraId="0E49DC33" w14:textId="77777777" w:rsidTr="00E8790D">
        <w:tc>
          <w:tcPr>
            <w:tcW w:w="5935" w:type="dxa"/>
            <w:vAlign w:val="center"/>
          </w:tcPr>
          <w:p w14:paraId="751F9C70" w14:textId="0DD33936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SBE Item Includes Action on Procurement Goals and Priorities</w:t>
            </w:r>
          </w:p>
        </w:tc>
        <w:tc>
          <w:tcPr>
            <w:tcW w:w="3415" w:type="dxa"/>
            <w:vAlign w:val="center"/>
          </w:tcPr>
          <w:p w14:paraId="58C164EE" w14:textId="7B469359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September 2025</w:t>
            </w:r>
          </w:p>
        </w:tc>
      </w:tr>
      <w:tr w:rsidR="004410E2" w:rsidRPr="004410E2" w14:paraId="5D91E7A5" w14:textId="77777777" w:rsidTr="00E8790D">
        <w:tc>
          <w:tcPr>
            <w:tcW w:w="5935" w:type="dxa"/>
            <w:vAlign w:val="center"/>
          </w:tcPr>
          <w:p w14:paraId="42914CEB" w14:textId="42BDAF50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 xml:space="preserve">Posting of </w:t>
            </w:r>
            <w:r w:rsidR="008E23EE">
              <w:rPr>
                <w:rFonts w:eastAsia="Arial" w:cs="Arial"/>
              </w:rPr>
              <w:t>RFS</w:t>
            </w:r>
            <w:r w:rsidRPr="004410E2">
              <w:rPr>
                <w:rFonts w:eastAsia="Arial" w:cs="Arial"/>
              </w:rPr>
              <w:t xml:space="preserve"> </w:t>
            </w:r>
            <w:r w:rsidR="00857519">
              <w:rPr>
                <w:rFonts w:eastAsia="Arial" w:cs="Arial"/>
              </w:rPr>
              <w:t xml:space="preserve">on </w:t>
            </w:r>
            <w:r w:rsidR="00D92417">
              <w:rPr>
                <w:rFonts w:eastAsia="Arial" w:cs="Arial"/>
              </w:rPr>
              <w:t xml:space="preserve">the </w:t>
            </w:r>
            <w:r w:rsidR="00857519">
              <w:rPr>
                <w:rFonts w:eastAsia="Arial" w:cs="Arial"/>
              </w:rPr>
              <w:t>CDE Website</w:t>
            </w:r>
          </w:p>
        </w:tc>
        <w:tc>
          <w:tcPr>
            <w:tcW w:w="3415" w:type="dxa"/>
            <w:vAlign w:val="center"/>
          </w:tcPr>
          <w:p w14:paraId="5B40BCA5" w14:textId="6B5925B1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Fall 2025</w:t>
            </w:r>
          </w:p>
        </w:tc>
      </w:tr>
      <w:tr w:rsidR="004410E2" w:rsidRPr="004410E2" w14:paraId="40BC1939" w14:textId="77777777" w:rsidTr="00E8790D">
        <w:tc>
          <w:tcPr>
            <w:tcW w:w="5935" w:type="dxa"/>
            <w:vAlign w:val="center"/>
          </w:tcPr>
          <w:p w14:paraId="0DF8D768" w14:textId="45FB93ED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Contractor Webinar</w:t>
            </w:r>
          </w:p>
        </w:tc>
        <w:tc>
          <w:tcPr>
            <w:tcW w:w="3415" w:type="dxa"/>
            <w:vAlign w:val="center"/>
          </w:tcPr>
          <w:p w14:paraId="1E6C6DC6" w14:textId="5F66B473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Fall 2025</w:t>
            </w:r>
          </w:p>
        </w:tc>
      </w:tr>
      <w:tr w:rsidR="004410E2" w:rsidRPr="004410E2" w14:paraId="36338E72" w14:textId="77777777" w:rsidTr="00E8790D">
        <w:tc>
          <w:tcPr>
            <w:tcW w:w="5935" w:type="dxa"/>
            <w:vAlign w:val="center"/>
          </w:tcPr>
          <w:p w14:paraId="0B2086D0" w14:textId="02259951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lastRenderedPageBreak/>
              <w:t>Submission Due</w:t>
            </w:r>
          </w:p>
        </w:tc>
        <w:tc>
          <w:tcPr>
            <w:tcW w:w="3415" w:type="dxa"/>
            <w:vAlign w:val="center"/>
          </w:tcPr>
          <w:p w14:paraId="79E08AA3" w14:textId="77775D5D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Winter 2026</w:t>
            </w:r>
          </w:p>
        </w:tc>
      </w:tr>
      <w:tr w:rsidR="004410E2" w:rsidRPr="004410E2" w14:paraId="181861FD" w14:textId="77777777" w:rsidTr="00E8790D">
        <w:tc>
          <w:tcPr>
            <w:tcW w:w="5935" w:type="dxa"/>
            <w:vAlign w:val="center"/>
          </w:tcPr>
          <w:p w14:paraId="72EC6F5F" w14:textId="3945A7AF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Submission Evaluation</w:t>
            </w:r>
          </w:p>
        </w:tc>
        <w:tc>
          <w:tcPr>
            <w:tcW w:w="3415" w:type="dxa"/>
            <w:vAlign w:val="center"/>
          </w:tcPr>
          <w:p w14:paraId="7379860C" w14:textId="403EA889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Winter/Spring 2026</w:t>
            </w:r>
          </w:p>
        </w:tc>
      </w:tr>
      <w:tr w:rsidR="004410E2" w:rsidRPr="004410E2" w14:paraId="6797C7F2" w14:textId="77777777" w:rsidTr="00E8790D">
        <w:tc>
          <w:tcPr>
            <w:tcW w:w="5935" w:type="dxa"/>
            <w:vAlign w:val="center"/>
          </w:tcPr>
          <w:p w14:paraId="7A73E27A" w14:textId="30C7B9F3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SBE Item Includes Action on Approval to Negotiate Contract</w:t>
            </w:r>
          </w:p>
        </w:tc>
        <w:tc>
          <w:tcPr>
            <w:tcW w:w="3415" w:type="dxa"/>
            <w:vAlign w:val="center"/>
          </w:tcPr>
          <w:p w14:paraId="4AC44BAB" w14:textId="79355FCA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May 2026</w:t>
            </w:r>
          </w:p>
        </w:tc>
      </w:tr>
      <w:tr w:rsidR="004410E2" w:rsidRPr="004410E2" w14:paraId="740F6740" w14:textId="77777777" w:rsidTr="00E8790D">
        <w:tc>
          <w:tcPr>
            <w:tcW w:w="5935" w:type="dxa"/>
            <w:vAlign w:val="center"/>
          </w:tcPr>
          <w:p w14:paraId="30FD1F07" w14:textId="0FA8B149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Contract Negotiation</w:t>
            </w:r>
          </w:p>
        </w:tc>
        <w:tc>
          <w:tcPr>
            <w:tcW w:w="3415" w:type="dxa"/>
            <w:vAlign w:val="center"/>
          </w:tcPr>
          <w:p w14:paraId="799C1646" w14:textId="55A5FC62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Spring/Summer 2026</w:t>
            </w:r>
          </w:p>
        </w:tc>
      </w:tr>
      <w:tr w:rsidR="004410E2" w:rsidRPr="004410E2" w14:paraId="1ECB4860" w14:textId="77777777" w:rsidTr="00E8790D">
        <w:tc>
          <w:tcPr>
            <w:tcW w:w="5935" w:type="dxa"/>
            <w:vAlign w:val="center"/>
          </w:tcPr>
          <w:p w14:paraId="0DF8EAC7" w14:textId="5BD024A6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SBE Item Includes Action on Approval of Contract</w:t>
            </w:r>
          </w:p>
        </w:tc>
        <w:tc>
          <w:tcPr>
            <w:tcW w:w="3415" w:type="dxa"/>
            <w:vAlign w:val="center"/>
          </w:tcPr>
          <w:p w14:paraId="215396C2" w14:textId="5B1AE778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September 2026</w:t>
            </w:r>
          </w:p>
        </w:tc>
      </w:tr>
      <w:tr w:rsidR="004410E2" w:rsidRPr="004410E2" w14:paraId="71EEAB54" w14:textId="77777777" w:rsidTr="00E8790D">
        <w:tc>
          <w:tcPr>
            <w:tcW w:w="5935" w:type="dxa"/>
            <w:vAlign w:val="center"/>
          </w:tcPr>
          <w:p w14:paraId="77A451AE" w14:textId="322EC767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Contract Begins</w:t>
            </w:r>
          </w:p>
        </w:tc>
        <w:tc>
          <w:tcPr>
            <w:tcW w:w="3415" w:type="dxa"/>
            <w:vAlign w:val="center"/>
          </w:tcPr>
          <w:p w14:paraId="75DE7300" w14:textId="47A487F8" w:rsidR="004410E2" w:rsidRPr="004410E2" w:rsidRDefault="004410E2" w:rsidP="004410E2">
            <w:pPr>
              <w:spacing w:before="120" w:after="120"/>
            </w:pPr>
            <w:r w:rsidRPr="004410E2">
              <w:rPr>
                <w:rFonts w:eastAsia="Arial" w:cs="Arial"/>
              </w:rPr>
              <w:t>March 2027</w:t>
            </w:r>
          </w:p>
        </w:tc>
      </w:tr>
    </w:tbl>
    <w:p w14:paraId="5F357DCF" w14:textId="77777777" w:rsidR="006C2135" w:rsidRPr="00BF58A2" w:rsidRDefault="006C2135" w:rsidP="004410E2"/>
    <w:p w14:paraId="13B90CFE" w14:textId="290FCDA1" w:rsidR="00BF58A2" w:rsidRPr="00BF58A2" w:rsidRDefault="003F6929" w:rsidP="00BF58A2">
      <w:pPr>
        <w:spacing w:after="240"/>
      </w:pPr>
      <w:r>
        <w:t>T</w:t>
      </w:r>
      <w:r w:rsidR="00BF58A2">
        <w:t>he staff at the CDE, the SBE, and the Department of Finance</w:t>
      </w:r>
      <w:r w:rsidR="00D13818">
        <w:t xml:space="preserve"> will negotiate the final scope of work and budget with the selected contractor</w:t>
      </w:r>
      <w:r w:rsidR="00BF58A2">
        <w:t xml:space="preserve">. After negotiations with the </w:t>
      </w:r>
      <w:r w:rsidR="00A205C8">
        <w:t xml:space="preserve">selected </w:t>
      </w:r>
      <w:r w:rsidR="00BF58A2">
        <w:t>contractor are completed, the resulting contract will be taken back to the SBE for final consideration and approval.</w:t>
      </w:r>
      <w:r w:rsidR="30A085AE">
        <w:t xml:space="preserve"> Contract funding is contingent on appropriation in the annual </w:t>
      </w:r>
      <w:r w:rsidR="11697697">
        <w:t>b</w:t>
      </w:r>
      <w:r w:rsidR="30A085AE">
        <w:t xml:space="preserve">udget </w:t>
      </w:r>
      <w:r w:rsidR="395A046F">
        <w:t>a</w:t>
      </w:r>
      <w:r w:rsidR="30A085AE">
        <w:t>ct.</w:t>
      </w:r>
    </w:p>
    <w:p w14:paraId="331DF7BE" w14:textId="0E4D3BA3" w:rsidR="00057A96" w:rsidRPr="008B1135" w:rsidRDefault="00057A96" w:rsidP="001A2BA8">
      <w:pPr>
        <w:pStyle w:val="Heading2"/>
        <w:spacing w:before="480" w:after="240"/>
        <w:rPr>
          <w:sz w:val="36"/>
        </w:rPr>
      </w:pPr>
      <w:r w:rsidRPr="008B1135">
        <w:rPr>
          <w:sz w:val="36"/>
        </w:rPr>
        <w:t>Attachment(s)</w:t>
      </w:r>
    </w:p>
    <w:p w14:paraId="1FB5F523" w14:textId="7FC447D6" w:rsidR="00057A96" w:rsidRPr="00764534" w:rsidRDefault="00764534" w:rsidP="001A2BA8">
      <w:pPr>
        <w:spacing w:after="240"/>
      </w:pPr>
      <w:r w:rsidRPr="00764534">
        <w:t>None.</w:t>
      </w:r>
    </w:p>
    <w:sectPr w:rsidR="00057A96" w:rsidRPr="00764534" w:rsidSect="00DC71EE">
      <w:headerReference w:type="default" r:id="rId11"/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DBC0" w14:textId="77777777" w:rsidR="001C2898" w:rsidRDefault="001C2898" w:rsidP="00957BE6">
      <w:r>
        <w:separator/>
      </w:r>
    </w:p>
  </w:endnote>
  <w:endnote w:type="continuationSeparator" w:id="0">
    <w:p w14:paraId="3F69E519" w14:textId="77777777" w:rsidR="001C2898" w:rsidRDefault="001C2898" w:rsidP="0095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0AF06" w14:textId="77777777" w:rsidR="001C2898" w:rsidRDefault="001C2898" w:rsidP="00957BE6">
      <w:r>
        <w:separator/>
      </w:r>
    </w:p>
  </w:footnote>
  <w:footnote w:type="continuationSeparator" w:id="0">
    <w:p w14:paraId="006DBB8A" w14:textId="77777777" w:rsidR="001C2898" w:rsidRDefault="001C2898" w:rsidP="0095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3F39" w14:textId="468FA2B3" w:rsidR="00F210CC" w:rsidRPr="00F210CC" w:rsidRDefault="00F210CC">
    <w:pPr>
      <w:pStyle w:val="Header"/>
      <w:jc w:val="right"/>
    </w:pPr>
    <w:r w:rsidRPr="00F210CC">
      <w:t>memo-itb-adad-jun25item02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336A144A" w14:textId="237CA90A" w:rsidR="00F210CC" w:rsidRDefault="00F210CC" w:rsidP="00F210CC">
        <w:pPr>
          <w:pStyle w:val="Header"/>
          <w:spacing w:after="360"/>
          <w:jc w:val="right"/>
        </w:pPr>
        <w:r w:rsidRPr="00F210CC">
          <w:t xml:space="preserve">Page </w:t>
        </w:r>
        <w:r w:rsidRPr="00F210CC">
          <w:fldChar w:fldCharType="begin"/>
        </w:r>
        <w:r w:rsidRPr="00F210CC">
          <w:instrText xml:space="preserve"> PAGE </w:instrText>
        </w:r>
        <w:r w:rsidRPr="00F210CC">
          <w:fldChar w:fldCharType="separate"/>
        </w:r>
        <w:r w:rsidRPr="00F210CC">
          <w:rPr>
            <w:noProof/>
          </w:rPr>
          <w:t>2</w:t>
        </w:r>
        <w:r w:rsidRPr="00F210CC">
          <w:fldChar w:fldCharType="end"/>
        </w:r>
        <w:r w:rsidRPr="00F210CC">
          <w:t xml:space="preserve"> of </w:t>
        </w:r>
        <w:r>
          <w:fldChar w:fldCharType="begin"/>
        </w:r>
        <w:r>
          <w:instrText>NUMPAGES</w:instrText>
        </w:r>
        <w:r>
          <w:fldChar w:fldCharType="separate"/>
        </w:r>
        <w:r w:rsidRPr="00F210C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4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417C8E"/>
    <w:multiLevelType w:val="hybridMultilevel"/>
    <w:tmpl w:val="7846A4E8"/>
    <w:lvl w:ilvl="0" w:tplc="9AAE7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DB4F96"/>
    <w:multiLevelType w:val="hybridMultilevel"/>
    <w:tmpl w:val="FF96D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4450">
    <w:abstractNumId w:val="2"/>
  </w:num>
  <w:num w:numId="2" w16cid:durableId="2143301411">
    <w:abstractNumId w:val="0"/>
  </w:num>
  <w:num w:numId="3" w16cid:durableId="185611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03010"/>
    <w:rsid w:val="00023E8A"/>
    <w:rsid w:val="000265C1"/>
    <w:rsid w:val="00034008"/>
    <w:rsid w:val="00044FF4"/>
    <w:rsid w:val="00053B2A"/>
    <w:rsid w:val="00057A96"/>
    <w:rsid w:val="00060A9C"/>
    <w:rsid w:val="00072D72"/>
    <w:rsid w:val="00077927"/>
    <w:rsid w:val="00081DDA"/>
    <w:rsid w:val="000A5FEC"/>
    <w:rsid w:val="000A785F"/>
    <w:rsid w:val="000C139F"/>
    <w:rsid w:val="000C5598"/>
    <w:rsid w:val="000D0492"/>
    <w:rsid w:val="000D6C7F"/>
    <w:rsid w:val="000F2EBD"/>
    <w:rsid w:val="001105D5"/>
    <w:rsid w:val="00111995"/>
    <w:rsid w:val="001130BB"/>
    <w:rsid w:val="0012661C"/>
    <w:rsid w:val="00132E45"/>
    <w:rsid w:val="00134189"/>
    <w:rsid w:val="00135A1B"/>
    <w:rsid w:val="001361FB"/>
    <w:rsid w:val="00145E0F"/>
    <w:rsid w:val="0016173B"/>
    <w:rsid w:val="001648E9"/>
    <w:rsid w:val="00170E0D"/>
    <w:rsid w:val="001735B8"/>
    <w:rsid w:val="00173F15"/>
    <w:rsid w:val="00184DEF"/>
    <w:rsid w:val="0018688C"/>
    <w:rsid w:val="00190BCB"/>
    <w:rsid w:val="00196415"/>
    <w:rsid w:val="00196B5A"/>
    <w:rsid w:val="001A1A2B"/>
    <w:rsid w:val="001A2BA8"/>
    <w:rsid w:val="001A458D"/>
    <w:rsid w:val="001A4F99"/>
    <w:rsid w:val="001B14FC"/>
    <w:rsid w:val="001B759B"/>
    <w:rsid w:val="001C2898"/>
    <w:rsid w:val="001C37EA"/>
    <w:rsid w:val="001C45B5"/>
    <w:rsid w:val="001C6FB4"/>
    <w:rsid w:val="001D206F"/>
    <w:rsid w:val="001D4A5B"/>
    <w:rsid w:val="001D5A08"/>
    <w:rsid w:val="001D6A3E"/>
    <w:rsid w:val="001E6B20"/>
    <w:rsid w:val="001F4E27"/>
    <w:rsid w:val="002114E7"/>
    <w:rsid w:val="002175F3"/>
    <w:rsid w:val="0023619A"/>
    <w:rsid w:val="002408E4"/>
    <w:rsid w:val="002573AE"/>
    <w:rsid w:val="0026223E"/>
    <w:rsid w:val="0026413F"/>
    <w:rsid w:val="00264BB1"/>
    <w:rsid w:val="00290220"/>
    <w:rsid w:val="0029286A"/>
    <w:rsid w:val="002958C1"/>
    <w:rsid w:val="002C3D98"/>
    <w:rsid w:val="002D4C42"/>
    <w:rsid w:val="002D5E52"/>
    <w:rsid w:val="002F75C3"/>
    <w:rsid w:val="00313581"/>
    <w:rsid w:val="00320297"/>
    <w:rsid w:val="00321D49"/>
    <w:rsid w:val="00322C00"/>
    <w:rsid w:val="00325EAA"/>
    <w:rsid w:val="00326C57"/>
    <w:rsid w:val="00327D45"/>
    <w:rsid w:val="0033616F"/>
    <w:rsid w:val="00340BA2"/>
    <w:rsid w:val="003532AA"/>
    <w:rsid w:val="003608A4"/>
    <w:rsid w:val="00360B4E"/>
    <w:rsid w:val="003647A2"/>
    <w:rsid w:val="00364C1F"/>
    <w:rsid w:val="0036661E"/>
    <w:rsid w:val="003668C3"/>
    <w:rsid w:val="00372C4D"/>
    <w:rsid w:val="00373E93"/>
    <w:rsid w:val="00376DB2"/>
    <w:rsid w:val="00383199"/>
    <w:rsid w:val="00385BB0"/>
    <w:rsid w:val="003871B8"/>
    <w:rsid w:val="003A1C85"/>
    <w:rsid w:val="003C409D"/>
    <w:rsid w:val="003C6313"/>
    <w:rsid w:val="003C72B0"/>
    <w:rsid w:val="003C72CE"/>
    <w:rsid w:val="003D09A6"/>
    <w:rsid w:val="003D4104"/>
    <w:rsid w:val="003D62BD"/>
    <w:rsid w:val="003E1875"/>
    <w:rsid w:val="003E3B94"/>
    <w:rsid w:val="003F4842"/>
    <w:rsid w:val="003F6929"/>
    <w:rsid w:val="003F7E68"/>
    <w:rsid w:val="00411941"/>
    <w:rsid w:val="00425AC2"/>
    <w:rsid w:val="004309FF"/>
    <w:rsid w:val="004410E2"/>
    <w:rsid w:val="004534D4"/>
    <w:rsid w:val="004602C6"/>
    <w:rsid w:val="00466A20"/>
    <w:rsid w:val="00467E7A"/>
    <w:rsid w:val="00474A2F"/>
    <w:rsid w:val="00486E18"/>
    <w:rsid w:val="0049767A"/>
    <w:rsid w:val="004A2ED0"/>
    <w:rsid w:val="004A760C"/>
    <w:rsid w:val="004B614D"/>
    <w:rsid w:val="004C2815"/>
    <w:rsid w:val="004C6821"/>
    <w:rsid w:val="004D0345"/>
    <w:rsid w:val="004D690D"/>
    <w:rsid w:val="004D6ACC"/>
    <w:rsid w:val="004E121C"/>
    <w:rsid w:val="004E12C9"/>
    <w:rsid w:val="00501B11"/>
    <w:rsid w:val="005038CC"/>
    <w:rsid w:val="00512382"/>
    <w:rsid w:val="0051479B"/>
    <w:rsid w:val="00523D10"/>
    <w:rsid w:val="00530CB2"/>
    <w:rsid w:val="00536EFE"/>
    <w:rsid w:val="0054334A"/>
    <w:rsid w:val="005545AF"/>
    <w:rsid w:val="005702CA"/>
    <w:rsid w:val="00584F3D"/>
    <w:rsid w:val="00591E3A"/>
    <w:rsid w:val="00595040"/>
    <w:rsid w:val="00597AFF"/>
    <w:rsid w:val="00597CBE"/>
    <w:rsid w:val="005B1325"/>
    <w:rsid w:val="005C5EA9"/>
    <w:rsid w:val="005D1494"/>
    <w:rsid w:val="005D4C4C"/>
    <w:rsid w:val="005D600A"/>
    <w:rsid w:val="005E2E65"/>
    <w:rsid w:val="00601EE7"/>
    <w:rsid w:val="006131E9"/>
    <w:rsid w:val="00615662"/>
    <w:rsid w:val="00616513"/>
    <w:rsid w:val="006165CE"/>
    <w:rsid w:val="00622692"/>
    <w:rsid w:val="00623B97"/>
    <w:rsid w:val="00625DE6"/>
    <w:rsid w:val="006332BB"/>
    <w:rsid w:val="006528B4"/>
    <w:rsid w:val="00655DFA"/>
    <w:rsid w:val="00656656"/>
    <w:rsid w:val="00666A7C"/>
    <w:rsid w:val="006764F1"/>
    <w:rsid w:val="006809E4"/>
    <w:rsid w:val="00681207"/>
    <w:rsid w:val="006A2FF0"/>
    <w:rsid w:val="006A3F15"/>
    <w:rsid w:val="006B6D60"/>
    <w:rsid w:val="006B7679"/>
    <w:rsid w:val="006C1AA5"/>
    <w:rsid w:val="006C2135"/>
    <w:rsid w:val="006D6EB4"/>
    <w:rsid w:val="006E5329"/>
    <w:rsid w:val="006F4156"/>
    <w:rsid w:val="00725F05"/>
    <w:rsid w:val="007611DD"/>
    <w:rsid w:val="00764534"/>
    <w:rsid w:val="00765122"/>
    <w:rsid w:val="00767092"/>
    <w:rsid w:val="00767734"/>
    <w:rsid w:val="00772A10"/>
    <w:rsid w:val="007A2653"/>
    <w:rsid w:val="007B1C33"/>
    <w:rsid w:val="007B1D71"/>
    <w:rsid w:val="007B4DF7"/>
    <w:rsid w:val="007C33CD"/>
    <w:rsid w:val="007D076F"/>
    <w:rsid w:val="007D1CF7"/>
    <w:rsid w:val="007D1D9D"/>
    <w:rsid w:val="007D3614"/>
    <w:rsid w:val="007D3E96"/>
    <w:rsid w:val="007D4199"/>
    <w:rsid w:val="007E50D9"/>
    <w:rsid w:val="007F1162"/>
    <w:rsid w:val="00806032"/>
    <w:rsid w:val="00814000"/>
    <w:rsid w:val="00816FC1"/>
    <w:rsid w:val="008213F2"/>
    <w:rsid w:val="00837A42"/>
    <w:rsid w:val="008479CC"/>
    <w:rsid w:val="00851D5F"/>
    <w:rsid w:val="00854704"/>
    <w:rsid w:val="00857519"/>
    <w:rsid w:val="00860EBF"/>
    <w:rsid w:val="00871BF8"/>
    <w:rsid w:val="0089261F"/>
    <w:rsid w:val="0089443C"/>
    <w:rsid w:val="00894845"/>
    <w:rsid w:val="008978AC"/>
    <w:rsid w:val="008B0E2F"/>
    <w:rsid w:val="008B1135"/>
    <w:rsid w:val="008B4851"/>
    <w:rsid w:val="008B4AD5"/>
    <w:rsid w:val="008C6A4C"/>
    <w:rsid w:val="008D0811"/>
    <w:rsid w:val="008D1B4B"/>
    <w:rsid w:val="008D2B05"/>
    <w:rsid w:val="008D490F"/>
    <w:rsid w:val="008E19C5"/>
    <w:rsid w:val="008E23EE"/>
    <w:rsid w:val="008E4760"/>
    <w:rsid w:val="008F6CA0"/>
    <w:rsid w:val="008F74F1"/>
    <w:rsid w:val="00917F2E"/>
    <w:rsid w:val="00920C76"/>
    <w:rsid w:val="0092652E"/>
    <w:rsid w:val="00946AB1"/>
    <w:rsid w:val="00953FCD"/>
    <w:rsid w:val="00957BE6"/>
    <w:rsid w:val="00963290"/>
    <w:rsid w:val="00970BA1"/>
    <w:rsid w:val="00972123"/>
    <w:rsid w:val="00977059"/>
    <w:rsid w:val="00982A10"/>
    <w:rsid w:val="00983CBA"/>
    <w:rsid w:val="009A543C"/>
    <w:rsid w:val="009B7663"/>
    <w:rsid w:val="009C14EA"/>
    <w:rsid w:val="009C2634"/>
    <w:rsid w:val="009C5B55"/>
    <w:rsid w:val="009D79AE"/>
    <w:rsid w:val="009E17BD"/>
    <w:rsid w:val="009E3439"/>
    <w:rsid w:val="009F3798"/>
    <w:rsid w:val="00A004F6"/>
    <w:rsid w:val="00A0535A"/>
    <w:rsid w:val="00A1114C"/>
    <w:rsid w:val="00A11693"/>
    <w:rsid w:val="00A11875"/>
    <w:rsid w:val="00A205C8"/>
    <w:rsid w:val="00A332B0"/>
    <w:rsid w:val="00A35C73"/>
    <w:rsid w:val="00A43578"/>
    <w:rsid w:val="00A44560"/>
    <w:rsid w:val="00A5649E"/>
    <w:rsid w:val="00A5658C"/>
    <w:rsid w:val="00A56EE2"/>
    <w:rsid w:val="00A57EE4"/>
    <w:rsid w:val="00A57FE5"/>
    <w:rsid w:val="00A6405B"/>
    <w:rsid w:val="00A7418A"/>
    <w:rsid w:val="00A74933"/>
    <w:rsid w:val="00A922CD"/>
    <w:rsid w:val="00A97143"/>
    <w:rsid w:val="00AB4C92"/>
    <w:rsid w:val="00AB5C40"/>
    <w:rsid w:val="00AC7E4E"/>
    <w:rsid w:val="00AF410F"/>
    <w:rsid w:val="00B01819"/>
    <w:rsid w:val="00B0447A"/>
    <w:rsid w:val="00B13EEB"/>
    <w:rsid w:val="00B17237"/>
    <w:rsid w:val="00B24D9F"/>
    <w:rsid w:val="00B339F7"/>
    <w:rsid w:val="00B44433"/>
    <w:rsid w:val="00B563E7"/>
    <w:rsid w:val="00B62FED"/>
    <w:rsid w:val="00B74462"/>
    <w:rsid w:val="00B76978"/>
    <w:rsid w:val="00B94A1B"/>
    <w:rsid w:val="00B979CE"/>
    <w:rsid w:val="00BA1886"/>
    <w:rsid w:val="00BA4D1E"/>
    <w:rsid w:val="00BB2CAA"/>
    <w:rsid w:val="00BB592F"/>
    <w:rsid w:val="00BC077A"/>
    <w:rsid w:val="00BC3667"/>
    <w:rsid w:val="00BC376B"/>
    <w:rsid w:val="00BC78DB"/>
    <w:rsid w:val="00BD38AA"/>
    <w:rsid w:val="00BE7EB4"/>
    <w:rsid w:val="00BF01C3"/>
    <w:rsid w:val="00BF45E2"/>
    <w:rsid w:val="00BF46B6"/>
    <w:rsid w:val="00BF58A2"/>
    <w:rsid w:val="00BF7F32"/>
    <w:rsid w:val="00C03168"/>
    <w:rsid w:val="00C03482"/>
    <w:rsid w:val="00C06DDE"/>
    <w:rsid w:val="00C14098"/>
    <w:rsid w:val="00C178DE"/>
    <w:rsid w:val="00C26648"/>
    <w:rsid w:val="00C27CE0"/>
    <w:rsid w:val="00C31B4E"/>
    <w:rsid w:val="00C40A70"/>
    <w:rsid w:val="00C420BB"/>
    <w:rsid w:val="00C42704"/>
    <w:rsid w:val="00C500B6"/>
    <w:rsid w:val="00C61F78"/>
    <w:rsid w:val="00C65C84"/>
    <w:rsid w:val="00C678B1"/>
    <w:rsid w:val="00C84374"/>
    <w:rsid w:val="00C85547"/>
    <w:rsid w:val="00C85C46"/>
    <w:rsid w:val="00C9493A"/>
    <w:rsid w:val="00CB1094"/>
    <w:rsid w:val="00CB42F2"/>
    <w:rsid w:val="00CC24B1"/>
    <w:rsid w:val="00CC30D0"/>
    <w:rsid w:val="00CC5474"/>
    <w:rsid w:val="00D03689"/>
    <w:rsid w:val="00D10DE7"/>
    <w:rsid w:val="00D13564"/>
    <w:rsid w:val="00D13818"/>
    <w:rsid w:val="00D13852"/>
    <w:rsid w:val="00D17C48"/>
    <w:rsid w:val="00D37015"/>
    <w:rsid w:val="00D379E6"/>
    <w:rsid w:val="00D3F15E"/>
    <w:rsid w:val="00D53D40"/>
    <w:rsid w:val="00D569B3"/>
    <w:rsid w:val="00D574F6"/>
    <w:rsid w:val="00D70598"/>
    <w:rsid w:val="00D730B8"/>
    <w:rsid w:val="00D747C1"/>
    <w:rsid w:val="00D77465"/>
    <w:rsid w:val="00D81E7D"/>
    <w:rsid w:val="00D8569D"/>
    <w:rsid w:val="00D92417"/>
    <w:rsid w:val="00DB3C3A"/>
    <w:rsid w:val="00DC0CE1"/>
    <w:rsid w:val="00DC5FAA"/>
    <w:rsid w:val="00DC71EE"/>
    <w:rsid w:val="00DE176A"/>
    <w:rsid w:val="00E03015"/>
    <w:rsid w:val="00E12C5C"/>
    <w:rsid w:val="00E149AA"/>
    <w:rsid w:val="00E2092F"/>
    <w:rsid w:val="00E2206E"/>
    <w:rsid w:val="00E2593F"/>
    <w:rsid w:val="00E32133"/>
    <w:rsid w:val="00E32FDC"/>
    <w:rsid w:val="00E67B5C"/>
    <w:rsid w:val="00E76A04"/>
    <w:rsid w:val="00E82B32"/>
    <w:rsid w:val="00E8790D"/>
    <w:rsid w:val="00E87D81"/>
    <w:rsid w:val="00E90EB9"/>
    <w:rsid w:val="00EB093E"/>
    <w:rsid w:val="00EC1877"/>
    <w:rsid w:val="00EC3FF1"/>
    <w:rsid w:val="00EC5840"/>
    <w:rsid w:val="00ED7032"/>
    <w:rsid w:val="00EF16D4"/>
    <w:rsid w:val="00F0028B"/>
    <w:rsid w:val="00F06887"/>
    <w:rsid w:val="00F07A42"/>
    <w:rsid w:val="00F12076"/>
    <w:rsid w:val="00F1492A"/>
    <w:rsid w:val="00F210CC"/>
    <w:rsid w:val="00F36890"/>
    <w:rsid w:val="00F37CA7"/>
    <w:rsid w:val="00F37E68"/>
    <w:rsid w:val="00F4047C"/>
    <w:rsid w:val="00F40819"/>
    <w:rsid w:val="00F8030F"/>
    <w:rsid w:val="00F815EA"/>
    <w:rsid w:val="00F85987"/>
    <w:rsid w:val="00F94770"/>
    <w:rsid w:val="00FA2EE2"/>
    <w:rsid w:val="00FA45EE"/>
    <w:rsid w:val="00FA5B86"/>
    <w:rsid w:val="00FA7FA3"/>
    <w:rsid w:val="00FB317C"/>
    <w:rsid w:val="00FC554D"/>
    <w:rsid w:val="00FC7A35"/>
    <w:rsid w:val="037D5EB2"/>
    <w:rsid w:val="04D15EC2"/>
    <w:rsid w:val="06D324D7"/>
    <w:rsid w:val="0A19AF61"/>
    <w:rsid w:val="0A536B08"/>
    <w:rsid w:val="10D8CC00"/>
    <w:rsid w:val="11697697"/>
    <w:rsid w:val="11905CC9"/>
    <w:rsid w:val="1191633E"/>
    <w:rsid w:val="11E00575"/>
    <w:rsid w:val="12C47C6C"/>
    <w:rsid w:val="1548222F"/>
    <w:rsid w:val="164A8A15"/>
    <w:rsid w:val="174CDE39"/>
    <w:rsid w:val="18E56F24"/>
    <w:rsid w:val="1A79E7DD"/>
    <w:rsid w:val="1A9F62AE"/>
    <w:rsid w:val="1C2B503B"/>
    <w:rsid w:val="1CAFB67E"/>
    <w:rsid w:val="1F82D91E"/>
    <w:rsid w:val="1FEA223A"/>
    <w:rsid w:val="201E3483"/>
    <w:rsid w:val="2029FFF1"/>
    <w:rsid w:val="20F705AF"/>
    <w:rsid w:val="2128484E"/>
    <w:rsid w:val="22A0A400"/>
    <w:rsid w:val="239BD136"/>
    <w:rsid w:val="25C4A68A"/>
    <w:rsid w:val="27C85E97"/>
    <w:rsid w:val="28A78FF4"/>
    <w:rsid w:val="29A97950"/>
    <w:rsid w:val="2A81F0C4"/>
    <w:rsid w:val="2BD3BFB6"/>
    <w:rsid w:val="2EEAB815"/>
    <w:rsid w:val="30A085AE"/>
    <w:rsid w:val="31A853B6"/>
    <w:rsid w:val="31DAE01E"/>
    <w:rsid w:val="370DEB58"/>
    <w:rsid w:val="395A046F"/>
    <w:rsid w:val="3A0F9D02"/>
    <w:rsid w:val="3B23213D"/>
    <w:rsid w:val="3DD53CEE"/>
    <w:rsid w:val="412605A1"/>
    <w:rsid w:val="4234EAFD"/>
    <w:rsid w:val="4291828D"/>
    <w:rsid w:val="44ED3439"/>
    <w:rsid w:val="44F6EF8C"/>
    <w:rsid w:val="45C3AD6A"/>
    <w:rsid w:val="466E8122"/>
    <w:rsid w:val="477636C3"/>
    <w:rsid w:val="4807B888"/>
    <w:rsid w:val="480BCA2A"/>
    <w:rsid w:val="49A4074C"/>
    <w:rsid w:val="4B118D73"/>
    <w:rsid w:val="4DBD852F"/>
    <w:rsid w:val="4DED91B1"/>
    <w:rsid w:val="4F461857"/>
    <w:rsid w:val="4FD3BF1F"/>
    <w:rsid w:val="50B013F5"/>
    <w:rsid w:val="5204AFD6"/>
    <w:rsid w:val="53BD7815"/>
    <w:rsid w:val="5433E62B"/>
    <w:rsid w:val="576BF823"/>
    <w:rsid w:val="596CE82E"/>
    <w:rsid w:val="5A4E6410"/>
    <w:rsid w:val="5BAAF2F0"/>
    <w:rsid w:val="5E5B4CE8"/>
    <w:rsid w:val="6033BFC0"/>
    <w:rsid w:val="603570B2"/>
    <w:rsid w:val="6087CCA4"/>
    <w:rsid w:val="61CAF5A7"/>
    <w:rsid w:val="6330DD76"/>
    <w:rsid w:val="65029ACE"/>
    <w:rsid w:val="692B11B3"/>
    <w:rsid w:val="6B82BDA0"/>
    <w:rsid w:val="6FB34D05"/>
    <w:rsid w:val="71119C5D"/>
    <w:rsid w:val="72C2FEF7"/>
    <w:rsid w:val="73A8BB00"/>
    <w:rsid w:val="74FC9BC3"/>
    <w:rsid w:val="750A3212"/>
    <w:rsid w:val="754D80FA"/>
    <w:rsid w:val="75B81B8C"/>
    <w:rsid w:val="7604F2E7"/>
    <w:rsid w:val="772821E5"/>
    <w:rsid w:val="78F1E42F"/>
    <w:rsid w:val="7BDA64CD"/>
    <w:rsid w:val="7D10892E"/>
    <w:rsid w:val="7EA8DF8C"/>
    <w:rsid w:val="7FA1C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F0D3D"/>
  <w15:chartTrackingRefBased/>
  <w15:docId w15:val="{2EF979D2-B2C7-4852-B9CB-5AEE863E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0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40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40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40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409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4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BF58A2"/>
    <w:pPr>
      <w:spacing w:before="24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7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BE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BE6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A45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BA2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7" ma:contentTypeDescription="Create a new document." ma:contentTypeScope="" ma:versionID="a97d6933f39f04cfd109dd0f07d6aa84">
  <xsd:schema xmlns:xsd="http://www.w3.org/2001/XMLSchema" xmlns:xs="http://www.w3.org/2001/XMLSchema" xmlns:p="http://schemas.microsoft.com/office/2006/metadata/properties" xmlns:ns2="1aae30ff-d7bc-47e3-882e-cd3423d00d62" xmlns:ns3="f89dec18-d0c2-45d2-8a15-31051f2519f8" targetNamespace="http://schemas.microsoft.com/office/2006/metadata/properties" ma:root="true" ma:fieldsID="56b87715104447ef79ccde77fe337f74" ns2:_="" ns3:_="">
    <xsd:import namespace="1aae30ff-d7bc-47e3-882e-cd3423d00d62"/>
    <xsd:import namespace="f89dec18-d0c2-45d2-8a15-31051f2519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30727d-e339-4747-a48e-d67eefbe9f9f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e30ff-d7bc-47e3-882e-cd3423d00d62" xsi:nil="true"/>
    <lcf76f155ced4ddcb4097134ff3c332f xmlns="f89dec18-d0c2-45d2-8a15-31051f2519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63EC-CA12-486E-8035-18B11D4C9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8D761-1907-480B-BA68-89DC50FA2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e30ff-d7bc-47e3-882e-cd3423d00d62"/>
    <ds:schemaRef ds:uri="f89dec18-d0c2-45d2-8a15-31051f25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4068F-38E8-4FBE-BAA0-41BAF3839C58}">
  <ds:schemaRefs>
    <ds:schemaRef ds:uri="http://purl.org/dc/terms/"/>
    <ds:schemaRef ds:uri="f89dec18-d0c2-45d2-8a15-31051f2519f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aae30ff-d7bc-47e3-882e-cd3423d00d6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28A9A4-E1CD-498F-AE67-458CB3AD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649</Words>
  <Characters>3769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2025 Memo ITB ADAD Item 02 - Information Memoranda (CA State Board of Education)</vt:lpstr>
    </vt:vector>
  </TitlesOfParts>
  <Company>CA Department of Education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Memo ITB ADAD Item 02 - Information Memoranda (CA State Board of Education)</dc:title>
  <dc:subject>Proposed Goals and Priorities for the Next California Assessment System Procurement.</dc:subject>
  <dc:creator/>
  <cp:keywords/>
  <dc:description/>
  <cp:lastPrinted>2017-10-30T18:36:00Z</cp:lastPrinted>
  <dcterms:created xsi:type="dcterms:W3CDTF">2025-06-12T17:22:00Z</dcterms:created>
  <dcterms:modified xsi:type="dcterms:W3CDTF">2025-06-13T21:03:00Z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GrammarlyDocumentId">
    <vt:lpwstr>bb1580f105735a5c5390315b3d1e0cfa077aa57992c969e35e4777f325ad8eda</vt:lpwstr>
  </property>
  <property fmtid="{D5CDD505-2E9C-101B-9397-08002B2CF9AE}" pid="4" name="MediaServiceImageTags">
    <vt:lpwstr/>
  </property>
</Properties>
</file>