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9ED7" w14:textId="1B1F6067" w:rsidR="00057A96" w:rsidRPr="00D26A93" w:rsidRDefault="00057A96" w:rsidP="000210F9">
      <w:pPr>
        <w:rPr>
          <w:rFonts w:cs="Arial"/>
        </w:rPr>
      </w:pPr>
      <w:r w:rsidRPr="00D26A93">
        <w:rPr>
          <w:rFonts w:cs="Arial"/>
        </w:rPr>
        <w:t>California Department of Education</w:t>
      </w:r>
    </w:p>
    <w:p w14:paraId="6229868E" w14:textId="77777777" w:rsidR="00057A96" w:rsidRPr="00D26A93" w:rsidRDefault="00057A96" w:rsidP="000210F9">
      <w:pPr>
        <w:rPr>
          <w:rFonts w:cs="Arial"/>
        </w:rPr>
      </w:pPr>
      <w:r w:rsidRPr="00D26A93">
        <w:rPr>
          <w:rFonts w:cs="Arial"/>
        </w:rPr>
        <w:t>Executive Office</w:t>
      </w:r>
    </w:p>
    <w:p w14:paraId="6E1BD784" w14:textId="77777777" w:rsidR="00982A10" w:rsidRPr="00D26A93" w:rsidRDefault="00057A96" w:rsidP="000210F9">
      <w:pPr>
        <w:rPr>
          <w:rFonts w:cs="Arial"/>
        </w:rPr>
      </w:pPr>
      <w:r w:rsidRPr="00D26A93">
        <w:rPr>
          <w:rFonts w:cs="Arial"/>
        </w:rPr>
        <w:t>SBE-00</w:t>
      </w:r>
      <w:r w:rsidR="00BC376B" w:rsidRPr="00D26A93">
        <w:rPr>
          <w:rFonts w:cs="Arial"/>
        </w:rPr>
        <w:t>2</w:t>
      </w:r>
      <w:r w:rsidRPr="00D26A93">
        <w:rPr>
          <w:rFonts w:cs="Arial"/>
        </w:rPr>
        <w:t xml:space="preserve"> (REV. 1</w:t>
      </w:r>
      <w:r w:rsidR="000C139F" w:rsidRPr="00D26A93">
        <w:rPr>
          <w:rFonts w:cs="Arial"/>
        </w:rPr>
        <w:t>1</w:t>
      </w:r>
      <w:r w:rsidRPr="00D26A93">
        <w:rPr>
          <w:rFonts w:cs="Arial"/>
        </w:rPr>
        <w:t>/2017)</w:t>
      </w:r>
    </w:p>
    <w:p w14:paraId="3AD58ECC" w14:textId="68149400" w:rsidR="00982A10" w:rsidRPr="008E406F" w:rsidRDefault="00982A10" w:rsidP="008E406F">
      <w:pPr>
        <w:rPr>
          <w:rFonts w:cs="Arial"/>
        </w:rPr>
        <w:sectPr w:rsidR="00982A10" w:rsidRPr="008E406F" w:rsidSect="007544C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1440" w:bottom="1440" w:left="1440" w:header="720" w:footer="720" w:gutter="0"/>
          <w:cols w:num="2" w:space="144" w:equalWidth="0">
            <w:col w:w="5760" w:space="144"/>
            <w:col w:w="3456"/>
          </w:cols>
          <w:titlePg/>
          <w:docGrid w:linePitch="326"/>
        </w:sectPr>
      </w:pPr>
      <w:r w:rsidRPr="265B958A">
        <w:rPr>
          <w:rFonts w:cs="Arial"/>
        </w:rPr>
        <w:br w:type="column"/>
      </w:r>
      <w:r w:rsidR="00C14098" w:rsidRPr="265B958A">
        <w:rPr>
          <w:rFonts w:cs="Arial"/>
        </w:rPr>
        <w:t>memo-</w:t>
      </w:r>
      <w:r w:rsidR="007E1AF0">
        <w:rPr>
          <w:rFonts w:cs="Arial"/>
        </w:rPr>
        <w:t>best</w:t>
      </w:r>
      <w:r w:rsidR="00C14098" w:rsidRPr="265B958A">
        <w:rPr>
          <w:rFonts w:cs="Arial"/>
        </w:rPr>
        <w:t>-</w:t>
      </w:r>
      <w:r w:rsidR="003F50BC" w:rsidRPr="265B958A">
        <w:rPr>
          <w:rFonts w:cs="Arial"/>
        </w:rPr>
        <w:t>plsd</w:t>
      </w:r>
      <w:r w:rsidR="00C14098" w:rsidRPr="265B958A">
        <w:rPr>
          <w:rFonts w:cs="Arial"/>
        </w:rPr>
        <w:t>-</w:t>
      </w:r>
      <w:r w:rsidR="2C2AAAEC" w:rsidRPr="265B958A">
        <w:rPr>
          <w:rFonts w:cs="Arial"/>
        </w:rPr>
        <w:t>jun26</w:t>
      </w:r>
      <w:r w:rsidR="00C14098" w:rsidRPr="265B958A">
        <w:rPr>
          <w:rFonts w:cs="Arial"/>
        </w:rPr>
        <w:t>item</w:t>
      </w:r>
      <w:r w:rsidR="008E406F">
        <w:rPr>
          <w:rFonts w:cs="Arial"/>
        </w:rPr>
        <w:t>01</w:t>
      </w:r>
    </w:p>
    <w:p w14:paraId="31299703" w14:textId="77777777" w:rsidR="003F50BC" w:rsidRPr="00D26A93" w:rsidRDefault="003F50BC" w:rsidP="000210F9">
      <w:pPr>
        <w:pStyle w:val="Heading1"/>
      </w:pPr>
      <w:r w:rsidRPr="00D26A93">
        <w:t>MEMORANDUM</w:t>
      </w:r>
    </w:p>
    <w:p w14:paraId="239324A2" w14:textId="19AC3AD6" w:rsidR="003F50BC" w:rsidRPr="00D26A93" w:rsidRDefault="003F50BC" w:rsidP="000210F9">
      <w:pPr>
        <w:pStyle w:val="MessageHeader"/>
        <w:rPr>
          <w:rFonts w:cs="Arial"/>
          <w:highlight w:val="yellow"/>
        </w:rPr>
      </w:pPr>
      <w:r w:rsidRPr="08E7735C">
        <w:rPr>
          <w:rFonts w:cs="Arial"/>
          <w:b/>
          <w:bCs/>
        </w:rPr>
        <w:t>DATE:</w:t>
      </w:r>
      <w:r>
        <w:tab/>
      </w:r>
      <w:r w:rsidR="16BD6D85" w:rsidRPr="08E7735C">
        <w:rPr>
          <w:rFonts w:cs="Arial"/>
        </w:rPr>
        <w:t>June</w:t>
      </w:r>
      <w:r w:rsidR="1184ED97" w:rsidRPr="08E7735C">
        <w:rPr>
          <w:rFonts w:cs="Arial"/>
        </w:rPr>
        <w:t xml:space="preserve"> 1</w:t>
      </w:r>
      <w:r w:rsidR="0058667B">
        <w:rPr>
          <w:rFonts w:cs="Arial"/>
        </w:rPr>
        <w:t>2</w:t>
      </w:r>
      <w:r w:rsidR="1184ED97" w:rsidRPr="08E7735C">
        <w:rPr>
          <w:rFonts w:cs="Arial"/>
        </w:rPr>
        <w:t>, 2026</w:t>
      </w:r>
    </w:p>
    <w:p w14:paraId="5EF12CD2" w14:textId="438A55A8" w:rsidR="003F50BC" w:rsidRPr="00D26A93" w:rsidRDefault="003F50BC" w:rsidP="000210F9">
      <w:pPr>
        <w:pStyle w:val="MessageHeader"/>
        <w:rPr>
          <w:rFonts w:cs="Arial"/>
        </w:rPr>
      </w:pPr>
      <w:r w:rsidRPr="00D26A93">
        <w:rPr>
          <w:rFonts w:cs="Arial"/>
          <w:b/>
        </w:rPr>
        <w:t>TO:</w:t>
      </w:r>
      <w:r w:rsidRPr="00D26A93">
        <w:rPr>
          <w:rFonts w:cs="Arial"/>
          <w:b/>
        </w:rPr>
        <w:tab/>
      </w:r>
      <w:r w:rsidRPr="00D26A93">
        <w:rPr>
          <w:rFonts w:cs="Arial"/>
        </w:rPr>
        <w:t xml:space="preserve">MEMBERS, </w:t>
      </w:r>
      <w:r w:rsidR="00FF21B3">
        <w:rPr>
          <w:rFonts w:cs="Arial"/>
        </w:rPr>
        <w:t xml:space="preserve">California </w:t>
      </w:r>
      <w:r w:rsidRPr="00D26A93">
        <w:rPr>
          <w:rFonts w:cs="Arial"/>
        </w:rPr>
        <w:t>State Board of Education</w:t>
      </w:r>
      <w:r w:rsidRPr="00D26A93">
        <w:rPr>
          <w:rFonts w:cs="Arial"/>
        </w:rPr>
        <w:tab/>
      </w:r>
    </w:p>
    <w:p w14:paraId="6551698D" w14:textId="77777777" w:rsidR="003F50BC" w:rsidRPr="00D26A93" w:rsidRDefault="003F50BC" w:rsidP="000210F9">
      <w:pPr>
        <w:pStyle w:val="MessageHeader"/>
        <w:rPr>
          <w:rFonts w:cs="Arial"/>
        </w:rPr>
      </w:pPr>
      <w:r w:rsidRPr="00D26A93">
        <w:rPr>
          <w:rFonts w:cs="Arial"/>
          <w:b/>
        </w:rPr>
        <w:t>FROM:</w:t>
      </w:r>
      <w:r w:rsidRPr="00D26A93">
        <w:rPr>
          <w:rFonts w:cs="Arial"/>
        </w:rPr>
        <w:tab/>
        <w:t>TONY THURMOND, State Superintendent of Public Instruction</w:t>
      </w:r>
    </w:p>
    <w:p w14:paraId="7F4B2A53" w14:textId="3F0A650F" w:rsidR="003F50BC" w:rsidRPr="00D26A93" w:rsidRDefault="003F50BC" w:rsidP="000210F9">
      <w:pPr>
        <w:pStyle w:val="MessageHeader"/>
        <w:rPr>
          <w:rFonts w:cs="Arial"/>
          <w:b/>
          <w:bCs/>
          <w:color w:val="000000" w:themeColor="text1"/>
        </w:rPr>
      </w:pPr>
      <w:r w:rsidRPr="265B958A">
        <w:rPr>
          <w:rFonts w:cs="Arial"/>
          <w:b/>
          <w:bCs/>
        </w:rPr>
        <w:t>SUBJECT:</w:t>
      </w:r>
      <w:r>
        <w:tab/>
      </w:r>
      <w:r w:rsidRPr="265B958A">
        <w:rPr>
          <w:rFonts w:cs="Arial"/>
        </w:rPr>
        <w:t>202</w:t>
      </w:r>
      <w:r w:rsidR="00830A69" w:rsidRPr="265B958A">
        <w:rPr>
          <w:rFonts w:cs="Arial"/>
        </w:rPr>
        <w:t>3</w:t>
      </w:r>
      <w:r w:rsidRPr="265B958A">
        <w:rPr>
          <w:rFonts w:cs="Arial"/>
        </w:rPr>
        <w:t>–2</w:t>
      </w:r>
      <w:r w:rsidR="00830A69" w:rsidRPr="265B958A">
        <w:rPr>
          <w:rFonts w:cs="Arial"/>
        </w:rPr>
        <w:t>4</w:t>
      </w:r>
      <w:r w:rsidRPr="265B958A">
        <w:rPr>
          <w:rFonts w:cs="Arial"/>
        </w:rPr>
        <w:t xml:space="preserve"> Educator Equity Data</w:t>
      </w:r>
      <w:r w:rsidRPr="265B958A">
        <w:rPr>
          <w:rFonts w:cs="Arial"/>
          <w:b/>
          <w:bCs/>
          <w:color w:val="000000" w:themeColor="text1"/>
        </w:rPr>
        <w:t xml:space="preserve"> </w:t>
      </w:r>
    </w:p>
    <w:p w14:paraId="01A3A5C5" w14:textId="77777777" w:rsidR="003F50BC" w:rsidRPr="00D26A93" w:rsidRDefault="003F50BC" w:rsidP="000210F9">
      <w:pPr>
        <w:pStyle w:val="Heading2"/>
        <w:rPr>
          <w:rFonts w:cs="Arial"/>
          <w:szCs w:val="36"/>
        </w:rPr>
      </w:pPr>
      <w:r w:rsidRPr="00D26A93">
        <w:rPr>
          <w:rFonts w:cs="Arial"/>
          <w:szCs w:val="36"/>
        </w:rPr>
        <w:t>Summary of Key Issues</w:t>
      </w:r>
    </w:p>
    <w:p w14:paraId="7E1B3487" w14:textId="14616F23" w:rsidR="003F50BC" w:rsidRPr="00D26A93" w:rsidRDefault="003F50BC" w:rsidP="000210F9">
      <w:pPr>
        <w:spacing w:after="240"/>
        <w:rPr>
          <w:rFonts w:eastAsia="Calibri" w:cs="Arial"/>
        </w:rPr>
      </w:pPr>
      <w:r w:rsidRPr="265B958A">
        <w:rPr>
          <w:rFonts w:eastAsia="Calibri" w:cs="Arial"/>
        </w:rPr>
        <w:t>California has long been committed to providing a high-quality education to all students regardless of socioeconomic status or background. Educational equity has been a</w:t>
      </w:r>
      <w:r w:rsidR="00355B4D" w:rsidRPr="265B958A">
        <w:rPr>
          <w:rFonts w:eastAsia="Calibri" w:cs="Arial"/>
        </w:rPr>
        <w:t>n</w:t>
      </w:r>
      <w:r w:rsidRPr="265B958A">
        <w:rPr>
          <w:rFonts w:eastAsia="Calibri" w:cs="Arial"/>
        </w:rPr>
        <w:t xml:space="preserve"> </w:t>
      </w:r>
      <w:r w:rsidR="00355B4D" w:rsidRPr="265B958A">
        <w:rPr>
          <w:rFonts w:eastAsia="Calibri" w:cs="Arial"/>
        </w:rPr>
        <w:t xml:space="preserve">articulated </w:t>
      </w:r>
      <w:r w:rsidRPr="265B958A">
        <w:rPr>
          <w:rFonts w:eastAsia="Calibri" w:cs="Arial"/>
        </w:rPr>
        <w:t xml:space="preserve">priority for many years. Under </w:t>
      </w:r>
      <w:proofErr w:type="gramStart"/>
      <w:r w:rsidRPr="265B958A">
        <w:rPr>
          <w:rFonts w:eastAsia="Calibri" w:cs="Arial"/>
        </w:rPr>
        <w:t>the</w:t>
      </w:r>
      <w:r w:rsidR="14587593" w:rsidRPr="265B958A">
        <w:rPr>
          <w:rFonts w:eastAsia="Calibri" w:cs="Arial"/>
        </w:rPr>
        <w:t xml:space="preserve"> </w:t>
      </w:r>
      <w:bookmarkStart w:id="0" w:name="_Hlk169090883"/>
      <w:r w:rsidRPr="265B958A">
        <w:rPr>
          <w:rFonts w:eastAsia="Calibri" w:cs="Arial"/>
        </w:rPr>
        <w:t>Every</w:t>
      </w:r>
      <w:proofErr w:type="gramEnd"/>
      <w:r w:rsidRPr="265B958A">
        <w:rPr>
          <w:rFonts w:eastAsia="Calibri" w:cs="Arial"/>
        </w:rPr>
        <w:t xml:space="preserve"> Student Succeeds Act</w:t>
      </w:r>
      <w:bookmarkEnd w:id="0"/>
      <w:r w:rsidRPr="265B958A">
        <w:rPr>
          <w:rFonts w:eastAsia="Calibri" w:cs="Arial"/>
        </w:rPr>
        <w:t xml:space="preserve"> (ESSA), the California Department of Education (CDE) </w:t>
      </w:r>
      <w:r w:rsidR="00723938">
        <w:rPr>
          <w:rFonts w:eastAsia="Calibri" w:cs="Arial"/>
        </w:rPr>
        <w:t>continues to expand its efforts</w:t>
      </w:r>
      <w:r w:rsidR="00723938" w:rsidRPr="265B958A">
        <w:rPr>
          <w:rFonts w:eastAsia="Calibri" w:cs="Arial"/>
        </w:rPr>
        <w:t xml:space="preserve"> </w:t>
      </w:r>
      <w:r w:rsidRPr="265B958A">
        <w:rPr>
          <w:rFonts w:eastAsia="Calibri" w:cs="Arial"/>
        </w:rPr>
        <w:t xml:space="preserve">to recruit, prepare, and maintain a highly skilled educator workforce for the benefit of all students, especially students from historically underserved communities. </w:t>
      </w:r>
    </w:p>
    <w:p w14:paraId="4615512D" w14:textId="7D7A954D" w:rsidR="00604CA5" w:rsidRPr="00D26A93" w:rsidRDefault="003F50BC" w:rsidP="00BC03B9">
      <w:pPr>
        <w:spacing w:before="240" w:after="240"/>
        <w:rPr>
          <w:rFonts w:eastAsia="Calibri" w:cs="Arial"/>
          <w:lang w:val="en"/>
        </w:rPr>
      </w:pPr>
      <w:r w:rsidRPr="00D26A93">
        <w:rPr>
          <w:rFonts w:eastAsia="Calibri" w:cs="Arial"/>
          <w:lang w:val="en"/>
        </w:rPr>
        <w:t>T</w:t>
      </w:r>
      <w:r w:rsidR="00B11A0C">
        <w:rPr>
          <w:rFonts w:eastAsia="Calibri" w:cs="Arial"/>
          <w:lang w:val="en"/>
        </w:rPr>
        <w:t>he purpose of t</w:t>
      </w:r>
      <w:r w:rsidRPr="00D26A93">
        <w:rPr>
          <w:rFonts w:eastAsia="Calibri" w:cs="Arial"/>
          <w:lang w:val="en"/>
        </w:rPr>
        <w:t>his memo</w:t>
      </w:r>
      <w:r w:rsidR="00B11A0C">
        <w:rPr>
          <w:rFonts w:eastAsia="Calibri" w:cs="Arial"/>
          <w:lang w:val="en"/>
        </w:rPr>
        <w:t xml:space="preserve"> is to </w:t>
      </w:r>
      <w:r w:rsidR="008943BD">
        <w:rPr>
          <w:rFonts w:eastAsia="Calibri" w:cs="Arial"/>
          <w:lang w:val="en"/>
        </w:rPr>
        <w:t>update</w:t>
      </w:r>
      <w:r w:rsidR="007A77EB">
        <w:rPr>
          <w:rFonts w:eastAsia="Calibri" w:cs="Arial"/>
          <w:lang w:val="en"/>
        </w:rPr>
        <w:t xml:space="preserve"> the State Board of Education (SBE) and members of the public</w:t>
      </w:r>
      <w:r w:rsidR="008943BD">
        <w:rPr>
          <w:rFonts w:eastAsia="Calibri" w:cs="Arial"/>
          <w:lang w:val="en"/>
        </w:rPr>
        <w:t xml:space="preserve"> </w:t>
      </w:r>
      <w:r w:rsidR="003E580F">
        <w:rPr>
          <w:rFonts w:eastAsia="Calibri" w:cs="Arial"/>
          <w:lang w:val="en"/>
        </w:rPr>
        <w:t>on</w:t>
      </w:r>
      <w:r w:rsidR="008943BD">
        <w:rPr>
          <w:rFonts w:eastAsia="Calibri" w:cs="Arial"/>
          <w:lang w:val="en"/>
        </w:rPr>
        <w:t xml:space="preserve"> the </w:t>
      </w:r>
      <w:r w:rsidR="001B7FD1">
        <w:rPr>
          <w:rFonts w:eastAsia="Calibri" w:cs="Arial"/>
          <w:lang w:val="en"/>
        </w:rPr>
        <w:t>most recently availab</w:t>
      </w:r>
      <w:r w:rsidR="00EB00B0">
        <w:rPr>
          <w:rFonts w:eastAsia="Calibri" w:cs="Arial"/>
          <w:lang w:val="en"/>
        </w:rPr>
        <w:t xml:space="preserve">le </w:t>
      </w:r>
      <w:r w:rsidR="008943BD">
        <w:rPr>
          <w:rFonts w:eastAsia="Calibri" w:cs="Arial"/>
          <w:lang w:val="en"/>
        </w:rPr>
        <w:t xml:space="preserve">results of </w:t>
      </w:r>
      <w:r w:rsidR="008943BD" w:rsidRPr="08E7735C">
        <w:rPr>
          <w:rFonts w:cs="Arial"/>
          <w:color w:val="000000" w:themeColor="text1"/>
        </w:rPr>
        <w:t>annual monitoring of teacher assignments</w:t>
      </w:r>
      <w:r w:rsidR="00723938">
        <w:rPr>
          <w:rFonts w:cs="Arial"/>
          <w:color w:val="000000" w:themeColor="text1"/>
        </w:rPr>
        <w:t xml:space="preserve"> statewide</w:t>
      </w:r>
      <w:r w:rsidR="003E580F">
        <w:rPr>
          <w:rFonts w:cs="Arial"/>
          <w:color w:val="000000" w:themeColor="text1"/>
        </w:rPr>
        <w:t>. It</w:t>
      </w:r>
      <w:r w:rsidR="008943BD">
        <w:rPr>
          <w:rFonts w:eastAsia="Calibri" w:cs="Arial"/>
          <w:lang w:val="en"/>
        </w:rPr>
        <w:t xml:space="preserve"> </w:t>
      </w:r>
      <w:r w:rsidRPr="00D26A93">
        <w:rPr>
          <w:rFonts w:eastAsia="Calibri" w:cs="Arial"/>
          <w:lang w:val="en"/>
        </w:rPr>
        <w:t>includes</w:t>
      </w:r>
      <w:r w:rsidR="00F52B4B">
        <w:rPr>
          <w:rFonts w:eastAsia="Calibri" w:cs="Arial"/>
          <w:lang w:val="en"/>
        </w:rPr>
        <w:t xml:space="preserve"> background information</w:t>
      </w:r>
      <w:r w:rsidR="005301DC">
        <w:rPr>
          <w:rFonts w:eastAsia="Calibri" w:cs="Arial"/>
          <w:lang w:val="en"/>
        </w:rPr>
        <w:t>,</w:t>
      </w:r>
      <w:r w:rsidR="00F52B4B">
        <w:rPr>
          <w:rFonts w:eastAsia="Calibri" w:cs="Arial"/>
          <w:lang w:val="en"/>
        </w:rPr>
        <w:t xml:space="preserve"> </w:t>
      </w:r>
      <w:r w:rsidR="00740331">
        <w:rPr>
          <w:rFonts w:eastAsia="Calibri" w:cs="Arial"/>
          <w:lang w:val="en"/>
        </w:rPr>
        <w:t xml:space="preserve">an overview of </w:t>
      </w:r>
      <w:r w:rsidR="00F52B4B">
        <w:rPr>
          <w:rFonts w:eastAsia="Calibri" w:cs="Arial"/>
          <w:lang w:val="en"/>
        </w:rPr>
        <w:t>the data collecti</w:t>
      </w:r>
      <w:r w:rsidR="00841A9F">
        <w:rPr>
          <w:rFonts w:eastAsia="Calibri" w:cs="Arial"/>
          <w:lang w:val="en"/>
        </w:rPr>
        <w:t>o</w:t>
      </w:r>
      <w:r w:rsidR="00F52B4B">
        <w:rPr>
          <w:rFonts w:eastAsia="Calibri" w:cs="Arial"/>
          <w:lang w:val="en"/>
        </w:rPr>
        <w:t xml:space="preserve">n process, </w:t>
      </w:r>
      <w:r w:rsidR="006E5D37">
        <w:rPr>
          <w:rFonts w:eastAsia="Calibri" w:cs="Arial"/>
          <w:lang w:val="en"/>
        </w:rPr>
        <w:t>definitions of credential types</w:t>
      </w:r>
      <w:r w:rsidR="005301DC">
        <w:rPr>
          <w:rFonts w:eastAsia="Calibri" w:cs="Arial"/>
          <w:lang w:val="en"/>
        </w:rPr>
        <w:t>,</w:t>
      </w:r>
      <w:r w:rsidR="006E5D37">
        <w:rPr>
          <w:rFonts w:eastAsia="Calibri" w:cs="Arial"/>
          <w:lang w:val="en"/>
        </w:rPr>
        <w:t xml:space="preserve"> </w:t>
      </w:r>
      <w:r w:rsidR="00E742BD">
        <w:rPr>
          <w:rFonts w:eastAsia="Calibri" w:cs="Arial"/>
          <w:lang w:val="en"/>
        </w:rPr>
        <w:t xml:space="preserve">and </w:t>
      </w:r>
      <w:r w:rsidR="00F96C93">
        <w:rPr>
          <w:rFonts w:eastAsia="Calibri" w:cs="Arial"/>
          <w:lang w:val="en"/>
        </w:rPr>
        <w:t>the</w:t>
      </w:r>
      <w:r w:rsidR="00EB00B0">
        <w:rPr>
          <w:rFonts w:eastAsia="Calibri" w:cs="Arial"/>
          <w:lang w:val="en"/>
        </w:rPr>
        <w:t xml:space="preserve"> </w:t>
      </w:r>
      <w:r w:rsidR="00EB00B0" w:rsidRPr="009B4111">
        <w:rPr>
          <w:rFonts w:eastAsia="Calibri" w:cs="Arial"/>
        </w:rPr>
        <w:t>2023</w:t>
      </w:r>
      <w:r w:rsidR="005301DC">
        <w:rPr>
          <w:rFonts w:eastAsia="Calibri" w:cs="Arial"/>
        </w:rPr>
        <w:t>–</w:t>
      </w:r>
      <w:r w:rsidR="00EB00B0" w:rsidRPr="009B4111">
        <w:rPr>
          <w:rFonts w:eastAsia="Calibri" w:cs="Arial"/>
        </w:rPr>
        <w:t>24</w:t>
      </w:r>
      <w:r w:rsidR="00F96C93">
        <w:rPr>
          <w:rFonts w:eastAsia="Calibri" w:cs="Arial"/>
          <w:lang w:val="en"/>
        </w:rPr>
        <w:t xml:space="preserve"> </w:t>
      </w:r>
      <w:r w:rsidRPr="00D26A93">
        <w:rPr>
          <w:rFonts w:eastAsia="Calibri" w:cs="Arial"/>
          <w:lang w:val="en"/>
        </w:rPr>
        <w:t xml:space="preserve">data </w:t>
      </w:r>
      <w:r w:rsidR="00A334ED">
        <w:rPr>
          <w:rFonts w:eastAsia="Calibri" w:cs="Arial"/>
          <w:lang w:val="en"/>
        </w:rPr>
        <w:t>illustrating</w:t>
      </w:r>
      <w:r w:rsidR="00D16F20">
        <w:rPr>
          <w:rFonts w:eastAsia="Calibri" w:cs="Arial"/>
          <w:lang w:val="en"/>
        </w:rPr>
        <w:t xml:space="preserve"> </w:t>
      </w:r>
      <w:r w:rsidR="00E44AF3">
        <w:rPr>
          <w:rFonts w:eastAsia="Calibri" w:cs="Arial"/>
          <w:lang w:val="en"/>
        </w:rPr>
        <w:t xml:space="preserve">the </w:t>
      </w:r>
      <w:r w:rsidR="00A30A3C">
        <w:rPr>
          <w:rFonts w:eastAsia="Calibri" w:cs="Arial"/>
          <w:lang w:val="en"/>
        </w:rPr>
        <w:t xml:space="preserve">status </w:t>
      </w:r>
      <w:r w:rsidR="00C06691">
        <w:rPr>
          <w:rFonts w:eastAsia="Calibri" w:cs="Arial"/>
          <w:lang w:val="en"/>
        </w:rPr>
        <w:t>of</w:t>
      </w:r>
      <w:r w:rsidR="00001E18">
        <w:rPr>
          <w:rFonts w:eastAsia="Calibri" w:cs="Arial"/>
          <w:lang w:val="en"/>
        </w:rPr>
        <w:t xml:space="preserve"> California</w:t>
      </w:r>
      <w:r w:rsidR="00C06691">
        <w:rPr>
          <w:rFonts w:eastAsia="Calibri" w:cs="Arial"/>
          <w:lang w:val="en"/>
        </w:rPr>
        <w:t xml:space="preserve"> teacher assignments by credential type</w:t>
      </w:r>
      <w:r w:rsidR="00382080">
        <w:rPr>
          <w:rFonts w:eastAsia="Calibri" w:cs="Arial"/>
          <w:lang w:val="en"/>
        </w:rPr>
        <w:t xml:space="preserve"> (as defined by </w:t>
      </w:r>
      <w:r w:rsidR="00D41E0A">
        <w:rPr>
          <w:rFonts w:eastAsia="Calibri" w:cs="Arial"/>
          <w:lang w:val="en"/>
        </w:rPr>
        <w:t xml:space="preserve">the California </w:t>
      </w:r>
      <w:r w:rsidR="00382080">
        <w:rPr>
          <w:rFonts w:eastAsia="Calibri" w:cs="Arial"/>
          <w:lang w:val="en"/>
        </w:rPr>
        <w:t>ESSA</w:t>
      </w:r>
      <w:r w:rsidR="00D41E0A">
        <w:rPr>
          <w:rFonts w:eastAsia="Calibri" w:cs="Arial"/>
          <w:lang w:val="en"/>
        </w:rPr>
        <w:t xml:space="preserve"> Consolidated State Plan</w:t>
      </w:r>
      <w:r w:rsidR="00382080">
        <w:rPr>
          <w:rFonts w:eastAsia="Calibri" w:cs="Arial"/>
          <w:lang w:val="en"/>
        </w:rPr>
        <w:t>)</w:t>
      </w:r>
      <w:r w:rsidR="00084017">
        <w:rPr>
          <w:rFonts w:eastAsia="Calibri" w:cs="Arial"/>
          <w:lang w:val="en"/>
        </w:rPr>
        <w:t xml:space="preserve">, including </w:t>
      </w:r>
      <w:r w:rsidRPr="00D26A93">
        <w:rPr>
          <w:rFonts w:eastAsia="Calibri" w:cs="Arial"/>
          <w:lang w:val="en"/>
        </w:rPr>
        <w:t>teacher misassignment</w:t>
      </w:r>
      <w:r w:rsidR="00792670">
        <w:rPr>
          <w:rFonts w:eastAsia="Calibri" w:cs="Arial"/>
          <w:lang w:val="en"/>
        </w:rPr>
        <w:t xml:space="preserve"> data relating to</w:t>
      </w:r>
      <w:r w:rsidR="00792670" w:rsidRPr="00D26A93">
        <w:rPr>
          <w:rFonts w:eastAsia="Calibri" w:cs="Arial"/>
          <w:lang w:val="en"/>
        </w:rPr>
        <w:t xml:space="preserve"> </w:t>
      </w:r>
      <w:r w:rsidRPr="00D26A93">
        <w:rPr>
          <w:rFonts w:eastAsia="Calibri" w:cs="Arial"/>
          <w:lang w:val="en"/>
        </w:rPr>
        <w:t>the distribution of inexperienced,</w:t>
      </w:r>
      <w:r w:rsidR="00252EAF">
        <w:rPr>
          <w:rFonts w:eastAsia="Calibri" w:cs="Arial"/>
          <w:lang w:val="en"/>
        </w:rPr>
        <w:t xml:space="preserve"> </w:t>
      </w:r>
      <w:r w:rsidRPr="00D26A93">
        <w:rPr>
          <w:rFonts w:eastAsia="Calibri" w:cs="Arial"/>
          <w:lang w:val="en"/>
        </w:rPr>
        <w:t xml:space="preserve">ineffective, and out-of-field teachers serving students of color (referred to as </w:t>
      </w:r>
      <w:r w:rsidR="00983562">
        <w:rPr>
          <w:rFonts w:eastAsia="Calibri" w:cs="Arial"/>
          <w:lang w:val="en"/>
        </w:rPr>
        <w:t>“</w:t>
      </w:r>
      <w:r w:rsidRPr="00D26A93">
        <w:rPr>
          <w:rFonts w:eastAsia="Calibri" w:cs="Arial"/>
          <w:lang w:val="en"/>
        </w:rPr>
        <w:t>minority</w:t>
      </w:r>
      <w:r w:rsidR="00983562">
        <w:rPr>
          <w:rFonts w:eastAsia="Calibri" w:cs="Arial"/>
          <w:lang w:val="en"/>
        </w:rPr>
        <w:t>”</w:t>
      </w:r>
      <w:r w:rsidRPr="00D26A93">
        <w:rPr>
          <w:rFonts w:eastAsia="Calibri" w:cs="Arial"/>
          <w:lang w:val="en"/>
        </w:rPr>
        <w:t xml:space="preserve"> students </w:t>
      </w:r>
      <w:r w:rsidR="00983562">
        <w:rPr>
          <w:rFonts w:eastAsia="Calibri" w:cs="Arial"/>
          <w:lang w:val="en"/>
        </w:rPr>
        <w:t>in ESSA</w:t>
      </w:r>
      <w:r w:rsidRPr="00D26A93">
        <w:rPr>
          <w:rFonts w:eastAsia="Calibri" w:cs="Arial"/>
          <w:lang w:val="en"/>
        </w:rPr>
        <w:t xml:space="preserve">) and </w:t>
      </w:r>
      <w:r w:rsidR="00BE59C4">
        <w:rPr>
          <w:rFonts w:eastAsia="Calibri" w:cs="Arial"/>
          <w:lang w:val="en"/>
        </w:rPr>
        <w:t>s</w:t>
      </w:r>
      <w:r w:rsidRPr="00D26A93">
        <w:rPr>
          <w:rFonts w:eastAsia="Calibri" w:cs="Arial"/>
          <w:lang w:val="en"/>
        </w:rPr>
        <w:t xml:space="preserve">ocioeconomically </w:t>
      </w:r>
      <w:r w:rsidR="00BE59C4">
        <w:rPr>
          <w:rFonts w:eastAsia="Calibri" w:cs="Arial"/>
          <w:lang w:val="en"/>
        </w:rPr>
        <w:t>d</w:t>
      </w:r>
      <w:r w:rsidRPr="00D26A93">
        <w:rPr>
          <w:rFonts w:eastAsia="Calibri" w:cs="Arial"/>
          <w:lang w:val="en"/>
        </w:rPr>
        <w:t xml:space="preserve">isadvantaged (SED) students (referred to as </w:t>
      </w:r>
      <w:r w:rsidR="00983562">
        <w:rPr>
          <w:rFonts w:eastAsia="Calibri" w:cs="Arial"/>
          <w:lang w:val="en"/>
        </w:rPr>
        <w:t>“</w:t>
      </w:r>
      <w:r w:rsidRPr="00D26A93">
        <w:rPr>
          <w:rFonts w:eastAsia="Calibri" w:cs="Arial"/>
          <w:lang w:val="en"/>
        </w:rPr>
        <w:t>low</w:t>
      </w:r>
      <w:r w:rsidR="009D0BDE">
        <w:rPr>
          <w:rFonts w:eastAsia="Calibri" w:cs="Arial"/>
          <w:lang w:val="en"/>
        </w:rPr>
        <w:t>-</w:t>
      </w:r>
      <w:r w:rsidRPr="00D26A93">
        <w:rPr>
          <w:rFonts w:eastAsia="Calibri" w:cs="Arial"/>
          <w:lang w:val="en"/>
        </w:rPr>
        <w:t>income</w:t>
      </w:r>
      <w:r w:rsidR="00983562">
        <w:rPr>
          <w:rFonts w:eastAsia="Calibri" w:cs="Arial"/>
          <w:lang w:val="en"/>
        </w:rPr>
        <w:t>”</w:t>
      </w:r>
      <w:r w:rsidRPr="00D26A93">
        <w:rPr>
          <w:rFonts w:eastAsia="Calibri" w:cs="Arial"/>
          <w:lang w:val="en"/>
        </w:rPr>
        <w:t xml:space="preserve"> students </w:t>
      </w:r>
      <w:r w:rsidR="00983562">
        <w:rPr>
          <w:rFonts w:eastAsia="Calibri" w:cs="Arial"/>
          <w:lang w:val="en"/>
        </w:rPr>
        <w:t>in ESSA</w:t>
      </w:r>
      <w:r w:rsidRPr="00D26A93">
        <w:rPr>
          <w:rFonts w:eastAsia="Calibri" w:cs="Arial"/>
          <w:lang w:val="en"/>
        </w:rPr>
        <w:t>).</w:t>
      </w:r>
      <w:r w:rsidR="00E742BD">
        <w:rPr>
          <w:rFonts w:eastAsia="Calibri" w:cs="Arial"/>
          <w:lang w:val="en"/>
        </w:rPr>
        <w:t xml:space="preserve"> The memo also includes </w:t>
      </w:r>
      <w:r w:rsidR="00E742BD">
        <w:rPr>
          <w:rFonts w:eastAsia="Calibri" w:cs="Arial"/>
        </w:rPr>
        <w:t xml:space="preserve">information about the uses of the annual teacher assignment monitoring outcome data and </w:t>
      </w:r>
      <w:r w:rsidR="00304796">
        <w:rPr>
          <w:rFonts w:eastAsia="Calibri" w:cs="Arial"/>
        </w:rPr>
        <w:t xml:space="preserve">state-provided </w:t>
      </w:r>
      <w:proofErr w:type="gramStart"/>
      <w:r w:rsidR="00E742BD">
        <w:rPr>
          <w:rFonts w:eastAsia="Calibri" w:cs="Arial"/>
        </w:rPr>
        <w:t>supports</w:t>
      </w:r>
      <w:proofErr w:type="gramEnd"/>
      <w:r w:rsidR="00E742BD">
        <w:rPr>
          <w:rFonts w:eastAsia="Calibri" w:cs="Arial"/>
        </w:rPr>
        <w:t xml:space="preserve"> available to </w:t>
      </w:r>
      <w:r w:rsidR="005301DC">
        <w:rPr>
          <w:rFonts w:eastAsia="Calibri" w:cs="Arial"/>
        </w:rPr>
        <w:t>local educational agencies (</w:t>
      </w:r>
      <w:r w:rsidR="00E742BD">
        <w:rPr>
          <w:rFonts w:eastAsia="Calibri" w:cs="Arial"/>
        </w:rPr>
        <w:t>LEAs</w:t>
      </w:r>
      <w:r w:rsidR="005301DC">
        <w:rPr>
          <w:rFonts w:eastAsia="Calibri" w:cs="Arial"/>
        </w:rPr>
        <w:t>)</w:t>
      </w:r>
      <w:r w:rsidR="00E742BD">
        <w:rPr>
          <w:rFonts w:eastAsia="Calibri" w:cs="Arial"/>
        </w:rPr>
        <w:t>.</w:t>
      </w:r>
    </w:p>
    <w:p w14:paraId="4AE9A2BE" w14:textId="77777777" w:rsidR="003F50BC" w:rsidRPr="00D26A93" w:rsidRDefault="003F50BC" w:rsidP="000210F9">
      <w:pPr>
        <w:pStyle w:val="Heading3"/>
        <w:spacing w:before="0"/>
        <w:rPr>
          <w:rFonts w:cs="Arial"/>
          <w:bCs/>
          <w:szCs w:val="32"/>
        </w:rPr>
      </w:pPr>
      <w:r w:rsidRPr="00D26A93">
        <w:rPr>
          <w:rFonts w:cs="Arial"/>
          <w:bCs/>
          <w:szCs w:val="32"/>
        </w:rPr>
        <w:t>Assignment Monitoring in California</w:t>
      </w:r>
    </w:p>
    <w:p w14:paraId="4C5B3EC1" w14:textId="008A5320" w:rsidR="00753A64" w:rsidRDefault="006B2378" w:rsidP="00737FB4">
      <w:pPr>
        <w:spacing w:after="240"/>
        <w:rPr>
          <w:rFonts w:cs="Arial"/>
          <w:color w:val="000000" w:themeColor="text1"/>
        </w:rPr>
      </w:pPr>
      <w:r w:rsidRPr="08E7735C">
        <w:rPr>
          <w:rFonts w:cs="Arial"/>
          <w:color w:val="000000" w:themeColor="text1"/>
        </w:rPr>
        <w:t xml:space="preserve">California </w:t>
      </w:r>
      <w:r w:rsidRPr="08E7735C">
        <w:rPr>
          <w:rFonts w:cs="Arial"/>
          <w:i/>
          <w:iCs/>
          <w:color w:val="000000" w:themeColor="text1"/>
        </w:rPr>
        <w:t>Education Code</w:t>
      </w:r>
      <w:r w:rsidRPr="08E7735C">
        <w:rPr>
          <w:rFonts w:cs="Arial"/>
          <w:color w:val="000000" w:themeColor="text1"/>
        </w:rPr>
        <w:t xml:space="preserve"> (</w:t>
      </w:r>
      <w:r w:rsidR="005431FC" w:rsidRPr="08E7735C">
        <w:rPr>
          <w:rFonts w:cs="Arial"/>
          <w:i/>
          <w:iCs/>
          <w:color w:val="000000" w:themeColor="text1"/>
        </w:rPr>
        <w:t>EC</w:t>
      </w:r>
      <w:r w:rsidRPr="08E7735C">
        <w:rPr>
          <w:rFonts w:cs="Arial"/>
          <w:color w:val="000000" w:themeColor="text1"/>
        </w:rPr>
        <w:t>)</w:t>
      </w:r>
      <w:r w:rsidR="005431FC" w:rsidRPr="08E7735C">
        <w:rPr>
          <w:rFonts w:cs="Arial"/>
          <w:color w:val="000000" w:themeColor="text1"/>
        </w:rPr>
        <w:t xml:space="preserve"> </w:t>
      </w:r>
      <w:r w:rsidR="003F50BC" w:rsidRPr="08E7735C">
        <w:rPr>
          <w:rFonts w:cs="Arial"/>
          <w:color w:val="000000" w:themeColor="text1"/>
        </w:rPr>
        <w:t xml:space="preserve">Section 44258.9 requires the </w:t>
      </w:r>
      <w:r w:rsidR="008D3F93">
        <w:rPr>
          <w:rFonts w:cs="Arial"/>
          <w:color w:val="000000" w:themeColor="text1"/>
        </w:rPr>
        <w:t>Commission on Teacher Credentialing (</w:t>
      </w:r>
      <w:r w:rsidR="003F50BC" w:rsidRPr="08E7735C">
        <w:rPr>
          <w:rFonts w:cs="Arial"/>
          <w:color w:val="000000" w:themeColor="text1"/>
        </w:rPr>
        <w:t>CTC</w:t>
      </w:r>
      <w:r w:rsidR="008D3F93">
        <w:rPr>
          <w:rFonts w:cs="Arial"/>
          <w:color w:val="000000" w:themeColor="text1"/>
        </w:rPr>
        <w:t>)</w:t>
      </w:r>
      <w:r w:rsidR="003F50BC" w:rsidRPr="08E7735C">
        <w:rPr>
          <w:rFonts w:cs="Arial"/>
          <w:color w:val="000000" w:themeColor="text1"/>
        </w:rPr>
        <w:t xml:space="preserve"> and the CDE to enter into a data-sharing agreement to facilitate the annual monitoring of teacher assignments. As part of this data-sharing agreement, the CDE is required to provide the CTC with certificated staff assignment data that are submitted to the CDE by LEAs through the annual California Longitudinal Pupil Achievement Data System (CALPADS) Fall 2 data submission. The CALPADS Fall 2 staff assignment and course data are necessary for </w:t>
      </w:r>
      <w:proofErr w:type="gramStart"/>
      <w:r w:rsidR="003F50BC" w:rsidRPr="08E7735C">
        <w:rPr>
          <w:rFonts w:cs="Arial"/>
          <w:color w:val="000000" w:themeColor="text1"/>
        </w:rPr>
        <w:t>the CTC</w:t>
      </w:r>
      <w:proofErr w:type="gramEnd"/>
      <w:r w:rsidR="003F50BC" w:rsidRPr="08E7735C">
        <w:rPr>
          <w:rFonts w:cs="Arial"/>
          <w:color w:val="000000" w:themeColor="text1"/>
        </w:rPr>
        <w:t xml:space="preserve"> to conduct the annual </w:t>
      </w:r>
      <w:r w:rsidR="003F50BC" w:rsidRPr="08E7735C">
        <w:rPr>
          <w:rFonts w:cs="Arial"/>
          <w:color w:val="000000" w:themeColor="text1"/>
        </w:rPr>
        <w:lastRenderedPageBreak/>
        <w:t xml:space="preserve">assignment monitoring process in </w:t>
      </w:r>
      <w:r w:rsidR="005301DC">
        <w:rPr>
          <w:rFonts w:cs="Arial"/>
          <w:color w:val="000000" w:themeColor="text1"/>
        </w:rPr>
        <w:t xml:space="preserve">the </w:t>
      </w:r>
      <w:r w:rsidR="00721074" w:rsidRPr="03B52BED">
        <w:rPr>
          <w:rFonts w:cs="Arial"/>
          <w:color w:val="000000" w:themeColor="text1"/>
        </w:rPr>
        <w:t xml:space="preserve">California State Assignment Accountability System </w:t>
      </w:r>
      <w:r w:rsidR="00721074">
        <w:rPr>
          <w:rFonts w:cs="Arial"/>
          <w:color w:val="000000" w:themeColor="text1"/>
        </w:rPr>
        <w:t>(</w:t>
      </w:r>
      <w:proofErr w:type="spellStart"/>
      <w:r w:rsidR="003F50BC" w:rsidRPr="08E7735C">
        <w:rPr>
          <w:rFonts w:cs="Arial"/>
          <w:color w:val="000000" w:themeColor="text1"/>
        </w:rPr>
        <w:t>CalSAAS</w:t>
      </w:r>
      <w:proofErr w:type="spellEnd"/>
      <w:r w:rsidR="00721074">
        <w:rPr>
          <w:rFonts w:cs="Arial"/>
          <w:color w:val="000000" w:themeColor="text1"/>
        </w:rPr>
        <w:t>)</w:t>
      </w:r>
      <w:r w:rsidR="003F50BC" w:rsidRPr="08E7735C">
        <w:rPr>
          <w:rFonts w:cs="Arial"/>
          <w:color w:val="000000" w:themeColor="text1"/>
        </w:rPr>
        <w:t>. In return, the CTC is required to provide the CDE with annual teacher credential and assignment monitoring outcome data consistent with the California Consolidated State Plan</w:t>
      </w:r>
      <w:r w:rsidR="0058667B">
        <w:rPr>
          <w:rFonts w:cs="Arial"/>
          <w:color w:val="000000" w:themeColor="text1"/>
        </w:rPr>
        <w:t>,</w:t>
      </w:r>
      <w:r w:rsidR="003F50BC" w:rsidRPr="08E7735C">
        <w:rPr>
          <w:rFonts w:cs="Arial"/>
          <w:color w:val="000000" w:themeColor="text1"/>
        </w:rPr>
        <w:t xml:space="preserve"> approved by the SBE </w:t>
      </w:r>
      <w:r w:rsidR="009D6CA8">
        <w:rPr>
          <w:rFonts w:cs="Arial"/>
          <w:color w:val="000000" w:themeColor="text1"/>
        </w:rPr>
        <w:t>in 2022</w:t>
      </w:r>
      <w:r w:rsidR="0058667B">
        <w:rPr>
          <w:rFonts w:cs="Arial"/>
          <w:color w:val="000000" w:themeColor="text1"/>
        </w:rPr>
        <w:t>,</w:t>
      </w:r>
      <w:r w:rsidR="009D6CA8">
        <w:rPr>
          <w:rFonts w:cs="Arial"/>
          <w:color w:val="000000" w:themeColor="text1"/>
        </w:rPr>
        <w:t xml:space="preserve"> </w:t>
      </w:r>
      <w:r w:rsidR="003F50BC" w:rsidRPr="08E7735C">
        <w:rPr>
          <w:rFonts w:cs="Arial"/>
          <w:color w:val="000000" w:themeColor="text1"/>
        </w:rPr>
        <w:t xml:space="preserve">to comply with the federal ESSA. </w:t>
      </w:r>
      <w:r w:rsidR="00AF029B">
        <w:rPr>
          <w:rFonts w:cs="Arial"/>
          <w:color w:val="000000" w:themeColor="text1"/>
        </w:rPr>
        <w:t>Prior to approval of the plan, i</w:t>
      </w:r>
      <w:r w:rsidR="00AF029B" w:rsidRPr="08E7735C">
        <w:rPr>
          <w:rFonts w:cs="Arial"/>
          <w:color w:val="000000" w:themeColor="text1"/>
        </w:rPr>
        <w:t xml:space="preserve">n </w:t>
      </w:r>
      <w:r w:rsidR="003F50BC" w:rsidRPr="08E7735C">
        <w:rPr>
          <w:rFonts w:cs="Arial"/>
          <w:color w:val="000000" w:themeColor="text1"/>
        </w:rPr>
        <w:t xml:space="preserve">2019, the SBE </w:t>
      </w:r>
      <w:r w:rsidR="00AF029B">
        <w:rPr>
          <w:rFonts w:cs="Arial"/>
          <w:color w:val="000000" w:themeColor="text1"/>
        </w:rPr>
        <w:t>had</w:t>
      </w:r>
      <w:r w:rsidR="00AF029B" w:rsidRPr="08E7735C">
        <w:rPr>
          <w:rFonts w:cs="Arial"/>
          <w:color w:val="000000" w:themeColor="text1"/>
        </w:rPr>
        <w:t xml:space="preserve"> </w:t>
      </w:r>
      <w:r w:rsidR="003F50BC" w:rsidRPr="08E7735C">
        <w:rPr>
          <w:rFonts w:cs="Arial"/>
          <w:color w:val="000000" w:themeColor="text1"/>
        </w:rPr>
        <w:t xml:space="preserve">approved updated definitions for </w:t>
      </w:r>
      <w:r w:rsidR="00AF029B">
        <w:rPr>
          <w:rFonts w:cs="Arial"/>
          <w:color w:val="000000" w:themeColor="text1"/>
        </w:rPr>
        <w:t>“</w:t>
      </w:r>
      <w:r w:rsidR="003F50BC" w:rsidRPr="08E7735C">
        <w:rPr>
          <w:rFonts w:cs="Arial"/>
          <w:color w:val="000000" w:themeColor="text1"/>
        </w:rPr>
        <w:t>ineffective</w:t>
      </w:r>
      <w:r w:rsidR="00AF029B">
        <w:rPr>
          <w:rFonts w:cs="Arial"/>
          <w:color w:val="000000" w:themeColor="text1"/>
        </w:rPr>
        <w:t>”</w:t>
      </w:r>
      <w:r w:rsidR="003F50BC" w:rsidRPr="08E7735C">
        <w:rPr>
          <w:rFonts w:cs="Arial"/>
          <w:color w:val="000000" w:themeColor="text1"/>
        </w:rPr>
        <w:t xml:space="preserve"> and </w:t>
      </w:r>
      <w:r w:rsidR="00AF029B">
        <w:rPr>
          <w:rFonts w:cs="Arial"/>
          <w:color w:val="000000" w:themeColor="text1"/>
        </w:rPr>
        <w:t>“</w:t>
      </w:r>
      <w:r w:rsidR="003F50BC" w:rsidRPr="08E7735C">
        <w:rPr>
          <w:rFonts w:cs="Arial"/>
          <w:color w:val="000000" w:themeColor="text1"/>
        </w:rPr>
        <w:t>out-of-field</w:t>
      </w:r>
      <w:r w:rsidR="00AF029B">
        <w:rPr>
          <w:rFonts w:cs="Arial"/>
          <w:color w:val="000000" w:themeColor="text1"/>
        </w:rPr>
        <w:t>”</w:t>
      </w:r>
      <w:r w:rsidR="003F50BC" w:rsidRPr="08E7735C">
        <w:rPr>
          <w:rFonts w:cs="Arial"/>
          <w:color w:val="000000" w:themeColor="text1"/>
        </w:rPr>
        <w:t xml:space="preserve"> teachers for reporting purposes</w:t>
      </w:r>
      <w:r w:rsidR="00AF029B">
        <w:rPr>
          <w:rFonts w:cs="Arial"/>
          <w:color w:val="000000" w:themeColor="text1"/>
        </w:rPr>
        <w:t>. These definitions</w:t>
      </w:r>
      <w:r w:rsidR="003F50BC" w:rsidRPr="08E7735C">
        <w:rPr>
          <w:rFonts w:cs="Arial"/>
          <w:color w:val="000000" w:themeColor="text1"/>
        </w:rPr>
        <w:t xml:space="preserve"> can be found on the CDE</w:t>
      </w:r>
      <w:r w:rsidRPr="08E7735C">
        <w:rPr>
          <w:rFonts w:cs="Arial"/>
          <w:color w:val="000000" w:themeColor="text1"/>
        </w:rPr>
        <w:t>’s</w:t>
      </w:r>
      <w:r w:rsidR="003F50BC" w:rsidRPr="08E7735C">
        <w:rPr>
          <w:rFonts w:cs="Arial"/>
          <w:color w:val="000000" w:themeColor="text1"/>
        </w:rPr>
        <w:t xml:space="preserve"> Updated Teacher Equity Definitions web</w:t>
      </w:r>
      <w:r w:rsidR="00E76873" w:rsidRPr="08E7735C">
        <w:rPr>
          <w:rFonts w:cs="Arial"/>
          <w:color w:val="000000" w:themeColor="text1"/>
        </w:rPr>
        <w:t xml:space="preserve"> </w:t>
      </w:r>
      <w:r w:rsidR="003F50BC" w:rsidRPr="08E7735C">
        <w:rPr>
          <w:rFonts w:cs="Arial"/>
          <w:color w:val="000000" w:themeColor="text1"/>
        </w:rPr>
        <w:t>page</w:t>
      </w:r>
      <w:r w:rsidR="00063289" w:rsidRPr="08E7735C">
        <w:rPr>
          <w:rFonts w:cs="Arial"/>
          <w:color w:val="000000" w:themeColor="text1"/>
        </w:rPr>
        <w:t xml:space="preserve"> </w:t>
      </w:r>
      <w:r w:rsidR="00DA1B7E" w:rsidRPr="08E7735C">
        <w:rPr>
          <w:rFonts w:cs="Arial"/>
          <w:color w:val="000000" w:themeColor="text1"/>
        </w:rPr>
        <w:t xml:space="preserve">at </w:t>
      </w:r>
      <w:hyperlink r:id="rId17" w:tooltip="Updated Teacher Equity Definitions web page">
        <w:r w:rsidR="00432756" w:rsidRPr="08E7735C">
          <w:rPr>
            <w:rStyle w:val="Hyperlink"/>
            <w:rFonts w:cs="Arial"/>
          </w:rPr>
          <w:t>https://www.cde.ca.gov/ci/pl/teacherequitydefinitions.asp</w:t>
        </w:r>
      </w:hyperlink>
      <w:r w:rsidR="003F50BC" w:rsidRPr="08E7735C">
        <w:rPr>
          <w:rFonts w:cs="Arial"/>
          <w:color w:val="000000" w:themeColor="text1"/>
        </w:rPr>
        <w:t>.</w:t>
      </w:r>
      <w:r w:rsidR="00432756" w:rsidRPr="08E7735C">
        <w:rPr>
          <w:rFonts w:cs="Arial"/>
          <w:color w:val="000000" w:themeColor="text1"/>
        </w:rPr>
        <w:t xml:space="preserve"> </w:t>
      </w:r>
    </w:p>
    <w:p w14:paraId="7F66D61D" w14:textId="3404A33B" w:rsidR="003F50BC" w:rsidRPr="00D26A93" w:rsidRDefault="003F50BC" w:rsidP="00753A64">
      <w:pPr>
        <w:spacing w:after="240"/>
        <w:rPr>
          <w:rFonts w:cs="Arial"/>
          <w:color w:val="000000"/>
        </w:rPr>
      </w:pPr>
      <w:r w:rsidRPr="08E7735C">
        <w:rPr>
          <w:rFonts w:cs="Arial"/>
          <w:color w:val="000000" w:themeColor="text1"/>
        </w:rPr>
        <w:t xml:space="preserve">The CDE assignment data and the CTC assignment monitoring outcome data provide the basis for the </w:t>
      </w:r>
      <w:proofErr w:type="spellStart"/>
      <w:r w:rsidRPr="08E7735C">
        <w:rPr>
          <w:rFonts w:cs="Arial"/>
          <w:color w:val="000000" w:themeColor="text1"/>
        </w:rPr>
        <w:t>DataQuest</w:t>
      </w:r>
      <w:proofErr w:type="spellEnd"/>
      <w:r w:rsidRPr="08E7735C">
        <w:rPr>
          <w:rFonts w:cs="Arial"/>
          <w:color w:val="000000" w:themeColor="text1"/>
        </w:rPr>
        <w:t xml:space="preserve"> Teaching Assignment Monitoring Outcome (AMO) by Full-Time Equivalency (FTE) report to meet the requirements established under California’s ESSA Consolidated State Plan. </w:t>
      </w:r>
      <w:r w:rsidR="60CB8F24" w:rsidRPr="08E7735C">
        <w:rPr>
          <w:rFonts w:cs="Arial"/>
          <w:color w:val="000000" w:themeColor="text1"/>
        </w:rPr>
        <w:t xml:space="preserve">The </w:t>
      </w:r>
      <w:r w:rsidR="009B4111" w:rsidRPr="009B4111">
        <w:rPr>
          <w:rFonts w:cs="Arial"/>
          <w:color w:val="000000" w:themeColor="text1"/>
        </w:rPr>
        <w:t>2023</w:t>
      </w:r>
      <w:r w:rsidR="00C369DD">
        <w:rPr>
          <w:rFonts w:cs="Arial"/>
          <w:color w:val="000000" w:themeColor="text1"/>
        </w:rPr>
        <w:t>–</w:t>
      </w:r>
      <w:r w:rsidR="009B4111" w:rsidRPr="009B4111">
        <w:rPr>
          <w:rFonts w:cs="Arial"/>
          <w:color w:val="000000" w:themeColor="text1"/>
        </w:rPr>
        <w:t>24</w:t>
      </w:r>
      <w:r w:rsidR="009B4111">
        <w:rPr>
          <w:rFonts w:cs="Arial"/>
          <w:color w:val="000000" w:themeColor="text1"/>
        </w:rPr>
        <w:t xml:space="preserve"> </w:t>
      </w:r>
      <w:r w:rsidR="60CB8F24" w:rsidRPr="08E7735C">
        <w:rPr>
          <w:rFonts w:cs="Arial"/>
          <w:color w:val="000000" w:themeColor="text1"/>
        </w:rPr>
        <w:t xml:space="preserve">report can be found </w:t>
      </w:r>
      <w:r w:rsidR="4967512A" w:rsidRPr="08E7735C">
        <w:rPr>
          <w:rFonts w:cs="Arial"/>
          <w:color w:val="000000" w:themeColor="text1"/>
        </w:rPr>
        <w:t xml:space="preserve">on the CDE web page at </w:t>
      </w:r>
      <w:hyperlink r:id="rId18" w:tooltip="2023-24 Teaching Assignment Monitoring Outcomes by Full-Time Equivalent" w:history="1">
        <w:r w:rsidR="4967512A" w:rsidRPr="08E7735C">
          <w:rPr>
            <w:rStyle w:val="Hyperlink"/>
            <w:rFonts w:cs="Arial"/>
          </w:rPr>
          <w:t>https://dq.cde.ca.gov/dataquest/DQCensus/TchAssgnOutcomeLevels.aspx?cds=00&amp;agglevel=State&amp;year=2023-24</w:t>
        </w:r>
        <w:r w:rsidR="4708F0DF" w:rsidRPr="08E7735C">
          <w:rPr>
            <w:rStyle w:val="Hyperlink"/>
            <w:rFonts w:cs="Arial"/>
          </w:rPr>
          <w:t>.</w:t>
        </w:r>
      </w:hyperlink>
    </w:p>
    <w:p w14:paraId="27310BA6" w14:textId="77777777" w:rsidR="003F50BC" w:rsidRPr="00D26A93" w:rsidRDefault="003F50BC" w:rsidP="000210F9">
      <w:pPr>
        <w:pStyle w:val="Heading3"/>
        <w:spacing w:before="0"/>
        <w:rPr>
          <w:rFonts w:eastAsia="Times New Roman" w:cs="Arial"/>
        </w:rPr>
      </w:pPr>
      <w:r w:rsidRPr="03B52BED">
        <w:rPr>
          <w:rFonts w:eastAsia="Times New Roman" w:cs="Arial"/>
        </w:rPr>
        <w:t>Local Control and Accountability Plan Federal Addendum</w:t>
      </w:r>
    </w:p>
    <w:p w14:paraId="1F98B58D" w14:textId="1D7170CA" w:rsidR="003F50BC" w:rsidRPr="00D26A93" w:rsidRDefault="003F50BC" w:rsidP="000210F9">
      <w:pPr>
        <w:spacing w:before="240" w:after="240"/>
        <w:rPr>
          <w:rFonts w:cs="Arial"/>
          <w:shd w:val="clear" w:color="auto" w:fill="FFFFFF"/>
        </w:rPr>
      </w:pPr>
      <w:r w:rsidRPr="08E7735C">
        <w:rPr>
          <w:rFonts w:cs="Arial"/>
        </w:rPr>
        <w:t xml:space="preserve">LEAs applying for ESSA funds </w:t>
      </w:r>
      <w:r w:rsidR="00667011">
        <w:rPr>
          <w:rFonts w:cs="Arial"/>
        </w:rPr>
        <w:t>are required</w:t>
      </w:r>
      <w:r w:rsidR="00667011" w:rsidRPr="08E7735C">
        <w:rPr>
          <w:rFonts w:cs="Arial"/>
        </w:rPr>
        <w:t xml:space="preserve"> </w:t>
      </w:r>
      <w:r w:rsidRPr="08E7735C">
        <w:rPr>
          <w:rFonts w:cs="Arial"/>
        </w:rPr>
        <w:t xml:space="preserve">to complete the Local Control and Accountability Plan (LCAP) Federal Addendum as part of meeting the requirements for the ESSA LEA Plan. The LCAP Federal Addendum </w:t>
      </w:r>
      <w:r w:rsidR="7CC203E3" w:rsidRPr="08E7735C">
        <w:rPr>
          <w:rFonts w:cs="Arial"/>
        </w:rPr>
        <w:t>is</w:t>
      </w:r>
      <w:r w:rsidRPr="08E7735C">
        <w:rPr>
          <w:rFonts w:cs="Arial"/>
        </w:rPr>
        <w:t xml:space="preserve"> meant to supplement the LCAP to ensure eligible LEAs </w:t>
      </w:r>
      <w:r w:rsidR="001670BC" w:rsidRPr="08E7735C">
        <w:rPr>
          <w:rFonts w:cs="Arial"/>
        </w:rPr>
        <w:t>can</w:t>
      </w:r>
      <w:r w:rsidRPr="08E7735C">
        <w:rPr>
          <w:rFonts w:cs="Arial"/>
        </w:rPr>
        <w:t xml:space="preserve"> meet the LEA Plan provisions of the ESSA. </w:t>
      </w:r>
    </w:p>
    <w:p w14:paraId="40799852" w14:textId="53F36A27" w:rsidR="003F50BC" w:rsidRPr="00D26A93" w:rsidRDefault="003F50BC" w:rsidP="08E7735C">
      <w:pPr>
        <w:pStyle w:val="NormalWeb"/>
        <w:spacing w:before="240" w:beforeAutospacing="0" w:after="240" w:afterAutospacing="0"/>
        <w:rPr>
          <w:rFonts w:ascii="Arial" w:hAnsi="Arial" w:cs="Arial"/>
          <w:color w:val="000000"/>
        </w:rPr>
      </w:pPr>
      <w:r w:rsidRPr="00D26A93">
        <w:rPr>
          <w:rFonts w:ascii="Arial" w:hAnsi="Arial" w:cs="Arial"/>
          <w:color w:val="000000"/>
          <w:shd w:val="clear" w:color="auto" w:fill="FFFFFF"/>
        </w:rPr>
        <w:t xml:space="preserve">ESSA Section 1112(b)(2) requires LEAs to </w:t>
      </w:r>
      <w:r w:rsidRPr="03B52BED">
        <w:rPr>
          <w:rFonts w:ascii="Arial" w:hAnsi="Arial" w:cs="Arial"/>
          <w:color w:val="000000" w:themeColor="text1"/>
        </w:rPr>
        <w:t>identify</w:t>
      </w:r>
      <w:r w:rsidRPr="08E7735C">
        <w:rPr>
          <w:rFonts w:ascii="Arial" w:hAnsi="Arial" w:cs="Arial"/>
          <w:color w:val="000000" w:themeColor="text1"/>
        </w:rPr>
        <w:t xml:space="preserve"> and address any disparities that result in low-income and minority students being taught at higher rates than other students by ineffective, inexperienced, or out-of-field teachers. </w:t>
      </w:r>
      <w:r w:rsidRPr="00D26A93">
        <w:rPr>
          <w:rFonts w:ascii="Arial" w:hAnsi="Arial" w:cs="Arial"/>
          <w:color w:val="000000"/>
        </w:rPr>
        <w:t xml:space="preserve">To meet this requirement, LEAs </w:t>
      </w:r>
      <w:r w:rsidR="00507427">
        <w:rPr>
          <w:rFonts w:ascii="Arial" w:hAnsi="Arial" w:cs="Arial"/>
          <w:color w:val="000000"/>
        </w:rPr>
        <w:t xml:space="preserve">must </w:t>
      </w:r>
      <w:r w:rsidRPr="00D26A93">
        <w:rPr>
          <w:rFonts w:ascii="Arial" w:hAnsi="Arial" w:cs="Arial"/>
          <w:color w:val="000000"/>
        </w:rPr>
        <w:t>provide</w:t>
      </w:r>
      <w:r w:rsidRPr="03B52BED">
        <w:rPr>
          <w:rFonts w:ascii="Arial" w:hAnsi="Arial" w:cs="Arial"/>
          <w:color w:val="000000" w:themeColor="text1"/>
        </w:rPr>
        <w:t xml:space="preserve"> a description of the following in their LCAP</w:t>
      </w:r>
      <w:r w:rsidR="00B762B0" w:rsidRPr="08E7735C">
        <w:rPr>
          <w:rFonts w:ascii="Arial" w:hAnsi="Arial" w:cs="Arial"/>
          <w:color w:val="000000" w:themeColor="text1"/>
        </w:rPr>
        <w:t xml:space="preserve"> Federal</w:t>
      </w:r>
      <w:r w:rsidRPr="08E7735C">
        <w:rPr>
          <w:rFonts w:ascii="Arial" w:hAnsi="Arial" w:cs="Arial"/>
          <w:color w:val="000000" w:themeColor="text1"/>
        </w:rPr>
        <w:t xml:space="preserve"> Addendum:</w:t>
      </w:r>
    </w:p>
    <w:p w14:paraId="13D5612D" w14:textId="77777777" w:rsidR="003F50BC" w:rsidRPr="00D26A93" w:rsidRDefault="003F50BC" w:rsidP="000210F9">
      <w:pPr>
        <w:numPr>
          <w:ilvl w:val="0"/>
          <w:numId w:val="4"/>
        </w:numPr>
        <w:spacing w:before="240" w:after="240"/>
        <w:rPr>
          <w:rFonts w:cs="Arial"/>
          <w:color w:val="000000"/>
        </w:rPr>
      </w:pPr>
      <w:r w:rsidRPr="00D26A93">
        <w:rPr>
          <w:rFonts w:cs="Arial"/>
          <w:color w:val="000000"/>
        </w:rPr>
        <w:t>The LEA's process for identifying disparities that result in low-income and minority students being taught at higher rates than other students by ineffective, inexperienced, or out-of-field teachers; and</w:t>
      </w:r>
    </w:p>
    <w:p w14:paraId="7BFDB796" w14:textId="77777777" w:rsidR="003F50BC" w:rsidRPr="00D26A93" w:rsidRDefault="003F50BC" w:rsidP="000210F9">
      <w:pPr>
        <w:numPr>
          <w:ilvl w:val="0"/>
          <w:numId w:val="5"/>
        </w:numPr>
        <w:spacing w:before="240" w:after="240"/>
        <w:rPr>
          <w:rFonts w:cs="Arial"/>
          <w:color w:val="000000"/>
        </w:rPr>
      </w:pPr>
      <w:r w:rsidRPr="00D26A93">
        <w:rPr>
          <w:rFonts w:cs="Arial"/>
          <w:color w:val="000000"/>
        </w:rPr>
        <w:t>How the LEA will address any disparities found during the identification process.</w:t>
      </w:r>
    </w:p>
    <w:p w14:paraId="4F78F731" w14:textId="68A026E3" w:rsidR="003F50BC" w:rsidRPr="00D26A93" w:rsidRDefault="003F50BC" w:rsidP="000210F9">
      <w:pPr>
        <w:spacing w:before="240" w:after="480"/>
        <w:rPr>
          <w:rFonts w:cs="Arial"/>
          <w:shd w:val="clear" w:color="auto" w:fill="FFFFFF"/>
        </w:rPr>
      </w:pPr>
      <w:r w:rsidRPr="494C62BF">
        <w:rPr>
          <w:rFonts w:cs="Arial"/>
        </w:rPr>
        <w:t xml:space="preserve">LEAs </w:t>
      </w:r>
      <w:r w:rsidR="263CB4C7" w:rsidRPr="494C62BF">
        <w:rPr>
          <w:rFonts w:cs="Arial"/>
        </w:rPr>
        <w:t>are provided</w:t>
      </w:r>
      <w:r w:rsidRPr="494C62BF">
        <w:rPr>
          <w:rFonts w:cs="Arial"/>
        </w:rPr>
        <w:t xml:space="preserve"> several tools to self-identify any disparities that exist in their organization. CDE staff review the LCAP Federal Addendum and provide</w:t>
      </w:r>
      <w:r w:rsidR="415EDE81" w:rsidRPr="494C62BF">
        <w:rPr>
          <w:rFonts w:cs="Arial"/>
        </w:rPr>
        <w:t xml:space="preserve"> </w:t>
      </w:r>
      <w:r w:rsidRPr="494C62BF">
        <w:rPr>
          <w:rFonts w:cs="Arial"/>
        </w:rPr>
        <w:t>feedback and technical assistance to LEAs.</w:t>
      </w:r>
      <w:r w:rsidR="00DE764A" w:rsidRPr="494C62BF">
        <w:rPr>
          <w:rFonts w:cs="Arial"/>
        </w:rPr>
        <w:t xml:space="preserve"> Additional information about the LCAP Federal Addendum can be found </w:t>
      </w:r>
      <w:r w:rsidR="57C27E2E" w:rsidRPr="494C62BF">
        <w:rPr>
          <w:rFonts w:cs="Arial"/>
        </w:rPr>
        <w:t xml:space="preserve">on </w:t>
      </w:r>
      <w:r w:rsidR="00DE764A" w:rsidRPr="494C62BF">
        <w:rPr>
          <w:rFonts w:cs="Arial"/>
        </w:rPr>
        <w:t>the CDE web</w:t>
      </w:r>
      <w:r w:rsidR="00C369DD">
        <w:rPr>
          <w:rFonts w:cs="Arial"/>
        </w:rPr>
        <w:t xml:space="preserve"> </w:t>
      </w:r>
      <w:r w:rsidR="00DE764A" w:rsidRPr="494C62BF">
        <w:rPr>
          <w:rFonts w:cs="Arial"/>
        </w:rPr>
        <w:t>page at</w:t>
      </w:r>
      <w:r w:rsidR="00BA5FFE">
        <w:rPr>
          <w:rFonts w:cs="Arial"/>
        </w:rPr>
        <w:t xml:space="preserve"> </w:t>
      </w:r>
      <w:hyperlink r:id="rId19" w:tooltip="Local Control Accountability Plan Federal Addendum">
        <w:r w:rsidR="00DE764A" w:rsidRPr="494C62BF">
          <w:rPr>
            <w:rStyle w:val="Hyperlink"/>
            <w:rFonts w:cs="Arial"/>
          </w:rPr>
          <w:t>https://www.cde.ca.gov/re/lc/addendumguidance.asp</w:t>
        </w:r>
      </w:hyperlink>
      <w:r w:rsidR="00DE764A" w:rsidRPr="494C62BF">
        <w:rPr>
          <w:rFonts w:cs="Arial"/>
        </w:rPr>
        <w:t xml:space="preserve">. </w:t>
      </w:r>
    </w:p>
    <w:p w14:paraId="6EAFFCD2" w14:textId="77777777" w:rsidR="003F50BC" w:rsidRPr="00D26A93" w:rsidRDefault="003F50BC" w:rsidP="000210F9">
      <w:pPr>
        <w:pStyle w:val="Heading3"/>
        <w:spacing w:before="0"/>
        <w:rPr>
          <w:rFonts w:eastAsia="Times New Roman" w:cs="Arial"/>
          <w:bCs/>
        </w:rPr>
      </w:pPr>
      <w:r w:rsidRPr="00D26A93">
        <w:rPr>
          <w:rFonts w:eastAsia="Times New Roman" w:cs="Arial"/>
          <w:bCs/>
        </w:rPr>
        <w:lastRenderedPageBreak/>
        <w:t>Data Sources and Timelines</w:t>
      </w:r>
    </w:p>
    <w:p w14:paraId="70830550" w14:textId="2B1CD31E" w:rsidR="003F50BC" w:rsidRPr="00D26A93" w:rsidRDefault="003F50BC" w:rsidP="000210F9">
      <w:pPr>
        <w:spacing w:after="240"/>
        <w:rPr>
          <w:rFonts w:cs="Arial"/>
          <w:color w:val="000000"/>
        </w:rPr>
      </w:pPr>
      <w:r w:rsidRPr="00D26A93">
        <w:rPr>
          <w:rFonts w:cs="Arial"/>
          <w:color w:val="000000"/>
        </w:rPr>
        <w:t xml:space="preserve">The </w:t>
      </w:r>
      <w:proofErr w:type="spellStart"/>
      <w:r w:rsidRPr="00D26A93">
        <w:rPr>
          <w:rFonts w:cs="Arial"/>
          <w:color w:val="000000"/>
        </w:rPr>
        <w:t>DataQuest</w:t>
      </w:r>
      <w:proofErr w:type="spellEnd"/>
      <w:r w:rsidRPr="00D26A93">
        <w:rPr>
          <w:rFonts w:cs="Arial"/>
          <w:color w:val="000000"/>
        </w:rPr>
        <w:t xml:space="preserve"> Teaching AMO </w:t>
      </w:r>
      <w:r w:rsidR="00705B7B">
        <w:rPr>
          <w:rFonts w:cs="Arial"/>
          <w:color w:val="000000"/>
        </w:rPr>
        <w:t xml:space="preserve">annual </w:t>
      </w:r>
      <w:r w:rsidRPr="00D26A93">
        <w:rPr>
          <w:rFonts w:cs="Arial"/>
          <w:color w:val="000000"/>
        </w:rPr>
        <w:t>report</w:t>
      </w:r>
      <w:r w:rsidR="00705B7B">
        <w:rPr>
          <w:rFonts w:cs="Arial"/>
          <w:color w:val="000000"/>
        </w:rPr>
        <w:t>s</w:t>
      </w:r>
      <w:r w:rsidRPr="00D26A93">
        <w:rPr>
          <w:rFonts w:cs="Arial"/>
          <w:color w:val="000000"/>
        </w:rPr>
        <w:t xml:space="preserve"> and supporting downloadable data file</w:t>
      </w:r>
      <w:r w:rsidR="00705B7B">
        <w:rPr>
          <w:rFonts w:cs="Arial"/>
          <w:color w:val="000000"/>
        </w:rPr>
        <w:t>s</w:t>
      </w:r>
      <w:r w:rsidRPr="00D26A93">
        <w:rPr>
          <w:rFonts w:cs="Arial"/>
          <w:color w:val="000000"/>
        </w:rPr>
        <w:t xml:space="preserve"> use assignment data submitted to the CDE by LEAs through the annual CALPADS Fall 2 data submission. These data, which are submitted, reviewed, and certified by LEAs in CALPADS between October and March/April</w:t>
      </w:r>
      <w:r w:rsidR="00705B7B">
        <w:rPr>
          <w:rFonts w:cs="Arial"/>
          <w:color w:val="000000"/>
        </w:rPr>
        <w:t xml:space="preserve"> of each year</w:t>
      </w:r>
      <w:r w:rsidRPr="00D26A93">
        <w:rPr>
          <w:rFonts w:cs="Arial"/>
          <w:color w:val="000000"/>
        </w:rPr>
        <w:t>, include staff demographics and experience, staff assignments and FTE, course offerings, and student course enrollment data that are effective as of Census Day, which is the first Wednesday in October.</w:t>
      </w:r>
    </w:p>
    <w:p w14:paraId="6D6FC62C" w14:textId="6E279E4C" w:rsidR="003F50BC" w:rsidRPr="00D26A93" w:rsidRDefault="003F50BC" w:rsidP="000210F9">
      <w:pPr>
        <w:spacing w:after="240"/>
        <w:rPr>
          <w:rFonts w:cs="Arial"/>
          <w:color w:val="000000"/>
        </w:rPr>
      </w:pPr>
      <w:r w:rsidRPr="00D26A93">
        <w:rPr>
          <w:rFonts w:cs="Arial"/>
          <w:color w:val="000000"/>
        </w:rPr>
        <w:t xml:space="preserve">When the Fall 2 submission closes, the CDE extracts the necessary assignment data and transmits them to </w:t>
      </w:r>
      <w:proofErr w:type="gramStart"/>
      <w:r w:rsidRPr="00D26A93">
        <w:rPr>
          <w:rFonts w:cs="Arial"/>
          <w:color w:val="000000"/>
        </w:rPr>
        <w:t>the CTC</w:t>
      </w:r>
      <w:proofErr w:type="gramEnd"/>
      <w:r w:rsidRPr="00D26A93">
        <w:rPr>
          <w:rFonts w:cs="Arial"/>
          <w:color w:val="000000"/>
        </w:rPr>
        <w:t xml:space="preserve"> for their annual assignment monitoring process. The CTC loads the CALPADS assignment data into </w:t>
      </w:r>
      <w:proofErr w:type="spellStart"/>
      <w:r w:rsidRPr="00D26A93">
        <w:rPr>
          <w:rFonts w:cs="Arial"/>
          <w:color w:val="000000"/>
        </w:rPr>
        <w:t>CalSAAS</w:t>
      </w:r>
      <w:proofErr w:type="spellEnd"/>
      <w:r w:rsidRPr="00D26A93">
        <w:rPr>
          <w:rFonts w:cs="Arial"/>
          <w:color w:val="000000"/>
        </w:rPr>
        <w:t xml:space="preserve"> and compares these data against the CTC’s credential authorization data for each assignment based on the Statewide Educator Identification associated with the assignment. LEAs </w:t>
      </w:r>
      <w:r w:rsidR="009F264D">
        <w:rPr>
          <w:rFonts w:cs="Arial"/>
          <w:color w:val="000000"/>
        </w:rPr>
        <w:t>(</w:t>
      </w:r>
      <w:r w:rsidR="00017933">
        <w:rPr>
          <w:rFonts w:cs="Arial"/>
          <w:color w:val="000000"/>
        </w:rPr>
        <w:t>county office</w:t>
      </w:r>
      <w:r w:rsidR="00017933" w:rsidRPr="00D26A93">
        <w:rPr>
          <w:rFonts w:cs="Arial"/>
          <w:color w:val="000000"/>
        </w:rPr>
        <w:t>s</w:t>
      </w:r>
      <w:r w:rsidR="00017933">
        <w:rPr>
          <w:rFonts w:cs="Arial"/>
          <w:color w:val="000000"/>
        </w:rPr>
        <w:t xml:space="preserve"> of education</w:t>
      </w:r>
      <w:r w:rsidRPr="00D26A93">
        <w:rPr>
          <w:rFonts w:cs="Arial"/>
          <w:color w:val="000000"/>
        </w:rPr>
        <w:t xml:space="preserve">, </w:t>
      </w:r>
      <w:r w:rsidR="009F264D">
        <w:rPr>
          <w:rFonts w:cs="Arial"/>
          <w:color w:val="000000"/>
        </w:rPr>
        <w:t xml:space="preserve">school districts, and independent charter schools) </w:t>
      </w:r>
      <w:r w:rsidRPr="00D26A93">
        <w:rPr>
          <w:rFonts w:cs="Arial"/>
          <w:color w:val="000000"/>
        </w:rPr>
        <w:t>and Monitoring Authorities are then given a 90-day period to review exceptions and determinations and make corrections where applicable. The CTC’s assignment monitoring process typically occurs between August and November.</w:t>
      </w:r>
    </w:p>
    <w:p w14:paraId="1C55A933" w14:textId="77777777" w:rsidR="00382080" w:rsidRDefault="003F50BC" w:rsidP="004E78DF">
      <w:pPr>
        <w:spacing w:after="480"/>
        <w:rPr>
          <w:rFonts w:cs="Arial"/>
          <w:color w:val="000000"/>
        </w:rPr>
      </w:pPr>
      <w:r w:rsidRPr="00D26A93">
        <w:rPr>
          <w:rFonts w:cs="Arial"/>
          <w:color w:val="000000"/>
        </w:rPr>
        <w:t xml:space="preserve">After the </w:t>
      </w:r>
      <w:proofErr w:type="spellStart"/>
      <w:r w:rsidRPr="00D26A93">
        <w:rPr>
          <w:rFonts w:cs="Arial"/>
          <w:color w:val="000000"/>
        </w:rPr>
        <w:t>CalSAAS</w:t>
      </w:r>
      <w:proofErr w:type="spellEnd"/>
      <w:r w:rsidRPr="00D26A93">
        <w:rPr>
          <w:rFonts w:cs="Arial"/>
          <w:color w:val="000000"/>
        </w:rPr>
        <w:t xml:space="preserve"> assignment monitoring process closes, </w:t>
      </w:r>
      <w:proofErr w:type="gramStart"/>
      <w:r w:rsidRPr="00D26A93">
        <w:rPr>
          <w:rFonts w:cs="Arial"/>
          <w:color w:val="000000"/>
        </w:rPr>
        <w:t>the CTC</w:t>
      </w:r>
      <w:proofErr w:type="gramEnd"/>
      <w:r w:rsidRPr="00D26A93">
        <w:rPr>
          <w:rFonts w:cs="Arial"/>
          <w:color w:val="000000"/>
        </w:rPr>
        <w:t xml:space="preserve"> processes the assignment data to generate the applicable AMOs for each assignment and transmits the data to the CDE for analysis and reporting purposes. The data provided to the CDE map to the statuses outlined in California</w:t>
      </w:r>
      <w:r w:rsidR="00566EA0">
        <w:rPr>
          <w:rFonts w:cs="Arial"/>
          <w:color w:val="000000"/>
        </w:rPr>
        <w:t>’s</w:t>
      </w:r>
      <w:r w:rsidRPr="00D26A93">
        <w:rPr>
          <w:rFonts w:cs="Arial"/>
          <w:color w:val="000000"/>
        </w:rPr>
        <w:t xml:space="preserve"> ESSA Consolidated State Plan. Some AMOs do not align with these definitions (e.g., </w:t>
      </w:r>
      <w:r w:rsidR="00DB48EE">
        <w:rPr>
          <w:rFonts w:cs="Arial"/>
          <w:color w:val="000000"/>
        </w:rPr>
        <w:t>i</w:t>
      </w:r>
      <w:r w:rsidRPr="00D26A93">
        <w:rPr>
          <w:rFonts w:cs="Arial"/>
          <w:color w:val="000000"/>
        </w:rPr>
        <w:t xml:space="preserve">ncomplete, </w:t>
      </w:r>
      <w:r w:rsidR="00DB48EE">
        <w:rPr>
          <w:rFonts w:cs="Arial"/>
          <w:color w:val="000000"/>
        </w:rPr>
        <w:t>u</w:t>
      </w:r>
      <w:r w:rsidRPr="00D26A93">
        <w:rPr>
          <w:rFonts w:cs="Arial"/>
          <w:color w:val="000000"/>
        </w:rPr>
        <w:t xml:space="preserve">nknown, and not applicable [N/A]) but they are included in the report to provide a holistic understanding of the AMOs for the totality of teaching assignments reported by LEAs in CALPADS and so that the assignment FTE data will add </w:t>
      </w:r>
      <w:r w:rsidR="00C369DD">
        <w:rPr>
          <w:rFonts w:cs="Arial"/>
          <w:color w:val="000000"/>
        </w:rPr>
        <w:t xml:space="preserve">up </w:t>
      </w:r>
      <w:r w:rsidRPr="00D26A93">
        <w:rPr>
          <w:rFonts w:cs="Arial"/>
          <w:color w:val="000000"/>
        </w:rPr>
        <w:t xml:space="preserve">to </w:t>
      </w:r>
      <w:r w:rsidR="00427220">
        <w:rPr>
          <w:rFonts w:cs="Arial"/>
          <w:color w:val="000000"/>
        </w:rPr>
        <w:t xml:space="preserve">a total of </w:t>
      </w:r>
      <w:r w:rsidRPr="00D26A93">
        <w:rPr>
          <w:rFonts w:cs="Arial"/>
          <w:color w:val="000000"/>
        </w:rPr>
        <w:t xml:space="preserve">100 percent in the </w:t>
      </w:r>
      <w:proofErr w:type="spellStart"/>
      <w:r w:rsidRPr="00D26A93">
        <w:rPr>
          <w:rFonts w:cs="Arial"/>
          <w:color w:val="000000"/>
        </w:rPr>
        <w:t>DataQuest</w:t>
      </w:r>
      <w:proofErr w:type="spellEnd"/>
      <w:r w:rsidRPr="00D26A93">
        <w:rPr>
          <w:rFonts w:cs="Arial"/>
          <w:color w:val="000000"/>
        </w:rPr>
        <w:t xml:space="preserve"> Teaching AMO report. </w:t>
      </w:r>
    </w:p>
    <w:p w14:paraId="00EFE806" w14:textId="7A80053B" w:rsidR="003F50BC" w:rsidRPr="009869D9" w:rsidRDefault="003F50BC" w:rsidP="00D9769A">
      <w:pPr>
        <w:pStyle w:val="Heading3"/>
      </w:pPr>
      <w:r w:rsidRPr="009869D9">
        <w:t>Teaching A</w:t>
      </w:r>
      <w:r w:rsidR="00E76873" w:rsidRPr="009869D9">
        <w:t xml:space="preserve">ssignment Monitoring </w:t>
      </w:r>
      <w:r w:rsidRPr="009869D9">
        <w:t>O</w:t>
      </w:r>
      <w:r w:rsidR="00E76873" w:rsidRPr="009869D9">
        <w:t>utcome</w:t>
      </w:r>
      <w:r w:rsidRPr="009869D9">
        <w:t xml:space="preserve"> Definitions</w:t>
      </w:r>
    </w:p>
    <w:p w14:paraId="0EA4D6DE" w14:textId="4C75FF9E" w:rsidR="003F50BC" w:rsidRPr="00D26A93" w:rsidRDefault="003F50BC" w:rsidP="000210F9">
      <w:pPr>
        <w:spacing w:after="240"/>
        <w:rPr>
          <w:rFonts w:cs="Arial"/>
          <w:color w:val="000000"/>
        </w:rPr>
      </w:pPr>
      <w:r w:rsidRPr="00D26A93">
        <w:rPr>
          <w:rFonts w:cs="Arial"/>
          <w:color w:val="000000"/>
        </w:rPr>
        <w:t xml:space="preserve">To understand the data presented in the </w:t>
      </w:r>
      <w:proofErr w:type="spellStart"/>
      <w:r w:rsidRPr="00D26A93">
        <w:rPr>
          <w:rFonts w:cs="Arial"/>
          <w:color w:val="000000"/>
        </w:rPr>
        <w:t>DataQuest</w:t>
      </w:r>
      <w:proofErr w:type="spellEnd"/>
      <w:r w:rsidRPr="00D26A93">
        <w:rPr>
          <w:rFonts w:cs="Arial"/>
          <w:color w:val="000000"/>
        </w:rPr>
        <w:t xml:space="preserve"> Teaching AMO report, it is important to first define the following terms:</w:t>
      </w:r>
    </w:p>
    <w:p w14:paraId="64D3CE53" w14:textId="77777777" w:rsidR="003F50BC" w:rsidRPr="00D26A93" w:rsidRDefault="003F50BC" w:rsidP="000210F9">
      <w:pPr>
        <w:pStyle w:val="ListParagraph"/>
        <w:numPr>
          <w:ilvl w:val="0"/>
          <w:numId w:val="3"/>
        </w:numPr>
        <w:contextualSpacing w:val="0"/>
        <w:rPr>
          <w:rFonts w:ascii="Arial" w:hAnsi="Arial" w:cs="Arial"/>
          <w:color w:val="000000"/>
        </w:rPr>
      </w:pPr>
      <w:r w:rsidRPr="00D26A93">
        <w:rPr>
          <w:rFonts w:ascii="Arial" w:hAnsi="Arial" w:cs="Arial"/>
          <w:color w:val="000000"/>
        </w:rPr>
        <w:t xml:space="preserve">A “teaching assignment” is defined as a classroom-based assignment wherein a unique section of course content is being taught by one or more teachers to a specific group of students. LEAs submit course section and student course section data to CALPADS, which the CDE provides to </w:t>
      </w:r>
      <w:proofErr w:type="gramStart"/>
      <w:r w:rsidRPr="00D26A93">
        <w:rPr>
          <w:rFonts w:ascii="Arial" w:hAnsi="Arial" w:cs="Arial"/>
          <w:color w:val="000000"/>
        </w:rPr>
        <w:t>the CTC</w:t>
      </w:r>
      <w:proofErr w:type="gramEnd"/>
      <w:r w:rsidRPr="00D26A93">
        <w:rPr>
          <w:rFonts w:ascii="Arial" w:hAnsi="Arial" w:cs="Arial"/>
          <w:color w:val="000000"/>
        </w:rPr>
        <w:t xml:space="preserve"> for assignment monitoring purposes. </w:t>
      </w:r>
    </w:p>
    <w:p w14:paraId="2C9F3D07" w14:textId="25F80B4F" w:rsidR="003F50BC" w:rsidRPr="00D26A93" w:rsidRDefault="003F50BC" w:rsidP="000210F9">
      <w:pPr>
        <w:pStyle w:val="ListParagraph"/>
        <w:numPr>
          <w:ilvl w:val="0"/>
          <w:numId w:val="3"/>
        </w:numPr>
        <w:contextualSpacing w:val="0"/>
        <w:rPr>
          <w:rFonts w:ascii="Arial" w:hAnsi="Arial" w:cs="Arial"/>
          <w:color w:val="000000"/>
        </w:rPr>
      </w:pPr>
      <w:r w:rsidRPr="00D26A93">
        <w:rPr>
          <w:rFonts w:ascii="Arial" w:hAnsi="Arial" w:cs="Arial"/>
          <w:color w:val="000000"/>
        </w:rPr>
        <w:t xml:space="preserve">An AMO is the result(s) or finding(s) from the assignment monitoring processes conducted by the CTC. Each teaching assignment is evaluated along one or more attributes or dimensions for the teaching assignment in </w:t>
      </w:r>
      <w:proofErr w:type="spellStart"/>
      <w:r w:rsidRPr="00D26A93">
        <w:rPr>
          <w:rFonts w:ascii="Arial" w:hAnsi="Arial" w:cs="Arial"/>
          <w:color w:val="000000"/>
        </w:rPr>
        <w:t>CalSAAS</w:t>
      </w:r>
      <w:proofErr w:type="spellEnd"/>
      <w:r w:rsidRPr="00D26A93">
        <w:rPr>
          <w:rFonts w:ascii="Arial" w:hAnsi="Arial" w:cs="Arial"/>
          <w:color w:val="000000"/>
        </w:rPr>
        <w:t xml:space="preserve"> to determine if or how the teacher is authorized to teach the assigned course and </w:t>
      </w:r>
      <w:r w:rsidRPr="00D26A93">
        <w:rPr>
          <w:rFonts w:ascii="Arial" w:hAnsi="Arial" w:cs="Arial"/>
          <w:color w:val="000000"/>
        </w:rPr>
        <w:lastRenderedPageBreak/>
        <w:t xml:space="preserve">the students enrolled in the course. For </w:t>
      </w:r>
      <w:proofErr w:type="spellStart"/>
      <w:r w:rsidRPr="00D26A93">
        <w:rPr>
          <w:rFonts w:ascii="Arial" w:hAnsi="Arial" w:cs="Arial"/>
          <w:color w:val="000000"/>
        </w:rPr>
        <w:t>DataQuest</w:t>
      </w:r>
      <w:proofErr w:type="spellEnd"/>
      <w:r w:rsidRPr="00D26A93">
        <w:rPr>
          <w:rFonts w:ascii="Arial" w:hAnsi="Arial" w:cs="Arial"/>
          <w:color w:val="000000"/>
        </w:rPr>
        <w:t xml:space="preserve"> reporting purposes, the FTE data for each teaching assignment is aggregated and displayed for the following AMO</w:t>
      </w:r>
      <w:r w:rsidR="00805537">
        <w:rPr>
          <w:rFonts w:ascii="Arial" w:hAnsi="Arial" w:cs="Arial"/>
          <w:color w:val="000000"/>
        </w:rPr>
        <w:t xml:space="preserve"> categories</w:t>
      </w:r>
      <w:r w:rsidRPr="00D26A93">
        <w:rPr>
          <w:rFonts w:ascii="Arial" w:hAnsi="Arial" w:cs="Arial"/>
          <w:color w:val="000000"/>
        </w:rPr>
        <w:t xml:space="preserve">: </w:t>
      </w:r>
      <w:r w:rsidR="00B950BA">
        <w:rPr>
          <w:rFonts w:ascii="Arial" w:hAnsi="Arial" w:cs="Arial"/>
          <w:color w:val="000000"/>
        </w:rPr>
        <w:t>c</w:t>
      </w:r>
      <w:r w:rsidRPr="00D26A93">
        <w:rPr>
          <w:rFonts w:ascii="Arial" w:hAnsi="Arial" w:cs="Arial"/>
          <w:color w:val="000000"/>
        </w:rPr>
        <w:t xml:space="preserve">lear, </w:t>
      </w:r>
      <w:r w:rsidR="00B950BA">
        <w:rPr>
          <w:rFonts w:ascii="Arial" w:hAnsi="Arial" w:cs="Arial"/>
          <w:color w:val="000000"/>
        </w:rPr>
        <w:t>o</w:t>
      </w:r>
      <w:r w:rsidRPr="00D26A93">
        <w:rPr>
          <w:rFonts w:ascii="Arial" w:hAnsi="Arial" w:cs="Arial"/>
          <w:color w:val="000000"/>
        </w:rPr>
        <w:t>ut-of</w:t>
      </w:r>
      <w:r w:rsidR="00B950BA">
        <w:rPr>
          <w:rFonts w:ascii="Arial" w:hAnsi="Arial" w:cs="Arial"/>
          <w:color w:val="000000"/>
        </w:rPr>
        <w:t>-f</w:t>
      </w:r>
      <w:r w:rsidRPr="00D26A93">
        <w:rPr>
          <w:rFonts w:ascii="Arial" w:hAnsi="Arial" w:cs="Arial"/>
          <w:color w:val="000000"/>
        </w:rPr>
        <w:t xml:space="preserve">ield, </w:t>
      </w:r>
      <w:r w:rsidR="00B950BA">
        <w:rPr>
          <w:rFonts w:ascii="Arial" w:hAnsi="Arial" w:cs="Arial"/>
          <w:color w:val="000000"/>
        </w:rPr>
        <w:t>i</w:t>
      </w:r>
      <w:r w:rsidRPr="00D26A93">
        <w:rPr>
          <w:rFonts w:ascii="Arial" w:hAnsi="Arial" w:cs="Arial"/>
          <w:color w:val="000000"/>
        </w:rPr>
        <w:t xml:space="preserve">neffective, </w:t>
      </w:r>
      <w:r w:rsidR="00B950BA">
        <w:rPr>
          <w:rFonts w:ascii="Arial" w:hAnsi="Arial" w:cs="Arial"/>
          <w:color w:val="000000"/>
        </w:rPr>
        <w:t>i</w:t>
      </w:r>
      <w:r w:rsidRPr="00D26A93">
        <w:rPr>
          <w:rFonts w:ascii="Arial" w:hAnsi="Arial" w:cs="Arial"/>
          <w:color w:val="000000"/>
        </w:rPr>
        <w:t xml:space="preserve">ntern, </w:t>
      </w:r>
      <w:r w:rsidR="00B950BA">
        <w:rPr>
          <w:rFonts w:ascii="Arial" w:hAnsi="Arial" w:cs="Arial"/>
          <w:color w:val="000000"/>
        </w:rPr>
        <w:t>i</w:t>
      </w:r>
      <w:r w:rsidRPr="00D26A93">
        <w:rPr>
          <w:rFonts w:ascii="Arial" w:hAnsi="Arial" w:cs="Arial"/>
          <w:color w:val="000000"/>
        </w:rPr>
        <w:t xml:space="preserve">ncomplete, </w:t>
      </w:r>
      <w:r w:rsidR="00B950BA">
        <w:rPr>
          <w:rFonts w:ascii="Arial" w:hAnsi="Arial" w:cs="Arial"/>
          <w:color w:val="000000"/>
        </w:rPr>
        <w:t>u</w:t>
      </w:r>
      <w:r w:rsidRPr="00D26A93">
        <w:rPr>
          <w:rFonts w:ascii="Arial" w:hAnsi="Arial" w:cs="Arial"/>
          <w:color w:val="000000"/>
        </w:rPr>
        <w:t xml:space="preserve">nknown, and </w:t>
      </w:r>
      <w:r w:rsidR="00052A32">
        <w:rPr>
          <w:rFonts w:ascii="Arial" w:hAnsi="Arial" w:cs="Arial"/>
          <w:color w:val="000000"/>
        </w:rPr>
        <w:t>N</w:t>
      </w:r>
      <w:r w:rsidR="00B950BA">
        <w:rPr>
          <w:rFonts w:ascii="Arial" w:hAnsi="Arial" w:cs="Arial"/>
          <w:color w:val="000000"/>
        </w:rPr>
        <w:t>/</w:t>
      </w:r>
      <w:r w:rsidR="00052A32">
        <w:rPr>
          <w:rFonts w:ascii="Arial" w:hAnsi="Arial" w:cs="Arial"/>
          <w:color w:val="000000"/>
        </w:rPr>
        <w:t>A</w:t>
      </w:r>
      <w:r w:rsidRPr="00D26A93">
        <w:rPr>
          <w:rFonts w:ascii="Arial" w:hAnsi="Arial" w:cs="Arial"/>
          <w:color w:val="000000"/>
        </w:rPr>
        <w:t xml:space="preserve">. More information about these AMO categories </w:t>
      </w:r>
      <w:r w:rsidR="00C945B6">
        <w:rPr>
          <w:rFonts w:ascii="Arial" w:hAnsi="Arial" w:cs="Arial"/>
          <w:color w:val="000000"/>
        </w:rPr>
        <w:t>is</w:t>
      </w:r>
      <w:r w:rsidRPr="00D26A93">
        <w:rPr>
          <w:rFonts w:ascii="Arial" w:hAnsi="Arial" w:cs="Arial"/>
          <w:color w:val="000000"/>
        </w:rPr>
        <w:t xml:space="preserve"> covered in separate sections below.</w:t>
      </w:r>
    </w:p>
    <w:p w14:paraId="73F502DE" w14:textId="3E4A2AAE" w:rsidR="003F50BC" w:rsidRPr="00D26A93" w:rsidRDefault="003F50BC" w:rsidP="000210F9">
      <w:pPr>
        <w:pStyle w:val="ListParagraph"/>
        <w:numPr>
          <w:ilvl w:val="0"/>
          <w:numId w:val="3"/>
        </w:numPr>
        <w:contextualSpacing w:val="0"/>
        <w:rPr>
          <w:rFonts w:ascii="Arial" w:hAnsi="Arial" w:cs="Arial"/>
          <w:color w:val="000000"/>
        </w:rPr>
      </w:pPr>
      <w:r w:rsidRPr="00D26A93">
        <w:rPr>
          <w:rFonts w:ascii="Arial" w:hAnsi="Arial" w:cs="Arial"/>
          <w:color w:val="000000"/>
        </w:rPr>
        <w:t xml:space="preserve">The FTE of a position is defined as the percentage of time spent working in a job classification in relation to a full-time position (100 percent or 1.0 FTE). </w:t>
      </w:r>
    </w:p>
    <w:p w14:paraId="46435B31" w14:textId="490B5420" w:rsidR="00427220" w:rsidRPr="00D26A93" w:rsidRDefault="00427220" w:rsidP="00B204ED">
      <w:pPr>
        <w:spacing w:before="240" w:after="240"/>
        <w:rPr>
          <w:rFonts w:cs="Arial"/>
          <w:color w:val="000000"/>
        </w:rPr>
      </w:pPr>
      <w:r w:rsidRPr="00D26A93">
        <w:rPr>
          <w:rFonts w:cs="Arial"/>
          <w:color w:val="000000"/>
        </w:rPr>
        <w:t xml:space="preserve">The CDE evaluates the detailed data provided by </w:t>
      </w:r>
      <w:proofErr w:type="gramStart"/>
      <w:r w:rsidRPr="00D26A93">
        <w:rPr>
          <w:rFonts w:cs="Arial"/>
          <w:color w:val="000000"/>
        </w:rPr>
        <w:t>the CTC</w:t>
      </w:r>
      <w:proofErr w:type="gramEnd"/>
      <w:r w:rsidRPr="00D26A93">
        <w:rPr>
          <w:rFonts w:cs="Arial"/>
          <w:color w:val="000000"/>
        </w:rPr>
        <w:t xml:space="preserve"> to produce a single AMO for each assignment based on a set of business rules. Table </w:t>
      </w:r>
      <w:r>
        <w:rPr>
          <w:rFonts w:cs="Arial"/>
          <w:color w:val="000000"/>
        </w:rPr>
        <w:t>1</w:t>
      </w:r>
      <w:r w:rsidRPr="00D26A93">
        <w:rPr>
          <w:rFonts w:cs="Arial"/>
          <w:color w:val="000000"/>
        </w:rPr>
        <w:t xml:space="preserve"> defines each of the possible AMOs that could be assigned to each teaching assignment.</w:t>
      </w:r>
      <w:r w:rsidR="008A0684">
        <w:rPr>
          <w:rFonts w:cs="Arial"/>
          <w:color w:val="000000"/>
        </w:rPr>
        <w:t xml:space="preserve"> The ESSA term for each AMO </w:t>
      </w:r>
      <w:proofErr w:type="gramStart"/>
      <w:r w:rsidR="006651A4">
        <w:rPr>
          <w:rFonts w:cs="Arial"/>
          <w:color w:val="000000"/>
        </w:rPr>
        <w:t>are</w:t>
      </w:r>
      <w:proofErr w:type="gramEnd"/>
      <w:r w:rsidR="008A0684">
        <w:rPr>
          <w:rFonts w:cs="Arial"/>
          <w:color w:val="000000"/>
        </w:rPr>
        <w:t xml:space="preserve"> provided for reference.</w:t>
      </w:r>
    </w:p>
    <w:p w14:paraId="58C77190" w14:textId="3F36E2A1" w:rsidR="00B204ED" w:rsidRPr="00D26A93" w:rsidRDefault="00427220" w:rsidP="00B204ED">
      <w:pPr>
        <w:pStyle w:val="Heading4"/>
      </w:pPr>
      <w:r w:rsidRPr="00D26A93">
        <w:t xml:space="preserve">Table </w:t>
      </w:r>
      <w:r>
        <w:t>1</w:t>
      </w:r>
      <w:r w:rsidRPr="00D26A93">
        <w:t xml:space="preserve">: California Definitions for Purposes of Collecting Equity Data under </w:t>
      </w:r>
      <w:proofErr w:type="gramStart"/>
      <w:r w:rsidRPr="00D26A93">
        <w:t xml:space="preserve">the </w:t>
      </w:r>
      <w:r w:rsidRPr="001E1A51">
        <w:t>Every</w:t>
      </w:r>
      <w:proofErr w:type="gramEnd"/>
      <w:r w:rsidRPr="001E1A51">
        <w:t xml:space="preserve"> Student Succeeds Act</w:t>
      </w:r>
    </w:p>
    <w:tbl>
      <w:tblPr>
        <w:tblStyle w:val="TableGrid"/>
        <w:tblW w:w="9463" w:type="dxa"/>
        <w:jc w:val="center"/>
        <w:tblLook w:val="04A0" w:firstRow="1" w:lastRow="0" w:firstColumn="1" w:lastColumn="0" w:noHBand="0" w:noVBand="1"/>
        <w:tblCaption w:val="Table 2: California Definitions for Purposes of Collecting Equity Data "/>
        <w:tblDescription w:val="This chart contains terms and definitions under California's ESSA plan:  ineffective teacher, out-of-field teacher, inexperienced teacher, minority student and low-income student."/>
      </w:tblPr>
      <w:tblGrid>
        <w:gridCol w:w="2268"/>
        <w:gridCol w:w="7195"/>
      </w:tblGrid>
      <w:tr w:rsidR="00B204ED" w:rsidRPr="00D26A93" w14:paraId="02E4D780" w14:textId="77777777" w:rsidTr="00E70E42">
        <w:trPr>
          <w:cantSplit/>
          <w:tblHeader/>
          <w:jc w:val="center"/>
        </w:trPr>
        <w:tc>
          <w:tcPr>
            <w:tcW w:w="2268" w:type="dxa"/>
            <w:shd w:val="clear" w:color="auto" w:fill="D9D9D9" w:themeFill="background1" w:themeFillShade="D9"/>
          </w:tcPr>
          <w:p w14:paraId="765C862A" w14:textId="77777777" w:rsidR="00B204ED" w:rsidRPr="00D26A93" w:rsidRDefault="00B204ED" w:rsidP="00E70E42">
            <w:pPr>
              <w:spacing w:before="120" w:after="120"/>
              <w:jc w:val="center"/>
              <w:rPr>
                <w:rFonts w:cs="Arial"/>
                <w:b/>
                <w:lang w:val="en"/>
              </w:rPr>
            </w:pPr>
            <w:r w:rsidRPr="00D26A93">
              <w:rPr>
                <w:rFonts w:cs="Arial"/>
                <w:b/>
                <w:lang w:val="en"/>
              </w:rPr>
              <w:t>Term</w:t>
            </w:r>
          </w:p>
        </w:tc>
        <w:tc>
          <w:tcPr>
            <w:tcW w:w="7195" w:type="dxa"/>
            <w:shd w:val="clear" w:color="auto" w:fill="D9D9D9" w:themeFill="background1" w:themeFillShade="D9"/>
          </w:tcPr>
          <w:p w14:paraId="5693E5D4" w14:textId="77777777" w:rsidR="00B204ED" w:rsidRPr="00D26A93" w:rsidRDefault="00B204ED" w:rsidP="00E70E42">
            <w:pPr>
              <w:spacing w:before="120" w:after="120"/>
              <w:jc w:val="center"/>
              <w:rPr>
                <w:rFonts w:cs="Arial"/>
                <w:b/>
                <w:lang w:val="en"/>
              </w:rPr>
            </w:pPr>
            <w:r w:rsidRPr="00D26A93">
              <w:rPr>
                <w:rFonts w:cs="Arial"/>
                <w:b/>
                <w:lang w:val="en"/>
              </w:rPr>
              <w:t>Definition</w:t>
            </w:r>
          </w:p>
        </w:tc>
      </w:tr>
      <w:tr w:rsidR="00B204ED" w:rsidRPr="00D26A93" w14:paraId="0CF16E91" w14:textId="77777777" w:rsidTr="00E70E42">
        <w:trPr>
          <w:cantSplit/>
          <w:jc w:val="center"/>
        </w:trPr>
        <w:tc>
          <w:tcPr>
            <w:tcW w:w="2268" w:type="dxa"/>
          </w:tcPr>
          <w:p w14:paraId="202C090B" w14:textId="77777777" w:rsidR="00B204ED" w:rsidRPr="00D26A93" w:rsidRDefault="00B204ED" w:rsidP="00E70E42">
            <w:pPr>
              <w:spacing w:before="120" w:after="120"/>
              <w:rPr>
                <w:rFonts w:cs="Arial"/>
                <w:b/>
                <w:lang w:val="en"/>
              </w:rPr>
            </w:pPr>
            <w:r w:rsidRPr="00D26A93">
              <w:rPr>
                <w:rFonts w:cs="Arial"/>
                <w:b/>
                <w:lang w:val="en"/>
              </w:rPr>
              <w:t>Clear</w:t>
            </w:r>
          </w:p>
        </w:tc>
        <w:tc>
          <w:tcPr>
            <w:tcW w:w="7195" w:type="dxa"/>
          </w:tcPr>
          <w:p w14:paraId="54639FAC" w14:textId="77777777" w:rsidR="00B204ED" w:rsidRPr="00D26A93" w:rsidRDefault="00B204ED" w:rsidP="00E70E42">
            <w:pPr>
              <w:spacing w:before="120" w:after="120"/>
              <w:rPr>
                <w:rFonts w:cs="Arial"/>
                <w:color w:val="000000"/>
              </w:rPr>
            </w:pPr>
            <w:r w:rsidRPr="00D26A93">
              <w:rPr>
                <w:rFonts w:cs="Arial"/>
                <w:color w:val="000000"/>
              </w:rPr>
              <w:t xml:space="preserve">An assignment monitoring outcome of clear indicates that all relevant attributes or dimensions of the assignment were authorized by a clear or preliminary credential or authorized by a local assignment option (LAO) pursuant to Section 80005(b) of the California </w:t>
            </w:r>
            <w:r w:rsidRPr="00D26A93">
              <w:rPr>
                <w:rFonts w:cs="Arial"/>
                <w:i/>
                <w:iCs/>
                <w:color w:val="000000"/>
              </w:rPr>
              <w:t>Code of Regulations</w:t>
            </w:r>
            <w:r w:rsidRPr="00D26A93">
              <w:rPr>
                <w:rFonts w:cs="Arial"/>
                <w:color w:val="000000"/>
              </w:rPr>
              <w:t xml:space="preserve"> </w:t>
            </w:r>
            <w:r>
              <w:rPr>
                <w:rFonts w:cs="Arial"/>
                <w:color w:val="000000"/>
              </w:rPr>
              <w:t>(</w:t>
            </w:r>
            <w:r w:rsidRPr="004A2722">
              <w:rPr>
                <w:rFonts w:cs="Arial"/>
                <w:color w:val="000000"/>
              </w:rPr>
              <w:t>T5 §80005[b])</w:t>
            </w:r>
            <w:r w:rsidRPr="00D26A93">
              <w:rPr>
                <w:rFonts w:cs="Arial"/>
                <w:color w:val="000000"/>
              </w:rPr>
              <w:t xml:space="preserve"> for specific state course codes where a credential or permit does not exist to authorize the indicated teaching assignment (e.g., student government or study hall).</w:t>
            </w:r>
          </w:p>
        </w:tc>
      </w:tr>
      <w:tr w:rsidR="00B204ED" w:rsidRPr="00D26A93" w14:paraId="571342AE" w14:textId="77777777" w:rsidTr="00E70E42">
        <w:trPr>
          <w:cantSplit/>
          <w:jc w:val="center"/>
        </w:trPr>
        <w:tc>
          <w:tcPr>
            <w:tcW w:w="2268" w:type="dxa"/>
          </w:tcPr>
          <w:p w14:paraId="252B656D" w14:textId="77777777" w:rsidR="00B204ED" w:rsidRPr="00D26A93" w:rsidRDefault="00B204ED" w:rsidP="00E70E42">
            <w:pPr>
              <w:spacing w:before="120" w:after="120"/>
              <w:rPr>
                <w:rFonts w:cs="Arial"/>
                <w:b/>
                <w:lang w:val="en"/>
              </w:rPr>
            </w:pPr>
            <w:r w:rsidRPr="00D26A93">
              <w:rPr>
                <w:rFonts w:cs="Arial"/>
                <w:b/>
                <w:lang w:val="en"/>
              </w:rPr>
              <w:t>Ineffective Teacher</w:t>
            </w:r>
          </w:p>
        </w:tc>
        <w:tc>
          <w:tcPr>
            <w:tcW w:w="7195" w:type="dxa"/>
          </w:tcPr>
          <w:p w14:paraId="0CDEDBA5" w14:textId="77777777" w:rsidR="00B204ED" w:rsidRPr="00D26A93" w:rsidRDefault="00B204ED" w:rsidP="00E70E42">
            <w:pPr>
              <w:spacing w:before="120" w:after="120"/>
              <w:rPr>
                <w:rFonts w:cs="Arial"/>
                <w:color w:val="000000"/>
              </w:rPr>
            </w:pPr>
            <w:r w:rsidRPr="00D26A93">
              <w:rPr>
                <w:rFonts w:cs="Arial"/>
                <w:color w:val="000000"/>
              </w:rPr>
              <w:t>An assignment monitoring outcome of ineffective indicates that one or more relevant attributes of the assignment had no legal authorization from a permit, credential or waiver, or one or more relevant attributes of the assignment were authorized by the following limited permits:</w:t>
            </w:r>
          </w:p>
          <w:p w14:paraId="5C9D02A3" w14:textId="77777777" w:rsidR="00B204ED" w:rsidRPr="00D26A93" w:rsidRDefault="00B204ED" w:rsidP="00E70E42">
            <w:pPr>
              <w:numPr>
                <w:ilvl w:val="0"/>
                <w:numId w:val="1"/>
              </w:numPr>
              <w:spacing w:before="120" w:after="120"/>
              <w:rPr>
                <w:rFonts w:cs="Arial"/>
                <w:color w:val="000000"/>
              </w:rPr>
            </w:pPr>
            <w:r w:rsidRPr="00D26A93">
              <w:rPr>
                <w:rFonts w:cs="Arial"/>
                <w:color w:val="000000"/>
              </w:rPr>
              <w:t>Provisional Internship Permits</w:t>
            </w:r>
          </w:p>
          <w:p w14:paraId="0E7AFBD0" w14:textId="77777777" w:rsidR="00B204ED" w:rsidRPr="00D26A93" w:rsidRDefault="00B204ED" w:rsidP="00E70E42">
            <w:pPr>
              <w:numPr>
                <w:ilvl w:val="0"/>
                <w:numId w:val="1"/>
              </w:numPr>
              <w:spacing w:before="120" w:after="120"/>
              <w:rPr>
                <w:rFonts w:cs="Arial"/>
                <w:color w:val="000000"/>
              </w:rPr>
            </w:pPr>
            <w:r w:rsidRPr="00D26A93">
              <w:rPr>
                <w:rFonts w:cs="Arial"/>
                <w:color w:val="000000"/>
              </w:rPr>
              <w:t>Short-Term Staff Permits</w:t>
            </w:r>
          </w:p>
          <w:p w14:paraId="1F1B10D0" w14:textId="77777777" w:rsidR="00B204ED" w:rsidRPr="00D26A93" w:rsidRDefault="00B204ED" w:rsidP="00E70E42">
            <w:pPr>
              <w:numPr>
                <w:ilvl w:val="0"/>
                <w:numId w:val="1"/>
              </w:numPr>
              <w:spacing w:before="120" w:after="120"/>
              <w:rPr>
                <w:rFonts w:cs="Arial"/>
                <w:color w:val="000000"/>
              </w:rPr>
            </w:pPr>
            <w:r w:rsidRPr="00D26A93">
              <w:rPr>
                <w:rFonts w:cs="Arial"/>
                <w:color w:val="000000"/>
              </w:rPr>
              <w:t>Variable Term Waivers</w:t>
            </w:r>
          </w:p>
          <w:p w14:paraId="6C60C284" w14:textId="77777777" w:rsidR="00B204ED" w:rsidRPr="00D26A93" w:rsidRDefault="00B204ED" w:rsidP="00E70E42">
            <w:pPr>
              <w:numPr>
                <w:ilvl w:val="0"/>
                <w:numId w:val="1"/>
              </w:numPr>
              <w:spacing w:before="120" w:after="120"/>
              <w:rPr>
                <w:rFonts w:cs="Arial"/>
                <w:color w:val="000000"/>
              </w:rPr>
            </w:pPr>
            <w:r w:rsidRPr="00D26A93">
              <w:rPr>
                <w:rFonts w:cs="Arial"/>
                <w:color w:val="000000"/>
              </w:rPr>
              <w:t xml:space="preserve">Substitute </w:t>
            </w:r>
            <w:r>
              <w:rPr>
                <w:rFonts w:cs="Arial"/>
                <w:color w:val="000000"/>
              </w:rPr>
              <w:t>P</w:t>
            </w:r>
            <w:r w:rsidRPr="00D26A93">
              <w:rPr>
                <w:rFonts w:cs="Arial"/>
                <w:color w:val="000000"/>
              </w:rPr>
              <w:t>ermits or Teaching Permits for Statutory Leave holders serving as the teacher of record</w:t>
            </w:r>
          </w:p>
        </w:tc>
      </w:tr>
      <w:tr w:rsidR="00B204ED" w:rsidRPr="00D26A93" w14:paraId="2B44A514" w14:textId="77777777" w:rsidTr="00E70E42">
        <w:trPr>
          <w:cantSplit/>
          <w:jc w:val="center"/>
        </w:trPr>
        <w:tc>
          <w:tcPr>
            <w:tcW w:w="2268" w:type="dxa"/>
          </w:tcPr>
          <w:p w14:paraId="18F1E973" w14:textId="77777777" w:rsidR="00B204ED" w:rsidRPr="00D26A93" w:rsidRDefault="00B204ED" w:rsidP="00E70E42">
            <w:pPr>
              <w:tabs>
                <w:tab w:val="left" w:pos="1355"/>
              </w:tabs>
              <w:spacing w:before="120" w:after="120"/>
              <w:rPr>
                <w:rFonts w:cs="Arial"/>
                <w:b/>
                <w:lang w:val="en"/>
              </w:rPr>
            </w:pPr>
            <w:r w:rsidRPr="00D26A93">
              <w:rPr>
                <w:rFonts w:cs="Arial"/>
                <w:b/>
                <w:lang w:val="en"/>
              </w:rPr>
              <w:lastRenderedPageBreak/>
              <w:t>Out-of-Field Teacher</w:t>
            </w:r>
          </w:p>
        </w:tc>
        <w:tc>
          <w:tcPr>
            <w:tcW w:w="7195" w:type="dxa"/>
          </w:tcPr>
          <w:p w14:paraId="1395AB42" w14:textId="77777777" w:rsidR="00B204ED" w:rsidRPr="00D26A93" w:rsidRDefault="00B204ED" w:rsidP="00E70E42">
            <w:pPr>
              <w:spacing w:before="120" w:after="120"/>
              <w:rPr>
                <w:rFonts w:cs="Arial"/>
                <w:color w:val="000000"/>
              </w:rPr>
            </w:pPr>
            <w:r w:rsidRPr="00D26A93">
              <w:rPr>
                <w:rFonts w:cs="Arial"/>
                <w:color w:val="000000"/>
              </w:rPr>
              <w:t xml:space="preserve">An out-of-field teacher is defined as someone who has a credential but has not yet demonstrated subject matter competence in the subject area(s) or for the student population associated with the assignment. </w:t>
            </w:r>
          </w:p>
          <w:p w14:paraId="6FD7CB94" w14:textId="77777777" w:rsidR="00B204ED" w:rsidRPr="00D26A93" w:rsidRDefault="00B204ED" w:rsidP="00E70E42">
            <w:pPr>
              <w:spacing w:before="120" w:after="120"/>
              <w:rPr>
                <w:rFonts w:cs="Arial"/>
                <w:color w:val="000000"/>
              </w:rPr>
            </w:pPr>
            <w:r w:rsidRPr="00D26A93">
              <w:rPr>
                <w:rFonts w:cs="Arial"/>
                <w:color w:val="000000"/>
              </w:rPr>
              <w:t>An assignment monitoring outcome of out-of-field indicates that one or more relevant attributes of the assignment were authorized by the following limited permits:</w:t>
            </w:r>
          </w:p>
          <w:p w14:paraId="44A9ED58" w14:textId="77777777" w:rsidR="00B204ED" w:rsidRPr="00D26A93" w:rsidRDefault="00B204ED" w:rsidP="00E70E42">
            <w:pPr>
              <w:numPr>
                <w:ilvl w:val="0"/>
                <w:numId w:val="2"/>
              </w:numPr>
              <w:spacing w:before="120" w:after="120"/>
              <w:rPr>
                <w:rFonts w:cs="Arial"/>
                <w:color w:val="000000"/>
              </w:rPr>
            </w:pPr>
            <w:r w:rsidRPr="00D26A93">
              <w:rPr>
                <w:rFonts w:cs="Arial"/>
                <w:color w:val="000000"/>
              </w:rPr>
              <w:t>General Education Limited Assignment Permit</w:t>
            </w:r>
          </w:p>
          <w:p w14:paraId="4603171E" w14:textId="77777777" w:rsidR="00B204ED" w:rsidRPr="00D26A93" w:rsidRDefault="00B204ED" w:rsidP="00E70E42">
            <w:pPr>
              <w:numPr>
                <w:ilvl w:val="0"/>
                <w:numId w:val="2"/>
              </w:numPr>
              <w:spacing w:before="120" w:after="120"/>
              <w:rPr>
                <w:rFonts w:cs="Arial"/>
                <w:color w:val="000000"/>
              </w:rPr>
            </w:pPr>
            <w:r w:rsidRPr="00D26A93">
              <w:rPr>
                <w:rFonts w:cs="Arial"/>
                <w:color w:val="000000"/>
              </w:rPr>
              <w:t>Special Education Limited Assignment Permit</w:t>
            </w:r>
          </w:p>
          <w:p w14:paraId="7F9AC50B" w14:textId="77777777" w:rsidR="00B204ED" w:rsidRPr="00D26A93" w:rsidRDefault="00B204ED" w:rsidP="00E70E42">
            <w:pPr>
              <w:numPr>
                <w:ilvl w:val="0"/>
                <w:numId w:val="2"/>
              </w:numPr>
              <w:spacing w:before="120" w:after="120"/>
              <w:rPr>
                <w:rFonts w:cs="Arial"/>
                <w:color w:val="000000"/>
              </w:rPr>
            </w:pPr>
            <w:r w:rsidRPr="00D26A93">
              <w:rPr>
                <w:rFonts w:cs="Arial"/>
                <w:color w:val="000000"/>
              </w:rPr>
              <w:t>Short-Term Waivers</w:t>
            </w:r>
          </w:p>
          <w:p w14:paraId="6F862D75" w14:textId="77777777" w:rsidR="00B204ED" w:rsidRPr="00D26A93" w:rsidRDefault="00B204ED" w:rsidP="00E70E42">
            <w:pPr>
              <w:numPr>
                <w:ilvl w:val="0"/>
                <w:numId w:val="2"/>
              </w:numPr>
              <w:spacing w:before="120" w:after="120"/>
              <w:rPr>
                <w:rFonts w:cs="Arial"/>
                <w:color w:val="000000"/>
              </w:rPr>
            </w:pPr>
            <w:r w:rsidRPr="00D26A93">
              <w:rPr>
                <w:rFonts w:cs="Arial"/>
                <w:color w:val="000000"/>
              </w:rPr>
              <w:t>Emergency English Learner or Bilingual Authorization Permits </w:t>
            </w:r>
          </w:p>
          <w:p w14:paraId="098AC217" w14:textId="77777777" w:rsidR="00B204ED" w:rsidRPr="00D26A93" w:rsidRDefault="00B204ED" w:rsidP="00E70E42">
            <w:pPr>
              <w:numPr>
                <w:ilvl w:val="0"/>
                <w:numId w:val="2"/>
              </w:numPr>
              <w:spacing w:before="120" w:after="120"/>
              <w:rPr>
                <w:rFonts w:cs="Arial"/>
                <w:color w:val="000000"/>
              </w:rPr>
            </w:pPr>
            <w:r w:rsidRPr="00D26A93">
              <w:rPr>
                <w:rFonts w:cs="Arial"/>
                <w:color w:val="000000"/>
              </w:rPr>
              <w:t>LAOs (except for those made pursuant to T5 §80005</w:t>
            </w:r>
            <w:r>
              <w:rPr>
                <w:rFonts w:cs="Arial"/>
                <w:color w:val="000000"/>
              </w:rPr>
              <w:t>[</w:t>
            </w:r>
            <w:r w:rsidRPr="00D26A93">
              <w:rPr>
                <w:rFonts w:cs="Arial"/>
                <w:color w:val="000000"/>
              </w:rPr>
              <w:t>b</w:t>
            </w:r>
            <w:r>
              <w:rPr>
                <w:rFonts w:cs="Arial"/>
                <w:color w:val="000000"/>
              </w:rPr>
              <w:t>]</w:t>
            </w:r>
            <w:r w:rsidRPr="00D26A93">
              <w:rPr>
                <w:rFonts w:cs="Arial"/>
                <w:color w:val="000000"/>
              </w:rPr>
              <w:t>)</w:t>
            </w:r>
          </w:p>
        </w:tc>
      </w:tr>
      <w:tr w:rsidR="00B204ED" w:rsidRPr="00D26A93" w14:paraId="6ACFB0F4" w14:textId="77777777" w:rsidTr="00E70E42">
        <w:trPr>
          <w:cantSplit/>
          <w:jc w:val="center"/>
        </w:trPr>
        <w:tc>
          <w:tcPr>
            <w:tcW w:w="2268" w:type="dxa"/>
          </w:tcPr>
          <w:p w14:paraId="037DB701" w14:textId="77777777" w:rsidR="00B204ED" w:rsidRPr="00D26A93" w:rsidRDefault="00B204ED" w:rsidP="00E70E42">
            <w:pPr>
              <w:spacing w:before="120" w:after="120"/>
              <w:rPr>
                <w:rFonts w:cs="Arial"/>
                <w:b/>
                <w:lang w:val="en"/>
              </w:rPr>
            </w:pPr>
            <w:r w:rsidRPr="00D26A93">
              <w:rPr>
                <w:rFonts w:cs="Arial"/>
                <w:b/>
                <w:lang w:val="en"/>
              </w:rPr>
              <w:t>Intern</w:t>
            </w:r>
          </w:p>
        </w:tc>
        <w:tc>
          <w:tcPr>
            <w:tcW w:w="7195" w:type="dxa"/>
          </w:tcPr>
          <w:p w14:paraId="08E24076" w14:textId="77777777" w:rsidR="00B204ED" w:rsidRPr="00D26A93" w:rsidRDefault="00B204ED" w:rsidP="00E70E42">
            <w:pPr>
              <w:spacing w:before="120" w:after="120"/>
              <w:rPr>
                <w:rFonts w:cs="Arial"/>
                <w:color w:val="000000"/>
              </w:rPr>
            </w:pPr>
            <w:r w:rsidRPr="00D26A93">
              <w:rPr>
                <w:rFonts w:cs="Arial"/>
                <w:color w:val="000000"/>
              </w:rPr>
              <w:t>An intern teacher is defined as someone who has a bachelor’s degree and has demonstrated subject matter competency in the subject area(s) or for the student population associated with the assignment, and who holds an intern credential while they complete coursework requirements to obtain a preliminary credential.</w:t>
            </w:r>
          </w:p>
        </w:tc>
      </w:tr>
      <w:tr w:rsidR="00B204ED" w:rsidRPr="00D26A93" w14:paraId="14BC1EBB" w14:textId="77777777" w:rsidTr="00E70E42">
        <w:trPr>
          <w:cantSplit/>
          <w:jc w:val="center"/>
        </w:trPr>
        <w:tc>
          <w:tcPr>
            <w:tcW w:w="2268" w:type="dxa"/>
          </w:tcPr>
          <w:p w14:paraId="3CC4626C" w14:textId="77777777" w:rsidR="00B204ED" w:rsidRPr="00D26A93" w:rsidRDefault="00B204ED" w:rsidP="00E70E42">
            <w:pPr>
              <w:spacing w:before="120" w:after="120"/>
              <w:rPr>
                <w:rFonts w:cs="Arial"/>
                <w:b/>
                <w:lang w:val="en"/>
              </w:rPr>
            </w:pPr>
            <w:r w:rsidRPr="00D26A93">
              <w:rPr>
                <w:rFonts w:cs="Arial"/>
                <w:b/>
                <w:lang w:val="en"/>
              </w:rPr>
              <w:t>Inexperienced Teacher</w:t>
            </w:r>
          </w:p>
        </w:tc>
        <w:tc>
          <w:tcPr>
            <w:tcW w:w="7195" w:type="dxa"/>
          </w:tcPr>
          <w:p w14:paraId="5500A4B9" w14:textId="77777777" w:rsidR="00B204ED" w:rsidRPr="00D26A93" w:rsidRDefault="00B204ED" w:rsidP="00E70E42">
            <w:pPr>
              <w:spacing w:before="120" w:after="120"/>
              <w:rPr>
                <w:rFonts w:cs="Arial"/>
                <w:lang w:val="en"/>
              </w:rPr>
            </w:pPr>
            <w:r w:rsidRPr="00D26A93">
              <w:rPr>
                <w:rFonts w:cs="Arial"/>
                <w:lang w:val="en"/>
              </w:rPr>
              <w:t xml:space="preserve">A teacher who has two or </w:t>
            </w:r>
            <w:proofErr w:type="gramStart"/>
            <w:r w:rsidRPr="00D26A93">
              <w:rPr>
                <w:rFonts w:cs="Arial"/>
                <w:lang w:val="en"/>
              </w:rPr>
              <w:t>fewer</w:t>
            </w:r>
            <w:proofErr w:type="gramEnd"/>
            <w:r w:rsidRPr="00D26A93">
              <w:rPr>
                <w:rFonts w:cs="Arial"/>
                <w:lang w:val="en"/>
              </w:rPr>
              <w:t xml:space="preserve"> years of teaching experience.</w:t>
            </w:r>
          </w:p>
        </w:tc>
      </w:tr>
      <w:tr w:rsidR="00B204ED" w:rsidRPr="00D26A93" w14:paraId="0D289855" w14:textId="77777777" w:rsidTr="00E70E42">
        <w:trPr>
          <w:cantSplit/>
          <w:jc w:val="center"/>
        </w:trPr>
        <w:tc>
          <w:tcPr>
            <w:tcW w:w="2268" w:type="dxa"/>
          </w:tcPr>
          <w:p w14:paraId="0FF3B764" w14:textId="77777777" w:rsidR="00B204ED" w:rsidRPr="00D26A93" w:rsidRDefault="00B204ED" w:rsidP="00E70E42">
            <w:pPr>
              <w:spacing w:before="120" w:after="120"/>
              <w:rPr>
                <w:rFonts w:cs="Arial"/>
                <w:b/>
                <w:lang w:val="en"/>
              </w:rPr>
            </w:pPr>
            <w:r w:rsidRPr="00D26A93">
              <w:rPr>
                <w:rFonts w:cs="Arial"/>
                <w:b/>
                <w:lang w:val="en"/>
              </w:rPr>
              <w:t>Minority Student</w:t>
            </w:r>
          </w:p>
        </w:tc>
        <w:tc>
          <w:tcPr>
            <w:tcW w:w="7195" w:type="dxa"/>
          </w:tcPr>
          <w:p w14:paraId="13CF276F" w14:textId="77777777" w:rsidR="00B204ED" w:rsidRPr="00D26A93" w:rsidRDefault="00B204ED" w:rsidP="00E70E42">
            <w:pPr>
              <w:spacing w:before="120" w:after="120"/>
              <w:rPr>
                <w:rFonts w:cs="Arial"/>
                <w:lang w:val="en"/>
              </w:rPr>
            </w:pPr>
            <w:r w:rsidRPr="00D26A93">
              <w:rPr>
                <w:rFonts w:cs="Arial"/>
                <w:lang w:val="en"/>
              </w:rPr>
              <w:t xml:space="preserve">A student who is American Indian/Alaska Native, Asian, African American, Filipino, Native Hawaiian/Pacific Islander, Hispanic, or </w:t>
            </w:r>
            <w:r>
              <w:rPr>
                <w:rFonts w:cs="Arial"/>
                <w:lang w:val="en"/>
              </w:rPr>
              <w:t>t</w:t>
            </w:r>
            <w:r w:rsidRPr="00D26A93">
              <w:rPr>
                <w:rFonts w:cs="Arial"/>
                <w:lang w:val="en"/>
              </w:rPr>
              <w:t xml:space="preserve">wo or </w:t>
            </w:r>
            <w:r>
              <w:rPr>
                <w:rFonts w:cs="Arial"/>
                <w:lang w:val="en"/>
              </w:rPr>
              <w:t>m</w:t>
            </w:r>
            <w:r w:rsidRPr="00D26A93">
              <w:rPr>
                <w:rFonts w:cs="Arial"/>
                <w:lang w:val="en"/>
              </w:rPr>
              <w:t xml:space="preserve">ore </w:t>
            </w:r>
            <w:r>
              <w:rPr>
                <w:rFonts w:cs="Arial"/>
                <w:lang w:val="en"/>
              </w:rPr>
              <w:t>r</w:t>
            </w:r>
            <w:r w:rsidRPr="00D26A93">
              <w:rPr>
                <w:rFonts w:cs="Arial"/>
                <w:lang w:val="en"/>
              </w:rPr>
              <w:t>aces</w:t>
            </w:r>
            <w:r>
              <w:rPr>
                <w:rFonts w:cs="Arial"/>
                <w:lang w:val="en"/>
              </w:rPr>
              <w:t xml:space="preserve"> that are</w:t>
            </w:r>
            <w:r w:rsidRPr="00D26A93">
              <w:rPr>
                <w:rFonts w:cs="Arial"/>
                <w:lang w:val="en"/>
              </w:rPr>
              <w:t xml:space="preserve"> </w:t>
            </w:r>
            <w:r>
              <w:rPr>
                <w:rFonts w:cs="Arial"/>
                <w:lang w:val="en"/>
              </w:rPr>
              <w:t>n</w:t>
            </w:r>
            <w:r w:rsidRPr="00D26A93">
              <w:rPr>
                <w:rFonts w:cs="Arial"/>
                <w:lang w:val="en"/>
              </w:rPr>
              <w:t>ot Hispanic.</w:t>
            </w:r>
          </w:p>
        </w:tc>
      </w:tr>
      <w:tr w:rsidR="00B204ED" w:rsidRPr="00D26A93" w14:paraId="0D294747" w14:textId="77777777" w:rsidTr="00E70E42">
        <w:trPr>
          <w:cantSplit/>
          <w:jc w:val="center"/>
        </w:trPr>
        <w:tc>
          <w:tcPr>
            <w:tcW w:w="2268" w:type="dxa"/>
          </w:tcPr>
          <w:p w14:paraId="6968A189" w14:textId="77777777" w:rsidR="00B204ED" w:rsidRPr="00D26A93" w:rsidRDefault="00B204ED" w:rsidP="00E70E42">
            <w:pPr>
              <w:spacing w:before="120" w:after="120"/>
              <w:rPr>
                <w:rFonts w:cs="Arial"/>
                <w:b/>
                <w:lang w:val="en"/>
              </w:rPr>
            </w:pPr>
            <w:r w:rsidRPr="00D26A93">
              <w:rPr>
                <w:rFonts w:cs="Arial"/>
                <w:b/>
                <w:lang w:val="en"/>
              </w:rPr>
              <w:t>Low-Income Student</w:t>
            </w:r>
          </w:p>
        </w:tc>
        <w:tc>
          <w:tcPr>
            <w:tcW w:w="7195" w:type="dxa"/>
          </w:tcPr>
          <w:p w14:paraId="6E09E87F" w14:textId="77777777" w:rsidR="00B204ED" w:rsidRPr="00D26A93" w:rsidRDefault="00B204ED" w:rsidP="00E70E42">
            <w:pPr>
              <w:spacing w:before="120" w:after="120"/>
              <w:rPr>
                <w:rFonts w:cs="Arial"/>
              </w:rPr>
            </w:pPr>
            <w:r w:rsidRPr="00D26A93">
              <w:rPr>
                <w:rFonts w:cs="Arial"/>
              </w:rPr>
              <w:t>A student who is eligible to receive free or reduced-price meals</w:t>
            </w:r>
            <w:r>
              <w:rPr>
                <w:rFonts w:cs="Arial"/>
              </w:rPr>
              <w:t>,</w:t>
            </w:r>
            <w:r w:rsidRPr="00D26A93">
              <w:rPr>
                <w:rFonts w:cs="Arial"/>
              </w:rPr>
              <w:t xml:space="preserve"> also referred to SED students.</w:t>
            </w:r>
          </w:p>
        </w:tc>
      </w:tr>
      <w:tr w:rsidR="00B204ED" w:rsidRPr="00D26A93" w14:paraId="77EFB08B" w14:textId="77777777" w:rsidTr="00E70E42">
        <w:trPr>
          <w:cantSplit/>
          <w:jc w:val="center"/>
        </w:trPr>
        <w:tc>
          <w:tcPr>
            <w:tcW w:w="2268" w:type="dxa"/>
          </w:tcPr>
          <w:p w14:paraId="03A01B14" w14:textId="77777777" w:rsidR="00B204ED" w:rsidRPr="00D26A93" w:rsidRDefault="00B204ED" w:rsidP="00E70E42">
            <w:pPr>
              <w:spacing w:before="120" w:after="120"/>
              <w:rPr>
                <w:rFonts w:cs="Arial"/>
                <w:b/>
                <w:lang w:val="en"/>
              </w:rPr>
            </w:pPr>
            <w:r w:rsidRPr="00D26A93">
              <w:rPr>
                <w:rFonts w:cs="Arial"/>
                <w:b/>
                <w:lang w:val="en"/>
              </w:rPr>
              <w:t>Incomplete</w:t>
            </w:r>
          </w:p>
        </w:tc>
        <w:tc>
          <w:tcPr>
            <w:tcW w:w="7195" w:type="dxa"/>
          </w:tcPr>
          <w:p w14:paraId="303B8F28" w14:textId="77777777" w:rsidR="00B204ED" w:rsidRPr="00D26A93" w:rsidRDefault="00B204ED" w:rsidP="00E70E42">
            <w:pPr>
              <w:spacing w:before="120" w:after="120"/>
              <w:rPr>
                <w:rFonts w:cs="Arial"/>
                <w:color w:val="000000"/>
              </w:rPr>
            </w:pPr>
            <w:r w:rsidRPr="00D26A93">
              <w:rPr>
                <w:rFonts w:cs="Arial"/>
                <w:color w:val="000000"/>
              </w:rPr>
              <w:t>An assignment monitoring outcome of incomplete indicates that missing or incorrect information about the assignment was reported to CALPADS by the LEA which prevented a complete and accurate determination of the assignment authorization during the CTC assignment monitoring process. In some cases, the LEA or Monitoring Authority may have indicated that the assignment is appropriate; however, neither the CDE nor the CTC can validate the authorization basis for the assignment. </w:t>
            </w:r>
          </w:p>
        </w:tc>
      </w:tr>
      <w:tr w:rsidR="00B204ED" w:rsidRPr="00D26A93" w14:paraId="7B5343DD" w14:textId="77777777" w:rsidTr="00E70E42">
        <w:trPr>
          <w:cantSplit/>
          <w:jc w:val="center"/>
        </w:trPr>
        <w:tc>
          <w:tcPr>
            <w:tcW w:w="2268" w:type="dxa"/>
          </w:tcPr>
          <w:p w14:paraId="4154BB7C" w14:textId="77777777" w:rsidR="00B204ED" w:rsidRPr="00D26A93" w:rsidRDefault="00B204ED" w:rsidP="00E70E42">
            <w:pPr>
              <w:spacing w:before="120" w:after="120"/>
              <w:rPr>
                <w:rFonts w:cs="Arial"/>
                <w:b/>
                <w:lang w:val="en"/>
              </w:rPr>
            </w:pPr>
            <w:r w:rsidRPr="00D26A93">
              <w:rPr>
                <w:rFonts w:cs="Arial"/>
                <w:b/>
                <w:lang w:val="en"/>
              </w:rPr>
              <w:lastRenderedPageBreak/>
              <w:t>Unknown</w:t>
            </w:r>
          </w:p>
        </w:tc>
        <w:tc>
          <w:tcPr>
            <w:tcW w:w="7195" w:type="dxa"/>
          </w:tcPr>
          <w:p w14:paraId="6AA9489B" w14:textId="1ECA1DE9" w:rsidR="00B204ED" w:rsidRPr="00D26A93" w:rsidRDefault="00B204ED" w:rsidP="00E70E42">
            <w:pPr>
              <w:spacing w:before="120" w:after="120"/>
              <w:rPr>
                <w:rFonts w:cs="Arial"/>
                <w:color w:val="000000"/>
              </w:rPr>
            </w:pPr>
            <w:r w:rsidRPr="00D26A93">
              <w:rPr>
                <w:rFonts w:cs="Arial"/>
                <w:color w:val="000000"/>
              </w:rPr>
              <w:t>An assignment monitoring outcome of unknown indicates that insufficient information about the assignment was reported to CALPADS by the LEA</w:t>
            </w:r>
            <w:r w:rsidR="00146B35">
              <w:rPr>
                <w:rFonts w:cs="Arial"/>
                <w:color w:val="000000"/>
              </w:rPr>
              <w:t>,</w:t>
            </w:r>
            <w:r w:rsidRPr="00D26A93">
              <w:rPr>
                <w:rFonts w:cs="Arial"/>
                <w:color w:val="000000"/>
              </w:rPr>
              <w:t xml:space="preserve"> which resulted in an unknown determination of the assignment authorization during the CTC assignment monitoring process. This outcome is often the result of LEAs not reporting an English language service associated with a course in which English learners are enrolled. Although the assignment authorization may be clear in other areas, an assignment monitoring outcome of unknown in the </w:t>
            </w:r>
            <w:r>
              <w:rPr>
                <w:rFonts w:cs="Arial"/>
                <w:color w:val="000000"/>
              </w:rPr>
              <w:t>English learner</w:t>
            </w:r>
            <w:r w:rsidRPr="00D26A93">
              <w:rPr>
                <w:rFonts w:cs="Arial"/>
                <w:color w:val="000000"/>
              </w:rPr>
              <w:t xml:space="preserve"> authorization space results in an overall determination </w:t>
            </w:r>
            <w:r>
              <w:rPr>
                <w:rFonts w:cs="Arial"/>
                <w:color w:val="000000"/>
              </w:rPr>
              <w:t>o</w:t>
            </w:r>
            <w:r w:rsidRPr="00D26A93">
              <w:rPr>
                <w:rFonts w:cs="Arial"/>
                <w:color w:val="000000"/>
              </w:rPr>
              <w:t>f unknown for the assignment. </w:t>
            </w:r>
          </w:p>
        </w:tc>
      </w:tr>
      <w:tr w:rsidR="00B204ED" w:rsidRPr="00D26A93" w14:paraId="74D43D18" w14:textId="77777777" w:rsidTr="00E70E42">
        <w:trPr>
          <w:cantSplit/>
          <w:jc w:val="center"/>
        </w:trPr>
        <w:tc>
          <w:tcPr>
            <w:tcW w:w="2268" w:type="dxa"/>
          </w:tcPr>
          <w:p w14:paraId="445F6228" w14:textId="77777777" w:rsidR="00B204ED" w:rsidRPr="00D26A93" w:rsidRDefault="00B204ED" w:rsidP="00E70E42">
            <w:pPr>
              <w:spacing w:before="120" w:after="120"/>
              <w:rPr>
                <w:rFonts w:cs="Arial"/>
                <w:b/>
                <w:lang w:val="en"/>
              </w:rPr>
            </w:pPr>
            <w:r>
              <w:rPr>
                <w:rFonts w:cs="Arial"/>
                <w:b/>
                <w:lang w:val="en"/>
              </w:rPr>
              <w:t>N/A</w:t>
            </w:r>
          </w:p>
        </w:tc>
        <w:tc>
          <w:tcPr>
            <w:tcW w:w="7195" w:type="dxa"/>
          </w:tcPr>
          <w:p w14:paraId="1A456F87" w14:textId="77777777" w:rsidR="00B204ED" w:rsidRPr="00D26A93" w:rsidRDefault="00B204ED" w:rsidP="00E70E42">
            <w:pPr>
              <w:spacing w:before="120" w:after="120"/>
              <w:rPr>
                <w:rFonts w:cs="Arial"/>
                <w:color w:val="000000"/>
              </w:rPr>
            </w:pPr>
            <w:r w:rsidRPr="00D26A93">
              <w:rPr>
                <w:rFonts w:cs="Arial"/>
                <w:color w:val="000000"/>
              </w:rPr>
              <w:t>An assignment monitoring outcome of N/A</w:t>
            </w:r>
            <w:r>
              <w:rPr>
                <w:rFonts w:cs="Arial"/>
                <w:color w:val="000000"/>
              </w:rPr>
              <w:t xml:space="preserve"> </w:t>
            </w:r>
            <w:r w:rsidRPr="00D26A93">
              <w:rPr>
                <w:rFonts w:cs="Arial"/>
                <w:color w:val="000000"/>
              </w:rPr>
              <w:t>indicates that the assignment either required no authorization or evaluation of the authorization was not applicable given the state course code or some other attribute of the assignment. This includes specific state course codes not evaluated during the assignment monitoring process conducted by the CTC (e.g., 9143, 9154, or 9215) or because the assignment was an online, learner-led course in which the student sets the pace of instruction, and where content and instruction are provided solely by the online application. </w:t>
            </w:r>
          </w:p>
        </w:tc>
      </w:tr>
    </w:tbl>
    <w:p w14:paraId="197BE9E0" w14:textId="30795334" w:rsidR="003F50BC" w:rsidRPr="00D26A93" w:rsidRDefault="003F50BC" w:rsidP="00B204ED">
      <w:pPr>
        <w:spacing w:before="240" w:after="240"/>
        <w:rPr>
          <w:rFonts w:cs="Arial"/>
          <w:color w:val="000000"/>
        </w:rPr>
      </w:pPr>
      <w:r w:rsidRPr="00D26A93">
        <w:rPr>
          <w:rFonts w:cs="Arial"/>
          <w:color w:val="000000"/>
        </w:rPr>
        <w:t xml:space="preserve">The </w:t>
      </w:r>
      <w:proofErr w:type="spellStart"/>
      <w:r w:rsidRPr="00D26A93">
        <w:rPr>
          <w:rFonts w:cs="Arial"/>
          <w:color w:val="000000"/>
        </w:rPr>
        <w:t>DataQuest</w:t>
      </w:r>
      <w:proofErr w:type="spellEnd"/>
      <w:r w:rsidRPr="00D26A93">
        <w:rPr>
          <w:rFonts w:cs="Arial"/>
          <w:color w:val="000000"/>
        </w:rPr>
        <w:t xml:space="preserve"> Teaching AMO report shows how much teaching FTE is associated with classroom-based teaching assignments by subject area and their corresponding AMOs. This means that teachers may</w:t>
      </w:r>
      <w:r w:rsidR="00582472">
        <w:rPr>
          <w:rFonts w:cs="Arial"/>
          <w:color w:val="000000"/>
        </w:rPr>
        <w:t xml:space="preserve"> be</w:t>
      </w:r>
      <w:r w:rsidRPr="00D26A93">
        <w:rPr>
          <w:rFonts w:cs="Arial"/>
          <w:color w:val="000000"/>
        </w:rPr>
        <w:t xml:space="preserve"> clear, out-of-field, or ineffective for all or part of their </w:t>
      </w:r>
      <w:r w:rsidRPr="00D26A93">
        <w:rPr>
          <w:rFonts w:cs="Arial"/>
          <w:color w:val="000000"/>
        </w:rPr>
        <w:br/>
        <w:t xml:space="preserve">full-time teaching assignment. For example, in the </w:t>
      </w:r>
      <w:r w:rsidR="00516C90">
        <w:rPr>
          <w:rFonts w:cs="Arial"/>
          <w:color w:val="000000"/>
        </w:rPr>
        <w:t>table</w:t>
      </w:r>
      <w:r w:rsidR="00516C90" w:rsidRPr="00D26A93">
        <w:rPr>
          <w:rFonts w:cs="Arial"/>
          <w:color w:val="000000"/>
        </w:rPr>
        <w:t xml:space="preserve"> </w:t>
      </w:r>
      <w:r w:rsidRPr="00D26A93">
        <w:rPr>
          <w:rFonts w:cs="Arial"/>
          <w:color w:val="000000"/>
        </w:rPr>
        <w:t>below the teacher who is credentialed in math is clear in their first three assignments (0.6 of their total assignment) but is considered out-of-field for the two periods (0.4 of their total assignment) they are assigned to teach history.</w:t>
      </w:r>
    </w:p>
    <w:p w14:paraId="41C7E727" w14:textId="0E45E275" w:rsidR="003F50BC" w:rsidRPr="002A0656" w:rsidRDefault="003F50BC" w:rsidP="002A0656">
      <w:pPr>
        <w:pStyle w:val="Heading4"/>
      </w:pPr>
      <w:r w:rsidRPr="002A0656">
        <w:t xml:space="preserve">Table </w:t>
      </w:r>
      <w:r w:rsidR="00516C90">
        <w:t>2</w:t>
      </w:r>
      <w:r w:rsidRPr="002A0656">
        <w:t xml:space="preserve">: Teaching </w:t>
      </w:r>
      <w:r w:rsidR="001E1A51" w:rsidRPr="002A0656">
        <w:t xml:space="preserve">Assignment </w:t>
      </w:r>
      <w:r w:rsidRPr="002A0656">
        <w:t>M</w:t>
      </w:r>
      <w:r w:rsidR="001E1A51" w:rsidRPr="002A0656">
        <w:t xml:space="preserve">onitoring </w:t>
      </w:r>
      <w:r w:rsidRPr="002A0656">
        <w:t>O</w:t>
      </w:r>
      <w:r w:rsidR="001E1A51" w:rsidRPr="002A0656">
        <w:t>utcome</w:t>
      </w:r>
      <w:r w:rsidRPr="002A0656">
        <w:t xml:space="preserve"> F</w:t>
      </w:r>
      <w:r w:rsidR="001E1A51" w:rsidRPr="002A0656">
        <w:t>ull-</w:t>
      </w:r>
      <w:r w:rsidRPr="002A0656">
        <w:t>T</w:t>
      </w:r>
      <w:r w:rsidR="001E1A51" w:rsidRPr="002A0656">
        <w:t>ime Equivalency</w:t>
      </w:r>
      <w:r w:rsidRPr="002A0656">
        <w:t xml:space="preserve"> Example</w:t>
      </w:r>
    </w:p>
    <w:tbl>
      <w:tblPr>
        <w:tblStyle w:val="TableGrid"/>
        <w:tblW w:w="5000" w:type="pct"/>
        <w:jc w:val="center"/>
        <w:tblLook w:val="04A0" w:firstRow="1" w:lastRow="0" w:firstColumn="1" w:lastColumn="0" w:noHBand="0" w:noVBand="1"/>
        <w:tblCaption w:val="Table 1: Teaching Assignment Monitoring Outcome Full-Time Equivalency Example"/>
        <w:tblDescription w:val="This table is an example of Teaching Assignment Monitoring Outcome FTE for Periods 1 through 5 showing the Subject, FTE Value, and AMO. "/>
      </w:tblPr>
      <w:tblGrid>
        <w:gridCol w:w="3542"/>
        <w:gridCol w:w="1595"/>
        <w:gridCol w:w="2029"/>
        <w:gridCol w:w="2184"/>
      </w:tblGrid>
      <w:tr w:rsidR="003F50BC" w:rsidRPr="00D26A93" w14:paraId="30F62332" w14:textId="77777777" w:rsidTr="005C6E29">
        <w:trPr>
          <w:cantSplit/>
          <w:tblHeader/>
          <w:jc w:val="center"/>
        </w:trPr>
        <w:tc>
          <w:tcPr>
            <w:tcW w:w="1894" w:type="pct"/>
            <w:shd w:val="pct15" w:color="auto" w:fill="auto"/>
          </w:tcPr>
          <w:p w14:paraId="2CFBA686" w14:textId="77777777" w:rsidR="003F50BC" w:rsidRPr="00D26A93" w:rsidRDefault="003F50BC" w:rsidP="000210F9">
            <w:pPr>
              <w:spacing w:before="120" w:after="120"/>
              <w:jc w:val="center"/>
              <w:rPr>
                <w:rFonts w:cs="Arial"/>
                <w:b/>
                <w:bCs/>
                <w:color w:val="000000"/>
              </w:rPr>
            </w:pPr>
            <w:r w:rsidRPr="00D26A93">
              <w:rPr>
                <w:rFonts w:cs="Arial"/>
                <w:b/>
                <w:bCs/>
                <w:color w:val="000000"/>
              </w:rPr>
              <w:t>Period/Assignment</w:t>
            </w:r>
          </w:p>
        </w:tc>
        <w:tc>
          <w:tcPr>
            <w:tcW w:w="853" w:type="pct"/>
            <w:shd w:val="pct15" w:color="auto" w:fill="auto"/>
          </w:tcPr>
          <w:p w14:paraId="4D3036F9" w14:textId="77777777" w:rsidR="003F50BC" w:rsidRPr="00D26A93" w:rsidRDefault="003F50BC" w:rsidP="000210F9">
            <w:pPr>
              <w:spacing w:before="120" w:after="120"/>
              <w:jc w:val="center"/>
              <w:rPr>
                <w:rFonts w:cs="Arial"/>
                <w:b/>
                <w:bCs/>
                <w:color w:val="000000"/>
              </w:rPr>
            </w:pPr>
            <w:r w:rsidRPr="00D26A93">
              <w:rPr>
                <w:rFonts w:cs="Arial"/>
                <w:b/>
                <w:bCs/>
                <w:color w:val="000000"/>
              </w:rPr>
              <w:t>Subject</w:t>
            </w:r>
          </w:p>
        </w:tc>
        <w:tc>
          <w:tcPr>
            <w:tcW w:w="1085" w:type="pct"/>
            <w:shd w:val="pct15" w:color="auto" w:fill="auto"/>
          </w:tcPr>
          <w:p w14:paraId="4DB9D58F" w14:textId="77777777" w:rsidR="003F50BC" w:rsidRPr="00D26A93" w:rsidRDefault="003F50BC" w:rsidP="000210F9">
            <w:pPr>
              <w:spacing w:before="120" w:after="120"/>
              <w:jc w:val="center"/>
              <w:rPr>
                <w:rFonts w:cs="Arial"/>
                <w:b/>
                <w:bCs/>
                <w:color w:val="000000"/>
              </w:rPr>
            </w:pPr>
            <w:r w:rsidRPr="00D26A93">
              <w:rPr>
                <w:rFonts w:cs="Arial"/>
                <w:b/>
                <w:bCs/>
                <w:color w:val="000000"/>
              </w:rPr>
              <w:t>FTE Value</w:t>
            </w:r>
          </w:p>
        </w:tc>
        <w:tc>
          <w:tcPr>
            <w:tcW w:w="1169" w:type="pct"/>
            <w:shd w:val="pct15" w:color="auto" w:fill="auto"/>
          </w:tcPr>
          <w:p w14:paraId="6D42A663" w14:textId="77777777" w:rsidR="003F50BC" w:rsidRPr="00D26A93" w:rsidRDefault="003F50BC" w:rsidP="000210F9">
            <w:pPr>
              <w:spacing w:before="120" w:after="120"/>
              <w:jc w:val="center"/>
              <w:rPr>
                <w:rFonts w:cs="Arial"/>
                <w:b/>
                <w:bCs/>
                <w:color w:val="000000"/>
              </w:rPr>
            </w:pPr>
            <w:r w:rsidRPr="00D26A93">
              <w:rPr>
                <w:rFonts w:cs="Arial"/>
                <w:b/>
                <w:bCs/>
                <w:color w:val="000000"/>
              </w:rPr>
              <w:t>AMO</w:t>
            </w:r>
          </w:p>
        </w:tc>
      </w:tr>
      <w:tr w:rsidR="003F50BC" w:rsidRPr="00D26A93" w14:paraId="30A2218D" w14:textId="77777777" w:rsidTr="005C6E29">
        <w:trPr>
          <w:cantSplit/>
          <w:jc w:val="center"/>
        </w:trPr>
        <w:tc>
          <w:tcPr>
            <w:tcW w:w="1894" w:type="pct"/>
          </w:tcPr>
          <w:p w14:paraId="6DB0F91F" w14:textId="77777777" w:rsidR="003F50BC" w:rsidRPr="00D26A93" w:rsidRDefault="003F50BC" w:rsidP="000210F9">
            <w:pPr>
              <w:spacing w:before="120" w:after="120"/>
              <w:jc w:val="center"/>
              <w:rPr>
                <w:rFonts w:cs="Arial"/>
                <w:color w:val="000000"/>
              </w:rPr>
            </w:pPr>
            <w:r w:rsidRPr="00D26A93">
              <w:rPr>
                <w:rFonts w:cs="Arial"/>
                <w:color w:val="000000"/>
              </w:rPr>
              <w:t>1</w:t>
            </w:r>
          </w:p>
        </w:tc>
        <w:tc>
          <w:tcPr>
            <w:tcW w:w="853" w:type="pct"/>
          </w:tcPr>
          <w:p w14:paraId="395210CD" w14:textId="77777777" w:rsidR="003F50BC" w:rsidRPr="00D26A93" w:rsidRDefault="003F50BC" w:rsidP="000210F9">
            <w:pPr>
              <w:spacing w:before="120" w:after="120"/>
              <w:jc w:val="center"/>
              <w:rPr>
                <w:rFonts w:cs="Arial"/>
                <w:color w:val="000000"/>
              </w:rPr>
            </w:pPr>
            <w:r w:rsidRPr="00D26A93">
              <w:rPr>
                <w:rFonts w:cs="Arial"/>
                <w:color w:val="000000"/>
              </w:rPr>
              <w:t>Math</w:t>
            </w:r>
          </w:p>
        </w:tc>
        <w:tc>
          <w:tcPr>
            <w:tcW w:w="1085" w:type="pct"/>
          </w:tcPr>
          <w:p w14:paraId="1C5B49BD" w14:textId="77777777" w:rsidR="003F50BC" w:rsidRPr="00D26A93" w:rsidRDefault="003F50BC" w:rsidP="000210F9">
            <w:pPr>
              <w:spacing w:before="120" w:after="120"/>
              <w:jc w:val="center"/>
              <w:rPr>
                <w:rFonts w:cs="Arial"/>
                <w:color w:val="000000"/>
              </w:rPr>
            </w:pPr>
            <w:r w:rsidRPr="00D26A93">
              <w:rPr>
                <w:rFonts w:cs="Arial"/>
                <w:color w:val="000000"/>
              </w:rPr>
              <w:t>0.2</w:t>
            </w:r>
          </w:p>
        </w:tc>
        <w:tc>
          <w:tcPr>
            <w:tcW w:w="1169" w:type="pct"/>
          </w:tcPr>
          <w:p w14:paraId="75289326" w14:textId="3FCFD517" w:rsidR="003F50BC" w:rsidRPr="00D26A93" w:rsidRDefault="003F50BC" w:rsidP="000210F9">
            <w:pPr>
              <w:spacing w:before="120" w:after="120"/>
              <w:jc w:val="center"/>
              <w:rPr>
                <w:rFonts w:cs="Arial"/>
                <w:color w:val="000000"/>
              </w:rPr>
            </w:pPr>
            <w:r w:rsidRPr="00D26A93">
              <w:rPr>
                <w:rFonts w:cs="Arial"/>
                <w:color w:val="000000"/>
              </w:rPr>
              <w:t>Clear</w:t>
            </w:r>
          </w:p>
        </w:tc>
      </w:tr>
      <w:tr w:rsidR="003F50BC" w:rsidRPr="00D26A93" w14:paraId="3354166E" w14:textId="77777777" w:rsidTr="005C6E29">
        <w:trPr>
          <w:cantSplit/>
          <w:jc w:val="center"/>
        </w:trPr>
        <w:tc>
          <w:tcPr>
            <w:tcW w:w="1894" w:type="pct"/>
          </w:tcPr>
          <w:p w14:paraId="56EDE4BB" w14:textId="77777777" w:rsidR="003F50BC" w:rsidRPr="00D26A93" w:rsidRDefault="003F50BC" w:rsidP="000210F9">
            <w:pPr>
              <w:spacing w:before="120" w:after="120"/>
              <w:jc w:val="center"/>
              <w:rPr>
                <w:rFonts w:cs="Arial"/>
                <w:color w:val="000000"/>
              </w:rPr>
            </w:pPr>
            <w:r w:rsidRPr="00D26A93">
              <w:rPr>
                <w:rFonts w:cs="Arial"/>
                <w:color w:val="000000"/>
              </w:rPr>
              <w:t>2</w:t>
            </w:r>
          </w:p>
        </w:tc>
        <w:tc>
          <w:tcPr>
            <w:tcW w:w="853" w:type="pct"/>
          </w:tcPr>
          <w:p w14:paraId="7F6CB0D9" w14:textId="77777777" w:rsidR="003F50BC" w:rsidRPr="00D26A93" w:rsidRDefault="003F50BC" w:rsidP="000210F9">
            <w:pPr>
              <w:spacing w:before="120" w:after="120"/>
              <w:jc w:val="center"/>
              <w:rPr>
                <w:rFonts w:cs="Arial"/>
                <w:color w:val="000000"/>
              </w:rPr>
            </w:pPr>
            <w:r w:rsidRPr="00D26A93">
              <w:rPr>
                <w:rFonts w:cs="Arial"/>
                <w:color w:val="000000"/>
              </w:rPr>
              <w:t>Math</w:t>
            </w:r>
          </w:p>
        </w:tc>
        <w:tc>
          <w:tcPr>
            <w:tcW w:w="1085" w:type="pct"/>
          </w:tcPr>
          <w:p w14:paraId="07C969A6" w14:textId="77777777" w:rsidR="003F50BC" w:rsidRPr="00D26A93" w:rsidRDefault="003F50BC" w:rsidP="000210F9">
            <w:pPr>
              <w:spacing w:before="120" w:after="120"/>
              <w:jc w:val="center"/>
              <w:rPr>
                <w:rFonts w:cs="Arial"/>
                <w:color w:val="000000"/>
              </w:rPr>
            </w:pPr>
            <w:r w:rsidRPr="00D26A93">
              <w:rPr>
                <w:rFonts w:cs="Arial"/>
                <w:color w:val="000000"/>
              </w:rPr>
              <w:t>0.2</w:t>
            </w:r>
          </w:p>
        </w:tc>
        <w:tc>
          <w:tcPr>
            <w:tcW w:w="1169" w:type="pct"/>
          </w:tcPr>
          <w:p w14:paraId="54E6BFAC" w14:textId="68DD84E0" w:rsidR="003F50BC" w:rsidRPr="00D26A93" w:rsidRDefault="003F50BC" w:rsidP="000210F9">
            <w:pPr>
              <w:spacing w:before="120" w:after="120"/>
              <w:jc w:val="center"/>
              <w:rPr>
                <w:rFonts w:cs="Arial"/>
                <w:color w:val="000000"/>
              </w:rPr>
            </w:pPr>
            <w:r w:rsidRPr="00D26A93">
              <w:rPr>
                <w:rFonts w:cs="Arial"/>
                <w:color w:val="000000"/>
              </w:rPr>
              <w:t>Clear</w:t>
            </w:r>
          </w:p>
        </w:tc>
      </w:tr>
      <w:tr w:rsidR="003F50BC" w:rsidRPr="00D26A93" w14:paraId="07DAA1FE" w14:textId="77777777" w:rsidTr="005C6E29">
        <w:trPr>
          <w:cantSplit/>
          <w:jc w:val="center"/>
        </w:trPr>
        <w:tc>
          <w:tcPr>
            <w:tcW w:w="1894" w:type="pct"/>
          </w:tcPr>
          <w:p w14:paraId="3BED57D9" w14:textId="77777777" w:rsidR="003F50BC" w:rsidRPr="00D26A93" w:rsidRDefault="003F50BC" w:rsidP="000210F9">
            <w:pPr>
              <w:spacing w:before="120" w:after="120"/>
              <w:jc w:val="center"/>
              <w:rPr>
                <w:rFonts w:cs="Arial"/>
                <w:color w:val="000000"/>
              </w:rPr>
            </w:pPr>
            <w:r w:rsidRPr="00D26A93">
              <w:rPr>
                <w:rFonts w:cs="Arial"/>
                <w:color w:val="000000"/>
              </w:rPr>
              <w:t>3</w:t>
            </w:r>
          </w:p>
        </w:tc>
        <w:tc>
          <w:tcPr>
            <w:tcW w:w="853" w:type="pct"/>
          </w:tcPr>
          <w:p w14:paraId="1B4FEA2A" w14:textId="77777777" w:rsidR="003F50BC" w:rsidRPr="00D26A93" w:rsidRDefault="003F50BC" w:rsidP="000210F9">
            <w:pPr>
              <w:spacing w:before="120" w:after="120"/>
              <w:jc w:val="center"/>
              <w:rPr>
                <w:rFonts w:cs="Arial"/>
                <w:color w:val="000000"/>
              </w:rPr>
            </w:pPr>
            <w:r w:rsidRPr="00D26A93">
              <w:rPr>
                <w:rFonts w:cs="Arial"/>
                <w:color w:val="000000"/>
              </w:rPr>
              <w:t>Math</w:t>
            </w:r>
          </w:p>
        </w:tc>
        <w:tc>
          <w:tcPr>
            <w:tcW w:w="1085" w:type="pct"/>
          </w:tcPr>
          <w:p w14:paraId="63D707ED" w14:textId="77777777" w:rsidR="003F50BC" w:rsidRPr="00D26A93" w:rsidRDefault="003F50BC" w:rsidP="000210F9">
            <w:pPr>
              <w:spacing w:before="120" w:after="120"/>
              <w:jc w:val="center"/>
              <w:rPr>
                <w:rFonts w:cs="Arial"/>
                <w:color w:val="000000"/>
              </w:rPr>
            </w:pPr>
            <w:r w:rsidRPr="00D26A93">
              <w:rPr>
                <w:rFonts w:cs="Arial"/>
                <w:color w:val="000000"/>
              </w:rPr>
              <w:t>0.2</w:t>
            </w:r>
          </w:p>
        </w:tc>
        <w:tc>
          <w:tcPr>
            <w:tcW w:w="1169" w:type="pct"/>
          </w:tcPr>
          <w:p w14:paraId="4B57F18E" w14:textId="2B9C8FC8" w:rsidR="003F50BC" w:rsidRPr="00D26A93" w:rsidRDefault="003F50BC" w:rsidP="000210F9">
            <w:pPr>
              <w:spacing w:before="120" w:after="120"/>
              <w:jc w:val="center"/>
              <w:rPr>
                <w:rFonts w:cs="Arial"/>
                <w:color w:val="000000"/>
              </w:rPr>
            </w:pPr>
            <w:r w:rsidRPr="00D26A93">
              <w:rPr>
                <w:rFonts w:cs="Arial"/>
                <w:color w:val="000000"/>
              </w:rPr>
              <w:t>Clear</w:t>
            </w:r>
          </w:p>
        </w:tc>
      </w:tr>
      <w:tr w:rsidR="003F50BC" w:rsidRPr="00D26A93" w14:paraId="03AE1973" w14:textId="77777777" w:rsidTr="005C6E29">
        <w:trPr>
          <w:cantSplit/>
          <w:jc w:val="center"/>
        </w:trPr>
        <w:tc>
          <w:tcPr>
            <w:tcW w:w="1894" w:type="pct"/>
          </w:tcPr>
          <w:p w14:paraId="698532BC" w14:textId="77777777" w:rsidR="003F50BC" w:rsidRPr="00D26A93" w:rsidRDefault="003F50BC" w:rsidP="000210F9">
            <w:pPr>
              <w:spacing w:before="120" w:after="120"/>
              <w:jc w:val="center"/>
              <w:rPr>
                <w:rFonts w:cs="Arial"/>
                <w:color w:val="000000"/>
              </w:rPr>
            </w:pPr>
            <w:r w:rsidRPr="00D26A93">
              <w:rPr>
                <w:rFonts w:cs="Arial"/>
                <w:color w:val="000000"/>
              </w:rPr>
              <w:lastRenderedPageBreak/>
              <w:t>4</w:t>
            </w:r>
          </w:p>
        </w:tc>
        <w:tc>
          <w:tcPr>
            <w:tcW w:w="853" w:type="pct"/>
          </w:tcPr>
          <w:p w14:paraId="35F84F9B" w14:textId="77777777" w:rsidR="003F50BC" w:rsidRPr="00D26A93" w:rsidRDefault="003F50BC" w:rsidP="000210F9">
            <w:pPr>
              <w:spacing w:before="120" w:after="120"/>
              <w:jc w:val="center"/>
              <w:rPr>
                <w:rFonts w:cs="Arial"/>
                <w:color w:val="000000"/>
              </w:rPr>
            </w:pPr>
            <w:r w:rsidRPr="00D26A93">
              <w:rPr>
                <w:rFonts w:cs="Arial"/>
                <w:color w:val="000000"/>
              </w:rPr>
              <w:t>History</w:t>
            </w:r>
          </w:p>
        </w:tc>
        <w:tc>
          <w:tcPr>
            <w:tcW w:w="1085" w:type="pct"/>
          </w:tcPr>
          <w:p w14:paraId="1212CA13" w14:textId="77777777" w:rsidR="003F50BC" w:rsidRPr="00D26A93" w:rsidRDefault="003F50BC" w:rsidP="000210F9">
            <w:pPr>
              <w:spacing w:before="120" w:after="120"/>
              <w:jc w:val="center"/>
              <w:rPr>
                <w:rFonts w:cs="Arial"/>
                <w:color w:val="000000"/>
              </w:rPr>
            </w:pPr>
            <w:r w:rsidRPr="00D26A93">
              <w:rPr>
                <w:rFonts w:cs="Arial"/>
                <w:color w:val="000000"/>
              </w:rPr>
              <w:t>0.2</w:t>
            </w:r>
          </w:p>
        </w:tc>
        <w:tc>
          <w:tcPr>
            <w:tcW w:w="1169" w:type="pct"/>
          </w:tcPr>
          <w:p w14:paraId="75DEE96E" w14:textId="48EE122A" w:rsidR="003F50BC" w:rsidRPr="00D26A93" w:rsidRDefault="003F50BC" w:rsidP="000210F9">
            <w:pPr>
              <w:spacing w:before="120" w:after="120"/>
              <w:jc w:val="center"/>
              <w:rPr>
                <w:rFonts w:cs="Arial"/>
                <w:color w:val="000000"/>
              </w:rPr>
            </w:pPr>
            <w:r w:rsidRPr="00D26A93">
              <w:rPr>
                <w:rFonts w:cs="Arial"/>
                <w:color w:val="000000"/>
              </w:rPr>
              <w:t>Out-of-Field</w:t>
            </w:r>
          </w:p>
        </w:tc>
      </w:tr>
      <w:tr w:rsidR="003F50BC" w:rsidRPr="00D26A93" w14:paraId="39557578" w14:textId="77777777" w:rsidTr="005C6E29">
        <w:trPr>
          <w:cantSplit/>
          <w:jc w:val="center"/>
        </w:trPr>
        <w:tc>
          <w:tcPr>
            <w:tcW w:w="1894" w:type="pct"/>
          </w:tcPr>
          <w:p w14:paraId="49130740" w14:textId="77777777" w:rsidR="003F50BC" w:rsidRPr="00D26A93" w:rsidRDefault="003F50BC" w:rsidP="000210F9">
            <w:pPr>
              <w:spacing w:before="120" w:after="120"/>
              <w:jc w:val="center"/>
              <w:rPr>
                <w:rFonts w:cs="Arial"/>
                <w:color w:val="000000"/>
              </w:rPr>
            </w:pPr>
            <w:r w:rsidRPr="00D26A93">
              <w:rPr>
                <w:rFonts w:cs="Arial"/>
                <w:color w:val="000000"/>
              </w:rPr>
              <w:t>5</w:t>
            </w:r>
          </w:p>
        </w:tc>
        <w:tc>
          <w:tcPr>
            <w:tcW w:w="853" w:type="pct"/>
          </w:tcPr>
          <w:p w14:paraId="7A09FE1C" w14:textId="77777777" w:rsidR="003F50BC" w:rsidRPr="00D26A93" w:rsidRDefault="003F50BC" w:rsidP="000210F9">
            <w:pPr>
              <w:spacing w:before="120" w:after="120"/>
              <w:jc w:val="center"/>
              <w:rPr>
                <w:rFonts w:cs="Arial"/>
                <w:color w:val="000000"/>
              </w:rPr>
            </w:pPr>
            <w:r w:rsidRPr="00D26A93">
              <w:rPr>
                <w:rFonts w:cs="Arial"/>
                <w:color w:val="000000"/>
              </w:rPr>
              <w:t>History</w:t>
            </w:r>
          </w:p>
        </w:tc>
        <w:tc>
          <w:tcPr>
            <w:tcW w:w="1085" w:type="pct"/>
          </w:tcPr>
          <w:p w14:paraId="6C666C88" w14:textId="77777777" w:rsidR="003F50BC" w:rsidRPr="00D26A93" w:rsidRDefault="003F50BC" w:rsidP="000210F9">
            <w:pPr>
              <w:spacing w:before="120" w:after="120"/>
              <w:jc w:val="center"/>
              <w:rPr>
                <w:rFonts w:cs="Arial"/>
                <w:color w:val="000000"/>
              </w:rPr>
            </w:pPr>
            <w:r w:rsidRPr="00D26A93">
              <w:rPr>
                <w:rFonts w:cs="Arial"/>
                <w:color w:val="000000"/>
              </w:rPr>
              <w:t>0.2</w:t>
            </w:r>
          </w:p>
        </w:tc>
        <w:tc>
          <w:tcPr>
            <w:tcW w:w="1169" w:type="pct"/>
          </w:tcPr>
          <w:p w14:paraId="305EA10E" w14:textId="19D6CCE0" w:rsidR="003F50BC" w:rsidRPr="00D26A93" w:rsidRDefault="003F50BC" w:rsidP="000210F9">
            <w:pPr>
              <w:spacing w:before="120" w:after="120"/>
              <w:jc w:val="center"/>
              <w:rPr>
                <w:rFonts w:cs="Arial"/>
                <w:color w:val="000000"/>
              </w:rPr>
            </w:pPr>
            <w:r w:rsidRPr="00D26A93">
              <w:rPr>
                <w:rFonts w:cs="Arial"/>
                <w:color w:val="000000"/>
              </w:rPr>
              <w:t>Out-of-Field</w:t>
            </w:r>
          </w:p>
        </w:tc>
      </w:tr>
    </w:tbl>
    <w:p w14:paraId="19339BC7" w14:textId="0490344E" w:rsidR="003F50BC" w:rsidRPr="00D26A93" w:rsidRDefault="003F50BC" w:rsidP="000210F9">
      <w:pPr>
        <w:spacing w:before="240" w:after="240"/>
        <w:rPr>
          <w:rFonts w:cs="Arial"/>
          <w:b/>
          <w:bCs/>
          <w:color w:val="000000"/>
          <w:shd w:val="clear" w:color="auto" w:fill="FFFFFF"/>
        </w:rPr>
      </w:pPr>
      <w:r w:rsidRPr="00D26A93">
        <w:rPr>
          <w:rFonts w:cs="Arial"/>
        </w:rPr>
        <w:t>Utilizing the Teaching AMO data, CDE staff divided California’s school enrollment into quartiles. Quartile 1 has the smallest percentage of low</w:t>
      </w:r>
      <w:r w:rsidR="003B0D17">
        <w:rPr>
          <w:rFonts w:cs="Arial"/>
        </w:rPr>
        <w:t>-</w:t>
      </w:r>
      <w:r w:rsidRPr="00D26A93">
        <w:rPr>
          <w:rFonts w:cs="Arial"/>
        </w:rPr>
        <w:t>income and minority students and Quartile 4 ha</w:t>
      </w:r>
      <w:r w:rsidR="005A1B3B">
        <w:rPr>
          <w:rFonts w:cs="Arial"/>
        </w:rPr>
        <w:t>s</w:t>
      </w:r>
      <w:r w:rsidRPr="00D26A93">
        <w:rPr>
          <w:rFonts w:cs="Arial"/>
        </w:rPr>
        <w:t xml:space="preserve"> the largest percentage. The tables provided below examine the rates </w:t>
      </w:r>
      <w:r w:rsidR="00516C90">
        <w:rPr>
          <w:rFonts w:cs="Arial"/>
        </w:rPr>
        <w:t>by</w:t>
      </w:r>
      <w:r w:rsidRPr="00D26A93">
        <w:rPr>
          <w:rFonts w:cs="Arial"/>
        </w:rPr>
        <w:t xml:space="preserve"> which </w:t>
      </w:r>
      <w:r w:rsidRPr="00D26A93">
        <w:rPr>
          <w:rFonts w:cs="Arial"/>
          <w:color w:val="000000"/>
          <w:shd w:val="clear" w:color="auto" w:fill="FFFFFF"/>
        </w:rPr>
        <w:t xml:space="preserve">low-income and minority students </w:t>
      </w:r>
      <w:r w:rsidR="00516C90">
        <w:rPr>
          <w:rFonts w:cs="Arial"/>
          <w:color w:val="000000"/>
          <w:shd w:val="clear" w:color="auto" w:fill="FFFFFF"/>
        </w:rPr>
        <w:t>are</w:t>
      </w:r>
      <w:r w:rsidR="00516C90" w:rsidRPr="00D26A93">
        <w:rPr>
          <w:rFonts w:cs="Arial"/>
          <w:color w:val="000000"/>
          <w:shd w:val="clear" w:color="auto" w:fill="FFFFFF"/>
        </w:rPr>
        <w:t xml:space="preserve"> </w:t>
      </w:r>
      <w:r w:rsidRPr="00D26A93">
        <w:rPr>
          <w:rFonts w:cs="Arial"/>
          <w:color w:val="000000"/>
          <w:shd w:val="clear" w:color="auto" w:fill="FFFFFF"/>
        </w:rPr>
        <w:t>taught by ineffective, inexperienced, or out-of-field teachers.</w:t>
      </w:r>
    </w:p>
    <w:p w14:paraId="6BEBF00A" w14:textId="126D5574" w:rsidR="003F50BC" w:rsidRPr="00D26A93" w:rsidRDefault="003F50BC" w:rsidP="00E87E08">
      <w:pPr>
        <w:pStyle w:val="Heading4"/>
        <w:rPr>
          <w:i/>
          <w:lang w:val="en"/>
        </w:rPr>
      </w:pPr>
      <w:r w:rsidRPr="265B958A">
        <w:rPr>
          <w:lang w:val="en"/>
        </w:rPr>
        <w:t>Table 3a: Summary of 202</w:t>
      </w:r>
      <w:r w:rsidR="00830A69" w:rsidRPr="265B958A">
        <w:rPr>
          <w:lang w:val="en"/>
        </w:rPr>
        <w:t>3</w:t>
      </w:r>
      <w:r w:rsidRPr="265B958A">
        <w:rPr>
          <w:lang w:val="en"/>
        </w:rPr>
        <w:t>–2</w:t>
      </w:r>
      <w:r w:rsidR="00830A69" w:rsidRPr="265B958A">
        <w:rPr>
          <w:lang w:val="en"/>
        </w:rPr>
        <w:t>4</w:t>
      </w:r>
      <w:r w:rsidRPr="265B958A">
        <w:rPr>
          <w:lang w:val="en"/>
        </w:rPr>
        <w:t xml:space="preserve"> Educator Equity Data: Minority Quartiles</w:t>
      </w:r>
      <w:r w:rsidR="001978D9" w:rsidRPr="265B958A">
        <w:rPr>
          <w:lang w:val="en"/>
        </w:rPr>
        <w:t xml:space="preserve"> - Student Enrollment and Teacher Counts</w:t>
      </w:r>
    </w:p>
    <w:tbl>
      <w:tblPr>
        <w:tblW w:w="5000" w:type="pct"/>
        <w:jc w:val="center"/>
        <w:tblLook w:val="04A0" w:firstRow="1" w:lastRow="0" w:firstColumn="1" w:lastColumn="0" w:noHBand="0" w:noVBand="1"/>
        <w:tblCaption w:val="Table 3a: Summary of 2023–24 Educator Equity Data: Minority Quartiles"/>
        <w:tblDescription w:val="This table displays California’s school data divided into quartiles based on the number of minority students."/>
      </w:tblPr>
      <w:tblGrid>
        <w:gridCol w:w="1628"/>
        <w:gridCol w:w="1405"/>
        <w:gridCol w:w="1599"/>
        <w:gridCol w:w="1672"/>
        <w:gridCol w:w="1762"/>
        <w:gridCol w:w="1284"/>
      </w:tblGrid>
      <w:tr w:rsidR="00190652" w:rsidRPr="00D26A93" w14:paraId="23CE3C48" w14:textId="77777777" w:rsidTr="00E87E08">
        <w:trPr>
          <w:cantSplit/>
          <w:trHeight w:val="900"/>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64AC2A" w14:textId="77777777" w:rsidR="003F50BC" w:rsidRPr="00D26A93" w:rsidRDefault="003F50BC" w:rsidP="000210F9">
            <w:pPr>
              <w:spacing w:before="120" w:after="120"/>
              <w:jc w:val="center"/>
              <w:rPr>
                <w:rFonts w:cs="Arial"/>
                <w:b/>
                <w:bCs/>
              </w:rPr>
            </w:pPr>
            <w:r w:rsidRPr="00D26A93">
              <w:rPr>
                <w:rFonts w:cs="Arial"/>
                <w:b/>
                <w:bCs/>
              </w:rPr>
              <w:t>Minority Quartile Rank</w:t>
            </w:r>
          </w:p>
        </w:tc>
        <w:tc>
          <w:tcPr>
            <w:tcW w:w="75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2D9CE7" w14:textId="77777777" w:rsidR="003F50BC" w:rsidRPr="00D26A93" w:rsidRDefault="003F50BC" w:rsidP="000210F9">
            <w:pPr>
              <w:spacing w:before="120" w:after="120"/>
              <w:jc w:val="center"/>
              <w:rPr>
                <w:rFonts w:cs="Arial"/>
                <w:b/>
                <w:bCs/>
              </w:rPr>
            </w:pPr>
            <w:r w:rsidRPr="00D26A93">
              <w:rPr>
                <w:rFonts w:cs="Arial"/>
                <w:b/>
                <w:bCs/>
              </w:rPr>
              <w:t>Number of Schools</w:t>
            </w:r>
          </w:p>
        </w:tc>
        <w:tc>
          <w:tcPr>
            <w:tcW w:w="85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E914FE" w14:textId="77777777" w:rsidR="003F50BC" w:rsidRPr="00D26A93" w:rsidRDefault="003F50BC" w:rsidP="000210F9">
            <w:pPr>
              <w:spacing w:before="120" w:after="120"/>
              <w:jc w:val="center"/>
              <w:rPr>
                <w:rFonts w:cs="Arial"/>
                <w:b/>
                <w:bCs/>
              </w:rPr>
            </w:pPr>
            <w:r w:rsidRPr="00D26A93">
              <w:rPr>
                <w:rFonts w:cs="Arial"/>
                <w:b/>
                <w:bCs/>
              </w:rPr>
              <w:t>Total Enrollment</w:t>
            </w:r>
            <w:r w:rsidRPr="00D26A93">
              <w:rPr>
                <w:rFonts w:cs="Arial"/>
                <w:b/>
                <w:bCs/>
              </w:rPr>
              <w:br/>
              <w:t>(N)</w:t>
            </w:r>
          </w:p>
        </w:tc>
        <w:tc>
          <w:tcPr>
            <w:tcW w:w="8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D754A0" w14:textId="77777777" w:rsidR="003F50BC" w:rsidRPr="00D26A93" w:rsidRDefault="003F50BC" w:rsidP="000210F9">
            <w:pPr>
              <w:spacing w:before="120" w:after="120"/>
              <w:jc w:val="center"/>
              <w:rPr>
                <w:rFonts w:cs="Arial"/>
                <w:b/>
                <w:bCs/>
              </w:rPr>
            </w:pPr>
            <w:r w:rsidRPr="00D26A93">
              <w:rPr>
                <w:rFonts w:cs="Arial"/>
                <w:b/>
                <w:bCs/>
              </w:rPr>
              <w:t xml:space="preserve">Minority Enrollment </w:t>
            </w:r>
            <w:r w:rsidRPr="00D26A93">
              <w:rPr>
                <w:rFonts w:cs="Arial"/>
                <w:b/>
                <w:bCs/>
              </w:rPr>
              <w:br/>
              <w:t>(N)</w:t>
            </w:r>
          </w:p>
        </w:tc>
        <w:tc>
          <w:tcPr>
            <w:tcW w:w="94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D65DD0" w14:textId="77777777" w:rsidR="003F50BC" w:rsidRPr="00D26A93" w:rsidRDefault="003F50BC" w:rsidP="000210F9">
            <w:pPr>
              <w:spacing w:before="120" w:after="120"/>
              <w:jc w:val="center"/>
              <w:rPr>
                <w:rFonts w:cs="Arial"/>
                <w:b/>
                <w:bCs/>
              </w:rPr>
            </w:pPr>
            <w:r w:rsidRPr="00D26A93">
              <w:rPr>
                <w:rFonts w:cs="Arial"/>
                <w:b/>
                <w:bCs/>
              </w:rPr>
              <w:t>Minority Enrollment (%)</w:t>
            </w:r>
          </w:p>
        </w:tc>
        <w:tc>
          <w:tcPr>
            <w:tcW w:w="68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D9A650" w14:textId="77777777" w:rsidR="003F50BC" w:rsidRPr="00D26A93" w:rsidRDefault="003F50BC" w:rsidP="000210F9">
            <w:pPr>
              <w:spacing w:before="120" w:after="120"/>
              <w:jc w:val="center"/>
              <w:rPr>
                <w:rFonts w:cs="Arial"/>
                <w:b/>
                <w:bCs/>
              </w:rPr>
            </w:pPr>
            <w:r w:rsidRPr="00D26A93">
              <w:rPr>
                <w:rFonts w:cs="Arial"/>
                <w:b/>
                <w:bCs/>
              </w:rPr>
              <w:t xml:space="preserve">Total </w:t>
            </w:r>
            <w:r w:rsidRPr="00D26A93">
              <w:rPr>
                <w:rFonts w:cs="Arial"/>
                <w:b/>
                <w:bCs/>
              </w:rPr>
              <w:br/>
              <w:t xml:space="preserve">Teacher </w:t>
            </w:r>
            <w:r w:rsidRPr="00D26A93">
              <w:rPr>
                <w:rFonts w:cs="Arial"/>
                <w:b/>
                <w:bCs/>
              </w:rPr>
              <w:br/>
              <w:t>FTE (N)</w:t>
            </w:r>
          </w:p>
        </w:tc>
      </w:tr>
      <w:tr w:rsidR="003F50BC" w:rsidRPr="00D26A93" w14:paraId="54D73D5D" w14:textId="77777777" w:rsidTr="00E87E08">
        <w:trPr>
          <w:cantSplit/>
          <w:trHeight w:val="280"/>
          <w:tblHeader/>
          <w:jc w:val="center"/>
        </w:trPr>
        <w:tc>
          <w:tcPr>
            <w:tcW w:w="871" w:type="pct"/>
            <w:tcBorders>
              <w:top w:val="nil"/>
              <w:left w:val="single" w:sz="4" w:space="0" w:color="auto"/>
              <w:bottom w:val="single" w:sz="4" w:space="0" w:color="auto"/>
              <w:right w:val="single" w:sz="4" w:space="0" w:color="auto"/>
            </w:tcBorders>
            <w:noWrap/>
            <w:vAlign w:val="center"/>
            <w:hideMark/>
          </w:tcPr>
          <w:p w14:paraId="39EB5B3E" w14:textId="77777777" w:rsidR="003F50BC" w:rsidRPr="00D26A93" w:rsidRDefault="003F50BC" w:rsidP="000210F9">
            <w:pPr>
              <w:spacing w:before="120" w:after="120"/>
              <w:jc w:val="center"/>
              <w:rPr>
                <w:rFonts w:cs="Arial"/>
              </w:rPr>
            </w:pPr>
            <w:r w:rsidRPr="00D26A93">
              <w:rPr>
                <w:rFonts w:cs="Arial"/>
              </w:rPr>
              <w:t>1</w:t>
            </w:r>
          </w:p>
        </w:tc>
        <w:tc>
          <w:tcPr>
            <w:tcW w:w="752" w:type="pct"/>
            <w:tcBorders>
              <w:top w:val="nil"/>
              <w:left w:val="nil"/>
              <w:bottom w:val="single" w:sz="4" w:space="0" w:color="auto"/>
              <w:right w:val="single" w:sz="4" w:space="0" w:color="auto"/>
            </w:tcBorders>
            <w:noWrap/>
            <w:vAlign w:val="bottom"/>
            <w:hideMark/>
          </w:tcPr>
          <w:p w14:paraId="15181F23" w14:textId="0CD78E68" w:rsidR="003F50BC" w:rsidRPr="007F1383" w:rsidRDefault="003F50BC" w:rsidP="000210F9">
            <w:pPr>
              <w:spacing w:before="120" w:after="120"/>
              <w:jc w:val="center"/>
              <w:rPr>
                <w:rFonts w:cs="Arial"/>
              </w:rPr>
            </w:pPr>
            <w:r w:rsidRPr="265B958A">
              <w:rPr>
                <w:rFonts w:cs="Arial"/>
              </w:rPr>
              <w:t>2,49</w:t>
            </w:r>
            <w:r w:rsidR="00830A69" w:rsidRPr="265B958A">
              <w:rPr>
                <w:rFonts w:cs="Arial"/>
              </w:rPr>
              <w:t>6</w:t>
            </w:r>
          </w:p>
        </w:tc>
        <w:tc>
          <w:tcPr>
            <w:tcW w:w="855" w:type="pct"/>
            <w:tcBorders>
              <w:top w:val="nil"/>
              <w:left w:val="nil"/>
              <w:bottom w:val="single" w:sz="4" w:space="0" w:color="auto"/>
              <w:right w:val="single" w:sz="4" w:space="0" w:color="auto"/>
            </w:tcBorders>
            <w:noWrap/>
            <w:vAlign w:val="bottom"/>
            <w:hideMark/>
          </w:tcPr>
          <w:p w14:paraId="596F2B60" w14:textId="4030700C" w:rsidR="003F50BC" w:rsidRPr="007F1383" w:rsidRDefault="003F50BC" w:rsidP="000210F9">
            <w:pPr>
              <w:spacing w:before="120" w:after="120"/>
              <w:jc w:val="center"/>
              <w:rPr>
                <w:rFonts w:cs="Arial"/>
              </w:rPr>
            </w:pPr>
            <w:r w:rsidRPr="265B958A">
              <w:rPr>
                <w:rFonts w:cs="Arial"/>
              </w:rPr>
              <w:t>1,2</w:t>
            </w:r>
            <w:r w:rsidR="00830A69" w:rsidRPr="265B958A">
              <w:rPr>
                <w:rFonts w:cs="Arial"/>
              </w:rPr>
              <w:t>79,470</w:t>
            </w:r>
          </w:p>
        </w:tc>
        <w:tc>
          <w:tcPr>
            <w:tcW w:w="894" w:type="pct"/>
            <w:tcBorders>
              <w:top w:val="nil"/>
              <w:left w:val="nil"/>
              <w:bottom w:val="single" w:sz="4" w:space="0" w:color="auto"/>
              <w:right w:val="single" w:sz="4" w:space="0" w:color="auto"/>
            </w:tcBorders>
            <w:noWrap/>
            <w:vAlign w:val="bottom"/>
            <w:hideMark/>
          </w:tcPr>
          <w:p w14:paraId="18DFDB6B" w14:textId="626F0ECC" w:rsidR="003F50BC" w:rsidRPr="007F1383" w:rsidRDefault="003F50BC" w:rsidP="000210F9">
            <w:pPr>
              <w:spacing w:before="120" w:after="120"/>
              <w:jc w:val="center"/>
              <w:rPr>
                <w:rFonts w:cs="Arial"/>
              </w:rPr>
            </w:pPr>
            <w:r w:rsidRPr="265B958A">
              <w:rPr>
                <w:rFonts w:cs="Arial"/>
              </w:rPr>
              <w:t>6</w:t>
            </w:r>
            <w:r w:rsidR="00830A69" w:rsidRPr="265B958A">
              <w:rPr>
                <w:rFonts w:cs="Arial"/>
              </w:rPr>
              <w:t>23,608</w:t>
            </w:r>
          </w:p>
        </w:tc>
        <w:tc>
          <w:tcPr>
            <w:tcW w:w="942" w:type="pct"/>
            <w:tcBorders>
              <w:top w:val="nil"/>
              <w:left w:val="nil"/>
              <w:bottom w:val="single" w:sz="4" w:space="0" w:color="auto"/>
              <w:right w:val="single" w:sz="4" w:space="0" w:color="auto"/>
            </w:tcBorders>
            <w:noWrap/>
            <w:vAlign w:val="bottom"/>
            <w:hideMark/>
          </w:tcPr>
          <w:p w14:paraId="5EF14DAB" w14:textId="5E223E7F" w:rsidR="003F50BC" w:rsidRPr="007F1383" w:rsidRDefault="003F50BC" w:rsidP="000210F9">
            <w:pPr>
              <w:spacing w:before="120" w:after="120"/>
              <w:jc w:val="center"/>
              <w:rPr>
                <w:rFonts w:cs="Arial"/>
              </w:rPr>
            </w:pPr>
            <w:r w:rsidRPr="265B958A">
              <w:rPr>
                <w:rFonts w:cs="Arial"/>
              </w:rPr>
              <w:t>4</w:t>
            </w:r>
            <w:r w:rsidR="00830A69" w:rsidRPr="265B958A">
              <w:rPr>
                <w:rFonts w:cs="Arial"/>
              </w:rPr>
              <w:t>8.7</w:t>
            </w:r>
            <w:r w:rsidRPr="265B958A">
              <w:rPr>
                <w:rFonts w:cs="Arial"/>
              </w:rPr>
              <w:t>%</w:t>
            </w:r>
          </w:p>
        </w:tc>
        <w:tc>
          <w:tcPr>
            <w:tcW w:w="687" w:type="pct"/>
            <w:tcBorders>
              <w:top w:val="nil"/>
              <w:left w:val="nil"/>
              <w:bottom w:val="single" w:sz="4" w:space="0" w:color="auto"/>
              <w:right w:val="single" w:sz="4" w:space="0" w:color="auto"/>
            </w:tcBorders>
            <w:noWrap/>
            <w:vAlign w:val="bottom"/>
            <w:hideMark/>
          </w:tcPr>
          <w:p w14:paraId="6A3D82FE" w14:textId="7985E074" w:rsidR="003F50BC" w:rsidRPr="007F1383" w:rsidRDefault="003F50BC" w:rsidP="000210F9">
            <w:pPr>
              <w:spacing w:before="120" w:after="120"/>
              <w:jc w:val="center"/>
              <w:rPr>
                <w:rFonts w:cs="Arial"/>
              </w:rPr>
            </w:pPr>
            <w:r w:rsidRPr="265B958A">
              <w:rPr>
                <w:rFonts w:cs="Arial"/>
              </w:rPr>
              <w:t>6</w:t>
            </w:r>
            <w:r w:rsidR="00830A69" w:rsidRPr="265B958A">
              <w:rPr>
                <w:rFonts w:cs="Arial"/>
              </w:rPr>
              <w:t>0,896.6</w:t>
            </w:r>
          </w:p>
        </w:tc>
      </w:tr>
      <w:tr w:rsidR="003F50BC" w:rsidRPr="00D26A93" w14:paraId="3A2A0A13" w14:textId="77777777" w:rsidTr="00E87E08">
        <w:trPr>
          <w:cantSplit/>
          <w:trHeight w:val="280"/>
          <w:tblHeader/>
          <w:jc w:val="center"/>
        </w:trPr>
        <w:tc>
          <w:tcPr>
            <w:tcW w:w="871" w:type="pct"/>
            <w:tcBorders>
              <w:top w:val="nil"/>
              <w:left w:val="single" w:sz="4" w:space="0" w:color="auto"/>
              <w:bottom w:val="single" w:sz="4" w:space="0" w:color="auto"/>
              <w:right w:val="single" w:sz="4" w:space="0" w:color="auto"/>
            </w:tcBorders>
            <w:noWrap/>
            <w:vAlign w:val="center"/>
            <w:hideMark/>
          </w:tcPr>
          <w:p w14:paraId="6059F29F" w14:textId="77777777" w:rsidR="003F50BC" w:rsidRPr="00D26A93" w:rsidRDefault="003F50BC" w:rsidP="000210F9">
            <w:pPr>
              <w:spacing w:before="120" w:after="120"/>
              <w:jc w:val="center"/>
              <w:rPr>
                <w:rFonts w:cs="Arial"/>
              </w:rPr>
            </w:pPr>
            <w:r w:rsidRPr="00D26A93">
              <w:rPr>
                <w:rFonts w:cs="Arial"/>
              </w:rPr>
              <w:t>2</w:t>
            </w:r>
          </w:p>
        </w:tc>
        <w:tc>
          <w:tcPr>
            <w:tcW w:w="752" w:type="pct"/>
            <w:tcBorders>
              <w:top w:val="nil"/>
              <w:left w:val="nil"/>
              <w:bottom w:val="single" w:sz="4" w:space="0" w:color="auto"/>
              <w:right w:val="single" w:sz="4" w:space="0" w:color="auto"/>
            </w:tcBorders>
            <w:noWrap/>
            <w:vAlign w:val="bottom"/>
            <w:hideMark/>
          </w:tcPr>
          <w:p w14:paraId="75BDB5CB" w14:textId="528415EF" w:rsidR="003F50BC" w:rsidRPr="007F1383" w:rsidRDefault="003F50BC" w:rsidP="000210F9">
            <w:pPr>
              <w:spacing w:before="120" w:after="120"/>
              <w:jc w:val="center"/>
              <w:rPr>
                <w:rFonts w:cs="Arial"/>
              </w:rPr>
            </w:pPr>
            <w:r w:rsidRPr="265B958A">
              <w:rPr>
                <w:rFonts w:cs="Arial"/>
              </w:rPr>
              <w:t>2,49</w:t>
            </w:r>
            <w:r w:rsidR="00830A69" w:rsidRPr="265B958A">
              <w:rPr>
                <w:rFonts w:cs="Arial"/>
              </w:rPr>
              <w:t>7</w:t>
            </w:r>
          </w:p>
        </w:tc>
        <w:tc>
          <w:tcPr>
            <w:tcW w:w="855" w:type="pct"/>
            <w:tcBorders>
              <w:top w:val="nil"/>
              <w:left w:val="nil"/>
              <w:bottom w:val="single" w:sz="4" w:space="0" w:color="auto"/>
              <w:right w:val="single" w:sz="4" w:space="0" w:color="auto"/>
            </w:tcBorders>
            <w:noWrap/>
            <w:vAlign w:val="bottom"/>
            <w:hideMark/>
          </w:tcPr>
          <w:p w14:paraId="09F42C81" w14:textId="33CEF5A3" w:rsidR="003F50BC" w:rsidRPr="007F1383" w:rsidRDefault="003F50BC" w:rsidP="000210F9">
            <w:pPr>
              <w:spacing w:before="120" w:after="120"/>
              <w:jc w:val="center"/>
              <w:rPr>
                <w:rFonts w:cs="Arial"/>
              </w:rPr>
            </w:pPr>
            <w:r w:rsidRPr="265B958A">
              <w:rPr>
                <w:rFonts w:cs="Arial"/>
              </w:rPr>
              <w:t>1,6</w:t>
            </w:r>
            <w:r w:rsidR="00830A69" w:rsidRPr="265B958A">
              <w:rPr>
                <w:rFonts w:cs="Arial"/>
              </w:rPr>
              <w:t>32</w:t>
            </w:r>
            <w:r w:rsidRPr="265B958A">
              <w:rPr>
                <w:rFonts w:cs="Arial"/>
              </w:rPr>
              <w:t>,</w:t>
            </w:r>
            <w:r w:rsidR="00830A69" w:rsidRPr="265B958A">
              <w:rPr>
                <w:rFonts w:cs="Arial"/>
              </w:rPr>
              <w:t>899</w:t>
            </w:r>
          </w:p>
        </w:tc>
        <w:tc>
          <w:tcPr>
            <w:tcW w:w="894" w:type="pct"/>
            <w:tcBorders>
              <w:top w:val="nil"/>
              <w:left w:val="nil"/>
              <w:bottom w:val="single" w:sz="4" w:space="0" w:color="auto"/>
              <w:right w:val="single" w:sz="4" w:space="0" w:color="auto"/>
            </w:tcBorders>
            <w:noWrap/>
            <w:vAlign w:val="bottom"/>
            <w:hideMark/>
          </w:tcPr>
          <w:p w14:paraId="775BF8CC" w14:textId="461A0863" w:rsidR="003F50BC" w:rsidRPr="007F1383" w:rsidRDefault="003F50BC" w:rsidP="000210F9">
            <w:pPr>
              <w:spacing w:before="120" w:after="120"/>
              <w:jc w:val="center"/>
              <w:rPr>
                <w:rFonts w:cs="Arial"/>
              </w:rPr>
            </w:pPr>
            <w:r w:rsidRPr="265B958A">
              <w:rPr>
                <w:rFonts w:cs="Arial"/>
              </w:rPr>
              <w:t>1,2</w:t>
            </w:r>
            <w:r w:rsidR="00830A69" w:rsidRPr="265B958A">
              <w:rPr>
                <w:rFonts w:cs="Arial"/>
              </w:rPr>
              <w:t>46,322</w:t>
            </w:r>
          </w:p>
        </w:tc>
        <w:tc>
          <w:tcPr>
            <w:tcW w:w="942" w:type="pct"/>
            <w:tcBorders>
              <w:top w:val="nil"/>
              <w:left w:val="nil"/>
              <w:bottom w:val="single" w:sz="4" w:space="0" w:color="auto"/>
              <w:right w:val="single" w:sz="4" w:space="0" w:color="auto"/>
            </w:tcBorders>
            <w:noWrap/>
            <w:vAlign w:val="bottom"/>
            <w:hideMark/>
          </w:tcPr>
          <w:p w14:paraId="1E64A332" w14:textId="69001E55" w:rsidR="003F50BC" w:rsidRPr="007F1383" w:rsidRDefault="003F50BC" w:rsidP="000210F9">
            <w:pPr>
              <w:spacing w:before="120" w:after="120"/>
              <w:jc w:val="center"/>
              <w:rPr>
                <w:rFonts w:cs="Arial"/>
              </w:rPr>
            </w:pPr>
            <w:r w:rsidRPr="265B958A">
              <w:rPr>
                <w:rFonts w:cs="Arial"/>
              </w:rPr>
              <w:t>7</w:t>
            </w:r>
            <w:r w:rsidR="00830A69" w:rsidRPr="265B958A">
              <w:rPr>
                <w:rFonts w:cs="Arial"/>
              </w:rPr>
              <w:t>6</w:t>
            </w:r>
            <w:r w:rsidRPr="265B958A">
              <w:rPr>
                <w:rFonts w:cs="Arial"/>
              </w:rPr>
              <w:t>.</w:t>
            </w:r>
            <w:r w:rsidR="00830A69" w:rsidRPr="265B958A">
              <w:rPr>
                <w:rFonts w:cs="Arial"/>
              </w:rPr>
              <w:t>3</w:t>
            </w:r>
            <w:r w:rsidRPr="265B958A">
              <w:rPr>
                <w:rFonts w:cs="Arial"/>
              </w:rPr>
              <w:t>%</w:t>
            </w:r>
          </w:p>
        </w:tc>
        <w:tc>
          <w:tcPr>
            <w:tcW w:w="687" w:type="pct"/>
            <w:tcBorders>
              <w:top w:val="nil"/>
              <w:left w:val="nil"/>
              <w:bottom w:val="single" w:sz="4" w:space="0" w:color="auto"/>
              <w:right w:val="single" w:sz="4" w:space="0" w:color="auto"/>
            </w:tcBorders>
            <w:noWrap/>
            <w:vAlign w:val="bottom"/>
            <w:hideMark/>
          </w:tcPr>
          <w:p w14:paraId="15D57D06" w14:textId="4350F284" w:rsidR="003F50BC" w:rsidRPr="007F1383" w:rsidRDefault="003F50BC" w:rsidP="000210F9">
            <w:pPr>
              <w:spacing w:before="120" w:after="120"/>
              <w:jc w:val="center"/>
              <w:rPr>
                <w:rFonts w:cs="Arial"/>
              </w:rPr>
            </w:pPr>
            <w:r w:rsidRPr="265B958A">
              <w:rPr>
                <w:rFonts w:cs="Arial"/>
              </w:rPr>
              <w:t>7</w:t>
            </w:r>
            <w:r w:rsidR="00830A69" w:rsidRPr="265B958A">
              <w:rPr>
                <w:rFonts w:cs="Arial"/>
              </w:rPr>
              <w:t>6.559.4</w:t>
            </w:r>
          </w:p>
        </w:tc>
      </w:tr>
      <w:tr w:rsidR="003F50BC" w:rsidRPr="00D26A93" w14:paraId="5C962C84" w14:textId="77777777" w:rsidTr="00E87E08">
        <w:trPr>
          <w:cantSplit/>
          <w:trHeight w:val="280"/>
          <w:tblHeader/>
          <w:jc w:val="center"/>
        </w:trPr>
        <w:tc>
          <w:tcPr>
            <w:tcW w:w="871" w:type="pct"/>
            <w:tcBorders>
              <w:top w:val="nil"/>
              <w:left w:val="single" w:sz="4" w:space="0" w:color="auto"/>
              <w:bottom w:val="single" w:sz="4" w:space="0" w:color="auto"/>
              <w:right w:val="single" w:sz="4" w:space="0" w:color="auto"/>
            </w:tcBorders>
            <w:noWrap/>
            <w:vAlign w:val="center"/>
            <w:hideMark/>
          </w:tcPr>
          <w:p w14:paraId="79D14BE6" w14:textId="77777777" w:rsidR="003F50BC" w:rsidRPr="00D26A93" w:rsidRDefault="003F50BC" w:rsidP="000210F9">
            <w:pPr>
              <w:spacing w:before="120" w:after="120"/>
              <w:jc w:val="center"/>
              <w:rPr>
                <w:rFonts w:cs="Arial"/>
              </w:rPr>
            </w:pPr>
            <w:r w:rsidRPr="00D26A93">
              <w:rPr>
                <w:rFonts w:cs="Arial"/>
              </w:rPr>
              <w:t>3</w:t>
            </w:r>
          </w:p>
        </w:tc>
        <w:tc>
          <w:tcPr>
            <w:tcW w:w="752" w:type="pct"/>
            <w:tcBorders>
              <w:top w:val="nil"/>
              <w:left w:val="nil"/>
              <w:bottom w:val="single" w:sz="4" w:space="0" w:color="auto"/>
              <w:right w:val="single" w:sz="4" w:space="0" w:color="auto"/>
            </w:tcBorders>
            <w:noWrap/>
            <w:vAlign w:val="bottom"/>
            <w:hideMark/>
          </w:tcPr>
          <w:p w14:paraId="6D599DF4" w14:textId="2BBBBC26" w:rsidR="003F50BC" w:rsidRPr="007F1383" w:rsidRDefault="003F50BC" w:rsidP="000210F9">
            <w:pPr>
              <w:spacing w:before="120" w:after="120"/>
              <w:jc w:val="center"/>
              <w:rPr>
                <w:rFonts w:cs="Arial"/>
              </w:rPr>
            </w:pPr>
            <w:r w:rsidRPr="265B958A">
              <w:rPr>
                <w:rFonts w:cs="Arial"/>
              </w:rPr>
              <w:t>2,49</w:t>
            </w:r>
            <w:r w:rsidR="00830A69" w:rsidRPr="265B958A">
              <w:rPr>
                <w:rFonts w:cs="Arial"/>
              </w:rPr>
              <w:t>6</w:t>
            </w:r>
          </w:p>
        </w:tc>
        <w:tc>
          <w:tcPr>
            <w:tcW w:w="855" w:type="pct"/>
            <w:tcBorders>
              <w:top w:val="nil"/>
              <w:left w:val="nil"/>
              <w:bottom w:val="single" w:sz="4" w:space="0" w:color="auto"/>
              <w:right w:val="single" w:sz="4" w:space="0" w:color="auto"/>
            </w:tcBorders>
            <w:noWrap/>
            <w:vAlign w:val="bottom"/>
            <w:hideMark/>
          </w:tcPr>
          <w:p w14:paraId="220D8CF5" w14:textId="51F13919" w:rsidR="003F50BC" w:rsidRPr="007F1383" w:rsidRDefault="003F50BC" w:rsidP="000210F9">
            <w:pPr>
              <w:spacing w:before="120" w:after="120"/>
              <w:jc w:val="center"/>
              <w:rPr>
                <w:rFonts w:cs="Arial"/>
              </w:rPr>
            </w:pPr>
            <w:r w:rsidRPr="265B958A">
              <w:rPr>
                <w:rFonts w:cs="Arial"/>
              </w:rPr>
              <w:t>1,5</w:t>
            </w:r>
            <w:r w:rsidR="00830A69" w:rsidRPr="265B958A">
              <w:rPr>
                <w:rFonts w:cs="Arial"/>
              </w:rPr>
              <w:t>43</w:t>
            </w:r>
            <w:r w:rsidRPr="265B958A">
              <w:rPr>
                <w:rFonts w:cs="Arial"/>
              </w:rPr>
              <w:t>,</w:t>
            </w:r>
            <w:r w:rsidR="00830A69" w:rsidRPr="265B958A">
              <w:rPr>
                <w:rFonts w:cs="Arial"/>
              </w:rPr>
              <w:t>838</w:t>
            </w:r>
          </w:p>
        </w:tc>
        <w:tc>
          <w:tcPr>
            <w:tcW w:w="894" w:type="pct"/>
            <w:tcBorders>
              <w:top w:val="nil"/>
              <w:left w:val="nil"/>
              <w:bottom w:val="single" w:sz="4" w:space="0" w:color="auto"/>
              <w:right w:val="single" w:sz="4" w:space="0" w:color="auto"/>
            </w:tcBorders>
            <w:noWrap/>
            <w:vAlign w:val="bottom"/>
            <w:hideMark/>
          </w:tcPr>
          <w:p w14:paraId="7CE55B75" w14:textId="099A7FF2" w:rsidR="003F50BC" w:rsidRPr="007F1383" w:rsidRDefault="003F50BC" w:rsidP="000210F9">
            <w:pPr>
              <w:spacing w:before="120" w:after="120"/>
              <w:jc w:val="center"/>
              <w:rPr>
                <w:rFonts w:cs="Arial"/>
              </w:rPr>
            </w:pPr>
            <w:r w:rsidRPr="265B958A">
              <w:rPr>
                <w:rFonts w:cs="Arial"/>
              </w:rPr>
              <w:t>1,4</w:t>
            </w:r>
            <w:r w:rsidR="00830A69" w:rsidRPr="265B958A">
              <w:rPr>
                <w:rFonts w:cs="Arial"/>
              </w:rPr>
              <w:t>29,313</w:t>
            </w:r>
          </w:p>
        </w:tc>
        <w:tc>
          <w:tcPr>
            <w:tcW w:w="942" w:type="pct"/>
            <w:tcBorders>
              <w:top w:val="nil"/>
              <w:left w:val="nil"/>
              <w:bottom w:val="single" w:sz="4" w:space="0" w:color="auto"/>
              <w:right w:val="single" w:sz="4" w:space="0" w:color="auto"/>
            </w:tcBorders>
            <w:noWrap/>
            <w:vAlign w:val="bottom"/>
            <w:hideMark/>
          </w:tcPr>
          <w:p w14:paraId="05F28A26" w14:textId="2E19F549" w:rsidR="003F50BC" w:rsidRPr="007F1383" w:rsidRDefault="003F50BC" w:rsidP="000210F9">
            <w:pPr>
              <w:spacing w:before="120" w:after="120"/>
              <w:jc w:val="center"/>
              <w:rPr>
                <w:rFonts w:cs="Arial"/>
              </w:rPr>
            </w:pPr>
            <w:r w:rsidRPr="265B958A">
              <w:rPr>
                <w:rFonts w:cs="Arial"/>
              </w:rPr>
              <w:t>92.</w:t>
            </w:r>
            <w:r w:rsidR="00830A69" w:rsidRPr="265B958A">
              <w:rPr>
                <w:rFonts w:cs="Arial"/>
              </w:rPr>
              <w:t>6</w:t>
            </w:r>
            <w:r w:rsidRPr="265B958A">
              <w:rPr>
                <w:rFonts w:cs="Arial"/>
              </w:rPr>
              <w:t>%</w:t>
            </w:r>
          </w:p>
        </w:tc>
        <w:tc>
          <w:tcPr>
            <w:tcW w:w="687" w:type="pct"/>
            <w:tcBorders>
              <w:top w:val="nil"/>
              <w:left w:val="nil"/>
              <w:bottom w:val="single" w:sz="4" w:space="0" w:color="auto"/>
              <w:right w:val="single" w:sz="4" w:space="0" w:color="auto"/>
            </w:tcBorders>
            <w:noWrap/>
            <w:vAlign w:val="bottom"/>
            <w:hideMark/>
          </w:tcPr>
          <w:p w14:paraId="44AA83FC" w14:textId="667C7688" w:rsidR="003F50BC" w:rsidRPr="007F1383" w:rsidRDefault="003F50BC" w:rsidP="000210F9">
            <w:pPr>
              <w:spacing w:before="120" w:after="120"/>
              <w:jc w:val="center"/>
              <w:rPr>
                <w:rFonts w:cs="Arial"/>
              </w:rPr>
            </w:pPr>
            <w:r w:rsidRPr="265B958A">
              <w:rPr>
                <w:rFonts w:cs="Arial"/>
              </w:rPr>
              <w:t>73,</w:t>
            </w:r>
            <w:r w:rsidR="00830A69" w:rsidRPr="265B958A">
              <w:rPr>
                <w:rFonts w:cs="Arial"/>
              </w:rPr>
              <w:t>210.4</w:t>
            </w:r>
          </w:p>
        </w:tc>
      </w:tr>
      <w:tr w:rsidR="003F50BC" w:rsidRPr="00D26A93" w14:paraId="6C0ECD53" w14:textId="77777777" w:rsidTr="00E87E08">
        <w:trPr>
          <w:cantSplit/>
          <w:trHeight w:val="280"/>
          <w:tblHeader/>
          <w:jc w:val="center"/>
        </w:trPr>
        <w:tc>
          <w:tcPr>
            <w:tcW w:w="871" w:type="pct"/>
            <w:tcBorders>
              <w:top w:val="nil"/>
              <w:left w:val="single" w:sz="4" w:space="0" w:color="auto"/>
              <w:bottom w:val="single" w:sz="4" w:space="0" w:color="auto"/>
              <w:right w:val="single" w:sz="4" w:space="0" w:color="auto"/>
            </w:tcBorders>
            <w:noWrap/>
            <w:vAlign w:val="center"/>
            <w:hideMark/>
          </w:tcPr>
          <w:p w14:paraId="0836B938" w14:textId="77777777" w:rsidR="003F50BC" w:rsidRPr="00D26A93" w:rsidRDefault="003F50BC" w:rsidP="000210F9">
            <w:pPr>
              <w:spacing w:before="120" w:after="120"/>
              <w:jc w:val="center"/>
              <w:rPr>
                <w:rFonts w:cs="Arial"/>
              </w:rPr>
            </w:pPr>
            <w:r w:rsidRPr="00D26A93">
              <w:rPr>
                <w:rFonts w:cs="Arial"/>
              </w:rPr>
              <w:t>4</w:t>
            </w:r>
          </w:p>
        </w:tc>
        <w:tc>
          <w:tcPr>
            <w:tcW w:w="752" w:type="pct"/>
            <w:tcBorders>
              <w:top w:val="nil"/>
              <w:left w:val="nil"/>
              <w:bottom w:val="single" w:sz="4" w:space="0" w:color="auto"/>
              <w:right w:val="single" w:sz="4" w:space="0" w:color="auto"/>
            </w:tcBorders>
            <w:noWrap/>
            <w:vAlign w:val="bottom"/>
            <w:hideMark/>
          </w:tcPr>
          <w:p w14:paraId="366C5716" w14:textId="64049A24" w:rsidR="003F50BC" w:rsidRPr="007F1383" w:rsidRDefault="003F50BC" w:rsidP="000210F9">
            <w:pPr>
              <w:spacing w:before="120" w:after="120"/>
              <w:jc w:val="center"/>
              <w:rPr>
                <w:rFonts w:cs="Arial"/>
              </w:rPr>
            </w:pPr>
            <w:r w:rsidRPr="265B958A">
              <w:rPr>
                <w:rFonts w:cs="Arial"/>
              </w:rPr>
              <w:t>2,49</w:t>
            </w:r>
            <w:r w:rsidR="00830A69" w:rsidRPr="265B958A">
              <w:rPr>
                <w:rFonts w:cs="Arial"/>
              </w:rPr>
              <w:t>8</w:t>
            </w:r>
          </w:p>
        </w:tc>
        <w:tc>
          <w:tcPr>
            <w:tcW w:w="855" w:type="pct"/>
            <w:tcBorders>
              <w:top w:val="nil"/>
              <w:left w:val="nil"/>
              <w:bottom w:val="single" w:sz="4" w:space="0" w:color="auto"/>
              <w:right w:val="single" w:sz="4" w:space="0" w:color="auto"/>
            </w:tcBorders>
            <w:noWrap/>
            <w:vAlign w:val="bottom"/>
            <w:hideMark/>
          </w:tcPr>
          <w:p w14:paraId="7555B43E" w14:textId="00BAF1C7" w:rsidR="003F50BC" w:rsidRPr="007F1383" w:rsidRDefault="003F50BC" w:rsidP="000210F9">
            <w:pPr>
              <w:spacing w:before="120" w:after="120"/>
              <w:jc w:val="center"/>
              <w:rPr>
                <w:rFonts w:cs="Arial"/>
              </w:rPr>
            </w:pPr>
            <w:r w:rsidRPr="265B958A">
              <w:rPr>
                <w:rFonts w:cs="Arial"/>
              </w:rPr>
              <w:t>1,3</w:t>
            </w:r>
            <w:r w:rsidR="00830A69" w:rsidRPr="265B958A">
              <w:rPr>
                <w:rFonts w:cs="Arial"/>
              </w:rPr>
              <w:t>67</w:t>
            </w:r>
            <w:r w:rsidRPr="265B958A">
              <w:rPr>
                <w:rFonts w:cs="Arial"/>
              </w:rPr>
              <w:t>,</w:t>
            </w:r>
            <w:r w:rsidR="00830A69" w:rsidRPr="265B958A">
              <w:rPr>
                <w:rFonts w:cs="Arial"/>
              </w:rPr>
              <w:t>497</w:t>
            </w:r>
          </w:p>
        </w:tc>
        <w:tc>
          <w:tcPr>
            <w:tcW w:w="894" w:type="pct"/>
            <w:tcBorders>
              <w:top w:val="nil"/>
              <w:left w:val="nil"/>
              <w:bottom w:val="single" w:sz="4" w:space="0" w:color="auto"/>
              <w:right w:val="single" w:sz="4" w:space="0" w:color="auto"/>
            </w:tcBorders>
            <w:noWrap/>
            <w:vAlign w:val="bottom"/>
            <w:hideMark/>
          </w:tcPr>
          <w:p w14:paraId="73F092C6" w14:textId="7D1669C3" w:rsidR="003F50BC" w:rsidRPr="007F1383" w:rsidRDefault="003F50BC" w:rsidP="000210F9">
            <w:pPr>
              <w:spacing w:before="120" w:after="120"/>
              <w:jc w:val="center"/>
              <w:rPr>
                <w:rFonts w:cs="Arial"/>
              </w:rPr>
            </w:pPr>
            <w:r w:rsidRPr="265B958A">
              <w:rPr>
                <w:rFonts w:cs="Arial"/>
              </w:rPr>
              <w:t>1,</w:t>
            </w:r>
            <w:r w:rsidR="00830A69" w:rsidRPr="265B958A">
              <w:rPr>
                <w:rFonts w:cs="Arial"/>
              </w:rPr>
              <w:t>344,692</w:t>
            </w:r>
          </w:p>
        </w:tc>
        <w:tc>
          <w:tcPr>
            <w:tcW w:w="942" w:type="pct"/>
            <w:tcBorders>
              <w:top w:val="nil"/>
              <w:left w:val="nil"/>
              <w:bottom w:val="single" w:sz="4" w:space="0" w:color="auto"/>
              <w:right w:val="single" w:sz="4" w:space="0" w:color="auto"/>
            </w:tcBorders>
            <w:noWrap/>
            <w:vAlign w:val="bottom"/>
            <w:hideMark/>
          </w:tcPr>
          <w:p w14:paraId="6F3BB7A1" w14:textId="77777777" w:rsidR="003F50BC" w:rsidRPr="007F1383" w:rsidRDefault="003F50BC" w:rsidP="000210F9">
            <w:pPr>
              <w:spacing w:before="120" w:after="120"/>
              <w:jc w:val="center"/>
              <w:rPr>
                <w:rFonts w:cs="Arial"/>
              </w:rPr>
            </w:pPr>
            <w:r w:rsidRPr="265B958A">
              <w:rPr>
                <w:rFonts w:cs="Arial"/>
              </w:rPr>
              <w:t>98.3%</w:t>
            </w:r>
          </w:p>
        </w:tc>
        <w:tc>
          <w:tcPr>
            <w:tcW w:w="687" w:type="pct"/>
            <w:tcBorders>
              <w:top w:val="nil"/>
              <w:left w:val="nil"/>
              <w:bottom w:val="single" w:sz="4" w:space="0" w:color="auto"/>
              <w:right w:val="single" w:sz="4" w:space="0" w:color="auto"/>
            </w:tcBorders>
            <w:noWrap/>
            <w:vAlign w:val="bottom"/>
            <w:hideMark/>
          </w:tcPr>
          <w:p w14:paraId="61008583" w14:textId="5DF728F5" w:rsidR="003F50BC" w:rsidRPr="007F1383" w:rsidRDefault="003F50BC" w:rsidP="000210F9">
            <w:pPr>
              <w:spacing w:before="120" w:after="120"/>
              <w:jc w:val="center"/>
              <w:rPr>
                <w:rFonts w:cs="Arial"/>
              </w:rPr>
            </w:pPr>
            <w:r w:rsidRPr="265B958A">
              <w:rPr>
                <w:rFonts w:cs="Arial"/>
              </w:rPr>
              <w:t>6</w:t>
            </w:r>
            <w:r w:rsidR="00830A69" w:rsidRPr="265B958A">
              <w:rPr>
                <w:rFonts w:cs="Arial"/>
              </w:rPr>
              <w:t>7,423.7</w:t>
            </w:r>
          </w:p>
        </w:tc>
      </w:tr>
      <w:tr w:rsidR="00190652" w:rsidRPr="00D26A93" w14:paraId="395E25BA" w14:textId="77777777" w:rsidTr="00E87E08">
        <w:trPr>
          <w:cantSplit/>
          <w:trHeight w:val="280"/>
          <w:tblHeader/>
          <w:jc w:val="center"/>
        </w:trPr>
        <w:tc>
          <w:tcPr>
            <w:tcW w:w="871" w:type="pct"/>
            <w:tcBorders>
              <w:top w:val="nil"/>
              <w:left w:val="single" w:sz="4" w:space="0" w:color="auto"/>
              <w:bottom w:val="single" w:sz="4" w:space="0" w:color="auto"/>
              <w:right w:val="single" w:sz="4" w:space="0" w:color="auto"/>
            </w:tcBorders>
            <w:noWrap/>
            <w:vAlign w:val="center"/>
            <w:hideMark/>
          </w:tcPr>
          <w:p w14:paraId="0EE7E816" w14:textId="77777777" w:rsidR="003F50BC" w:rsidRPr="00D26A93" w:rsidRDefault="003F50BC" w:rsidP="000210F9">
            <w:pPr>
              <w:spacing w:before="120" w:after="120"/>
              <w:jc w:val="center"/>
              <w:rPr>
                <w:rFonts w:cs="Arial"/>
                <w:b/>
                <w:bCs/>
              </w:rPr>
            </w:pPr>
            <w:r w:rsidRPr="00D26A93">
              <w:rPr>
                <w:rFonts w:cs="Arial"/>
                <w:b/>
                <w:bCs/>
              </w:rPr>
              <w:t>Statewide</w:t>
            </w:r>
          </w:p>
        </w:tc>
        <w:tc>
          <w:tcPr>
            <w:tcW w:w="752" w:type="pct"/>
            <w:tcBorders>
              <w:top w:val="nil"/>
              <w:left w:val="nil"/>
              <w:bottom w:val="single" w:sz="4" w:space="0" w:color="auto"/>
              <w:right w:val="single" w:sz="4" w:space="0" w:color="auto"/>
            </w:tcBorders>
            <w:noWrap/>
            <w:vAlign w:val="bottom"/>
            <w:hideMark/>
          </w:tcPr>
          <w:p w14:paraId="71BF3C13" w14:textId="29C5B6B0" w:rsidR="003F50BC" w:rsidRPr="007F1383" w:rsidRDefault="003F50BC" w:rsidP="000210F9">
            <w:pPr>
              <w:spacing w:before="120" w:after="120"/>
              <w:jc w:val="center"/>
              <w:rPr>
                <w:rFonts w:cs="Arial"/>
                <w:b/>
                <w:bCs/>
              </w:rPr>
            </w:pPr>
            <w:r w:rsidRPr="265B958A">
              <w:rPr>
                <w:rFonts w:cs="Arial"/>
                <w:b/>
                <w:bCs/>
              </w:rPr>
              <w:t>9,9</w:t>
            </w:r>
            <w:r w:rsidR="00830A69" w:rsidRPr="265B958A">
              <w:rPr>
                <w:rFonts w:cs="Arial"/>
                <w:b/>
                <w:bCs/>
              </w:rPr>
              <w:t>87</w:t>
            </w:r>
          </w:p>
        </w:tc>
        <w:tc>
          <w:tcPr>
            <w:tcW w:w="855" w:type="pct"/>
            <w:tcBorders>
              <w:top w:val="nil"/>
              <w:left w:val="nil"/>
              <w:bottom w:val="single" w:sz="4" w:space="0" w:color="auto"/>
              <w:right w:val="single" w:sz="4" w:space="0" w:color="auto"/>
            </w:tcBorders>
            <w:noWrap/>
            <w:vAlign w:val="bottom"/>
            <w:hideMark/>
          </w:tcPr>
          <w:p w14:paraId="5070ABEC" w14:textId="31446ACC" w:rsidR="003F50BC" w:rsidRPr="007F1383" w:rsidRDefault="003F50BC" w:rsidP="000210F9">
            <w:pPr>
              <w:spacing w:before="120" w:after="120"/>
              <w:jc w:val="center"/>
              <w:rPr>
                <w:rFonts w:cs="Arial"/>
                <w:b/>
                <w:bCs/>
              </w:rPr>
            </w:pPr>
            <w:r w:rsidRPr="265B958A">
              <w:rPr>
                <w:rFonts w:cs="Arial"/>
                <w:b/>
                <w:bCs/>
              </w:rPr>
              <w:t>5,</w:t>
            </w:r>
            <w:r w:rsidR="00830A69" w:rsidRPr="265B958A">
              <w:rPr>
                <w:rFonts w:cs="Arial"/>
                <w:b/>
                <w:bCs/>
              </w:rPr>
              <w:t>823,704</w:t>
            </w:r>
          </w:p>
        </w:tc>
        <w:tc>
          <w:tcPr>
            <w:tcW w:w="894" w:type="pct"/>
            <w:tcBorders>
              <w:top w:val="nil"/>
              <w:left w:val="nil"/>
              <w:bottom w:val="single" w:sz="4" w:space="0" w:color="auto"/>
              <w:right w:val="single" w:sz="4" w:space="0" w:color="auto"/>
            </w:tcBorders>
            <w:noWrap/>
            <w:vAlign w:val="bottom"/>
            <w:hideMark/>
          </w:tcPr>
          <w:p w14:paraId="0D8062DD" w14:textId="7F9EE1DE" w:rsidR="003F50BC" w:rsidRPr="007F1383" w:rsidRDefault="003F50BC" w:rsidP="000210F9">
            <w:pPr>
              <w:spacing w:before="120" w:after="120"/>
              <w:jc w:val="center"/>
              <w:rPr>
                <w:rFonts w:cs="Arial"/>
                <w:b/>
                <w:bCs/>
              </w:rPr>
            </w:pPr>
            <w:r w:rsidRPr="265B958A">
              <w:rPr>
                <w:rFonts w:cs="Arial"/>
                <w:b/>
                <w:bCs/>
              </w:rPr>
              <w:t>4,</w:t>
            </w:r>
            <w:r w:rsidR="00830A69" w:rsidRPr="265B958A">
              <w:rPr>
                <w:rFonts w:cs="Arial"/>
                <w:b/>
                <w:bCs/>
              </w:rPr>
              <w:t>643,935</w:t>
            </w:r>
          </w:p>
        </w:tc>
        <w:tc>
          <w:tcPr>
            <w:tcW w:w="942" w:type="pct"/>
            <w:tcBorders>
              <w:top w:val="nil"/>
              <w:left w:val="nil"/>
              <w:bottom w:val="single" w:sz="4" w:space="0" w:color="auto"/>
              <w:right w:val="single" w:sz="4" w:space="0" w:color="auto"/>
            </w:tcBorders>
            <w:noWrap/>
            <w:vAlign w:val="bottom"/>
            <w:hideMark/>
          </w:tcPr>
          <w:p w14:paraId="115D81DE" w14:textId="20C6E810" w:rsidR="003F50BC" w:rsidRPr="007F1383" w:rsidRDefault="003F50BC" w:rsidP="000210F9">
            <w:pPr>
              <w:spacing w:before="120" w:after="120"/>
              <w:jc w:val="center"/>
              <w:rPr>
                <w:rFonts w:cs="Arial"/>
                <w:b/>
                <w:bCs/>
              </w:rPr>
            </w:pPr>
            <w:r w:rsidRPr="265B958A">
              <w:rPr>
                <w:rFonts w:cs="Arial"/>
                <w:b/>
                <w:bCs/>
              </w:rPr>
              <w:t>79.</w:t>
            </w:r>
            <w:r w:rsidR="00830A69" w:rsidRPr="265B958A">
              <w:rPr>
                <w:rFonts w:cs="Arial"/>
                <w:b/>
                <w:bCs/>
              </w:rPr>
              <w:t>7</w:t>
            </w:r>
            <w:r w:rsidRPr="265B958A">
              <w:rPr>
                <w:rFonts w:cs="Arial"/>
                <w:b/>
                <w:bCs/>
              </w:rPr>
              <w:t>%</w:t>
            </w:r>
          </w:p>
        </w:tc>
        <w:tc>
          <w:tcPr>
            <w:tcW w:w="687" w:type="pct"/>
            <w:tcBorders>
              <w:top w:val="nil"/>
              <w:left w:val="nil"/>
              <w:bottom w:val="single" w:sz="4" w:space="0" w:color="auto"/>
              <w:right w:val="single" w:sz="4" w:space="0" w:color="auto"/>
            </w:tcBorders>
            <w:noWrap/>
            <w:vAlign w:val="bottom"/>
            <w:hideMark/>
          </w:tcPr>
          <w:p w14:paraId="4B4BE35C" w14:textId="50C706CA" w:rsidR="003F50BC" w:rsidRPr="007F1383" w:rsidRDefault="003F50BC" w:rsidP="000210F9">
            <w:pPr>
              <w:spacing w:before="120" w:after="120"/>
              <w:jc w:val="center"/>
              <w:rPr>
                <w:rFonts w:cs="Arial"/>
                <w:b/>
                <w:bCs/>
              </w:rPr>
            </w:pPr>
            <w:r w:rsidRPr="265B958A">
              <w:rPr>
                <w:rFonts w:cs="Arial"/>
                <w:b/>
                <w:bCs/>
              </w:rPr>
              <w:t>27</w:t>
            </w:r>
            <w:r w:rsidR="00830A69" w:rsidRPr="265B958A">
              <w:rPr>
                <w:rFonts w:cs="Arial"/>
                <w:b/>
                <w:bCs/>
              </w:rPr>
              <w:t>8</w:t>
            </w:r>
            <w:r w:rsidRPr="265B958A">
              <w:rPr>
                <w:rFonts w:cs="Arial"/>
                <w:b/>
                <w:bCs/>
              </w:rPr>
              <w:t>,</w:t>
            </w:r>
            <w:r w:rsidR="00830A69" w:rsidRPr="265B958A">
              <w:rPr>
                <w:rFonts w:cs="Arial"/>
                <w:b/>
                <w:bCs/>
              </w:rPr>
              <w:t>090.1</w:t>
            </w:r>
          </w:p>
        </w:tc>
      </w:tr>
    </w:tbl>
    <w:p w14:paraId="6BDA1A39" w14:textId="77777777" w:rsidR="003F50BC" w:rsidRPr="00D26A93" w:rsidRDefault="003F50BC" w:rsidP="000210F9">
      <w:pPr>
        <w:spacing w:before="240" w:after="480"/>
        <w:rPr>
          <w:rFonts w:cs="Arial"/>
          <w:b/>
          <w:bCs/>
        </w:rPr>
      </w:pPr>
      <w:r w:rsidRPr="1268EE65">
        <w:rPr>
          <w:rFonts w:cs="Arial"/>
        </w:rPr>
        <w:t xml:space="preserve">Table 3a displays California’s school data divided into quartiles based on the number of minority students. Quartile 1 includes schools with the lowest percentage of minority students and Quartile 4 includes schools with the highest percentage of minority students. The final column includes the number of teaching assignments in each quartile. </w:t>
      </w:r>
    </w:p>
    <w:p w14:paraId="292CEBC1" w14:textId="6BA18A2F" w:rsidR="003F50BC" w:rsidRPr="00D26A93" w:rsidRDefault="003F50BC" w:rsidP="00E87E08">
      <w:pPr>
        <w:pStyle w:val="Heading4"/>
        <w:rPr>
          <w:i/>
          <w:lang w:val="en"/>
        </w:rPr>
      </w:pPr>
      <w:r w:rsidRPr="265B958A">
        <w:rPr>
          <w:lang w:val="en"/>
        </w:rPr>
        <w:lastRenderedPageBreak/>
        <w:t xml:space="preserve">Table 3b: Summary of </w:t>
      </w:r>
      <w:r w:rsidR="00830A69" w:rsidRPr="265B958A">
        <w:rPr>
          <w:lang w:val="en"/>
        </w:rPr>
        <w:t>2023–24</w:t>
      </w:r>
      <w:r w:rsidRPr="265B958A">
        <w:rPr>
          <w:lang w:val="en"/>
        </w:rPr>
        <w:t xml:space="preserve"> Educator Equity Data: Minority Quartiles</w:t>
      </w:r>
      <w:r w:rsidR="003B3EEC" w:rsidRPr="265B958A">
        <w:rPr>
          <w:lang w:val="en"/>
        </w:rPr>
        <w:t xml:space="preserve"> - Inexperienced, Clear, Intern, Ineffective</w:t>
      </w:r>
      <w:r w:rsidR="00483FEF" w:rsidRPr="265B958A">
        <w:rPr>
          <w:lang w:val="en"/>
        </w:rPr>
        <w:t>,</w:t>
      </w:r>
      <w:r w:rsidR="003B3EEC" w:rsidRPr="265B958A">
        <w:rPr>
          <w:lang w:val="en"/>
        </w:rPr>
        <w:t xml:space="preserve"> and Out-of-Field Teacher Assignments</w:t>
      </w:r>
    </w:p>
    <w:tbl>
      <w:tblPr>
        <w:tblW w:w="5000" w:type="pct"/>
        <w:jc w:val="center"/>
        <w:tblLayout w:type="fixed"/>
        <w:tblLook w:val="04A0" w:firstRow="1" w:lastRow="0" w:firstColumn="1" w:lastColumn="0" w:noHBand="0" w:noVBand="1"/>
        <w:tblCaption w:val="Table 3b: Summary of 2023–24 Educator Equity Data: Minority Quartiles"/>
        <w:tblDescription w:val="Table 3b includes the minority quartiles, but includes the percentage of inexperienced, clear, intern, ineffective, and out-of-field teachers assigned to the schools in each quartile."/>
      </w:tblPr>
      <w:tblGrid>
        <w:gridCol w:w="1511"/>
        <w:gridCol w:w="2068"/>
        <w:gridCol w:w="1195"/>
        <w:gridCol w:w="1118"/>
        <w:gridCol w:w="1627"/>
        <w:gridCol w:w="1831"/>
      </w:tblGrid>
      <w:tr w:rsidR="003F50BC" w:rsidRPr="00D26A93" w14:paraId="369CF4A4" w14:textId="77777777" w:rsidTr="00E87E08">
        <w:trPr>
          <w:cantSplit/>
          <w:trHeight w:val="900"/>
          <w:tblHeader/>
          <w:jc w:val="center"/>
        </w:trPr>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5D0615" w14:textId="77777777" w:rsidR="003F50BC" w:rsidRPr="00D26A93" w:rsidRDefault="003F50BC" w:rsidP="000210F9">
            <w:pPr>
              <w:spacing w:before="120" w:after="120"/>
              <w:jc w:val="center"/>
              <w:rPr>
                <w:rFonts w:cs="Arial"/>
                <w:b/>
                <w:bCs/>
              </w:rPr>
            </w:pPr>
            <w:r w:rsidRPr="00D26A93">
              <w:rPr>
                <w:rFonts w:cs="Arial"/>
                <w:b/>
                <w:bCs/>
              </w:rPr>
              <w:t>Minority Quartile Rank</w:t>
            </w:r>
          </w:p>
        </w:tc>
        <w:tc>
          <w:tcPr>
            <w:tcW w:w="1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F2B97" w14:textId="77777777" w:rsidR="003F50BC" w:rsidRPr="00D26A93" w:rsidRDefault="003F50BC" w:rsidP="000210F9">
            <w:pPr>
              <w:spacing w:before="120" w:after="120"/>
              <w:jc w:val="center"/>
              <w:rPr>
                <w:rFonts w:cs="Arial"/>
                <w:b/>
                <w:bCs/>
              </w:rPr>
            </w:pPr>
            <w:r w:rsidRPr="00D26A93">
              <w:rPr>
                <w:rFonts w:cs="Arial"/>
                <w:b/>
                <w:bCs/>
              </w:rPr>
              <w:t>Inexperienced FTE (%)</w:t>
            </w:r>
          </w:p>
        </w:tc>
        <w:tc>
          <w:tcPr>
            <w:tcW w:w="6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84980" w14:textId="77777777" w:rsidR="003F50BC" w:rsidRPr="00D26A93" w:rsidRDefault="003F50BC" w:rsidP="000210F9">
            <w:pPr>
              <w:spacing w:before="120" w:after="120"/>
              <w:jc w:val="center"/>
              <w:rPr>
                <w:rFonts w:cs="Arial"/>
                <w:b/>
                <w:bCs/>
              </w:rPr>
            </w:pPr>
            <w:r w:rsidRPr="00D26A93">
              <w:rPr>
                <w:rFonts w:cs="Arial"/>
                <w:b/>
                <w:bCs/>
              </w:rPr>
              <w:t xml:space="preserve">Clear </w:t>
            </w:r>
            <w:r w:rsidRPr="00D26A93">
              <w:rPr>
                <w:rFonts w:cs="Arial"/>
                <w:b/>
                <w:bCs/>
              </w:rPr>
              <w:br/>
              <w:t>FTE (%)</w:t>
            </w:r>
          </w:p>
        </w:tc>
        <w:tc>
          <w:tcPr>
            <w:tcW w:w="5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2880E6" w14:textId="77777777" w:rsidR="003F50BC" w:rsidRPr="00D26A93" w:rsidRDefault="003F50BC" w:rsidP="000210F9">
            <w:pPr>
              <w:spacing w:before="120" w:after="120"/>
              <w:jc w:val="center"/>
              <w:rPr>
                <w:rFonts w:cs="Arial"/>
                <w:b/>
                <w:bCs/>
              </w:rPr>
            </w:pPr>
            <w:r w:rsidRPr="00D26A93">
              <w:rPr>
                <w:rFonts w:cs="Arial"/>
                <w:b/>
                <w:bCs/>
              </w:rPr>
              <w:t>Intern</w:t>
            </w:r>
            <w:r w:rsidRPr="00D26A93">
              <w:rPr>
                <w:rFonts w:cs="Arial"/>
                <w:b/>
                <w:bCs/>
              </w:rPr>
              <w:br/>
              <w:t>FTE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5E9BE" w14:textId="77777777" w:rsidR="003F50BC" w:rsidRPr="00D26A93" w:rsidRDefault="003F50BC" w:rsidP="000210F9">
            <w:pPr>
              <w:spacing w:before="120" w:after="120"/>
              <w:jc w:val="center"/>
              <w:rPr>
                <w:rFonts w:cs="Arial"/>
                <w:b/>
                <w:bCs/>
              </w:rPr>
            </w:pPr>
            <w:r w:rsidRPr="00D26A93">
              <w:rPr>
                <w:rFonts w:cs="Arial"/>
                <w:b/>
                <w:bCs/>
              </w:rPr>
              <w:t xml:space="preserve">Ineffective </w:t>
            </w:r>
            <w:r w:rsidRPr="00D26A93">
              <w:rPr>
                <w:rFonts w:cs="Arial"/>
                <w:b/>
                <w:bCs/>
              </w:rPr>
              <w:br/>
              <w:t>FTE (%)</w:t>
            </w:r>
          </w:p>
        </w:tc>
        <w:tc>
          <w:tcPr>
            <w:tcW w:w="9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51755" w14:textId="77777777" w:rsidR="003F50BC" w:rsidRPr="00D26A93" w:rsidRDefault="003F50BC" w:rsidP="000210F9">
            <w:pPr>
              <w:spacing w:before="120" w:after="120"/>
              <w:jc w:val="center"/>
              <w:rPr>
                <w:rFonts w:cs="Arial"/>
                <w:b/>
                <w:bCs/>
              </w:rPr>
            </w:pPr>
            <w:r w:rsidRPr="00D26A93">
              <w:rPr>
                <w:rFonts w:cs="Arial"/>
                <w:b/>
                <w:bCs/>
              </w:rPr>
              <w:t>Out of Field</w:t>
            </w:r>
            <w:r w:rsidRPr="00D26A93">
              <w:rPr>
                <w:rFonts w:cs="Arial"/>
                <w:b/>
                <w:bCs/>
              </w:rPr>
              <w:br/>
              <w:t>FTE (%)</w:t>
            </w:r>
          </w:p>
        </w:tc>
      </w:tr>
      <w:tr w:rsidR="003F50BC" w:rsidRPr="00D26A93" w14:paraId="06CB2181" w14:textId="77777777" w:rsidTr="00E87E08">
        <w:trPr>
          <w:cantSplit/>
          <w:trHeight w:val="280"/>
          <w:tblHeader/>
          <w:jc w:val="center"/>
        </w:trPr>
        <w:tc>
          <w:tcPr>
            <w:tcW w:w="808" w:type="pct"/>
            <w:tcBorders>
              <w:top w:val="nil"/>
              <w:left w:val="single" w:sz="4" w:space="0" w:color="auto"/>
              <w:bottom w:val="single" w:sz="4" w:space="0" w:color="auto"/>
              <w:right w:val="single" w:sz="4" w:space="0" w:color="auto"/>
            </w:tcBorders>
            <w:noWrap/>
            <w:vAlign w:val="center"/>
            <w:hideMark/>
          </w:tcPr>
          <w:p w14:paraId="3E620C79" w14:textId="77777777" w:rsidR="003F50BC" w:rsidRPr="00D26A93" w:rsidRDefault="003F50BC" w:rsidP="000210F9">
            <w:pPr>
              <w:spacing w:before="120" w:after="120"/>
              <w:jc w:val="center"/>
              <w:rPr>
                <w:rFonts w:cs="Arial"/>
              </w:rPr>
            </w:pPr>
            <w:r w:rsidRPr="00D26A93">
              <w:rPr>
                <w:rFonts w:cs="Arial"/>
              </w:rPr>
              <w:t>1</w:t>
            </w:r>
          </w:p>
        </w:tc>
        <w:tc>
          <w:tcPr>
            <w:tcW w:w="1106" w:type="pct"/>
            <w:tcBorders>
              <w:top w:val="nil"/>
              <w:left w:val="single" w:sz="4" w:space="0" w:color="auto"/>
              <w:bottom w:val="single" w:sz="4" w:space="0" w:color="auto"/>
              <w:right w:val="single" w:sz="4" w:space="0" w:color="auto"/>
            </w:tcBorders>
            <w:vAlign w:val="bottom"/>
          </w:tcPr>
          <w:p w14:paraId="52855014" w14:textId="346BD7A9" w:rsidR="003F50BC" w:rsidRPr="007F1383" w:rsidRDefault="003F50BC" w:rsidP="000210F9">
            <w:pPr>
              <w:spacing w:before="120" w:after="120"/>
              <w:jc w:val="center"/>
              <w:rPr>
                <w:rFonts w:cs="Arial"/>
              </w:rPr>
            </w:pPr>
            <w:r w:rsidRPr="265B958A">
              <w:rPr>
                <w:rFonts w:cs="Arial"/>
              </w:rPr>
              <w:t>11.</w:t>
            </w:r>
            <w:r w:rsidR="007F1383" w:rsidRPr="265B958A">
              <w:rPr>
                <w:rFonts w:cs="Arial"/>
              </w:rPr>
              <w:t>5</w:t>
            </w:r>
            <w:r w:rsidRPr="265B958A">
              <w:rPr>
                <w:rFonts w:cs="Arial"/>
              </w:rPr>
              <w:t>%</w:t>
            </w:r>
          </w:p>
        </w:tc>
        <w:tc>
          <w:tcPr>
            <w:tcW w:w="639" w:type="pct"/>
            <w:tcBorders>
              <w:top w:val="nil"/>
              <w:left w:val="single" w:sz="4" w:space="0" w:color="auto"/>
              <w:bottom w:val="single" w:sz="4" w:space="0" w:color="auto"/>
              <w:right w:val="single" w:sz="4" w:space="0" w:color="auto"/>
            </w:tcBorders>
            <w:vAlign w:val="bottom"/>
          </w:tcPr>
          <w:p w14:paraId="5F5DEC1A" w14:textId="4386DA5A" w:rsidR="003F50BC" w:rsidRPr="007F1383" w:rsidRDefault="003F50BC" w:rsidP="000210F9">
            <w:pPr>
              <w:spacing w:before="120" w:after="120"/>
              <w:jc w:val="center"/>
              <w:rPr>
                <w:rFonts w:cs="Arial"/>
              </w:rPr>
            </w:pPr>
            <w:r w:rsidRPr="265B958A">
              <w:rPr>
                <w:rFonts w:cs="Arial"/>
              </w:rPr>
              <w:t>8</w:t>
            </w:r>
            <w:r w:rsidR="007F1383" w:rsidRPr="265B958A">
              <w:rPr>
                <w:rFonts w:cs="Arial"/>
              </w:rPr>
              <w:t>3</w:t>
            </w:r>
            <w:r w:rsidRPr="265B958A">
              <w:rPr>
                <w:rFonts w:cs="Arial"/>
              </w:rPr>
              <w:t>.</w:t>
            </w:r>
            <w:r w:rsidR="007F1383" w:rsidRPr="265B958A">
              <w:rPr>
                <w:rFonts w:cs="Arial"/>
              </w:rPr>
              <w:t>2</w:t>
            </w:r>
            <w:r w:rsidRPr="265B958A">
              <w:rPr>
                <w:rFonts w:cs="Arial"/>
              </w:rPr>
              <w:t>%</w:t>
            </w:r>
          </w:p>
        </w:tc>
        <w:tc>
          <w:tcPr>
            <w:tcW w:w="598" w:type="pct"/>
            <w:tcBorders>
              <w:top w:val="nil"/>
              <w:left w:val="single" w:sz="4" w:space="0" w:color="auto"/>
              <w:bottom w:val="single" w:sz="4" w:space="0" w:color="auto"/>
              <w:right w:val="single" w:sz="4" w:space="0" w:color="auto"/>
            </w:tcBorders>
            <w:vAlign w:val="bottom"/>
          </w:tcPr>
          <w:p w14:paraId="31377D4F" w14:textId="19C9C335" w:rsidR="003F50BC" w:rsidRPr="007F1383" w:rsidRDefault="003F50BC" w:rsidP="000210F9">
            <w:pPr>
              <w:spacing w:before="120" w:after="120"/>
              <w:jc w:val="center"/>
              <w:rPr>
                <w:rFonts w:cs="Arial"/>
              </w:rPr>
            </w:pPr>
            <w:r w:rsidRPr="265B958A">
              <w:rPr>
                <w:rFonts w:cs="Arial"/>
              </w:rPr>
              <w:t>1.</w:t>
            </w:r>
            <w:r w:rsidR="007F1383" w:rsidRPr="265B958A">
              <w:rPr>
                <w:rFonts w:cs="Arial"/>
              </w:rPr>
              <w:t>5</w:t>
            </w:r>
            <w:r w:rsidRPr="265B958A">
              <w:rPr>
                <w:rFonts w:cs="Arial"/>
              </w:rPr>
              <w:t>%</w:t>
            </w:r>
          </w:p>
        </w:tc>
        <w:tc>
          <w:tcPr>
            <w:tcW w:w="870" w:type="pct"/>
            <w:tcBorders>
              <w:top w:val="nil"/>
              <w:left w:val="single" w:sz="4" w:space="0" w:color="auto"/>
              <w:bottom w:val="single" w:sz="4" w:space="0" w:color="auto"/>
              <w:right w:val="single" w:sz="4" w:space="0" w:color="auto"/>
            </w:tcBorders>
            <w:vAlign w:val="bottom"/>
          </w:tcPr>
          <w:p w14:paraId="38CF0DB3" w14:textId="11345822" w:rsidR="003F50BC" w:rsidRPr="007F1383" w:rsidRDefault="007F1383" w:rsidP="000210F9">
            <w:pPr>
              <w:spacing w:before="120" w:after="120"/>
              <w:jc w:val="center"/>
              <w:rPr>
                <w:rFonts w:cs="Arial"/>
              </w:rPr>
            </w:pPr>
            <w:r w:rsidRPr="265B958A">
              <w:rPr>
                <w:rFonts w:cs="Arial"/>
              </w:rPr>
              <w:t>4</w:t>
            </w:r>
            <w:r w:rsidR="003F50BC" w:rsidRPr="265B958A">
              <w:rPr>
                <w:rFonts w:cs="Arial"/>
              </w:rPr>
              <w:t>.</w:t>
            </w:r>
            <w:r w:rsidRPr="265B958A">
              <w:rPr>
                <w:rFonts w:cs="Arial"/>
              </w:rPr>
              <w:t>6</w:t>
            </w:r>
            <w:r w:rsidR="003F50BC" w:rsidRPr="265B958A">
              <w:rPr>
                <w:rFonts w:cs="Arial"/>
              </w:rPr>
              <w:t>%</w:t>
            </w:r>
          </w:p>
        </w:tc>
        <w:tc>
          <w:tcPr>
            <w:tcW w:w="979" w:type="pct"/>
            <w:tcBorders>
              <w:top w:val="nil"/>
              <w:left w:val="single" w:sz="4" w:space="0" w:color="auto"/>
              <w:bottom w:val="single" w:sz="4" w:space="0" w:color="auto"/>
              <w:right w:val="single" w:sz="4" w:space="0" w:color="auto"/>
            </w:tcBorders>
            <w:vAlign w:val="bottom"/>
          </w:tcPr>
          <w:p w14:paraId="7A4D693C" w14:textId="77777777" w:rsidR="003F50BC" w:rsidRPr="007F1383" w:rsidRDefault="003F50BC" w:rsidP="000210F9">
            <w:pPr>
              <w:spacing w:before="120" w:after="120"/>
              <w:jc w:val="center"/>
              <w:rPr>
                <w:rFonts w:cs="Arial"/>
              </w:rPr>
            </w:pPr>
            <w:r w:rsidRPr="265B958A">
              <w:rPr>
                <w:rFonts w:cs="Arial"/>
              </w:rPr>
              <w:t>6.2%</w:t>
            </w:r>
          </w:p>
        </w:tc>
      </w:tr>
      <w:tr w:rsidR="003F50BC" w:rsidRPr="00D26A93" w14:paraId="36424A40" w14:textId="77777777" w:rsidTr="00E87E08">
        <w:trPr>
          <w:cantSplit/>
          <w:trHeight w:val="280"/>
          <w:tblHeader/>
          <w:jc w:val="center"/>
        </w:trPr>
        <w:tc>
          <w:tcPr>
            <w:tcW w:w="808" w:type="pct"/>
            <w:tcBorders>
              <w:top w:val="nil"/>
              <w:left w:val="single" w:sz="4" w:space="0" w:color="auto"/>
              <w:bottom w:val="single" w:sz="4" w:space="0" w:color="auto"/>
              <w:right w:val="single" w:sz="4" w:space="0" w:color="auto"/>
            </w:tcBorders>
            <w:noWrap/>
            <w:vAlign w:val="center"/>
            <w:hideMark/>
          </w:tcPr>
          <w:p w14:paraId="39D10B56" w14:textId="77777777" w:rsidR="003F50BC" w:rsidRPr="00D26A93" w:rsidRDefault="003F50BC" w:rsidP="000210F9">
            <w:pPr>
              <w:spacing w:before="120" w:after="120"/>
              <w:jc w:val="center"/>
              <w:rPr>
                <w:rFonts w:cs="Arial"/>
              </w:rPr>
            </w:pPr>
            <w:r w:rsidRPr="00D26A93">
              <w:rPr>
                <w:rFonts w:cs="Arial"/>
              </w:rPr>
              <w:t>2</w:t>
            </w:r>
          </w:p>
        </w:tc>
        <w:tc>
          <w:tcPr>
            <w:tcW w:w="1106" w:type="pct"/>
            <w:tcBorders>
              <w:top w:val="nil"/>
              <w:left w:val="single" w:sz="4" w:space="0" w:color="auto"/>
              <w:bottom w:val="single" w:sz="4" w:space="0" w:color="auto"/>
              <w:right w:val="single" w:sz="4" w:space="0" w:color="auto"/>
            </w:tcBorders>
            <w:vAlign w:val="bottom"/>
          </w:tcPr>
          <w:p w14:paraId="23ACA1EF" w14:textId="38EE7CDA" w:rsidR="003F50BC" w:rsidRPr="007F1383" w:rsidRDefault="003F50BC" w:rsidP="000210F9">
            <w:pPr>
              <w:spacing w:before="120" w:after="120"/>
              <w:jc w:val="center"/>
              <w:rPr>
                <w:rFonts w:cs="Arial"/>
              </w:rPr>
            </w:pPr>
            <w:r w:rsidRPr="265B958A">
              <w:rPr>
                <w:rFonts w:cs="Arial"/>
              </w:rPr>
              <w:t>1</w:t>
            </w:r>
            <w:r w:rsidR="007F1383" w:rsidRPr="265B958A">
              <w:rPr>
                <w:rFonts w:cs="Arial"/>
              </w:rPr>
              <w:t>3.0</w:t>
            </w:r>
            <w:r w:rsidRPr="265B958A">
              <w:rPr>
                <w:rFonts w:cs="Arial"/>
              </w:rPr>
              <w:t>%</w:t>
            </w:r>
          </w:p>
        </w:tc>
        <w:tc>
          <w:tcPr>
            <w:tcW w:w="639" w:type="pct"/>
            <w:tcBorders>
              <w:top w:val="nil"/>
              <w:left w:val="single" w:sz="4" w:space="0" w:color="auto"/>
              <w:bottom w:val="single" w:sz="4" w:space="0" w:color="auto"/>
              <w:right w:val="single" w:sz="4" w:space="0" w:color="auto"/>
            </w:tcBorders>
            <w:vAlign w:val="bottom"/>
          </w:tcPr>
          <w:p w14:paraId="30CD1070" w14:textId="0F02C9D6" w:rsidR="003F50BC" w:rsidRPr="007F1383" w:rsidRDefault="003F50BC" w:rsidP="000210F9">
            <w:pPr>
              <w:spacing w:before="120" w:after="120"/>
              <w:jc w:val="center"/>
              <w:rPr>
                <w:rFonts w:cs="Arial"/>
              </w:rPr>
            </w:pPr>
            <w:r w:rsidRPr="265B958A">
              <w:rPr>
                <w:rFonts w:cs="Arial"/>
              </w:rPr>
              <w:t>8</w:t>
            </w:r>
            <w:r w:rsidR="007F1383" w:rsidRPr="265B958A">
              <w:rPr>
                <w:rFonts w:cs="Arial"/>
              </w:rPr>
              <w:t>3</w:t>
            </w:r>
            <w:r w:rsidRPr="265B958A">
              <w:rPr>
                <w:rFonts w:cs="Arial"/>
              </w:rPr>
              <w:t>.</w:t>
            </w:r>
            <w:r w:rsidR="007F1383" w:rsidRPr="265B958A">
              <w:rPr>
                <w:rFonts w:cs="Arial"/>
              </w:rPr>
              <w:t>1</w:t>
            </w:r>
            <w:r w:rsidRPr="265B958A">
              <w:rPr>
                <w:rFonts w:cs="Arial"/>
              </w:rPr>
              <w:t>%</w:t>
            </w:r>
          </w:p>
        </w:tc>
        <w:tc>
          <w:tcPr>
            <w:tcW w:w="598" w:type="pct"/>
            <w:tcBorders>
              <w:top w:val="nil"/>
              <w:left w:val="single" w:sz="4" w:space="0" w:color="auto"/>
              <w:bottom w:val="single" w:sz="4" w:space="0" w:color="auto"/>
              <w:right w:val="single" w:sz="4" w:space="0" w:color="auto"/>
            </w:tcBorders>
            <w:vAlign w:val="bottom"/>
          </w:tcPr>
          <w:p w14:paraId="45FC5E85" w14:textId="5BDC3FAD" w:rsidR="003F50BC" w:rsidRPr="007F1383" w:rsidRDefault="007F1383" w:rsidP="000210F9">
            <w:pPr>
              <w:spacing w:before="120" w:after="120"/>
              <w:jc w:val="center"/>
              <w:rPr>
                <w:rFonts w:cs="Arial"/>
              </w:rPr>
            </w:pPr>
            <w:r w:rsidRPr="265B958A">
              <w:rPr>
                <w:rFonts w:cs="Arial"/>
              </w:rPr>
              <w:t>2.0</w:t>
            </w:r>
            <w:r w:rsidR="003F50BC" w:rsidRPr="265B958A">
              <w:rPr>
                <w:rFonts w:cs="Arial"/>
              </w:rPr>
              <w:t>%</w:t>
            </w:r>
          </w:p>
        </w:tc>
        <w:tc>
          <w:tcPr>
            <w:tcW w:w="870" w:type="pct"/>
            <w:tcBorders>
              <w:top w:val="nil"/>
              <w:left w:val="single" w:sz="4" w:space="0" w:color="auto"/>
              <w:bottom w:val="single" w:sz="4" w:space="0" w:color="auto"/>
              <w:right w:val="single" w:sz="4" w:space="0" w:color="auto"/>
            </w:tcBorders>
            <w:vAlign w:val="bottom"/>
          </w:tcPr>
          <w:p w14:paraId="7DC2F93E" w14:textId="23832C4B" w:rsidR="003F50BC" w:rsidRPr="007F1383" w:rsidRDefault="007F1383" w:rsidP="000210F9">
            <w:pPr>
              <w:spacing w:before="120" w:after="120"/>
              <w:jc w:val="center"/>
              <w:rPr>
                <w:rFonts w:cs="Arial"/>
              </w:rPr>
            </w:pPr>
            <w:r w:rsidRPr="265B958A">
              <w:rPr>
                <w:rFonts w:cs="Arial"/>
              </w:rPr>
              <w:t>5</w:t>
            </w:r>
            <w:r w:rsidR="003F50BC" w:rsidRPr="265B958A">
              <w:rPr>
                <w:rFonts w:cs="Arial"/>
              </w:rPr>
              <w:t>.</w:t>
            </w:r>
            <w:r w:rsidRPr="265B958A">
              <w:rPr>
                <w:rFonts w:cs="Arial"/>
              </w:rPr>
              <w:t>3</w:t>
            </w:r>
            <w:r w:rsidR="003F50BC" w:rsidRPr="265B958A">
              <w:rPr>
                <w:rFonts w:cs="Arial"/>
              </w:rPr>
              <w:t>%</w:t>
            </w:r>
          </w:p>
        </w:tc>
        <w:tc>
          <w:tcPr>
            <w:tcW w:w="979" w:type="pct"/>
            <w:tcBorders>
              <w:top w:val="nil"/>
              <w:left w:val="single" w:sz="4" w:space="0" w:color="auto"/>
              <w:bottom w:val="single" w:sz="4" w:space="0" w:color="auto"/>
              <w:right w:val="single" w:sz="4" w:space="0" w:color="auto"/>
            </w:tcBorders>
            <w:vAlign w:val="bottom"/>
          </w:tcPr>
          <w:p w14:paraId="3BE0B310" w14:textId="360729A0" w:rsidR="003F50BC" w:rsidRPr="007F1383" w:rsidRDefault="003F50BC" w:rsidP="000210F9">
            <w:pPr>
              <w:spacing w:before="120" w:after="120"/>
              <w:jc w:val="center"/>
              <w:rPr>
                <w:rFonts w:cs="Arial"/>
              </w:rPr>
            </w:pPr>
            <w:r w:rsidRPr="265B958A">
              <w:rPr>
                <w:rFonts w:cs="Arial"/>
              </w:rPr>
              <w:t>4.</w:t>
            </w:r>
            <w:r w:rsidR="007F1383" w:rsidRPr="265B958A">
              <w:rPr>
                <w:rFonts w:cs="Arial"/>
              </w:rPr>
              <w:t>3</w:t>
            </w:r>
            <w:r w:rsidRPr="265B958A">
              <w:rPr>
                <w:rFonts w:cs="Arial"/>
              </w:rPr>
              <w:t>%</w:t>
            </w:r>
          </w:p>
        </w:tc>
      </w:tr>
      <w:tr w:rsidR="003F50BC" w:rsidRPr="00D26A93" w14:paraId="669DEE69" w14:textId="77777777" w:rsidTr="00E87E08">
        <w:trPr>
          <w:cantSplit/>
          <w:trHeight w:val="280"/>
          <w:tblHeader/>
          <w:jc w:val="center"/>
        </w:trPr>
        <w:tc>
          <w:tcPr>
            <w:tcW w:w="808" w:type="pct"/>
            <w:tcBorders>
              <w:top w:val="nil"/>
              <w:left w:val="single" w:sz="4" w:space="0" w:color="auto"/>
              <w:bottom w:val="single" w:sz="4" w:space="0" w:color="auto"/>
              <w:right w:val="single" w:sz="4" w:space="0" w:color="auto"/>
            </w:tcBorders>
            <w:noWrap/>
            <w:vAlign w:val="center"/>
            <w:hideMark/>
          </w:tcPr>
          <w:p w14:paraId="28274022" w14:textId="77777777" w:rsidR="003F50BC" w:rsidRPr="00D26A93" w:rsidRDefault="003F50BC" w:rsidP="000210F9">
            <w:pPr>
              <w:spacing w:before="120" w:after="120"/>
              <w:jc w:val="center"/>
              <w:rPr>
                <w:rFonts w:cs="Arial"/>
              </w:rPr>
            </w:pPr>
            <w:r w:rsidRPr="00D26A93">
              <w:rPr>
                <w:rFonts w:cs="Arial"/>
              </w:rPr>
              <w:t>3</w:t>
            </w:r>
          </w:p>
        </w:tc>
        <w:tc>
          <w:tcPr>
            <w:tcW w:w="1106" w:type="pct"/>
            <w:tcBorders>
              <w:top w:val="nil"/>
              <w:left w:val="single" w:sz="4" w:space="0" w:color="auto"/>
              <w:bottom w:val="single" w:sz="4" w:space="0" w:color="auto"/>
              <w:right w:val="single" w:sz="4" w:space="0" w:color="auto"/>
            </w:tcBorders>
            <w:vAlign w:val="bottom"/>
          </w:tcPr>
          <w:p w14:paraId="04D42BC0" w14:textId="067F882B" w:rsidR="003F50BC" w:rsidRPr="007F1383" w:rsidRDefault="003F50BC" w:rsidP="000210F9">
            <w:pPr>
              <w:spacing w:before="120" w:after="120"/>
              <w:jc w:val="center"/>
              <w:rPr>
                <w:rFonts w:cs="Arial"/>
              </w:rPr>
            </w:pPr>
            <w:r w:rsidRPr="265B958A">
              <w:rPr>
                <w:rFonts w:cs="Arial"/>
              </w:rPr>
              <w:t>13.</w:t>
            </w:r>
            <w:r w:rsidR="007F1383" w:rsidRPr="265B958A">
              <w:rPr>
                <w:rFonts w:cs="Arial"/>
              </w:rPr>
              <w:t>9</w:t>
            </w:r>
            <w:r w:rsidRPr="265B958A">
              <w:rPr>
                <w:rFonts w:cs="Arial"/>
              </w:rPr>
              <w:t>%</w:t>
            </w:r>
          </w:p>
        </w:tc>
        <w:tc>
          <w:tcPr>
            <w:tcW w:w="639" w:type="pct"/>
            <w:tcBorders>
              <w:top w:val="nil"/>
              <w:left w:val="single" w:sz="4" w:space="0" w:color="auto"/>
              <w:bottom w:val="single" w:sz="4" w:space="0" w:color="auto"/>
              <w:right w:val="single" w:sz="4" w:space="0" w:color="auto"/>
            </w:tcBorders>
            <w:vAlign w:val="bottom"/>
          </w:tcPr>
          <w:p w14:paraId="5A9F1E98" w14:textId="298D0835" w:rsidR="003F50BC" w:rsidRPr="007F1383" w:rsidRDefault="003F50BC" w:rsidP="000210F9">
            <w:pPr>
              <w:spacing w:before="120" w:after="120"/>
              <w:jc w:val="center"/>
              <w:rPr>
                <w:rFonts w:cs="Arial"/>
              </w:rPr>
            </w:pPr>
            <w:r w:rsidRPr="265B958A">
              <w:rPr>
                <w:rFonts w:cs="Arial"/>
              </w:rPr>
              <w:t>8</w:t>
            </w:r>
            <w:r w:rsidR="007F1383" w:rsidRPr="265B958A">
              <w:rPr>
                <w:rFonts w:cs="Arial"/>
              </w:rPr>
              <w:t>1</w:t>
            </w:r>
            <w:r w:rsidRPr="265B958A">
              <w:rPr>
                <w:rFonts w:cs="Arial"/>
              </w:rPr>
              <w:t>.</w:t>
            </w:r>
            <w:r w:rsidR="007F1383" w:rsidRPr="265B958A">
              <w:rPr>
                <w:rFonts w:cs="Arial"/>
              </w:rPr>
              <w:t>8</w:t>
            </w:r>
            <w:r w:rsidRPr="265B958A">
              <w:rPr>
                <w:rFonts w:cs="Arial"/>
              </w:rPr>
              <w:t>%</w:t>
            </w:r>
          </w:p>
        </w:tc>
        <w:tc>
          <w:tcPr>
            <w:tcW w:w="598" w:type="pct"/>
            <w:tcBorders>
              <w:top w:val="nil"/>
              <w:left w:val="single" w:sz="4" w:space="0" w:color="auto"/>
              <w:bottom w:val="single" w:sz="4" w:space="0" w:color="auto"/>
              <w:right w:val="single" w:sz="4" w:space="0" w:color="auto"/>
            </w:tcBorders>
            <w:vAlign w:val="bottom"/>
          </w:tcPr>
          <w:p w14:paraId="25658FC0" w14:textId="14972AE6" w:rsidR="003F50BC" w:rsidRPr="007F1383" w:rsidRDefault="007F1383" w:rsidP="000210F9">
            <w:pPr>
              <w:spacing w:before="120" w:after="120"/>
              <w:jc w:val="center"/>
              <w:rPr>
                <w:rFonts w:cs="Arial"/>
              </w:rPr>
            </w:pPr>
            <w:r w:rsidRPr="265B958A">
              <w:rPr>
                <w:rFonts w:cs="Arial"/>
              </w:rPr>
              <w:t>2</w:t>
            </w:r>
            <w:r w:rsidR="003F50BC" w:rsidRPr="265B958A">
              <w:rPr>
                <w:rFonts w:cs="Arial"/>
              </w:rPr>
              <w:t>.</w:t>
            </w:r>
            <w:r w:rsidRPr="265B958A">
              <w:rPr>
                <w:rFonts w:cs="Arial"/>
              </w:rPr>
              <w:t>4</w:t>
            </w:r>
            <w:r w:rsidR="003F50BC" w:rsidRPr="265B958A">
              <w:rPr>
                <w:rFonts w:cs="Arial"/>
              </w:rPr>
              <w:t>%</w:t>
            </w:r>
          </w:p>
        </w:tc>
        <w:tc>
          <w:tcPr>
            <w:tcW w:w="870" w:type="pct"/>
            <w:tcBorders>
              <w:top w:val="nil"/>
              <w:left w:val="single" w:sz="4" w:space="0" w:color="auto"/>
              <w:bottom w:val="single" w:sz="4" w:space="0" w:color="auto"/>
              <w:right w:val="single" w:sz="4" w:space="0" w:color="auto"/>
            </w:tcBorders>
            <w:vAlign w:val="bottom"/>
          </w:tcPr>
          <w:p w14:paraId="44488D1F" w14:textId="7321FFD0" w:rsidR="003F50BC" w:rsidRPr="007F1383" w:rsidRDefault="007F1383" w:rsidP="000210F9">
            <w:pPr>
              <w:spacing w:before="120" w:after="120"/>
              <w:jc w:val="center"/>
              <w:rPr>
                <w:rFonts w:cs="Arial"/>
              </w:rPr>
            </w:pPr>
            <w:r w:rsidRPr="265B958A">
              <w:rPr>
                <w:rFonts w:cs="Arial"/>
              </w:rPr>
              <w:t>6</w:t>
            </w:r>
            <w:r w:rsidR="003F50BC" w:rsidRPr="265B958A">
              <w:rPr>
                <w:rFonts w:cs="Arial"/>
              </w:rPr>
              <w:t>.</w:t>
            </w:r>
            <w:r w:rsidRPr="265B958A">
              <w:rPr>
                <w:rFonts w:cs="Arial"/>
              </w:rPr>
              <w:t>3</w:t>
            </w:r>
            <w:r w:rsidR="003F50BC" w:rsidRPr="265B958A">
              <w:rPr>
                <w:rFonts w:cs="Arial"/>
              </w:rPr>
              <w:t>%</w:t>
            </w:r>
          </w:p>
        </w:tc>
        <w:tc>
          <w:tcPr>
            <w:tcW w:w="979" w:type="pct"/>
            <w:tcBorders>
              <w:top w:val="nil"/>
              <w:left w:val="single" w:sz="4" w:space="0" w:color="auto"/>
              <w:bottom w:val="single" w:sz="4" w:space="0" w:color="auto"/>
              <w:right w:val="single" w:sz="4" w:space="0" w:color="auto"/>
            </w:tcBorders>
            <w:vAlign w:val="bottom"/>
          </w:tcPr>
          <w:p w14:paraId="2E5AA5F8" w14:textId="292582A3" w:rsidR="003F50BC" w:rsidRPr="007F1383" w:rsidRDefault="003F50BC" w:rsidP="000210F9">
            <w:pPr>
              <w:spacing w:before="120" w:after="120"/>
              <w:jc w:val="center"/>
              <w:rPr>
                <w:rFonts w:cs="Arial"/>
              </w:rPr>
            </w:pPr>
            <w:r w:rsidRPr="265B958A">
              <w:rPr>
                <w:rFonts w:cs="Arial"/>
              </w:rPr>
              <w:t>4.</w:t>
            </w:r>
            <w:r w:rsidR="007F1383" w:rsidRPr="265B958A">
              <w:rPr>
                <w:rFonts w:cs="Arial"/>
              </w:rPr>
              <w:t>4</w:t>
            </w:r>
            <w:r w:rsidRPr="265B958A">
              <w:rPr>
                <w:rFonts w:cs="Arial"/>
              </w:rPr>
              <w:t>%</w:t>
            </w:r>
          </w:p>
        </w:tc>
      </w:tr>
      <w:tr w:rsidR="003F50BC" w:rsidRPr="00D26A93" w14:paraId="42F391FB" w14:textId="77777777" w:rsidTr="00E87E08">
        <w:trPr>
          <w:cantSplit/>
          <w:trHeight w:val="280"/>
          <w:tblHeader/>
          <w:jc w:val="center"/>
        </w:trPr>
        <w:tc>
          <w:tcPr>
            <w:tcW w:w="808" w:type="pct"/>
            <w:tcBorders>
              <w:top w:val="nil"/>
              <w:left w:val="single" w:sz="4" w:space="0" w:color="auto"/>
              <w:bottom w:val="single" w:sz="4" w:space="0" w:color="auto"/>
              <w:right w:val="single" w:sz="4" w:space="0" w:color="auto"/>
            </w:tcBorders>
            <w:noWrap/>
            <w:vAlign w:val="center"/>
            <w:hideMark/>
          </w:tcPr>
          <w:p w14:paraId="53D031BF" w14:textId="77777777" w:rsidR="003F50BC" w:rsidRPr="00D26A93" w:rsidRDefault="003F50BC" w:rsidP="000210F9">
            <w:pPr>
              <w:spacing w:before="120" w:after="120"/>
              <w:jc w:val="center"/>
              <w:rPr>
                <w:rFonts w:cs="Arial"/>
              </w:rPr>
            </w:pPr>
            <w:r w:rsidRPr="00D26A93">
              <w:rPr>
                <w:rFonts w:cs="Arial"/>
              </w:rPr>
              <w:t>4</w:t>
            </w:r>
          </w:p>
        </w:tc>
        <w:tc>
          <w:tcPr>
            <w:tcW w:w="1106" w:type="pct"/>
            <w:tcBorders>
              <w:top w:val="nil"/>
              <w:left w:val="single" w:sz="4" w:space="0" w:color="auto"/>
              <w:bottom w:val="single" w:sz="4" w:space="0" w:color="auto"/>
              <w:right w:val="single" w:sz="4" w:space="0" w:color="auto"/>
            </w:tcBorders>
            <w:vAlign w:val="bottom"/>
          </w:tcPr>
          <w:p w14:paraId="75115309" w14:textId="6A16B8EC" w:rsidR="003F50BC" w:rsidRPr="007F1383" w:rsidRDefault="003F50BC" w:rsidP="000210F9">
            <w:pPr>
              <w:spacing w:before="120" w:after="120"/>
              <w:jc w:val="center"/>
              <w:rPr>
                <w:rFonts w:cs="Arial"/>
              </w:rPr>
            </w:pPr>
            <w:r w:rsidRPr="265B958A">
              <w:rPr>
                <w:rFonts w:cs="Arial"/>
              </w:rPr>
              <w:t>1</w:t>
            </w:r>
            <w:r w:rsidR="007F1383" w:rsidRPr="265B958A">
              <w:rPr>
                <w:rFonts w:cs="Arial"/>
              </w:rPr>
              <w:t>4</w:t>
            </w:r>
            <w:r w:rsidRPr="265B958A">
              <w:rPr>
                <w:rFonts w:cs="Arial"/>
              </w:rPr>
              <w:t>.</w:t>
            </w:r>
            <w:r w:rsidR="007F1383" w:rsidRPr="265B958A">
              <w:rPr>
                <w:rFonts w:cs="Arial"/>
              </w:rPr>
              <w:t>8</w:t>
            </w:r>
            <w:r w:rsidRPr="265B958A">
              <w:rPr>
                <w:rFonts w:cs="Arial"/>
              </w:rPr>
              <w:t>%</w:t>
            </w:r>
          </w:p>
        </w:tc>
        <w:tc>
          <w:tcPr>
            <w:tcW w:w="639" w:type="pct"/>
            <w:tcBorders>
              <w:top w:val="nil"/>
              <w:left w:val="single" w:sz="4" w:space="0" w:color="auto"/>
              <w:bottom w:val="single" w:sz="4" w:space="0" w:color="auto"/>
              <w:right w:val="single" w:sz="4" w:space="0" w:color="auto"/>
            </w:tcBorders>
            <w:vAlign w:val="bottom"/>
          </w:tcPr>
          <w:p w14:paraId="34AB7AA1" w14:textId="0F659F84" w:rsidR="003F50BC" w:rsidRPr="007F1383" w:rsidRDefault="003F50BC" w:rsidP="000210F9">
            <w:pPr>
              <w:spacing w:before="120" w:after="120"/>
              <w:jc w:val="center"/>
              <w:rPr>
                <w:rFonts w:cs="Arial"/>
              </w:rPr>
            </w:pPr>
            <w:r w:rsidRPr="265B958A">
              <w:rPr>
                <w:rFonts w:cs="Arial"/>
              </w:rPr>
              <w:t>8</w:t>
            </w:r>
            <w:r w:rsidR="007F1383" w:rsidRPr="265B958A">
              <w:rPr>
                <w:rFonts w:cs="Arial"/>
              </w:rPr>
              <w:t>2</w:t>
            </w:r>
            <w:r w:rsidRPr="265B958A">
              <w:rPr>
                <w:rFonts w:cs="Arial"/>
              </w:rPr>
              <w:t>.</w:t>
            </w:r>
            <w:r w:rsidR="007F1383" w:rsidRPr="265B958A">
              <w:rPr>
                <w:rFonts w:cs="Arial"/>
              </w:rPr>
              <w:t>0</w:t>
            </w:r>
            <w:r w:rsidRPr="265B958A">
              <w:rPr>
                <w:rFonts w:cs="Arial"/>
              </w:rPr>
              <w:t>%</w:t>
            </w:r>
          </w:p>
        </w:tc>
        <w:tc>
          <w:tcPr>
            <w:tcW w:w="598" w:type="pct"/>
            <w:tcBorders>
              <w:top w:val="nil"/>
              <w:left w:val="single" w:sz="4" w:space="0" w:color="auto"/>
              <w:bottom w:val="single" w:sz="4" w:space="0" w:color="auto"/>
              <w:right w:val="single" w:sz="4" w:space="0" w:color="auto"/>
            </w:tcBorders>
            <w:vAlign w:val="bottom"/>
          </w:tcPr>
          <w:p w14:paraId="318C3DCB" w14:textId="595D32AC" w:rsidR="003F50BC" w:rsidRPr="007F1383" w:rsidRDefault="007F1383" w:rsidP="000210F9">
            <w:pPr>
              <w:spacing w:before="120" w:after="120"/>
              <w:jc w:val="center"/>
              <w:rPr>
                <w:rFonts w:cs="Arial"/>
              </w:rPr>
            </w:pPr>
            <w:r w:rsidRPr="265B958A">
              <w:rPr>
                <w:rFonts w:cs="Arial"/>
              </w:rPr>
              <w:t>3</w:t>
            </w:r>
            <w:r w:rsidR="003F50BC" w:rsidRPr="265B958A">
              <w:rPr>
                <w:rFonts w:cs="Arial"/>
              </w:rPr>
              <w:t>.</w:t>
            </w:r>
            <w:r w:rsidRPr="265B958A">
              <w:rPr>
                <w:rFonts w:cs="Arial"/>
              </w:rPr>
              <w:t>1</w:t>
            </w:r>
            <w:r w:rsidR="003F50BC" w:rsidRPr="265B958A">
              <w:rPr>
                <w:rFonts w:cs="Arial"/>
              </w:rPr>
              <w:t>%</w:t>
            </w:r>
          </w:p>
        </w:tc>
        <w:tc>
          <w:tcPr>
            <w:tcW w:w="870" w:type="pct"/>
            <w:tcBorders>
              <w:top w:val="nil"/>
              <w:left w:val="single" w:sz="4" w:space="0" w:color="auto"/>
              <w:bottom w:val="single" w:sz="4" w:space="0" w:color="auto"/>
              <w:right w:val="single" w:sz="4" w:space="0" w:color="auto"/>
            </w:tcBorders>
            <w:vAlign w:val="bottom"/>
          </w:tcPr>
          <w:p w14:paraId="6C2B5D46" w14:textId="634D7B5B" w:rsidR="003F50BC" w:rsidRPr="007F1383" w:rsidRDefault="007F1383" w:rsidP="000210F9">
            <w:pPr>
              <w:spacing w:before="120" w:after="120"/>
              <w:jc w:val="center"/>
              <w:rPr>
                <w:rFonts w:cs="Arial"/>
              </w:rPr>
            </w:pPr>
            <w:r w:rsidRPr="265B958A">
              <w:rPr>
                <w:rFonts w:cs="Arial"/>
              </w:rPr>
              <w:t>7</w:t>
            </w:r>
            <w:r w:rsidR="003F50BC" w:rsidRPr="265B958A">
              <w:rPr>
                <w:rFonts w:cs="Arial"/>
              </w:rPr>
              <w:t>.</w:t>
            </w:r>
            <w:r w:rsidRPr="265B958A">
              <w:rPr>
                <w:rFonts w:cs="Arial"/>
              </w:rPr>
              <w:t>9</w:t>
            </w:r>
            <w:r w:rsidR="003F50BC" w:rsidRPr="265B958A">
              <w:rPr>
                <w:rFonts w:cs="Arial"/>
              </w:rPr>
              <w:t>%</w:t>
            </w:r>
          </w:p>
        </w:tc>
        <w:tc>
          <w:tcPr>
            <w:tcW w:w="979" w:type="pct"/>
            <w:tcBorders>
              <w:top w:val="nil"/>
              <w:left w:val="single" w:sz="4" w:space="0" w:color="auto"/>
              <w:bottom w:val="single" w:sz="4" w:space="0" w:color="auto"/>
              <w:right w:val="single" w:sz="4" w:space="0" w:color="auto"/>
            </w:tcBorders>
            <w:vAlign w:val="bottom"/>
          </w:tcPr>
          <w:p w14:paraId="56A6400A" w14:textId="77777777" w:rsidR="003F50BC" w:rsidRPr="007F1383" w:rsidRDefault="003F50BC" w:rsidP="000210F9">
            <w:pPr>
              <w:spacing w:before="120" w:after="120"/>
              <w:jc w:val="center"/>
              <w:rPr>
                <w:rFonts w:cs="Arial"/>
              </w:rPr>
            </w:pPr>
            <w:r w:rsidRPr="265B958A">
              <w:rPr>
                <w:rFonts w:cs="Arial"/>
              </w:rPr>
              <w:t>2.5%</w:t>
            </w:r>
          </w:p>
        </w:tc>
      </w:tr>
      <w:tr w:rsidR="00190652" w:rsidRPr="00D26A93" w14:paraId="4FAE4ED6" w14:textId="77777777" w:rsidTr="00E87E08">
        <w:trPr>
          <w:cantSplit/>
          <w:trHeight w:val="280"/>
          <w:tblHeader/>
          <w:jc w:val="center"/>
        </w:trPr>
        <w:tc>
          <w:tcPr>
            <w:tcW w:w="808" w:type="pct"/>
            <w:tcBorders>
              <w:top w:val="nil"/>
              <w:left w:val="single" w:sz="4" w:space="0" w:color="auto"/>
              <w:bottom w:val="single" w:sz="4" w:space="0" w:color="auto"/>
              <w:right w:val="single" w:sz="4" w:space="0" w:color="auto"/>
            </w:tcBorders>
            <w:noWrap/>
            <w:vAlign w:val="center"/>
            <w:hideMark/>
          </w:tcPr>
          <w:p w14:paraId="15341590" w14:textId="77777777" w:rsidR="003F50BC" w:rsidRPr="00D26A93" w:rsidRDefault="003F50BC" w:rsidP="000210F9">
            <w:pPr>
              <w:spacing w:before="120" w:after="120"/>
              <w:jc w:val="center"/>
              <w:rPr>
                <w:rFonts w:cs="Arial"/>
                <w:b/>
                <w:bCs/>
              </w:rPr>
            </w:pPr>
            <w:r w:rsidRPr="00D26A93">
              <w:rPr>
                <w:rFonts w:cs="Arial"/>
                <w:b/>
                <w:bCs/>
              </w:rPr>
              <w:t>Statewide</w:t>
            </w:r>
          </w:p>
        </w:tc>
        <w:tc>
          <w:tcPr>
            <w:tcW w:w="1106" w:type="pct"/>
            <w:tcBorders>
              <w:top w:val="nil"/>
              <w:left w:val="single" w:sz="4" w:space="0" w:color="auto"/>
              <w:bottom w:val="single" w:sz="4" w:space="0" w:color="auto"/>
              <w:right w:val="single" w:sz="4" w:space="0" w:color="auto"/>
            </w:tcBorders>
            <w:vAlign w:val="bottom"/>
          </w:tcPr>
          <w:p w14:paraId="0A2C04D1" w14:textId="185E0275" w:rsidR="003F50BC" w:rsidRPr="007F1383" w:rsidRDefault="003F50BC" w:rsidP="000210F9">
            <w:pPr>
              <w:spacing w:before="120" w:after="120"/>
              <w:jc w:val="center"/>
              <w:rPr>
                <w:rFonts w:cs="Arial"/>
                <w:b/>
                <w:bCs/>
              </w:rPr>
            </w:pPr>
            <w:r w:rsidRPr="265B958A">
              <w:rPr>
                <w:rFonts w:cs="Arial"/>
                <w:b/>
                <w:bCs/>
              </w:rPr>
              <w:t>1</w:t>
            </w:r>
            <w:r w:rsidR="007F1383" w:rsidRPr="265B958A">
              <w:rPr>
                <w:rFonts w:cs="Arial"/>
                <w:b/>
                <w:bCs/>
              </w:rPr>
              <w:t>3.3</w:t>
            </w:r>
            <w:r w:rsidRPr="265B958A">
              <w:rPr>
                <w:rFonts w:cs="Arial"/>
                <w:b/>
                <w:bCs/>
              </w:rPr>
              <w:t>%</w:t>
            </w:r>
          </w:p>
        </w:tc>
        <w:tc>
          <w:tcPr>
            <w:tcW w:w="639" w:type="pct"/>
            <w:tcBorders>
              <w:top w:val="nil"/>
              <w:left w:val="single" w:sz="4" w:space="0" w:color="auto"/>
              <w:bottom w:val="single" w:sz="4" w:space="0" w:color="auto"/>
              <w:right w:val="single" w:sz="4" w:space="0" w:color="auto"/>
            </w:tcBorders>
            <w:vAlign w:val="bottom"/>
          </w:tcPr>
          <w:p w14:paraId="55C16EB0" w14:textId="169215F7" w:rsidR="003F50BC" w:rsidRPr="007F1383" w:rsidRDefault="003F50BC" w:rsidP="000210F9">
            <w:pPr>
              <w:spacing w:before="120" w:after="120"/>
              <w:jc w:val="center"/>
              <w:rPr>
                <w:rFonts w:cs="Arial"/>
                <w:b/>
                <w:bCs/>
              </w:rPr>
            </w:pPr>
            <w:r w:rsidRPr="265B958A">
              <w:rPr>
                <w:rFonts w:cs="Arial"/>
                <w:b/>
                <w:bCs/>
              </w:rPr>
              <w:t>8</w:t>
            </w:r>
            <w:r w:rsidR="007F1383" w:rsidRPr="265B958A">
              <w:rPr>
                <w:rFonts w:cs="Arial"/>
                <w:b/>
                <w:bCs/>
              </w:rPr>
              <w:t>2</w:t>
            </w:r>
            <w:r w:rsidRPr="265B958A">
              <w:rPr>
                <w:rFonts w:cs="Arial"/>
                <w:b/>
                <w:bCs/>
              </w:rPr>
              <w:t>.</w:t>
            </w:r>
            <w:r w:rsidR="007F1383" w:rsidRPr="265B958A">
              <w:rPr>
                <w:rFonts w:cs="Arial"/>
                <w:b/>
                <w:bCs/>
              </w:rPr>
              <w:t>5</w:t>
            </w:r>
            <w:r w:rsidRPr="265B958A">
              <w:rPr>
                <w:rFonts w:cs="Arial"/>
                <w:b/>
                <w:bCs/>
              </w:rPr>
              <w:t>%</w:t>
            </w:r>
          </w:p>
        </w:tc>
        <w:tc>
          <w:tcPr>
            <w:tcW w:w="598" w:type="pct"/>
            <w:tcBorders>
              <w:top w:val="nil"/>
              <w:left w:val="single" w:sz="4" w:space="0" w:color="auto"/>
              <w:bottom w:val="single" w:sz="4" w:space="0" w:color="auto"/>
              <w:right w:val="single" w:sz="4" w:space="0" w:color="auto"/>
            </w:tcBorders>
            <w:vAlign w:val="bottom"/>
          </w:tcPr>
          <w:p w14:paraId="78C02895" w14:textId="5F5737F5" w:rsidR="003F50BC" w:rsidRPr="007F1383" w:rsidRDefault="007F1383" w:rsidP="000210F9">
            <w:pPr>
              <w:spacing w:before="120" w:after="120"/>
              <w:jc w:val="center"/>
              <w:rPr>
                <w:rFonts w:cs="Arial"/>
                <w:b/>
                <w:bCs/>
              </w:rPr>
            </w:pPr>
            <w:r w:rsidRPr="265B958A">
              <w:rPr>
                <w:rFonts w:cs="Arial"/>
                <w:b/>
                <w:bCs/>
              </w:rPr>
              <w:t>2</w:t>
            </w:r>
            <w:r w:rsidR="003F50BC" w:rsidRPr="265B958A">
              <w:rPr>
                <w:rFonts w:cs="Arial"/>
                <w:b/>
                <w:bCs/>
              </w:rPr>
              <w:t>.</w:t>
            </w:r>
            <w:r w:rsidRPr="265B958A">
              <w:rPr>
                <w:rFonts w:cs="Arial"/>
                <w:b/>
                <w:bCs/>
              </w:rPr>
              <w:t>2</w:t>
            </w:r>
            <w:r w:rsidR="003F50BC" w:rsidRPr="265B958A">
              <w:rPr>
                <w:rFonts w:cs="Arial"/>
                <w:b/>
                <w:bCs/>
              </w:rPr>
              <w:t>%</w:t>
            </w:r>
          </w:p>
        </w:tc>
        <w:tc>
          <w:tcPr>
            <w:tcW w:w="870" w:type="pct"/>
            <w:tcBorders>
              <w:top w:val="nil"/>
              <w:left w:val="single" w:sz="4" w:space="0" w:color="auto"/>
              <w:bottom w:val="single" w:sz="4" w:space="0" w:color="auto"/>
              <w:right w:val="single" w:sz="4" w:space="0" w:color="auto"/>
            </w:tcBorders>
            <w:vAlign w:val="bottom"/>
          </w:tcPr>
          <w:p w14:paraId="7EE1C360" w14:textId="15C229EF" w:rsidR="003F50BC" w:rsidRPr="007F1383" w:rsidRDefault="007F1383" w:rsidP="000210F9">
            <w:pPr>
              <w:spacing w:before="120" w:after="120"/>
              <w:jc w:val="center"/>
              <w:rPr>
                <w:rFonts w:cs="Arial"/>
                <w:b/>
                <w:bCs/>
              </w:rPr>
            </w:pPr>
            <w:r w:rsidRPr="265B958A">
              <w:rPr>
                <w:rFonts w:cs="Arial"/>
                <w:b/>
                <w:bCs/>
              </w:rPr>
              <w:t>6</w:t>
            </w:r>
            <w:r w:rsidR="003F50BC" w:rsidRPr="265B958A">
              <w:rPr>
                <w:rFonts w:cs="Arial"/>
                <w:b/>
                <w:bCs/>
              </w:rPr>
              <w:t>.</w:t>
            </w:r>
            <w:r w:rsidRPr="265B958A">
              <w:rPr>
                <w:rFonts w:cs="Arial"/>
                <w:b/>
                <w:bCs/>
              </w:rPr>
              <w:t>0</w:t>
            </w:r>
            <w:r w:rsidR="003F50BC" w:rsidRPr="265B958A">
              <w:rPr>
                <w:rFonts w:cs="Arial"/>
                <w:b/>
                <w:bCs/>
              </w:rPr>
              <w:t>%</w:t>
            </w:r>
          </w:p>
        </w:tc>
        <w:tc>
          <w:tcPr>
            <w:tcW w:w="979" w:type="pct"/>
            <w:tcBorders>
              <w:top w:val="nil"/>
              <w:left w:val="single" w:sz="4" w:space="0" w:color="auto"/>
              <w:bottom w:val="single" w:sz="4" w:space="0" w:color="auto"/>
              <w:right w:val="single" w:sz="4" w:space="0" w:color="auto"/>
            </w:tcBorders>
            <w:vAlign w:val="bottom"/>
          </w:tcPr>
          <w:p w14:paraId="361145C4" w14:textId="77777777" w:rsidR="003F50BC" w:rsidRPr="007F1383" w:rsidRDefault="003F50BC" w:rsidP="000210F9">
            <w:pPr>
              <w:spacing w:before="120" w:after="120"/>
              <w:jc w:val="center"/>
              <w:rPr>
                <w:rFonts w:cs="Arial"/>
                <w:b/>
                <w:bCs/>
              </w:rPr>
            </w:pPr>
            <w:r w:rsidRPr="265B958A">
              <w:rPr>
                <w:rFonts w:cs="Arial"/>
                <w:b/>
                <w:bCs/>
              </w:rPr>
              <w:t>4.3%</w:t>
            </w:r>
          </w:p>
        </w:tc>
      </w:tr>
    </w:tbl>
    <w:p w14:paraId="6D135163" w14:textId="0C72F7CB" w:rsidR="003F50BC" w:rsidRPr="00D26A93" w:rsidRDefault="003F50BC" w:rsidP="000210F9">
      <w:pPr>
        <w:spacing w:before="240" w:after="480"/>
        <w:rPr>
          <w:rFonts w:cs="Arial"/>
          <w:b/>
          <w:bCs/>
        </w:rPr>
      </w:pPr>
      <w:r w:rsidRPr="265B958A">
        <w:rPr>
          <w:rFonts w:cs="Arial"/>
        </w:rPr>
        <w:t>Table 3b includes the same minority quartiles but includes the percentage of inexperienced, clear, intern, ineffective, and out-of-field teachers assigned to the schools in each quartile. Quartile 1</w:t>
      </w:r>
      <w:r w:rsidR="00516C90">
        <w:rPr>
          <w:rFonts w:cs="Arial"/>
        </w:rPr>
        <w:t xml:space="preserve">, which </w:t>
      </w:r>
      <w:r w:rsidRPr="265B958A">
        <w:rPr>
          <w:rFonts w:cs="Arial"/>
        </w:rPr>
        <w:t>includes schools with the lowest percentage of minority students</w:t>
      </w:r>
      <w:r w:rsidR="00516C90">
        <w:rPr>
          <w:rFonts w:cs="Arial"/>
        </w:rPr>
        <w:t>,</w:t>
      </w:r>
      <w:r w:rsidRPr="265B958A">
        <w:rPr>
          <w:rFonts w:cs="Arial"/>
        </w:rPr>
        <w:t xml:space="preserve"> has 11</w:t>
      </w:r>
      <w:r w:rsidR="007F1383" w:rsidRPr="265B958A">
        <w:rPr>
          <w:rFonts w:cs="Arial"/>
        </w:rPr>
        <w:t>.5</w:t>
      </w:r>
      <w:r w:rsidRPr="265B958A">
        <w:rPr>
          <w:rFonts w:cs="Arial"/>
        </w:rPr>
        <w:t xml:space="preserve"> percent inexperienced FTEs</w:t>
      </w:r>
      <w:r w:rsidR="00516C90">
        <w:rPr>
          <w:rFonts w:cs="Arial"/>
        </w:rPr>
        <w:t>,</w:t>
      </w:r>
      <w:r w:rsidRPr="265B958A">
        <w:rPr>
          <w:rFonts w:cs="Arial"/>
        </w:rPr>
        <w:t xml:space="preserve"> while </w:t>
      </w:r>
      <w:r w:rsidR="003D79CD" w:rsidRPr="265B958A">
        <w:rPr>
          <w:rFonts w:cs="Arial"/>
        </w:rPr>
        <w:t>Q</w:t>
      </w:r>
      <w:r w:rsidRPr="265B958A">
        <w:rPr>
          <w:rFonts w:cs="Arial"/>
        </w:rPr>
        <w:t>uartile 4</w:t>
      </w:r>
      <w:r w:rsidR="00516C90">
        <w:rPr>
          <w:rFonts w:cs="Arial"/>
        </w:rPr>
        <w:t>,</w:t>
      </w:r>
      <w:r w:rsidRPr="265B958A">
        <w:rPr>
          <w:rFonts w:cs="Arial"/>
        </w:rPr>
        <w:t xml:space="preserve"> with the highest percentage of minority students</w:t>
      </w:r>
      <w:r w:rsidR="00516C90">
        <w:rPr>
          <w:rFonts w:cs="Arial"/>
        </w:rPr>
        <w:t>,</w:t>
      </w:r>
      <w:r w:rsidRPr="265B958A">
        <w:rPr>
          <w:rFonts w:cs="Arial"/>
        </w:rPr>
        <w:t xml:space="preserve"> has 1</w:t>
      </w:r>
      <w:r w:rsidR="007F1383" w:rsidRPr="265B958A">
        <w:rPr>
          <w:rFonts w:cs="Arial"/>
        </w:rPr>
        <w:t>4</w:t>
      </w:r>
      <w:r w:rsidRPr="265B958A">
        <w:rPr>
          <w:rFonts w:cs="Arial"/>
        </w:rPr>
        <w:t>.</w:t>
      </w:r>
      <w:r w:rsidR="007F1383" w:rsidRPr="265B958A">
        <w:rPr>
          <w:rFonts w:cs="Arial"/>
        </w:rPr>
        <w:t>8</w:t>
      </w:r>
      <w:r w:rsidRPr="265B958A">
        <w:rPr>
          <w:rFonts w:cs="Arial"/>
        </w:rPr>
        <w:t xml:space="preserve"> percent. Quartile 1 has </w:t>
      </w:r>
      <w:r w:rsidR="007F1383" w:rsidRPr="265B958A">
        <w:rPr>
          <w:rFonts w:cs="Arial"/>
        </w:rPr>
        <w:t>83.2</w:t>
      </w:r>
      <w:r w:rsidRPr="265B958A">
        <w:rPr>
          <w:rFonts w:cs="Arial"/>
        </w:rPr>
        <w:t xml:space="preserve"> percent clear teachers, while Quartile 4 has </w:t>
      </w:r>
      <w:r w:rsidR="007F1383" w:rsidRPr="265B958A">
        <w:rPr>
          <w:rFonts w:cs="Arial"/>
        </w:rPr>
        <w:t>82</w:t>
      </w:r>
      <w:r w:rsidRPr="265B958A">
        <w:rPr>
          <w:rFonts w:cs="Arial"/>
        </w:rPr>
        <w:t xml:space="preserve"> percent. The percentage of intern teachers assigned </w:t>
      </w:r>
      <w:r w:rsidR="00516C90">
        <w:rPr>
          <w:rFonts w:cs="Arial"/>
        </w:rPr>
        <w:t>in</w:t>
      </w:r>
      <w:r w:rsidRPr="265B958A">
        <w:rPr>
          <w:rFonts w:cs="Arial"/>
        </w:rPr>
        <w:t xml:space="preserve"> </w:t>
      </w:r>
      <w:r w:rsidR="003E330F" w:rsidRPr="265B958A">
        <w:rPr>
          <w:rFonts w:cs="Arial"/>
        </w:rPr>
        <w:t>Q</w:t>
      </w:r>
      <w:r w:rsidRPr="265B958A">
        <w:rPr>
          <w:rFonts w:cs="Arial"/>
        </w:rPr>
        <w:t>uartile 1 is 1.</w:t>
      </w:r>
      <w:r w:rsidR="007F1383" w:rsidRPr="265B958A">
        <w:rPr>
          <w:rFonts w:cs="Arial"/>
        </w:rPr>
        <w:t>5</w:t>
      </w:r>
      <w:r w:rsidRPr="265B958A">
        <w:rPr>
          <w:rFonts w:cs="Arial"/>
        </w:rPr>
        <w:t xml:space="preserve"> percent</w:t>
      </w:r>
      <w:r w:rsidR="004A1D87">
        <w:rPr>
          <w:rFonts w:cs="Arial"/>
        </w:rPr>
        <w:t>,</w:t>
      </w:r>
      <w:r w:rsidRPr="265B958A">
        <w:rPr>
          <w:rFonts w:cs="Arial"/>
        </w:rPr>
        <w:t xml:space="preserve"> and the percentage of intern teachers in Quartile 4 is </w:t>
      </w:r>
      <w:r w:rsidR="007F1383" w:rsidRPr="265B958A">
        <w:rPr>
          <w:rFonts w:cs="Arial"/>
        </w:rPr>
        <w:t>3.1</w:t>
      </w:r>
      <w:r w:rsidRPr="265B958A">
        <w:rPr>
          <w:rFonts w:cs="Arial"/>
        </w:rPr>
        <w:t xml:space="preserve"> percent. The </w:t>
      </w:r>
      <w:r w:rsidR="000427A8">
        <w:rPr>
          <w:rFonts w:cs="Arial"/>
        </w:rPr>
        <w:t>proportion of ineffective teachers in</w:t>
      </w:r>
      <w:r w:rsidRPr="265B958A">
        <w:rPr>
          <w:rFonts w:cs="Arial"/>
        </w:rPr>
        <w:t xml:space="preserve"> </w:t>
      </w:r>
      <w:r w:rsidR="003E330F" w:rsidRPr="265B958A">
        <w:rPr>
          <w:rFonts w:cs="Arial"/>
        </w:rPr>
        <w:t>Q</w:t>
      </w:r>
      <w:r w:rsidRPr="265B958A">
        <w:rPr>
          <w:rFonts w:cs="Arial"/>
        </w:rPr>
        <w:t xml:space="preserve">uartile 1 and Quartile 4 </w:t>
      </w:r>
      <w:proofErr w:type="gramStart"/>
      <w:r w:rsidRPr="265B958A">
        <w:rPr>
          <w:rFonts w:cs="Arial"/>
        </w:rPr>
        <w:t>is</w:t>
      </w:r>
      <w:proofErr w:type="gramEnd"/>
      <w:r w:rsidRPr="265B958A">
        <w:rPr>
          <w:rFonts w:cs="Arial"/>
        </w:rPr>
        <w:t xml:space="preserve"> </w:t>
      </w:r>
      <w:r w:rsidR="007F1383" w:rsidRPr="265B958A">
        <w:rPr>
          <w:rFonts w:cs="Arial"/>
        </w:rPr>
        <w:t>4.6</w:t>
      </w:r>
      <w:r w:rsidRPr="265B958A">
        <w:rPr>
          <w:rFonts w:cs="Arial"/>
        </w:rPr>
        <w:t xml:space="preserve"> percent and </w:t>
      </w:r>
      <w:r w:rsidR="007F1383" w:rsidRPr="265B958A">
        <w:rPr>
          <w:rFonts w:cs="Arial"/>
        </w:rPr>
        <w:t>7.9</w:t>
      </w:r>
      <w:r w:rsidRPr="265B958A">
        <w:rPr>
          <w:rFonts w:cs="Arial"/>
        </w:rPr>
        <w:t xml:space="preserve"> percent</w:t>
      </w:r>
      <w:r w:rsidR="000427A8">
        <w:rPr>
          <w:rFonts w:cs="Arial"/>
        </w:rPr>
        <w:t>,</w:t>
      </w:r>
      <w:r w:rsidRPr="265B958A">
        <w:rPr>
          <w:rFonts w:cs="Arial"/>
        </w:rPr>
        <w:t xml:space="preserve"> respectively. Finally, </w:t>
      </w:r>
      <w:r w:rsidR="000427A8" w:rsidRPr="265B958A">
        <w:rPr>
          <w:rFonts w:cs="Arial"/>
        </w:rPr>
        <w:t xml:space="preserve">6.2 percent </w:t>
      </w:r>
      <w:r w:rsidR="000427A8">
        <w:rPr>
          <w:rFonts w:cs="Arial"/>
        </w:rPr>
        <w:t xml:space="preserve">of teachers are </w:t>
      </w:r>
      <w:r w:rsidRPr="265B958A">
        <w:rPr>
          <w:rFonts w:cs="Arial"/>
        </w:rPr>
        <w:t xml:space="preserve">out-of-field </w:t>
      </w:r>
      <w:r w:rsidR="00C50F16" w:rsidRPr="265B958A">
        <w:rPr>
          <w:rFonts w:cs="Arial"/>
        </w:rPr>
        <w:t>in Quartile 1</w:t>
      </w:r>
      <w:r w:rsidR="004A1D87">
        <w:rPr>
          <w:rFonts w:cs="Arial"/>
        </w:rPr>
        <w:t>,</w:t>
      </w:r>
      <w:r w:rsidRPr="265B958A">
        <w:rPr>
          <w:rFonts w:cs="Arial"/>
        </w:rPr>
        <w:t xml:space="preserve"> and 2.5 percent</w:t>
      </w:r>
      <w:r w:rsidR="000427A8">
        <w:rPr>
          <w:rFonts w:cs="Arial"/>
        </w:rPr>
        <w:t xml:space="preserve"> of teachers are out-of-field</w:t>
      </w:r>
      <w:r w:rsidRPr="265B958A">
        <w:rPr>
          <w:rFonts w:cs="Arial"/>
        </w:rPr>
        <w:t xml:space="preserve"> in Quartile 4.</w:t>
      </w:r>
    </w:p>
    <w:p w14:paraId="19264784" w14:textId="7B1DABF3" w:rsidR="003F50BC" w:rsidRPr="00D26A93" w:rsidRDefault="003F50BC" w:rsidP="00E87E08">
      <w:pPr>
        <w:pStyle w:val="Heading4"/>
        <w:rPr>
          <w:i/>
          <w:lang w:val="en"/>
        </w:rPr>
      </w:pPr>
      <w:r w:rsidRPr="265B958A">
        <w:rPr>
          <w:lang w:val="en"/>
        </w:rPr>
        <w:t xml:space="preserve">Table 3c: Summary of </w:t>
      </w:r>
      <w:r w:rsidR="00830A69" w:rsidRPr="265B958A">
        <w:rPr>
          <w:lang w:val="en"/>
        </w:rPr>
        <w:t>2023–24</w:t>
      </w:r>
      <w:r w:rsidR="157F539A" w:rsidRPr="265B958A">
        <w:rPr>
          <w:lang w:val="en"/>
        </w:rPr>
        <w:t xml:space="preserve"> </w:t>
      </w:r>
      <w:r w:rsidRPr="265B958A">
        <w:rPr>
          <w:lang w:val="en"/>
        </w:rPr>
        <w:t>Educator Equity Data: Minority Quartiles</w:t>
      </w:r>
      <w:r w:rsidR="008E70B0" w:rsidRPr="265B958A">
        <w:rPr>
          <w:lang w:val="en"/>
        </w:rPr>
        <w:t xml:space="preserve"> - Incomplete, Unknown, and Not Applicable</w:t>
      </w:r>
    </w:p>
    <w:tbl>
      <w:tblPr>
        <w:tblW w:w="5000" w:type="pct"/>
        <w:jc w:val="center"/>
        <w:tblLook w:val="04A0" w:firstRow="1" w:lastRow="0" w:firstColumn="1" w:lastColumn="0" w:noHBand="0" w:noVBand="1"/>
        <w:tblCaption w:val="Table 3c: Summary of 2023–24 Educator Equity Data: Minority Quartiles"/>
        <w:tblDescription w:val="Table 3c includes the same minority quartiles, but includes the percentage of incomplete, unknown, and N/A FTEs assigned to the schools in each quartile. "/>
      </w:tblPr>
      <w:tblGrid>
        <w:gridCol w:w="3895"/>
        <w:gridCol w:w="2079"/>
        <w:gridCol w:w="1818"/>
        <w:gridCol w:w="1558"/>
      </w:tblGrid>
      <w:tr w:rsidR="003F50BC" w:rsidRPr="00D26A93" w14:paraId="3F21B7C2" w14:textId="77777777" w:rsidTr="00E87E08">
        <w:trPr>
          <w:cantSplit/>
          <w:trHeight w:val="900"/>
          <w:tblHeader/>
          <w:jc w:val="center"/>
        </w:trPr>
        <w:tc>
          <w:tcPr>
            <w:tcW w:w="20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9252DD" w14:textId="77777777" w:rsidR="003F50BC" w:rsidRPr="00D26A93" w:rsidRDefault="003F50BC" w:rsidP="000210F9">
            <w:pPr>
              <w:spacing w:before="120" w:after="120"/>
              <w:jc w:val="center"/>
              <w:rPr>
                <w:rFonts w:cs="Arial"/>
                <w:b/>
                <w:bCs/>
              </w:rPr>
            </w:pPr>
            <w:r w:rsidRPr="00D26A93">
              <w:rPr>
                <w:rFonts w:cs="Arial"/>
                <w:b/>
                <w:bCs/>
              </w:rPr>
              <w:t>Minority Quartile Rank</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1E62A" w14:textId="77777777" w:rsidR="003F50BC" w:rsidRPr="00D26A93" w:rsidRDefault="003F50BC" w:rsidP="000210F9">
            <w:pPr>
              <w:spacing w:before="120" w:after="120"/>
              <w:jc w:val="center"/>
              <w:rPr>
                <w:rFonts w:cs="Arial"/>
                <w:b/>
                <w:bCs/>
              </w:rPr>
            </w:pPr>
            <w:r w:rsidRPr="00D26A93">
              <w:rPr>
                <w:rFonts w:cs="Arial"/>
                <w:b/>
                <w:bCs/>
              </w:rPr>
              <w:t>Incomplete</w:t>
            </w:r>
            <w:r w:rsidRPr="00D26A93">
              <w:rPr>
                <w:rFonts w:cs="Arial"/>
                <w:b/>
                <w:bCs/>
              </w:rPr>
              <w:br/>
              <w:t>FTE (%)</w:t>
            </w:r>
          </w:p>
        </w:tc>
        <w:tc>
          <w:tcPr>
            <w:tcW w:w="9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67B917" w14:textId="77777777" w:rsidR="003F50BC" w:rsidRPr="00D26A93" w:rsidRDefault="003F50BC" w:rsidP="000210F9">
            <w:pPr>
              <w:spacing w:before="120" w:after="120"/>
              <w:jc w:val="center"/>
              <w:rPr>
                <w:rFonts w:cs="Arial"/>
                <w:b/>
                <w:bCs/>
              </w:rPr>
            </w:pPr>
            <w:r w:rsidRPr="00D26A93">
              <w:rPr>
                <w:rFonts w:cs="Arial"/>
                <w:b/>
                <w:bCs/>
              </w:rPr>
              <w:t>Unknown</w:t>
            </w:r>
            <w:r w:rsidRPr="00D26A93">
              <w:rPr>
                <w:rFonts w:cs="Arial"/>
                <w:b/>
                <w:bCs/>
              </w:rPr>
              <w:br/>
              <w:t>FTE (%)</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348D69" w14:textId="161ADEFD" w:rsidR="003F50BC" w:rsidRPr="00D26A93" w:rsidRDefault="003F50BC" w:rsidP="000210F9">
            <w:pPr>
              <w:spacing w:before="120" w:after="120"/>
              <w:jc w:val="center"/>
              <w:rPr>
                <w:rFonts w:cs="Arial"/>
                <w:b/>
                <w:bCs/>
              </w:rPr>
            </w:pPr>
            <w:r w:rsidRPr="00D26A93">
              <w:rPr>
                <w:rFonts w:cs="Arial"/>
                <w:b/>
                <w:bCs/>
              </w:rPr>
              <w:t>N/A</w:t>
            </w:r>
            <w:r w:rsidRPr="00D26A93">
              <w:rPr>
                <w:rFonts w:cs="Arial"/>
                <w:b/>
                <w:bCs/>
              </w:rPr>
              <w:br/>
              <w:t>FTE (</w:t>
            </w:r>
            <w:r w:rsidR="002172E2">
              <w:rPr>
                <w:rFonts w:cs="Arial"/>
                <w:b/>
                <w:bCs/>
              </w:rPr>
              <w:t>%</w:t>
            </w:r>
            <w:r w:rsidRPr="00D26A93">
              <w:rPr>
                <w:rFonts w:cs="Arial"/>
                <w:b/>
                <w:bCs/>
              </w:rPr>
              <w:t>)</w:t>
            </w:r>
          </w:p>
        </w:tc>
      </w:tr>
      <w:tr w:rsidR="003F50BC" w:rsidRPr="00D26A93" w14:paraId="231C9F4F" w14:textId="77777777" w:rsidTr="00E87E08">
        <w:trPr>
          <w:cantSplit/>
          <w:trHeight w:val="280"/>
          <w:tblHeader/>
          <w:jc w:val="center"/>
        </w:trPr>
        <w:tc>
          <w:tcPr>
            <w:tcW w:w="2083" w:type="pct"/>
            <w:tcBorders>
              <w:top w:val="nil"/>
              <w:left w:val="single" w:sz="4" w:space="0" w:color="auto"/>
              <w:bottom w:val="single" w:sz="4" w:space="0" w:color="auto"/>
              <w:right w:val="single" w:sz="4" w:space="0" w:color="auto"/>
            </w:tcBorders>
            <w:noWrap/>
            <w:vAlign w:val="center"/>
            <w:hideMark/>
          </w:tcPr>
          <w:p w14:paraId="0B935350" w14:textId="77777777" w:rsidR="003F50BC" w:rsidRPr="00D26A93" w:rsidRDefault="003F50BC" w:rsidP="000210F9">
            <w:pPr>
              <w:spacing w:before="120" w:after="120"/>
              <w:jc w:val="center"/>
              <w:rPr>
                <w:rFonts w:cs="Arial"/>
              </w:rPr>
            </w:pPr>
            <w:r w:rsidRPr="00D26A93">
              <w:rPr>
                <w:rFonts w:cs="Arial"/>
              </w:rPr>
              <w:t>1</w:t>
            </w:r>
          </w:p>
        </w:tc>
        <w:tc>
          <w:tcPr>
            <w:tcW w:w="1112" w:type="pct"/>
            <w:tcBorders>
              <w:top w:val="nil"/>
              <w:left w:val="single" w:sz="4" w:space="0" w:color="auto"/>
              <w:bottom w:val="single" w:sz="4" w:space="0" w:color="auto"/>
              <w:right w:val="single" w:sz="4" w:space="0" w:color="auto"/>
            </w:tcBorders>
            <w:vAlign w:val="bottom"/>
          </w:tcPr>
          <w:p w14:paraId="2DEFE2A1" w14:textId="3DE996A3" w:rsidR="003F50BC" w:rsidRPr="00664D14" w:rsidRDefault="003F50BC" w:rsidP="000210F9">
            <w:pPr>
              <w:spacing w:before="120" w:after="120"/>
              <w:jc w:val="center"/>
              <w:rPr>
                <w:rFonts w:cs="Arial"/>
              </w:rPr>
            </w:pPr>
            <w:r w:rsidRPr="265B958A">
              <w:rPr>
                <w:rFonts w:cs="Arial"/>
              </w:rPr>
              <w:t>4.</w:t>
            </w:r>
            <w:r w:rsidR="00664D14" w:rsidRPr="265B958A">
              <w:rPr>
                <w:rFonts w:cs="Arial"/>
              </w:rPr>
              <w:t>2</w:t>
            </w:r>
            <w:r w:rsidRPr="265B958A">
              <w:rPr>
                <w:rFonts w:cs="Arial"/>
              </w:rPr>
              <w:t>%</w:t>
            </w:r>
          </w:p>
        </w:tc>
        <w:tc>
          <w:tcPr>
            <w:tcW w:w="972" w:type="pct"/>
            <w:tcBorders>
              <w:top w:val="nil"/>
              <w:left w:val="single" w:sz="4" w:space="0" w:color="auto"/>
              <w:bottom w:val="single" w:sz="4" w:space="0" w:color="auto"/>
              <w:right w:val="single" w:sz="4" w:space="0" w:color="auto"/>
            </w:tcBorders>
            <w:vAlign w:val="bottom"/>
          </w:tcPr>
          <w:p w14:paraId="66D607AA" w14:textId="34A1C38B" w:rsidR="003F50BC" w:rsidRPr="00664D14" w:rsidRDefault="003F50BC" w:rsidP="000210F9">
            <w:pPr>
              <w:spacing w:before="120" w:after="120"/>
              <w:jc w:val="center"/>
              <w:rPr>
                <w:rFonts w:cs="Arial"/>
              </w:rPr>
            </w:pPr>
            <w:r w:rsidRPr="265B958A">
              <w:rPr>
                <w:rFonts w:cs="Arial"/>
              </w:rPr>
              <w:t>0.</w:t>
            </w:r>
            <w:r w:rsidR="00664D14" w:rsidRPr="265B958A">
              <w:rPr>
                <w:rFonts w:cs="Arial"/>
              </w:rPr>
              <w:t>1</w:t>
            </w:r>
            <w:r w:rsidRPr="265B958A">
              <w:rPr>
                <w:rFonts w:cs="Arial"/>
              </w:rPr>
              <w:t>%</w:t>
            </w:r>
          </w:p>
        </w:tc>
        <w:tc>
          <w:tcPr>
            <w:tcW w:w="833" w:type="pct"/>
            <w:tcBorders>
              <w:top w:val="nil"/>
              <w:left w:val="single" w:sz="4" w:space="0" w:color="auto"/>
              <w:bottom w:val="single" w:sz="4" w:space="0" w:color="auto"/>
              <w:right w:val="single" w:sz="4" w:space="0" w:color="auto"/>
            </w:tcBorders>
            <w:vAlign w:val="bottom"/>
          </w:tcPr>
          <w:p w14:paraId="3BF0E20B" w14:textId="7457ABFF" w:rsidR="003F50BC" w:rsidRPr="00664D14" w:rsidRDefault="003F50BC" w:rsidP="000210F9">
            <w:pPr>
              <w:spacing w:before="120" w:after="120"/>
              <w:jc w:val="center"/>
              <w:rPr>
                <w:rFonts w:cs="Arial"/>
              </w:rPr>
            </w:pPr>
            <w:r w:rsidRPr="265B958A">
              <w:rPr>
                <w:rFonts w:cs="Arial"/>
              </w:rPr>
              <w:t>0.</w:t>
            </w:r>
            <w:r w:rsidR="00664D14" w:rsidRPr="265B958A">
              <w:rPr>
                <w:rFonts w:cs="Arial"/>
              </w:rPr>
              <w:t>3</w:t>
            </w:r>
            <w:r w:rsidRPr="265B958A">
              <w:rPr>
                <w:rFonts w:cs="Arial"/>
              </w:rPr>
              <w:t>%</w:t>
            </w:r>
          </w:p>
        </w:tc>
      </w:tr>
      <w:tr w:rsidR="003F50BC" w:rsidRPr="00D26A93" w14:paraId="6A6F7C29" w14:textId="77777777" w:rsidTr="00E87E08">
        <w:trPr>
          <w:cantSplit/>
          <w:trHeight w:val="280"/>
          <w:tblHeader/>
          <w:jc w:val="center"/>
        </w:trPr>
        <w:tc>
          <w:tcPr>
            <w:tcW w:w="2083" w:type="pct"/>
            <w:tcBorders>
              <w:top w:val="nil"/>
              <w:left w:val="single" w:sz="4" w:space="0" w:color="auto"/>
              <w:bottom w:val="single" w:sz="4" w:space="0" w:color="auto"/>
              <w:right w:val="single" w:sz="4" w:space="0" w:color="auto"/>
            </w:tcBorders>
            <w:noWrap/>
            <w:vAlign w:val="center"/>
            <w:hideMark/>
          </w:tcPr>
          <w:p w14:paraId="1C184EFA" w14:textId="77777777" w:rsidR="003F50BC" w:rsidRPr="00D26A93" w:rsidRDefault="003F50BC" w:rsidP="000210F9">
            <w:pPr>
              <w:spacing w:before="120" w:after="120"/>
              <w:jc w:val="center"/>
              <w:rPr>
                <w:rFonts w:cs="Arial"/>
              </w:rPr>
            </w:pPr>
            <w:r w:rsidRPr="00D26A93">
              <w:rPr>
                <w:rFonts w:cs="Arial"/>
              </w:rPr>
              <w:t>2</w:t>
            </w:r>
          </w:p>
        </w:tc>
        <w:tc>
          <w:tcPr>
            <w:tcW w:w="1112" w:type="pct"/>
            <w:tcBorders>
              <w:top w:val="nil"/>
              <w:left w:val="single" w:sz="4" w:space="0" w:color="auto"/>
              <w:bottom w:val="single" w:sz="4" w:space="0" w:color="auto"/>
              <w:right w:val="single" w:sz="4" w:space="0" w:color="auto"/>
            </w:tcBorders>
            <w:vAlign w:val="bottom"/>
          </w:tcPr>
          <w:p w14:paraId="6B9A85EA" w14:textId="7B4C95F6" w:rsidR="003F50BC" w:rsidRPr="00664D14" w:rsidRDefault="00664D14" w:rsidP="000210F9">
            <w:pPr>
              <w:spacing w:before="120" w:after="120"/>
              <w:jc w:val="center"/>
              <w:rPr>
                <w:rFonts w:cs="Arial"/>
              </w:rPr>
            </w:pPr>
            <w:r w:rsidRPr="265B958A">
              <w:rPr>
                <w:rFonts w:cs="Arial"/>
              </w:rPr>
              <w:t>4.9</w:t>
            </w:r>
            <w:r w:rsidR="003F50BC" w:rsidRPr="265B958A">
              <w:rPr>
                <w:rFonts w:cs="Arial"/>
              </w:rPr>
              <w:t>%</w:t>
            </w:r>
          </w:p>
        </w:tc>
        <w:tc>
          <w:tcPr>
            <w:tcW w:w="972" w:type="pct"/>
            <w:tcBorders>
              <w:top w:val="nil"/>
              <w:left w:val="single" w:sz="4" w:space="0" w:color="auto"/>
              <w:bottom w:val="single" w:sz="4" w:space="0" w:color="auto"/>
              <w:right w:val="single" w:sz="4" w:space="0" w:color="auto"/>
            </w:tcBorders>
            <w:vAlign w:val="bottom"/>
          </w:tcPr>
          <w:p w14:paraId="22104B95" w14:textId="303A8769" w:rsidR="003F50BC" w:rsidRPr="00664D14" w:rsidRDefault="003F50BC" w:rsidP="000210F9">
            <w:pPr>
              <w:spacing w:before="120" w:after="120"/>
              <w:jc w:val="center"/>
              <w:rPr>
                <w:rFonts w:cs="Arial"/>
              </w:rPr>
            </w:pPr>
            <w:r w:rsidRPr="265B958A">
              <w:rPr>
                <w:rFonts w:cs="Arial"/>
              </w:rPr>
              <w:t>0.</w:t>
            </w:r>
            <w:r w:rsidR="00664D14" w:rsidRPr="265B958A">
              <w:rPr>
                <w:rFonts w:cs="Arial"/>
              </w:rPr>
              <w:t>1</w:t>
            </w:r>
            <w:r w:rsidRPr="265B958A">
              <w:rPr>
                <w:rFonts w:cs="Arial"/>
              </w:rPr>
              <w:t>%</w:t>
            </w:r>
          </w:p>
        </w:tc>
        <w:tc>
          <w:tcPr>
            <w:tcW w:w="833" w:type="pct"/>
            <w:tcBorders>
              <w:top w:val="nil"/>
              <w:left w:val="single" w:sz="4" w:space="0" w:color="auto"/>
              <w:bottom w:val="single" w:sz="4" w:space="0" w:color="auto"/>
              <w:right w:val="single" w:sz="4" w:space="0" w:color="auto"/>
            </w:tcBorders>
            <w:vAlign w:val="bottom"/>
          </w:tcPr>
          <w:p w14:paraId="66306A6B" w14:textId="3EE85EF4" w:rsidR="003F50BC" w:rsidRPr="00664D14" w:rsidRDefault="003F50BC" w:rsidP="000210F9">
            <w:pPr>
              <w:spacing w:before="120" w:after="120"/>
              <w:jc w:val="center"/>
              <w:rPr>
                <w:rFonts w:cs="Arial"/>
              </w:rPr>
            </w:pPr>
            <w:r w:rsidRPr="265B958A">
              <w:rPr>
                <w:rFonts w:cs="Arial"/>
              </w:rPr>
              <w:t>0.</w:t>
            </w:r>
            <w:r w:rsidR="00664D14" w:rsidRPr="265B958A">
              <w:rPr>
                <w:rFonts w:cs="Arial"/>
              </w:rPr>
              <w:t>3</w:t>
            </w:r>
            <w:r w:rsidRPr="265B958A">
              <w:rPr>
                <w:rFonts w:cs="Arial"/>
              </w:rPr>
              <w:t>%</w:t>
            </w:r>
          </w:p>
        </w:tc>
      </w:tr>
      <w:tr w:rsidR="003F50BC" w:rsidRPr="00D26A93" w14:paraId="632DA736" w14:textId="77777777" w:rsidTr="00E87E08">
        <w:trPr>
          <w:cantSplit/>
          <w:trHeight w:val="280"/>
          <w:tblHeader/>
          <w:jc w:val="center"/>
        </w:trPr>
        <w:tc>
          <w:tcPr>
            <w:tcW w:w="2083" w:type="pct"/>
            <w:tcBorders>
              <w:top w:val="nil"/>
              <w:left w:val="single" w:sz="4" w:space="0" w:color="auto"/>
              <w:bottom w:val="single" w:sz="4" w:space="0" w:color="auto"/>
              <w:right w:val="single" w:sz="4" w:space="0" w:color="auto"/>
            </w:tcBorders>
            <w:noWrap/>
            <w:vAlign w:val="center"/>
            <w:hideMark/>
          </w:tcPr>
          <w:p w14:paraId="51FB234F" w14:textId="77777777" w:rsidR="003F50BC" w:rsidRPr="00D26A93" w:rsidRDefault="003F50BC" w:rsidP="000210F9">
            <w:pPr>
              <w:spacing w:before="120" w:after="120"/>
              <w:jc w:val="center"/>
              <w:rPr>
                <w:rFonts w:cs="Arial"/>
              </w:rPr>
            </w:pPr>
            <w:r w:rsidRPr="00D26A93">
              <w:rPr>
                <w:rFonts w:cs="Arial"/>
              </w:rPr>
              <w:t>3</w:t>
            </w:r>
          </w:p>
        </w:tc>
        <w:tc>
          <w:tcPr>
            <w:tcW w:w="1112" w:type="pct"/>
            <w:tcBorders>
              <w:top w:val="nil"/>
              <w:left w:val="single" w:sz="4" w:space="0" w:color="auto"/>
              <w:bottom w:val="single" w:sz="4" w:space="0" w:color="auto"/>
              <w:right w:val="single" w:sz="4" w:space="0" w:color="auto"/>
            </w:tcBorders>
            <w:vAlign w:val="bottom"/>
          </w:tcPr>
          <w:p w14:paraId="2A86758D" w14:textId="402718FD" w:rsidR="003F50BC" w:rsidRPr="00664D14" w:rsidRDefault="00664D14" w:rsidP="000210F9">
            <w:pPr>
              <w:spacing w:before="120" w:after="120"/>
              <w:jc w:val="center"/>
              <w:rPr>
                <w:rFonts w:cs="Arial"/>
              </w:rPr>
            </w:pPr>
            <w:r w:rsidRPr="265B958A">
              <w:rPr>
                <w:rFonts w:cs="Arial"/>
              </w:rPr>
              <w:t>4.7</w:t>
            </w:r>
            <w:r w:rsidR="003F50BC" w:rsidRPr="265B958A">
              <w:rPr>
                <w:rFonts w:cs="Arial"/>
              </w:rPr>
              <w:t>%</w:t>
            </w:r>
          </w:p>
        </w:tc>
        <w:tc>
          <w:tcPr>
            <w:tcW w:w="972" w:type="pct"/>
            <w:tcBorders>
              <w:top w:val="nil"/>
              <w:left w:val="single" w:sz="4" w:space="0" w:color="auto"/>
              <w:bottom w:val="single" w:sz="4" w:space="0" w:color="auto"/>
              <w:right w:val="single" w:sz="4" w:space="0" w:color="auto"/>
            </w:tcBorders>
            <w:vAlign w:val="bottom"/>
          </w:tcPr>
          <w:p w14:paraId="035872A0" w14:textId="7E3AE1C3" w:rsidR="003F50BC" w:rsidRPr="00664D14" w:rsidRDefault="003F50BC" w:rsidP="000210F9">
            <w:pPr>
              <w:spacing w:before="120" w:after="120"/>
              <w:jc w:val="center"/>
              <w:rPr>
                <w:rFonts w:cs="Arial"/>
              </w:rPr>
            </w:pPr>
            <w:r w:rsidRPr="265B958A">
              <w:rPr>
                <w:rFonts w:cs="Arial"/>
              </w:rPr>
              <w:t>0.</w:t>
            </w:r>
            <w:r w:rsidR="00664D14" w:rsidRPr="265B958A">
              <w:rPr>
                <w:rFonts w:cs="Arial"/>
              </w:rPr>
              <w:t>1</w:t>
            </w:r>
            <w:r w:rsidRPr="265B958A">
              <w:rPr>
                <w:rFonts w:cs="Arial"/>
              </w:rPr>
              <w:t>%</w:t>
            </w:r>
          </w:p>
        </w:tc>
        <w:tc>
          <w:tcPr>
            <w:tcW w:w="833" w:type="pct"/>
            <w:tcBorders>
              <w:top w:val="nil"/>
              <w:left w:val="single" w:sz="4" w:space="0" w:color="auto"/>
              <w:bottom w:val="single" w:sz="4" w:space="0" w:color="auto"/>
              <w:right w:val="single" w:sz="4" w:space="0" w:color="auto"/>
            </w:tcBorders>
            <w:vAlign w:val="bottom"/>
          </w:tcPr>
          <w:p w14:paraId="733213C7" w14:textId="7F1113AD" w:rsidR="003F50BC" w:rsidRPr="00664D14" w:rsidRDefault="003F50BC" w:rsidP="000210F9">
            <w:pPr>
              <w:spacing w:before="120" w:after="120"/>
              <w:jc w:val="center"/>
              <w:rPr>
                <w:rFonts w:cs="Arial"/>
              </w:rPr>
            </w:pPr>
            <w:r w:rsidRPr="265B958A">
              <w:rPr>
                <w:rFonts w:cs="Arial"/>
              </w:rPr>
              <w:t>0.</w:t>
            </w:r>
            <w:r w:rsidR="00664D14" w:rsidRPr="265B958A">
              <w:rPr>
                <w:rFonts w:cs="Arial"/>
              </w:rPr>
              <w:t>2</w:t>
            </w:r>
            <w:r w:rsidRPr="265B958A">
              <w:rPr>
                <w:rFonts w:cs="Arial"/>
              </w:rPr>
              <w:t>%</w:t>
            </w:r>
          </w:p>
        </w:tc>
      </w:tr>
      <w:tr w:rsidR="003F50BC" w:rsidRPr="00D26A93" w14:paraId="1B6505C7" w14:textId="77777777" w:rsidTr="00E87E08">
        <w:trPr>
          <w:cantSplit/>
          <w:trHeight w:val="280"/>
          <w:tblHeader/>
          <w:jc w:val="center"/>
        </w:trPr>
        <w:tc>
          <w:tcPr>
            <w:tcW w:w="2083" w:type="pct"/>
            <w:tcBorders>
              <w:top w:val="nil"/>
              <w:left w:val="single" w:sz="4" w:space="0" w:color="auto"/>
              <w:bottom w:val="single" w:sz="4" w:space="0" w:color="auto"/>
              <w:right w:val="single" w:sz="4" w:space="0" w:color="auto"/>
            </w:tcBorders>
            <w:noWrap/>
            <w:vAlign w:val="center"/>
            <w:hideMark/>
          </w:tcPr>
          <w:p w14:paraId="6974AE70" w14:textId="77777777" w:rsidR="003F50BC" w:rsidRPr="00D26A93" w:rsidRDefault="003F50BC" w:rsidP="000210F9">
            <w:pPr>
              <w:spacing w:before="120" w:after="120"/>
              <w:jc w:val="center"/>
              <w:rPr>
                <w:rFonts w:cs="Arial"/>
              </w:rPr>
            </w:pPr>
            <w:r w:rsidRPr="00D26A93">
              <w:rPr>
                <w:rFonts w:cs="Arial"/>
              </w:rPr>
              <w:t>4</w:t>
            </w:r>
          </w:p>
        </w:tc>
        <w:tc>
          <w:tcPr>
            <w:tcW w:w="1112" w:type="pct"/>
            <w:tcBorders>
              <w:top w:val="nil"/>
              <w:left w:val="single" w:sz="4" w:space="0" w:color="auto"/>
              <w:bottom w:val="single" w:sz="4" w:space="0" w:color="auto"/>
              <w:right w:val="single" w:sz="4" w:space="0" w:color="auto"/>
            </w:tcBorders>
            <w:vAlign w:val="bottom"/>
          </w:tcPr>
          <w:p w14:paraId="3C54E723" w14:textId="2932A3B5" w:rsidR="003F50BC" w:rsidRPr="00664D14" w:rsidRDefault="003F50BC" w:rsidP="000210F9">
            <w:pPr>
              <w:spacing w:before="120" w:after="120"/>
              <w:jc w:val="center"/>
              <w:rPr>
                <w:rFonts w:cs="Arial"/>
              </w:rPr>
            </w:pPr>
            <w:r w:rsidRPr="265B958A">
              <w:rPr>
                <w:rFonts w:cs="Arial"/>
              </w:rPr>
              <w:t>4.</w:t>
            </w:r>
            <w:r w:rsidR="00664D14" w:rsidRPr="265B958A">
              <w:rPr>
                <w:rFonts w:cs="Arial"/>
              </w:rPr>
              <w:t>2</w:t>
            </w:r>
            <w:r w:rsidRPr="265B958A">
              <w:rPr>
                <w:rFonts w:cs="Arial"/>
              </w:rPr>
              <w:t>%</w:t>
            </w:r>
          </w:p>
        </w:tc>
        <w:tc>
          <w:tcPr>
            <w:tcW w:w="972" w:type="pct"/>
            <w:tcBorders>
              <w:top w:val="nil"/>
              <w:left w:val="single" w:sz="4" w:space="0" w:color="auto"/>
              <w:bottom w:val="single" w:sz="4" w:space="0" w:color="auto"/>
              <w:right w:val="single" w:sz="4" w:space="0" w:color="auto"/>
            </w:tcBorders>
            <w:vAlign w:val="bottom"/>
          </w:tcPr>
          <w:p w14:paraId="20340B80" w14:textId="2DCBDCDB" w:rsidR="003F50BC" w:rsidRPr="00664D14" w:rsidRDefault="003F50BC" w:rsidP="000210F9">
            <w:pPr>
              <w:spacing w:before="120" w:after="120"/>
              <w:jc w:val="center"/>
              <w:rPr>
                <w:rFonts w:cs="Arial"/>
              </w:rPr>
            </w:pPr>
            <w:r w:rsidRPr="265B958A">
              <w:rPr>
                <w:rFonts w:cs="Arial"/>
              </w:rPr>
              <w:t>0.</w:t>
            </w:r>
            <w:r w:rsidR="00664D14" w:rsidRPr="265B958A">
              <w:rPr>
                <w:rFonts w:cs="Arial"/>
              </w:rPr>
              <w:t>0</w:t>
            </w:r>
            <w:r w:rsidRPr="265B958A">
              <w:rPr>
                <w:rFonts w:cs="Arial"/>
              </w:rPr>
              <w:t>%</w:t>
            </w:r>
          </w:p>
        </w:tc>
        <w:tc>
          <w:tcPr>
            <w:tcW w:w="833" w:type="pct"/>
            <w:tcBorders>
              <w:top w:val="nil"/>
              <w:left w:val="single" w:sz="4" w:space="0" w:color="auto"/>
              <w:bottom w:val="single" w:sz="4" w:space="0" w:color="auto"/>
              <w:right w:val="single" w:sz="4" w:space="0" w:color="auto"/>
            </w:tcBorders>
            <w:vAlign w:val="bottom"/>
          </w:tcPr>
          <w:p w14:paraId="07A9E28E" w14:textId="4BFDC666" w:rsidR="003F50BC" w:rsidRPr="00664D14" w:rsidRDefault="003F50BC" w:rsidP="000210F9">
            <w:pPr>
              <w:spacing w:before="120" w:after="120"/>
              <w:jc w:val="center"/>
              <w:rPr>
                <w:rFonts w:cs="Arial"/>
              </w:rPr>
            </w:pPr>
            <w:r w:rsidRPr="265B958A">
              <w:rPr>
                <w:rFonts w:cs="Arial"/>
              </w:rPr>
              <w:t>0.</w:t>
            </w:r>
            <w:r w:rsidR="00664D14" w:rsidRPr="265B958A">
              <w:rPr>
                <w:rFonts w:cs="Arial"/>
              </w:rPr>
              <w:t>2</w:t>
            </w:r>
            <w:r w:rsidRPr="265B958A">
              <w:rPr>
                <w:rFonts w:cs="Arial"/>
              </w:rPr>
              <w:t>%</w:t>
            </w:r>
          </w:p>
        </w:tc>
      </w:tr>
      <w:tr w:rsidR="003F50BC" w:rsidRPr="00D26A93" w14:paraId="24CAE3E8" w14:textId="77777777" w:rsidTr="00E87E08">
        <w:trPr>
          <w:cantSplit/>
          <w:trHeight w:val="280"/>
          <w:tblHeader/>
          <w:jc w:val="center"/>
        </w:trPr>
        <w:tc>
          <w:tcPr>
            <w:tcW w:w="2083" w:type="pct"/>
            <w:tcBorders>
              <w:top w:val="nil"/>
              <w:left w:val="single" w:sz="4" w:space="0" w:color="auto"/>
              <w:bottom w:val="single" w:sz="4" w:space="0" w:color="auto"/>
              <w:right w:val="single" w:sz="4" w:space="0" w:color="auto"/>
            </w:tcBorders>
            <w:noWrap/>
            <w:vAlign w:val="center"/>
            <w:hideMark/>
          </w:tcPr>
          <w:p w14:paraId="0D9B72DF" w14:textId="77777777" w:rsidR="003F50BC" w:rsidRPr="00D26A93" w:rsidRDefault="003F50BC" w:rsidP="000210F9">
            <w:pPr>
              <w:spacing w:before="120" w:after="120"/>
              <w:jc w:val="center"/>
              <w:rPr>
                <w:rFonts w:cs="Arial"/>
                <w:b/>
                <w:bCs/>
              </w:rPr>
            </w:pPr>
            <w:r w:rsidRPr="00D26A93">
              <w:rPr>
                <w:rFonts w:cs="Arial"/>
                <w:b/>
                <w:bCs/>
              </w:rPr>
              <w:t>Statewide</w:t>
            </w:r>
          </w:p>
        </w:tc>
        <w:tc>
          <w:tcPr>
            <w:tcW w:w="1112" w:type="pct"/>
            <w:tcBorders>
              <w:top w:val="nil"/>
              <w:left w:val="single" w:sz="4" w:space="0" w:color="auto"/>
              <w:bottom w:val="single" w:sz="4" w:space="0" w:color="auto"/>
              <w:right w:val="single" w:sz="4" w:space="0" w:color="auto"/>
            </w:tcBorders>
            <w:vAlign w:val="bottom"/>
          </w:tcPr>
          <w:p w14:paraId="1F9284BE" w14:textId="0F5102CB" w:rsidR="003F50BC" w:rsidRPr="00664D14" w:rsidRDefault="00664D14" w:rsidP="000210F9">
            <w:pPr>
              <w:spacing w:before="120" w:after="120"/>
              <w:jc w:val="center"/>
              <w:rPr>
                <w:rFonts w:cs="Arial"/>
                <w:b/>
                <w:bCs/>
              </w:rPr>
            </w:pPr>
            <w:r w:rsidRPr="265B958A">
              <w:rPr>
                <w:rFonts w:cs="Arial"/>
                <w:b/>
                <w:bCs/>
              </w:rPr>
              <w:t>4.5</w:t>
            </w:r>
            <w:r w:rsidR="003F50BC" w:rsidRPr="265B958A">
              <w:rPr>
                <w:rFonts w:cs="Arial"/>
                <w:b/>
                <w:bCs/>
              </w:rPr>
              <w:t>%</w:t>
            </w:r>
          </w:p>
        </w:tc>
        <w:tc>
          <w:tcPr>
            <w:tcW w:w="972" w:type="pct"/>
            <w:tcBorders>
              <w:top w:val="nil"/>
              <w:left w:val="single" w:sz="4" w:space="0" w:color="auto"/>
              <w:bottom w:val="single" w:sz="4" w:space="0" w:color="auto"/>
              <w:right w:val="single" w:sz="4" w:space="0" w:color="auto"/>
            </w:tcBorders>
            <w:vAlign w:val="bottom"/>
          </w:tcPr>
          <w:p w14:paraId="52FB3B8C" w14:textId="59E7B460" w:rsidR="003F50BC" w:rsidRPr="00664D14" w:rsidRDefault="003F50BC" w:rsidP="000210F9">
            <w:pPr>
              <w:spacing w:before="120" w:after="120"/>
              <w:jc w:val="center"/>
              <w:rPr>
                <w:rFonts w:cs="Arial"/>
                <w:b/>
                <w:bCs/>
              </w:rPr>
            </w:pPr>
            <w:r w:rsidRPr="265B958A">
              <w:rPr>
                <w:rFonts w:cs="Arial"/>
                <w:b/>
                <w:bCs/>
              </w:rPr>
              <w:t>0.</w:t>
            </w:r>
            <w:r w:rsidR="00664D14" w:rsidRPr="265B958A">
              <w:rPr>
                <w:rFonts w:cs="Arial"/>
                <w:b/>
                <w:bCs/>
              </w:rPr>
              <w:t>1</w:t>
            </w:r>
            <w:r w:rsidRPr="265B958A">
              <w:rPr>
                <w:rFonts w:cs="Arial"/>
                <w:b/>
                <w:bCs/>
              </w:rPr>
              <w:t>%</w:t>
            </w:r>
          </w:p>
        </w:tc>
        <w:tc>
          <w:tcPr>
            <w:tcW w:w="833" w:type="pct"/>
            <w:tcBorders>
              <w:top w:val="nil"/>
              <w:left w:val="single" w:sz="4" w:space="0" w:color="auto"/>
              <w:bottom w:val="single" w:sz="4" w:space="0" w:color="auto"/>
              <w:right w:val="single" w:sz="4" w:space="0" w:color="auto"/>
            </w:tcBorders>
            <w:vAlign w:val="bottom"/>
          </w:tcPr>
          <w:p w14:paraId="0B28517D" w14:textId="6379F4FD" w:rsidR="003F50BC" w:rsidRPr="00664D14" w:rsidRDefault="003F50BC" w:rsidP="000210F9">
            <w:pPr>
              <w:spacing w:before="120" w:after="120"/>
              <w:jc w:val="center"/>
              <w:rPr>
                <w:rFonts w:cs="Arial"/>
                <w:b/>
                <w:bCs/>
              </w:rPr>
            </w:pPr>
            <w:r w:rsidRPr="265B958A">
              <w:rPr>
                <w:rFonts w:cs="Arial"/>
                <w:b/>
                <w:bCs/>
              </w:rPr>
              <w:t>0.</w:t>
            </w:r>
            <w:r w:rsidR="00664D14" w:rsidRPr="265B958A">
              <w:rPr>
                <w:rFonts w:cs="Arial"/>
                <w:b/>
                <w:bCs/>
              </w:rPr>
              <w:t>3</w:t>
            </w:r>
            <w:r w:rsidRPr="265B958A">
              <w:rPr>
                <w:rFonts w:cs="Arial"/>
                <w:b/>
                <w:bCs/>
              </w:rPr>
              <w:t>%</w:t>
            </w:r>
          </w:p>
        </w:tc>
      </w:tr>
    </w:tbl>
    <w:p w14:paraId="1695F74D" w14:textId="5C37DA9F" w:rsidR="003F50BC" w:rsidRPr="00D26A93" w:rsidRDefault="003F50BC" w:rsidP="000210F9">
      <w:pPr>
        <w:spacing w:before="240" w:after="240"/>
        <w:rPr>
          <w:rFonts w:cs="Arial"/>
          <w:b/>
          <w:bCs/>
        </w:rPr>
      </w:pPr>
      <w:r w:rsidRPr="265B958A">
        <w:rPr>
          <w:rFonts w:cs="Arial"/>
        </w:rPr>
        <w:lastRenderedPageBreak/>
        <w:t xml:space="preserve">Table 3c includes the same minority quartiles but includes the percentage of incomplete, unknown, and N/A FTEs assigned </w:t>
      </w:r>
      <w:r w:rsidR="004A1D87">
        <w:rPr>
          <w:rFonts w:cs="Arial"/>
        </w:rPr>
        <w:t>in</w:t>
      </w:r>
      <w:r w:rsidRPr="265B958A">
        <w:rPr>
          <w:rFonts w:cs="Arial"/>
        </w:rPr>
        <w:t xml:space="preserve"> the schools in each quartile. Quartile 1</w:t>
      </w:r>
      <w:r w:rsidR="00516C90">
        <w:rPr>
          <w:rFonts w:cs="Arial"/>
        </w:rPr>
        <w:t>,</w:t>
      </w:r>
      <w:r w:rsidRPr="265B958A">
        <w:rPr>
          <w:rFonts w:cs="Arial"/>
        </w:rPr>
        <w:t xml:space="preserve"> </w:t>
      </w:r>
      <w:r w:rsidR="00516C90">
        <w:rPr>
          <w:rFonts w:cs="Arial"/>
        </w:rPr>
        <w:t>which</w:t>
      </w:r>
      <w:r w:rsidR="00516C90" w:rsidRPr="265B958A">
        <w:rPr>
          <w:rFonts w:cs="Arial"/>
        </w:rPr>
        <w:t xml:space="preserve"> </w:t>
      </w:r>
      <w:r w:rsidRPr="265B958A">
        <w:rPr>
          <w:rFonts w:cs="Arial"/>
        </w:rPr>
        <w:t>includes schools with the lowest percentage of SED students</w:t>
      </w:r>
      <w:r w:rsidR="00516C90">
        <w:rPr>
          <w:rFonts w:cs="Arial"/>
        </w:rPr>
        <w:t>,</w:t>
      </w:r>
      <w:r w:rsidRPr="265B958A">
        <w:rPr>
          <w:rFonts w:cs="Arial"/>
        </w:rPr>
        <w:t xml:space="preserve"> has 4.</w:t>
      </w:r>
      <w:r w:rsidR="00664D14" w:rsidRPr="265B958A">
        <w:rPr>
          <w:rFonts w:cs="Arial"/>
        </w:rPr>
        <w:t>2</w:t>
      </w:r>
      <w:r w:rsidRPr="265B958A">
        <w:rPr>
          <w:rFonts w:cs="Arial"/>
        </w:rPr>
        <w:t xml:space="preserve"> percent incomplete FTEs, </w:t>
      </w:r>
      <w:r w:rsidR="003D79CD" w:rsidRPr="265B958A">
        <w:rPr>
          <w:rFonts w:cs="Arial"/>
        </w:rPr>
        <w:t>0</w:t>
      </w:r>
      <w:r w:rsidRPr="265B958A">
        <w:rPr>
          <w:rFonts w:cs="Arial"/>
        </w:rPr>
        <w:t>.</w:t>
      </w:r>
      <w:r w:rsidR="00664D14" w:rsidRPr="265B958A">
        <w:rPr>
          <w:rFonts w:cs="Arial"/>
        </w:rPr>
        <w:t>1</w:t>
      </w:r>
      <w:r w:rsidRPr="265B958A">
        <w:rPr>
          <w:rFonts w:cs="Arial"/>
        </w:rPr>
        <w:t xml:space="preserve"> percent unknown FTE</w:t>
      </w:r>
      <w:r w:rsidR="008A0684">
        <w:rPr>
          <w:rFonts w:cs="Arial"/>
        </w:rPr>
        <w:t>s</w:t>
      </w:r>
      <w:r w:rsidR="00516C90">
        <w:rPr>
          <w:rFonts w:cs="Arial"/>
        </w:rPr>
        <w:t>,</w:t>
      </w:r>
      <w:r w:rsidRPr="265B958A">
        <w:rPr>
          <w:rFonts w:cs="Arial"/>
        </w:rPr>
        <w:t xml:space="preserve"> and </w:t>
      </w:r>
      <w:r w:rsidR="003D79CD" w:rsidRPr="265B958A">
        <w:rPr>
          <w:rFonts w:cs="Arial"/>
        </w:rPr>
        <w:t>0</w:t>
      </w:r>
      <w:r w:rsidRPr="265B958A">
        <w:rPr>
          <w:rFonts w:cs="Arial"/>
        </w:rPr>
        <w:t>.</w:t>
      </w:r>
      <w:r w:rsidR="00664D14" w:rsidRPr="265B958A">
        <w:rPr>
          <w:rFonts w:cs="Arial"/>
        </w:rPr>
        <w:t>3</w:t>
      </w:r>
      <w:r w:rsidRPr="265B958A">
        <w:rPr>
          <w:rFonts w:cs="Arial"/>
        </w:rPr>
        <w:t xml:space="preserve"> percent N/A FTE</w:t>
      </w:r>
      <w:r w:rsidR="008A0684">
        <w:rPr>
          <w:rFonts w:cs="Arial"/>
        </w:rPr>
        <w:t>s</w:t>
      </w:r>
      <w:r w:rsidRPr="265B958A">
        <w:rPr>
          <w:rFonts w:cs="Arial"/>
        </w:rPr>
        <w:t>. Quartile 4</w:t>
      </w:r>
      <w:r w:rsidR="00516C90">
        <w:rPr>
          <w:rFonts w:cs="Arial"/>
        </w:rPr>
        <w:t>,</w:t>
      </w:r>
      <w:r w:rsidRPr="265B958A">
        <w:rPr>
          <w:rFonts w:cs="Arial"/>
        </w:rPr>
        <w:t xml:space="preserve"> with the highest percentage of minority students</w:t>
      </w:r>
      <w:r w:rsidR="00516C90">
        <w:rPr>
          <w:rFonts w:cs="Arial"/>
        </w:rPr>
        <w:t>,</w:t>
      </w:r>
      <w:r w:rsidRPr="265B958A">
        <w:rPr>
          <w:rFonts w:cs="Arial"/>
        </w:rPr>
        <w:t xml:space="preserve"> has 4.</w:t>
      </w:r>
      <w:r w:rsidR="00664D14" w:rsidRPr="265B958A">
        <w:rPr>
          <w:rFonts w:cs="Arial"/>
        </w:rPr>
        <w:t>2</w:t>
      </w:r>
      <w:r w:rsidRPr="265B958A">
        <w:rPr>
          <w:rFonts w:cs="Arial"/>
        </w:rPr>
        <w:t xml:space="preserve"> percent incomplete FTEs, </w:t>
      </w:r>
      <w:r w:rsidR="003D79CD" w:rsidRPr="265B958A">
        <w:rPr>
          <w:rFonts w:cs="Arial"/>
        </w:rPr>
        <w:t>0</w:t>
      </w:r>
      <w:r w:rsidRPr="265B958A">
        <w:rPr>
          <w:rFonts w:cs="Arial"/>
        </w:rPr>
        <w:t xml:space="preserve"> percent unknown FTEs, and </w:t>
      </w:r>
      <w:r w:rsidR="003D79CD" w:rsidRPr="265B958A">
        <w:rPr>
          <w:rFonts w:cs="Arial"/>
        </w:rPr>
        <w:t>0</w:t>
      </w:r>
      <w:r w:rsidRPr="265B958A">
        <w:rPr>
          <w:rFonts w:cs="Arial"/>
        </w:rPr>
        <w:t>.2 percent N/A FTEs.</w:t>
      </w:r>
    </w:p>
    <w:p w14:paraId="123D0B69" w14:textId="77777777" w:rsidR="003F50BC" w:rsidRPr="00D26A93" w:rsidRDefault="003F50BC" w:rsidP="00E87E08">
      <w:pPr>
        <w:pStyle w:val="Heading4"/>
      </w:pPr>
      <w:r w:rsidRPr="00D26A93">
        <w:t xml:space="preserve">Table 4a: Socioeconomically Disadvantaged Quartiles: </w:t>
      </w:r>
      <w:bookmarkStart w:id="1" w:name="_Hlk169779009"/>
      <w:r w:rsidRPr="00D26A93">
        <w:t>Student Enrollment and Teacher Counts</w:t>
      </w:r>
    </w:p>
    <w:tbl>
      <w:tblPr>
        <w:tblW w:w="5000" w:type="pct"/>
        <w:jc w:val="center"/>
        <w:tblLook w:val="04A0" w:firstRow="1" w:lastRow="0" w:firstColumn="1" w:lastColumn="0" w:noHBand="0" w:noVBand="1"/>
        <w:tblCaption w:val="Table 4a: Socioeconomically Disadvantaged Quartiles: Student Enrollment and Teacher Counts"/>
        <w:tblDescription w:val="Table 4a displays California’s school data divided into quartiles based on the enrollment of SED students."/>
      </w:tblPr>
      <w:tblGrid>
        <w:gridCol w:w="1598"/>
        <w:gridCol w:w="1482"/>
        <w:gridCol w:w="1636"/>
        <w:gridCol w:w="1618"/>
        <w:gridCol w:w="1732"/>
        <w:gridCol w:w="1284"/>
      </w:tblGrid>
      <w:tr w:rsidR="003F50BC" w:rsidRPr="00D26A93" w14:paraId="7C99F162" w14:textId="77777777" w:rsidTr="00E87E08">
        <w:trPr>
          <w:cantSplit/>
          <w:trHeight w:val="900"/>
          <w:tblHeader/>
          <w:jc w:val="center"/>
        </w:trPr>
        <w:tc>
          <w:tcPr>
            <w:tcW w:w="8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
          <w:p w14:paraId="4AEB64BB" w14:textId="77777777" w:rsidR="003F50BC" w:rsidRPr="00D26A93" w:rsidRDefault="003F50BC" w:rsidP="000210F9">
            <w:pPr>
              <w:spacing w:before="120" w:after="120"/>
              <w:jc w:val="center"/>
              <w:rPr>
                <w:rFonts w:cs="Arial"/>
                <w:b/>
                <w:bCs/>
              </w:rPr>
            </w:pPr>
            <w:r w:rsidRPr="00D26A93">
              <w:rPr>
                <w:rFonts w:cs="Arial"/>
                <w:b/>
                <w:bCs/>
              </w:rPr>
              <w:t>SED Quartile Rank</w:t>
            </w:r>
          </w:p>
        </w:tc>
        <w:tc>
          <w:tcPr>
            <w:tcW w:w="79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842C81" w14:textId="77777777" w:rsidR="003F50BC" w:rsidRPr="00D26A93" w:rsidRDefault="003F50BC" w:rsidP="000210F9">
            <w:pPr>
              <w:spacing w:before="120" w:after="120"/>
              <w:jc w:val="center"/>
              <w:rPr>
                <w:rFonts w:cs="Arial"/>
                <w:b/>
                <w:bCs/>
              </w:rPr>
            </w:pPr>
            <w:r w:rsidRPr="00D26A93">
              <w:rPr>
                <w:rFonts w:cs="Arial"/>
                <w:b/>
                <w:bCs/>
              </w:rPr>
              <w:t>Number of Schools</w:t>
            </w:r>
          </w:p>
        </w:tc>
        <w:tc>
          <w:tcPr>
            <w:tcW w:w="8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AC3125" w14:textId="77777777" w:rsidR="003F50BC" w:rsidRPr="00D26A93" w:rsidRDefault="003F50BC" w:rsidP="000210F9">
            <w:pPr>
              <w:spacing w:before="120" w:after="120"/>
              <w:jc w:val="center"/>
              <w:rPr>
                <w:rFonts w:cs="Arial"/>
                <w:b/>
                <w:bCs/>
              </w:rPr>
            </w:pPr>
            <w:r w:rsidRPr="00D26A93">
              <w:rPr>
                <w:rFonts w:cs="Arial"/>
                <w:b/>
                <w:bCs/>
              </w:rPr>
              <w:t>Total Enrollment</w:t>
            </w:r>
            <w:r w:rsidRPr="00D26A93">
              <w:rPr>
                <w:rFonts w:cs="Arial"/>
                <w:b/>
                <w:bCs/>
              </w:rPr>
              <w:br/>
              <w:t>(N)</w:t>
            </w:r>
          </w:p>
        </w:tc>
        <w:tc>
          <w:tcPr>
            <w:tcW w:w="86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E641F1" w14:textId="77777777" w:rsidR="003F50BC" w:rsidRPr="00D26A93" w:rsidRDefault="003F50BC" w:rsidP="000210F9">
            <w:pPr>
              <w:spacing w:before="120" w:after="120"/>
              <w:jc w:val="center"/>
              <w:rPr>
                <w:rFonts w:cs="Arial"/>
                <w:b/>
                <w:bCs/>
              </w:rPr>
            </w:pPr>
            <w:r w:rsidRPr="00D26A93">
              <w:rPr>
                <w:rFonts w:cs="Arial"/>
                <w:b/>
                <w:bCs/>
              </w:rPr>
              <w:t xml:space="preserve">SED Enrollment </w:t>
            </w:r>
            <w:r w:rsidRPr="00D26A93">
              <w:rPr>
                <w:rFonts w:cs="Arial"/>
                <w:b/>
                <w:bCs/>
              </w:rPr>
              <w:br/>
              <w:t>(N)</w:t>
            </w:r>
          </w:p>
        </w:tc>
        <w:tc>
          <w:tcPr>
            <w:tcW w:w="92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7C8ACD" w14:textId="77777777" w:rsidR="003F50BC" w:rsidRPr="00D26A93" w:rsidRDefault="003F50BC" w:rsidP="000210F9">
            <w:pPr>
              <w:spacing w:before="120" w:after="120"/>
              <w:jc w:val="center"/>
              <w:rPr>
                <w:rFonts w:cs="Arial"/>
                <w:b/>
                <w:bCs/>
              </w:rPr>
            </w:pPr>
            <w:r w:rsidRPr="00D26A93">
              <w:rPr>
                <w:rFonts w:cs="Arial"/>
                <w:b/>
                <w:bCs/>
              </w:rPr>
              <w:t>SED Enrollment (%)</w:t>
            </w:r>
          </w:p>
        </w:tc>
        <w:tc>
          <w:tcPr>
            <w:tcW w:w="68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E5A28D" w14:textId="77777777" w:rsidR="003F50BC" w:rsidRPr="00D26A93" w:rsidRDefault="003F50BC" w:rsidP="000210F9">
            <w:pPr>
              <w:spacing w:before="120" w:after="120"/>
              <w:jc w:val="center"/>
              <w:rPr>
                <w:rFonts w:cs="Arial"/>
                <w:b/>
                <w:bCs/>
              </w:rPr>
            </w:pPr>
            <w:r w:rsidRPr="00D26A93">
              <w:rPr>
                <w:rFonts w:cs="Arial"/>
                <w:b/>
                <w:bCs/>
              </w:rPr>
              <w:t xml:space="preserve">Total </w:t>
            </w:r>
            <w:r w:rsidRPr="00D26A93">
              <w:rPr>
                <w:rFonts w:cs="Arial"/>
                <w:b/>
                <w:bCs/>
              </w:rPr>
              <w:br/>
              <w:t xml:space="preserve">Teacher </w:t>
            </w:r>
            <w:r w:rsidRPr="00D26A93">
              <w:rPr>
                <w:rFonts w:cs="Arial"/>
                <w:b/>
                <w:bCs/>
              </w:rPr>
              <w:br/>
              <w:t>FTE (N)</w:t>
            </w:r>
          </w:p>
        </w:tc>
      </w:tr>
      <w:tr w:rsidR="003F50BC" w:rsidRPr="00D26A93" w14:paraId="7873ECB9" w14:textId="77777777" w:rsidTr="00E87E08">
        <w:trPr>
          <w:cantSplit/>
          <w:trHeight w:val="280"/>
          <w:tblHeader/>
          <w:jc w:val="center"/>
        </w:trPr>
        <w:tc>
          <w:tcPr>
            <w:tcW w:w="855" w:type="pct"/>
            <w:tcBorders>
              <w:top w:val="nil"/>
              <w:left w:val="single" w:sz="4" w:space="0" w:color="auto"/>
              <w:bottom w:val="single" w:sz="4" w:space="0" w:color="auto"/>
              <w:right w:val="single" w:sz="4" w:space="0" w:color="auto"/>
            </w:tcBorders>
            <w:noWrap/>
            <w:vAlign w:val="center"/>
            <w:hideMark/>
          </w:tcPr>
          <w:p w14:paraId="38CE279A" w14:textId="77777777" w:rsidR="003F50BC" w:rsidRPr="00D26A93" w:rsidRDefault="003F50BC" w:rsidP="000210F9">
            <w:pPr>
              <w:spacing w:before="120" w:after="120"/>
              <w:jc w:val="center"/>
              <w:rPr>
                <w:rFonts w:cs="Arial"/>
              </w:rPr>
            </w:pPr>
            <w:r w:rsidRPr="00D26A93">
              <w:rPr>
                <w:rFonts w:cs="Arial"/>
              </w:rPr>
              <w:t>1</w:t>
            </w:r>
          </w:p>
        </w:tc>
        <w:tc>
          <w:tcPr>
            <w:tcW w:w="793" w:type="pct"/>
            <w:tcBorders>
              <w:top w:val="nil"/>
              <w:left w:val="nil"/>
              <w:bottom w:val="single" w:sz="4" w:space="0" w:color="auto"/>
              <w:right w:val="single" w:sz="4" w:space="0" w:color="auto"/>
            </w:tcBorders>
            <w:noWrap/>
            <w:vAlign w:val="bottom"/>
            <w:hideMark/>
          </w:tcPr>
          <w:p w14:paraId="57D2011B" w14:textId="7BD73414" w:rsidR="003F50BC" w:rsidRPr="00664D14" w:rsidRDefault="003F50BC" w:rsidP="000210F9">
            <w:pPr>
              <w:spacing w:before="120" w:after="120"/>
              <w:jc w:val="center"/>
              <w:rPr>
                <w:rFonts w:cs="Arial"/>
              </w:rPr>
            </w:pPr>
            <w:r w:rsidRPr="265B958A">
              <w:rPr>
                <w:rFonts w:cs="Arial"/>
              </w:rPr>
              <w:t>2,49</w:t>
            </w:r>
            <w:r w:rsidR="00664D14" w:rsidRPr="265B958A">
              <w:rPr>
                <w:rFonts w:cs="Arial"/>
              </w:rPr>
              <w:t>6</w:t>
            </w:r>
          </w:p>
        </w:tc>
        <w:tc>
          <w:tcPr>
            <w:tcW w:w="875" w:type="pct"/>
            <w:tcBorders>
              <w:top w:val="nil"/>
              <w:left w:val="nil"/>
              <w:bottom w:val="single" w:sz="4" w:space="0" w:color="auto"/>
              <w:right w:val="single" w:sz="4" w:space="0" w:color="auto"/>
            </w:tcBorders>
            <w:noWrap/>
            <w:vAlign w:val="bottom"/>
            <w:hideMark/>
          </w:tcPr>
          <w:p w14:paraId="2E81518F" w14:textId="6F7485DF" w:rsidR="003F50BC" w:rsidRPr="00664D14" w:rsidRDefault="003F50BC" w:rsidP="000210F9">
            <w:pPr>
              <w:spacing w:before="120" w:after="120"/>
              <w:jc w:val="center"/>
              <w:rPr>
                <w:rFonts w:cs="Arial"/>
              </w:rPr>
            </w:pPr>
            <w:r w:rsidRPr="265B958A">
              <w:rPr>
                <w:rFonts w:cs="Arial"/>
              </w:rPr>
              <w:t>1,67</w:t>
            </w:r>
            <w:r w:rsidR="00664D14" w:rsidRPr="265B958A">
              <w:rPr>
                <w:rFonts w:cs="Arial"/>
              </w:rPr>
              <w:t>2,925</w:t>
            </w:r>
          </w:p>
        </w:tc>
        <w:tc>
          <w:tcPr>
            <w:tcW w:w="865" w:type="pct"/>
            <w:tcBorders>
              <w:top w:val="nil"/>
              <w:left w:val="nil"/>
              <w:bottom w:val="single" w:sz="4" w:space="0" w:color="auto"/>
              <w:right w:val="single" w:sz="4" w:space="0" w:color="auto"/>
            </w:tcBorders>
            <w:noWrap/>
            <w:vAlign w:val="bottom"/>
            <w:hideMark/>
          </w:tcPr>
          <w:p w14:paraId="3222B23E" w14:textId="08FDC5EF" w:rsidR="003F50BC" w:rsidRPr="00664D14" w:rsidRDefault="00664D14" w:rsidP="000210F9">
            <w:pPr>
              <w:spacing w:before="120" w:after="120"/>
              <w:jc w:val="center"/>
              <w:rPr>
                <w:rFonts w:cs="Arial"/>
              </w:rPr>
            </w:pPr>
            <w:r w:rsidRPr="265B958A">
              <w:rPr>
                <w:rFonts w:cs="Arial"/>
              </w:rPr>
              <w:t>452,246</w:t>
            </w:r>
          </w:p>
        </w:tc>
        <w:tc>
          <w:tcPr>
            <w:tcW w:w="926" w:type="pct"/>
            <w:tcBorders>
              <w:top w:val="nil"/>
              <w:left w:val="nil"/>
              <w:bottom w:val="single" w:sz="4" w:space="0" w:color="auto"/>
              <w:right w:val="single" w:sz="4" w:space="0" w:color="auto"/>
            </w:tcBorders>
            <w:noWrap/>
            <w:vAlign w:val="bottom"/>
            <w:hideMark/>
          </w:tcPr>
          <w:p w14:paraId="781CBF73" w14:textId="39C79DF4" w:rsidR="003F50BC" w:rsidRPr="00664D14" w:rsidRDefault="003F50BC" w:rsidP="000210F9">
            <w:pPr>
              <w:spacing w:before="120" w:after="120"/>
              <w:jc w:val="center"/>
              <w:rPr>
                <w:rFonts w:cs="Arial"/>
              </w:rPr>
            </w:pPr>
            <w:r w:rsidRPr="265B958A">
              <w:rPr>
                <w:rFonts w:cs="Arial"/>
              </w:rPr>
              <w:t>2</w:t>
            </w:r>
            <w:r w:rsidR="00664D14" w:rsidRPr="265B958A">
              <w:rPr>
                <w:rFonts w:cs="Arial"/>
              </w:rPr>
              <w:t>7.0</w:t>
            </w:r>
            <w:r w:rsidRPr="265B958A">
              <w:rPr>
                <w:rFonts w:cs="Arial"/>
              </w:rPr>
              <w:t>%</w:t>
            </w:r>
          </w:p>
        </w:tc>
        <w:tc>
          <w:tcPr>
            <w:tcW w:w="687" w:type="pct"/>
            <w:tcBorders>
              <w:top w:val="nil"/>
              <w:left w:val="nil"/>
              <w:bottom w:val="single" w:sz="4" w:space="0" w:color="auto"/>
              <w:right w:val="single" w:sz="4" w:space="0" w:color="auto"/>
            </w:tcBorders>
            <w:noWrap/>
            <w:vAlign w:val="bottom"/>
            <w:hideMark/>
          </w:tcPr>
          <w:p w14:paraId="01E99132" w14:textId="0B5E5D6E" w:rsidR="003F50BC" w:rsidRPr="00664D14" w:rsidRDefault="003F50BC" w:rsidP="000210F9">
            <w:pPr>
              <w:spacing w:before="120" w:after="120"/>
              <w:jc w:val="center"/>
              <w:rPr>
                <w:rFonts w:cs="Arial"/>
              </w:rPr>
            </w:pPr>
            <w:r w:rsidRPr="265B958A">
              <w:rPr>
                <w:rFonts w:cs="Arial"/>
              </w:rPr>
              <w:t>7</w:t>
            </w:r>
            <w:r w:rsidR="00664D14" w:rsidRPr="265B958A">
              <w:rPr>
                <w:rFonts w:cs="Arial"/>
              </w:rPr>
              <w:t>6,997.5</w:t>
            </w:r>
          </w:p>
        </w:tc>
      </w:tr>
      <w:tr w:rsidR="003F50BC" w:rsidRPr="00D26A93" w14:paraId="4DB18996" w14:textId="77777777" w:rsidTr="00E87E08">
        <w:trPr>
          <w:cantSplit/>
          <w:trHeight w:val="280"/>
          <w:tblHeader/>
          <w:jc w:val="center"/>
        </w:trPr>
        <w:tc>
          <w:tcPr>
            <w:tcW w:w="855" w:type="pct"/>
            <w:tcBorders>
              <w:top w:val="nil"/>
              <w:left w:val="single" w:sz="4" w:space="0" w:color="auto"/>
              <w:bottom w:val="single" w:sz="4" w:space="0" w:color="auto"/>
              <w:right w:val="single" w:sz="4" w:space="0" w:color="auto"/>
            </w:tcBorders>
            <w:noWrap/>
            <w:vAlign w:val="center"/>
            <w:hideMark/>
          </w:tcPr>
          <w:p w14:paraId="124D72F1" w14:textId="77777777" w:rsidR="003F50BC" w:rsidRPr="00D26A93" w:rsidRDefault="003F50BC" w:rsidP="000210F9">
            <w:pPr>
              <w:spacing w:before="120" w:after="120"/>
              <w:jc w:val="center"/>
              <w:rPr>
                <w:rFonts w:cs="Arial"/>
              </w:rPr>
            </w:pPr>
            <w:r w:rsidRPr="00D26A93">
              <w:rPr>
                <w:rFonts w:cs="Arial"/>
              </w:rPr>
              <w:t>2</w:t>
            </w:r>
          </w:p>
        </w:tc>
        <w:tc>
          <w:tcPr>
            <w:tcW w:w="793" w:type="pct"/>
            <w:tcBorders>
              <w:top w:val="nil"/>
              <w:left w:val="nil"/>
              <w:bottom w:val="single" w:sz="4" w:space="0" w:color="auto"/>
              <w:right w:val="single" w:sz="4" w:space="0" w:color="auto"/>
            </w:tcBorders>
            <w:noWrap/>
            <w:vAlign w:val="bottom"/>
            <w:hideMark/>
          </w:tcPr>
          <w:p w14:paraId="403F4A2A" w14:textId="378EF6A7" w:rsidR="003F50BC" w:rsidRPr="00664D14" w:rsidRDefault="003F50BC" w:rsidP="000210F9">
            <w:pPr>
              <w:spacing w:before="120" w:after="120"/>
              <w:jc w:val="center"/>
              <w:rPr>
                <w:rFonts w:cs="Arial"/>
              </w:rPr>
            </w:pPr>
            <w:r w:rsidRPr="265B958A">
              <w:rPr>
                <w:rFonts w:cs="Arial"/>
              </w:rPr>
              <w:t>2,49</w:t>
            </w:r>
            <w:r w:rsidR="00664D14" w:rsidRPr="265B958A">
              <w:rPr>
                <w:rFonts w:cs="Arial"/>
              </w:rPr>
              <w:t>7</w:t>
            </w:r>
          </w:p>
        </w:tc>
        <w:tc>
          <w:tcPr>
            <w:tcW w:w="875" w:type="pct"/>
            <w:tcBorders>
              <w:top w:val="nil"/>
              <w:left w:val="nil"/>
              <w:bottom w:val="single" w:sz="4" w:space="0" w:color="auto"/>
              <w:right w:val="single" w:sz="4" w:space="0" w:color="auto"/>
            </w:tcBorders>
            <w:noWrap/>
            <w:vAlign w:val="bottom"/>
            <w:hideMark/>
          </w:tcPr>
          <w:p w14:paraId="570CF317" w14:textId="3867D33D" w:rsidR="003F50BC" w:rsidRPr="00664D14" w:rsidRDefault="003F50BC" w:rsidP="000210F9">
            <w:pPr>
              <w:spacing w:before="120" w:after="120"/>
              <w:jc w:val="center"/>
              <w:rPr>
                <w:rFonts w:cs="Arial"/>
              </w:rPr>
            </w:pPr>
            <w:r w:rsidRPr="265B958A">
              <w:rPr>
                <w:rFonts w:cs="Arial"/>
              </w:rPr>
              <w:t>1,</w:t>
            </w:r>
            <w:r w:rsidR="00664D14" w:rsidRPr="265B958A">
              <w:rPr>
                <w:rFonts w:cs="Arial"/>
              </w:rPr>
              <w:t>481,345</w:t>
            </w:r>
          </w:p>
        </w:tc>
        <w:tc>
          <w:tcPr>
            <w:tcW w:w="865" w:type="pct"/>
            <w:tcBorders>
              <w:top w:val="nil"/>
              <w:left w:val="nil"/>
              <w:bottom w:val="single" w:sz="4" w:space="0" w:color="auto"/>
              <w:right w:val="single" w:sz="4" w:space="0" w:color="auto"/>
            </w:tcBorders>
            <w:noWrap/>
            <w:vAlign w:val="bottom"/>
            <w:hideMark/>
          </w:tcPr>
          <w:p w14:paraId="26D69E49" w14:textId="4306FAD9" w:rsidR="003F50BC" w:rsidRPr="00664D14" w:rsidRDefault="003F50BC" w:rsidP="000210F9">
            <w:pPr>
              <w:spacing w:before="120" w:after="120"/>
              <w:jc w:val="center"/>
              <w:rPr>
                <w:rFonts w:cs="Arial"/>
              </w:rPr>
            </w:pPr>
            <w:r w:rsidRPr="265B958A">
              <w:rPr>
                <w:rFonts w:cs="Arial"/>
              </w:rPr>
              <w:t>8</w:t>
            </w:r>
            <w:r w:rsidR="00664D14" w:rsidRPr="265B958A">
              <w:rPr>
                <w:rFonts w:cs="Arial"/>
              </w:rPr>
              <w:t>85,041</w:t>
            </w:r>
          </w:p>
        </w:tc>
        <w:tc>
          <w:tcPr>
            <w:tcW w:w="926" w:type="pct"/>
            <w:tcBorders>
              <w:top w:val="nil"/>
              <w:left w:val="nil"/>
              <w:bottom w:val="single" w:sz="4" w:space="0" w:color="auto"/>
              <w:right w:val="single" w:sz="4" w:space="0" w:color="auto"/>
            </w:tcBorders>
            <w:noWrap/>
            <w:vAlign w:val="bottom"/>
            <w:hideMark/>
          </w:tcPr>
          <w:p w14:paraId="128323B3" w14:textId="6CCB204E" w:rsidR="003F50BC" w:rsidRPr="00664D14" w:rsidRDefault="003F50BC" w:rsidP="000210F9">
            <w:pPr>
              <w:spacing w:before="120" w:after="120"/>
              <w:jc w:val="center"/>
              <w:rPr>
                <w:rFonts w:cs="Arial"/>
              </w:rPr>
            </w:pPr>
            <w:r w:rsidRPr="265B958A">
              <w:rPr>
                <w:rFonts w:cs="Arial"/>
              </w:rPr>
              <w:t>5</w:t>
            </w:r>
            <w:r w:rsidR="00664D14" w:rsidRPr="265B958A">
              <w:rPr>
                <w:rFonts w:cs="Arial"/>
              </w:rPr>
              <w:t>9.7</w:t>
            </w:r>
            <w:r w:rsidRPr="265B958A">
              <w:rPr>
                <w:rFonts w:cs="Arial"/>
              </w:rPr>
              <w:t>%</w:t>
            </w:r>
          </w:p>
        </w:tc>
        <w:tc>
          <w:tcPr>
            <w:tcW w:w="687" w:type="pct"/>
            <w:tcBorders>
              <w:top w:val="nil"/>
              <w:left w:val="nil"/>
              <w:bottom w:val="single" w:sz="4" w:space="0" w:color="auto"/>
              <w:right w:val="single" w:sz="4" w:space="0" w:color="auto"/>
            </w:tcBorders>
            <w:noWrap/>
            <w:vAlign w:val="bottom"/>
            <w:hideMark/>
          </w:tcPr>
          <w:p w14:paraId="4BFD40F3" w14:textId="58DF2CBC" w:rsidR="003F50BC" w:rsidRPr="00664D14" w:rsidRDefault="00664D14" w:rsidP="000210F9">
            <w:pPr>
              <w:spacing w:before="120" w:after="120"/>
              <w:jc w:val="center"/>
              <w:rPr>
                <w:rFonts w:cs="Arial"/>
              </w:rPr>
            </w:pPr>
            <w:r w:rsidRPr="265B958A">
              <w:rPr>
                <w:rFonts w:cs="Arial"/>
              </w:rPr>
              <w:t>69,384.3</w:t>
            </w:r>
          </w:p>
        </w:tc>
      </w:tr>
      <w:tr w:rsidR="003F50BC" w:rsidRPr="00D26A93" w14:paraId="4909E575" w14:textId="77777777" w:rsidTr="00E87E08">
        <w:trPr>
          <w:cantSplit/>
          <w:trHeight w:val="280"/>
          <w:tblHeader/>
          <w:jc w:val="center"/>
        </w:trPr>
        <w:tc>
          <w:tcPr>
            <w:tcW w:w="855" w:type="pct"/>
            <w:tcBorders>
              <w:top w:val="nil"/>
              <w:left w:val="single" w:sz="4" w:space="0" w:color="auto"/>
              <w:bottom w:val="single" w:sz="4" w:space="0" w:color="auto"/>
              <w:right w:val="single" w:sz="4" w:space="0" w:color="auto"/>
            </w:tcBorders>
            <w:noWrap/>
            <w:vAlign w:val="center"/>
            <w:hideMark/>
          </w:tcPr>
          <w:p w14:paraId="2EF81B21" w14:textId="77777777" w:rsidR="003F50BC" w:rsidRPr="00D26A93" w:rsidRDefault="003F50BC" w:rsidP="000210F9">
            <w:pPr>
              <w:spacing w:before="120" w:after="120"/>
              <w:jc w:val="center"/>
              <w:rPr>
                <w:rFonts w:cs="Arial"/>
              </w:rPr>
            </w:pPr>
            <w:r w:rsidRPr="00D26A93">
              <w:rPr>
                <w:rFonts w:cs="Arial"/>
              </w:rPr>
              <w:t>3</w:t>
            </w:r>
          </w:p>
        </w:tc>
        <w:tc>
          <w:tcPr>
            <w:tcW w:w="793" w:type="pct"/>
            <w:tcBorders>
              <w:top w:val="nil"/>
              <w:left w:val="nil"/>
              <w:bottom w:val="single" w:sz="4" w:space="0" w:color="auto"/>
              <w:right w:val="single" w:sz="4" w:space="0" w:color="auto"/>
            </w:tcBorders>
            <w:noWrap/>
            <w:vAlign w:val="bottom"/>
            <w:hideMark/>
          </w:tcPr>
          <w:p w14:paraId="7F35A072" w14:textId="491D1423" w:rsidR="003F50BC" w:rsidRPr="00664D14" w:rsidRDefault="003F50BC" w:rsidP="000210F9">
            <w:pPr>
              <w:spacing w:before="120" w:after="120"/>
              <w:jc w:val="center"/>
              <w:rPr>
                <w:rFonts w:cs="Arial"/>
              </w:rPr>
            </w:pPr>
            <w:r w:rsidRPr="265B958A">
              <w:rPr>
                <w:rFonts w:cs="Arial"/>
              </w:rPr>
              <w:t>2,49</w:t>
            </w:r>
            <w:r w:rsidR="00664D14" w:rsidRPr="265B958A">
              <w:rPr>
                <w:rFonts w:cs="Arial"/>
              </w:rPr>
              <w:t>7</w:t>
            </w:r>
          </w:p>
        </w:tc>
        <w:tc>
          <w:tcPr>
            <w:tcW w:w="875" w:type="pct"/>
            <w:tcBorders>
              <w:top w:val="nil"/>
              <w:left w:val="nil"/>
              <w:bottom w:val="single" w:sz="4" w:space="0" w:color="auto"/>
              <w:right w:val="single" w:sz="4" w:space="0" w:color="auto"/>
            </w:tcBorders>
            <w:noWrap/>
            <w:vAlign w:val="bottom"/>
            <w:hideMark/>
          </w:tcPr>
          <w:p w14:paraId="47591EFD" w14:textId="6983F128" w:rsidR="003F50BC" w:rsidRPr="00664D14" w:rsidRDefault="003F50BC" w:rsidP="000210F9">
            <w:pPr>
              <w:spacing w:before="120" w:after="120"/>
              <w:jc w:val="center"/>
              <w:rPr>
                <w:rFonts w:cs="Arial"/>
              </w:rPr>
            </w:pPr>
            <w:r w:rsidRPr="265B958A">
              <w:rPr>
                <w:rFonts w:cs="Arial"/>
              </w:rPr>
              <w:t>1,</w:t>
            </w:r>
            <w:r w:rsidR="00664D14" w:rsidRPr="265B958A">
              <w:rPr>
                <w:rFonts w:cs="Arial"/>
              </w:rPr>
              <w:t>402,194</w:t>
            </w:r>
          </w:p>
        </w:tc>
        <w:tc>
          <w:tcPr>
            <w:tcW w:w="865" w:type="pct"/>
            <w:tcBorders>
              <w:top w:val="nil"/>
              <w:left w:val="nil"/>
              <w:bottom w:val="single" w:sz="4" w:space="0" w:color="auto"/>
              <w:right w:val="single" w:sz="4" w:space="0" w:color="auto"/>
            </w:tcBorders>
            <w:noWrap/>
            <w:vAlign w:val="bottom"/>
            <w:hideMark/>
          </w:tcPr>
          <w:p w14:paraId="4106A734" w14:textId="30E1BDF1" w:rsidR="003F50BC" w:rsidRPr="00664D14" w:rsidRDefault="003F50BC" w:rsidP="000210F9">
            <w:pPr>
              <w:spacing w:before="120" w:after="120"/>
              <w:jc w:val="center"/>
              <w:rPr>
                <w:rFonts w:cs="Arial"/>
              </w:rPr>
            </w:pPr>
            <w:r w:rsidRPr="265B958A">
              <w:rPr>
                <w:rFonts w:cs="Arial"/>
              </w:rPr>
              <w:t>1,1</w:t>
            </w:r>
            <w:r w:rsidR="00664D14" w:rsidRPr="265B958A">
              <w:rPr>
                <w:rFonts w:cs="Arial"/>
              </w:rPr>
              <w:t>32,734</w:t>
            </w:r>
          </w:p>
        </w:tc>
        <w:tc>
          <w:tcPr>
            <w:tcW w:w="926" w:type="pct"/>
            <w:tcBorders>
              <w:top w:val="nil"/>
              <w:left w:val="nil"/>
              <w:bottom w:val="single" w:sz="4" w:space="0" w:color="auto"/>
              <w:right w:val="single" w:sz="4" w:space="0" w:color="auto"/>
            </w:tcBorders>
            <w:noWrap/>
            <w:vAlign w:val="bottom"/>
            <w:hideMark/>
          </w:tcPr>
          <w:p w14:paraId="374940D2" w14:textId="229CE0DF" w:rsidR="003F50BC" w:rsidRPr="00664D14" w:rsidRDefault="00664D14" w:rsidP="000210F9">
            <w:pPr>
              <w:spacing w:before="120" w:after="120"/>
              <w:jc w:val="center"/>
              <w:rPr>
                <w:rFonts w:cs="Arial"/>
              </w:rPr>
            </w:pPr>
            <w:r w:rsidRPr="265B958A">
              <w:rPr>
                <w:rFonts w:cs="Arial"/>
              </w:rPr>
              <w:t>80.8</w:t>
            </w:r>
            <w:r w:rsidR="003F50BC" w:rsidRPr="265B958A">
              <w:rPr>
                <w:rFonts w:cs="Arial"/>
              </w:rPr>
              <w:t>%</w:t>
            </w:r>
          </w:p>
        </w:tc>
        <w:tc>
          <w:tcPr>
            <w:tcW w:w="687" w:type="pct"/>
            <w:tcBorders>
              <w:top w:val="nil"/>
              <w:left w:val="nil"/>
              <w:bottom w:val="single" w:sz="4" w:space="0" w:color="auto"/>
              <w:right w:val="single" w:sz="4" w:space="0" w:color="auto"/>
            </w:tcBorders>
            <w:noWrap/>
            <w:vAlign w:val="bottom"/>
            <w:hideMark/>
          </w:tcPr>
          <w:p w14:paraId="10488458" w14:textId="7532293F" w:rsidR="003F50BC" w:rsidRPr="00664D14" w:rsidRDefault="003F50BC" w:rsidP="000210F9">
            <w:pPr>
              <w:spacing w:before="120" w:after="120"/>
              <w:jc w:val="center"/>
              <w:rPr>
                <w:rFonts w:cs="Arial"/>
              </w:rPr>
            </w:pPr>
            <w:r w:rsidRPr="265B958A">
              <w:rPr>
                <w:rFonts w:cs="Arial"/>
              </w:rPr>
              <w:t>6</w:t>
            </w:r>
            <w:r w:rsidR="00664D14" w:rsidRPr="265B958A">
              <w:rPr>
                <w:rFonts w:cs="Arial"/>
              </w:rPr>
              <w:t>8,190.8</w:t>
            </w:r>
          </w:p>
        </w:tc>
      </w:tr>
      <w:tr w:rsidR="003F50BC" w:rsidRPr="00D26A93" w14:paraId="33FAA8A8" w14:textId="77777777" w:rsidTr="00E87E08">
        <w:trPr>
          <w:cantSplit/>
          <w:trHeight w:val="280"/>
          <w:tblHeader/>
          <w:jc w:val="center"/>
        </w:trPr>
        <w:tc>
          <w:tcPr>
            <w:tcW w:w="855" w:type="pct"/>
            <w:tcBorders>
              <w:top w:val="nil"/>
              <w:left w:val="single" w:sz="4" w:space="0" w:color="auto"/>
              <w:bottom w:val="single" w:sz="4" w:space="0" w:color="auto"/>
              <w:right w:val="single" w:sz="4" w:space="0" w:color="auto"/>
            </w:tcBorders>
            <w:noWrap/>
            <w:vAlign w:val="center"/>
            <w:hideMark/>
          </w:tcPr>
          <w:p w14:paraId="1BB489E8" w14:textId="77777777" w:rsidR="003F50BC" w:rsidRPr="00D26A93" w:rsidRDefault="003F50BC" w:rsidP="000210F9">
            <w:pPr>
              <w:spacing w:before="120" w:after="120"/>
              <w:jc w:val="center"/>
              <w:rPr>
                <w:rFonts w:cs="Arial"/>
              </w:rPr>
            </w:pPr>
            <w:r w:rsidRPr="00D26A93">
              <w:rPr>
                <w:rFonts w:cs="Arial"/>
              </w:rPr>
              <w:t>4</w:t>
            </w:r>
          </w:p>
        </w:tc>
        <w:tc>
          <w:tcPr>
            <w:tcW w:w="793" w:type="pct"/>
            <w:tcBorders>
              <w:top w:val="nil"/>
              <w:left w:val="nil"/>
              <w:bottom w:val="single" w:sz="4" w:space="0" w:color="auto"/>
              <w:right w:val="single" w:sz="4" w:space="0" w:color="auto"/>
            </w:tcBorders>
            <w:noWrap/>
            <w:vAlign w:val="bottom"/>
            <w:hideMark/>
          </w:tcPr>
          <w:p w14:paraId="781B38EF" w14:textId="698A9707" w:rsidR="003F50BC" w:rsidRPr="00664D14" w:rsidRDefault="003F50BC" w:rsidP="000210F9">
            <w:pPr>
              <w:spacing w:before="120" w:after="120"/>
              <w:jc w:val="center"/>
              <w:rPr>
                <w:rFonts w:cs="Arial"/>
              </w:rPr>
            </w:pPr>
            <w:r w:rsidRPr="265B958A">
              <w:rPr>
                <w:rFonts w:cs="Arial"/>
              </w:rPr>
              <w:t>2,49</w:t>
            </w:r>
            <w:r w:rsidR="00664D14" w:rsidRPr="265B958A">
              <w:rPr>
                <w:rFonts w:cs="Arial"/>
              </w:rPr>
              <w:t>7</w:t>
            </w:r>
          </w:p>
        </w:tc>
        <w:tc>
          <w:tcPr>
            <w:tcW w:w="875" w:type="pct"/>
            <w:tcBorders>
              <w:top w:val="nil"/>
              <w:left w:val="nil"/>
              <w:bottom w:val="single" w:sz="4" w:space="0" w:color="auto"/>
              <w:right w:val="single" w:sz="4" w:space="0" w:color="auto"/>
            </w:tcBorders>
            <w:noWrap/>
            <w:vAlign w:val="bottom"/>
            <w:hideMark/>
          </w:tcPr>
          <w:p w14:paraId="476416BE" w14:textId="6C6FF54E" w:rsidR="003F50BC" w:rsidRPr="00664D14" w:rsidRDefault="003F50BC" w:rsidP="000210F9">
            <w:pPr>
              <w:spacing w:before="120" w:after="120"/>
              <w:jc w:val="center"/>
              <w:rPr>
                <w:rFonts w:cs="Arial"/>
              </w:rPr>
            </w:pPr>
            <w:r w:rsidRPr="265B958A">
              <w:rPr>
                <w:rFonts w:cs="Arial"/>
              </w:rPr>
              <w:t>1,26</w:t>
            </w:r>
            <w:r w:rsidR="00664D14" w:rsidRPr="265B958A">
              <w:rPr>
                <w:rFonts w:cs="Arial"/>
              </w:rPr>
              <w:t>7,240</w:t>
            </w:r>
          </w:p>
        </w:tc>
        <w:tc>
          <w:tcPr>
            <w:tcW w:w="865" w:type="pct"/>
            <w:tcBorders>
              <w:top w:val="nil"/>
              <w:left w:val="nil"/>
              <w:bottom w:val="single" w:sz="4" w:space="0" w:color="auto"/>
              <w:right w:val="single" w:sz="4" w:space="0" w:color="auto"/>
            </w:tcBorders>
            <w:noWrap/>
            <w:vAlign w:val="bottom"/>
            <w:hideMark/>
          </w:tcPr>
          <w:p w14:paraId="65C962D8" w14:textId="53505CF6" w:rsidR="003F50BC" w:rsidRPr="00664D14" w:rsidRDefault="003F50BC" w:rsidP="000210F9">
            <w:pPr>
              <w:spacing w:before="120" w:after="120"/>
              <w:jc w:val="center"/>
              <w:rPr>
                <w:rFonts w:cs="Arial"/>
              </w:rPr>
            </w:pPr>
            <w:r w:rsidRPr="4B311418">
              <w:rPr>
                <w:rFonts w:cs="Arial"/>
              </w:rPr>
              <w:t>1,</w:t>
            </w:r>
            <w:r w:rsidR="09E13A94" w:rsidRPr="4B311418">
              <w:rPr>
                <w:rFonts w:cs="Arial"/>
              </w:rPr>
              <w:t>182</w:t>
            </w:r>
            <w:r w:rsidR="00664D14" w:rsidRPr="4B311418">
              <w:rPr>
                <w:rFonts w:cs="Arial"/>
              </w:rPr>
              <w:t>,</w:t>
            </w:r>
            <w:r w:rsidR="665F0E89" w:rsidRPr="4B311418">
              <w:rPr>
                <w:rFonts w:cs="Arial"/>
              </w:rPr>
              <w:t>779</w:t>
            </w:r>
          </w:p>
        </w:tc>
        <w:tc>
          <w:tcPr>
            <w:tcW w:w="926" w:type="pct"/>
            <w:tcBorders>
              <w:top w:val="nil"/>
              <w:left w:val="nil"/>
              <w:bottom w:val="single" w:sz="4" w:space="0" w:color="auto"/>
              <w:right w:val="single" w:sz="4" w:space="0" w:color="auto"/>
            </w:tcBorders>
            <w:noWrap/>
            <w:vAlign w:val="bottom"/>
            <w:hideMark/>
          </w:tcPr>
          <w:p w14:paraId="79E1E0EA" w14:textId="5CDAD55B" w:rsidR="003F50BC" w:rsidRPr="00664D14" w:rsidRDefault="003F50BC" w:rsidP="000210F9">
            <w:pPr>
              <w:spacing w:before="120" w:after="120"/>
              <w:jc w:val="center"/>
              <w:rPr>
                <w:rFonts w:cs="Arial"/>
              </w:rPr>
            </w:pPr>
            <w:r w:rsidRPr="265B958A">
              <w:rPr>
                <w:rFonts w:cs="Arial"/>
              </w:rPr>
              <w:t>9</w:t>
            </w:r>
            <w:r w:rsidR="00664D14" w:rsidRPr="265B958A">
              <w:rPr>
                <w:rFonts w:cs="Arial"/>
              </w:rPr>
              <w:t>3.3</w:t>
            </w:r>
            <w:r w:rsidRPr="265B958A">
              <w:rPr>
                <w:rFonts w:cs="Arial"/>
              </w:rPr>
              <w:t>%</w:t>
            </w:r>
          </w:p>
        </w:tc>
        <w:tc>
          <w:tcPr>
            <w:tcW w:w="687" w:type="pct"/>
            <w:tcBorders>
              <w:top w:val="nil"/>
              <w:left w:val="nil"/>
              <w:bottom w:val="single" w:sz="4" w:space="0" w:color="auto"/>
              <w:right w:val="single" w:sz="4" w:space="0" w:color="auto"/>
            </w:tcBorders>
            <w:noWrap/>
            <w:vAlign w:val="bottom"/>
            <w:hideMark/>
          </w:tcPr>
          <w:p w14:paraId="697E7926" w14:textId="1BC225E5" w:rsidR="003F50BC" w:rsidRPr="00664D14" w:rsidRDefault="003F50BC" w:rsidP="000210F9">
            <w:pPr>
              <w:spacing w:before="120" w:after="120"/>
              <w:jc w:val="center"/>
              <w:rPr>
                <w:rFonts w:cs="Arial"/>
              </w:rPr>
            </w:pPr>
            <w:r w:rsidRPr="265B958A">
              <w:rPr>
                <w:rFonts w:cs="Arial"/>
              </w:rPr>
              <w:t>6</w:t>
            </w:r>
            <w:r w:rsidR="00664D14" w:rsidRPr="265B958A">
              <w:rPr>
                <w:rFonts w:cs="Arial"/>
              </w:rPr>
              <w:t>3,157.1</w:t>
            </w:r>
          </w:p>
        </w:tc>
      </w:tr>
      <w:tr w:rsidR="00190652" w:rsidRPr="00D26A93" w14:paraId="3D625AE1" w14:textId="77777777" w:rsidTr="00E87E08">
        <w:trPr>
          <w:cantSplit/>
          <w:trHeight w:val="280"/>
          <w:tblHeader/>
          <w:jc w:val="center"/>
        </w:trPr>
        <w:tc>
          <w:tcPr>
            <w:tcW w:w="855" w:type="pct"/>
            <w:tcBorders>
              <w:top w:val="nil"/>
              <w:left w:val="single" w:sz="4" w:space="0" w:color="auto"/>
              <w:bottom w:val="single" w:sz="4" w:space="0" w:color="auto"/>
              <w:right w:val="single" w:sz="4" w:space="0" w:color="auto"/>
            </w:tcBorders>
            <w:noWrap/>
            <w:vAlign w:val="center"/>
            <w:hideMark/>
          </w:tcPr>
          <w:p w14:paraId="3225068E" w14:textId="77777777" w:rsidR="003F50BC" w:rsidRPr="00D26A93" w:rsidRDefault="003F50BC" w:rsidP="000210F9">
            <w:pPr>
              <w:spacing w:before="120" w:after="120"/>
              <w:jc w:val="center"/>
              <w:rPr>
                <w:rFonts w:cs="Arial"/>
                <w:b/>
                <w:bCs/>
              </w:rPr>
            </w:pPr>
            <w:r w:rsidRPr="00D26A93">
              <w:rPr>
                <w:rFonts w:cs="Arial"/>
                <w:b/>
                <w:bCs/>
              </w:rPr>
              <w:t>Statewide</w:t>
            </w:r>
          </w:p>
        </w:tc>
        <w:tc>
          <w:tcPr>
            <w:tcW w:w="793" w:type="pct"/>
            <w:tcBorders>
              <w:top w:val="nil"/>
              <w:left w:val="nil"/>
              <w:bottom w:val="single" w:sz="4" w:space="0" w:color="auto"/>
              <w:right w:val="single" w:sz="4" w:space="0" w:color="auto"/>
            </w:tcBorders>
            <w:noWrap/>
            <w:vAlign w:val="bottom"/>
            <w:hideMark/>
          </w:tcPr>
          <w:p w14:paraId="5179410A" w14:textId="5D4BDC93" w:rsidR="003F50BC" w:rsidRPr="00664D14" w:rsidRDefault="003F50BC" w:rsidP="000210F9">
            <w:pPr>
              <w:spacing w:before="120" w:after="120"/>
              <w:jc w:val="center"/>
              <w:rPr>
                <w:rFonts w:cs="Arial"/>
                <w:b/>
                <w:bCs/>
              </w:rPr>
            </w:pPr>
            <w:r w:rsidRPr="265B958A">
              <w:rPr>
                <w:rFonts w:cs="Arial"/>
                <w:b/>
                <w:bCs/>
              </w:rPr>
              <w:t>9,9</w:t>
            </w:r>
            <w:r w:rsidR="00664D14" w:rsidRPr="265B958A">
              <w:rPr>
                <w:rFonts w:cs="Arial"/>
                <w:b/>
                <w:bCs/>
              </w:rPr>
              <w:t>8</w:t>
            </w:r>
            <w:r w:rsidRPr="265B958A">
              <w:rPr>
                <w:rFonts w:cs="Arial"/>
                <w:b/>
                <w:bCs/>
              </w:rPr>
              <w:t>7</w:t>
            </w:r>
          </w:p>
        </w:tc>
        <w:tc>
          <w:tcPr>
            <w:tcW w:w="875" w:type="pct"/>
            <w:tcBorders>
              <w:top w:val="nil"/>
              <w:left w:val="nil"/>
              <w:bottom w:val="single" w:sz="4" w:space="0" w:color="auto"/>
              <w:right w:val="single" w:sz="4" w:space="0" w:color="auto"/>
            </w:tcBorders>
            <w:noWrap/>
            <w:vAlign w:val="bottom"/>
            <w:hideMark/>
          </w:tcPr>
          <w:p w14:paraId="33C0F31A" w14:textId="41B6EE2B" w:rsidR="003F50BC" w:rsidRPr="00664D14" w:rsidRDefault="003F50BC" w:rsidP="000210F9">
            <w:pPr>
              <w:spacing w:before="120" w:after="120"/>
              <w:jc w:val="center"/>
              <w:rPr>
                <w:rFonts w:cs="Arial"/>
                <w:b/>
                <w:bCs/>
              </w:rPr>
            </w:pPr>
            <w:r w:rsidRPr="265B958A">
              <w:rPr>
                <w:rFonts w:cs="Arial"/>
                <w:b/>
                <w:bCs/>
              </w:rPr>
              <w:t>5,8</w:t>
            </w:r>
            <w:r w:rsidR="00664D14" w:rsidRPr="265B958A">
              <w:rPr>
                <w:rFonts w:cs="Arial"/>
                <w:b/>
                <w:bCs/>
              </w:rPr>
              <w:t>23</w:t>
            </w:r>
            <w:r w:rsidRPr="265B958A">
              <w:rPr>
                <w:rFonts w:cs="Arial"/>
                <w:b/>
                <w:bCs/>
              </w:rPr>
              <w:t>,</w:t>
            </w:r>
            <w:r w:rsidR="00664D14" w:rsidRPr="265B958A">
              <w:rPr>
                <w:rFonts w:cs="Arial"/>
                <w:b/>
                <w:bCs/>
              </w:rPr>
              <w:t>704</w:t>
            </w:r>
          </w:p>
        </w:tc>
        <w:tc>
          <w:tcPr>
            <w:tcW w:w="865" w:type="pct"/>
            <w:tcBorders>
              <w:top w:val="nil"/>
              <w:left w:val="nil"/>
              <w:bottom w:val="single" w:sz="4" w:space="0" w:color="auto"/>
              <w:right w:val="single" w:sz="4" w:space="0" w:color="auto"/>
            </w:tcBorders>
            <w:noWrap/>
            <w:vAlign w:val="bottom"/>
            <w:hideMark/>
          </w:tcPr>
          <w:p w14:paraId="0C3AF774" w14:textId="33EA003B" w:rsidR="003F50BC" w:rsidRPr="00664D14" w:rsidRDefault="00664D14" w:rsidP="000210F9">
            <w:pPr>
              <w:spacing w:before="120" w:after="120"/>
              <w:jc w:val="center"/>
              <w:rPr>
                <w:rFonts w:cs="Arial"/>
                <w:b/>
                <w:bCs/>
              </w:rPr>
            </w:pPr>
            <w:r w:rsidRPr="265B958A">
              <w:rPr>
                <w:rFonts w:cs="Arial"/>
                <w:b/>
                <w:bCs/>
              </w:rPr>
              <w:t>3,652,800</w:t>
            </w:r>
          </w:p>
        </w:tc>
        <w:tc>
          <w:tcPr>
            <w:tcW w:w="926" w:type="pct"/>
            <w:tcBorders>
              <w:top w:val="nil"/>
              <w:left w:val="nil"/>
              <w:bottom w:val="single" w:sz="4" w:space="0" w:color="auto"/>
              <w:right w:val="single" w:sz="4" w:space="0" w:color="auto"/>
            </w:tcBorders>
            <w:noWrap/>
            <w:vAlign w:val="bottom"/>
            <w:hideMark/>
          </w:tcPr>
          <w:p w14:paraId="4D33C9CC" w14:textId="35D3994E" w:rsidR="003F50BC" w:rsidRPr="00664D14" w:rsidRDefault="00664D14" w:rsidP="000210F9">
            <w:pPr>
              <w:spacing w:before="120" w:after="120"/>
              <w:jc w:val="center"/>
              <w:rPr>
                <w:rFonts w:cs="Arial"/>
                <w:b/>
                <w:bCs/>
              </w:rPr>
            </w:pPr>
            <w:r w:rsidRPr="265B958A">
              <w:rPr>
                <w:rFonts w:cs="Arial"/>
                <w:b/>
                <w:bCs/>
              </w:rPr>
              <w:t>62.7</w:t>
            </w:r>
            <w:r w:rsidR="003F50BC" w:rsidRPr="265B958A">
              <w:rPr>
                <w:rFonts w:cs="Arial"/>
                <w:b/>
                <w:bCs/>
              </w:rPr>
              <w:t>%</w:t>
            </w:r>
          </w:p>
        </w:tc>
        <w:tc>
          <w:tcPr>
            <w:tcW w:w="687" w:type="pct"/>
            <w:tcBorders>
              <w:top w:val="nil"/>
              <w:left w:val="nil"/>
              <w:bottom w:val="single" w:sz="4" w:space="0" w:color="auto"/>
              <w:right w:val="single" w:sz="4" w:space="0" w:color="auto"/>
            </w:tcBorders>
            <w:noWrap/>
            <w:vAlign w:val="bottom"/>
            <w:hideMark/>
          </w:tcPr>
          <w:p w14:paraId="56D17AD6" w14:textId="7D0C4ECD" w:rsidR="003F50BC" w:rsidRPr="00664D14" w:rsidRDefault="003F50BC" w:rsidP="000210F9">
            <w:pPr>
              <w:spacing w:before="120" w:after="120"/>
              <w:jc w:val="center"/>
              <w:rPr>
                <w:rFonts w:cs="Arial"/>
                <w:b/>
                <w:bCs/>
              </w:rPr>
            </w:pPr>
            <w:r w:rsidRPr="265B958A">
              <w:rPr>
                <w:rFonts w:cs="Arial"/>
                <w:b/>
                <w:bCs/>
              </w:rPr>
              <w:t>27</w:t>
            </w:r>
            <w:r w:rsidR="00664D14" w:rsidRPr="265B958A">
              <w:rPr>
                <w:rFonts w:cs="Arial"/>
                <w:b/>
                <w:bCs/>
              </w:rPr>
              <w:t>8</w:t>
            </w:r>
            <w:r w:rsidRPr="265B958A">
              <w:rPr>
                <w:rFonts w:cs="Arial"/>
                <w:b/>
                <w:bCs/>
              </w:rPr>
              <w:t>,</w:t>
            </w:r>
            <w:r w:rsidR="00664D14" w:rsidRPr="265B958A">
              <w:rPr>
                <w:rFonts w:cs="Arial"/>
                <w:b/>
                <w:bCs/>
              </w:rPr>
              <w:t>090.1</w:t>
            </w:r>
          </w:p>
        </w:tc>
      </w:tr>
    </w:tbl>
    <w:p w14:paraId="01453C3D" w14:textId="77777777" w:rsidR="003F50BC" w:rsidRPr="00D26A93" w:rsidRDefault="003F50BC" w:rsidP="000210F9">
      <w:pPr>
        <w:spacing w:before="240" w:after="480"/>
        <w:rPr>
          <w:rFonts w:cs="Arial"/>
          <w:b/>
          <w:bCs/>
        </w:rPr>
      </w:pPr>
      <w:r w:rsidRPr="1268EE65">
        <w:rPr>
          <w:rFonts w:cs="Arial"/>
        </w:rPr>
        <w:t xml:space="preserve">Table 4a displays California’s school data divided into quartiles based on the enrollment of SED students. Quartile 1 includes schools with the lowest percentage of SED students and Quartile 4 includes schools with the highest percentage of SED students. The final column includes the number of FTEs in each quartile. </w:t>
      </w:r>
    </w:p>
    <w:p w14:paraId="5824A31C" w14:textId="65CB13FB" w:rsidR="003F50BC" w:rsidRPr="00D26A93" w:rsidRDefault="003F50BC" w:rsidP="00E87E08">
      <w:pPr>
        <w:pStyle w:val="Heading4"/>
      </w:pPr>
      <w:r w:rsidRPr="00D26A93">
        <w:lastRenderedPageBreak/>
        <w:t xml:space="preserve">Table 4b: </w:t>
      </w:r>
      <w:r w:rsidRPr="00D26A93">
        <w:rPr>
          <w:lang w:val="en"/>
        </w:rPr>
        <w:t xml:space="preserve">Socioeconomically Disadvantaged Quartiles: </w:t>
      </w:r>
      <w:bookmarkStart w:id="2" w:name="_Hlk169778754"/>
      <w:r w:rsidRPr="00D26A93">
        <w:rPr>
          <w:lang w:val="en"/>
        </w:rPr>
        <w:t xml:space="preserve">Inexperienced, </w:t>
      </w:r>
      <w:proofErr w:type="gramStart"/>
      <w:r w:rsidRPr="00D26A93">
        <w:rPr>
          <w:lang w:val="en"/>
        </w:rPr>
        <w:t>Clear, Intern</w:t>
      </w:r>
      <w:proofErr w:type="gramEnd"/>
      <w:r w:rsidRPr="00D26A93">
        <w:rPr>
          <w:lang w:val="en"/>
        </w:rPr>
        <w:t>, Ineffective</w:t>
      </w:r>
      <w:r w:rsidR="00EA56DF">
        <w:rPr>
          <w:lang w:val="en"/>
        </w:rPr>
        <w:t>,</w:t>
      </w:r>
      <w:r w:rsidRPr="00D26A93">
        <w:rPr>
          <w:lang w:val="en"/>
        </w:rPr>
        <w:t xml:space="preserve"> and Out-of-Field Teacher Assignments</w:t>
      </w:r>
    </w:p>
    <w:tbl>
      <w:tblPr>
        <w:tblW w:w="5000" w:type="pct"/>
        <w:tblLayout w:type="fixed"/>
        <w:tblLook w:val="04A0" w:firstRow="1" w:lastRow="0" w:firstColumn="1" w:lastColumn="0" w:noHBand="0" w:noVBand="1"/>
        <w:tblCaption w:val="Table 4b: Socioeconomically Disadvantaged Quartiles: Inexperienced, Clear, Intern, Ineffective and Out-of-Field Teacher Assignments"/>
        <w:tblDescription w:val="Table 4b includes the same SED quartiles, but includes the percentage of inexperienced, clear, intern, ineffective, and out-of-field teachers assigned to the schools in each quartile."/>
      </w:tblPr>
      <w:tblGrid>
        <w:gridCol w:w="1494"/>
        <w:gridCol w:w="2121"/>
        <w:gridCol w:w="1208"/>
        <w:gridCol w:w="1307"/>
        <w:gridCol w:w="1610"/>
        <w:gridCol w:w="1610"/>
      </w:tblGrid>
      <w:tr w:rsidR="003F50BC" w:rsidRPr="00D26A93" w14:paraId="07A12914" w14:textId="77777777" w:rsidTr="00E87E08">
        <w:trPr>
          <w:cantSplit/>
          <w:trHeight w:val="900"/>
          <w:tblHeader/>
        </w:trPr>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2"/>
          <w:p w14:paraId="109256CC" w14:textId="77777777" w:rsidR="003F50BC" w:rsidRPr="00D26A93" w:rsidRDefault="003F50BC" w:rsidP="000210F9">
            <w:pPr>
              <w:spacing w:before="120" w:after="120"/>
              <w:jc w:val="center"/>
              <w:rPr>
                <w:rFonts w:cs="Arial"/>
                <w:b/>
                <w:bCs/>
              </w:rPr>
            </w:pPr>
            <w:r w:rsidRPr="00D26A93">
              <w:rPr>
                <w:rFonts w:cs="Arial"/>
                <w:b/>
                <w:bCs/>
              </w:rPr>
              <w:t>SED Quartile Rank</w:t>
            </w:r>
          </w:p>
        </w:tc>
        <w:tc>
          <w:tcPr>
            <w:tcW w:w="11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88515" w14:textId="77777777" w:rsidR="003F50BC" w:rsidRPr="00D26A93" w:rsidRDefault="003F50BC" w:rsidP="000210F9">
            <w:pPr>
              <w:spacing w:before="120" w:after="120"/>
              <w:jc w:val="center"/>
              <w:rPr>
                <w:rFonts w:cs="Arial"/>
                <w:b/>
                <w:bCs/>
              </w:rPr>
            </w:pPr>
            <w:r w:rsidRPr="00D26A93">
              <w:rPr>
                <w:rFonts w:cs="Arial"/>
                <w:b/>
                <w:bCs/>
              </w:rPr>
              <w:t>Inexperienced FTE (%)</w:t>
            </w:r>
          </w:p>
        </w:tc>
        <w:tc>
          <w:tcPr>
            <w:tcW w:w="6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66094" w14:textId="77777777" w:rsidR="003F50BC" w:rsidRPr="00D26A93" w:rsidRDefault="003F50BC" w:rsidP="000210F9">
            <w:pPr>
              <w:spacing w:before="120" w:after="120"/>
              <w:jc w:val="center"/>
              <w:rPr>
                <w:rFonts w:cs="Arial"/>
                <w:b/>
                <w:bCs/>
              </w:rPr>
            </w:pPr>
            <w:r w:rsidRPr="00D26A93">
              <w:rPr>
                <w:rFonts w:cs="Arial"/>
                <w:b/>
                <w:bCs/>
              </w:rPr>
              <w:t xml:space="preserve">Clear </w:t>
            </w:r>
            <w:r w:rsidRPr="00D26A93">
              <w:rPr>
                <w:rFonts w:cs="Arial"/>
                <w:b/>
                <w:bCs/>
              </w:rPr>
              <w:br/>
              <w:t>FTE (%)</w:t>
            </w:r>
          </w:p>
        </w:tc>
        <w:tc>
          <w:tcPr>
            <w:tcW w:w="6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3E177" w14:textId="77777777" w:rsidR="003F50BC" w:rsidRPr="00D26A93" w:rsidRDefault="003F50BC" w:rsidP="000210F9">
            <w:pPr>
              <w:spacing w:before="120" w:after="120"/>
              <w:jc w:val="center"/>
              <w:rPr>
                <w:rFonts w:cs="Arial"/>
                <w:b/>
                <w:bCs/>
              </w:rPr>
            </w:pPr>
            <w:r w:rsidRPr="00D26A93">
              <w:rPr>
                <w:rFonts w:cs="Arial"/>
                <w:b/>
                <w:bCs/>
              </w:rPr>
              <w:t>Intern</w:t>
            </w:r>
            <w:r w:rsidRPr="00D26A93">
              <w:rPr>
                <w:rFonts w:cs="Arial"/>
                <w:b/>
                <w:bCs/>
              </w:rPr>
              <w:br/>
              <w:t>FTE (%)</w:t>
            </w:r>
          </w:p>
        </w:tc>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D4195" w14:textId="77777777" w:rsidR="003F50BC" w:rsidRPr="00D26A93" w:rsidRDefault="003F50BC" w:rsidP="000210F9">
            <w:pPr>
              <w:spacing w:before="120" w:after="120"/>
              <w:jc w:val="center"/>
              <w:rPr>
                <w:rFonts w:cs="Arial"/>
                <w:b/>
                <w:bCs/>
              </w:rPr>
            </w:pPr>
            <w:r w:rsidRPr="00D26A93">
              <w:rPr>
                <w:rFonts w:cs="Arial"/>
                <w:b/>
                <w:bCs/>
              </w:rPr>
              <w:t xml:space="preserve">Ineffective </w:t>
            </w:r>
            <w:r w:rsidRPr="00D26A93">
              <w:rPr>
                <w:rFonts w:cs="Arial"/>
                <w:b/>
                <w:bCs/>
              </w:rPr>
              <w:br/>
              <w:t>FTE (%)</w:t>
            </w:r>
          </w:p>
        </w:tc>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9E98B" w14:textId="77777777" w:rsidR="003F50BC" w:rsidRPr="00D26A93" w:rsidRDefault="003F50BC" w:rsidP="000210F9">
            <w:pPr>
              <w:spacing w:before="120" w:after="120"/>
              <w:jc w:val="center"/>
              <w:rPr>
                <w:rFonts w:cs="Arial"/>
                <w:b/>
                <w:bCs/>
              </w:rPr>
            </w:pPr>
            <w:r w:rsidRPr="00D26A93">
              <w:rPr>
                <w:rFonts w:cs="Arial"/>
                <w:b/>
                <w:bCs/>
              </w:rPr>
              <w:t>Out of Field</w:t>
            </w:r>
            <w:r w:rsidRPr="00D26A93">
              <w:rPr>
                <w:rFonts w:cs="Arial"/>
                <w:b/>
                <w:bCs/>
              </w:rPr>
              <w:br/>
              <w:t>FTE (%)</w:t>
            </w:r>
          </w:p>
        </w:tc>
      </w:tr>
      <w:tr w:rsidR="003F50BC" w:rsidRPr="00D26A93" w14:paraId="43A0FEB9" w14:textId="77777777" w:rsidTr="00E87E08">
        <w:trPr>
          <w:cantSplit/>
          <w:trHeight w:val="280"/>
          <w:tblHeader/>
        </w:trPr>
        <w:tc>
          <w:tcPr>
            <w:tcW w:w="799" w:type="pct"/>
            <w:tcBorders>
              <w:top w:val="nil"/>
              <w:left w:val="single" w:sz="4" w:space="0" w:color="auto"/>
              <w:bottom w:val="single" w:sz="4" w:space="0" w:color="auto"/>
              <w:right w:val="single" w:sz="4" w:space="0" w:color="auto"/>
            </w:tcBorders>
            <w:noWrap/>
            <w:vAlign w:val="center"/>
            <w:hideMark/>
          </w:tcPr>
          <w:p w14:paraId="4CB1A4DA" w14:textId="77777777" w:rsidR="003F50BC" w:rsidRPr="00D26A93" w:rsidRDefault="003F50BC" w:rsidP="000210F9">
            <w:pPr>
              <w:spacing w:before="120" w:after="120"/>
              <w:jc w:val="center"/>
              <w:rPr>
                <w:rFonts w:cs="Arial"/>
              </w:rPr>
            </w:pPr>
            <w:r w:rsidRPr="00D26A93">
              <w:rPr>
                <w:rFonts w:cs="Arial"/>
              </w:rPr>
              <w:t>1</w:t>
            </w:r>
          </w:p>
        </w:tc>
        <w:tc>
          <w:tcPr>
            <w:tcW w:w="1134" w:type="pct"/>
            <w:tcBorders>
              <w:top w:val="nil"/>
              <w:left w:val="single" w:sz="4" w:space="0" w:color="auto"/>
              <w:bottom w:val="single" w:sz="4" w:space="0" w:color="auto"/>
              <w:right w:val="single" w:sz="4" w:space="0" w:color="auto"/>
            </w:tcBorders>
            <w:vAlign w:val="bottom"/>
          </w:tcPr>
          <w:p w14:paraId="560E2F10" w14:textId="60ED6396" w:rsidR="003F50BC" w:rsidRPr="00467422" w:rsidRDefault="003F50BC" w:rsidP="000210F9">
            <w:pPr>
              <w:spacing w:before="120" w:after="120"/>
              <w:jc w:val="center"/>
              <w:rPr>
                <w:rFonts w:cs="Arial"/>
              </w:rPr>
            </w:pPr>
            <w:r w:rsidRPr="265B958A">
              <w:rPr>
                <w:rFonts w:cs="Arial"/>
              </w:rPr>
              <w:t>10.</w:t>
            </w:r>
            <w:r w:rsidR="00467422" w:rsidRPr="265B958A">
              <w:rPr>
                <w:rFonts w:cs="Arial"/>
              </w:rPr>
              <w:t>5</w:t>
            </w:r>
            <w:r w:rsidRPr="265B958A">
              <w:rPr>
                <w:rFonts w:cs="Arial"/>
              </w:rPr>
              <w:t>%</w:t>
            </w:r>
          </w:p>
        </w:tc>
        <w:tc>
          <w:tcPr>
            <w:tcW w:w="646" w:type="pct"/>
            <w:tcBorders>
              <w:top w:val="nil"/>
              <w:left w:val="single" w:sz="4" w:space="0" w:color="auto"/>
              <w:bottom w:val="single" w:sz="4" w:space="0" w:color="auto"/>
              <w:right w:val="single" w:sz="4" w:space="0" w:color="auto"/>
            </w:tcBorders>
            <w:vAlign w:val="bottom"/>
          </w:tcPr>
          <w:p w14:paraId="793059EB" w14:textId="02DD2D8A" w:rsidR="003F50BC" w:rsidRPr="00467422" w:rsidRDefault="003F50BC" w:rsidP="000210F9">
            <w:pPr>
              <w:spacing w:before="120" w:after="120"/>
              <w:jc w:val="center"/>
              <w:rPr>
                <w:rFonts w:cs="Arial"/>
              </w:rPr>
            </w:pPr>
            <w:r w:rsidRPr="265B958A">
              <w:rPr>
                <w:rFonts w:cs="Arial"/>
              </w:rPr>
              <w:t>8</w:t>
            </w:r>
            <w:r w:rsidR="00467422" w:rsidRPr="265B958A">
              <w:rPr>
                <w:rFonts w:cs="Arial"/>
              </w:rPr>
              <w:t>6</w:t>
            </w:r>
            <w:r w:rsidRPr="265B958A">
              <w:rPr>
                <w:rFonts w:cs="Arial"/>
              </w:rPr>
              <w:t>.</w:t>
            </w:r>
            <w:r w:rsidR="00467422" w:rsidRPr="265B958A">
              <w:rPr>
                <w:rFonts w:cs="Arial"/>
              </w:rPr>
              <w:t>8</w:t>
            </w:r>
            <w:r w:rsidRPr="265B958A">
              <w:rPr>
                <w:rFonts w:cs="Arial"/>
              </w:rPr>
              <w:t>%</w:t>
            </w:r>
          </w:p>
        </w:tc>
        <w:tc>
          <w:tcPr>
            <w:tcW w:w="699" w:type="pct"/>
            <w:tcBorders>
              <w:top w:val="nil"/>
              <w:left w:val="single" w:sz="4" w:space="0" w:color="auto"/>
              <w:bottom w:val="single" w:sz="4" w:space="0" w:color="auto"/>
              <w:right w:val="single" w:sz="4" w:space="0" w:color="auto"/>
            </w:tcBorders>
            <w:vAlign w:val="bottom"/>
          </w:tcPr>
          <w:p w14:paraId="4EF675CB" w14:textId="2B38A543" w:rsidR="003F50BC" w:rsidRPr="00467422" w:rsidRDefault="00467422" w:rsidP="000210F9">
            <w:pPr>
              <w:spacing w:before="120" w:after="120"/>
              <w:jc w:val="center"/>
              <w:rPr>
                <w:rFonts w:cs="Arial"/>
              </w:rPr>
            </w:pPr>
            <w:r w:rsidRPr="265B958A">
              <w:rPr>
                <w:rFonts w:cs="Arial"/>
              </w:rPr>
              <w:t>1.1</w:t>
            </w:r>
            <w:r w:rsidR="003F50BC" w:rsidRPr="265B958A">
              <w:rPr>
                <w:rFonts w:cs="Arial"/>
              </w:rPr>
              <w:t>%</w:t>
            </w:r>
          </w:p>
        </w:tc>
        <w:tc>
          <w:tcPr>
            <w:tcW w:w="861" w:type="pct"/>
            <w:tcBorders>
              <w:top w:val="nil"/>
              <w:left w:val="single" w:sz="4" w:space="0" w:color="auto"/>
              <w:bottom w:val="single" w:sz="4" w:space="0" w:color="auto"/>
              <w:right w:val="single" w:sz="4" w:space="0" w:color="auto"/>
            </w:tcBorders>
            <w:vAlign w:val="bottom"/>
          </w:tcPr>
          <w:p w14:paraId="6011DC76" w14:textId="68431C59" w:rsidR="003F50BC" w:rsidRPr="00467422" w:rsidRDefault="00467422" w:rsidP="000210F9">
            <w:pPr>
              <w:spacing w:before="120" w:after="120"/>
              <w:jc w:val="center"/>
              <w:rPr>
                <w:rFonts w:cs="Arial"/>
              </w:rPr>
            </w:pPr>
            <w:r w:rsidRPr="265B958A">
              <w:rPr>
                <w:rFonts w:cs="Arial"/>
              </w:rPr>
              <w:t>3</w:t>
            </w:r>
            <w:r w:rsidR="003F50BC" w:rsidRPr="265B958A">
              <w:rPr>
                <w:rFonts w:cs="Arial"/>
              </w:rPr>
              <w:t>.8%</w:t>
            </w:r>
          </w:p>
        </w:tc>
        <w:tc>
          <w:tcPr>
            <w:tcW w:w="861" w:type="pct"/>
            <w:tcBorders>
              <w:top w:val="nil"/>
              <w:left w:val="single" w:sz="4" w:space="0" w:color="auto"/>
              <w:bottom w:val="single" w:sz="4" w:space="0" w:color="auto"/>
              <w:right w:val="single" w:sz="4" w:space="0" w:color="auto"/>
            </w:tcBorders>
            <w:vAlign w:val="bottom"/>
          </w:tcPr>
          <w:p w14:paraId="28439467" w14:textId="62D849E3" w:rsidR="003F50BC" w:rsidRPr="00467422" w:rsidRDefault="003F50BC" w:rsidP="000210F9">
            <w:pPr>
              <w:spacing w:before="120" w:after="120"/>
              <w:jc w:val="center"/>
              <w:rPr>
                <w:rFonts w:cs="Arial"/>
              </w:rPr>
            </w:pPr>
            <w:r w:rsidRPr="265B958A">
              <w:rPr>
                <w:rFonts w:cs="Arial"/>
              </w:rPr>
              <w:t>3.</w:t>
            </w:r>
            <w:r w:rsidR="00467422" w:rsidRPr="265B958A">
              <w:rPr>
                <w:rFonts w:cs="Arial"/>
              </w:rPr>
              <w:t>8</w:t>
            </w:r>
            <w:r w:rsidRPr="265B958A">
              <w:rPr>
                <w:rFonts w:cs="Arial"/>
              </w:rPr>
              <w:t>%</w:t>
            </w:r>
          </w:p>
        </w:tc>
      </w:tr>
      <w:tr w:rsidR="003F50BC" w:rsidRPr="00D26A93" w14:paraId="731C665C" w14:textId="77777777" w:rsidTr="00E87E08">
        <w:trPr>
          <w:cantSplit/>
          <w:trHeight w:val="280"/>
          <w:tblHeader/>
        </w:trPr>
        <w:tc>
          <w:tcPr>
            <w:tcW w:w="799" w:type="pct"/>
            <w:tcBorders>
              <w:top w:val="nil"/>
              <w:left w:val="single" w:sz="4" w:space="0" w:color="auto"/>
              <w:bottom w:val="single" w:sz="4" w:space="0" w:color="auto"/>
              <w:right w:val="single" w:sz="4" w:space="0" w:color="auto"/>
            </w:tcBorders>
            <w:noWrap/>
            <w:vAlign w:val="center"/>
            <w:hideMark/>
          </w:tcPr>
          <w:p w14:paraId="1258C7BE" w14:textId="77777777" w:rsidR="003F50BC" w:rsidRPr="00D26A93" w:rsidRDefault="003F50BC" w:rsidP="000210F9">
            <w:pPr>
              <w:spacing w:before="120" w:after="120"/>
              <w:jc w:val="center"/>
              <w:rPr>
                <w:rFonts w:cs="Arial"/>
              </w:rPr>
            </w:pPr>
            <w:r w:rsidRPr="00D26A93">
              <w:rPr>
                <w:rFonts w:cs="Arial"/>
              </w:rPr>
              <w:t>2</w:t>
            </w:r>
          </w:p>
        </w:tc>
        <w:tc>
          <w:tcPr>
            <w:tcW w:w="1134" w:type="pct"/>
            <w:tcBorders>
              <w:top w:val="nil"/>
              <w:left w:val="single" w:sz="4" w:space="0" w:color="auto"/>
              <w:bottom w:val="single" w:sz="4" w:space="0" w:color="auto"/>
              <w:right w:val="single" w:sz="4" w:space="0" w:color="auto"/>
            </w:tcBorders>
            <w:vAlign w:val="bottom"/>
          </w:tcPr>
          <w:p w14:paraId="72F370E7" w14:textId="733EFB3D" w:rsidR="003F50BC" w:rsidRPr="00467422" w:rsidRDefault="003F50BC" w:rsidP="000210F9">
            <w:pPr>
              <w:spacing w:before="120" w:after="120"/>
              <w:jc w:val="center"/>
              <w:rPr>
                <w:rFonts w:cs="Arial"/>
              </w:rPr>
            </w:pPr>
            <w:r w:rsidRPr="265B958A">
              <w:rPr>
                <w:rFonts w:cs="Arial"/>
              </w:rPr>
              <w:t>13.</w:t>
            </w:r>
            <w:r w:rsidR="00467422" w:rsidRPr="265B958A">
              <w:rPr>
                <w:rFonts w:cs="Arial"/>
              </w:rPr>
              <w:t>4</w:t>
            </w:r>
            <w:r w:rsidRPr="265B958A">
              <w:rPr>
                <w:rFonts w:cs="Arial"/>
              </w:rPr>
              <w:t>%</w:t>
            </w:r>
          </w:p>
        </w:tc>
        <w:tc>
          <w:tcPr>
            <w:tcW w:w="646" w:type="pct"/>
            <w:tcBorders>
              <w:top w:val="nil"/>
              <w:left w:val="single" w:sz="4" w:space="0" w:color="auto"/>
              <w:bottom w:val="single" w:sz="4" w:space="0" w:color="auto"/>
              <w:right w:val="single" w:sz="4" w:space="0" w:color="auto"/>
            </w:tcBorders>
            <w:vAlign w:val="bottom"/>
          </w:tcPr>
          <w:p w14:paraId="003F468F" w14:textId="636EE3E9" w:rsidR="003F50BC" w:rsidRPr="00467422" w:rsidRDefault="003F50BC" w:rsidP="000210F9">
            <w:pPr>
              <w:spacing w:before="120" w:after="120"/>
              <w:jc w:val="center"/>
              <w:rPr>
                <w:rFonts w:cs="Arial"/>
              </w:rPr>
            </w:pPr>
            <w:r w:rsidRPr="265B958A">
              <w:rPr>
                <w:rFonts w:cs="Arial"/>
              </w:rPr>
              <w:t>8</w:t>
            </w:r>
            <w:r w:rsidR="00467422" w:rsidRPr="265B958A">
              <w:rPr>
                <w:rFonts w:cs="Arial"/>
              </w:rPr>
              <w:t>1</w:t>
            </w:r>
            <w:r w:rsidRPr="265B958A">
              <w:rPr>
                <w:rFonts w:cs="Arial"/>
              </w:rPr>
              <w:t>.</w:t>
            </w:r>
            <w:r w:rsidR="00467422" w:rsidRPr="265B958A">
              <w:rPr>
                <w:rFonts w:cs="Arial"/>
              </w:rPr>
              <w:t>6</w:t>
            </w:r>
            <w:r w:rsidRPr="265B958A">
              <w:rPr>
                <w:rFonts w:cs="Arial"/>
              </w:rPr>
              <w:t>%</w:t>
            </w:r>
          </w:p>
        </w:tc>
        <w:tc>
          <w:tcPr>
            <w:tcW w:w="699" w:type="pct"/>
            <w:tcBorders>
              <w:top w:val="nil"/>
              <w:left w:val="single" w:sz="4" w:space="0" w:color="auto"/>
              <w:bottom w:val="single" w:sz="4" w:space="0" w:color="auto"/>
              <w:right w:val="single" w:sz="4" w:space="0" w:color="auto"/>
            </w:tcBorders>
            <w:vAlign w:val="bottom"/>
          </w:tcPr>
          <w:p w14:paraId="16827A26" w14:textId="32BE0BF2" w:rsidR="003F50BC" w:rsidRPr="00467422" w:rsidRDefault="003F50BC" w:rsidP="000210F9">
            <w:pPr>
              <w:spacing w:before="120" w:after="120"/>
              <w:jc w:val="center"/>
              <w:rPr>
                <w:rFonts w:cs="Arial"/>
              </w:rPr>
            </w:pPr>
            <w:r w:rsidRPr="265B958A">
              <w:rPr>
                <w:rFonts w:cs="Arial"/>
              </w:rPr>
              <w:t>1.</w:t>
            </w:r>
            <w:r w:rsidR="00467422" w:rsidRPr="265B958A">
              <w:rPr>
                <w:rFonts w:cs="Arial"/>
              </w:rPr>
              <w:t>9</w:t>
            </w:r>
            <w:r w:rsidRPr="265B958A">
              <w:rPr>
                <w:rFonts w:cs="Arial"/>
              </w:rPr>
              <w:t>%</w:t>
            </w:r>
          </w:p>
        </w:tc>
        <w:tc>
          <w:tcPr>
            <w:tcW w:w="861" w:type="pct"/>
            <w:tcBorders>
              <w:top w:val="nil"/>
              <w:left w:val="single" w:sz="4" w:space="0" w:color="auto"/>
              <w:bottom w:val="single" w:sz="4" w:space="0" w:color="auto"/>
              <w:right w:val="single" w:sz="4" w:space="0" w:color="auto"/>
            </w:tcBorders>
            <w:vAlign w:val="bottom"/>
          </w:tcPr>
          <w:p w14:paraId="2694BF00" w14:textId="7C598F28" w:rsidR="003F50BC" w:rsidRPr="00467422" w:rsidRDefault="00467422" w:rsidP="000210F9">
            <w:pPr>
              <w:spacing w:before="120" w:after="120"/>
              <w:jc w:val="center"/>
              <w:rPr>
                <w:rFonts w:cs="Arial"/>
              </w:rPr>
            </w:pPr>
            <w:r w:rsidRPr="265B958A">
              <w:rPr>
                <w:rFonts w:cs="Arial"/>
              </w:rPr>
              <w:t>6.1</w:t>
            </w:r>
            <w:r w:rsidR="003F50BC" w:rsidRPr="265B958A">
              <w:rPr>
                <w:rFonts w:cs="Arial"/>
              </w:rPr>
              <w:t>%</w:t>
            </w:r>
          </w:p>
        </w:tc>
        <w:tc>
          <w:tcPr>
            <w:tcW w:w="861" w:type="pct"/>
            <w:tcBorders>
              <w:top w:val="nil"/>
              <w:left w:val="single" w:sz="4" w:space="0" w:color="auto"/>
              <w:bottom w:val="single" w:sz="4" w:space="0" w:color="auto"/>
              <w:right w:val="single" w:sz="4" w:space="0" w:color="auto"/>
            </w:tcBorders>
            <w:vAlign w:val="bottom"/>
          </w:tcPr>
          <w:p w14:paraId="337037E0" w14:textId="08E9F071" w:rsidR="003F50BC" w:rsidRPr="00467422" w:rsidRDefault="00467422" w:rsidP="000210F9">
            <w:pPr>
              <w:spacing w:before="120" w:after="120"/>
              <w:jc w:val="center"/>
              <w:rPr>
                <w:rFonts w:cs="Arial"/>
              </w:rPr>
            </w:pPr>
            <w:r w:rsidRPr="265B958A">
              <w:rPr>
                <w:rFonts w:cs="Arial"/>
              </w:rPr>
              <w:t>5.1</w:t>
            </w:r>
            <w:r w:rsidR="003F50BC" w:rsidRPr="265B958A">
              <w:rPr>
                <w:rFonts w:cs="Arial"/>
              </w:rPr>
              <w:t>%</w:t>
            </w:r>
          </w:p>
        </w:tc>
      </w:tr>
      <w:tr w:rsidR="003F50BC" w:rsidRPr="00D26A93" w14:paraId="0F6EE2C4" w14:textId="77777777" w:rsidTr="00E87E08">
        <w:trPr>
          <w:cantSplit/>
          <w:trHeight w:val="280"/>
          <w:tblHeader/>
        </w:trPr>
        <w:tc>
          <w:tcPr>
            <w:tcW w:w="799" w:type="pct"/>
            <w:tcBorders>
              <w:top w:val="nil"/>
              <w:left w:val="single" w:sz="4" w:space="0" w:color="auto"/>
              <w:bottom w:val="single" w:sz="4" w:space="0" w:color="auto"/>
              <w:right w:val="single" w:sz="4" w:space="0" w:color="auto"/>
            </w:tcBorders>
            <w:noWrap/>
            <w:vAlign w:val="center"/>
            <w:hideMark/>
          </w:tcPr>
          <w:p w14:paraId="238FDD65" w14:textId="77777777" w:rsidR="003F50BC" w:rsidRPr="00D26A93" w:rsidRDefault="003F50BC" w:rsidP="000210F9">
            <w:pPr>
              <w:spacing w:before="120" w:after="120"/>
              <w:jc w:val="center"/>
              <w:rPr>
                <w:rFonts w:cs="Arial"/>
              </w:rPr>
            </w:pPr>
            <w:r w:rsidRPr="00D26A93">
              <w:rPr>
                <w:rFonts w:cs="Arial"/>
              </w:rPr>
              <w:t>3</w:t>
            </w:r>
          </w:p>
        </w:tc>
        <w:tc>
          <w:tcPr>
            <w:tcW w:w="1134" w:type="pct"/>
            <w:tcBorders>
              <w:top w:val="nil"/>
              <w:left w:val="single" w:sz="4" w:space="0" w:color="auto"/>
              <w:bottom w:val="single" w:sz="4" w:space="0" w:color="auto"/>
              <w:right w:val="single" w:sz="4" w:space="0" w:color="auto"/>
            </w:tcBorders>
            <w:vAlign w:val="bottom"/>
          </w:tcPr>
          <w:p w14:paraId="612D3CD6" w14:textId="7C549D3B" w:rsidR="003F50BC" w:rsidRPr="00467422" w:rsidRDefault="003F50BC" w:rsidP="000210F9">
            <w:pPr>
              <w:spacing w:before="120" w:after="120"/>
              <w:jc w:val="center"/>
              <w:rPr>
                <w:rFonts w:cs="Arial"/>
              </w:rPr>
            </w:pPr>
            <w:r w:rsidRPr="265B958A">
              <w:rPr>
                <w:rFonts w:cs="Arial"/>
              </w:rPr>
              <w:t>1</w:t>
            </w:r>
            <w:r w:rsidR="00467422" w:rsidRPr="265B958A">
              <w:rPr>
                <w:rFonts w:cs="Arial"/>
              </w:rPr>
              <w:t>4</w:t>
            </w:r>
            <w:r w:rsidRPr="265B958A">
              <w:rPr>
                <w:rFonts w:cs="Arial"/>
              </w:rPr>
              <w:t>.</w:t>
            </w:r>
            <w:r w:rsidR="00467422" w:rsidRPr="265B958A">
              <w:rPr>
                <w:rFonts w:cs="Arial"/>
              </w:rPr>
              <w:t>6</w:t>
            </w:r>
            <w:r w:rsidRPr="265B958A">
              <w:rPr>
                <w:rFonts w:cs="Arial"/>
              </w:rPr>
              <w:t>%</w:t>
            </w:r>
          </w:p>
        </w:tc>
        <w:tc>
          <w:tcPr>
            <w:tcW w:w="646" w:type="pct"/>
            <w:tcBorders>
              <w:top w:val="nil"/>
              <w:left w:val="single" w:sz="4" w:space="0" w:color="auto"/>
              <w:bottom w:val="single" w:sz="4" w:space="0" w:color="auto"/>
              <w:right w:val="single" w:sz="4" w:space="0" w:color="auto"/>
            </w:tcBorders>
            <w:vAlign w:val="bottom"/>
          </w:tcPr>
          <w:p w14:paraId="1F83D315" w14:textId="0CA4B342" w:rsidR="003F50BC" w:rsidRPr="00467422" w:rsidRDefault="003F50BC" w:rsidP="000210F9">
            <w:pPr>
              <w:spacing w:before="120" w:after="120"/>
              <w:jc w:val="center"/>
              <w:rPr>
                <w:rFonts w:cs="Arial"/>
              </w:rPr>
            </w:pPr>
            <w:r w:rsidRPr="265B958A">
              <w:rPr>
                <w:rFonts w:cs="Arial"/>
              </w:rPr>
              <w:t>8</w:t>
            </w:r>
            <w:r w:rsidR="00467422" w:rsidRPr="265B958A">
              <w:rPr>
                <w:rFonts w:cs="Arial"/>
              </w:rPr>
              <w:t>0</w:t>
            </w:r>
            <w:r w:rsidRPr="265B958A">
              <w:rPr>
                <w:rFonts w:cs="Arial"/>
              </w:rPr>
              <w:t>.</w:t>
            </w:r>
            <w:r w:rsidR="00467422" w:rsidRPr="265B958A">
              <w:rPr>
                <w:rFonts w:cs="Arial"/>
              </w:rPr>
              <w:t>4</w:t>
            </w:r>
            <w:r w:rsidRPr="265B958A">
              <w:rPr>
                <w:rFonts w:cs="Arial"/>
              </w:rPr>
              <w:t>%</w:t>
            </w:r>
          </w:p>
        </w:tc>
        <w:tc>
          <w:tcPr>
            <w:tcW w:w="699" w:type="pct"/>
            <w:tcBorders>
              <w:top w:val="nil"/>
              <w:left w:val="single" w:sz="4" w:space="0" w:color="auto"/>
              <w:bottom w:val="single" w:sz="4" w:space="0" w:color="auto"/>
              <w:right w:val="single" w:sz="4" w:space="0" w:color="auto"/>
            </w:tcBorders>
            <w:vAlign w:val="bottom"/>
          </w:tcPr>
          <w:p w14:paraId="1F459157" w14:textId="21098543" w:rsidR="003F50BC" w:rsidRPr="00467422" w:rsidRDefault="003F50BC" w:rsidP="000210F9">
            <w:pPr>
              <w:spacing w:before="120" w:after="120"/>
              <w:jc w:val="center"/>
              <w:rPr>
                <w:rFonts w:cs="Arial"/>
              </w:rPr>
            </w:pPr>
            <w:r w:rsidRPr="265B958A">
              <w:rPr>
                <w:rFonts w:cs="Arial"/>
              </w:rPr>
              <w:t>2.</w:t>
            </w:r>
            <w:r w:rsidR="00467422" w:rsidRPr="265B958A">
              <w:rPr>
                <w:rFonts w:cs="Arial"/>
              </w:rPr>
              <w:t>7</w:t>
            </w:r>
            <w:r w:rsidRPr="265B958A">
              <w:rPr>
                <w:rFonts w:cs="Arial"/>
              </w:rPr>
              <w:t>%</w:t>
            </w:r>
          </w:p>
        </w:tc>
        <w:tc>
          <w:tcPr>
            <w:tcW w:w="861" w:type="pct"/>
            <w:tcBorders>
              <w:top w:val="nil"/>
              <w:left w:val="single" w:sz="4" w:space="0" w:color="auto"/>
              <w:bottom w:val="single" w:sz="4" w:space="0" w:color="auto"/>
              <w:right w:val="single" w:sz="4" w:space="0" w:color="auto"/>
            </w:tcBorders>
            <w:vAlign w:val="bottom"/>
          </w:tcPr>
          <w:p w14:paraId="4AE57FBC" w14:textId="21A9A4FC" w:rsidR="003F50BC" w:rsidRPr="00467422" w:rsidRDefault="00467422" w:rsidP="000210F9">
            <w:pPr>
              <w:spacing w:before="120" w:after="120"/>
              <w:jc w:val="center"/>
              <w:rPr>
                <w:rFonts w:cs="Arial"/>
              </w:rPr>
            </w:pPr>
            <w:r w:rsidRPr="265B958A">
              <w:rPr>
                <w:rFonts w:cs="Arial"/>
              </w:rPr>
              <w:t>6.9</w:t>
            </w:r>
            <w:r w:rsidR="003F50BC" w:rsidRPr="265B958A">
              <w:rPr>
                <w:rFonts w:cs="Arial"/>
              </w:rPr>
              <w:t>%</w:t>
            </w:r>
          </w:p>
        </w:tc>
        <w:tc>
          <w:tcPr>
            <w:tcW w:w="861" w:type="pct"/>
            <w:tcBorders>
              <w:top w:val="nil"/>
              <w:left w:val="single" w:sz="4" w:space="0" w:color="auto"/>
              <w:bottom w:val="single" w:sz="4" w:space="0" w:color="auto"/>
              <w:right w:val="single" w:sz="4" w:space="0" w:color="auto"/>
            </w:tcBorders>
            <w:vAlign w:val="bottom"/>
          </w:tcPr>
          <w:p w14:paraId="616233ED" w14:textId="20839A14" w:rsidR="003F50BC" w:rsidRPr="00467422" w:rsidRDefault="003F50BC" w:rsidP="000210F9">
            <w:pPr>
              <w:spacing w:before="120" w:after="120"/>
              <w:jc w:val="center"/>
              <w:rPr>
                <w:rFonts w:cs="Arial"/>
              </w:rPr>
            </w:pPr>
            <w:r w:rsidRPr="265B958A">
              <w:rPr>
                <w:rFonts w:cs="Arial"/>
              </w:rPr>
              <w:t>4.</w:t>
            </w:r>
            <w:r w:rsidR="00467422" w:rsidRPr="265B958A">
              <w:rPr>
                <w:rFonts w:cs="Arial"/>
              </w:rPr>
              <w:t>5</w:t>
            </w:r>
            <w:r w:rsidRPr="265B958A">
              <w:rPr>
                <w:rFonts w:cs="Arial"/>
              </w:rPr>
              <w:t>%</w:t>
            </w:r>
          </w:p>
        </w:tc>
      </w:tr>
      <w:tr w:rsidR="003F50BC" w:rsidRPr="00D26A93" w14:paraId="3DE86E53" w14:textId="77777777" w:rsidTr="00E87E08">
        <w:trPr>
          <w:cantSplit/>
          <w:trHeight w:val="280"/>
          <w:tblHeader/>
        </w:trPr>
        <w:tc>
          <w:tcPr>
            <w:tcW w:w="799" w:type="pct"/>
            <w:tcBorders>
              <w:top w:val="nil"/>
              <w:left w:val="single" w:sz="4" w:space="0" w:color="auto"/>
              <w:bottom w:val="single" w:sz="4" w:space="0" w:color="auto"/>
              <w:right w:val="single" w:sz="4" w:space="0" w:color="auto"/>
            </w:tcBorders>
            <w:noWrap/>
            <w:vAlign w:val="center"/>
            <w:hideMark/>
          </w:tcPr>
          <w:p w14:paraId="2BFE409D" w14:textId="77777777" w:rsidR="003F50BC" w:rsidRPr="00D26A93" w:rsidRDefault="003F50BC" w:rsidP="000210F9">
            <w:pPr>
              <w:spacing w:before="120" w:after="120"/>
              <w:jc w:val="center"/>
              <w:rPr>
                <w:rFonts w:cs="Arial"/>
              </w:rPr>
            </w:pPr>
            <w:r w:rsidRPr="00D26A93">
              <w:rPr>
                <w:rFonts w:cs="Arial"/>
              </w:rPr>
              <w:t>4</w:t>
            </w:r>
          </w:p>
        </w:tc>
        <w:tc>
          <w:tcPr>
            <w:tcW w:w="1134" w:type="pct"/>
            <w:tcBorders>
              <w:top w:val="nil"/>
              <w:left w:val="single" w:sz="4" w:space="0" w:color="auto"/>
              <w:bottom w:val="single" w:sz="4" w:space="0" w:color="auto"/>
              <w:right w:val="single" w:sz="4" w:space="0" w:color="auto"/>
            </w:tcBorders>
            <w:vAlign w:val="bottom"/>
          </w:tcPr>
          <w:p w14:paraId="54017E7B" w14:textId="70244CF1" w:rsidR="003F50BC" w:rsidRPr="00467422" w:rsidRDefault="003F50BC" w:rsidP="000210F9">
            <w:pPr>
              <w:spacing w:before="120" w:after="120"/>
              <w:jc w:val="center"/>
              <w:rPr>
                <w:rFonts w:cs="Arial"/>
              </w:rPr>
            </w:pPr>
            <w:r w:rsidRPr="265B958A">
              <w:rPr>
                <w:rFonts w:cs="Arial"/>
              </w:rPr>
              <w:t>1</w:t>
            </w:r>
            <w:r w:rsidR="00467422" w:rsidRPr="265B958A">
              <w:rPr>
                <w:rFonts w:cs="Arial"/>
              </w:rPr>
              <w:t>5</w:t>
            </w:r>
            <w:r w:rsidRPr="265B958A">
              <w:rPr>
                <w:rFonts w:cs="Arial"/>
              </w:rPr>
              <w:t>.</w:t>
            </w:r>
            <w:r w:rsidR="00467422" w:rsidRPr="265B958A">
              <w:rPr>
                <w:rFonts w:cs="Arial"/>
              </w:rPr>
              <w:t>4</w:t>
            </w:r>
            <w:r w:rsidRPr="265B958A">
              <w:rPr>
                <w:rFonts w:cs="Arial"/>
              </w:rPr>
              <w:t>%</w:t>
            </w:r>
          </w:p>
        </w:tc>
        <w:tc>
          <w:tcPr>
            <w:tcW w:w="646" w:type="pct"/>
            <w:tcBorders>
              <w:top w:val="nil"/>
              <w:left w:val="single" w:sz="4" w:space="0" w:color="auto"/>
              <w:bottom w:val="single" w:sz="4" w:space="0" w:color="auto"/>
              <w:right w:val="single" w:sz="4" w:space="0" w:color="auto"/>
            </w:tcBorders>
            <w:vAlign w:val="bottom"/>
          </w:tcPr>
          <w:p w14:paraId="585E1E68" w14:textId="49B8550C" w:rsidR="003F50BC" w:rsidRPr="00467422" w:rsidRDefault="003F50BC" w:rsidP="000210F9">
            <w:pPr>
              <w:spacing w:before="120" w:after="120"/>
              <w:jc w:val="center"/>
              <w:rPr>
                <w:rFonts w:cs="Arial"/>
              </w:rPr>
            </w:pPr>
            <w:r w:rsidRPr="265B958A">
              <w:rPr>
                <w:rFonts w:cs="Arial"/>
              </w:rPr>
              <w:t>8</w:t>
            </w:r>
            <w:r w:rsidR="00467422" w:rsidRPr="265B958A">
              <w:rPr>
                <w:rFonts w:cs="Arial"/>
              </w:rPr>
              <w:t>0</w:t>
            </w:r>
            <w:r w:rsidRPr="265B958A">
              <w:rPr>
                <w:rFonts w:cs="Arial"/>
              </w:rPr>
              <w:t>.</w:t>
            </w:r>
            <w:r w:rsidR="00467422" w:rsidRPr="265B958A">
              <w:rPr>
                <w:rFonts w:cs="Arial"/>
              </w:rPr>
              <w:t>6</w:t>
            </w:r>
            <w:r w:rsidRPr="265B958A">
              <w:rPr>
                <w:rFonts w:cs="Arial"/>
              </w:rPr>
              <w:t>%</w:t>
            </w:r>
          </w:p>
        </w:tc>
        <w:tc>
          <w:tcPr>
            <w:tcW w:w="699" w:type="pct"/>
            <w:tcBorders>
              <w:top w:val="nil"/>
              <w:left w:val="single" w:sz="4" w:space="0" w:color="auto"/>
              <w:bottom w:val="single" w:sz="4" w:space="0" w:color="auto"/>
              <w:right w:val="single" w:sz="4" w:space="0" w:color="auto"/>
            </w:tcBorders>
            <w:vAlign w:val="bottom"/>
          </w:tcPr>
          <w:p w14:paraId="2DC160F0" w14:textId="50567568" w:rsidR="003F50BC" w:rsidRPr="00467422" w:rsidRDefault="00467422" w:rsidP="000210F9">
            <w:pPr>
              <w:spacing w:before="120" w:after="120"/>
              <w:jc w:val="center"/>
              <w:rPr>
                <w:rFonts w:cs="Arial"/>
              </w:rPr>
            </w:pPr>
            <w:r w:rsidRPr="265B958A">
              <w:rPr>
                <w:rFonts w:cs="Arial"/>
              </w:rPr>
              <w:t>3</w:t>
            </w:r>
            <w:r w:rsidR="003F50BC" w:rsidRPr="265B958A">
              <w:rPr>
                <w:rFonts w:cs="Arial"/>
              </w:rPr>
              <w:t>.</w:t>
            </w:r>
            <w:r w:rsidRPr="265B958A">
              <w:rPr>
                <w:rFonts w:cs="Arial"/>
              </w:rPr>
              <w:t>5</w:t>
            </w:r>
            <w:r w:rsidR="003F50BC" w:rsidRPr="265B958A">
              <w:rPr>
                <w:rFonts w:cs="Arial"/>
              </w:rPr>
              <w:t>%</w:t>
            </w:r>
          </w:p>
        </w:tc>
        <w:tc>
          <w:tcPr>
            <w:tcW w:w="861" w:type="pct"/>
            <w:tcBorders>
              <w:top w:val="nil"/>
              <w:left w:val="single" w:sz="4" w:space="0" w:color="auto"/>
              <w:bottom w:val="single" w:sz="4" w:space="0" w:color="auto"/>
              <w:right w:val="single" w:sz="4" w:space="0" w:color="auto"/>
            </w:tcBorders>
            <w:vAlign w:val="bottom"/>
          </w:tcPr>
          <w:p w14:paraId="6EB092E7" w14:textId="5F519FCC" w:rsidR="003F50BC" w:rsidRPr="00467422" w:rsidRDefault="00467422" w:rsidP="000210F9">
            <w:pPr>
              <w:spacing w:before="120" w:after="120"/>
              <w:jc w:val="center"/>
              <w:rPr>
                <w:rFonts w:cs="Arial"/>
              </w:rPr>
            </w:pPr>
            <w:r w:rsidRPr="265B958A">
              <w:rPr>
                <w:rFonts w:cs="Arial"/>
              </w:rPr>
              <w:t>7.7</w:t>
            </w:r>
            <w:r w:rsidR="003F50BC" w:rsidRPr="265B958A">
              <w:rPr>
                <w:rFonts w:cs="Arial"/>
              </w:rPr>
              <w:t>%</w:t>
            </w:r>
          </w:p>
        </w:tc>
        <w:tc>
          <w:tcPr>
            <w:tcW w:w="861" w:type="pct"/>
            <w:tcBorders>
              <w:top w:val="nil"/>
              <w:left w:val="single" w:sz="4" w:space="0" w:color="auto"/>
              <w:bottom w:val="single" w:sz="4" w:space="0" w:color="auto"/>
              <w:right w:val="single" w:sz="4" w:space="0" w:color="auto"/>
            </w:tcBorders>
            <w:vAlign w:val="bottom"/>
          </w:tcPr>
          <w:p w14:paraId="07009F35" w14:textId="5ECCAAF7" w:rsidR="003F50BC" w:rsidRPr="00467422" w:rsidRDefault="003F50BC" w:rsidP="000210F9">
            <w:pPr>
              <w:spacing w:before="120" w:after="120"/>
              <w:jc w:val="center"/>
              <w:rPr>
                <w:rFonts w:cs="Arial"/>
              </w:rPr>
            </w:pPr>
            <w:r w:rsidRPr="265B958A">
              <w:rPr>
                <w:rFonts w:cs="Arial"/>
              </w:rPr>
              <w:t>4.</w:t>
            </w:r>
            <w:r w:rsidR="00467422" w:rsidRPr="265B958A">
              <w:rPr>
                <w:rFonts w:cs="Arial"/>
              </w:rPr>
              <w:t>1</w:t>
            </w:r>
            <w:r w:rsidRPr="265B958A">
              <w:rPr>
                <w:rFonts w:cs="Arial"/>
              </w:rPr>
              <w:t>%</w:t>
            </w:r>
          </w:p>
        </w:tc>
      </w:tr>
      <w:tr w:rsidR="00190652" w:rsidRPr="00D26A93" w14:paraId="47594E47" w14:textId="77777777" w:rsidTr="00E87E08">
        <w:trPr>
          <w:cantSplit/>
          <w:trHeight w:val="280"/>
          <w:tblHeader/>
        </w:trPr>
        <w:tc>
          <w:tcPr>
            <w:tcW w:w="799" w:type="pct"/>
            <w:tcBorders>
              <w:top w:val="nil"/>
              <w:left w:val="single" w:sz="4" w:space="0" w:color="auto"/>
              <w:bottom w:val="single" w:sz="4" w:space="0" w:color="auto"/>
              <w:right w:val="single" w:sz="4" w:space="0" w:color="auto"/>
            </w:tcBorders>
            <w:noWrap/>
            <w:vAlign w:val="center"/>
            <w:hideMark/>
          </w:tcPr>
          <w:p w14:paraId="18DD373A" w14:textId="77777777" w:rsidR="003F50BC" w:rsidRPr="00D26A93" w:rsidRDefault="003F50BC" w:rsidP="000210F9">
            <w:pPr>
              <w:spacing w:before="120" w:after="120"/>
              <w:jc w:val="center"/>
              <w:rPr>
                <w:rFonts w:cs="Arial"/>
                <w:b/>
                <w:bCs/>
              </w:rPr>
            </w:pPr>
            <w:r w:rsidRPr="00D26A93">
              <w:rPr>
                <w:rFonts w:cs="Arial"/>
                <w:b/>
                <w:bCs/>
              </w:rPr>
              <w:t>Statewide</w:t>
            </w:r>
          </w:p>
        </w:tc>
        <w:tc>
          <w:tcPr>
            <w:tcW w:w="1134" w:type="pct"/>
            <w:tcBorders>
              <w:top w:val="nil"/>
              <w:left w:val="single" w:sz="4" w:space="0" w:color="auto"/>
              <w:bottom w:val="single" w:sz="4" w:space="0" w:color="auto"/>
              <w:right w:val="single" w:sz="4" w:space="0" w:color="auto"/>
            </w:tcBorders>
            <w:vAlign w:val="bottom"/>
          </w:tcPr>
          <w:p w14:paraId="799C7413" w14:textId="64D76C63" w:rsidR="003F50BC" w:rsidRPr="00467422" w:rsidRDefault="003F50BC" w:rsidP="000210F9">
            <w:pPr>
              <w:spacing w:before="120" w:after="120"/>
              <w:jc w:val="center"/>
              <w:rPr>
                <w:rFonts w:cs="Arial"/>
                <w:b/>
                <w:bCs/>
              </w:rPr>
            </w:pPr>
            <w:r w:rsidRPr="265B958A">
              <w:rPr>
                <w:rFonts w:cs="Arial"/>
                <w:b/>
                <w:bCs/>
              </w:rPr>
              <w:t>1</w:t>
            </w:r>
            <w:r w:rsidR="00467422" w:rsidRPr="265B958A">
              <w:rPr>
                <w:rFonts w:cs="Arial"/>
                <w:b/>
                <w:bCs/>
              </w:rPr>
              <w:t>3</w:t>
            </w:r>
            <w:r w:rsidRPr="265B958A">
              <w:rPr>
                <w:rFonts w:cs="Arial"/>
                <w:b/>
                <w:bCs/>
              </w:rPr>
              <w:t>.</w:t>
            </w:r>
            <w:r w:rsidR="00467422" w:rsidRPr="265B958A">
              <w:rPr>
                <w:rFonts w:cs="Arial"/>
                <w:b/>
                <w:bCs/>
              </w:rPr>
              <w:t>3</w:t>
            </w:r>
            <w:r w:rsidRPr="265B958A">
              <w:rPr>
                <w:rFonts w:cs="Arial"/>
                <w:b/>
                <w:bCs/>
              </w:rPr>
              <w:t>%</w:t>
            </w:r>
          </w:p>
        </w:tc>
        <w:tc>
          <w:tcPr>
            <w:tcW w:w="646" w:type="pct"/>
            <w:tcBorders>
              <w:top w:val="nil"/>
              <w:left w:val="single" w:sz="4" w:space="0" w:color="auto"/>
              <w:bottom w:val="single" w:sz="4" w:space="0" w:color="auto"/>
              <w:right w:val="single" w:sz="4" w:space="0" w:color="auto"/>
            </w:tcBorders>
            <w:vAlign w:val="bottom"/>
          </w:tcPr>
          <w:p w14:paraId="021DEC1A" w14:textId="6DD54CAF" w:rsidR="003F50BC" w:rsidRPr="00467422" w:rsidRDefault="003F50BC" w:rsidP="000210F9">
            <w:pPr>
              <w:spacing w:before="120" w:after="120"/>
              <w:jc w:val="center"/>
              <w:rPr>
                <w:rFonts w:cs="Arial"/>
                <w:b/>
                <w:bCs/>
              </w:rPr>
            </w:pPr>
            <w:r w:rsidRPr="265B958A">
              <w:rPr>
                <w:rFonts w:cs="Arial"/>
                <w:b/>
                <w:bCs/>
              </w:rPr>
              <w:t>8</w:t>
            </w:r>
            <w:r w:rsidR="00467422" w:rsidRPr="265B958A">
              <w:rPr>
                <w:rFonts w:cs="Arial"/>
                <w:b/>
                <w:bCs/>
              </w:rPr>
              <w:t>2</w:t>
            </w:r>
            <w:r w:rsidRPr="265B958A">
              <w:rPr>
                <w:rFonts w:cs="Arial"/>
                <w:b/>
                <w:bCs/>
              </w:rPr>
              <w:t>.</w:t>
            </w:r>
            <w:r w:rsidR="00467422" w:rsidRPr="265B958A">
              <w:rPr>
                <w:rFonts w:cs="Arial"/>
                <w:b/>
                <w:bCs/>
              </w:rPr>
              <w:t>5</w:t>
            </w:r>
            <w:r w:rsidRPr="265B958A">
              <w:rPr>
                <w:rFonts w:cs="Arial"/>
                <w:b/>
                <w:bCs/>
              </w:rPr>
              <w:t>%</w:t>
            </w:r>
          </w:p>
        </w:tc>
        <w:tc>
          <w:tcPr>
            <w:tcW w:w="699" w:type="pct"/>
            <w:tcBorders>
              <w:top w:val="nil"/>
              <w:left w:val="single" w:sz="4" w:space="0" w:color="auto"/>
              <w:bottom w:val="single" w:sz="4" w:space="0" w:color="auto"/>
              <w:right w:val="single" w:sz="4" w:space="0" w:color="auto"/>
            </w:tcBorders>
            <w:vAlign w:val="bottom"/>
          </w:tcPr>
          <w:p w14:paraId="50F743D6" w14:textId="533FEB8D" w:rsidR="003F50BC" w:rsidRPr="00467422" w:rsidRDefault="00467422" w:rsidP="000210F9">
            <w:pPr>
              <w:spacing w:before="120" w:after="120"/>
              <w:jc w:val="center"/>
              <w:rPr>
                <w:rFonts w:cs="Arial"/>
                <w:b/>
                <w:bCs/>
              </w:rPr>
            </w:pPr>
            <w:r w:rsidRPr="265B958A">
              <w:rPr>
                <w:rFonts w:cs="Arial"/>
                <w:b/>
                <w:bCs/>
              </w:rPr>
              <w:t>2</w:t>
            </w:r>
            <w:r w:rsidR="003F50BC" w:rsidRPr="265B958A">
              <w:rPr>
                <w:rFonts w:cs="Arial"/>
                <w:b/>
                <w:bCs/>
              </w:rPr>
              <w:t>.</w:t>
            </w:r>
            <w:r w:rsidRPr="265B958A">
              <w:rPr>
                <w:rFonts w:cs="Arial"/>
                <w:b/>
                <w:bCs/>
              </w:rPr>
              <w:t>2</w:t>
            </w:r>
            <w:r w:rsidR="003F50BC" w:rsidRPr="265B958A">
              <w:rPr>
                <w:rFonts w:cs="Arial"/>
                <w:b/>
                <w:bCs/>
              </w:rPr>
              <w:t>%</w:t>
            </w:r>
          </w:p>
        </w:tc>
        <w:tc>
          <w:tcPr>
            <w:tcW w:w="861" w:type="pct"/>
            <w:tcBorders>
              <w:top w:val="nil"/>
              <w:left w:val="single" w:sz="4" w:space="0" w:color="auto"/>
              <w:bottom w:val="single" w:sz="4" w:space="0" w:color="auto"/>
              <w:right w:val="single" w:sz="4" w:space="0" w:color="auto"/>
            </w:tcBorders>
            <w:vAlign w:val="bottom"/>
          </w:tcPr>
          <w:p w14:paraId="38F250E5" w14:textId="6088C4B4" w:rsidR="003F50BC" w:rsidRPr="00467422" w:rsidRDefault="00467422" w:rsidP="000210F9">
            <w:pPr>
              <w:spacing w:before="120" w:after="120"/>
              <w:jc w:val="center"/>
              <w:rPr>
                <w:rFonts w:cs="Arial"/>
                <w:b/>
                <w:bCs/>
              </w:rPr>
            </w:pPr>
            <w:r w:rsidRPr="265B958A">
              <w:rPr>
                <w:rFonts w:cs="Arial"/>
                <w:b/>
                <w:bCs/>
              </w:rPr>
              <w:t>6.0</w:t>
            </w:r>
            <w:r w:rsidR="003F50BC" w:rsidRPr="265B958A">
              <w:rPr>
                <w:rFonts w:cs="Arial"/>
                <w:b/>
                <w:bCs/>
              </w:rPr>
              <w:t>%</w:t>
            </w:r>
          </w:p>
        </w:tc>
        <w:tc>
          <w:tcPr>
            <w:tcW w:w="861" w:type="pct"/>
            <w:tcBorders>
              <w:top w:val="nil"/>
              <w:left w:val="single" w:sz="4" w:space="0" w:color="auto"/>
              <w:bottom w:val="single" w:sz="4" w:space="0" w:color="auto"/>
              <w:right w:val="single" w:sz="4" w:space="0" w:color="auto"/>
            </w:tcBorders>
            <w:vAlign w:val="bottom"/>
          </w:tcPr>
          <w:p w14:paraId="43163E1A" w14:textId="77777777" w:rsidR="003F50BC" w:rsidRPr="00467422" w:rsidRDefault="003F50BC" w:rsidP="000210F9">
            <w:pPr>
              <w:spacing w:before="120" w:after="120"/>
              <w:jc w:val="center"/>
              <w:rPr>
                <w:rFonts w:cs="Arial"/>
                <w:b/>
                <w:bCs/>
              </w:rPr>
            </w:pPr>
            <w:r w:rsidRPr="265B958A">
              <w:rPr>
                <w:rFonts w:cs="Arial"/>
                <w:b/>
                <w:bCs/>
              </w:rPr>
              <w:t>4.3%</w:t>
            </w:r>
          </w:p>
        </w:tc>
      </w:tr>
    </w:tbl>
    <w:p w14:paraId="481CC3AC" w14:textId="3CC60CB4" w:rsidR="003F50BC" w:rsidRPr="00D26A93" w:rsidRDefault="003F50BC" w:rsidP="000210F9">
      <w:pPr>
        <w:spacing w:before="240" w:after="480"/>
        <w:rPr>
          <w:rFonts w:cs="Arial"/>
          <w:b/>
          <w:bCs/>
        </w:rPr>
      </w:pPr>
      <w:r w:rsidRPr="265B958A">
        <w:rPr>
          <w:rFonts w:cs="Arial"/>
        </w:rPr>
        <w:t>Table 4b includes the same SED quartiles but includes the percentage</w:t>
      </w:r>
      <w:r w:rsidR="008D329B" w:rsidRPr="265B958A">
        <w:rPr>
          <w:rFonts w:cs="Arial"/>
        </w:rPr>
        <w:t>s</w:t>
      </w:r>
      <w:r w:rsidRPr="265B958A">
        <w:rPr>
          <w:rFonts w:cs="Arial"/>
        </w:rPr>
        <w:t xml:space="preserve"> of inexperienced, clear, intern, ineffective, and out-of-field teachers assigned </w:t>
      </w:r>
      <w:r w:rsidR="008A0684">
        <w:rPr>
          <w:rFonts w:cs="Arial"/>
        </w:rPr>
        <w:t>in</w:t>
      </w:r>
      <w:r w:rsidRPr="265B958A">
        <w:rPr>
          <w:rFonts w:cs="Arial"/>
        </w:rPr>
        <w:t xml:space="preserve"> the schools in each quartile. Quartile 1 includes schools with the lowest percentage of SED students and has 10.</w:t>
      </w:r>
      <w:r w:rsidR="00467422" w:rsidRPr="265B958A">
        <w:rPr>
          <w:rFonts w:cs="Arial"/>
        </w:rPr>
        <w:t>5</w:t>
      </w:r>
      <w:r w:rsidRPr="265B958A">
        <w:rPr>
          <w:rFonts w:cs="Arial"/>
        </w:rPr>
        <w:t xml:space="preserve"> percent inexperienced FTEs</w:t>
      </w:r>
      <w:r w:rsidR="008A0684">
        <w:rPr>
          <w:rFonts w:cs="Arial"/>
        </w:rPr>
        <w:t>,</w:t>
      </w:r>
      <w:r w:rsidRPr="265B958A">
        <w:rPr>
          <w:rFonts w:cs="Arial"/>
        </w:rPr>
        <w:t xml:space="preserve"> while Quartile 4 with the highest percentage of SED students has 1</w:t>
      </w:r>
      <w:r w:rsidR="00467422" w:rsidRPr="265B958A">
        <w:rPr>
          <w:rFonts w:cs="Arial"/>
        </w:rPr>
        <w:t>5</w:t>
      </w:r>
      <w:r w:rsidRPr="265B958A">
        <w:rPr>
          <w:rFonts w:cs="Arial"/>
        </w:rPr>
        <w:t>.</w:t>
      </w:r>
      <w:r w:rsidR="00467422" w:rsidRPr="265B958A">
        <w:rPr>
          <w:rFonts w:cs="Arial"/>
        </w:rPr>
        <w:t>4</w:t>
      </w:r>
      <w:r w:rsidRPr="265B958A">
        <w:rPr>
          <w:rFonts w:cs="Arial"/>
        </w:rPr>
        <w:t xml:space="preserve"> percent. Quartile 1 has 8</w:t>
      </w:r>
      <w:r w:rsidR="00467422" w:rsidRPr="265B958A">
        <w:rPr>
          <w:rFonts w:cs="Arial"/>
        </w:rPr>
        <w:t>6</w:t>
      </w:r>
      <w:r w:rsidRPr="265B958A">
        <w:rPr>
          <w:rFonts w:cs="Arial"/>
        </w:rPr>
        <w:t>.</w:t>
      </w:r>
      <w:r w:rsidR="00467422" w:rsidRPr="265B958A">
        <w:rPr>
          <w:rFonts w:cs="Arial"/>
        </w:rPr>
        <w:t>8</w:t>
      </w:r>
      <w:r w:rsidRPr="265B958A">
        <w:rPr>
          <w:rFonts w:cs="Arial"/>
        </w:rPr>
        <w:t xml:space="preserve"> percent clear teachers, while Quartile 4 has 8</w:t>
      </w:r>
      <w:r w:rsidR="00467422" w:rsidRPr="265B958A">
        <w:rPr>
          <w:rFonts w:cs="Arial"/>
        </w:rPr>
        <w:t>0</w:t>
      </w:r>
      <w:r w:rsidRPr="265B958A">
        <w:rPr>
          <w:rFonts w:cs="Arial"/>
        </w:rPr>
        <w:t>.</w:t>
      </w:r>
      <w:r w:rsidR="00467422" w:rsidRPr="265B958A">
        <w:rPr>
          <w:rFonts w:cs="Arial"/>
        </w:rPr>
        <w:t>6</w:t>
      </w:r>
      <w:r w:rsidRPr="265B958A">
        <w:rPr>
          <w:rFonts w:cs="Arial"/>
        </w:rPr>
        <w:t xml:space="preserve"> percent. The percentage of intern teachers </w:t>
      </w:r>
      <w:r w:rsidR="000427A8">
        <w:rPr>
          <w:rFonts w:cs="Arial"/>
        </w:rPr>
        <w:t xml:space="preserve">in </w:t>
      </w:r>
      <w:r w:rsidRPr="265B958A">
        <w:rPr>
          <w:rFonts w:cs="Arial"/>
        </w:rPr>
        <w:t xml:space="preserve">Quartile 1 is </w:t>
      </w:r>
      <w:r w:rsidR="00467422" w:rsidRPr="265B958A">
        <w:rPr>
          <w:rFonts w:cs="Arial"/>
        </w:rPr>
        <w:t>1.1</w:t>
      </w:r>
      <w:r w:rsidRPr="265B958A">
        <w:rPr>
          <w:rFonts w:cs="Arial"/>
        </w:rPr>
        <w:t xml:space="preserve"> percent</w:t>
      </w:r>
      <w:r w:rsidR="008A0684">
        <w:rPr>
          <w:rFonts w:cs="Arial"/>
        </w:rPr>
        <w:t>,</w:t>
      </w:r>
      <w:r w:rsidRPr="265B958A">
        <w:rPr>
          <w:rFonts w:cs="Arial"/>
        </w:rPr>
        <w:t xml:space="preserve"> and the percentage of intern teachers in Quartile 4 is </w:t>
      </w:r>
      <w:r w:rsidR="00467422" w:rsidRPr="265B958A">
        <w:rPr>
          <w:rFonts w:cs="Arial"/>
        </w:rPr>
        <w:t>3.5</w:t>
      </w:r>
      <w:r w:rsidRPr="265B958A">
        <w:rPr>
          <w:rFonts w:cs="Arial"/>
        </w:rPr>
        <w:t xml:space="preserve"> percent. The </w:t>
      </w:r>
      <w:r w:rsidR="000427A8">
        <w:rPr>
          <w:rFonts w:cs="Arial"/>
        </w:rPr>
        <w:t xml:space="preserve">proportion of ineffective teachers in </w:t>
      </w:r>
      <w:r w:rsidR="004F344A" w:rsidRPr="265B958A">
        <w:rPr>
          <w:rFonts w:cs="Arial"/>
        </w:rPr>
        <w:t>Q</w:t>
      </w:r>
      <w:r w:rsidRPr="265B958A">
        <w:rPr>
          <w:rFonts w:cs="Arial"/>
        </w:rPr>
        <w:t xml:space="preserve">uartile 1 and Quartile 4 is </w:t>
      </w:r>
      <w:r w:rsidR="00467422" w:rsidRPr="265B958A">
        <w:rPr>
          <w:rFonts w:cs="Arial"/>
        </w:rPr>
        <w:t>3</w:t>
      </w:r>
      <w:r w:rsidRPr="265B958A">
        <w:rPr>
          <w:rFonts w:cs="Arial"/>
        </w:rPr>
        <w:t xml:space="preserve">.8 percent and </w:t>
      </w:r>
      <w:r w:rsidR="00467422" w:rsidRPr="265B958A">
        <w:rPr>
          <w:rFonts w:cs="Arial"/>
        </w:rPr>
        <w:t>7.7</w:t>
      </w:r>
      <w:r w:rsidRPr="265B958A">
        <w:rPr>
          <w:rFonts w:cs="Arial"/>
        </w:rPr>
        <w:t xml:space="preserve"> percent</w:t>
      </w:r>
      <w:r w:rsidR="000427A8">
        <w:rPr>
          <w:rFonts w:cs="Arial"/>
        </w:rPr>
        <w:t xml:space="preserve">, </w:t>
      </w:r>
      <w:r w:rsidRPr="265B958A">
        <w:rPr>
          <w:rFonts w:cs="Arial"/>
        </w:rPr>
        <w:t xml:space="preserve">respectively. Finally, </w:t>
      </w:r>
      <w:r w:rsidR="006F49D2" w:rsidRPr="265B958A">
        <w:rPr>
          <w:rFonts w:cs="Arial"/>
        </w:rPr>
        <w:t>3.</w:t>
      </w:r>
      <w:r w:rsidR="00467422" w:rsidRPr="265B958A">
        <w:rPr>
          <w:rFonts w:cs="Arial"/>
        </w:rPr>
        <w:t>8</w:t>
      </w:r>
      <w:r w:rsidR="006F49D2" w:rsidRPr="265B958A">
        <w:rPr>
          <w:rFonts w:cs="Arial"/>
        </w:rPr>
        <w:t xml:space="preserve"> percent</w:t>
      </w:r>
      <w:r w:rsidR="00CB549D">
        <w:rPr>
          <w:rFonts w:cs="Arial"/>
        </w:rPr>
        <w:t xml:space="preserve"> of teachers are </w:t>
      </w:r>
      <w:r w:rsidR="00CB549D" w:rsidRPr="265B958A">
        <w:rPr>
          <w:rFonts w:cs="Arial"/>
        </w:rPr>
        <w:t xml:space="preserve">out-of-field </w:t>
      </w:r>
      <w:r w:rsidRPr="265B958A">
        <w:rPr>
          <w:rFonts w:cs="Arial"/>
        </w:rPr>
        <w:t xml:space="preserve">in </w:t>
      </w:r>
      <w:r w:rsidR="006F49D2" w:rsidRPr="265B958A">
        <w:rPr>
          <w:rFonts w:cs="Arial"/>
        </w:rPr>
        <w:t>Q</w:t>
      </w:r>
      <w:r w:rsidRPr="265B958A">
        <w:rPr>
          <w:rFonts w:cs="Arial"/>
        </w:rPr>
        <w:t>uartile 1</w:t>
      </w:r>
      <w:r w:rsidR="008A0684">
        <w:rPr>
          <w:rFonts w:cs="Arial"/>
        </w:rPr>
        <w:t>,</w:t>
      </w:r>
      <w:r w:rsidRPr="265B958A">
        <w:rPr>
          <w:rFonts w:cs="Arial"/>
        </w:rPr>
        <w:t xml:space="preserve"> and 4</w:t>
      </w:r>
      <w:r w:rsidR="00467422" w:rsidRPr="265B958A">
        <w:rPr>
          <w:rFonts w:cs="Arial"/>
        </w:rPr>
        <w:t>.1</w:t>
      </w:r>
      <w:r w:rsidRPr="265B958A">
        <w:rPr>
          <w:rFonts w:cs="Arial"/>
        </w:rPr>
        <w:t xml:space="preserve"> </w:t>
      </w:r>
      <w:r w:rsidR="00CB549D">
        <w:rPr>
          <w:rFonts w:cs="Arial"/>
        </w:rPr>
        <w:t xml:space="preserve">percent of teachers are out-of-field </w:t>
      </w:r>
      <w:r w:rsidRPr="265B958A">
        <w:rPr>
          <w:rFonts w:cs="Arial"/>
        </w:rPr>
        <w:t>in Quartile 4.</w:t>
      </w:r>
    </w:p>
    <w:p w14:paraId="128B7B13" w14:textId="1C818DD4" w:rsidR="003F50BC" w:rsidRPr="00D26A93" w:rsidRDefault="003F50BC" w:rsidP="00E87E08">
      <w:pPr>
        <w:pStyle w:val="Heading4"/>
      </w:pPr>
      <w:r w:rsidRPr="00D26A93">
        <w:t xml:space="preserve">Table 4c: </w:t>
      </w:r>
      <w:r w:rsidR="00EA56DF" w:rsidRPr="00EA56DF">
        <w:t xml:space="preserve">Socioeconomically Disadvantaged Quartiles: </w:t>
      </w:r>
      <w:r w:rsidR="00EA56DF">
        <w:t xml:space="preserve">Incomplete, Unknown, and Not Applicable </w:t>
      </w:r>
    </w:p>
    <w:tbl>
      <w:tblPr>
        <w:tblW w:w="5000" w:type="pct"/>
        <w:jc w:val="center"/>
        <w:tblLook w:val="04A0" w:firstRow="1" w:lastRow="0" w:firstColumn="1" w:lastColumn="0" w:noHBand="0" w:noVBand="1"/>
        <w:tblCaption w:val="Table 4c: Summary of 2023–24 Educator Equity Data: Socioeconomically Disadvantaged Quartiles"/>
        <w:tblDescription w:val="Table 4c includes the same SED quartiles, but includes the percentage of incomplete, unknown, and N/A FTEs assigned to the schools in each quartile."/>
      </w:tblPr>
      <w:tblGrid>
        <w:gridCol w:w="3510"/>
        <w:gridCol w:w="2227"/>
        <w:gridCol w:w="1947"/>
        <w:gridCol w:w="1666"/>
      </w:tblGrid>
      <w:tr w:rsidR="003F50BC" w:rsidRPr="00D26A93" w14:paraId="457D722B" w14:textId="77777777" w:rsidTr="00E87E08">
        <w:trPr>
          <w:cantSplit/>
          <w:trHeight w:val="900"/>
          <w:tblHeader/>
          <w:jc w:val="center"/>
        </w:trPr>
        <w:tc>
          <w:tcPr>
            <w:tcW w:w="18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D365D" w14:textId="77777777" w:rsidR="003F50BC" w:rsidRPr="00D26A93" w:rsidRDefault="003F50BC" w:rsidP="000210F9">
            <w:pPr>
              <w:spacing w:before="120" w:after="120"/>
              <w:jc w:val="center"/>
              <w:rPr>
                <w:rFonts w:cs="Arial"/>
                <w:b/>
                <w:bCs/>
              </w:rPr>
            </w:pPr>
            <w:r w:rsidRPr="00D26A93">
              <w:rPr>
                <w:rFonts w:cs="Arial"/>
                <w:b/>
                <w:bCs/>
              </w:rPr>
              <w:t>SED Quartile Rank</w:t>
            </w:r>
          </w:p>
        </w:tc>
        <w:tc>
          <w:tcPr>
            <w:tcW w:w="11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1B3294" w14:textId="77777777" w:rsidR="003F50BC" w:rsidRPr="00D26A93" w:rsidRDefault="003F50BC" w:rsidP="000210F9">
            <w:pPr>
              <w:spacing w:before="120" w:after="120"/>
              <w:jc w:val="center"/>
              <w:rPr>
                <w:rFonts w:cs="Arial"/>
                <w:b/>
                <w:bCs/>
              </w:rPr>
            </w:pPr>
            <w:r w:rsidRPr="00D26A93">
              <w:rPr>
                <w:rFonts w:cs="Arial"/>
                <w:b/>
                <w:bCs/>
              </w:rPr>
              <w:t>Incomplete</w:t>
            </w:r>
            <w:r w:rsidRPr="00D26A93">
              <w:rPr>
                <w:rFonts w:cs="Arial"/>
                <w:b/>
                <w:bCs/>
              </w:rPr>
              <w:br/>
              <w:t>FTE (%)</w:t>
            </w:r>
          </w:p>
        </w:tc>
        <w:tc>
          <w:tcPr>
            <w:tcW w:w="10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70125D" w14:textId="77777777" w:rsidR="003F50BC" w:rsidRPr="00D26A93" w:rsidRDefault="003F50BC" w:rsidP="000210F9">
            <w:pPr>
              <w:spacing w:before="120" w:after="120"/>
              <w:jc w:val="center"/>
              <w:rPr>
                <w:rFonts w:cs="Arial"/>
                <w:b/>
                <w:bCs/>
              </w:rPr>
            </w:pPr>
            <w:r w:rsidRPr="00D26A93">
              <w:rPr>
                <w:rFonts w:cs="Arial"/>
                <w:b/>
                <w:bCs/>
              </w:rPr>
              <w:t>Unknown</w:t>
            </w:r>
            <w:r w:rsidRPr="00D26A93">
              <w:rPr>
                <w:rFonts w:cs="Arial"/>
                <w:b/>
                <w:bCs/>
              </w:rPr>
              <w:br/>
              <w:t>FTE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D2EEA" w14:textId="77777777" w:rsidR="003F50BC" w:rsidRPr="00D26A93" w:rsidRDefault="003F50BC" w:rsidP="000210F9">
            <w:pPr>
              <w:spacing w:before="120" w:after="120"/>
              <w:jc w:val="center"/>
              <w:rPr>
                <w:rFonts w:cs="Arial"/>
                <w:b/>
                <w:bCs/>
              </w:rPr>
            </w:pPr>
            <w:r w:rsidRPr="00D26A93">
              <w:rPr>
                <w:rFonts w:cs="Arial"/>
                <w:b/>
                <w:bCs/>
              </w:rPr>
              <w:t>N/A</w:t>
            </w:r>
            <w:r w:rsidRPr="00D26A93">
              <w:rPr>
                <w:rFonts w:cs="Arial"/>
                <w:b/>
                <w:bCs/>
              </w:rPr>
              <w:br/>
              <w:t>FTE (%)</w:t>
            </w:r>
          </w:p>
        </w:tc>
      </w:tr>
      <w:tr w:rsidR="003F50BC" w:rsidRPr="00D26A93" w14:paraId="0CF73AF9" w14:textId="77777777" w:rsidTr="00E87E08">
        <w:trPr>
          <w:cantSplit/>
          <w:trHeight w:val="280"/>
          <w:jc w:val="center"/>
        </w:trPr>
        <w:tc>
          <w:tcPr>
            <w:tcW w:w="1877" w:type="pct"/>
            <w:tcBorders>
              <w:top w:val="nil"/>
              <w:left w:val="single" w:sz="4" w:space="0" w:color="auto"/>
              <w:bottom w:val="single" w:sz="4" w:space="0" w:color="auto"/>
              <w:right w:val="single" w:sz="4" w:space="0" w:color="auto"/>
            </w:tcBorders>
            <w:noWrap/>
            <w:vAlign w:val="center"/>
            <w:hideMark/>
          </w:tcPr>
          <w:p w14:paraId="7891A712" w14:textId="77777777" w:rsidR="003F50BC" w:rsidRPr="00D26A93" w:rsidRDefault="003F50BC" w:rsidP="000210F9">
            <w:pPr>
              <w:spacing w:before="120" w:after="120"/>
              <w:jc w:val="center"/>
              <w:rPr>
                <w:rFonts w:cs="Arial"/>
              </w:rPr>
            </w:pPr>
            <w:r w:rsidRPr="00D26A93">
              <w:rPr>
                <w:rFonts w:cs="Arial"/>
              </w:rPr>
              <w:t>1</w:t>
            </w:r>
          </w:p>
        </w:tc>
        <w:tc>
          <w:tcPr>
            <w:tcW w:w="1191" w:type="pct"/>
            <w:tcBorders>
              <w:top w:val="nil"/>
              <w:left w:val="single" w:sz="4" w:space="0" w:color="auto"/>
              <w:bottom w:val="single" w:sz="4" w:space="0" w:color="auto"/>
              <w:right w:val="single" w:sz="4" w:space="0" w:color="auto"/>
            </w:tcBorders>
            <w:vAlign w:val="bottom"/>
          </w:tcPr>
          <w:p w14:paraId="06C35A60" w14:textId="16262B4D" w:rsidR="003F50BC" w:rsidRPr="00AE60B2" w:rsidRDefault="003F50BC" w:rsidP="000210F9">
            <w:pPr>
              <w:spacing w:before="120" w:after="120"/>
              <w:jc w:val="center"/>
              <w:rPr>
                <w:rFonts w:cs="Arial"/>
              </w:rPr>
            </w:pPr>
            <w:r w:rsidRPr="265B958A">
              <w:rPr>
                <w:rFonts w:cs="Arial"/>
              </w:rPr>
              <w:t>4.</w:t>
            </w:r>
            <w:r w:rsidR="00AE60B2" w:rsidRPr="265B958A">
              <w:rPr>
                <w:rFonts w:cs="Arial"/>
              </w:rPr>
              <w:t>2</w:t>
            </w:r>
            <w:r w:rsidRPr="265B958A">
              <w:rPr>
                <w:rFonts w:cs="Arial"/>
              </w:rPr>
              <w:t>%</w:t>
            </w:r>
          </w:p>
        </w:tc>
        <w:tc>
          <w:tcPr>
            <w:tcW w:w="1041" w:type="pct"/>
            <w:tcBorders>
              <w:top w:val="nil"/>
              <w:left w:val="single" w:sz="4" w:space="0" w:color="auto"/>
              <w:bottom w:val="single" w:sz="4" w:space="0" w:color="auto"/>
              <w:right w:val="single" w:sz="4" w:space="0" w:color="auto"/>
            </w:tcBorders>
            <w:vAlign w:val="bottom"/>
          </w:tcPr>
          <w:p w14:paraId="0F6EB9AB" w14:textId="08B6AE24" w:rsidR="003F50BC" w:rsidRPr="00AE60B2" w:rsidRDefault="003F50BC" w:rsidP="000210F9">
            <w:pPr>
              <w:spacing w:before="120" w:after="120"/>
              <w:jc w:val="center"/>
              <w:rPr>
                <w:rFonts w:cs="Arial"/>
              </w:rPr>
            </w:pPr>
            <w:r w:rsidRPr="265B958A">
              <w:rPr>
                <w:rFonts w:cs="Arial"/>
              </w:rPr>
              <w:t>0.</w:t>
            </w:r>
            <w:r w:rsidR="00AE60B2" w:rsidRPr="265B958A">
              <w:rPr>
                <w:rFonts w:cs="Arial"/>
              </w:rPr>
              <w:t>0</w:t>
            </w:r>
            <w:r w:rsidRPr="265B958A">
              <w:rPr>
                <w:rFonts w:cs="Arial"/>
              </w:rPr>
              <w:t>%</w:t>
            </w:r>
          </w:p>
        </w:tc>
        <w:tc>
          <w:tcPr>
            <w:tcW w:w="891" w:type="pct"/>
            <w:tcBorders>
              <w:top w:val="nil"/>
              <w:left w:val="single" w:sz="4" w:space="0" w:color="auto"/>
              <w:bottom w:val="single" w:sz="4" w:space="0" w:color="auto"/>
              <w:right w:val="single" w:sz="4" w:space="0" w:color="auto"/>
            </w:tcBorders>
            <w:vAlign w:val="bottom"/>
          </w:tcPr>
          <w:p w14:paraId="25D58FB8" w14:textId="717AB3B0" w:rsidR="003F50BC" w:rsidRPr="00AE60B2" w:rsidRDefault="003F50BC" w:rsidP="000210F9">
            <w:pPr>
              <w:spacing w:before="120" w:after="120"/>
              <w:jc w:val="center"/>
              <w:rPr>
                <w:rFonts w:cs="Arial"/>
              </w:rPr>
            </w:pPr>
            <w:r w:rsidRPr="265B958A">
              <w:rPr>
                <w:rFonts w:cs="Arial"/>
              </w:rPr>
              <w:t>0.</w:t>
            </w:r>
            <w:r w:rsidR="00AE60B2" w:rsidRPr="265B958A">
              <w:rPr>
                <w:rFonts w:cs="Arial"/>
              </w:rPr>
              <w:t>2</w:t>
            </w:r>
            <w:r w:rsidRPr="265B958A">
              <w:rPr>
                <w:rFonts w:cs="Arial"/>
              </w:rPr>
              <w:t>%</w:t>
            </w:r>
          </w:p>
        </w:tc>
      </w:tr>
      <w:tr w:rsidR="003F50BC" w:rsidRPr="00D26A93" w14:paraId="6CD9FDDC" w14:textId="77777777" w:rsidTr="00E87E08">
        <w:trPr>
          <w:cantSplit/>
          <w:trHeight w:val="280"/>
          <w:jc w:val="center"/>
        </w:trPr>
        <w:tc>
          <w:tcPr>
            <w:tcW w:w="1877" w:type="pct"/>
            <w:tcBorders>
              <w:top w:val="nil"/>
              <w:left w:val="single" w:sz="4" w:space="0" w:color="auto"/>
              <w:bottom w:val="single" w:sz="4" w:space="0" w:color="auto"/>
              <w:right w:val="single" w:sz="4" w:space="0" w:color="auto"/>
            </w:tcBorders>
            <w:noWrap/>
            <w:vAlign w:val="center"/>
            <w:hideMark/>
          </w:tcPr>
          <w:p w14:paraId="039E0D9F" w14:textId="77777777" w:rsidR="003F50BC" w:rsidRPr="00D26A93" w:rsidRDefault="003F50BC" w:rsidP="000210F9">
            <w:pPr>
              <w:spacing w:before="120" w:after="120"/>
              <w:jc w:val="center"/>
              <w:rPr>
                <w:rFonts w:cs="Arial"/>
              </w:rPr>
            </w:pPr>
            <w:r w:rsidRPr="00D26A93">
              <w:rPr>
                <w:rFonts w:cs="Arial"/>
              </w:rPr>
              <w:t>2</w:t>
            </w:r>
          </w:p>
        </w:tc>
        <w:tc>
          <w:tcPr>
            <w:tcW w:w="1191" w:type="pct"/>
            <w:tcBorders>
              <w:top w:val="nil"/>
              <w:left w:val="single" w:sz="4" w:space="0" w:color="auto"/>
              <w:bottom w:val="single" w:sz="4" w:space="0" w:color="auto"/>
              <w:right w:val="single" w:sz="4" w:space="0" w:color="auto"/>
            </w:tcBorders>
            <w:vAlign w:val="bottom"/>
          </w:tcPr>
          <w:p w14:paraId="617D31D9" w14:textId="3174C7AD" w:rsidR="003F50BC" w:rsidRPr="00AE60B2" w:rsidRDefault="003F50BC" w:rsidP="000210F9">
            <w:pPr>
              <w:spacing w:before="120" w:after="120"/>
              <w:jc w:val="center"/>
              <w:rPr>
                <w:rFonts w:cs="Arial"/>
              </w:rPr>
            </w:pPr>
            <w:r w:rsidRPr="265B958A">
              <w:rPr>
                <w:rFonts w:cs="Arial"/>
              </w:rPr>
              <w:t>5.</w:t>
            </w:r>
            <w:r w:rsidR="00AE60B2" w:rsidRPr="265B958A">
              <w:rPr>
                <w:rFonts w:cs="Arial"/>
              </w:rPr>
              <w:t>0</w:t>
            </w:r>
            <w:r w:rsidRPr="265B958A">
              <w:rPr>
                <w:rFonts w:cs="Arial"/>
              </w:rPr>
              <w:t>%</w:t>
            </w:r>
          </w:p>
        </w:tc>
        <w:tc>
          <w:tcPr>
            <w:tcW w:w="1041" w:type="pct"/>
            <w:tcBorders>
              <w:top w:val="nil"/>
              <w:left w:val="single" w:sz="4" w:space="0" w:color="auto"/>
              <w:bottom w:val="single" w:sz="4" w:space="0" w:color="auto"/>
              <w:right w:val="single" w:sz="4" w:space="0" w:color="auto"/>
            </w:tcBorders>
            <w:vAlign w:val="bottom"/>
          </w:tcPr>
          <w:p w14:paraId="1AEE4EAA" w14:textId="277FD6E4" w:rsidR="003F50BC" w:rsidRPr="00AE60B2" w:rsidRDefault="003F50BC" w:rsidP="000210F9">
            <w:pPr>
              <w:spacing w:before="120" w:after="120"/>
              <w:jc w:val="center"/>
              <w:rPr>
                <w:rFonts w:cs="Arial"/>
              </w:rPr>
            </w:pPr>
            <w:r w:rsidRPr="265B958A">
              <w:rPr>
                <w:rFonts w:cs="Arial"/>
              </w:rPr>
              <w:t>0.</w:t>
            </w:r>
            <w:r w:rsidR="00AE60B2" w:rsidRPr="265B958A">
              <w:rPr>
                <w:rFonts w:cs="Arial"/>
              </w:rPr>
              <w:t>1</w:t>
            </w:r>
            <w:r w:rsidRPr="265B958A">
              <w:rPr>
                <w:rFonts w:cs="Arial"/>
              </w:rPr>
              <w:t>%</w:t>
            </w:r>
          </w:p>
        </w:tc>
        <w:tc>
          <w:tcPr>
            <w:tcW w:w="891" w:type="pct"/>
            <w:tcBorders>
              <w:top w:val="nil"/>
              <w:left w:val="single" w:sz="4" w:space="0" w:color="auto"/>
              <w:bottom w:val="single" w:sz="4" w:space="0" w:color="auto"/>
              <w:right w:val="single" w:sz="4" w:space="0" w:color="auto"/>
            </w:tcBorders>
            <w:vAlign w:val="bottom"/>
          </w:tcPr>
          <w:p w14:paraId="434C9AC3" w14:textId="470FB763" w:rsidR="003F50BC" w:rsidRPr="00AE60B2" w:rsidRDefault="003F50BC" w:rsidP="000210F9">
            <w:pPr>
              <w:spacing w:before="120" w:after="120"/>
              <w:jc w:val="center"/>
              <w:rPr>
                <w:rFonts w:cs="Arial"/>
              </w:rPr>
            </w:pPr>
            <w:r w:rsidRPr="265B958A">
              <w:rPr>
                <w:rFonts w:cs="Arial"/>
              </w:rPr>
              <w:t>0.</w:t>
            </w:r>
            <w:r w:rsidR="00AE60B2" w:rsidRPr="265B958A">
              <w:rPr>
                <w:rFonts w:cs="Arial"/>
              </w:rPr>
              <w:t>3</w:t>
            </w:r>
            <w:r w:rsidRPr="265B958A">
              <w:rPr>
                <w:rFonts w:cs="Arial"/>
              </w:rPr>
              <w:t>%</w:t>
            </w:r>
          </w:p>
        </w:tc>
      </w:tr>
      <w:tr w:rsidR="003F50BC" w:rsidRPr="00D26A93" w14:paraId="654DF1F9" w14:textId="77777777" w:rsidTr="00E87E08">
        <w:trPr>
          <w:cantSplit/>
          <w:trHeight w:val="280"/>
          <w:jc w:val="center"/>
        </w:trPr>
        <w:tc>
          <w:tcPr>
            <w:tcW w:w="1877" w:type="pct"/>
            <w:tcBorders>
              <w:top w:val="nil"/>
              <w:left w:val="single" w:sz="4" w:space="0" w:color="auto"/>
              <w:bottom w:val="single" w:sz="4" w:space="0" w:color="auto"/>
              <w:right w:val="single" w:sz="4" w:space="0" w:color="auto"/>
            </w:tcBorders>
            <w:noWrap/>
            <w:vAlign w:val="center"/>
            <w:hideMark/>
          </w:tcPr>
          <w:p w14:paraId="01ECC4A8" w14:textId="77777777" w:rsidR="003F50BC" w:rsidRPr="00D26A93" w:rsidRDefault="003F50BC" w:rsidP="000210F9">
            <w:pPr>
              <w:spacing w:before="120" w:after="120"/>
              <w:jc w:val="center"/>
              <w:rPr>
                <w:rFonts w:cs="Arial"/>
              </w:rPr>
            </w:pPr>
            <w:r w:rsidRPr="00D26A93">
              <w:rPr>
                <w:rFonts w:cs="Arial"/>
              </w:rPr>
              <w:t>3</w:t>
            </w:r>
          </w:p>
        </w:tc>
        <w:tc>
          <w:tcPr>
            <w:tcW w:w="1191" w:type="pct"/>
            <w:tcBorders>
              <w:top w:val="nil"/>
              <w:left w:val="single" w:sz="4" w:space="0" w:color="auto"/>
              <w:bottom w:val="single" w:sz="4" w:space="0" w:color="auto"/>
              <w:right w:val="single" w:sz="4" w:space="0" w:color="auto"/>
            </w:tcBorders>
            <w:vAlign w:val="bottom"/>
          </w:tcPr>
          <w:p w14:paraId="73410B83" w14:textId="3D1CEB8B" w:rsidR="003F50BC" w:rsidRPr="00AE60B2" w:rsidRDefault="003F50BC" w:rsidP="000210F9">
            <w:pPr>
              <w:spacing w:before="120" w:after="120"/>
              <w:jc w:val="center"/>
              <w:rPr>
                <w:rFonts w:cs="Arial"/>
              </w:rPr>
            </w:pPr>
            <w:r w:rsidRPr="265B958A">
              <w:rPr>
                <w:rFonts w:cs="Arial"/>
              </w:rPr>
              <w:t>5.</w:t>
            </w:r>
            <w:r w:rsidR="00AE60B2" w:rsidRPr="265B958A">
              <w:rPr>
                <w:rFonts w:cs="Arial"/>
              </w:rPr>
              <w:t>2</w:t>
            </w:r>
            <w:r w:rsidRPr="265B958A">
              <w:rPr>
                <w:rFonts w:cs="Arial"/>
              </w:rPr>
              <w:t>%</w:t>
            </w:r>
          </w:p>
        </w:tc>
        <w:tc>
          <w:tcPr>
            <w:tcW w:w="1041" w:type="pct"/>
            <w:tcBorders>
              <w:top w:val="nil"/>
              <w:left w:val="single" w:sz="4" w:space="0" w:color="auto"/>
              <w:bottom w:val="single" w:sz="4" w:space="0" w:color="auto"/>
              <w:right w:val="single" w:sz="4" w:space="0" w:color="auto"/>
            </w:tcBorders>
            <w:vAlign w:val="bottom"/>
          </w:tcPr>
          <w:p w14:paraId="2163A06C" w14:textId="0050386A" w:rsidR="003F50BC" w:rsidRPr="00AE60B2" w:rsidRDefault="003F50BC" w:rsidP="000210F9">
            <w:pPr>
              <w:spacing w:before="120" w:after="120"/>
              <w:jc w:val="center"/>
              <w:rPr>
                <w:rFonts w:cs="Arial"/>
              </w:rPr>
            </w:pPr>
            <w:r w:rsidRPr="265B958A">
              <w:rPr>
                <w:rFonts w:cs="Arial"/>
              </w:rPr>
              <w:t>0.</w:t>
            </w:r>
            <w:r w:rsidR="00AE60B2" w:rsidRPr="265B958A">
              <w:rPr>
                <w:rFonts w:cs="Arial"/>
              </w:rPr>
              <w:t>1</w:t>
            </w:r>
            <w:r w:rsidRPr="265B958A">
              <w:rPr>
                <w:rFonts w:cs="Arial"/>
              </w:rPr>
              <w:t>%</w:t>
            </w:r>
          </w:p>
        </w:tc>
        <w:tc>
          <w:tcPr>
            <w:tcW w:w="891" w:type="pct"/>
            <w:tcBorders>
              <w:top w:val="nil"/>
              <w:left w:val="single" w:sz="4" w:space="0" w:color="auto"/>
              <w:bottom w:val="single" w:sz="4" w:space="0" w:color="auto"/>
              <w:right w:val="single" w:sz="4" w:space="0" w:color="auto"/>
            </w:tcBorders>
            <w:vAlign w:val="bottom"/>
          </w:tcPr>
          <w:p w14:paraId="060E1525" w14:textId="7FE7E405" w:rsidR="003F50BC" w:rsidRPr="00AE60B2" w:rsidRDefault="003F50BC" w:rsidP="000210F9">
            <w:pPr>
              <w:spacing w:before="120" w:after="120"/>
              <w:jc w:val="center"/>
              <w:rPr>
                <w:rFonts w:cs="Arial"/>
              </w:rPr>
            </w:pPr>
            <w:r w:rsidRPr="265B958A">
              <w:rPr>
                <w:rFonts w:cs="Arial"/>
              </w:rPr>
              <w:t>0.</w:t>
            </w:r>
            <w:r w:rsidR="00AE60B2" w:rsidRPr="265B958A">
              <w:rPr>
                <w:rFonts w:cs="Arial"/>
              </w:rPr>
              <w:t>3</w:t>
            </w:r>
            <w:r w:rsidRPr="265B958A">
              <w:rPr>
                <w:rFonts w:cs="Arial"/>
              </w:rPr>
              <w:t>%</w:t>
            </w:r>
          </w:p>
        </w:tc>
      </w:tr>
      <w:tr w:rsidR="003F50BC" w:rsidRPr="00D26A93" w14:paraId="3870A5CC" w14:textId="77777777" w:rsidTr="00E87E08">
        <w:trPr>
          <w:cantSplit/>
          <w:trHeight w:val="280"/>
          <w:jc w:val="center"/>
        </w:trPr>
        <w:tc>
          <w:tcPr>
            <w:tcW w:w="1877" w:type="pct"/>
            <w:tcBorders>
              <w:top w:val="nil"/>
              <w:left w:val="single" w:sz="4" w:space="0" w:color="auto"/>
              <w:bottom w:val="single" w:sz="4" w:space="0" w:color="auto"/>
              <w:right w:val="single" w:sz="4" w:space="0" w:color="auto"/>
            </w:tcBorders>
            <w:noWrap/>
            <w:vAlign w:val="center"/>
            <w:hideMark/>
          </w:tcPr>
          <w:p w14:paraId="7A48CCDF" w14:textId="77777777" w:rsidR="003F50BC" w:rsidRPr="00D26A93" w:rsidRDefault="003F50BC" w:rsidP="000210F9">
            <w:pPr>
              <w:spacing w:before="120" w:after="120"/>
              <w:jc w:val="center"/>
              <w:rPr>
                <w:rFonts w:cs="Arial"/>
              </w:rPr>
            </w:pPr>
            <w:r w:rsidRPr="00D26A93">
              <w:rPr>
                <w:rFonts w:cs="Arial"/>
              </w:rPr>
              <w:t>4</w:t>
            </w:r>
          </w:p>
        </w:tc>
        <w:tc>
          <w:tcPr>
            <w:tcW w:w="1191" w:type="pct"/>
            <w:tcBorders>
              <w:top w:val="nil"/>
              <w:left w:val="single" w:sz="4" w:space="0" w:color="auto"/>
              <w:bottom w:val="single" w:sz="4" w:space="0" w:color="auto"/>
              <w:right w:val="single" w:sz="4" w:space="0" w:color="auto"/>
            </w:tcBorders>
            <w:vAlign w:val="bottom"/>
          </w:tcPr>
          <w:p w14:paraId="55E88B09" w14:textId="06F0724D" w:rsidR="003F50BC" w:rsidRPr="00AE60B2" w:rsidRDefault="00AE60B2" w:rsidP="000210F9">
            <w:pPr>
              <w:spacing w:before="120" w:after="120"/>
              <w:jc w:val="center"/>
              <w:rPr>
                <w:rFonts w:cs="Arial"/>
              </w:rPr>
            </w:pPr>
            <w:r w:rsidRPr="265B958A">
              <w:rPr>
                <w:rFonts w:cs="Arial"/>
              </w:rPr>
              <w:t>3</w:t>
            </w:r>
            <w:r w:rsidR="003F50BC" w:rsidRPr="265B958A">
              <w:rPr>
                <w:rFonts w:cs="Arial"/>
              </w:rPr>
              <w:t>.</w:t>
            </w:r>
            <w:r w:rsidRPr="265B958A">
              <w:rPr>
                <w:rFonts w:cs="Arial"/>
              </w:rPr>
              <w:t>8</w:t>
            </w:r>
            <w:r w:rsidR="003F50BC" w:rsidRPr="265B958A">
              <w:rPr>
                <w:rFonts w:cs="Arial"/>
              </w:rPr>
              <w:t>%</w:t>
            </w:r>
          </w:p>
        </w:tc>
        <w:tc>
          <w:tcPr>
            <w:tcW w:w="1041" w:type="pct"/>
            <w:tcBorders>
              <w:top w:val="nil"/>
              <w:left w:val="single" w:sz="4" w:space="0" w:color="auto"/>
              <w:bottom w:val="single" w:sz="4" w:space="0" w:color="auto"/>
              <w:right w:val="single" w:sz="4" w:space="0" w:color="auto"/>
            </w:tcBorders>
            <w:vAlign w:val="bottom"/>
          </w:tcPr>
          <w:p w14:paraId="552AB435" w14:textId="73516ADB" w:rsidR="003F50BC" w:rsidRPr="00AE60B2" w:rsidRDefault="003F50BC" w:rsidP="000210F9">
            <w:pPr>
              <w:spacing w:before="120" w:after="120"/>
              <w:jc w:val="center"/>
              <w:rPr>
                <w:rFonts w:cs="Arial"/>
              </w:rPr>
            </w:pPr>
            <w:r w:rsidRPr="265B958A">
              <w:rPr>
                <w:rFonts w:cs="Arial"/>
              </w:rPr>
              <w:t>0.</w:t>
            </w:r>
            <w:r w:rsidR="00AE60B2" w:rsidRPr="265B958A">
              <w:rPr>
                <w:rFonts w:cs="Arial"/>
              </w:rPr>
              <w:t>0</w:t>
            </w:r>
            <w:r w:rsidRPr="265B958A">
              <w:rPr>
                <w:rFonts w:cs="Arial"/>
              </w:rPr>
              <w:t>%</w:t>
            </w:r>
          </w:p>
        </w:tc>
        <w:tc>
          <w:tcPr>
            <w:tcW w:w="891" w:type="pct"/>
            <w:tcBorders>
              <w:top w:val="nil"/>
              <w:left w:val="single" w:sz="4" w:space="0" w:color="auto"/>
              <w:bottom w:val="single" w:sz="4" w:space="0" w:color="auto"/>
              <w:right w:val="single" w:sz="4" w:space="0" w:color="auto"/>
            </w:tcBorders>
            <w:vAlign w:val="bottom"/>
          </w:tcPr>
          <w:p w14:paraId="62502A39" w14:textId="35B31869" w:rsidR="003F50BC" w:rsidRPr="00AE60B2" w:rsidRDefault="003F50BC" w:rsidP="000210F9">
            <w:pPr>
              <w:spacing w:before="120" w:after="120"/>
              <w:jc w:val="center"/>
              <w:rPr>
                <w:rFonts w:cs="Arial"/>
              </w:rPr>
            </w:pPr>
            <w:r w:rsidRPr="265B958A">
              <w:rPr>
                <w:rFonts w:cs="Arial"/>
              </w:rPr>
              <w:t>0.</w:t>
            </w:r>
            <w:r w:rsidR="00AE60B2" w:rsidRPr="265B958A">
              <w:rPr>
                <w:rFonts w:cs="Arial"/>
              </w:rPr>
              <w:t>3</w:t>
            </w:r>
            <w:r w:rsidRPr="265B958A">
              <w:rPr>
                <w:rFonts w:cs="Arial"/>
              </w:rPr>
              <w:t>%</w:t>
            </w:r>
          </w:p>
        </w:tc>
      </w:tr>
      <w:tr w:rsidR="003F50BC" w:rsidRPr="00D26A93" w14:paraId="431E630D" w14:textId="77777777" w:rsidTr="00E87E08">
        <w:trPr>
          <w:cantSplit/>
          <w:trHeight w:val="280"/>
          <w:jc w:val="center"/>
        </w:trPr>
        <w:tc>
          <w:tcPr>
            <w:tcW w:w="1877" w:type="pct"/>
            <w:tcBorders>
              <w:top w:val="nil"/>
              <w:left w:val="single" w:sz="4" w:space="0" w:color="auto"/>
              <w:bottom w:val="single" w:sz="4" w:space="0" w:color="auto"/>
              <w:right w:val="single" w:sz="4" w:space="0" w:color="auto"/>
            </w:tcBorders>
            <w:noWrap/>
            <w:vAlign w:val="center"/>
            <w:hideMark/>
          </w:tcPr>
          <w:p w14:paraId="54955BD3" w14:textId="77777777" w:rsidR="003F50BC" w:rsidRPr="00D26A93" w:rsidRDefault="003F50BC" w:rsidP="000210F9">
            <w:pPr>
              <w:spacing w:before="120" w:after="120"/>
              <w:jc w:val="center"/>
              <w:rPr>
                <w:rFonts w:cs="Arial"/>
                <w:b/>
                <w:bCs/>
              </w:rPr>
            </w:pPr>
            <w:r w:rsidRPr="00D26A93">
              <w:rPr>
                <w:rFonts w:cs="Arial"/>
                <w:b/>
                <w:bCs/>
              </w:rPr>
              <w:t>Statewide</w:t>
            </w:r>
          </w:p>
        </w:tc>
        <w:tc>
          <w:tcPr>
            <w:tcW w:w="1191" w:type="pct"/>
            <w:tcBorders>
              <w:top w:val="nil"/>
              <w:left w:val="single" w:sz="4" w:space="0" w:color="auto"/>
              <w:bottom w:val="single" w:sz="4" w:space="0" w:color="auto"/>
              <w:right w:val="single" w:sz="4" w:space="0" w:color="auto"/>
            </w:tcBorders>
            <w:vAlign w:val="bottom"/>
          </w:tcPr>
          <w:p w14:paraId="00F089E5" w14:textId="7B849812" w:rsidR="003F50BC" w:rsidRPr="00AE60B2" w:rsidRDefault="00AE60B2" w:rsidP="000210F9">
            <w:pPr>
              <w:spacing w:before="120" w:after="120"/>
              <w:jc w:val="center"/>
              <w:rPr>
                <w:rFonts w:cs="Arial"/>
                <w:b/>
                <w:bCs/>
              </w:rPr>
            </w:pPr>
            <w:r w:rsidRPr="265B958A">
              <w:rPr>
                <w:rFonts w:cs="Arial"/>
                <w:b/>
                <w:bCs/>
              </w:rPr>
              <w:t>4</w:t>
            </w:r>
            <w:r w:rsidR="003F50BC" w:rsidRPr="265B958A">
              <w:rPr>
                <w:rFonts w:cs="Arial"/>
                <w:b/>
                <w:bCs/>
              </w:rPr>
              <w:t>.</w:t>
            </w:r>
            <w:r w:rsidRPr="265B958A">
              <w:rPr>
                <w:rFonts w:cs="Arial"/>
                <w:b/>
                <w:bCs/>
              </w:rPr>
              <w:t>5</w:t>
            </w:r>
            <w:r w:rsidR="003F50BC" w:rsidRPr="265B958A">
              <w:rPr>
                <w:rFonts w:cs="Arial"/>
                <w:b/>
                <w:bCs/>
              </w:rPr>
              <w:t>%</w:t>
            </w:r>
          </w:p>
        </w:tc>
        <w:tc>
          <w:tcPr>
            <w:tcW w:w="1041" w:type="pct"/>
            <w:tcBorders>
              <w:top w:val="nil"/>
              <w:left w:val="single" w:sz="4" w:space="0" w:color="auto"/>
              <w:bottom w:val="single" w:sz="4" w:space="0" w:color="auto"/>
              <w:right w:val="single" w:sz="4" w:space="0" w:color="auto"/>
            </w:tcBorders>
            <w:vAlign w:val="bottom"/>
          </w:tcPr>
          <w:p w14:paraId="26E6BA4F" w14:textId="018ACE0B" w:rsidR="003F50BC" w:rsidRPr="00AE60B2" w:rsidRDefault="003F50BC" w:rsidP="000210F9">
            <w:pPr>
              <w:spacing w:before="120" w:after="120"/>
              <w:jc w:val="center"/>
              <w:rPr>
                <w:rFonts w:cs="Arial"/>
                <w:b/>
                <w:bCs/>
              </w:rPr>
            </w:pPr>
            <w:r w:rsidRPr="265B958A">
              <w:rPr>
                <w:rFonts w:cs="Arial"/>
                <w:b/>
                <w:bCs/>
              </w:rPr>
              <w:t>0.</w:t>
            </w:r>
            <w:r w:rsidR="00AE60B2" w:rsidRPr="265B958A">
              <w:rPr>
                <w:rFonts w:cs="Arial"/>
                <w:b/>
                <w:bCs/>
              </w:rPr>
              <w:t>1</w:t>
            </w:r>
            <w:r w:rsidRPr="265B958A">
              <w:rPr>
                <w:rFonts w:cs="Arial"/>
                <w:b/>
                <w:bCs/>
              </w:rPr>
              <w:t>%</w:t>
            </w:r>
          </w:p>
        </w:tc>
        <w:tc>
          <w:tcPr>
            <w:tcW w:w="891" w:type="pct"/>
            <w:tcBorders>
              <w:top w:val="nil"/>
              <w:left w:val="single" w:sz="4" w:space="0" w:color="auto"/>
              <w:bottom w:val="single" w:sz="4" w:space="0" w:color="auto"/>
              <w:right w:val="single" w:sz="4" w:space="0" w:color="auto"/>
            </w:tcBorders>
            <w:vAlign w:val="bottom"/>
          </w:tcPr>
          <w:p w14:paraId="7C86314D" w14:textId="7A5C6CFF" w:rsidR="003F50BC" w:rsidRPr="00AE60B2" w:rsidRDefault="003F50BC" w:rsidP="000210F9">
            <w:pPr>
              <w:spacing w:before="120" w:after="120"/>
              <w:jc w:val="center"/>
              <w:rPr>
                <w:rFonts w:cs="Arial"/>
                <w:b/>
                <w:bCs/>
              </w:rPr>
            </w:pPr>
            <w:r w:rsidRPr="265B958A">
              <w:rPr>
                <w:rFonts w:cs="Arial"/>
                <w:b/>
                <w:bCs/>
              </w:rPr>
              <w:t>0.</w:t>
            </w:r>
            <w:r w:rsidR="00AE60B2" w:rsidRPr="265B958A">
              <w:rPr>
                <w:rFonts w:cs="Arial"/>
                <w:b/>
                <w:bCs/>
              </w:rPr>
              <w:t>3</w:t>
            </w:r>
            <w:r w:rsidRPr="265B958A">
              <w:rPr>
                <w:rFonts w:cs="Arial"/>
                <w:b/>
                <w:bCs/>
              </w:rPr>
              <w:t>%</w:t>
            </w:r>
          </w:p>
        </w:tc>
      </w:tr>
    </w:tbl>
    <w:p w14:paraId="7FCAC68E" w14:textId="13A0A762" w:rsidR="003F50BC" w:rsidRPr="00D26A93" w:rsidRDefault="003F50BC" w:rsidP="000210F9">
      <w:pPr>
        <w:spacing w:before="240" w:after="480"/>
        <w:rPr>
          <w:rFonts w:cs="Arial"/>
          <w:b/>
          <w:bCs/>
        </w:rPr>
      </w:pPr>
      <w:r w:rsidRPr="265B958A">
        <w:rPr>
          <w:rFonts w:cs="Arial"/>
        </w:rPr>
        <w:lastRenderedPageBreak/>
        <w:t>Table 4c includes the same SED quartiles but includes the percentage</w:t>
      </w:r>
      <w:r w:rsidR="005663EE" w:rsidRPr="265B958A">
        <w:rPr>
          <w:rFonts w:cs="Arial"/>
        </w:rPr>
        <w:t>s</w:t>
      </w:r>
      <w:r w:rsidRPr="265B958A">
        <w:rPr>
          <w:rFonts w:cs="Arial"/>
        </w:rPr>
        <w:t xml:space="preserve"> of incomplete, unknown, and N/A FTEs assigned </w:t>
      </w:r>
      <w:r w:rsidR="008A0684">
        <w:rPr>
          <w:rFonts w:cs="Arial"/>
        </w:rPr>
        <w:t>in</w:t>
      </w:r>
      <w:r w:rsidRPr="265B958A">
        <w:rPr>
          <w:rFonts w:cs="Arial"/>
        </w:rPr>
        <w:t xml:space="preserve"> the schools in each quartile. Quartile 1</w:t>
      </w:r>
      <w:r w:rsidR="008A0684">
        <w:rPr>
          <w:rFonts w:cs="Arial"/>
        </w:rPr>
        <w:t>,</w:t>
      </w:r>
      <w:r w:rsidRPr="265B958A">
        <w:rPr>
          <w:rFonts w:cs="Arial"/>
        </w:rPr>
        <w:t xml:space="preserve"> </w:t>
      </w:r>
      <w:r w:rsidR="008A0684">
        <w:rPr>
          <w:rFonts w:cs="Arial"/>
        </w:rPr>
        <w:t>which</w:t>
      </w:r>
      <w:r w:rsidR="008A0684" w:rsidRPr="265B958A">
        <w:rPr>
          <w:rFonts w:cs="Arial"/>
        </w:rPr>
        <w:t xml:space="preserve"> </w:t>
      </w:r>
      <w:r w:rsidRPr="265B958A">
        <w:rPr>
          <w:rFonts w:cs="Arial"/>
        </w:rPr>
        <w:t>includes schools with the lowest percentage of SED students</w:t>
      </w:r>
      <w:r w:rsidR="008A0684">
        <w:rPr>
          <w:rFonts w:cs="Arial"/>
        </w:rPr>
        <w:t>,</w:t>
      </w:r>
      <w:r w:rsidRPr="265B958A">
        <w:rPr>
          <w:rFonts w:cs="Arial"/>
        </w:rPr>
        <w:t xml:space="preserve"> has 4.</w:t>
      </w:r>
      <w:r w:rsidR="00AE60B2" w:rsidRPr="265B958A">
        <w:rPr>
          <w:rFonts w:cs="Arial"/>
        </w:rPr>
        <w:t>2</w:t>
      </w:r>
      <w:r w:rsidRPr="265B958A">
        <w:rPr>
          <w:rFonts w:cs="Arial"/>
        </w:rPr>
        <w:t xml:space="preserve"> percent incomplete FTEs, </w:t>
      </w:r>
      <w:r w:rsidR="003D79CD" w:rsidRPr="265B958A">
        <w:rPr>
          <w:rFonts w:cs="Arial"/>
        </w:rPr>
        <w:t>0</w:t>
      </w:r>
      <w:r w:rsidRPr="265B958A">
        <w:rPr>
          <w:rFonts w:cs="Arial"/>
        </w:rPr>
        <w:t xml:space="preserve"> percent unknown FTEs</w:t>
      </w:r>
      <w:r w:rsidR="008A0684">
        <w:rPr>
          <w:rFonts w:cs="Arial"/>
        </w:rPr>
        <w:t>,</w:t>
      </w:r>
      <w:r w:rsidRPr="265B958A">
        <w:rPr>
          <w:rFonts w:cs="Arial"/>
        </w:rPr>
        <w:t xml:space="preserve"> and 0.</w:t>
      </w:r>
      <w:r w:rsidR="00AE60B2" w:rsidRPr="265B958A">
        <w:rPr>
          <w:rFonts w:cs="Arial"/>
        </w:rPr>
        <w:t>2</w:t>
      </w:r>
      <w:r w:rsidRPr="265B958A">
        <w:rPr>
          <w:rFonts w:cs="Arial"/>
        </w:rPr>
        <w:t xml:space="preserve"> percent</w:t>
      </w:r>
      <w:r w:rsidR="00504532" w:rsidRPr="265B958A">
        <w:rPr>
          <w:rFonts w:cs="Arial"/>
        </w:rPr>
        <w:t xml:space="preserve"> </w:t>
      </w:r>
      <w:r w:rsidRPr="265B958A">
        <w:rPr>
          <w:rFonts w:cs="Arial"/>
        </w:rPr>
        <w:t>N/A FTE. Quartile 4</w:t>
      </w:r>
      <w:r w:rsidR="008A0684">
        <w:rPr>
          <w:rFonts w:cs="Arial"/>
        </w:rPr>
        <w:t>,</w:t>
      </w:r>
      <w:r w:rsidRPr="265B958A">
        <w:rPr>
          <w:rFonts w:cs="Arial"/>
        </w:rPr>
        <w:t xml:space="preserve"> with the highest percentage of </w:t>
      </w:r>
      <w:r w:rsidR="00CB549D">
        <w:rPr>
          <w:rFonts w:cs="Arial"/>
        </w:rPr>
        <w:t>SED</w:t>
      </w:r>
      <w:r w:rsidR="00CB549D" w:rsidRPr="265B958A">
        <w:rPr>
          <w:rFonts w:cs="Arial"/>
        </w:rPr>
        <w:t xml:space="preserve"> </w:t>
      </w:r>
      <w:r w:rsidRPr="265B958A">
        <w:rPr>
          <w:rFonts w:cs="Arial"/>
        </w:rPr>
        <w:t>students</w:t>
      </w:r>
      <w:r w:rsidR="008A0684">
        <w:rPr>
          <w:rFonts w:cs="Arial"/>
        </w:rPr>
        <w:t>,</w:t>
      </w:r>
      <w:r w:rsidRPr="265B958A">
        <w:rPr>
          <w:rFonts w:cs="Arial"/>
        </w:rPr>
        <w:t xml:space="preserve"> has </w:t>
      </w:r>
      <w:r w:rsidR="00AE60B2" w:rsidRPr="265B958A">
        <w:rPr>
          <w:rFonts w:cs="Arial"/>
        </w:rPr>
        <w:t>3.8</w:t>
      </w:r>
      <w:r w:rsidR="00520EDD" w:rsidRPr="265B958A">
        <w:rPr>
          <w:rFonts w:cs="Arial"/>
        </w:rPr>
        <w:t xml:space="preserve"> percent</w:t>
      </w:r>
      <w:r w:rsidRPr="265B958A">
        <w:rPr>
          <w:rFonts w:cs="Arial"/>
        </w:rPr>
        <w:t xml:space="preserve"> incomplete FTEs, </w:t>
      </w:r>
      <w:r w:rsidR="003D79CD" w:rsidRPr="265B958A">
        <w:rPr>
          <w:rFonts w:cs="Arial"/>
        </w:rPr>
        <w:t>0</w:t>
      </w:r>
      <w:r w:rsidRPr="265B958A">
        <w:rPr>
          <w:rFonts w:cs="Arial"/>
        </w:rPr>
        <w:t xml:space="preserve"> percent unknown FTEs, and 0.</w:t>
      </w:r>
      <w:r w:rsidR="00AE60B2" w:rsidRPr="265B958A">
        <w:rPr>
          <w:rFonts w:cs="Arial"/>
        </w:rPr>
        <w:t>3</w:t>
      </w:r>
      <w:r w:rsidRPr="265B958A">
        <w:rPr>
          <w:rFonts w:cs="Arial"/>
        </w:rPr>
        <w:t xml:space="preserve"> percent N/A FTEs.</w:t>
      </w:r>
    </w:p>
    <w:p w14:paraId="213037D0" w14:textId="2F1B093B" w:rsidR="003F50BC" w:rsidRPr="00D26A93" w:rsidRDefault="003F50BC" w:rsidP="000210F9">
      <w:pPr>
        <w:pStyle w:val="Heading3"/>
        <w:spacing w:before="0"/>
        <w:rPr>
          <w:rFonts w:cs="Arial"/>
        </w:rPr>
      </w:pPr>
      <w:r w:rsidRPr="00D26A93">
        <w:rPr>
          <w:rFonts w:cs="Arial"/>
        </w:rPr>
        <w:t>Uses of the Teaching A</w:t>
      </w:r>
      <w:r w:rsidR="007E6302">
        <w:rPr>
          <w:rFonts w:cs="Arial"/>
        </w:rPr>
        <w:t xml:space="preserve">ssignment </w:t>
      </w:r>
      <w:r w:rsidRPr="00D26A93">
        <w:rPr>
          <w:rFonts w:cs="Arial"/>
        </w:rPr>
        <w:t>M</w:t>
      </w:r>
      <w:r w:rsidR="007E6302">
        <w:rPr>
          <w:rFonts w:cs="Arial"/>
        </w:rPr>
        <w:t xml:space="preserve">onitoring </w:t>
      </w:r>
      <w:r w:rsidRPr="00D26A93">
        <w:rPr>
          <w:rFonts w:cs="Arial"/>
        </w:rPr>
        <w:t>O</w:t>
      </w:r>
      <w:r w:rsidR="007E6302">
        <w:rPr>
          <w:rFonts w:cs="Arial"/>
        </w:rPr>
        <w:t>utcome</w:t>
      </w:r>
      <w:r w:rsidRPr="00D26A93">
        <w:rPr>
          <w:rFonts w:cs="Arial"/>
        </w:rPr>
        <w:t xml:space="preserve"> </w:t>
      </w:r>
      <w:r w:rsidR="00F40D3E">
        <w:rPr>
          <w:rFonts w:cs="Arial"/>
        </w:rPr>
        <w:t>D</w:t>
      </w:r>
      <w:r w:rsidRPr="00D26A93">
        <w:rPr>
          <w:rFonts w:cs="Arial"/>
        </w:rPr>
        <w:t>ata</w:t>
      </w:r>
    </w:p>
    <w:p w14:paraId="51D9F4B6" w14:textId="17073DC2" w:rsidR="003F50BC" w:rsidRPr="00D26A93" w:rsidRDefault="003F50BC" w:rsidP="000210F9">
      <w:pPr>
        <w:spacing w:before="240" w:after="240"/>
        <w:rPr>
          <w:rFonts w:cs="Arial"/>
        </w:rPr>
      </w:pPr>
      <w:r w:rsidRPr="00D26A93">
        <w:rPr>
          <w:rFonts w:cs="Arial"/>
        </w:rPr>
        <w:t xml:space="preserve">The Teaching AMO data are now utilized for the following reporting purposes: </w:t>
      </w:r>
      <w:proofErr w:type="spellStart"/>
      <w:r w:rsidRPr="00D26A93">
        <w:rPr>
          <w:rFonts w:cs="Arial"/>
        </w:rPr>
        <w:t>DataQuest</w:t>
      </w:r>
      <w:proofErr w:type="spellEnd"/>
      <w:r w:rsidRPr="00D26A93">
        <w:rPr>
          <w:rFonts w:cs="Arial"/>
        </w:rPr>
        <w:t xml:space="preserve"> reporting, </w:t>
      </w:r>
      <w:proofErr w:type="gramStart"/>
      <w:r w:rsidRPr="00D26A93">
        <w:rPr>
          <w:rFonts w:cs="Arial"/>
        </w:rPr>
        <w:t>the SARC</w:t>
      </w:r>
      <w:proofErr w:type="gramEnd"/>
      <w:r w:rsidRPr="00D26A93">
        <w:rPr>
          <w:rFonts w:cs="Arial"/>
        </w:rPr>
        <w:t xml:space="preserve">, </w:t>
      </w:r>
      <w:r w:rsidR="00CB549D">
        <w:rPr>
          <w:rFonts w:cs="Arial"/>
        </w:rPr>
        <w:t xml:space="preserve">the </w:t>
      </w:r>
      <w:r w:rsidRPr="00D26A93">
        <w:rPr>
          <w:rFonts w:cs="Arial"/>
        </w:rPr>
        <w:t xml:space="preserve">California School Dashboard </w:t>
      </w:r>
      <w:r w:rsidR="00CB549D">
        <w:rPr>
          <w:rFonts w:cs="Arial"/>
        </w:rPr>
        <w:t xml:space="preserve">for </w:t>
      </w:r>
      <w:r w:rsidR="008A0684">
        <w:rPr>
          <w:rFonts w:cs="Arial"/>
        </w:rPr>
        <w:t>Local Control Funding Formula (</w:t>
      </w:r>
      <w:r w:rsidR="00CB549D">
        <w:rPr>
          <w:rFonts w:cs="Arial"/>
        </w:rPr>
        <w:t>LCFF</w:t>
      </w:r>
      <w:r w:rsidR="008A0684">
        <w:rPr>
          <w:rFonts w:cs="Arial"/>
        </w:rPr>
        <w:t>)</w:t>
      </w:r>
      <w:r w:rsidR="00CB549D">
        <w:rPr>
          <w:rFonts w:cs="Arial"/>
        </w:rPr>
        <w:t xml:space="preserve"> </w:t>
      </w:r>
      <w:r w:rsidRPr="00D26A93">
        <w:rPr>
          <w:rFonts w:cs="Arial"/>
        </w:rPr>
        <w:t xml:space="preserve">Priority </w:t>
      </w:r>
      <w:r w:rsidR="00CB549D">
        <w:rPr>
          <w:rFonts w:cs="Arial"/>
        </w:rPr>
        <w:t>1</w:t>
      </w:r>
      <w:r w:rsidRPr="00D26A93">
        <w:rPr>
          <w:rFonts w:cs="Arial"/>
        </w:rPr>
        <w:t xml:space="preserve">, Williams Determinations, Teacher Equity Plan, and federal Teacher Shortage and </w:t>
      </w:r>
      <w:proofErr w:type="spellStart"/>
      <w:r w:rsidRPr="00D26A93">
        <w:rPr>
          <w:rFonts w:cs="Arial"/>
        </w:rPr>
        <w:t>EDFacts</w:t>
      </w:r>
      <w:proofErr w:type="spellEnd"/>
      <w:r w:rsidRPr="00D26A93">
        <w:rPr>
          <w:rFonts w:cs="Arial"/>
        </w:rPr>
        <w:t xml:space="preserve"> reporting.</w:t>
      </w:r>
    </w:p>
    <w:p w14:paraId="318DD544" w14:textId="1D057C3C" w:rsidR="003F50BC" w:rsidRPr="00D26A93" w:rsidRDefault="003F50BC" w:rsidP="000210F9">
      <w:pPr>
        <w:spacing w:before="240" w:after="240"/>
        <w:rPr>
          <w:rFonts w:cs="Arial"/>
          <w:bCs/>
        </w:rPr>
      </w:pPr>
      <w:r w:rsidRPr="00D26A93">
        <w:rPr>
          <w:rFonts w:cs="Arial"/>
        </w:rPr>
        <w:t>In July 202</w:t>
      </w:r>
      <w:r w:rsidR="004478C4">
        <w:rPr>
          <w:rFonts w:cs="Arial"/>
        </w:rPr>
        <w:t>3</w:t>
      </w:r>
      <w:r w:rsidRPr="00D26A93">
        <w:rPr>
          <w:rFonts w:cs="Arial"/>
        </w:rPr>
        <w:t xml:space="preserve">, the SBE approved the 2022–23 SARC template in which </w:t>
      </w:r>
      <w:r w:rsidR="008301B0">
        <w:rPr>
          <w:rFonts w:cs="Arial"/>
        </w:rPr>
        <w:t xml:space="preserve">the </w:t>
      </w:r>
      <w:r w:rsidRPr="00D26A93">
        <w:rPr>
          <w:rFonts w:cs="Arial"/>
        </w:rPr>
        <w:t xml:space="preserve">CDE would </w:t>
      </w:r>
      <w:r w:rsidRPr="00D26A93">
        <w:rPr>
          <w:rFonts w:cs="Arial"/>
        </w:rPr>
        <w:br/>
        <w:t>pre-populate teacher data utilizing Teaching AMO data. These sections of the SARC were previously self-populated by the LEA. Additionally, data labels have been updated to include terms used in</w:t>
      </w:r>
      <w:r w:rsidR="00752250">
        <w:rPr>
          <w:rFonts w:cs="Arial"/>
        </w:rPr>
        <w:t xml:space="preserve"> the</w:t>
      </w:r>
      <w:r w:rsidRPr="00D26A93">
        <w:rPr>
          <w:rFonts w:cs="Arial"/>
        </w:rPr>
        <w:t xml:space="preserve"> ESSA and subsequently in the Teaching AMO data. For example, Table 7 in the 2022–23 SARC template lists: </w:t>
      </w:r>
      <w:r w:rsidRPr="00D26A93">
        <w:rPr>
          <w:rFonts w:eastAsia="Arial" w:cs="Arial"/>
          <w:bCs/>
        </w:rPr>
        <w:t>Teachers Without Credentials and Misassignments (ineffective under</w:t>
      </w:r>
      <w:r w:rsidR="00752250">
        <w:rPr>
          <w:rFonts w:eastAsia="Arial" w:cs="Arial"/>
          <w:bCs/>
        </w:rPr>
        <w:t xml:space="preserve"> the</w:t>
      </w:r>
      <w:r w:rsidRPr="00D26A93">
        <w:rPr>
          <w:rFonts w:eastAsia="Arial" w:cs="Arial"/>
          <w:bCs/>
        </w:rPr>
        <w:t xml:space="preserve"> ESSA) and includes the Teaching AMO categories of </w:t>
      </w:r>
      <w:r w:rsidR="00C86756">
        <w:rPr>
          <w:rFonts w:eastAsia="Arial" w:cs="Arial"/>
          <w:bCs/>
        </w:rPr>
        <w:t>u</w:t>
      </w:r>
      <w:r w:rsidRPr="00D26A93">
        <w:rPr>
          <w:rFonts w:eastAsia="Arial" w:cs="Arial"/>
          <w:bCs/>
        </w:rPr>
        <w:t xml:space="preserve">nknown, </w:t>
      </w:r>
      <w:r w:rsidR="00C86756">
        <w:rPr>
          <w:rFonts w:eastAsia="Arial" w:cs="Arial"/>
          <w:bCs/>
        </w:rPr>
        <w:t>i</w:t>
      </w:r>
      <w:r w:rsidRPr="00D26A93">
        <w:rPr>
          <w:rFonts w:eastAsia="Arial" w:cs="Arial"/>
          <w:bCs/>
        </w:rPr>
        <w:t>ncomplete, and N/A.</w:t>
      </w:r>
    </w:p>
    <w:p w14:paraId="293B61CE" w14:textId="503C8A49" w:rsidR="003F50BC" w:rsidRPr="00D26A93" w:rsidRDefault="003F50BC" w:rsidP="000210F9">
      <w:pPr>
        <w:spacing w:before="240" w:after="240"/>
        <w:rPr>
          <w:rFonts w:cs="Arial"/>
          <w:bCs/>
        </w:rPr>
      </w:pPr>
      <w:r w:rsidRPr="00D26A93">
        <w:rPr>
          <w:rFonts w:cs="Arial"/>
          <w:shd w:val="clear" w:color="auto" w:fill="FFFFFF"/>
        </w:rPr>
        <w:t xml:space="preserve">LEAs are required to address applicable </w:t>
      </w:r>
      <w:r w:rsidR="008A0684">
        <w:rPr>
          <w:rFonts w:cs="Arial"/>
          <w:shd w:val="clear" w:color="auto" w:fill="FFFFFF"/>
        </w:rPr>
        <w:t>LCFF</w:t>
      </w:r>
      <w:r w:rsidRPr="00D26A93">
        <w:rPr>
          <w:rFonts w:cs="Arial"/>
          <w:shd w:val="clear" w:color="auto" w:fill="FFFFFF"/>
        </w:rPr>
        <w:t xml:space="preserve"> state priorities, as well as any local priorities identified by the LEA</w:t>
      </w:r>
      <w:r w:rsidR="00586315">
        <w:rPr>
          <w:rFonts w:cs="Arial"/>
          <w:shd w:val="clear" w:color="auto" w:fill="FFFFFF"/>
        </w:rPr>
        <w:t>s</w:t>
      </w:r>
      <w:r w:rsidRPr="00D26A93">
        <w:rPr>
          <w:rFonts w:cs="Arial"/>
          <w:shd w:val="clear" w:color="auto" w:fill="FFFFFF"/>
        </w:rPr>
        <w:t xml:space="preserve">, in the LCAP. As part of State Priority 1, LEAs must describe the degree to which </w:t>
      </w:r>
      <w:r w:rsidRPr="00D26A93">
        <w:rPr>
          <w:rFonts w:cs="Arial"/>
        </w:rPr>
        <w:t>teachers in the LEA</w:t>
      </w:r>
      <w:r w:rsidR="00586315">
        <w:rPr>
          <w:rFonts w:cs="Arial"/>
        </w:rPr>
        <w:t>s</w:t>
      </w:r>
      <w:r w:rsidRPr="00D26A93">
        <w:rPr>
          <w:rFonts w:cs="Arial"/>
        </w:rPr>
        <w:t xml:space="preserve"> are appropriately assigned and fully credentialed in the subject area and for the students they are teaching.</w:t>
      </w:r>
    </w:p>
    <w:p w14:paraId="4D8BACF5" w14:textId="77777777" w:rsidR="00731782" w:rsidRDefault="003F50BC" w:rsidP="000210F9">
      <w:pPr>
        <w:spacing w:before="240" w:after="240"/>
        <w:rPr>
          <w:rFonts w:cs="Arial"/>
        </w:rPr>
      </w:pPr>
      <w:r w:rsidRPr="677ADCF8">
        <w:rPr>
          <w:rFonts w:cs="Arial"/>
        </w:rPr>
        <w:t xml:space="preserve">In the past, LEAs used locally available data to report this data </w:t>
      </w:r>
      <w:r w:rsidR="008A0684">
        <w:rPr>
          <w:rFonts w:cs="Arial"/>
        </w:rPr>
        <w:t>on</w:t>
      </w:r>
      <w:r w:rsidRPr="677ADCF8">
        <w:rPr>
          <w:rFonts w:cs="Arial"/>
        </w:rPr>
        <w:t xml:space="preserve"> the </w:t>
      </w:r>
      <w:r w:rsidR="005F3769" w:rsidRPr="677ADCF8">
        <w:rPr>
          <w:rFonts w:cs="Arial"/>
        </w:rPr>
        <w:t xml:space="preserve">California School </w:t>
      </w:r>
      <w:r w:rsidR="00F13B12" w:rsidRPr="677ADCF8">
        <w:rPr>
          <w:rFonts w:cs="Arial"/>
        </w:rPr>
        <w:t>D</w:t>
      </w:r>
      <w:r w:rsidRPr="677ADCF8">
        <w:rPr>
          <w:rFonts w:cs="Arial"/>
        </w:rPr>
        <w:t>ashboard using the self-reflective tool.</w:t>
      </w:r>
      <w:r w:rsidR="00605B37" w:rsidRPr="677ADCF8">
        <w:rPr>
          <w:rFonts w:cs="Arial"/>
        </w:rPr>
        <w:t xml:space="preserve"> </w:t>
      </w:r>
      <w:r w:rsidR="00605B37" w:rsidRPr="677ADCF8">
        <w:rPr>
          <w:rFonts w:cs="Arial"/>
          <w:i/>
          <w:iCs/>
        </w:rPr>
        <w:t>EC</w:t>
      </w:r>
      <w:r w:rsidR="00605B37" w:rsidRPr="677ADCF8">
        <w:rPr>
          <w:rFonts w:cs="Arial"/>
        </w:rPr>
        <w:t xml:space="preserve"> Section</w:t>
      </w:r>
      <w:r w:rsidRPr="677ADCF8">
        <w:rPr>
          <w:rFonts w:cs="Arial"/>
        </w:rPr>
        <w:t xml:space="preserve"> 52064.5(e)(2) was amended in 2020 to require the standards for local indicat</w:t>
      </w:r>
      <w:r w:rsidR="4564E60A" w:rsidRPr="677ADCF8">
        <w:rPr>
          <w:rFonts w:cs="Arial"/>
        </w:rPr>
        <w:t>ors</w:t>
      </w:r>
      <w:r w:rsidRPr="677ADCF8">
        <w:rPr>
          <w:rFonts w:cs="Arial"/>
        </w:rPr>
        <w:t xml:space="preserve"> to be based on objective criteria when the CDE collects or has access to reliable school level data. Given that the Teaching AMO data directly addresses this part of Priority 1, starting in </w:t>
      </w:r>
      <w:r w:rsidR="004F4764">
        <w:rPr>
          <w:rFonts w:cs="Arial"/>
        </w:rPr>
        <w:t xml:space="preserve">the </w:t>
      </w:r>
      <w:r w:rsidRPr="677ADCF8">
        <w:rPr>
          <w:rFonts w:cs="Arial"/>
        </w:rPr>
        <w:t>2022–23</w:t>
      </w:r>
      <w:r w:rsidR="004F4764">
        <w:rPr>
          <w:rFonts w:cs="Arial"/>
        </w:rPr>
        <w:t xml:space="preserve"> school year</w:t>
      </w:r>
      <w:r w:rsidRPr="677ADCF8">
        <w:rPr>
          <w:rFonts w:cs="Arial"/>
        </w:rPr>
        <w:t xml:space="preserve">, the Teaching AMO data were directly reported </w:t>
      </w:r>
      <w:r w:rsidR="008A0684">
        <w:rPr>
          <w:rFonts w:cs="Arial"/>
        </w:rPr>
        <w:t>on</w:t>
      </w:r>
      <w:r w:rsidRPr="677ADCF8">
        <w:rPr>
          <w:rFonts w:cs="Arial"/>
        </w:rPr>
        <w:t xml:space="preserve"> the </w:t>
      </w:r>
      <w:r w:rsidR="0017327B" w:rsidRPr="677ADCF8">
        <w:rPr>
          <w:rFonts w:cs="Arial"/>
        </w:rPr>
        <w:t>California School D</w:t>
      </w:r>
      <w:r w:rsidRPr="677ADCF8">
        <w:rPr>
          <w:rFonts w:cs="Arial"/>
        </w:rPr>
        <w:t>ashboard by the CDE. The CDE engaged with statewide educational partners to collect recommendations for objective criteria which were brought to the SBE for approval.</w:t>
      </w:r>
      <w:r w:rsidR="00731782">
        <w:rPr>
          <w:rFonts w:cs="Arial"/>
        </w:rPr>
        <w:t xml:space="preserve"> </w:t>
      </w:r>
    </w:p>
    <w:p w14:paraId="07D4D63A" w14:textId="1AE13A70" w:rsidR="003F50BC" w:rsidRPr="00D26A93" w:rsidRDefault="003F50BC" w:rsidP="000210F9">
      <w:pPr>
        <w:spacing w:before="240" w:after="240"/>
        <w:rPr>
          <w:rFonts w:cs="Arial"/>
          <w:b/>
          <w:bCs/>
        </w:rPr>
      </w:pPr>
      <w:r w:rsidRPr="00D26A93">
        <w:rPr>
          <w:rFonts w:cs="Arial"/>
        </w:rPr>
        <w:t>When it comes to addressing Priority 1 on the LCAP, there is no state</w:t>
      </w:r>
      <w:r w:rsidR="00DF3C1C">
        <w:rPr>
          <w:rFonts w:cs="Arial"/>
        </w:rPr>
        <w:t>-</w:t>
      </w:r>
      <w:r w:rsidRPr="00D26A93">
        <w:rPr>
          <w:rFonts w:cs="Arial"/>
        </w:rPr>
        <w:t xml:space="preserve">required metric for determining how the LEA is making progress related to how their teachers are appropriately assigned and fully credentialed for the courses and students that they teach. It is a local decision for LEAs to determine how to measure and report this progress on the LCAP. </w:t>
      </w:r>
    </w:p>
    <w:p w14:paraId="0B2B32F5" w14:textId="0D0FE57D" w:rsidR="003F50BC" w:rsidRPr="00D26A93" w:rsidRDefault="003F50BC" w:rsidP="000210F9">
      <w:pPr>
        <w:spacing w:before="240" w:after="480"/>
        <w:rPr>
          <w:rFonts w:cs="Arial"/>
          <w:b/>
          <w:bCs/>
        </w:rPr>
      </w:pPr>
      <w:r w:rsidRPr="00D26A93">
        <w:rPr>
          <w:rFonts w:cs="Arial"/>
        </w:rPr>
        <w:t>Each year the CDE reports teacher shortage data to the U</w:t>
      </w:r>
      <w:r w:rsidR="00B738ED">
        <w:rPr>
          <w:rFonts w:cs="Arial"/>
        </w:rPr>
        <w:t>.</w:t>
      </w:r>
      <w:r w:rsidRPr="00D26A93">
        <w:rPr>
          <w:rFonts w:cs="Arial"/>
        </w:rPr>
        <w:t>S</w:t>
      </w:r>
      <w:r w:rsidR="00B738ED">
        <w:rPr>
          <w:rFonts w:cs="Arial"/>
        </w:rPr>
        <w:t>.</w:t>
      </w:r>
      <w:r w:rsidRPr="00D26A93">
        <w:rPr>
          <w:rFonts w:cs="Arial"/>
        </w:rPr>
        <w:t xml:space="preserve"> Department of Education (ED). Prior to the availability of the Teaching AMO</w:t>
      </w:r>
      <w:r w:rsidR="00845781">
        <w:rPr>
          <w:rFonts w:cs="Arial"/>
        </w:rPr>
        <w:t xml:space="preserve"> data</w:t>
      </w:r>
      <w:r w:rsidRPr="00D26A93">
        <w:rPr>
          <w:rFonts w:cs="Arial"/>
        </w:rPr>
        <w:t xml:space="preserve">, the shortage data was self-reported through the California Basic Educational Data System. The </w:t>
      </w:r>
      <w:r w:rsidR="00EA6886">
        <w:rPr>
          <w:rFonts w:cs="Arial"/>
        </w:rPr>
        <w:t>T</w:t>
      </w:r>
      <w:r w:rsidRPr="00D26A93">
        <w:rPr>
          <w:rFonts w:cs="Arial"/>
        </w:rPr>
        <w:t xml:space="preserve">eaching AMO </w:t>
      </w:r>
      <w:r w:rsidRPr="00D26A93">
        <w:rPr>
          <w:rFonts w:cs="Arial"/>
        </w:rPr>
        <w:lastRenderedPageBreak/>
        <w:t xml:space="preserve">data has enabled the CDE to more accurately report shortages according to ED’s definitions. For example, ineffective teachers and those teaching out-of-field are considered a shortage </w:t>
      </w:r>
      <w:r w:rsidR="00ED6477" w:rsidRPr="00D26A93">
        <w:rPr>
          <w:rFonts w:cs="Arial"/>
        </w:rPr>
        <w:t>because</w:t>
      </w:r>
      <w:r w:rsidRPr="00D26A93">
        <w:rPr>
          <w:rFonts w:cs="Arial"/>
        </w:rPr>
        <w:t xml:space="preserve"> an appropriately credentialed teacher could not be hired for that position.</w:t>
      </w:r>
    </w:p>
    <w:p w14:paraId="134EAA36" w14:textId="77777777" w:rsidR="003F50BC" w:rsidRPr="00D26A93" w:rsidRDefault="003F50BC" w:rsidP="000210F9">
      <w:pPr>
        <w:pStyle w:val="Heading3"/>
        <w:spacing w:before="0"/>
        <w:rPr>
          <w:rFonts w:cs="Arial"/>
        </w:rPr>
      </w:pPr>
      <w:r w:rsidRPr="00D26A93">
        <w:rPr>
          <w:rFonts w:cs="Arial"/>
        </w:rPr>
        <w:t>Promoting Equitable Access to Teachers Program</w:t>
      </w:r>
    </w:p>
    <w:p w14:paraId="4BE49EDA" w14:textId="77777777" w:rsidR="003F50BC" w:rsidRPr="00D26A93" w:rsidRDefault="003F50BC" w:rsidP="000210F9">
      <w:pPr>
        <w:shd w:val="clear" w:color="auto" w:fill="FFFFFF" w:themeFill="background1"/>
        <w:spacing w:before="240" w:after="240"/>
        <w:rPr>
          <w:rFonts w:cs="Arial"/>
        </w:rPr>
      </w:pPr>
      <w:r w:rsidRPr="00D26A93">
        <w:rPr>
          <w:rFonts w:cs="Arial"/>
        </w:rPr>
        <w:t xml:space="preserve">The CDE has developed the Promoting Equitable Access to Teachers (PEAT) Program to assist LEAs in identifying and addressing local disparities or equity gaps. A key element of the PEAT Program is a suite of equity tools designed to guide LEAs as they collect and analyze the appropriate data, conduct data analyses to identify potential equity gaps, conduct a root cause analysis and consider various strategies to address disparities, and engage stakeholders in the process. </w:t>
      </w:r>
    </w:p>
    <w:p w14:paraId="1CAEE4BE" w14:textId="390B4C67" w:rsidR="003F50BC" w:rsidRPr="00D26A93" w:rsidRDefault="003F50BC" w:rsidP="000210F9">
      <w:pPr>
        <w:shd w:val="clear" w:color="auto" w:fill="FFFFFF" w:themeFill="background1"/>
        <w:spacing w:before="240" w:after="240"/>
        <w:rPr>
          <w:rFonts w:cs="Arial"/>
        </w:rPr>
      </w:pPr>
      <w:r w:rsidRPr="00D26A93">
        <w:rPr>
          <w:rFonts w:cs="Arial"/>
        </w:rPr>
        <w:t xml:space="preserve">Other PEAT resources address the topics of </w:t>
      </w:r>
      <w:r w:rsidR="00A1645F">
        <w:rPr>
          <w:rFonts w:cs="Arial"/>
        </w:rPr>
        <w:t>teacher</w:t>
      </w:r>
      <w:r w:rsidR="009345D8">
        <w:rPr>
          <w:rFonts w:cs="Arial"/>
        </w:rPr>
        <w:t xml:space="preserve"> </w:t>
      </w:r>
      <w:r w:rsidRPr="00D26A93">
        <w:rPr>
          <w:rFonts w:cs="Arial"/>
        </w:rPr>
        <w:t>retention</w:t>
      </w:r>
      <w:r w:rsidR="009345D8">
        <w:rPr>
          <w:rFonts w:cs="Arial"/>
        </w:rPr>
        <w:t xml:space="preserve"> and </w:t>
      </w:r>
      <w:r w:rsidRPr="00D26A93">
        <w:rPr>
          <w:rFonts w:cs="Arial"/>
        </w:rPr>
        <w:t>recruitment to directly assist LEAs to continuously improve equitable access to teachers. Some of these tools were initially developed to help LEAs successfully complete their LCAP Federal Addend</w:t>
      </w:r>
      <w:r w:rsidR="00285635">
        <w:rPr>
          <w:rFonts w:cs="Arial"/>
        </w:rPr>
        <w:t>a</w:t>
      </w:r>
      <w:r w:rsidRPr="00D26A93">
        <w:rPr>
          <w:rFonts w:cs="Arial"/>
        </w:rPr>
        <w:t xml:space="preserve"> in </w:t>
      </w:r>
      <w:r w:rsidR="001D1DDB">
        <w:rPr>
          <w:rFonts w:cs="Arial"/>
        </w:rPr>
        <w:t xml:space="preserve">the </w:t>
      </w:r>
      <w:r w:rsidRPr="00D26A93">
        <w:rPr>
          <w:rFonts w:cs="Arial"/>
        </w:rPr>
        <w:t>2018–19</w:t>
      </w:r>
      <w:r w:rsidR="001D1DDB">
        <w:rPr>
          <w:rFonts w:cs="Arial"/>
        </w:rPr>
        <w:t xml:space="preserve"> school year</w:t>
      </w:r>
      <w:r w:rsidRPr="00D26A93">
        <w:rPr>
          <w:rFonts w:cs="Arial"/>
        </w:rPr>
        <w:t xml:space="preserve">. Now, these tools serve to assist LEAs and school communities to continue addressing any equity gaps in the years ahead. </w:t>
      </w:r>
    </w:p>
    <w:p w14:paraId="7C8A14CD" w14:textId="317367A3" w:rsidR="003F50BC" w:rsidRPr="00D26A93" w:rsidRDefault="00A1645F" w:rsidP="000210F9">
      <w:pPr>
        <w:shd w:val="clear" w:color="auto" w:fill="FFFFFF" w:themeFill="background1"/>
        <w:spacing w:before="240" w:after="480"/>
        <w:rPr>
          <w:rFonts w:cs="Arial"/>
        </w:rPr>
      </w:pPr>
      <w:r>
        <w:rPr>
          <w:rFonts w:cs="Arial"/>
        </w:rPr>
        <w:t>Resources</w:t>
      </w:r>
      <w:r w:rsidR="00774393">
        <w:rPr>
          <w:rFonts w:cs="Arial"/>
        </w:rPr>
        <w:t xml:space="preserve"> also</w:t>
      </w:r>
      <w:r>
        <w:rPr>
          <w:rFonts w:cs="Arial"/>
        </w:rPr>
        <w:t xml:space="preserve"> include</w:t>
      </w:r>
      <w:r w:rsidR="003F50BC" w:rsidRPr="08E7735C">
        <w:rPr>
          <w:rFonts w:cs="Arial"/>
        </w:rPr>
        <w:t xml:space="preserve"> a set of training videos </w:t>
      </w:r>
      <w:r w:rsidR="00774393">
        <w:rPr>
          <w:rFonts w:cs="Arial"/>
        </w:rPr>
        <w:t xml:space="preserve">to </w:t>
      </w:r>
      <w:r w:rsidR="003F50BC" w:rsidRPr="08E7735C">
        <w:rPr>
          <w:rFonts w:cs="Arial"/>
        </w:rPr>
        <w:t xml:space="preserve">help </w:t>
      </w:r>
      <w:r>
        <w:rPr>
          <w:rFonts w:cs="Arial"/>
        </w:rPr>
        <w:t>LEAs</w:t>
      </w:r>
      <w:r w:rsidRPr="08E7735C">
        <w:rPr>
          <w:rFonts w:cs="Arial"/>
        </w:rPr>
        <w:t xml:space="preserve"> </w:t>
      </w:r>
      <w:r w:rsidR="003F50BC" w:rsidRPr="08E7735C">
        <w:rPr>
          <w:rFonts w:cs="Arial"/>
        </w:rPr>
        <w:t xml:space="preserve">understand and refine their local Teaching AMO data. The videos include an overview of the data </w:t>
      </w:r>
      <w:r w:rsidR="00BA5FFE" w:rsidRPr="08E7735C">
        <w:rPr>
          <w:rFonts w:cs="Arial"/>
        </w:rPr>
        <w:t>and</w:t>
      </w:r>
      <w:r w:rsidR="003F50BC" w:rsidRPr="08E7735C">
        <w:rPr>
          <w:rFonts w:cs="Arial"/>
        </w:rPr>
        <w:t xml:space="preserve"> topics that were chosen from common questions received by </w:t>
      </w:r>
      <w:r w:rsidR="00CD7F0C" w:rsidRPr="08E7735C">
        <w:rPr>
          <w:rFonts w:cs="Arial"/>
        </w:rPr>
        <w:t xml:space="preserve">the </w:t>
      </w:r>
      <w:r w:rsidR="003F50BC" w:rsidRPr="08E7735C">
        <w:rPr>
          <w:rFonts w:cs="Arial"/>
        </w:rPr>
        <w:t>CDE about the data. The tools are available on the CDE</w:t>
      </w:r>
      <w:r w:rsidR="00B13259" w:rsidRPr="08E7735C">
        <w:rPr>
          <w:rFonts w:cs="Arial"/>
        </w:rPr>
        <w:t>’s</w:t>
      </w:r>
      <w:r w:rsidR="003F50BC" w:rsidRPr="08E7735C">
        <w:rPr>
          <w:rFonts w:cs="Arial"/>
        </w:rPr>
        <w:t xml:space="preserve"> PEAT Program web page at </w:t>
      </w:r>
      <w:hyperlink r:id="rId20" w:tooltip="Promoting Equitable Access to Teachers web page">
        <w:r w:rsidR="0067244B" w:rsidRPr="08E7735C">
          <w:rPr>
            <w:rStyle w:val="Hyperlink"/>
            <w:rFonts w:cs="Arial"/>
          </w:rPr>
          <w:t>https://www.cde.ca.gov/ci/pl/peat.asp</w:t>
        </w:r>
      </w:hyperlink>
      <w:r w:rsidR="003F50BC" w:rsidRPr="08E7735C">
        <w:rPr>
          <w:rFonts w:cs="Arial"/>
        </w:rPr>
        <w:t>.</w:t>
      </w:r>
      <w:r w:rsidR="0067244B" w:rsidRPr="08E7735C">
        <w:rPr>
          <w:rFonts w:cs="Arial"/>
        </w:rPr>
        <w:t xml:space="preserve"> </w:t>
      </w:r>
    </w:p>
    <w:p w14:paraId="3D8F4F82" w14:textId="77505859" w:rsidR="00DF4289" w:rsidRPr="00D26A93" w:rsidRDefault="00DF4289" w:rsidP="000210F9">
      <w:pPr>
        <w:pStyle w:val="Heading2"/>
        <w:spacing w:before="0"/>
        <w:rPr>
          <w:lang w:val="en"/>
        </w:rPr>
      </w:pPr>
      <w:r w:rsidRPr="00D26A93">
        <w:rPr>
          <w:lang w:val="en"/>
        </w:rPr>
        <w:t>Attachments</w:t>
      </w:r>
    </w:p>
    <w:p w14:paraId="36E749BF" w14:textId="47C57B97" w:rsidR="002948C1" w:rsidRPr="00DF4289" w:rsidRDefault="00DF4289" w:rsidP="000210F9">
      <w:pPr>
        <w:rPr>
          <w:lang w:val="en"/>
        </w:rPr>
      </w:pPr>
      <w:r w:rsidRPr="00D26A93">
        <w:rPr>
          <w:lang w:val="en"/>
        </w:rPr>
        <w:t>None</w:t>
      </w:r>
      <w:r w:rsidR="00774393">
        <w:rPr>
          <w:lang w:val="en"/>
        </w:rPr>
        <w:t>.</w:t>
      </w:r>
    </w:p>
    <w:sectPr w:rsidR="002948C1" w:rsidRPr="00DF4289" w:rsidSect="003F50BC">
      <w:footerReference w:type="default" r:id="rId21"/>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20F9" w14:textId="77777777" w:rsidR="007F150F" w:rsidRDefault="007F150F" w:rsidP="007544C7">
      <w:r>
        <w:separator/>
      </w:r>
    </w:p>
  </w:endnote>
  <w:endnote w:type="continuationSeparator" w:id="0">
    <w:p w14:paraId="573B2B74" w14:textId="77777777" w:rsidR="007F150F" w:rsidRDefault="007F150F" w:rsidP="0075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D966" w14:textId="77777777" w:rsidR="008E406F" w:rsidRDefault="008E4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65B958A" w14:paraId="4F669BEF" w14:textId="77777777" w:rsidTr="265B958A">
      <w:trPr>
        <w:trHeight w:val="300"/>
      </w:trPr>
      <w:tc>
        <w:tcPr>
          <w:tcW w:w="3120" w:type="dxa"/>
        </w:tcPr>
        <w:p w14:paraId="5F13F592" w14:textId="6B0420C5" w:rsidR="265B958A" w:rsidRDefault="265B958A" w:rsidP="265B958A">
          <w:pPr>
            <w:pStyle w:val="Header"/>
            <w:ind w:left="-115"/>
          </w:pPr>
        </w:p>
      </w:tc>
      <w:tc>
        <w:tcPr>
          <w:tcW w:w="3120" w:type="dxa"/>
        </w:tcPr>
        <w:p w14:paraId="3BA7B016" w14:textId="399C058B" w:rsidR="265B958A" w:rsidRDefault="265B958A" w:rsidP="265B958A">
          <w:pPr>
            <w:pStyle w:val="Header"/>
            <w:jc w:val="center"/>
          </w:pPr>
        </w:p>
      </w:tc>
      <w:tc>
        <w:tcPr>
          <w:tcW w:w="3120" w:type="dxa"/>
        </w:tcPr>
        <w:p w14:paraId="43FBF899" w14:textId="0F105B06" w:rsidR="265B958A" w:rsidRDefault="265B958A" w:rsidP="265B958A">
          <w:pPr>
            <w:pStyle w:val="Header"/>
            <w:ind w:right="-115"/>
            <w:jc w:val="right"/>
          </w:pPr>
        </w:p>
      </w:tc>
    </w:tr>
  </w:tbl>
  <w:p w14:paraId="12ABE3AA" w14:textId="1E9B10C9" w:rsidR="265B958A" w:rsidRDefault="265B958A" w:rsidP="265B9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F144" w14:textId="77777777" w:rsidR="008E406F" w:rsidRDefault="008E40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65B958A" w14:paraId="19DC07E9" w14:textId="77777777" w:rsidTr="265B958A">
      <w:trPr>
        <w:trHeight w:val="300"/>
      </w:trPr>
      <w:tc>
        <w:tcPr>
          <w:tcW w:w="3120" w:type="dxa"/>
        </w:tcPr>
        <w:p w14:paraId="0F19BD89" w14:textId="52F6EBC7" w:rsidR="265B958A" w:rsidRDefault="265B958A" w:rsidP="265B958A">
          <w:pPr>
            <w:pStyle w:val="Header"/>
            <w:ind w:left="-115"/>
          </w:pPr>
        </w:p>
      </w:tc>
      <w:tc>
        <w:tcPr>
          <w:tcW w:w="3120" w:type="dxa"/>
        </w:tcPr>
        <w:p w14:paraId="089A6046" w14:textId="6BBEA91A" w:rsidR="265B958A" w:rsidRDefault="265B958A" w:rsidP="265B958A">
          <w:pPr>
            <w:pStyle w:val="Header"/>
            <w:jc w:val="center"/>
          </w:pPr>
        </w:p>
      </w:tc>
      <w:tc>
        <w:tcPr>
          <w:tcW w:w="3120" w:type="dxa"/>
        </w:tcPr>
        <w:p w14:paraId="6F63F575" w14:textId="377BB7DD" w:rsidR="265B958A" w:rsidRDefault="265B958A" w:rsidP="265B958A">
          <w:pPr>
            <w:pStyle w:val="Header"/>
            <w:ind w:right="-115"/>
            <w:jc w:val="right"/>
          </w:pPr>
        </w:p>
      </w:tc>
    </w:tr>
  </w:tbl>
  <w:p w14:paraId="33F903F7" w14:textId="37EE2BF6" w:rsidR="265B958A" w:rsidRDefault="265B958A" w:rsidP="265B9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9ABB" w14:textId="77777777" w:rsidR="007F150F" w:rsidRDefault="007F150F" w:rsidP="007544C7">
      <w:r>
        <w:separator/>
      </w:r>
    </w:p>
  </w:footnote>
  <w:footnote w:type="continuationSeparator" w:id="0">
    <w:p w14:paraId="082A22EF" w14:textId="77777777" w:rsidR="007F150F" w:rsidRDefault="007F150F" w:rsidP="0075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B768" w14:textId="77777777" w:rsidR="008E406F" w:rsidRDefault="008E4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0E4C07CB" w14:textId="3F33AAE8" w:rsidR="007E1AF0" w:rsidRPr="00B67475" w:rsidRDefault="265B958A" w:rsidP="007E1AF0">
        <w:pPr>
          <w:jc w:val="right"/>
          <w:rPr>
            <w:rFonts w:cs="Arial"/>
          </w:rPr>
        </w:pPr>
        <w:r w:rsidRPr="265B958A">
          <w:rPr>
            <w:rFonts w:cs="Arial"/>
          </w:rPr>
          <w:t>memo-</w:t>
        </w:r>
        <w:r w:rsidR="007E1AF0">
          <w:rPr>
            <w:rFonts w:cs="Arial"/>
          </w:rPr>
          <w:t>best</w:t>
        </w:r>
        <w:r w:rsidRPr="265B958A">
          <w:rPr>
            <w:rFonts w:cs="Arial"/>
          </w:rPr>
          <w:t>-plsd-jun26item</w:t>
        </w:r>
        <w:r w:rsidR="008E406F">
          <w:rPr>
            <w:rFonts w:cs="Arial"/>
          </w:rPr>
          <w:t>01</w:t>
        </w:r>
      </w:p>
      <w:p w14:paraId="01013AF1" w14:textId="1AD85EA6" w:rsidR="00A77250" w:rsidRPr="00A77250" w:rsidRDefault="00A77250" w:rsidP="0095554F">
        <w:pPr>
          <w:pStyle w:val="Header"/>
          <w:spacing w:after="480"/>
          <w:jc w:val="right"/>
        </w:pPr>
        <w:r w:rsidRPr="00A77250">
          <w:t xml:space="preserve">Page </w:t>
        </w:r>
        <w:r w:rsidRPr="00A77250">
          <w:fldChar w:fldCharType="begin"/>
        </w:r>
        <w:r w:rsidRPr="00A77250">
          <w:instrText xml:space="preserve"> PAGE </w:instrText>
        </w:r>
        <w:r w:rsidRPr="00A77250">
          <w:fldChar w:fldCharType="separate"/>
        </w:r>
        <w:r w:rsidRPr="00A77250">
          <w:rPr>
            <w:noProof/>
          </w:rPr>
          <w:t>2</w:t>
        </w:r>
        <w:r w:rsidRPr="00A77250">
          <w:fldChar w:fldCharType="end"/>
        </w:r>
        <w:r w:rsidRPr="00A77250">
          <w:t xml:space="preserve"> of </w:t>
        </w:r>
        <w:r>
          <w:fldChar w:fldCharType="begin"/>
        </w:r>
        <w:r>
          <w:instrText>NUMPAGES</w:instrText>
        </w:r>
        <w:r>
          <w:fldChar w:fldCharType="separate"/>
        </w:r>
        <w:r w:rsidRPr="00A77250">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8CF1" w14:textId="77777777" w:rsidR="008E406F" w:rsidRDefault="008E4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BE9"/>
    <w:multiLevelType w:val="multilevel"/>
    <w:tmpl w:val="260AA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56076"/>
    <w:multiLevelType w:val="hybridMultilevel"/>
    <w:tmpl w:val="AF50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5469A"/>
    <w:multiLevelType w:val="multilevel"/>
    <w:tmpl w:val="6946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9B76D1"/>
    <w:multiLevelType w:val="multilevel"/>
    <w:tmpl w:val="18E0C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197903"/>
    <w:multiLevelType w:val="hybridMultilevel"/>
    <w:tmpl w:val="0878575C"/>
    <w:lvl w:ilvl="0" w:tplc="D39A549A">
      <w:start w:val="1"/>
      <w:numFmt w:val="decimal"/>
      <w:lvlText w:val="%1."/>
      <w:lvlJc w:val="left"/>
      <w:pPr>
        <w:ind w:left="784" w:hanging="360"/>
      </w:pPr>
      <w:rPr>
        <w:b/>
        <w:bCs/>
      </w:rPr>
    </w:lvl>
    <w:lvl w:ilvl="1" w:tplc="9F40CDA4">
      <w:start w:val="1"/>
      <w:numFmt w:val="lowerLetter"/>
      <w:lvlText w:val="%2)"/>
      <w:lvlJc w:val="left"/>
      <w:pPr>
        <w:ind w:left="1504" w:hanging="360"/>
      </w:pPr>
      <w:rPr>
        <w:b w:val="0"/>
        <w:bCs/>
      </w:rPr>
    </w:lvl>
    <w:lvl w:ilvl="2" w:tplc="0409001B">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 w15:restartNumberingAfterBreak="0">
    <w:nsid w:val="7698786E"/>
    <w:multiLevelType w:val="hybridMultilevel"/>
    <w:tmpl w:val="46C6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113126">
    <w:abstractNumId w:val="2"/>
  </w:num>
  <w:num w:numId="2" w16cid:durableId="1755392646">
    <w:abstractNumId w:val="1"/>
  </w:num>
  <w:num w:numId="3" w16cid:durableId="1383335478">
    <w:abstractNumId w:val="5"/>
  </w:num>
  <w:num w:numId="4" w16cid:durableId="116726611">
    <w:abstractNumId w:val="3"/>
  </w:num>
  <w:num w:numId="5" w16cid:durableId="1239095585">
    <w:abstractNumId w:val="0"/>
    <w:lvlOverride w:ilvl="0">
      <w:startOverride w:val="2"/>
    </w:lvlOverride>
  </w:num>
  <w:num w:numId="6" w16cid:durableId="1721663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1527"/>
    <w:rsid w:val="00001E18"/>
    <w:rsid w:val="000037ED"/>
    <w:rsid w:val="00006983"/>
    <w:rsid w:val="00007596"/>
    <w:rsid w:val="00010095"/>
    <w:rsid w:val="00013D3D"/>
    <w:rsid w:val="00017933"/>
    <w:rsid w:val="00020906"/>
    <w:rsid w:val="000210F9"/>
    <w:rsid w:val="0002692A"/>
    <w:rsid w:val="000316BF"/>
    <w:rsid w:val="000427A8"/>
    <w:rsid w:val="00044727"/>
    <w:rsid w:val="0004711E"/>
    <w:rsid w:val="00052A32"/>
    <w:rsid w:val="00053010"/>
    <w:rsid w:val="00053B2A"/>
    <w:rsid w:val="00053F2A"/>
    <w:rsid w:val="00057A96"/>
    <w:rsid w:val="000608A2"/>
    <w:rsid w:val="00063289"/>
    <w:rsid w:val="00064082"/>
    <w:rsid w:val="00064089"/>
    <w:rsid w:val="000654F2"/>
    <w:rsid w:val="00077927"/>
    <w:rsid w:val="00077B9C"/>
    <w:rsid w:val="00080739"/>
    <w:rsid w:val="00083C9F"/>
    <w:rsid w:val="00084017"/>
    <w:rsid w:val="000A2381"/>
    <w:rsid w:val="000A23CE"/>
    <w:rsid w:val="000A2DAC"/>
    <w:rsid w:val="000A722C"/>
    <w:rsid w:val="000B1571"/>
    <w:rsid w:val="000B201F"/>
    <w:rsid w:val="000C139F"/>
    <w:rsid w:val="000C7ECE"/>
    <w:rsid w:val="000D1B8D"/>
    <w:rsid w:val="000D3319"/>
    <w:rsid w:val="000D607F"/>
    <w:rsid w:val="000F71E6"/>
    <w:rsid w:val="00100370"/>
    <w:rsid w:val="001214FC"/>
    <w:rsid w:val="00130FCB"/>
    <w:rsid w:val="00135D85"/>
    <w:rsid w:val="00146B35"/>
    <w:rsid w:val="001615C8"/>
    <w:rsid w:val="0016173B"/>
    <w:rsid w:val="001648E9"/>
    <w:rsid w:val="001670BC"/>
    <w:rsid w:val="0017327B"/>
    <w:rsid w:val="001756FA"/>
    <w:rsid w:val="00180657"/>
    <w:rsid w:val="00184DEF"/>
    <w:rsid w:val="00185A1A"/>
    <w:rsid w:val="00185A89"/>
    <w:rsid w:val="00190652"/>
    <w:rsid w:val="00196D1E"/>
    <w:rsid w:val="001978D9"/>
    <w:rsid w:val="001A010A"/>
    <w:rsid w:val="001A28CE"/>
    <w:rsid w:val="001B5CE2"/>
    <w:rsid w:val="001B7FD1"/>
    <w:rsid w:val="001C26DD"/>
    <w:rsid w:val="001D1DDB"/>
    <w:rsid w:val="001D4A5B"/>
    <w:rsid w:val="001D566E"/>
    <w:rsid w:val="001E1A51"/>
    <w:rsid w:val="001F1D3E"/>
    <w:rsid w:val="001F1FA9"/>
    <w:rsid w:val="001F3281"/>
    <w:rsid w:val="00206061"/>
    <w:rsid w:val="00207010"/>
    <w:rsid w:val="002126A1"/>
    <w:rsid w:val="002172E2"/>
    <w:rsid w:val="00222ADD"/>
    <w:rsid w:val="00234373"/>
    <w:rsid w:val="002408E4"/>
    <w:rsid w:val="00251378"/>
    <w:rsid w:val="00252EAF"/>
    <w:rsid w:val="00254715"/>
    <w:rsid w:val="00264270"/>
    <w:rsid w:val="00266A27"/>
    <w:rsid w:val="002674C7"/>
    <w:rsid w:val="002729BF"/>
    <w:rsid w:val="0028296B"/>
    <w:rsid w:val="00285635"/>
    <w:rsid w:val="00290D2F"/>
    <w:rsid w:val="0029286A"/>
    <w:rsid w:val="002939AC"/>
    <w:rsid w:val="002948C1"/>
    <w:rsid w:val="00297A39"/>
    <w:rsid w:val="002A02B1"/>
    <w:rsid w:val="002A0656"/>
    <w:rsid w:val="002A76C9"/>
    <w:rsid w:val="002A786F"/>
    <w:rsid w:val="002B0BC8"/>
    <w:rsid w:val="002D7EFA"/>
    <w:rsid w:val="002E0B48"/>
    <w:rsid w:val="002E6D9D"/>
    <w:rsid w:val="002F37CD"/>
    <w:rsid w:val="002F4F6A"/>
    <w:rsid w:val="00302797"/>
    <w:rsid w:val="00303695"/>
    <w:rsid w:val="0030459D"/>
    <w:rsid w:val="00304796"/>
    <w:rsid w:val="00306AE7"/>
    <w:rsid w:val="00321D49"/>
    <w:rsid w:val="00322080"/>
    <w:rsid w:val="00322991"/>
    <w:rsid w:val="00322C00"/>
    <w:rsid w:val="003246C4"/>
    <w:rsid w:val="00325EAA"/>
    <w:rsid w:val="00327AE5"/>
    <w:rsid w:val="00331119"/>
    <w:rsid w:val="0033616F"/>
    <w:rsid w:val="00345287"/>
    <w:rsid w:val="00350578"/>
    <w:rsid w:val="00352E35"/>
    <w:rsid w:val="00355B4D"/>
    <w:rsid w:val="00364C1F"/>
    <w:rsid w:val="00367AF1"/>
    <w:rsid w:val="00382080"/>
    <w:rsid w:val="00392B84"/>
    <w:rsid w:val="003A0C92"/>
    <w:rsid w:val="003B0D17"/>
    <w:rsid w:val="003B3EEC"/>
    <w:rsid w:val="003C41D6"/>
    <w:rsid w:val="003D5103"/>
    <w:rsid w:val="003D62BD"/>
    <w:rsid w:val="003D726F"/>
    <w:rsid w:val="003D79CD"/>
    <w:rsid w:val="003E12F5"/>
    <w:rsid w:val="003E330F"/>
    <w:rsid w:val="003E3B94"/>
    <w:rsid w:val="003E3FC4"/>
    <w:rsid w:val="003E580F"/>
    <w:rsid w:val="003F1D42"/>
    <w:rsid w:val="003F50BC"/>
    <w:rsid w:val="004024FB"/>
    <w:rsid w:val="004040E2"/>
    <w:rsid w:val="0040732D"/>
    <w:rsid w:val="00423217"/>
    <w:rsid w:val="004239B8"/>
    <w:rsid w:val="00425FEB"/>
    <w:rsid w:val="00427220"/>
    <w:rsid w:val="0043221A"/>
    <w:rsid w:val="00432756"/>
    <w:rsid w:val="00433BA8"/>
    <w:rsid w:val="00441546"/>
    <w:rsid w:val="00446738"/>
    <w:rsid w:val="004478C4"/>
    <w:rsid w:val="0045496F"/>
    <w:rsid w:val="004569BA"/>
    <w:rsid w:val="00461DC5"/>
    <w:rsid w:val="0046661A"/>
    <w:rsid w:val="004667D1"/>
    <w:rsid w:val="00467422"/>
    <w:rsid w:val="00467C66"/>
    <w:rsid w:val="004701C5"/>
    <w:rsid w:val="004721F3"/>
    <w:rsid w:val="00473ED6"/>
    <w:rsid w:val="00474A2F"/>
    <w:rsid w:val="00483C74"/>
    <w:rsid w:val="00483FEF"/>
    <w:rsid w:val="004A1D87"/>
    <w:rsid w:val="004A2722"/>
    <w:rsid w:val="004A2C85"/>
    <w:rsid w:val="004A774C"/>
    <w:rsid w:val="004C12BA"/>
    <w:rsid w:val="004D012B"/>
    <w:rsid w:val="004D6C18"/>
    <w:rsid w:val="004E121C"/>
    <w:rsid w:val="004E4DB7"/>
    <w:rsid w:val="004E78DF"/>
    <w:rsid w:val="004F344A"/>
    <w:rsid w:val="004F4764"/>
    <w:rsid w:val="004F7F02"/>
    <w:rsid w:val="00504532"/>
    <w:rsid w:val="00507427"/>
    <w:rsid w:val="00513463"/>
    <w:rsid w:val="0051479B"/>
    <w:rsid w:val="00515507"/>
    <w:rsid w:val="00516C90"/>
    <w:rsid w:val="00520EDD"/>
    <w:rsid w:val="0052263E"/>
    <w:rsid w:val="005301DC"/>
    <w:rsid w:val="00531079"/>
    <w:rsid w:val="00541B62"/>
    <w:rsid w:val="00541B6C"/>
    <w:rsid w:val="005431FC"/>
    <w:rsid w:val="0054334A"/>
    <w:rsid w:val="00544C8E"/>
    <w:rsid w:val="00545EDF"/>
    <w:rsid w:val="00551D70"/>
    <w:rsid w:val="00562218"/>
    <w:rsid w:val="005663EE"/>
    <w:rsid w:val="00566EA0"/>
    <w:rsid w:val="0056743E"/>
    <w:rsid w:val="0058081F"/>
    <w:rsid w:val="00582472"/>
    <w:rsid w:val="00586315"/>
    <w:rsid w:val="0058667B"/>
    <w:rsid w:val="00587E12"/>
    <w:rsid w:val="00590DC0"/>
    <w:rsid w:val="00596B57"/>
    <w:rsid w:val="00597CBE"/>
    <w:rsid w:val="005A0983"/>
    <w:rsid w:val="005A1B3B"/>
    <w:rsid w:val="005A5505"/>
    <w:rsid w:val="005A77A9"/>
    <w:rsid w:val="005B1068"/>
    <w:rsid w:val="005B1325"/>
    <w:rsid w:val="005B65D4"/>
    <w:rsid w:val="005C6E29"/>
    <w:rsid w:val="005D600A"/>
    <w:rsid w:val="005E1827"/>
    <w:rsid w:val="005E5348"/>
    <w:rsid w:val="005F20A0"/>
    <w:rsid w:val="005F3769"/>
    <w:rsid w:val="005F7E10"/>
    <w:rsid w:val="00603CE1"/>
    <w:rsid w:val="00604CA5"/>
    <w:rsid w:val="00605B37"/>
    <w:rsid w:val="00606C11"/>
    <w:rsid w:val="006327B4"/>
    <w:rsid w:val="006332BB"/>
    <w:rsid w:val="0063705C"/>
    <w:rsid w:val="00640F19"/>
    <w:rsid w:val="00641260"/>
    <w:rsid w:val="006429FC"/>
    <w:rsid w:val="00642CE1"/>
    <w:rsid w:val="00643C46"/>
    <w:rsid w:val="0065120F"/>
    <w:rsid w:val="006545EF"/>
    <w:rsid w:val="006546F0"/>
    <w:rsid w:val="00656F97"/>
    <w:rsid w:val="00661194"/>
    <w:rsid w:val="00664D14"/>
    <w:rsid w:val="006651A4"/>
    <w:rsid w:val="00667011"/>
    <w:rsid w:val="00667D3D"/>
    <w:rsid w:val="006702DD"/>
    <w:rsid w:val="0067244B"/>
    <w:rsid w:val="00673B74"/>
    <w:rsid w:val="00681207"/>
    <w:rsid w:val="00681384"/>
    <w:rsid w:val="0068256A"/>
    <w:rsid w:val="0068268C"/>
    <w:rsid w:val="0069027D"/>
    <w:rsid w:val="0069600A"/>
    <w:rsid w:val="006A2178"/>
    <w:rsid w:val="006B2378"/>
    <w:rsid w:val="006D18CA"/>
    <w:rsid w:val="006E3D9C"/>
    <w:rsid w:val="006E5D37"/>
    <w:rsid w:val="006F49D2"/>
    <w:rsid w:val="00705B7B"/>
    <w:rsid w:val="00713E7E"/>
    <w:rsid w:val="00714F2E"/>
    <w:rsid w:val="0071536B"/>
    <w:rsid w:val="00721074"/>
    <w:rsid w:val="00723938"/>
    <w:rsid w:val="00731782"/>
    <w:rsid w:val="00737FB4"/>
    <w:rsid w:val="00740331"/>
    <w:rsid w:val="007409C1"/>
    <w:rsid w:val="00740AC4"/>
    <w:rsid w:val="00747119"/>
    <w:rsid w:val="00752250"/>
    <w:rsid w:val="00753A64"/>
    <w:rsid w:val="007544C7"/>
    <w:rsid w:val="00755824"/>
    <w:rsid w:val="00756A2F"/>
    <w:rsid w:val="00773179"/>
    <w:rsid w:val="00774393"/>
    <w:rsid w:val="00776ACE"/>
    <w:rsid w:val="00780FFC"/>
    <w:rsid w:val="00792670"/>
    <w:rsid w:val="00793A9D"/>
    <w:rsid w:val="007A0E35"/>
    <w:rsid w:val="007A2653"/>
    <w:rsid w:val="007A5D73"/>
    <w:rsid w:val="007A77EB"/>
    <w:rsid w:val="007B2AEE"/>
    <w:rsid w:val="007C0CA7"/>
    <w:rsid w:val="007C79E3"/>
    <w:rsid w:val="007D4E4A"/>
    <w:rsid w:val="007D5F5A"/>
    <w:rsid w:val="007E1AF0"/>
    <w:rsid w:val="007E4674"/>
    <w:rsid w:val="007E50D9"/>
    <w:rsid w:val="007E6302"/>
    <w:rsid w:val="007F1383"/>
    <w:rsid w:val="007F150F"/>
    <w:rsid w:val="007F5911"/>
    <w:rsid w:val="007F5D47"/>
    <w:rsid w:val="007F61D9"/>
    <w:rsid w:val="00805537"/>
    <w:rsid w:val="008213F2"/>
    <w:rsid w:val="00823D13"/>
    <w:rsid w:val="008301B0"/>
    <w:rsid w:val="00830A69"/>
    <w:rsid w:val="0083175B"/>
    <w:rsid w:val="00837DF1"/>
    <w:rsid w:val="0084077D"/>
    <w:rsid w:val="00840D7C"/>
    <w:rsid w:val="00841A9F"/>
    <w:rsid w:val="008455E4"/>
    <w:rsid w:val="00845781"/>
    <w:rsid w:val="008479CC"/>
    <w:rsid w:val="00847AC6"/>
    <w:rsid w:val="00866A3E"/>
    <w:rsid w:val="00887A37"/>
    <w:rsid w:val="00891160"/>
    <w:rsid w:val="0089261F"/>
    <w:rsid w:val="00892DF0"/>
    <w:rsid w:val="008942E6"/>
    <w:rsid w:val="008943BD"/>
    <w:rsid w:val="0089468E"/>
    <w:rsid w:val="008A0684"/>
    <w:rsid w:val="008A0D79"/>
    <w:rsid w:val="008A1D6C"/>
    <w:rsid w:val="008A2710"/>
    <w:rsid w:val="008A2918"/>
    <w:rsid w:val="008A3AD7"/>
    <w:rsid w:val="008A40D7"/>
    <w:rsid w:val="008B1135"/>
    <w:rsid w:val="008B530C"/>
    <w:rsid w:val="008C664A"/>
    <w:rsid w:val="008D2B05"/>
    <w:rsid w:val="008D329B"/>
    <w:rsid w:val="008D3F93"/>
    <w:rsid w:val="008E406F"/>
    <w:rsid w:val="008E70B0"/>
    <w:rsid w:val="008F6CA0"/>
    <w:rsid w:val="008F7210"/>
    <w:rsid w:val="00906F91"/>
    <w:rsid w:val="00910657"/>
    <w:rsid w:val="00910FB8"/>
    <w:rsid w:val="00915031"/>
    <w:rsid w:val="009167A9"/>
    <w:rsid w:val="00917968"/>
    <w:rsid w:val="00932B8A"/>
    <w:rsid w:val="009345D8"/>
    <w:rsid w:val="00944145"/>
    <w:rsid w:val="00953DF4"/>
    <w:rsid w:val="0095554F"/>
    <w:rsid w:val="00962F4F"/>
    <w:rsid w:val="00963290"/>
    <w:rsid w:val="00982A10"/>
    <w:rsid w:val="00983562"/>
    <w:rsid w:val="009869D9"/>
    <w:rsid w:val="00996D48"/>
    <w:rsid w:val="009B4111"/>
    <w:rsid w:val="009B4185"/>
    <w:rsid w:val="009B6CC8"/>
    <w:rsid w:val="009B70C4"/>
    <w:rsid w:val="009C0C1F"/>
    <w:rsid w:val="009D04EA"/>
    <w:rsid w:val="009D0BDE"/>
    <w:rsid w:val="009D6CA8"/>
    <w:rsid w:val="009D79AE"/>
    <w:rsid w:val="009E17BD"/>
    <w:rsid w:val="009E1A03"/>
    <w:rsid w:val="009F264D"/>
    <w:rsid w:val="009F355C"/>
    <w:rsid w:val="009F4B31"/>
    <w:rsid w:val="00A0344B"/>
    <w:rsid w:val="00A11875"/>
    <w:rsid w:val="00A1645F"/>
    <w:rsid w:val="00A20515"/>
    <w:rsid w:val="00A25109"/>
    <w:rsid w:val="00A30A3C"/>
    <w:rsid w:val="00A30B08"/>
    <w:rsid w:val="00A30DCB"/>
    <w:rsid w:val="00A3163F"/>
    <w:rsid w:val="00A334ED"/>
    <w:rsid w:val="00A35C73"/>
    <w:rsid w:val="00A5208B"/>
    <w:rsid w:val="00A547DD"/>
    <w:rsid w:val="00A570AE"/>
    <w:rsid w:val="00A77250"/>
    <w:rsid w:val="00A82534"/>
    <w:rsid w:val="00A93C97"/>
    <w:rsid w:val="00AA22AE"/>
    <w:rsid w:val="00AA2E2D"/>
    <w:rsid w:val="00AB41DF"/>
    <w:rsid w:val="00AB4C92"/>
    <w:rsid w:val="00AB5C40"/>
    <w:rsid w:val="00AB77E9"/>
    <w:rsid w:val="00AC18C9"/>
    <w:rsid w:val="00AD5660"/>
    <w:rsid w:val="00AE60B2"/>
    <w:rsid w:val="00AF029B"/>
    <w:rsid w:val="00AF0869"/>
    <w:rsid w:val="00AF4017"/>
    <w:rsid w:val="00B11A0C"/>
    <w:rsid w:val="00B13259"/>
    <w:rsid w:val="00B17237"/>
    <w:rsid w:val="00B204ED"/>
    <w:rsid w:val="00B214DF"/>
    <w:rsid w:val="00B21766"/>
    <w:rsid w:val="00B25530"/>
    <w:rsid w:val="00B273CC"/>
    <w:rsid w:val="00B305B8"/>
    <w:rsid w:val="00B37077"/>
    <w:rsid w:val="00B4434F"/>
    <w:rsid w:val="00B62D75"/>
    <w:rsid w:val="00B642BD"/>
    <w:rsid w:val="00B649CA"/>
    <w:rsid w:val="00B67475"/>
    <w:rsid w:val="00B738ED"/>
    <w:rsid w:val="00B762B0"/>
    <w:rsid w:val="00B818C1"/>
    <w:rsid w:val="00B85869"/>
    <w:rsid w:val="00B9002E"/>
    <w:rsid w:val="00B9207C"/>
    <w:rsid w:val="00B92324"/>
    <w:rsid w:val="00B950BA"/>
    <w:rsid w:val="00BA4FEE"/>
    <w:rsid w:val="00BA59AE"/>
    <w:rsid w:val="00BA5FFE"/>
    <w:rsid w:val="00BB0BCF"/>
    <w:rsid w:val="00BB669C"/>
    <w:rsid w:val="00BB7D5A"/>
    <w:rsid w:val="00BC03B9"/>
    <w:rsid w:val="00BC2C3F"/>
    <w:rsid w:val="00BC3667"/>
    <w:rsid w:val="00BC376B"/>
    <w:rsid w:val="00BD5778"/>
    <w:rsid w:val="00BD6269"/>
    <w:rsid w:val="00BD639B"/>
    <w:rsid w:val="00BE5905"/>
    <w:rsid w:val="00BE59C4"/>
    <w:rsid w:val="00BE6C9E"/>
    <w:rsid w:val="00BE714D"/>
    <w:rsid w:val="00BF7F32"/>
    <w:rsid w:val="00C0428F"/>
    <w:rsid w:val="00C06691"/>
    <w:rsid w:val="00C11B68"/>
    <w:rsid w:val="00C14098"/>
    <w:rsid w:val="00C245C4"/>
    <w:rsid w:val="00C31651"/>
    <w:rsid w:val="00C343E3"/>
    <w:rsid w:val="00C369DD"/>
    <w:rsid w:val="00C420BB"/>
    <w:rsid w:val="00C50F16"/>
    <w:rsid w:val="00C5400D"/>
    <w:rsid w:val="00C60CE7"/>
    <w:rsid w:val="00C61F78"/>
    <w:rsid w:val="00C71721"/>
    <w:rsid w:val="00C819B9"/>
    <w:rsid w:val="00C86756"/>
    <w:rsid w:val="00C944EE"/>
    <w:rsid w:val="00C945B6"/>
    <w:rsid w:val="00CA2238"/>
    <w:rsid w:val="00CA2751"/>
    <w:rsid w:val="00CA7E41"/>
    <w:rsid w:val="00CB1491"/>
    <w:rsid w:val="00CB23E8"/>
    <w:rsid w:val="00CB252F"/>
    <w:rsid w:val="00CB549D"/>
    <w:rsid w:val="00CC5474"/>
    <w:rsid w:val="00CC6C6E"/>
    <w:rsid w:val="00CD3406"/>
    <w:rsid w:val="00CD3AAA"/>
    <w:rsid w:val="00CD4545"/>
    <w:rsid w:val="00CD70E5"/>
    <w:rsid w:val="00CD736A"/>
    <w:rsid w:val="00CD776E"/>
    <w:rsid w:val="00CD7F0C"/>
    <w:rsid w:val="00CE1403"/>
    <w:rsid w:val="00CE1AE9"/>
    <w:rsid w:val="00CE2412"/>
    <w:rsid w:val="00CE4FA3"/>
    <w:rsid w:val="00CF0519"/>
    <w:rsid w:val="00CF3644"/>
    <w:rsid w:val="00D012E2"/>
    <w:rsid w:val="00D02AD1"/>
    <w:rsid w:val="00D07579"/>
    <w:rsid w:val="00D16F20"/>
    <w:rsid w:val="00D204CC"/>
    <w:rsid w:val="00D26A93"/>
    <w:rsid w:val="00D35ADA"/>
    <w:rsid w:val="00D37F05"/>
    <w:rsid w:val="00D41BAD"/>
    <w:rsid w:val="00D41E0A"/>
    <w:rsid w:val="00D5184B"/>
    <w:rsid w:val="00D52BD7"/>
    <w:rsid w:val="00D569B3"/>
    <w:rsid w:val="00D81D92"/>
    <w:rsid w:val="00D81E7D"/>
    <w:rsid w:val="00D96184"/>
    <w:rsid w:val="00D9769A"/>
    <w:rsid w:val="00DA1B7E"/>
    <w:rsid w:val="00DA302B"/>
    <w:rsid w:val="00DA3E3F"/>
    <w:rsid w:val="00DB12E0"/>
    <w:rsid w:val="00DB3765"/>
    <w:rsid w:val="00DB4485"/>
    <w:rsid w:val="00DB48D9"/>
    <w:rsid w:val="00DB48EE"/>
    <w:rsid w:val="00DC5FAA"/>
    <w:rsid w:val="00DE0002"/>
    <w:rsid w:val="00DE1408"/>
    <w:rsid w:val="00DE36A5"/>
    <w:rsid w:val="00DE3948"/>
    <w:rsid w:val="00DE764A"/>
    <w:rsid w:val="00DF00A6"/>
    <w:rsid w:val="00DF2071"/>
    <w:rsid w:val="00DF21E3"/>
    <w:rsid w:val="00DF3C1C"/>
    <w:rsid w:val="00DF4289"/>
    <w:rsid w:val="00E020E9"/>
    <w:rsid w:val="00E04C9E"/>
    <w:rsid w:val="00E32FDC"/>
    <w:rsid w:val="00E35D44"/>
    <w:rsid w:val="00E44AF3"/>
    <w:rsid w:val="00E47562"/>
    <w:rsid w:val="00E54AEA"/>
    <w:rsid w:val="00E64D91"/>
    <w:rsid w:val="00E72261"/>
    <w:rsid w:val="00E742BD"/>
    <w:rsid w:val="00E76873"/>
    <w:rsid w:val="00E87E08"/>
    <w:rsid w:val="00E9466D"/>
    <w:rsid w:val="00E94A03"/>
    <w:rsid w:val="00EA184C"/>
    <w:rsid w:val="00EA1F43"/>
    <w:rsid w:val="00EA1FCB"/>
    <w:rsid w:val="00EA31DB"/>
    <w:rsid w:val="00EA56DF"/>
    <w:rsid w:val="00EA6886"/>
    <w:rsid w:val="00EB00B0"/>
    <w:rsid w:val="00EB6D1D"/>
    <w:rsid w:val="00EC3FF1"/>
    <w:rsid w:val="00EC488D"/>
    <w:rsid w:val="00ED4FA4"/>
    <w:rsid w:val="00ED5232"/>
    <w:rsid w:val="00ED6477"/>
    <w:rsid w:val="00EE23B9"/>
    <w:rsid w:val="00EF16D4"/>
    <w:rsid w:val="00EF6352"/>
    <w:rsid w:val="00F005FB"/>
    <w:rsid w:val="00F06887"/>
    <w:rsid w:val="00F13B12"/>
    <w:rsid w:val="00F2242C"/>
    <w:rsid w:val="00F236F2"/>
    <w:rsid w:val="00F37CA7"/>
    <w:rsid w:val="00F40D3E"/>
    <w:rsid w:val="00F52B4B"/>
    <w:rsid w:val="00F6659D"/>
    <w:rsid w:val="00F86D28"/>
    <w:rsid w:val="00F87BE5"/>
    <w:rsid w:val="00F90F3A"/>
    <w:rsid w:val="00F92362"/>
    <w:rsid w:val="00F96C93"/>
    <w:rsid w:val="00FA5B62"/>
    <w:rsid w:val="00FA61BD"/>
    <w:rsid w:val="00FB115E"/>
    <w:rsid w:val="00FB6E44"/>
    <w:rsid w:val="00FC3EE1"/>
    <w:rsid w:val="00FC44D9"/>
    <w:rsid w:val="00FC4B71"/>
    <w:rsid w:val="00FC746A"/>
    <w:rsid w:val="00FD4238"/>
    <w:rsid w:val="00FE2882"/>
    <w:rsid w:val="00FF21B3"/>
    <w:rsid w:val="00FF420C"/>
    <w:rsid w:val="03B52BED"/>
    <w:rsid w:val="0593E802"/>
    <w:rsid w:val="08E7735C"/>
    <w:rsid w:val="08F71308"/>
    <w:rsid w:val="09E13A94"/>
    <w:rsid w:val="0A64D141"/>
    <w:rsid w:val="0AD379DB"/>
    <w:rsid w:val="0EEF7FE6"/>
    <w:rsid w:val="1184ED97"/>
    <w:rsid w:val="1268EE65"/>
    <w:rsid w:val="14587593"/>
    <w:rsid w:val="149817B7"/>
    <w:rsid w:val="157CCA07"/>
    <w:rsid w:val="157F539A"/>
    <w:rsid w:val="15AE7D07"/>
    <w:rsid w:val="16BD6D85"/>
    <w:rsid w:val="17510D84"/>
    <w:rsid w:val="1DA44182"/>
    <w:rsid w:val="20222974"/>
    <w:rsid w:val="22A203C4"/>
    <w:rsid w:val="24D5782C"/>
    <w:rsid w:val="25537345"/>
    <w:rsid w:val="263CB4C7"/>
    <w:rsid w:val="265B958A"/>
    <w:rsid w:val="2675681F"/>
    <w:rsid w:val="26E61E92"/>
    <w:rsid w:val="270E32AF"/>
    <w:rsid w:val="2B6D5401"/>
    <w:rsid w:val="2C2AAAEC"/>
    <w:rsid w:val="2C65C760"/>
    <w:rsid w:val="3586B857"/>
    <w:rsid w:val="38E74751"/>
    <w:rsid w:val="3BDCD03C"/>
    <w:rsid w:val="3E85B5F5"/>
    <w:rsid w:val="3FA2D0B4"/>
    <w:rsid w:val="3FB580A1"/>
    <w:rsid w:val="4057E563"/>
    <w:rsid w:val="415EDE81"/>
    <w:rsid w:val="44C76210"/>
    <w:rsid w:val="4564E60A"/>
    <w:rsid w:val="45F65803"/>
    <w:rsid w:val="46A2BB53"/>
    <w:rsid w:val="4708F0DF"/>
    <w:rsid w:val="47482CA1"/>
    <w:rsid w:val="494C62BF"/>
    <w:rsid w:val="4967512A"/>
    <w:rsid w:val="4B311418"/>
    <w:rsid w:val="513F7AB3"/>
    <w:rsid w:val="519E5918"/>
    <w:rsid w:val="52508F58"/>
    <w:rsid w:val="536E52C8"/>
    <w:rsid w:val="53CF9120"/>
    <w:rsid w:val="5542AF9D"/>
    <w:rsid w:val="57C27E2E"/>
    <w:rsid w:val="581076D7"/>
    <w:rsid w:val="58259A20"/>
    <w:rsid w:val="58351C71"/>
    <w:rsid w:val="58A1574E"/>
    <w:rsid w:val="5B8B9E9A"/>
    <w:rsid w:val="5BB704DB"/>
    <w:rsid w:val="5C5D2479"/>
    <w:rsid w:val="5D366F9F"/>
    <w:rsid w:val="5EBDD775"/>
    <w:rsid w:val="60CB8F24"/>
    <w:rsid w:val="65598704"/>
    <w:rsid w:val="66443749"/>
    <w:rsid w:val="665F0E89"/>
    <w:rsid w:val="677ADCF8"/>
    <w:rsid w:val="6C2815E9"/>
    <w:rsid w:val="6CE615BB"/>
    <w:rsid w:val="70A844E7"/>
    <w:rsid w:val="71C763D2"/>
    <w:rsid w:val="764ACEA6"/>
    <w:rsid w:val="7813A5F6"/>
    <w:rsid w:val="7B7595D2"/>
    <w:rsid w:val="7CC2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BC39"/>
  <w15:chartTrackingRefBased/>
  <w15:docId w15:val="{B866440A-D8C5-48BC-9704-78B1B86E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544C7"/>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B67475"/>
    <w:pPr>
      <w:keepNext/>
      <w:keepLines/>
      <w:spacing w:before="240" w:after="24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B67475"/>
    <w:pPr>
      <w:keepNext/>
      <w:keepLines/>
      <w:spacing w:before="240" w:after="240"/>
      <w:outlineLvl w:val="2"/>
    </w:pPr>
    <w:rPr>
      <w:rFonts w:eastAsiaTheme="majorEastAsia" w:cstheme="majorBidi"/>
      <w:b/>
      <w:sz w:val="32"/>
    </w:rPr>
  </w:style>
  <w:style w:type="paragraph" w:styleId="Heading4">
    <w:name w:val="heading 4"/>
    <w:basedOn w:val="Normal"/>
    <w:next w:val="Normal"/>
    <w:link w:val="Heading4Char"/>
    <w:uiPriority w:val="9"/>
    <w:unhideWhenUsed/>
    <w:qFormat/>
    <w:rsid w:val="002A0656"/>
    <w:pPr>
      <w:keepNext/>
      <w:keepLines/>
      <w:spacing w:before="240" w:after="240"/>
      <w:outlineLvl w:val="3"/>
    </w:pPr>
    <w:rPr>
      <w:rFonts w:cs="Arial"/>
      <w:b/>
      <w:bCs/>
      <w:iCs/>
      <w:szCs w:val="22"/>
    </w:rPr>
  </w:style>
  <w:style w:type="paragraph" w:styleId="Heading5">
    <w:name w:val="heading 5"/>
    <w:basedOn w:val="Normal"/>
    <w:next w:val="Normal"/>
    <w:link w:val="Heading5Char"/>
    <w:uiPriority w:val="9"/>
    <w:unhideWhenUsed/>
    <w:qFormat/>
    <w:rsid w:val="00C1409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B67475"/>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7544C7"/>
    <w:rPr>
      <w:rFonts w:ascii="Arial" w:eastAsiaTheme="majorEastAsia" w:hAnsi="Arial" w:cstheme="majorBidi"/>
      <w:b/>
      <w:sz w:val="40"/>
      <w:szCs w:val="32"/>
    </w:rPr>
  </w:style>
  <w:style w:type="character" w:customStyle="1" w:styleId="Heading3Char">
    <w:name w:val="Heading 3 Char"/>
    <w:basedOn w:val="DefaultParagraphFont"/>
    <w:link w:val="Heading3"/>
    <w:uiPriority w:val="9"/>
    <w:rsid w:val="00B67475"/>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2A0656"/>
    <w:rPr>
      <w:rFonts w:ascii="Arial" w:eastAsia="Times New Roman" w:hAnsi="Arial" w:cs="Arial"/>
      <w:b/>
      <w:bCs/>
      <w:iCs/>
      <w:sz w:val="24"/>
    </w:rPr>
  </w:style>
  <w:style w:type="character" w:customStyle="1" w:styleId="Heading5Char">
    <w:name w:val="Heading 5 Char"/>
    <w:basedOn w:val="DefaultParagraphFont"/>
    <w:link w:val="Heading5"/>
    <w:uiPriority w:val="9"/>
    <w:rsid w:val="00C14098"/>
    <w:rPr>
      <w:rFonts w:asciiTheme="majorHAnsi" w:eastAsiaTheme="majorEastAsia" w:hAnsiTheme="majorHAnsi" w:cstheme="majorBidi"/>
      <w:color w:val="2E74B5" w:themeColor="accent1" w:themeShade="BF"/>
      <w:sz w:val="24"/>
      <w:szCs w:val="24"/>
    </w:rPr>
  </w:style>
  <w:style w:type="paragraph" w:styleId="NormalWeb">
    <w:name w:val="Normal (Web)"/>
    <w:basedOn w:val="Normal"/>
    <w:uiPriority w:val="99"/>
    <w:unhideWhenUsed/>
    <w:rsid w:val="003F50BC"/>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3F50BC"/>
    <w:rPr>
      <w:color w:val="0000FF"/>
      <w:u w:val="single"/>
    </w:rPr>
  </w:style>
  <w:style w:type="paragraph" w:styleId="ListParagraph">
    <w:name w:val="List Paragraph"/>
    <w:aliases w:val="list,Indented Paragraph,List1,List11,Step Paragraph"/>
    <w:basedOn w:val="Normal"/>
    <w:link w:val="ListParagraphChar"/>
    <w:uiPriority w:val="34"/>
    <w:qFormat/>
    <w:rsid w:val="003F50BC"/>
    <w:pPr>
      <w:spacing w:before="240" w:after="240"/>
      <w:ind w:left="720"/>
      <w:contextualSpacing/>
    </w:pPr>
    <w:rPr>
      <w:rFonts w:ascii="Times New Roman" w:hAnsi="Times New Roman"/>
    </w:rPr>
  </w:style>
  <w:style w:type="table" w:styleId="TableGrid">
    <w:name w:val="Table Grid"/>
    <w:basedOn w:val="TableNormal"/>
    <w:uiPriority w:val="39"/>
    <w:rsid w:val="003F5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uiPriority w:val="99"/>
    <w:unhideWhenUsed/>
    <w:rsid w:val="003F50BC"/>
    <w:pPr>
      <w:spacing w:before="240"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3F50BC"/>
    <w:rPr>
      <w:rFonts w:ascii="Arial" w:eastAsiaTheme="majorEastAsia" w:hAnsi="Arial" w:cstheme="majorBidi"/>
      <w:sz w:val="24"/>
      <w:szCs w:val="24"/>
    </w:rPr>
  </w:style>
  <w:style w:type="paragraph" w:styleId="Header">
    <w:name w:val="header"/>
    <w:basedOn w:val="Normal"/>
    <w:link w:val="HeaderChar"/>
    <w:uiPriority w:val="99"/>
    <w:unhideWhenUsed/>
    <w:rsid w:val="007544C7"/>
    <w:pPr>
      <w:tabs>
        <w:tab w:val="center" w:pos="4680"/>
        <w:tab w:val="right" w:pos="9360"/>
      </w:tabs>
    </w:pPr>
  </w:style>
  <w:style w:type="character" w:customStyle="1" w:styleId="HeaderChar">
    <w:name w:val="Header Char"/>
    <w:basedOn w:val="DefaultParagraphFont"/>
    <w:link w:val="Header"/>
    <w:uiPriority w:val="99"/>
    <w:rsid w:val="007544C7"/>
    <w:rPr>
      <w:rFonts w:ascii="Arial" w:eastAsia="Times New Roman" w:hAnsi="Arial" w:cs="Times New Roman"/>
      <w:sz w:val="24"/>
      <w:szCs w:val="24"/>
    </w:rPr>
  </w:style>
  <w:style w:type="paragraph" w:styleId="Footer">
    <w:name w:val="footer"/>
    <w:basedOn w:val="Normal"/>
    <w:link w:val="FooterChar"/>
    <w:uiPriority w:val="99"/>
    <w:unhideWhenUsed/>
    <w:rsid w:val="007544C7"/>
    <w:pPr>
      <w:tabs>
        <w:tab w:val="center" w:pos="4680"/>
        <w:tab w:val="right" w:pos="9360"/>
      </w:tabs>
    </w:pPr>
  </w:style>
  <w:style w:type="character" w:customStyle="1" w:styleId="FooterChar">
    <w:name w:val="Footer Char"/>
    <w:basedOn w:val="DefaultParagraphFont"/>
    <w:link w:val="Footer"/>
    <w:uiPriority w:val="99"/>
    <w:rsid w:val="007544C7"/>
    <w:rPr>
      <w:rFonts w:ascii="Arial" w:eastAsia="Times New Roman" w:hAnsi="Arial" w:cs="Times New Roman"/>
      <w:sz w:val="24"/>
      <w:szCs w:val="24"/>
    </w:rPr>
  </w:style>
  <w:style w:type="paragraph" w:styleId="Revision">
    <w:name w:val="Revision"/>
    <w:hidden/>
    <w:uiPriority w:val="99"/>
    <w:semiHidden/>
    <w:rsid w:val="00BE59C4"/>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63289"/>
    <w:rPr>
      <w:sz w:val="16"/>
      <w:szCs w:val="16"/>
    </w:rPr>
  </w:style>
  <w:style w:type="paragraph" w:styleId="CommentText">
    <w:name w:val="annotation text"/>
    <w:basedOn w:val="Normal"/>
    <w:link w:val="CommentTextChar"/>
    <w:uiPriority w:val="99"/>
    <w:unhideWhenUsed/>
    <w:rsid w:val="00063289"/>
    <w:rPr>
      <w:sz w:val="20"/>
      <w:szCs w:val="20"/>
    </w:rPr>
  </w:style>
  <w:style w:type="character" w:customStyle="1" w:styleId="CommentTextChar">
    <w:name w:val="Comment Text Char"/>
    <w:basedOn w:val="DefaultParagraphFont"/>
    <w:link w:val="CommentText"/>
    <w:uiPriority w:val="99"/>
    <w:rsid w:val="0006328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63289"/>
    <w:rPr>
      <w:b/>
      <w:bCs/>
    </w:rPr>
  </w:style>
  <w:style w:type="character" w:customStyle="1" w:styleId="CommentSubjectChar">
    <w:name w:val="Comment Subject Char"/>
    <w:basedOn w:val="CommentTextChar"/>
    <w:link w:val="CommentSubject"/>
    <w:uiPriority w:val="99"/>
    <w:semiHidden/>
    <w:rsid w:val="00063289"/>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DA1B7E"/>
    <w:rPr>
      <w:color w:val="605E5C"/>
      <w:shd w:val="clear" w:color="auto" w:fill="E1DFDD"/>
    </w:rPr>
  </w:style>
  <w:style w:type="character" w:styleId="FollowedHyperlink">
    <w:name w:val="FollowedHyperlink"/>
    <w:basedOn w:val="DefaultParagraphFont"/>
    <w:uiPriority w:val="99"/>
    <w:semiHidden/>
    <w:unhideWhenUsed/>
    <w:rsid w:val="00BA4FEE"/>
    <w:rPr>
      <w:color w:val="954F72" w:themeColor="followedHyperlink"/>
      <w:u w:val="single"/>
    </w:rPr>
  </w:style>
  <w:style w:type="character" w:styleId="Mention">
    <w:name w:val="Mention"/>
    <w:basedOn w:val="DefaultParagraphFont"/>
    <w:uiPriority w:val="99"/>
    <w:unhideWhenUsed/>
    <w:rsid w:val="00DE764A"/>
    <w:rPr>
      <w:color w:val="2B579A"/>
      <w:shd w:val="clear" w:color="auto" w:fill="E1DFDD"/>
    </w:rPr>
  </w:style>
  <w:style w:type="character" w:customStyle="1" w:styleId="ListParagraphChar">
    <w:name w:val="List Paragraph Char"/>
    <w:aliases w:val="list Char,Indented Paragraph Char,List1 Char,List11 Char,Step Paragraph Char"/>
    <w:basedOn w:val="DefaultParagraphFont"/>
    <w:link w:val="ListParagraph"/>
    <w:uiPriority w:val="34"/>
    <w:locked/>
    <w:rsid w:val="008A3A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q.cde.ca.gov/dataquest/DQCensus/TchAssgnOutcomeLevels.aspx?cds=00&amp;agglevel=State&amp;year=2023-24"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de.ca.gov/ci/pl/teacherequitydefinitions.asp"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de.ca.gov/ci/pl/peat.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de.ca.gov/re/lc/addendumguidance.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bcf04e-7272-4d94-b2b6-1d96d8c23fe2" xsi:nil="true"/>
    <lcf76f155ced4ddcb4097134ff3c332f xmlns="4751af9f-9f44-4a81-861d-3b06ff358078">
      <Terms xmlns="http://schemas.microsoft.com/office/infopath/2007/PartnerControls"/>
    </lcf76f155ced4ddcb4097134ff3c332f>
    <SharedWithUsers xmlns="8bbcf04e-7272-4d94-b2b6-1d96d8c23fe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7FB08BB543C04E917AF9A5E93AD566" ma:contentTypeVersion="17" ma:contentTypeDescription="Create a new document." ma:contentTypeScope="" ma:versionID="2379c75aa2c59142ce41a39c8218bfb6">
  <xsd:schema xmlns:xsd="http://www.w3.org/2001/XMLSchema" xmlns:xs="http://www.w3.org/2001/XMLSchema" xmlns:p="http://schemas.microsoft.com/office/2006/metadata/properties" xmlns:ns2="4751af9f-9f44-4a81-861d-3b06ff358078" xmlns:ns3="8bbcf04e-7272-4d94-b2b6-1d96d8c23fe2" targetNamespace="http://schemas.microsoft.com/office/2006/metadata/properties" ma:root="true" ma:fieldsID="ec8bbfc0b65956b227d99587a2914b4d" ns2:_="" ns3:_="">
    <xsd:import namespace="4751af9f-9f44-4a81-861d-3b06ff358078"/>
    <xsd:import namespace="8bbcf04e-7272-4d94-b2b6-1d96d8c23f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1af9f-9f44-4a81-861d-3b06ff358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bcf04e-7272-4d94-b2b6-1d96d8c23f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eb5dd7a-7145-479d-9702-a259d887066b}" ma:internalName="TaxCatchAll" ma:showField="CatchAllData" ma:web="8bbcf04e-7272-4d94-b2b6-1d96d8c23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9FDB3-79AE-4061-B55A-0D6D7D5B15D5}">
  <ds:schemaRefs>
    <ds:schemaRef ds:uri="http://schemas.microsoft.com/sharepoint/v3/contenttype/forms"/>
  </ds:schemaRefs>
</ds:datastoreItem>
</file>

<file path=customXml/itemProps2.xml><?xml version="1.0" encoding="utf-8"?>
<ds:datastoreItem xmlns:ds="http://schemas.openxmlformats.org/officeDocument/2006/customXml" ds:itemID="{F9877AE6-6A60-47E2-BD1D-7DD6E01AE4E4}">
  <ds:schemaRefs>
    <ds:schemaRef ds:uri="http://schemas.microsoft.com/office/2006/metadata/properties"/>
    <ds:schemaRef ds:uri="http://schemas.microsoft.com/office/infopath/2007/PartnerControls"/>
    <ds:schemaRef ds:uri="8bbcf04e-7272-4d94-b2b6-1d96d8c23fe2"/>
    <ds:schemaRef ds:uri="4751af9f-9f44-4a81-861d-3b06ff358078"/>
  </ds:schemaRefs>
</ds:datastoreItem>
</file>

<file path=customXml/itemProps3.xml><?xml version="1.0" encoding="utf-8"?>
<ds:datastoreItem xmlns:ds="http://schemas.openxmlformats.org/officeDocument/2006/customXml" ds:itemID="{1C1D00B0-076A-470B-9189-F5A807E37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1af9f-9f44-4a81-861d-3b06ff358078"/>
    <ds:schemaRef ds:uri="8bbcf04e-7272-4d94-b2b6-1d96d8c23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BC939-3DE8-4825-8E04-5563C4E4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3531</Words>
  <Characters>20131</Characters>
  <DocSecurity>0</DocSecurity>
  <Lines>167</Lines>
  <Paragraphs>47</Paragraphs>
  <ScaleCrop>false</ScaleCrop>
  <HeadingPairs>
    <vt:vector size="2" baseType="variant">
      <vt:variant>
        <vt:lpstr>Title</vt:lpstr>
      </vt:variant>
      <vt:variant>
        <vt:i4>1</vt:i4>
      </vt:variant>
    </vt:vector>
  </HeadingPairs>
  <TitlesOfParts>
    <vt:vector size="1" baseType="lpstr">
      <vt:lpstr>June 2026 Memo BEST PLSD Item XX - Information Memorandum (CA State Board of Education)</vt:lpstr>
    </vt:vector>
  </TitlesOfParts>
  <Company>CA State Board of Education</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2026 Memo BEST PLSD Item 01 - Information Memorandum (CA State Board of Education)</dc:title>
  <dc:subject>June 2026 Memo BEST PLSD Item 01: 2023–24 Educator Equity Data.</dc:subject>
  <cp:keywords/>
  <dc:description/>
  <dcterms:created xsi:type="dcterms:W3CDTF">2026-06-12T17:39:00Z</dcterms:created>
  <dcterms:modified xsi:type="dcterms:W3CDTF">2026-06-12T18:49:00Z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0x010100457FB08BB543C04E917AF9A5E93AD566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