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11F" w:rsidRPr="00EC07DB" w:rsidRDefault="005B511F" w:rsidP="004616D2">
      <w:pPr>
        <w:pStyle w:val="Heading1"/>
        <w:jc w:val="center"/>
        <w:rPr>
          <w:sz w:val="40"/>
          <w:szCs w:val="40"/>
        </w:rPr>
      </w:pPr>
      <w:r w:rsidRPr="00EC07DB">
        <w:rPr>
          <w:sz w:val="40"/>
          <w:szCs w:val="40"/>
        </w:rPr>
        <w:t xml:space="preserve">Academia </w:t>
      </w:r>
      <w:proofErr w:type="spellStart"/>
      <w:r w:rsidRPr="00EC07DB">
        <w:rPr>
          <w:sz w:val="40"/>
          <w:szCs w:val="40"/>
        </w:rPr>
        <w:t>Avance</w:t>
      </w:r>
      <w:proofErr w:type="spellEnd"/>
      <w:r w:rsidRPr="00EC07DB">
        <w:rPr>
          <w:sz w:val="40"/>
          <w:szCs w:val="40"/>
        </w:rPr>
        <w:t xml:space="preserve"> Charter</w:t>
      </w:r>
    </w:p>
    <w:p w:rsidR="005B511F" w:rsidRPr="0061608F" w:rsidRDefault="005B511F" w:rsidP="005B511F">
      <w:pPr>
        <w:spacing w:before="120" w:after="240"/>
        <w:rPr>
          <w:rFonts w:cs="Arial"/>
        </w:rPr>
      </w:pPr>
      <w:r w:rsidRPr="0061608F">
        <w:rPr>
          <w:rFonts w:cs="Arial"/>
        </w:rPr>
        <w:t xml:space="preserve">Address: </w:t>
      </w:r>
      <w:r>
        <w:rPr>
          <w:rFonts w:cs="Arial"/>
        </w:rPr>
        <w:t>115 North Avenue 53, Highland Park, CA 90042-4005</w:t>
      </w:r>
    </w:p>
    <w:p w:rsidR="005B511F" w:rsidRPr="00CE4153" w:rsidRDefault="005B511F" w:rsidP="005B511F">
      <w:pPr>
        <w:spacing w:before="120" w:after="240"/>
        <w:rPr>
          <w:rFonts w:cs="Arial"/>
          <w:b/>
        </w:rPr>
      </w:pPr>
      <w:r>
        <w:rPr>
          <w:rFonts w:cs="Arial"/>
        </w:rPr>
        <w:t>Web s</w:t>
      </w:r>
      <w:r w:rsidRPr="0061608F">
        <w:rPr>
          <w:rFonts w:cs="Arial"/>
        </w:rPr>
        <w:t xml:space="preserve">ite </w:t>
      </w:r>
      <w:r>
        <w:rPr>
          <w:rFonts w:cs="Arial"/>
        </w:rPr>
        <w:t>Address</w:t>
      </w:r>
      <w:r w:rsidRPr="0061608F">
        <w:rPr>
          <w:rFonts w:cs="Arial"/>
        </w:rPr>
        <w:t xml:space="preserve">: </w:t>
      </w:r>
      <w:hyperlink r:id="rId7" w:tgtFrame="_blank" w:tooltip="Academia Avance Charter web site" w:history="1">
        <w:r w:rsidRPr="005B511F">
          <w:rPr>
            <w:rFonts w:cs="Arial"/>
            <w:color w:val="0000FF"/>
            <w:u w:val="single"/>
          </w:rPr>
          <w:t>www.academiaavance.org</w:t>
        </w:r>
      </w:hyperlink>
    </w:p>
    <w:p w:rsidR="005B511F" w:rsidRPr="0061608F" w:rsidRDefault="005B511F" w:rsidP="005B511F">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CE4153">
        <w:rPr>
          <w:rFonts w:cs="Arial"/>
          <w:color w:val="000000"/>
        </w:rPr>
        <w:t>19 76968 0109926</w:t>
      </w:r>
    </w:p>
    <w:p w:rsidR="005B511F" w:rsidRPr="0061608F" w:rsidRDefault="005B511F" w:rsidP="005B511F">
      <w:pPr>
        <w:spacing w:before="120" w:after="240"/>
        <w:rPr>
          <w:rFonts w:cs="Arial"/>
        </w:rPr>
      </w:pPr>
      <w:r w:rsidRPr="0061608F">
        <w:rPr>
          <w:rFonts w:cs="Arial"/>
        </w:rPr>
        <w:t xml:space="preserve">Charter Number: </w:t>
      </w:r>
      <w:r>
        <w:rPr>
          <w:rFonts w:cs="Arial"/>
        </w:rPr>
        <w:t>0738</w:t>
      </w:r>
    </w:p>
    <w:p w:rsidR="005B511F" w:rsidRPr="0061608F" w:rsidRDefault="005B511F" w:rsidP="005B511F">
      <w:pPr>
        <w:spacing w:before="120" w:after="240"/>
        <w:rPr>
          <w:rFonts w:cs="Arial"/>
        </w:rPr>
      </w:pPr>
      <w:r w:rsidRPr="0061608F">
        <w:rPr>
          <w:rFonts w:cs="Arial"/>
        </w:rPr>
        <w:t xml:space="preserve">Charter Term: </w:t>
      </w:r>
      <w:r>
        <w:rPr>
          <w:rFonts w:cs="Arial"/>
        </w:rPr>
        <w:t>July 1, 2015, through June 30, 2020</w:t>
      </w:r>
    </w:p>
    <w:p w:rsidR="005B511F" w:rsidRPr="005B511F" w:rsidRDefault="005B511F" w:rsidP="005B511F">
      <w:pPr>
        <w:spacing w:before="120" w:after="240"/>
        <w:rPr>
          <w:rFonts w:cs="Arial"/>
          <w:color w:val="000000"/>
        </w:rPr>
      </w:pPr>
      <w:r w:rsidRPr="0061608F">
        <w:rPr>
          <w:rFonts w:cs="Arial"/>
        </w:rPr>
        <w:t xml:space="preserve">School Description: </w:t>
      </w:r>
      <w:r>
        <w:rPr>
          <w:rFonts w:cs="Arial"/>
        </w:rPr>
        <w:t xml:space="preserve">Academia </w:t>
      </w:r>
      <w:proofErr w:type="spellStart"/>
      <w:r>
        <w:rPr>
          <w:rFonts w:cs="Arial"/>
        </w:rPr>
        <w:t>Avance</w:t>
      </w:r>
      <w:proofErr w:type="spellEnd"/>
      <w:r>
        <w:rPr>
          <w:rFonts w:cs="Arial"/>
        </w:rPr>
        <w:t xml:space="preserve"> Charter sets the standard for public charter school excellence via rigorous college and career preparation that inspires a lifetime of learning and leading. </w:t>
      </w:r>
    </w:p>
    <w:p w:rsidR="005B511F" w:rsidRPr="0061608F" w:rsidRDefault="005B511F" w:rsidP="005B511F">
      <w:pPr>
        <w:spacing w:before="120" w:after="240"/>
        <w:rPr>
          <w:rFonts w:cs="Arial"/>
        </w:rPr>
      </w:pPr>
      <w:r w:rsidRPr="0061608F">
        <w:rPr>
          <w:rFonts w:cs="Arial"/>
        </w:rPr>
        <w:t xml:space="preserve">Grade Levels Served: </w:t>
      </w:r>
      <w:r>
        <w:rPr>
          <w:rFonts w:cs="Arial"/>
        </w:rPr>
        <w:t>Grade Six through Grade Twelve</w:t>
      </w:r>
    </w:p>
    <w:p w:rsidR="005B511F" w:rsidRPr="0061608F" w:rsidRDefault="005B511F" w:rsidP="005B511F">
      <w:pPr>
        <w:spacing w:before="120" w:after="240"/>
        <w:rPr>
          <w:rFonts w:cs="Arial"/>
        </w:rPr>
      </w:pPr>
      <w:r w:rsidRPr="007E04AD">
        <w:rPr>
          <w:rFonts w:cs="Arial"/>
        </w:rPr>
        <w:t>20</w:t>
      </w:r>
      <w:r>
        <w:rPr>
          <w:rFonts w:cs="Arial"/>
        </w:rPr>
        <w:t>17</w:t>
      </w:r>
      <w:r w:rsidRPr="007E04AD">
        <w:rPr>
          <w:rFonts w:cs="Arial"/>
        </w:rPr>
        <w:t>–</w:t>
      </w:r>
      <w:r>
        <w:rPr>
          <w:rFonts w:cs="Arial"/>
        </w:rPr>
        <w:t>18</w:t>
      </w:r>
      <w:r w:rsidRPr="0061608F">
        <w:rPr>
          <w:rFonts w:cs="Arial"/>
        </w:rPr>
        <w:t xml:space="preserve"> Enrollment: </w:t>
      </w:r>
      <w:r>
        <w:rPr>
          <w:rFonts w:cs="Arial"/>
        </w:rPr>
        <w:t>389</w:t>
      </w:r>
    </w:p>
    <w:p w:rsidR="005B511F" w:rsidRPr="00191110" w:rsidRDefault="005B511F" w:rsidP="005B511F">
      <w:pPr>
        <w:spacing w:before="120" w:after="240"/>
        <w:contextualSpacing/>
        <w:rPr>
          <w:rFonts w:cs="Arial"/>
        </w:rPr>
      </w:pPr>
      <w:r w:rsidRPr="0061608F">
        <w:rPr>
          <w:rFonts w:cs="Arial"/>
        </w:rPr>
        <w:t>Site Based or Non-Site Based:</w:t>
      </w:r>
      <w:r>
        <w:rPr>
          <w:rFonts w:cs="Arial"/>
        </w:rPr>
        <w:t xml:space="preserve"> Site Based</w:t>
      </w:r>
    </w:p>
    <w:p w:rsidR="005B511F" w:rsidRPr="00EC07DB" w:rsidRDefault="005B511F" w:rsidP="00BE3382">
      <w:pPr>
        <w:pStyle w:val="Heading2"/>
        <w:rPr>
          <w:sz w:val="36"/>
          <w:szCs w:val="36"/>
        </w:rPr>
      </w:pPr>
      <w:r w:rsidRPr="00EC07DB">
        <w:rPr>
          <w:sz w:val="36"/>
          <w:szCs w:val="36"/>
        </w:rPr>
        <w:t xml:space="preserve">Data Sources: </w:t>
      </w:r>
    </w:p>
    <w:p w:rsidR="005B511F" w:rsidRPr="00191110" w:rsidRDefault="005B511F" w:rsidP="005B511F">
      <w:pPr>
        <w:spacing w:after="240"/>
        <w:rPr>
          <w:rFonts w:eastAsiaTheme="minorHAnsi" w:cstheme="minorBidi"/>
          <w:b/>
          <w:szCs w:val="22"/>
        </w:rPr>
      </w:pPr>
      <w:r w:rsidRPr="00191110">
        <w:rPr>
          <w:rFonts w:eastAsiaTheme="minorHAnsi" w:cstheme="minorBidi"/>
          <w:b/>
          <w:szCs w:val="22"/>
        </w:rPr>
        <w:t>CAASPP</w:t>
      </w:r>
    </w:p>
    <w:p w:rsidR="005B511F" w:rsidRPr="00191110" w:rsidRDefault="00A333E0" w:rsidP="005B511F">
      <w:pPr>
        <w:spacing w:after="240"/>
        <w:rPr>
          <w:rFonts w:eastAsiaTheme="minorHAnsi" w:cstheme="minorBidi"/>
          <w:color w:val="0000FF"/>
          <w:szCs w:val="22"/>
          <w:u w:val="single"/>
        </w:rPr>
      </w:pPr>
      <w:hyperlink r:id="rId8" w:tooltip="CAASPP Dasboard" w:history="1">
        <w:r w:rsidR="005B511F" w:rsidRPr="005B511F">
          <w:rPr>
            <w:rFonts w:eastAsiaTheme="minorHAnsi" w:cstheme="minorBidi"/>
            <w:color w:val="0000FF"/>
            <w:szCs w:val="22"/>
            <w:u w:val="single"/>
          </w:rPr>
          <w:t>https://caaspp.cde.ca.gov/sb2018/ViewReport?ps=true&amp;lstTestYear=2018&amp;lstTestType=B&amp;lstGroup=1&amp;lstCounty=19&amp;lstDistrict=76968-000&amp;lstSchool=0109926</w:t>
        </w:r>
      </w:hyperlink>
    </w:p>
    <w:p w:rsidR="005B511F" w:rsidRPr="00191110" w:rsidRDefault="005B511F" w:rsidP="005B511F">
      <w:pPr>
        <w:spacing w:after="240"/>
        <w:rPr>
          <w:rFonts w:eastAsiaTheme="minorHAnsi" w:cstheme="minorBidi"/>
          <w:b/>
          <w:szCs w:val="22"/>
        </w:rPr>
      </w:pPr>
      <w:r w:rsidRPr="00191110">
        <w:rPr>
          <w:rFonts w:eastAsiaTheme="minorHAnsi" w:cstheme="minorBidi"/>
          <w:b/>
          <w:szCs w:val="22"/>
        </w:rPr>
        <w:t>CA School Dashboard</w:t>
      </w:r>
    </w:p>
    <w:p w:rsidR="005B511F" w:rsidRPr="00191110" w:rsidRDefault="00A333E0" w:rsidP="005B511F">
      <w:pPr>
        <w:spacing w:after="240"/>
        <w:rPr>
          <w:rFonts w:eastAsiaTheme="minorHAnsi" w:cstheme="minorBidi"/>
          <w:color w:val="0000FF"/>
          <w:szCs w:val="22"/>
          <w:u w:val="single"/>
        </w:rPr>
      </w:pPr>
      <w:hyperlink r:id="rId9" w:tooltip="Calfiornia School Dashboard" w:history="1">
        <w:r w:rsidR="005B511F" w:rsidRPr="00191110">
          <w:rPr>
            <w:rFonts w:eastAsiaTheme="minorHAnsi" w:cstheme="minorBidi"/>
            <w:color w:val="0000FF"/>
            <w:szCs w:val="22"/>
            <w:u w:val="single"/>
          </w:rPr>
          <w:t>https://www.caschooldashboard.org/reports/19769680109926/2018</w:t>
        </w:r>
      </w:hyperlink>
    </w:p>
    <w:p w:rsidR="008554F4" w:rsidRDefault="008554F4" w:rsidP="00E634EC">
      <w:pPr>
        <w:sectPr w:rsidR="008554F4">
          <w:headerReference w:type="default" r:id="rId10"/>
          <w:pgSz w:w="12240" w:h="15840"/>
          <w:pgMar w:top="1440" w:right="1440" w:bottom="1440" w:left="1440" w:header="720" w:footer="720" w:gutter="0"/>
          <w:cols w:space="720"/>
          <w:docGrid w:linePitch="360"/>
        </w:sectPr>
      </w:pPr>
    </w:p>
    <w:p w:rsidR="008554F4" w:rsidRPr="008554F4" w:rsidRDefault="008554F4" w:rsidP="008554F4">
      <w:pPr>
        <w:spacing w:after="100" w:afterAutospacing="1"/>
        <w:rPr>
          <w:rFonts w:eastAsiaTheme="minorHAnsi" w:cs="Arial"/>
        </w:rPr>
      </w:pPr>
      <w:r w:rsidRPr="008554F4">
        <w:rPr>
          <w:rFonts w:eastAsiaTheme="minorHAnsi" w:cs="Arial"/>
        </w:rPr>
        <w:lastRenderedPageBreak/>
        <w:t xml:space="preserve">Dear Director Mireles and Principal </w:t>
      </w:r>
      <w:proofErr w:type="spellStart"/>
      <w:r w:rsidRPr="008554F4">
        <w:rPr>
          <w:rFonts w:eastAsiaTheme="minorHAnsi" w:cs="Arial"/>
        </w:rPr>
        <w:t>Adriaan</w:t>
      </w:r>
      <w:proofErr w:type="spellEnd"/>
      <w:r w:rsidRPr="008554F4">
        <w:rPr>
          <w:rFonts w:eastAsiaTheme="minorHAnsi" w:cs="Arial"/>
        </w:rPr>
        <w:t>,</w:t>
      </w:r>
    </w:p>
    <w:p w:rsidR="008554F4" w:rsidRPr="008554F4" w:rsidRDefault="008554F4" w:rsidP="008554F4">
      <w:pPr>
        <w:spacing w:after="100" w:afterAutospacing="1"/>
        <w:rPr>
          <w:rFonts w:eastAsiaTheme="minorHAnsi" w:cs="Arial"/>
        </w:rPr>
      </w:pPr>
      <w:r w:rsidRPr="008554F4">
        <w:rPr>
          <w:rFonts w:eastAsiaTheme="minorHAnsi" w:cs="Arial"/>
        </w:rPr>
        <w:t>The California Department of Education, Charter Schools Division, provides an annual academic update to the State Board of Education (SBE) in the form of an Ac</w:t>
      </w:r>
      <w:r w:rsidR="004E4EA6">
        <w:rPr>
          <w:rFonts w:eastAsiaTheme="minorHAnsi" w:cs="Arial"/>
        </w:rPr>
        <w:t>ademic Memo for each of the SBE-</w:t>
      </w:r>
      <w:r w:rsidRPr="008554F4">
        <w:rPr>
          <w:rFonts w:eastAsiaTheme="minorHAnsi" w:cs="Arial"/>
        </w:rPr>
        <w:t>authorized charter schools. This information below is being provided to each SBE</w:t>
      </w:r>
      <w:r w:rsidR="004E4EA6">
        <w:rPr>
          <w:rFonts w:eastAsiaTheme="minorHAnsi" w:cs="Arial"/>
        </w:rPr>
        <w:t>-</w:t>
      </w:r>
      <w:r w:rsidRPr="008554F4">
        <w:rPr>
          <w:rFonts w:eastAsiaTheme="minorHAnsi" w:cs="Arial"/>
        </w:rPr>
        <w:t>authorized school in preparation for the annual Academic Memo that will be presented to the SBE members in June.</w:t>
      </w:r>
    </w:p>
    <w:p w:rsidR="008554F4" w:rsidRPr="008554F4" w:rsidRDefault="008554F4" w:rsidP="008554F4">
      <w:pPr>
        <w:spacing w:after="100" w:afterAutospacing="1"/>
        <w:rPr>
          <w:rFonts w:eastAsiaTheme="minorHAnsi" w:cs="Arial"/>
        </w:rPr>
      </w:pPr>
      <w:r w:rsidRPr="008554F4">
        <w:rPr>
          <w:rFonts w:eastAsiaTheme="minorHAnsi" w:cs="Arial"/>
        </w:rPr>
        <w:t xml:space="preserve">Attached is a </w:t>
      </w:r>
      <w:proofErr w:type="gramStart"/>
      <w:r w:rsidRPr="008554F4">
        <w:rPr>
          <w:rFonts w:eastAsiaTheme="minorHAnsi" w:cs="Arial"/>
        </w:rPr>
        <w:t>high level</w:t>
      </w:r>
      <w:proofErr w:type="gramEnd"/>
      <w:r w:rsidRPr="008554F4">
        <w:rPr>
          <w:rFonts w:eastAsiaTheme="minorHAnsi" w:cs="Arial"/>
        </w:rPr>
        <w:t xml:space="preserve"> review of your California Assessment of Student Performance and Progress (CAASPP) data by year for English language arts (ELA) and mathematics as reflected in the 2018 California Dashboard results for all students and student subgroup for each year the school has been authorized by the SBE.  </w:t>
      </w:r>
    </w:p>
    <w:p w:rsidR="008554F4" w:rsidRPr="008554F4" w:rsidRDefault="008554F4" w:rsidP="008554F4">
      <w:pPr>
        <w:spacing w:after="100" w:afterAutospacing="1"/>
        <w:rPr>
          <w:rFonts w:eastAsiaTheme="minorHAnsi" w:cs="Arial"/>
        </w:rPr>
      </w:pPr>
      <w:r w:rsidRPr="008554F4">
        <w:rPr>
          <w:rFonts w:eastAsiaTheme="minorHAnsi" w:cs="Arial"/>
        </w:rPr>
        <w:t xml:space="preserve">Academia </w:t>
      </w:r>
      <w:proofErr w:type="spellStart"/>
      <w:r w:rsidRPr="008554F4">
        <w:rPr>
          <w:rFonts w:eastAsiaTheme="minorHAnsi" w:cs="Arial"/>
        </w:rPr>
        <w:t>Avance</w:t>
      </w:r>
      <w:proofErr w:type="spellEnd"/>
      <w:r w:rsidRPr="008554F4">
        <w:rPr>
          <w:rFonts w:eastAsiaTheme="minorHAnsi" w:cs="Arial"/>
        </w:rPr>
        <w:t xml:space="preserve"> Charter (AAC) is up for renewal in 2020. Based on AAC’s ELA and mathematics scores attached, the academic performance of the school appears to be improving. </w:t>
      </w:r>
    </w:p>
    <w:p w:rsidR="008554F4" w:rsidRPr="008554F4" w:rsidRDefault="008554F4" w:rsidP="008554F4">
      <w:pPr>
        <w:spacing w:after="100" w:afterAutospacing="1"/>
        <w:rPr>
          <w:rFonts w:eastAsiaTheme="minorHAnsi" w:cs="Arial"/>
          <w:b/>
        </w:rPr>
      </w:pPr>
      <w:r w:rsidRPr="008554F4">
        <w:rPr>
          <w:rFonts w:eastAsiaTheme="minorHAnsi" w:cs="Arial"/>
          <w:b/>
        </w:rPr>
        <w:t>Written Response Needed: (no more than 3 pages)</w:t>
      </w:r>
    </w:p>
    <w:p w:rsidR="008554F4" w:rsidRPr="008554F4" w:rsidRDefault="008554F4" w:rsidP="008554F4">
      <w:pPr>
        <w:spacing w:after="100" w:afterAutospacing="1"/>
        <w:rPr>
          <w:rFonts w:eastAsiaTheme="minorHAnsi" w:cs="Arial"/>
        </w:rPr>
      </w:pPr>
      <w:r w:rsidRPr="008554F4">
        <w:rPr>
          <w:rFonts w:eastAsiaTheme="minorHAnsi" w:cs="Arial"/>
        </w:rPr>
        <w:t xml:space="preserve">Provide a written response by </w:t>
      </w:r>
      <w:r w:rsidRPr="008554F4">
        <w:rPr>
          <w:rFonts w:eastAsiaTheme="minorHAnsi" w:cs="Arial"/>
          <w:b/>
        </w:rPr>
        <w:t>April 26, 2019</w:t>
      </w:r>
      <w:r w:rsidRPr="008554F4">
        <w:rPr>
          <w:rFonts w:eastAsiaTheme="minorHAnsi" w:cs="Arial"/>
        </w:rPr>
        <w:t>, and identify how you have or will address in your 2019–2020 Local Control and Accountability Plan (LCAP) or Annual update the goals and timelines for improving performance schoolwide and for how the low student groups (specifically, any area that is red on the California Dashboard) will be addressed.  Please also state how the school will address Chronic Absenteeism in the coming school year. CDE will be reviewing your LCAP and this written response during monthly calls with the school as part of the oversight</w:t>
      </w:r>
      <w:r w:rsidR="000A18A0">
        <w:rPr>
          <w:rFonts w:eastAsiaTheme="minorHAnsi" w:cs="Arial"/>
        </w:rPr>
        <w:t xml:space="preserve"> process</w:t>
      </w:r>
      <w:r w:rsidRPr="008554F4">
        <w:rPr>
          <w:rFonts w:eastAsiaTheme="minorHAnsi" w:cs="Arial"/>
        </w:rPr>
        <w:t>.</w:t>
      </w:r>
    </w:p>
    <w:p w:rsidR="00FF7A2F" w:rsidRDefault="008554F4" w:rsidP="008554F4">
      <w:pPr>
        <w:spacing w:after="100" w:afterAutospacing="1"/>
        <w:rPr>
          <w:rFonts w:eastAsiaTheme="minorHAnsi" w:cs="Arial"/>
        </w:rPr>
      </w:pPr>
      <w:r w:rsidRPr="008554F4">
        <w:rPr>
          <w:rFonts w:eastAsiaTheme="minorHAnsi" w:cs="Arial"/>
        </w:rPr>
        <w:t xml:space="preserve">CDE has the following resources available to the school. LCAP and Dashboard Resources: </w:t>
      </w:r>
    </w:p>
    <w:p w:rsidR="008554F4" w:rsidRPr="008554F4" w:rsidRDefault="008554F4" w:rsidP="008554F4">
      <w:pPr>
        <w:spacing w:after="100" w:afterAutospacing="1"/>
        <w:rPr>
          <w:rFonts w:eastAsiaTheme="minorHAnsi" w:cs="Arial"/>
        </w:rPr>
      </w:pPr>
      <w:r w:rsidRPr="008554F4">
        <w:rPr>
          <w:rFonts w:eastAsiaTheme="minorHAnsi" w:cs="Arial"/>
        </w:rPr>
        <w:t xml:space="preserve">Dashboard: </w:t>
      </w:r>
      <w:hyperlink r:id="rId11" w:tooltip="California School Dashboard and System of Support" w:history="1">
        <w:r w:rsidRPr="005B511F">
          <w:rPr>
            <w:rFonts w:eastAsiaTheme="minorHAnsi" w:cs="Arial"/>
            <w:color w:val="0000FF"/>
            <w:u w:val="single"/>
          </w:rPr>
          <w:t>https://www.cde.ca.gov/ta/ac/cm/</w:t>
        </w:r>
      </w:hyperlink>
      <w:r w:rsidRPr="008554F4">
        <w:rPr>
          <w:rFonts w:eastAsiaTheme="minorHAnsi" w:cs="Arial"/>
        </w:rPr>
        <w:t xml:space="preserve"> </w:t>
      </w:r>
    </w:p>
    <w:p w:rsidR="008554F4" w:rsidRPr="008554F4" w:rsidRDefault="008554F4" w:rsidP="008554F4">
      <w:pPr>
        <w:spacing w:after="100" w:afterAutospacing="1"/>
        <w:rPr>
          <w:rFonts w:eastAsiaTheme="minorHAnsi" w:cs="Arial"/>
          <w:color w:val="0000FF"/>
        </w:rPr>
      </w:pPr>
      <w:r w:rsidRPr="008554F4">
        <w:rPr>
          <w:rFonts w:eastAsiaTheme="minorHAnsi" w:cs="Arial"/>
        </w:rPr>
        <w:t xml:space="preserve">LCAP Resources: </w:t>
      </w:r>
      <w:hyperlink r:id="rId12" w:tooltip="LCAP Resources" w:history="1">
        <w:r w:rsidRPr="005B511F">
          <w:rPr>
            <w:rFonts w:eastAsiaTheme="minorHAnsi" w:cs="Arial"/>
            <w:color w:val="0000FF"/>
            <w:u w:val="single"/>
          </w:rPr>
          <w:t>https://www.cde.ca.gov/re/lc/planninglcapschoolplan.asp</w:t>
        </w:r>
      </w:hyperlink>
    </w:p>
    <w:p w:rsidR="008554F4" w:rsidRPr="008554F4" w:rsidRDefault="008554F4" w:rsidP="008554F4">
      <w:pPr>
        <w:spacing w:after="100" w:afterAutospacing="1"/>
        <w:rPr>
          <w:rFonts w:eastAsiaTheme="minorHAnsi" w:cs="Arial"/>
          <w:b/>
        </w:rPr>
      </w:pPr>
      <w:r w:rsidRPr="008554F4">
        <w:rPr>
          <w:rFonts w:eastAsiaTheme="minorHAnsi" w:cs="Arial"/>
          <w:b/>
        </w:rPr>
        <w:t>Renewal Criteria</w:t>
      </w:r>
    </w:p>
    <w:p w:rsidR="008554F4" w:rsidRPr="008554F4" w:rsidRDefault="008554F4" w:rsidP="008554F4">
      <w:pPr>
        <w:autoSpaceDE w:val="0"/>
        <w:autoSpaceDN w:val="0"/>
        <w:adjustRightInd w:val="0"/>
        <w:spacing w:after="100" w:afterAutospacing="1"/>
        <w:rPr>
          <w:rFonts w:eastAsia="Calibri" w:cs="Arial"/>
          <w:bCs/>
        </w:rPr>
      </w:pPr>
      <w:r w:rsidRPr="008554F4">
        <w:rPr>
          <w:rFonts w:eastAsiaTheme="minorHAnsi" w:cs="Arial"/>
        </w:rPr>
        <w:t>Additionally, please be aware that California</w:t>
      </w:r>
      <w:r w:rsidRPr="008554F4">
        <w:rPr>
          <w:rFonts w:eastAsiaTheme="minorHAnsi" w:cs="Arial"/>
          <w:i/>
        </w:rPr>
        <w:t xml:space="preserve"> Education Code</w:t>
      </w:r>
      <w:r w:rsidRPr="008554F4">
        <w:rPr>
          <w:rFonts w:eastAsiaTheme="minorHAnsi" w:cs="Arial"/>
        </w:rPr>
        <w:t xml:space="preserve"> Section</w:t>
      </w:r>
      <w:r w:rsidRPr="008554F4">
        <w:rPr>
          <w:rFonts w:eastAsia="Calibri" w:cs="Arial"/>
          <w:bCs/>
        </w:rPr>
        <w:t xml:space="preserve"> 47607 sets forth grounds for renewing a petition</w:t>
      </w:r>
      <w:r w:rsidR="00305830">
        <w:rPr>
          <w:rFonts w:eastAsia="Calibri" w:cs="Arial"/>
          <w:bCs/>
        </w:rPr>
        <w:t>:</w:t>
      </w:r>
      <w:r w:rsidRPr="008554F4">
        <w:rPr>
          <w:rFonts w:eastAsia="Calibri" w:cs="Arial"/>
          <w:bCs/>
        </w:rPr>
        <w:t xml:space="preserve"> </w:t>
      </w:r>
    </w:p>
    <w:p w:rsidR="008554F4" w:rsidRPr="008554F4" w:rsidRDefault="008554F4" w:rsidP="008554F4">
      <w:pPr>
        <w:numPr>
          <w:ilvl w:val="0"/>
          <w:numId w:val="11"/>
        </w:numPr>
        <w:autoSpaceDE w:val="0"/>
        <w:autoSpaceDN w:val="0"/>
        <w:adjustRightInd w:val="0"/>
        <w:spacing w:before="240" w:after="100" w:afterAutospacing="1"/>
        <w:rPr>
          <w:rFonts w:eastAsia="Calibri" w:cs="Arial"/>
          <w:bCs/>
        </w:rPr>
      </w:pPr>
      <w:r w:rsidRPr="008554F4">
        <w:rPr>
          <w:rFonts w:eastAsia="Calibri" w:cs="Arial"/>
          <w:bCs/>
        </w:rPr>
        <w:t xml:space="preserve">The authority that granted the charter shall consider increases in pupil academic achievement for all groups of pupils served by the charter school as the most important factor determining whether to grant a charter renewal. </w:t>
      </w:r>
    </w:p>
    <w:p w:rsidR="008554F4" w:rsidRPr="008554F4" w:rsidRDefault="008554F4" w:rsidP="008554F4">
      <w:pPr>
        <w:numPr>
          <w:ilvl w:val="0"/>
          <w:numId w:val="11"/>
        </w:numPr>
        <w:autoSpaceDE w:val="0"/>
        <w:autoSpaceDN w:val="0"/>
        <w:adjustRightInd w:val="0"/>
        <w:spacing w:before="240" w:after="100" w:afterAutospacing="1"/>
        <w:rPr>
          <w:rFonts w:eastAsia="Calibri" w:cs="Arial"/>
          <w:bCs/>
        </w:rPr>
      </w:pPr>
      <w:r w:rsidRPr="008554F4">
        <w:rPr>
          <w:rFonts w:eastAsia="Calibri" w:cs="Arial"/>
          <w:bCs/>
        </w:rPr>
        <w:t xml:space="preserve">The entity that granted the charter determines that the academic performance of the charter school is at least equal to the academic performance of the public </w:t>
      </w:r>
      <w:r w:rsidRPr="008554F4">
        <w:rPr>
          <w:rFonts w:eastAsia="Calibri" w:cs="Arial"/>
          <w:bCs/>
        </w:rPr>
        <w:lastRenderedPageBreak/>
        <w:t xml:space="preserve">schools that the charter school pupils would otherwise have been required to attend, as well as the academic performance of the schools in the school district in which the charter school is located, </w:t>
      </w:r>
      <w:proofErr w:type="gramStart"/>
      <w:r w:rsidRPr="008554F4">
        <w:rPr>
          <w:rFonts w:eastAsia="Calibri" w:cs="Arial"/>
          <w:bCs/>
        </w:rPr>
        <w:t>taking into account</w:t>
      </w:r>
      <w:proofErr w:type="gramEnd"/>
      <w:r w:rsidRPr="008554F4">
        <w:rPr>
          <w:rFonts w:eastAsia="Calibri" w:cs="Arial"/>
          <w:bCs/>
        </w:rPr>
        <w:t xml:space="preserve"> the composition of the pupil population that is served at the charter school.</w:t>
      </w:r>
    </w:p>
    <w:p w:rsidR="008554F4" w:rsidRPr="008554F4" w:rsidRDefault="008554F4" w:rsidP="008554F4">
      <w:pPr>
        <w:spacing w:after="100" w:afterAutospacing="1"/>
        <w:rPr>
          <w:rFonts w:eastAsiaTheme="minorHAnsi" w:cs="Arial"/>
        </w:rPr>
      </w:pPr>
      <w:r w:rsidRPr="008554F4">
        <w:rPr>
          <w:rFonts w:eastAsiaTheme="minorHAnsi" w:cs="Arial"/>
        </w:rPr>
        <w:t xml:space="preserve">CDE will be reviewing the </w:t>
      </w:r>
      <w:r w:rsidR="00FF7A2F">
        <w:rPr>
          <w:rFonts w:eastAsiaTheme="minorHAnsi" w:cs="Arial"/>
        </w:rPr>
        <w:t>CAASPP</w:t>
      </w:r>
      <w:r w:rsidRPr="008554F4">
        <w:rPr>
          <w:rFonts w:eastAsiaTheme="minorHAnsi" w:cs="Arial"/>
        </w:rPr>
        <w:t xml:space="preserve"> results as part of the renewal process if AAC submits its renewal petition to the SBE for </w:t>
      </w:r>
      <w:r>
        <w:rPr>
          <w:rFonts w:eastAsiaTheme="minorHAnsi" w:cs="Arial"/>
        </w:rPr>
        <w:t>a</w:t>
      </w:r>
      <w:r w:rsidRPr="008554F4">
        <w:rPr>
          <w:rFonts w:eastAsiaTheme="minorHAnsi" w:cs="Arial"/>
        </w:rPr>
        <w:t xml:space="preserve">pproval. </w:t>
      </w:r>
    </w:p>
    <w:p w:rsidR="008554F4" w:rsidRPr="008554F4" w:rsidRDefault="008554F4" w:rsidP="008554F4">
      <w:pPr>
        <w:spacing w:after="100" w:afterAutospacing="1"/>
        <w:rPr>
          <w:rFonts w:eastAsiaTheme="minorHAnsi" w:cs="Arial"/>
        </w:rPr>
      </w:pPr>
      <w:r w:rsidRPr="008554F4">
        <w:rPr>
          <w:rFonts w:eastAsiaTheme="minorHAnsi" w:cs="Arial"/>
        </w:rPr>
        <w:t xml:space="preserve">The following is a </w:t>
      </w:r>
      <w:r w:rsidR="00543ED9">
        <w:rPr>
          <w:rFonts w:eastAsiaTheme="minorHAnsi" w:cs="Arial"/>
        </w:rPr>
        <w:t xml:space="preserve">list of schools within a </w:t>
      </w:r>
      <w:proofErr w:type="gramStart"/>
      <w:r w:rsidR="00543ED9">
        <w:rPr>
          <w:rFonts w:eastAsiaTheme="minorHAnsi" w:cs="Arial"/>
        </w:rPr>
        <w:t>5 mile</w:t>
      </w:r>
      <w:proofErr w:type="gramEnd"/>
      <w:r w:rsidRPr="008554F4">
        <w:rPr>
          <w:rFonts w:eastAsiaTheme="minorHAnsi" w:cs="Arial"/>
        </w:rPr>
        <w:t xml:space="preserve"> radius where the </w:t>
      </w:r>
      <w:r w:rsidR="00305830">
        <w:rPr>
          <w:rFonts w:eastAsiaTheme="minorHAnsi" w:cs="Arial"/>
        </w:rPr>
        <w:t>students would otherwise attend:</w:t>
      </w:r>
      <w:r w:rsidRPr="008554F4">
        <w:rPr>
          <w:rFonts w:eastAsiaTheme="minorHAnsi" w:cs="Arial"/>
        </w:rPr>
        <w:t xml:space="preserve"> </w:t>
      </w:r>
    </w:p>
    <w:p w:rsidR="008554F4" w:rsidRPr="008554F4" w:rsidRDefault="008554F4" w:rsidP="008554F4">
      <w:pPr>
        <w:numPr>
          <w:ilvl w:val="0"/>
          <w:numId w:val="12"/>
        </w:numPr>
        <w:spacing w:after="100" w:afterAutospacing="1"/>
        <w:rPr>
          <w:rFonts w:eastAsiaTheme="minorHAnsi" w:cs="Arial"/>
        </w:rPr>
      </w:pPr>
      <w:r w:rsidRPr="008554F4">
        <w:rPr>
          <w:rFonts w:eastAsiaTheme="minorHAnsi" w:cs="Arial"/>
        </w:rPr>
        <w:t xml:space="preserve">Eagle Rock High </w:t>
      </w:r>
    </w:p>
    <w:p w:rsidR="00FF7A2F" w:rsidRDefault="008554F4" w:rsidP="008554F4">
      <w:pPr>
        <w:numPr>
          <w:ilvl w:val="0"/>
          <w:numId w:val="12"/>
        </w:numPr>
        <w:spacing w:after="100" w:afterAutospacing="1"/>
        <w:rPr>
          <w:rFonts w:eastAsiaTheme="minorHAnsi" w:cs="Arial"/>
        </w:rPr>
      </w:pPr>
      <w:r w:rsidRPr="00FF7A2F">
        <w:rPr>
          <w:rFonts w:eastAsiaTheme="minorHAnsi" w:cs="Arial"/>
        </w:rPr>
        <w:t xml:space="preserve">Benjamin Franklin Senior High </w:t>
      </w:r>
    </w:p>
    <w:p w:rsidR="008554F4" w:rsidRPr="00FF7A2F" w:rsidRDefault="008554F4" w:rsidP="008554F4">
      <w:pPr>
        <w:numPr>
          <w:ilvl w:val="0"/>
          <w:numId w:val="12"/>
        </w:numPr>
        <w:spacing w:after="100" w:afterAutospacing="1"/>
        <w:rPr>
          <w:rFonts w:eastAsiaTheme="minorHAnsi" w:cs="Arial"/>
        </w:rPr>
      </w:pPr>
      <w:r w:rsidRPr="00FF7A2F">
        <w:rPr>
          <w:rFonts w:eastAsiaTheme="minorHAnsi" w:cs="Arial"/>
        </w:rPr>
        <w:t xml:space="preserve">Luther Burbank Middle </w:t>
      </w:r>
    </w:p>
    <w:p w:rsidR="008554F4" w:rsidRPr="008554F4" w:rsidRDefault="008554F4" w:rsidP="008554F4">
      <w:pPr>
        <w:numPr>
          <w:ilvl w:val="0"/>
          <w:numId w:val="12"/>
        </w:numPr>
        <w:spacing w:after="100" w:afterAutospacing="1"/>
        <w:rPr>
          <w:rFonts w:eastAsiaTheme="minorHAnsi" w:cs="Arial"/>
        </w:rPr>
      </w:pPr>
      <w:r w:rsidRPr="008554F4">
        <w:rPr>
          <w:rFonts w:eastAsiaTheme="minorHAnsi" w:cs="Arial"/>
        </w:rPr>
        <w:t>Washington Irving Middle School</w:t>
      </w:r>
      <w:r w:rsidR="00FF7A2F">
        <w:rPr>
          <w:rFonts w:eastAsiaTheme="minorHAnsi" w:cs="Arial"/>
        </w:rPr>
        <w:t xml:space="preserve"> Math, Music and Engineering Magnet</w:t>
      </w:r>
    </w:p>
    <w:p w:rsidR="00EC07DB" w:rsidRDefault="008554F4" w:rsidP="008554F4">
      <w:pPr>
        <w:spacing w:after="100" w:afterAutospacing="1"/>
        <w:rPr>
          <w:rFonts w:eastAsiaTheme="minorHAnsi" w:cs="Arial"/>
        </w:rPr>
        <w:sectPr w:rsidR="00EC07DB">
          <w:pgSz w:w="12240" w:h="15840"/>
          <w:pgMar w:top="1440" w:right="1440" w:bottom="1440" w:left="1440" w:header="720" w:footer="720" w:gutter="0"/>
          <w:cols w:space="720"/>
          <w:docGrid w:linePitch="360"/>
        </w:sectPr>
      </w:pPr>
      <w:r w:rsidRPr="008554F4">
        <w:rPr>
          <w:rFonts w:eastAsiaTheme="minorHAnsi" w:cs="Arial"/>
        </w:rPr>
        <w:t>The academic performance of these schools may be used as the comparison s</w:t>
      </w:r>
      <w:r w:rsidR="00EC07DB">
        <w:rPr>
          <w:rFonts w:eastAsiaTheme="minorHAnsi" w:cs="Arial"/>
        </w:rPr>
        <w:t>chools for purposes of renewal.</w:t>
      </w:r>
    </w:p>
    <w:p w:rsidR="008554F4" w:rsidRPr="00EC07DB" w:rsidRDefault="008554F4" w:rsidP="00EC07DB">
      <w:pPr>
        <w:pStyle w:val="Heading2"/>
        <w:jc w:val="center"/>
        <w:rPr>
          <w:sz w:val="36"/>
          <w:szCs w:val="36"/>
        </w:rPr>
      </w:pPr>
      <w:r w:rsidRPr="00EC07DB">
        <w:rPr>
          <w:sz w:val="36"/>
          <w:szCs w:val="36"/>
        </w:rPr>
        <w:lastRenderedPageBreak/>
        <w:t>California Assessment of Student Performance and Progress Test Results</w:t>
      </w:r>
    </w:p>
    <w:p w:rsidR="008554F4" w:rsidRPr="006B7754" w:rsidRDefault="008554F4" w:rsidP="00EC07DB">
      <w:pPr>
        <w:spacing w:after="100" w:afterAutospacing="1"/>
        <w:jc w:val="center"/>
        <w:rPr>
          <w:b/>
          <w:sz w:val="32"/>
          <w:szCs w:val="32"/>
        </w:rPr>
      </w:pPr>
      <w:r w:rsidRPr="006B7754">
        <w:rPr>
          <w:b/>
          <w:sz w:val="32"/>
          <w:szCs w:val="32"/>
        </w:rPr>
        <w:t>Schoolwide Percentage of All Grades Tested (6–8, 11)</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5000" w:type="pct"/>
        <w:jc w:val="center"/>
        <w:tblLook w:val="04A0" w:firstRow="1" w:lastRow="0" w:firstColumn="1" w:lastColumn="0" w:noHBand="0" w:noVBand="1"/>
        <w:tblDescription w:val="Schoolwide Percentage of All Grades Tested (6–8, 11) Standard Met/Exceeded for English Language Arts and Mathematics"/>
      </w:tblPr>
      <w:tblGrid>
        <w:gridCol w:w="2337"/>
        <w:gridCol w:w="2337"/>
        <w:gridCol w:w="2338"/>
        <w:gridCol w:w="2338"/>
      </w:tblGrid>
      <w:tr w:rsidR="008554F4" w:rsidTr="00F67499">
        <w:trPr>
          <w:cantSplit/>
          <w:tblHeader/>
          <w:jc w:val="center"/>
        </w:trPr>
        <w:tc>
          <w:tcPr>
            <w:tcW w:w="1250" w:type="pct"/>
            <w:shd w:val="clear" w:color="auto" w:fill="BFBFBF" w:themeFill="background1" w:themeFillShade="BF"/>
          </w:tcPr>
          <w:p w:rsidR="008554F4" w:rsidRPr="00EA3B5B" w:rsidRDefault="008554F4" w:rsidP="004616D2">
            <w:pPr>
              <w:spacing w:after="100" w:afterAutospacing="1"/>
              <w:rPr>
                <w:b/>
              </w:rPr>
            </w:pPr>
            <w:r>
              <w:rPr>
                <w:b/>
              </w:rPr>
              <w:t xml:space="preserve">Academia </w:t>
            </w:r>
            <w:proofErr w:type="spellStart"/>
            <w:r>
              <w:rPr>
                <w:b/>
              </w:rPr>
              <w:t>Avance</w:t>
            </w:r>
            <w:proofErr w:type="spellEnd"/>
            <w:r>
              <w:rPr>
                <w:b/>
              </w:rPr>
              <w:t xml:space="preserve"> Charter</w:t>
            </w:r>
          </w:p>
        </w:tc>
        <w:tc>
          <w:tcPr>
            <w:tcW w:w="1250" w:type="pct"/>
            <w:shd w:val="clear" w:color="auto" w:fill="BFBFBF" w:themeFill="background1" w:themeFillShade="BF"/>
          </w:tcPr>
          <w:p w:rsidR="008554F4" w:rsidRPr="00EA3B5B" w:rsidRDefault="008554F4" w:rsidP="00F67499">
            <w:pPr>
              <w:spacing w:after="100" w:afterAutospacing="1"/>
              <w:jc w:val="center"/>
              <w:rPr>
                <w:b/>
              </w:rPr>
            </w:pPr>
            <w:r w:rsidRPr="00EA3B5B">
              <w:rPr>
                <w:b/>
              </w:rPr>
              <w:t>20</w:t>
            </w:r>
            <w:r>
              <w:rPr>
                <w:b/>
              </w:rPr>
              <w:t>15–</w:t>
            </w:r>
            <w:r w:rsidRPr="00EA3B5B">
              <w:rPr>
                <w:b/>
              </w:rPr>
              <w:t>16</w:t>
            </w:r>
          </w:p>
        </w:tc>
        <w:tc>
          <w:tcPr>
            <w:tcW w:w="1250" w:type="pct"/>
            <w:shd w:val="clear" w:color="auto" w:fill="BFBFBF" w:themeFill="background1" w:themeFillShade="BF"/>
          </w:tcPr>
          <w:p w:rsidR="008554F4" w:rsidRPr="00EA3B5B" w:rsidRDefault="008554F4" w:rsidP="00F67499">
            <w:pPr>
              <w:spacing w:after="100" w:afterAutospacing="1"/>
              <w:jc w:val="center"/>
              <w:rPr>
                <w:b/>
              </w:rPr>
            </w:pPr>
            <w:r w:rsidRPr="00EA3B5B">
              <w:rPr>
                <w:b/>
              </w:rPr>
              <w:t>20</w:t>
            </w:r>
            <w:r>
              <w:rPr>
                <w:b/>
              </w:rPr>
              <w:t>16–</w:t>
            </w:r>
            <w:r w:rsidRPr="00EA3B5B">
              <w:rPr>
                <w:b/>
              </w:rPr>
              <w:t>17</w:t>
            </w:r>
          </w:p>
        </w:tc>
        <w:tc>
          <w:tcPr>
            <w:tcW w:w="1250" w:type="pct"/>
            <w:shd w:val="clear" w:color="auto" w:fill="BFBFBF" w:themeFill="background1" w:themeFillShade="BF"/>
          </w:tcPr>
          <w:p w:rsidR="008554F4" w:rsidRPr="00EA3B5B" w:rsidRDefault="008554F4" w:rsidP="00F67499">
            <w:pPr>
              <w:spacing w:after="100" w:afterAutospacing="1"/>
              <w:jc w:val="center"/>
              <w:rPr>
                <w:b/>
              </w:rPr>
            </w:pPr>
            <w:r w:rsidRPr="00EA3B5B">
              <w:rPr>
                <w:b/>
              </w:rPr>
              <w:t>20</w:t>
            </w:r>
            <w:r>
              <w:rPr>
                <w:b/>
              </w:rPr>
              <w:t>17–</w:t>
            </w:r>
            <w:r w:rsidRPr="00EA3B5B">
              <w:rPr>
                <w:b/>
              </w:rPr>
              <w:t>18</w:t>
            </w:r>
          </w:p>
        </w:tc>
      </w:tr>
      <w:tr w:rsidR="008554F4" w:rsidTr="00F67499">
        <w:trPr>
          <w:cantSplit/>
          <w:jc w:val="center"/>
        </w:trPr>
        <w:tc>
          <w:tcPr>
            <w:tcW w:w="1250" w:type="pct"/>
            <w:shd w:val="clear" w:color="auto" w:fill="BFBFBF" w:themeFill="background1" w:themeFillShade="BF"/>
          </w:tcPr>
          <w:p w:rsidR="008554F4" w:rsidRPr="00EA3B5B" w:rsidRDefault="008554F4" w:rsidP="004616D2">
            <w:pPr>
              <w:spacing w:after="100" w:afterAutospacing="1"/>
              <w:rPr>
                <w:b/>
              </w:rPr>
            </w:pPr>
            <w:r w:rsidRPr="00EA3B5B">
              <w:rPr>
                <w:b/>
              </w:rPr>
              <w:t>ELA</w:t>
            </w:r>
          </w:p>
        </w:tc>
        <w:tc>
          <w:tcPr>
            <w:tcW w:w="1250" w:type="pct"/>
          </w:tcPr>
          <w:p w:rsidR="008554F4" w:rsidRDefault="008554F4" w:rsidP="00F67499">
            <w:pPr>
              <w:spacing w:after="100" w:afterAutospacing="1"/>
              <w:jc w:val="center"/>
            </w:pPr>
            <w:r>
              <w:t>27</w:t>
            </w:r>
          </w:p>
        </w:tc>
        <w:tc>
          <w:tcPr>
            <w:tcW w:w="1250" w:type="pct"/>
          </w:tcPr>
          <w:p w:rsidR="008554F4" w:rsidRDefault="008554F4" w:rsidP="00F67499">
            <w:pPr>
              <w:spacing w:after="100" w:afterAutospacing="1"/>
              <w:jc w:val="center"/>
            </w:pPr>
            <w:r>
              <w:t>27.96</w:t>
            </w:r>
          </w:p>
        </w:tc>
        <w:tc>
          <w:tcPr>
            <w:tcW w:w="1250" w:type="pct"/>
          </w:tcPr>
          <w:p w:rsidR="008554F4" w:rsidRDefault="008554F4" w:rsidP="00F67499">
            <w:pPr>
              <w:spacing w:after="100" w:afterAutospacing="1"/>
              <w:jc w:val="center"/>
            </w:pPr>
            <w:r>
              <w:t>32.40</w:t>
            </w:r>
          </w:p>
        </w:tc>
      </w:tr>
      <w:tr w:rsidR="008554F4" w:rsidTr="00F67499">
        <w:trPr>
          <w:cantSplit/>
          <w:jc w:val="center"/>
        </w:trPr>
        <w:tc>
          <w:tcPr>
            <w:tcW w:w="1250" w:type="pct"/>
            <w:shd w:val="clear" w:color="auto" w:fill="BFBFBF" w:themeFill="background1" w:themeFillShade="BF"/>
          </w:tcPr>
          <w:p w:rsidR="008554F4" w:rsidRPr="00EA3B5B" w:rsidRDefault="008554F4" w:rsidP="004616D2">
            <w:pPr>
              <w:spacing w:after="100" w:afterAutospacing="1"/>
              <w:rPr>
                <w:b/>
              </w:rPr>
            </w:pPr>
            <w:r w:rsidRPr="00EA3B5B">
              <w:rPr>
                <w:b/>
              </w:rPr>
              <w:t>Math</w:t>
            </w:r>
          </w:p>
        </w:tc>
        <w:tc>
          <w:tcPr>
            <w:tcW w:w="1250" w:type="pct"/>
          </w:tcPr>
          <w:p w:rsidR="008554F4" w:rsidRDefault="008554F4" w:rsidP="00F67499">
            <w:pPr>
              <w:spacing w:after="100" w:afterAutospacing="1"/>
              <w:jc w:val="center"/>
            </w:pPr>
            <w:r>
              <w:t>12</w:t>
            </w:r>
          </w:p>
        </w:tc>
        <w:tc>
          <w:tcPr>
            <w:tcW w:w="1250" w:type="pct"/>
          </w:tcPr>
          <w:p w:rsidR="008554F4" w:rsidRDefault="008554F4" w:rsidP="00F67499">
            <w:pPr>
              <w:spacing w:after="100" w:afterAutospacing="1"/>
              <w:jc w:val="center"/>
            </w:pPr>
            <w:r>
              <w:t>14.76</w:t>
            </w:r>
          </w:p>
        </w:tc>
        <w:tc>
          <w:tcPr>
            <w:tcW w:w="1250" w:type="pct"/>
          </w:tcPr>
          <w:p w:rsidR="008554F4" w:rsidRDefault="008554F4" w:rsidP="00F67499">
            <w:pPr>
              <w:spacing w:after="100" w:afterAutospacing="1"/>
              <w:jc w:val="center"/>
            </w:pPr>
            <w:r>
              <w:t>20.18</w:t>
            </w:r>
          </w:p>
        </w:tc>
      </w:tr>
    </w:tbl>
    <w:p w:rsidR="008554F4" w:rsidRPr="00EC07DB" w:rsidRDefault="008554F4" w:rsidP="004616D2">
      <w:pPr>
        <w:spacing w:before="240"/>
        <w:rPr>
          <w:b/>
        </w:rPr>
      </w:pPr>
      <w:r w:rsidRPr="00EC07DB">
        <w:rPr>
          <w:b/>
        </w:rPr>
        <w:t xml:space="preserve">Data Source </w:t>
      </w:r>
    </w:p>
    <w:p w:rsidR="008554F4" w:rsidRDefault="00A333E0" w:rsidP="008554F4">
      <w:hyperlink r:id="rId13" w:tooltip="CAASPP Dashboard" w:history="1">
        <w:r w:rsidR="008554F4" w:rsidRPr="00443959">
          <w:rPr>
            <w:rStyle w:val="Hyperlink"/>
          </w:rPr>
          <w:t>https://caaspp.cde.ca.gov/sb2018/ViewReport?ps=true&amp;lstTestYear=2018&amp;lstTestType=B&amp;lstGroup=1&amp;lstCounty=19&amp;lstDistrict=76968-000&amp;lstSchool=0109926</w:t>
        </w:r>
      </w:hyperlink>
    </w:p>
    <w:p w:rsidR="008554F4" w:rsidRDefault="008554F4" w:rsidP="008554F4">
      <w:pPr>
        <w:spacing w:before="240" w:after="100" w:afterAutospacing="1"/>
        <w:rPr>
          <w:b/>
        </w:rPr>
      </w:pPr>
      <w:r w:rsidRPr="006B7754">
        <w:t>Prepared by the California Department of Education, Charter Schools Division,</w:t>
      </w:r>
      <w:r>
        <w:t xml:space="preserve"> March 2019</w:t>
      </w:r>
    </w:p>
    <w:p w:rsidR="008554F4" w:rsidRPr="00F67499" w:rsidRDefault="008554F4" w:rsidP="00F67499">
      <w:pPr>
        <w:pStyle w:val="Heading2"/>
        <w:jc w:val="center"/>
        <w:rPr>
          <w:sz w:val="36"/>
          <w:szCs w:val="36"/>
        </w:rPr>
      </w:pPr>
      <w:r w:rsidRPr="00F67499">
        <w:rPr>
          <w:sz w:val="36"/>
          <w:szCs w:val="36"/>
        </w:rPr>
        <w:t>2018 California School Dashboard Data Summary Overview</w:t>
      </w:r>
    </w:p>
    <w:p w:rsidR="008554F4" w:rsidRDefault="008554F4" w:rsidP="008554F4">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8554F4" w:rsidTr="005B511F">
        <w:trPr>
          <w:cantSplit/>
          <w:tblHeader/>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Indicator</w:t>
            </w:r>
          </w:p>
        </w:tc>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Color</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ELA</w:t>
            </w:r>
          </w:p>
        </w:tc>
        <w:tc>
          <w:tcPr>
            <w:tcW w:w="4675" w:type="dxa"/>
          </w:tcPr>
          <w:p w:rsidR="008554F4" w:rsidRPr="0096434F" w:rsidRDefault="008554F4" w:rsidP="00EC07DB">
            <w:pPr>
              <w:spacing w:line="259" w:lineRule="auto"/>
              <w:jc w:val="center"/>
            </w:pPr>
            <w:r w:rsidRPr="0096434F">
              <w:t>Orange</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Math</w:t>
            </w:r>
          </w:p>
        </w:tc>
        <w:tc>
          <w:tcPr>
            <w:tcW w:w="4675" w:type="dxa"/>
          </w:tcPr>
          <w:p w:rsidR="008554F4" w:rsidRPr="0096434F" w:rsidRDefault="008554F4" w:rsidP="00EC07DB">
            <w:pPr>
              <w:spacing w:line="259" w:lineRule="auto"/>
              <w:jc w:val="center"/>
            </w:pPr>
            <w:r w:rsidRPr="0096434F">
              <w:t>Orange</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Chronic Absenteeism</w:t>
            </w:r>
          </w:p>
        </w:tc>
        <w:tc>
          <w:tcPr>
            <w:tcW w:w="4675" w:type="dxa"/>
          </w:tcPr>
          <w:p w:rsidR="008554F4" w:rsidRPr="0096434F" w:rsidRDefault="008554F4" w:rsidP="00EC07DB">
            <w:pPr>
              <w:spacing w:line="259" w:lineRule="auto"/>
              <w:jc w:val="center"/>
            </w:pPr>
            <w:r w:rsidRPr="0096434F">
              <w:t>Red</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Suspension Rate</w:t>
            </w:r>
          </w:p>
        </w:tc>
        <w:tc>
          <w:tcPr>
            <w:tcW w:w="4675" w:type="dxa"/>
          </w:tcPr>
          <w:p w:rsidR="008554F4" w:rsidRPr="0096434F" w:rsidRDefault="008554F4" w:rsidP="00EC07DB">
            <w:pPr>
              <w:spacing w:line="259" w:lineRule="auto"/>
              <w:jc w:val="center"/>
            </w:pPr>
            <w:r w:rsidRPr="0096434F">
              <w:t>Orange</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English Learner Progress</w:t>
            </w:r>
          </w:p>
        </w:tc>
        <w:tc>
          <w:tcPr>
            <w:tcW w:w="4675" w:type="dxa"/>
          </w:tcPr>
          <w:p w:rsidR="008554F4" w:rsidRPr="0096434F" w:rsidRDefault="008554F4" w:rsidP="00EC07DB">
            <w:pPr>
              <w:spacing w:line="259" w:lineRule="auto"/>
              <w:jc w:val="center"/>
            </w:pPr>
            <w:r w:rsidRPr="0096434F">
              <w:t>No Performance Color</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Graduation Rate</w:t>
            </w:r>
          </w:p>
        </w:tc>
        <w:tc>
          <w:tcPr>
            <w:tcW w:w="4675" w:type="dxa"/>
          </w:tcPr>
          <w:p w:rsidR="008554F4" w:rsidRPr="0096434F" w:rsidRDefault="008554F4" w:rsidP="00EC07DB">
            <w:pPr>
              <w:spacing w:line="259" w:lineRule="auto"/>
              <w:jc w:val="center"/>
            </w:pPr>
            <w:r w:rsidRPr="0096434F">
              <w:t>Blue</w:t>
            </w:r>
          </w:p>
        </w:tc>
      </w:tr>
      <w:tr w:rsidR="008554F4" w:rsidTr="005B511F">
        <w:trPr>
          <w:cantSplit/>
        </w:trPr>
        <w:tc>
          <w:tcPr>
            <w:tcW w:w="4675" w:type="dxa"/>
            <w:shd w:val="clear" w:color="auto" w:fill="BFBFBF" w:themeFill="background1" w:themeFillShade="BF"/>
          </w:tcPr>
          <w:p w:rsidR="008554F4" w:rsidRPr="0096434F" w:rsidRDefault="008554F4" w:rsidP="00EC07DB">
            <w:pPr>
              <w:spacing w:line="259" w:lineRule="auto"/>
              <w:jc w:val="center"/>
              <w:rPr>
                <w:b/>
              </w:rPr>
            </w:pPr>
            <w:r w:rsidRPr="0096434F">
              <w:rPr>
                <w:b/>
              </w:rPr>
              <w:t>College/Career</w:t>
            </w:r>
          </w:p>
        </w:tc>
        <w:tc>
          <w:tcPr>
            <w:tcW w:w="4675" w:type="dxa"/>
          </w:tcPr>
          <w:p w:rsidR="008554F4" w:rsidRPr="0096434F" w:rsidRDefault="008554F4" w:rsidP="00EC07DB">
            <w:pPr>
              <w:spacing w:line="259" w:lineRule="auto"/>
              <w:jc w:val="center"/>
            </w:pPr>
            <w:r w:rsidRPr="0096434F">
              <w:t>Blue</w:t>
            </w:r>
          </w:p>
        </w:tc>
      </w:tr>
    </w:tbl>
    <w:p w:rsidR="008554F4" w:rsidRPr="00EC07DB" w:rsidRDefault="008554F4" w:rsidP="004616D2">
      <w:pPr>
        <w:spacing w:before="240"/>
        <w:rPr>
          <w:b/>
        </w:rPr>
      </w:pPr>
      <w:r w:rsidRPr="00EC07DB">
        <w:rPr>
          <w:b/>
        </w:rPr>
        <w:t xml:space="preserve">Data Source </w:t>
      </w:r>
    </w:p>
    <w:p w:rsidR="008554F4" w:rsidRPr="00101643" w:rsidRDefault="00A333E0" w:rsidP="00EC07DB">
      <w:pPr>
        <w:spacing w:after="100" w:afterAutospacing="1"/>
        <w:rPr>
          <w:color w:val="0000FF"/>
          <w:u w:val="single"/>
        </w:rPr>
      </w:pPr>
      <w:hyperlink r:id="rId14" w:tooltip="CAASPP Dashboard" w:history="1">
        <w:r w:rsidR="008554F4" w:rsidRPr="00715FB2">
          <w:rPr>
            <w:rStyle w:val="Hyperlink"/>
          </w:rPr>
          <w:t>https://www.caschooldashboard.org/reports/19769680109926/2018</w:t>
        </w:r>
      </w:hyperlink>
    </w:p>
    <w:p w:rsidR="008554F4" w:rsidRPr="00EA3B5B" w:rsidRDefault="008554F4" w:rsidP="008554F4">
      <w:r w:rsidRPr="00EA3B5B">
        <w:t>Prepared by the California Department of Education, Charter Schools Division,</w:t>
      </w:r>
      <w:r>
        <w:t xml:space="preserve"> March 2019</w:t>
      </w:r>
      <w:bookmarkStart w:id="0" w:name="_GoBack"/>
      <w:bookmarkEnd w:id="0"/>
    </w:p>
    <w:sectPr w:rsidR="008554F4" w:rsidRPr="00EA3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5B2" w:rsidRDefault="006825B2" w:rsidP="004616D2">
      <w:r>
        <w:separator/>
      </w:r>
    </w:p>
  </w:endnote>
  <w:endnote w:type="continuationSeparator" w:id="0">
    <w:p w:rsidR="006825B2" w:rsidRDefault="006825B2" w:rsidP="0046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5B2" w:rsidRDefault="006825B2" w:rsidP="004616D2">
      <w:r>
        <w:separator/>
      </w:r>
    </w:p>
  </w:footnote>
  <w:footnote w:type="continuationSeparator" w:id="0">
    <w:p w:rsidR="006825B2" w:rsidRDefault="006825B2" w:rsidP="0046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6D2" w:rsidRDefault="004616D2" w:rsidP="004616D2">
    <w:pPr>
      <w:pStyle w:val="Header"/>
      <w:jc w:val="right"/>
    </w:pPr>
    <w:r>
      <w:t>memo-gacsb-csd-jun19item02</w:t>
    </w:r>
  </w:p>
  <w:p w:rsidR="004616D2" w:rsidRDefault="004616D2" w:rsidP="004616D2">
    <w:pPr>
      <w:pStyle w:val="Header"/>
      <w:jc w:val="right"/>
    </w:pPr>
    <w:r>
      <w:t>Attachment 1</w:t>
    </w:r>
  </w:p>
  <w:p w:rsidR="004616D2" w:rsidRDefault="004616D2" w:rsidP="004616D2">
    <w:pPr>
      <w:pStyle w:val="Header"/>
      <w:spacing w:after="100" w:afterAutospacing="1"/>
      <w:jc w:val="right"/>
    </w:pPr>
    <w:r>
      <w:t xml:space="preserve">Page </w:t>
    </w:r>
    <w:r>
      <w:fldChar w:fldCharType="begin"/>
    </w:r>
    <w:r>
      <w:instrText xml:space="preserve"> PAGE   \* MERGEFORMAT </w:instrText>
    </w:r>
    <w:r>
      <w:fldChar w:fldCharType="separate"/>
    </w:r>
    <w:r w:rsidR="000A18A0">
      <w:rPr>
        <w:noProof/>
      </w:rPr>
      <w:t>2</w:t>
    </w:r>
    <w:r>
      <w:fldChar w:fldCharType="end"/>
    </w:r>
    <w:r>
      <w:t xml:space="preserve"> of </w:t>
    </w:r>
    <w:r w:rsidR="00A333E0">
      <w:fldChar w:fldCharType="begin"/>
    </w:r>
    <w:r w:rsidR="00A333E0">
      <w:instrText xml:space="preserve"> NUMPAGES   \* MERGEFORMAT </w:instrText>
    </w:r>
    <w:r w:rsidR="00A333E0">
      <w:fldChar w:fldCharType="separate"/>
    </w:r>
    <w:r w:rsidR="000A18A0">
      <w:rPr>
        <w:noProof/>
      </w:rPr>
      <w:t>4</w:t>
    </w:r>
    <w:r w:rsidR="00A333E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CA"/>
    <w:rsid w:val="0006792D"/>
    <w:rsid w:val="00087E52"/>
    <w:rsid w:val="000A18A0"/>
    <w:rsid w:val="000F7AF5"/>
    <w:rsid w:val="00161238"/>
    <w:rsid w:val="001A0CA5"/>
    <w:rsid w:val="00223F78"/>
    <w:rsid w:val="00254AD1"/>
    <w:rsid w:val="002E4CB5"/>
    <w:rsid w:val="00305830"/>
    <w:rsid w:val="00375B12"/>
    <w:rsid w:val="00426F9F"/>
    <w:rsid w:val="00430734"/>
    <w:rsid w:val="004616D2"/>
    <w:rsid w:val="004D58E8"/>
    <w:rsid w:val="004E4EA6"/>
    <w:rsid w:val="004E7AC1"/>
    <w:rsid w:val="00543ED9"/>
    <w:rsid w:val="00571AEF"/>
    <w:rsid w:val="00590B81"/>
    <w:rsid w:val="005B511F"/>
    <w:rsid w:val="005C5B70"/>
    <w:rsid w:val="005C7248"/>
    <w:rsid w:val="006825B2"/>
    <w:rsid w:val="007428B8"/>
    <w:rsid w:val="00750959"/>
    <w:rsid w:val="007E5BF1"/>
    <w:rsid w:val="007E64ED"/>
    <w:rsid w:val="007F380D"/>
    <w:rsid w:val="007F5F3F"/>
    <w:rsid w:val="0081256C"/>
    <w:rsid w:val="00814902"/>
    <w:rsid w:val="008426A9"/>
    <w:rsid w:val="008554F4"/>
    <w:rsid w:val="00884D59"/>
    <w:rsid w:val="008E4D20"/>
    <w:rsid w:val="009273CA"/>
    <w:rsid w:val="009424F5"/>
    <w:rsid w:val="0097269B"/>
    <w:rsid w:val="00985C28"/>
    <w:rsid w:val="009B3E8C"/>
    <w:rsid w:val="009C70F5"/>
    <w:rsid w:val="009D23D9"/>
    <w:rsid w:val="00A333E0"/>
    <w:rsid w:val="00AB5537"/>
    <w:rsid w:val="00AE0C8E"/>
    <w:rsid w:val="00AF0211"/>
    <w:rsid w:val="00AF0444"/>
    <w:rsid w:val="00B15BFB"/>
    <w:rsid w:val="00B24BAF"/>
    <w:rsid w:val="00B779BB"/>
    <w:rsid w:val="00B830D7"/>
    <w:rsid w:val="00BA33F5"/>
    <w:rsid w:val="00BA71AB"/>
    <w:rsid w:val="00BB1847"/>
    <w:rsid w:val="00BC76C9"/>
    <w:rsid w:val="00BE09A8"/>
    <w:rsid w:val="00BE3382"/>
    <w:rsid w:val="00BE451F"/>
    <w:rsid w:val="00C21731"/>
    <w:rsid w:val="00C77D38"/>
    <w:rsid w:val="00C82975"/>
    <w:rsid w:val="00CA6E47"/>
    <w:rsid w:val="00CA7650"/>
    <w:rsid w:val="00CB30FC"/>
    <w:rsid w:val="00CB6664"/>
    <w:rsid w:val="00D022D4"/>
    <w:rsid w:val="00D15074"/>
    <w:rsid w:val="00D41632"/>
    <w:rsid w:val="00D47DAB"/>
    <w:rsid w:val="00DA52B3"/>
    <w:rsid w:val="00DC52B0"/>
    <w:rsid w:val="00DC6AE6"/>
    <w:rsid w:val="00DC774C"/>
    <w:rsid w:val="00E634EC"/>
    <w:rsid w:val="00E90B6F"/>
    <w:rsid w:val="00EA58D4"/>
    <w:rsid w:val="00EC07DB"/>
    <w:rsid w:val="00F0346E"/>
    <w:rsid w:val="00F655A2"/>
    <w:rsid w:val="00F67499"/>
    <w:rsid w:val="00FE3007"/>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A84CABD-8038-48B6-84BA-86E86045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3C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39"/>
    <w:rsid w:val="0085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511F"/>
    <w:rPr>
      <w:color w:val="954F72" w:themeColor="followedHyperlink"/>
      <w:u w:val="single"/>
    </w:rPr>
  </w:style>
  <w:style w:type="paragraph" w:styleId="Header">
    <w:name w:val="header"/>
    <w:basedOn w:val="Normal"/>
    <w:link w:val="HeaderChar"/>
    <w:uiPriority w:val="99"/>
    <w:unhideWhenUsed/>
    <w:rsid w:val="004616D2"/>
    <w:pPr>
      <w:tabs>
        <w:tab w:val="center" w:pos="4680"/>
        <w:tab w:val="right" w:pos="9360"/>
      </w:tabs>
    </w:pPr>
  </w:style>
  <w:style w:type="character" w:customStyle="1" w:styleId="HeaderChar">
    <w:name w:val="Header Char"/>
    <w:basedOn w:val="DefaultParagraphFont"/>
    <w:link w:val="Header"/>
    <w:uiPriority w:val="99"/>
    <w:rsid w:val="004616D2"/>
    <w:rPr>
      <w:rFonts w:ascii="Arial" w:eastAsia="Times New Roman" w:hAnsi="Arial" w:cs="Times New Roman"/>
      <w:sz w:val="24"/>
      <w:szCs w:val="24"/>
    </w:rPr>
  </w:style>
  <w:style w:type="paragraph" w:styleId="Footer">
    <w:name w:val="footer"/>
    <w:basedOn w:val="Normal"/>
    <w:link w:val="FooterChar"/>
    <w:uiPriority w:val="99"/>
    <w:unhideWhenUsed/>
    <w:rsid w:val="004616D2"/>
    <w:pPr>
      <w:tabs>
        <w:tab w:val="center" w:pos="4680"/>
        <w:tab w:val="right" w:pos="9360"/>
      </w:tabs>
    </w:pPr>
  </w:style>
  <w:style w:type="character" w:customStyle="1" w:styleId="FooterChar">
    <w:name w:val="Footer Char"/>
    <w:basedOn w:val="DefaultParagraphFont"/>
    <w:link w:val="Footer"/>
    <w:uiPriority w:val="99"/>
    <w:rsid w:val="004616D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Group=1&amp;lstCounty=19&amp;lstDistrict=76968-000&amp;lstSchool=0109926" TargetMode="External"/><Relationship Id="rId13" Type="http://schemas.openxmlformats.org/officeDocument/2006/relationships/hyperlink" Target="https://caaspp.cde.ca.gov/sb2018/ViewReport?ps=true&amp;lstTestYear=2018&amp;lstTestType=B&amp;lstGroup=1&amp;lstCounty=19&amp;lstDistrict=76968-000&amp;lstSchool=0109926" TargetMode="External"/><Relationship Id="rId3" Type="http://schemas.openxmlformats.org/officeDocument/2006/relationships/settings" Target="settings.xml"/><Relationship Id="rId7" Type="http://schemas.openxmlformats.org/officeDocument/2006/relationships/hyperlink" Target="http://www.academiaavance.org/"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19769680109926/2018" TargetMode="External"/><Relationship Id="rId14" Type="http://schemas.openxmlformats.org/officeDocument/2006/relationships/hyperlink" Target="https://www.caschooldashboard.org/reports/19769680109926/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June 2019 Memorandum Item 02 Attachment 1 - Information Memorandum (CA State Board of Education)</vt:lpstr>
    </vt:vector>
  </TitlesOfParts>
  <Company>California State Board of Education</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1 - Information Memorandum (CA State Board of Education)</dc:title>
  <dc:subject>Academia Avance Charter. Contains the letter and California Assessment of Student Performance and Progress Test Results sent by CDE.</dc:subject>
  <dc:creator/>
  <cp:keywords/>
  <dc:description/>
  <cp:lastPrinted>2017-12-08T22:18:00Z</cp:lastPrinted>
  <dcterms:created xsi:type="dcterms:W3CDTF">2019-05-22T21:46:00Z</dcterms:created>
  <dcterms:modified xsi:type="dcterms:W3CDTF">2019-08-02T18:39:00Z</dcterms:modified>
  <cp:category/>
</cp:coreProperties>
</file>