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851" w:rsidRPr="00C01AD4" w:rsidRDefault="00074851" w:rsidP="00C01AD4">
      <w:pPr>
        <w:pStyle w:val="Heading1"/>
        <w:jc w:val="center"/>
        <w:rPr>
          <w:sz w:val="40"/>
          <w:szCs w:val="40"/>
        </w:rPr>
      </w:pPr>
      <w:bookmarkStart w:id="0" w:name="_GoBack"/>
      <w:bookmarkEnd w:id="0"/>
      <w:r w:rsidRPr="00C01AD4">
        <w:rPr>
          <w:sz w:val="40"/>
          <w:szCs w:val="40"/>
        </w:rPr>
        <w:t>High Tech Middle North County</w:t>
      </w:r>
    </w:p>
    <w:p w:rsidR="00074851" w:rsidRPr="0061608F" w:rsidRDefault="00074851" w:rsidP="00074851">
      <w:pPr>
        <w:spacing w:before="120" w:after="240"/>
        <w:rPr>
          <w:rFonts w:cs="Arial"/>
        </w:rPr>
      </w:pPr>
      <w:r w:rsidRPr="0061608F">
        <w:rPr>
          <w:rFonts w:cs="Arial"/>
        </w:rPr>
        <w:t xml:space="preserve">Address: </w:t>
      </w:r>
      <w:r>
        <w:rPr>
          <w:rFonts w:cs="Arial"/>
        </w:rPr>
        <w:t>1460 West San Marcos Boulevard, San Marcos, CA 92078-4017</w:t>
      </w:r>
    </w:p>
    <w:p w:rsidR="00A87359" w:rsidRDefault="00074851" w:rsidP="00074851">
      <w:pPr>
        <w:spacing w:before="120" w:after="240"/>
        <w:rPr>
          <w:rStyle w:val="Hyperlink"/>
          <w:rFonts w:eastAsiaTheme="majorEastAsia" w:cs="Arial"/>
        </w:rPr>
      </w:pPr>
      <w:r>
        <w:rPr>
          <w:rFonts w:cs="Arial"/>
        </w:rPr>
        <w:t>Web s</w:t>
      </w:r>
      <w:r w:rsidRPr="0061608F">
        <w:rPr>
          <w:rFonts w:cs="Arial"/>
        </w:rPr>
        <w:t xml:space="preserve">ite </w:t>
      </w:r>
      <w:r>
        <w:rPr>
          <w:rFonts w:cs="Arial"/>
        </w:rPr>
        <w:t>Address</w:t>
      </w:r>
      <w:r w:rsidRPr="0061608F">
        <w:rPr>
          <w:rFonts w:cs="Arial"/>
        </w:rPr>
        <w:t xml:space="preserve">: </w:t>
      </w:r>
      <w:hyperlink r:id="rId7" w:tgtFrame="_blank" w:tooltip="High Tech Middle North County" w:history="1">
        <w:r w:rsidRPr="008A3CEA">
          <w:rPr>
            <w:rStyle w:val="Hyperlink"/>
            <w:rFonts w:eastAsiaTheme="majorEastAsia" w:cs="Arial"/>
          </w:rPr>
          <w:t>www.hightechhigh.org</w:t>
        </w:r>
      </w:hyperlink>
    </w:p>
    <w:p w:rsidR="00074851" w:rsidRPr="0061608F" w:rsidRDefault="00074851" w:rsidP="00074851">
      <w:pPr>
        <w:spacing w:before="120" w:after="240"/>
        <w:rPr>
          <w:rFonts w:cs="Arial"/>
        </w:rPr>
      </w:pPr>
      <w:r>
        <w:rPr>
          <w:rFonts w:cs="Arial"/>
        </w:rPr>
        <w:t>County-</w:t>
      </w:r>
      <w:r w:rsidRPr="0061608F">
        <w:rPr>
          <w:rFonts w:cs="Arial"/>
        </w:rPr>
        <w:t>District</w:t>
      </w:r>
      <w:r>
        <w:rPr>
          <w:rFonts w:cs="Arial"/>
        </w:rPr>
        <w:t>-</w:t>
      </w:r>
      <w:r w:rsidRPr="0061608F">
        <w:rPr>
          <w:rFonts w:cs="Arial"/>
        </w:rPr>
        <w:t xml:space="preserve">School Code: </w:t>
      </w:r>
      <w:r w:rsidRPr="003A5312">
        <w:rPr>
          <w:rFonts w:cs="Arial"/>
          <w:color w:val="000000"/>
        </w:rPr>
        <w:t>37 76471 0119271</w:t>
      </w:r>
    </w:p>
    <w:p w:rsidR="00074851" w:rsidRPr="0061608F" w:rsidRDefault="00074851" w:rsidP="00074851">
      <w:pPr>
        <w:spacing w:before="120" w:after="240"/>
        <w:rPr>
          <w:rFonts w:cs="Arial"/>
        </w:rPr>
      </w:pPr>
      <w:r w:rsidRPr="0061608F">
        <w:rPr>
          <w:rFonts w:cs="Arial"/>
        </w:rPr>
        <w:t xml:space="preserve">Charter Number: </w:t>
      </w:r>
      <w:r>
        <w:rPr>
          <w:rFonts w:cs="Arial"/>
        </w:rPr>
        <w:t>0756</w:t>
      </w:r>
    </w:p>
    <w:p w:rsidR="00074851" w:rsidRPr="0061608F" w:rsidRDefault="00074851" w:rsidP="00074851">
      <w:pPr>
        <w:spacing w:before="120" w:after="240"/>
        <w:rPr>
          <w:rFonts w:cs="Arial"/>
        </w:rPr>
      </w:pPr>
      <w:r w:rsidRPr="0061608F">
        <w:rPr>
          <w:rFonts w:cs="Arial"/>
        </w:rPr>
        <w:t xml:space="preserve">Charter Term: </w:t>
      </w:r>
      <w:r>
        <w:rPr>
          <w:rFonts w:cs="Arial"/>
        </w:rPr>
        <w:t>July 1, 2017, through June 30, 2022</w:t>
      </w:r>
    </w:p>
    <w:p w:rsidR="00074851" w:rsidRPr="0061608F" w:rsidRDefault="00074851" w:rsidP="00074851">
      <w:pPr>
        <w:spacing w:before="120" w:after="240"/>
        <w:rPr>
          <w:rFonts w:cs="Arial"/>
        </w:rPr>
      </w:pPr>
      <w:r w:rsidRPr="0061608F">
        <w:rPr>
          <w:rFonts w:cs="Arial"/>
        </w:rPr>
        <w:t xml:space="preserve">School Description: </w:t>
      </w:r>
      <w:r w:rsidRPr="001E6904">
        <w:rPr>
          <w:rFonts w:cs="Arial"/>
          <w:color w:val="000000"/>
        </w:rPr>
        <w:t xml:space="preserve">High Tech Middle North County </w:t>
      </w:r>
      <w:r>
        <w:rPr>
          <w:rFonts w:cs="Arial"/>
          <w:color w:val="000000"/>
        </w:rPr>
        <w:t xml:space="preserve">(HTMNC) </w:t>
      </w:r>
      <w:r w:rsidRPr="001E6904">
        <w:rPr>
          <w:rFonts w:cs="Arial"/>
          <w:color w:val="000000"/>
        </w:rPr>
        <w:t xml:space="preserve">is proud to serve our community and offer a rigorous, project-based approach to learning. At HTMNC, our curriculum is based on the </w:t>
      </w:r>
      <w:proofErr w:type="gramStart"/>
      <w:r w:rsidRPr="001E6904">
        <w:rPr>
          <w:rFonts w:cs="Arial"/>
          <w:color w:val="000000"/>
        </w:rPr>
        <w:t>H</w:t>
      </w:r>
      <w:r>
        <w:rPr>
          <w:rFonts w:cs="Arial"/>
          <w:color w:val="000000"/>
        </w:rPr>
        <w:t xml:space="preserve">igh </w:t>
      </w:r>
      <w:r w:rsidRPr="001E6904">
        <w:rPr>
          <w:rFonts w:cs="Arial"/>
          <w:color w:val="000000"/>
        </w:rPr>
        <w:t>T</w:t>
      </w:r>
      <w:r>
        <w:rPr>
          <w:rFonts w:cs="Arial"/>
          <w:color w:val="000000"/>
        </w:rPr>
        <w:t>ech</w:t>
      </w:r>
      <w:proofErr w:type="gramEnd"/>
      <w:r>
        <w:rPr>
          <w:rFonts w:cs="Arial"/>
          <w:color w:val="000000"/>
        </w:rPr>
        <w:t xml:space="preserve"> </w:t>
      </w:r>
      <w:r w:rsidRPr="001E6904">
        <w:rPr>
          <w:rFonts w:cs="Arial"/>
          <w:color w:val="000000"/>
        </w:rPr>
        <w:t>H</w:t>
      </w:r>
      <w:r>
        <w:rPr>
          <w:rFonts w:cs="Arial"/>
          <w:color w:val="000000"/>
        </w:rPr>
        <w:t>igh</w:t>
      </w:r>
      <w:r w:rsidRPr="001E6904">
        <w:rPr>
          <w:rFonts w:cs="Arial"/>
          <w:color w:val="000000"/>
        </w:rPr>
        <w:t xml:space="preserve"> design principles of common intellectual mission, adult world connection, and personalization. Teachers, as curriculum designers, strive to create innovative project-based learning experiences that will engage our diverse group of students in complex, authentic projects through which they will develop and apply skills and knowledge. Our classrooms are fully inclusive, as we work to help all students to reach their potential.</w:t>
      </w:r>
    </w:p>
    <w:p w:rsidR="00074851" w:rsidRPr="0061608F" w:rsidRDefault="00074851" w:rsidP="00074851">
      <w:pPr>
        <w:spacing w:before="120" w:after="240"/>
        <w:rPr>
          <w:rFonts w:cs="Arial"/>
        </w:rPr>
      </w:pPr>
      <w:r w:rsidRPr="0061608F">
        <w:rPr>
          <w:rFonts w:cs="Arial"/>
        </w:rPr>
        <w:t xml:space="preserve">Grade Levels Served: </w:t>
      </w:r>
      <w:r>
        <w:rPr>
          <w:rFonts w:cs="Arial"/>
        </w:rPr>
        <w:t>Grade Six through Grade Eight</w:t>
      </w:r>
    </w:p>
    <w:p w:rsidR="00074851" w:rsidRDefault="004619F8" w:rsidP="00074851">
      <w:pPr>
        <w:spacing w:before="120" w:after="240"/>
        <w:rPr>
          <w:rFonts w:cs="Arial"/>
        </w:rPr>
      </w:pPr>
      <w:r>
        <w:rPr>
          <w:rFonts w:cs="Arial"/>
        </w:rPr>
        <w:t>2017–18</w:t>
      </w:r>
      <w:r w:rsidR="00074851">
        <w:rPr>
          <w:rFonts w:cs="Arial"/>
        </w:rPr>
        <w:t xml:space="preserve"> Enrollment: 325</w:t>
      </w:r>
    </w:p>
    <w:p w:rsidR="007F5F3F" w:rsidRPr="00C826BA" w:rsidRDefault="00074851" w:rsidP="00C826BA">
      <w:pPr>
        <w:spacing w:before="120" w:after="240"/>
        <w:contextualSpacing/>
        <w:rPr>
          <w:rFonts w:cs="Arial"/>
        </w:rPr>
      </w:pPr>
      <w:r w:rsidRPr="0061608F">
        <w:rPr>
          <w:rFonts w:cs="Arial"/>
        </w:rPr>
        <w:t>Site Based or Non-Site Based:</w:t>
      </w:r>
      <w:r>
        <w:rPr>
          <w:rFonts w:cs="Arial"/>
        </w:rPr>
        <w:t xml:space="preserve"> Site Based</w:t>
      </w:r>
    </w:p>
    <w:p w:rsidR="00C826BA" w:rsidRPr="00C01AD4" w:rsidRDefault="00C826BA" w:rsidP="00C01AD4">
      <w:pPr>
        <w:pStyle w:val="Heading2"/>
        <w:rPr>
          <w:sz w:val="36"/>
          <w:szCs w:val="36"/>
        </w:rPr>
      </w:pPr>
      <w:r w:rsidRPr="00C01AD4">
        <w:rPr>
          <w:sz w:val="36"/>
          <w:szCs w:val="36"/>
        </w:rPr>
        <w:t xml:space="preserve">Data Sources: </w:t>
      </w:r>
    </w:p>
    <w:p w:rsidR="00C826BA" w:rsidRPr="00C826BA" w:rsidRDefault="00C826BA" w:rsidP="00C826BA">
      <w:pPr>
        <w:spacing w:after="240"/>
        <w:rPr>
          <w:rFonts w:eastAsiaTheme="minorHAnsi" w:cstheme="minorBidi"/>
          <w:b/>
          <w:szCs w:val="22"/>
        </w:rPr>
      </w:pPr>
      <w:r w:rsidRPr="00C826BA">
        <w:rPr>
          <w:rFonts w:eastAsiaTheme="minorHAnsi" w:cstheme="minorBidi"/>
          <w:b/>
          <w:szCs w:val="22"/>
        </w:rPr>
        <w:t>CAASPP</w:t>
      </w:r>
    </w:p>
    <w:p w:rsidR="00C826BA" w:rsidRPr="00C826BA" w:rsidRDefault="00683A67" w:rsidP="00C826BA">
      <w:pPr>
        <w:spacing w:after="240"/>
        <w:rPr>
          <w:rFonts w:eastAsiaTheme="minorHAnsi" w:cstheme="minorBidi"/>
          <w:szCs w:val="22"/>
        </w:rPr>
      </w:pPr>
      <w:hyperlink r:id="rId8" w:tooltip="CAASPP Dashboard" w:history="1">
        <w:r w:rsidR="00C826BA" w:rsidRPr="00C826BA">
          <w:rPr>
            <w:rFonts w:eastAsiaTheme="minorHAnsi" w:cstheme="minorBidi"/>
            <w:color w:val="0000FF"/>
            <w:szCs w:val="22"/>
            <w:u w:val="single"/>
          </w:rPr>
          <w:t>https://caaspp.cde.ca.gov/sb2018/ViewReport?ps=true&amp;lstTestYear=2018&amp;lstTestType=B&amp;lstCounty=37&amp;lstDistrict=76471-0119271&amp;lstSchool=0119271&amp;lstSubGroup=1&amp;keywd=high%20tech&amp;ct=14</w:t>
        </w:r>
      </w:hyperlink>
    </w:p>
    <w:p w:rsidR="00C826BA" w:rsidRPr="00C826BA" w:rsidRDefault="00C826BA" w:rsidP="00C826BA">
      <w:pPr>
        <w:spacing w:after="240"/>
        <w:rPr>
          <w:rFonts w:eastAsiaTheme="minorHAnsi" w:cstheme="minorBidi"/>
          <w:b/>
          <w:szCs w:val="22"/>
        </w:rPr>
      </w:pPr>
      <w:r w:rsidRPr="00C826BA">
        <w:rPr>
          <w:rFonts w:eastAsiaTheme="minorHAnsi" w:cstheme="minorBidi"/>
          <w:b/>
          <w:szCs w:val="22"/>
        </w:rPr>
        <w:t>CA School Dashboard</w:t>
      </w:r>
    </w:p>
    <w:p w:rsidR="00C826BA" w:rsidRDefault="00683A67" w:rsidP="00C826BA">
      <w:pPr>
        <w:spacing w:after="240"/>
        <w:rPr>
          <w:rFonts w:eastAsiaTheme="minorHAnsi" w:cstheme="minorBidi"/>
          <w:color w:val="0000FF"/>
          <w:szCs w:val="22"/>
          <w:u w:val="single"/>
        </w:rPr>
      </w:pPr>
      <w:hyperlink r:id="rId9" w:tooltip="California School Dashboard" w:history="1">
        <w:r w:rsidR="00C826BA" w:rsidRPr="00C826BA">
          <w:rPr>
            <w:rFonts w:eastAsiaTheme="minorHAnsi" w:cstheme="minorBidi"/>
            <w:color w:val="0000FF"/>
            <w:szCs w:val="22"/>
            <w:u w:val="single"/>
          </w:rPr>
          <w:t>https://www.caschooldashboard.org/reports/37764710119271/2018</w:t>
        </w:r>
      </w:hyperlink>
    </w:p>
    <w:p w:rsidR="00036CAA" w:rsidRDefault="00036CAA" w:rsidP="00C826BA">
      <w:pPr>
        <w:spacing w:after="240"/>
        <w:rPr>
          <w:rFonts w:eastAsiaTheme="minorHAnsi" w:cstheme="minorBidi"/>
          <w:szCs w:val="22"/>
        </w:rPr>
        <w:sectPr w:rsidR="00036CAA">
          <w:headerReference w:type="default" r:id="rId10"/>
          <w:pgSz w:w="12240" w:h="15840"/>
          <w:pgMar w:top="1440" w:right="1440" w:bottom="1440" w:left="1440" w:header="720" w:footer="720" w:gutter="0"/>
          <w:cols w:space="720"/>
          <w:docGrid w:linePitch="360"/>
        </w:sectPr>
      </w:pPr>
    </w:p>
    <w:p w:rsidR="00036CAA" w:rsidRPr="00FD04B1" w:rsidRDefault="00036CAA" w:rsidP="00036CAA">
      <w:pPr>
        <w:spacing w:after="240"/>
        <w:rPr>
          <w:rFonts w:cs="Arial"/>
        </w:rPr>
      </w:pPr>
      <w:r>
        <w:rPr>
          <w:rFonts w:cs="Arial"/>
        </w:rPr>
        <w:lastRenderedPageBreak/>
        <w:t>Dear Chief Operating Officer Heredia,</w:t>
      </w:r>
    </w:p>
    <w:p w:rsidR="00036CAA" w:rsidRDefault="00036CAA" w:rsidP="00036CAA">
      <w:pPr>
        <w:spacing w:after="240"/>
        <w:rPr>
          <w:rFonts w:cs="Arial"/>
        </w:rPr>
      </w:pPr>
      <w:r>
        <w:rPr>
          <w:rFonts w:cs="Arial"/>
        </w:rPr>
        <w:t>The California Department of Education, Charter Schools Division, provides an annual academic update to the State Board of Education (SBE) in the form of an Ac</w:t>
      </w:r>
      <w:r w:rsidR="004E578A">
        <w:rPr>
          <w:rFonts w:cs="Arial"/>
        </w:rPr>
        <w:t>ademic Memo for each of the SBE-</w:t>
      </w:r>
      <w:r>
        <w:rPr>
          <w:rFonts w:cs="Arial"/>
        </w:rPr>
        <w:t xml:space="preserve">authorized charter schools. </w:t>
      </w:r>
      <w:r w:rsidRPr="004D1543">
        <w:rPr>
          <w:rFonts w:cs="Arial"/>
        </w:rPr>
        <w:t xml:space="preserve">This information </w:t>
      </w:r>
      <w:r>
        <w:rPr>
          <w:rFonts w:cs="Arial"/>
        </w:rPr>
        <w:t xml:space="preserve">below </w:t>
      </w:r>
      <w:r w:rsidRPr="004D1543">
        <w:rPr>
          <w:rFonts w:cs="Arial"/>
        </w:rPr>
        <w:t>is being provi</w:t>
      </w:r>
      <w:r w:rsidR="004E578A">
        <w:rPr>
          <w:rFonts w:cs="Arial"/>
        </w:rPr>
        <w:t>ded to each SBE-</w:t>
      </w:r>
      <w:r w:rsidRPr="004D1543">
        <w:rPr>
          <w:rFonts w:cs="Arial"/>
        </w:rPr>
        <w:t>authorized school in preparation for the annual Academic Memo that will be presented to the SBE members in June.</w:t>
      </w:r>
    </w:p>
    <w:p w:rsidR="00036CAA" w:rsidRDefault="00036CAA" w:rsidP="00036CAA">
      <w:pPr>
        <w:spacing w:after="240"/>
        <w:rPr>
          <w:rFonts w:cs="Arial"/>
        </w:rPr>
      </w:pPr>
      <w:r>
        <w:rPr>
          <w:rFonts w:cs="Arial"/>
        </w:rPr>
        <w:t xml:space="preserve">Attached is a </w:t>
      </w:r>
      <w:proofErr w:type="gramStart"/>
      <w:r>
        <w:rPr>
          <w:rFonts w:cs="Arial"/>
        </w:rPr>
        <w:t>high level</w:t>
      </w:r>
      <w:proofErr w:type="gramEnd"/>
      <w:r>
        <w:rPr>
          <w:rFonts w:cs="Arial"/>
        </w:rPr>
        <w:t xml:space="preserve"> review of your California Assessment of Student Performance and Progress (CAASP</w:t>
      </w:r>
      <w:r w:rsidRPr="004D1543">
        <w:rPr>
          <w:rFonts w:cs="Arial"/>
        </w:rPr>
        <w:t>P</w:t>
      </w:r>
      <w:r>
        <w:rPr>
          <w:rFonts w:cs="Arial"/>
        </w:rPr>
        <w:t>)</w:t>
      </w:r>
      <w:r w:rsidRPr="004D1543">
        <w:rPr>
          <w:rFonts w:cs="Arial"/>
        </w:rPr>
        <w:t xml:space="preserve"> data by year for E</w:t>
      </w:r>
      <w:r>
        <w:rPr>
          <w:rFonts w:cs="Arial"/>
        </w:rPr>
        <w:t>nglish language arts (ELA) and mathematics</w:t>
      </w:r>
      <w:r w:rsidRPr="004D1543">
        <w:rPr>
          <w:rFonts w:cs="Arial"/>
        </w:rPr>
        <w:t xml:space="preserve"> </w:t>
      </w:r>
      <w:r>
        <w:rPr>
          <w:rFonts w:cs="Arial"/>
        </w:rPr>
        <w:t>as reflected in the</w:t>
      </w:r>
      <w:r w:rsidRPr="004D1543">
        <w:rPr>
          <w:rFonts w:cs="Arial"/>
        </w:rPr>
        <w:t xml:space="preserve"> 2018 </w:t>
      </w:r>
      <w:r>
        <w:rPr>
          <w:rFonts w:cs="Arial"/>
        </w:rPr>
        <w:t>California Dashboard</w:t>
      </w:r>
      <w:r w:rsidRPr="004D1543">
        <w:rPr>
          <w:rFonts w:cs="Arial"/>
        </w:rPr>
        <w:t xml:space="preserve"> results for all students and student subgroup for each year the school </w:t>
      </w:r>
      <w:r>
        <w:rPr>
          <w:rFonts w:cs="Arial"/>
        </w:rPr>
        <w:t>has been authorized by the SBE.</w:t>
      </w:r>
    </w:p>
    <w:p w:rsidR="00036CAA" w:rsidRDefault="00036CAA" w:rsidP="00036CAA">
      <w:pPr>
        <w:spacing w:after="240"/>
        <w:rPr>
          <w:rFonts w:cs="Arial"/>
        </w:rPr>
      </w:pPr>
      <w:r>
        <w:rPr>
          <w:rFonts w:cs="Arial"/>
        </w:rPr>
        <w:t xml:space="preserve">Statewide Benefit Charter – High Tech Middle North County (SBC−HTMNC) is up for renewal in 2022. </w:t>
      </w:r>
      <w:r w:rsidRPr="004D1543">
        <w:rPr>
          <w:rFonts w:cs="Arial"/>
        </w:rPr>
        <w:t>B</w:t>
      </w:r>
      <w:r>
        <w:rPr>
          <w:rFonts w:cs="Arial"/>
        </w:rPr>
        <w:t>ased on SBC−HTMNC’s ELA and mathematics</w:t>
      </w:r>
      <w:r w:rsidRPr="004D1543">
        <w:rPr>
          <w:rFonts w:cs="Arial"/>
        </w:rPr>
        <w:t xml:space="preserve"> scores </w:t>
      </w:r>
      <w:r>
        <w:rPr>
          <w:rFonts w:cs="Arial"/>
        </w:rPr>
        <w:t>attached</w:t>
      </w:r>
      <w:r w:rsidRPr="004D1543">
        <w:rPr>
          <w:rFonts w:cs="Arial"/>
        </w:rPr>
        <w:t>, the academic performance of the</w:t>
      </w:r>
      <w:r>
        <w:rPr>
          <w:rFonts w:cs="Arial"/>
        </w:rPr>
        <w:t xml:space="preserve"> school appears to be improving.</w:t>
      </w:r>
    </w:p>
    <w:p w:rsidR="00036CAA" w:rsidRPr="00A72B0D" w:rsidRDefault="00036CAA" w:rsidP="00036CAA">
      <w:pPr>
        <w:spacing w:after="240"/>
        <w:rPr>
          <w:rFonts w:cs="Arial"/>
          <w:b/>
        </w:rPr>
      </w:pPr>
      <w:r w:rsidRPr="00A72B0D">
        <w:rPr>
          <w:rFonts w:cs="Arial"/>
          <w:b/>
        </w:rPr>
        <w:t>Written Response Needed: (no more than 3 pages)</w:t>
      </w:r>
    </w:p>
    <w:p w:rsidR="00036CAA" w:rsidRDefault="00036CAA" w:rsidP="00036CAA">
      <w:pPr>
        <w:spacing w:after="240"/>
        <w:rPr>
          <w:rFonts w:cs="Arial"/>
        </w:rPr>
      </w:pPr>
      <w:r>
        <w:rPr>
          <w:rFonts w:cs="Arial"/>
        </w:rPr>
        <w:t xml:space="preserve">Provide a written response </w:t>
      </w:r>
      <w:r w:rsidRPr="007E1A84">
        <w:rPr>
          <w:rFonts w:cs="Arial"/>
        </w:rPr>
        <w:t xml:space="preserve">by </w:t>
      </w:r>
      <w:r w:rsidRPr="00FC4B28">
        <w:rPr>
          <w:rFonts w:cs="Arial"/>
          <w:b/>
        </w:rPr>
        <w:t>April 26, 2019</w:t>
      </w:r>
      <w:r w:rsidRPr="007E1A84">
        <w:rPr>
          <w:rFonts w:cs="Arial"/>
        </w:rPr>
        <w:t>, and identify</w:t>
      </w:r>
      <w:r>
        <w:rPr>
          <w:rFonts w:cs="Arial"/>
        </w:rPr>
        <w:t xml:space="preserve"> how you have or will address in your 2019–2020 Local Control and Accountability Plan (LCAP) or Annual update the goals and timelines for improving performance schoolw</w:t>
      </w:r>
      <w:r w:rsidR="00E90FB9">
        <w:rPr>
          <w:rFonts w:cs="Arial"/>
        </w:rPr>
        <w:t>ide and for how the low-student</w:t>
      </w:r>
      <w:r>
        <w:rPr>
          <w:rFonts w:cs="Arial"/>
        </w:rPr>
        <w:t xml:space="preserve"> groups will be addressed. Please also state how the school will address any areas of decline in the coming school year. CDE will be reviewing your LCAP and this written response during monthly calls</w:t>
      </w:r>
      <w:r w:rsidR="00E90FB9">
        <w:rPr>
          <w:rFonts w:cs="Arial"/>
        </w:rPr>
        <w:t xml:space="preserve"> with the school as part of </w:t>
      </w:r>
      <w:r>
        <w:rPr>
          <w:rFonts w:cs="Arial"/>
        </w:rPr>
        <w:t>oversight.</w:t>
      </w:r>
    </w:p>
    <w:p w:rsidR="00036CAA" w:rsidRPr="002A5896" w:rsidRDefault="00036CAA" w:rsidP="00036CAA">
      <w:pPr>
        <w:spacing w:after="240"/>
        <w:rPr>
          <w:rFonts w:cs="Arial"/>
          <w:b/>
          <w:u w:val="single"/>
        </w:rPr>
      </w:pPr>
      <w:r w:rsidRPr="00A72B0D">
        <w:rPr>
          <w:rFonts w:cs="Arial"/>
          <w:b/>
        </w:rPr>
        <w:t>Renewal Criteria</w:t>
      </w:r>
    </w:p>
    <w:p w:rsidR="00036CAA" w:rsidRPr="00C13C3B" w:rsidRDefault="00036CAA" w:rsidP="00036CAA">
      <w:pPr>
        <w:autoSpaceDE w:val="0"/>
        <w:autoSpaceDN w:val="0"/>
        <w:adjustRightInd w:val="0"/>
        <w:spacing w:after="240"/>
        <w:rPr>
          <w:rFonts w:eastAsia="Calibri" w:cs="Arial"/>
          <w:bCs/>
        </w:rPr>
      </w:pPr>
      <w:r w:rsidRPr="00C13C3B">
        <w:rPr>
          <w:rFonts w:cs="Arial"/>
        </w:rPr>
        <w:t xml:space="preserve">Additionally, please be aware that </w:t>
      </w:r>
      <w:r w:rsidRPr="00FD04B1">
        <w:rPr>
          <w:rFonts w:cs="Arial"/>
        </w:rPr>
        <w:t>California</w:t>
      </w:r>
      <w:r w:rsidRPr="00FD04B1">
        <w:rPr>
          <w:rFonts w:cs="Arial"/>
          <w:i/>
        </w:rPr>
        <w:t xml:space="preserve"> Education</w:t>
      </w:r>
      <w:r>
        <w:rPr>
          <w:rFonts w:cs="Arial"/>
          <w:i/>
        </w:rPr>
        <w:t xml:space="preserve"> </w:t>
      </w:r>
      <w:r w:rsidRPr="00FD04B1">
        <w:rPr>
          <w:rFonts w:cs="Arial"/>
          <w:i/>
        </w:rPr>
        <w:t>Code</w:t>
      </w:r>
      <w:r>
        <w:rPr>
          <w:rFonts w:cs="Arial"/>
        </w:rPr>
        <w:t xml:space="preserve"> Section</w:t>
      </w:r>
      <w:r w:rsidRPr="00C13C3B">
        <w:rPr>
          <w:rFonts w:eastAsia="Calibri" w:cs="Arial"/>
          <w:bCs/>
        </w:rPr>
        <w:t xml:space="preserve"> 47607 s</w:t>
      </w:r>
      <w:r>
        <w:rPr>
          <w:rFonts w:eastAsia="Calibri" w:cs="Arial"/>
          <w:bCs/>
        </w:rPr>
        <w:t>ets forth grounds for renewing a petition.</w:t>
      </w:r>
    </w:p>
    <w:p w:rsidR="00036CAA" w:rsidRPr="00A72B0D" w:rsidRDefault="00036CAA" w:rsidP="00036CAA">
      <w:pPr>
        <w:numPr>
          <w:ilvl w:val="0"/>
          <w:numId w:val="11"/>
        </w:numPr>
        <w:autoSpaceDE w:val="0"/>
        <w:autoSpaceDN w:val="0"/>
        <w:adjustRightInd w:val="0"/>
        <w:spacing w:before="240" w:after="240"/>
        <w:rPr>
          <w:rFonts w:eastAsia="Calibri" w:cs="Arial"/>
          <w:bCs/>
        </w:rPr>
      </w:pPr>
      <w:r w:rsidRPr="00A72B0D">
        <w:rPr>
          <w:rFonts w:eastAsia="Calibri" w:cs="Arial"/>
          <w:bCs/>
        </w:rPr>
        <w:t>The authority that granted the charter shall consider increases in pupil academic achievement for all groups of pupils served by the charter school as the most important factor determining whether to grant a charter renewal.</w:t>
      </w:r>
    </w:p>
    <w:p w:rsidR="00036CAA" w:rsidRPr="00A72B0D" w:rsidRDefault="00036CAA" w:rsidP="00036CAA">
      <w:pPr>
        <w:numPr>
          <w:ilvl w:val="0"/>
          <w:numId w:val="11"/>
        </w:numPr>
        <w:autoSpaceDE w:val="0"/>
        <w:autoSpaceDN w:val="0"/>
        <w:adjustRightInd w:val="0"/>
        <w:spacing w:before="240" w:after="240"/>
        <w:rPr>
          <w:rFonts w:eastAsia="Calibri" w:cs="Arial"/>
          <w:bCs/>
        </w:rPr>
      </w:pPr>
      <w:r w:rsidRPr="00A72B0D">
        <w:rPr>
          <w:rFonts w:eastAsia="Calibri" w:cs="Arial"/>
          <w:bCs/>
        </w:rPr>
        <w:t xml:space="preserve">The entity that granted the charter determines that the academic performance of the charter school is at least equal to the academic performance of the public schools that the charter school pupils would otherwise have been required to attend, as well as the academic performance of the schools in the school district in which the charter school is located, </w:t>
      </w:r>
      <w:proofErr w:type="gramStart"/>
      <w:r w:rsidRPr="00A72B0D">
        <w:rPr>
          <w:rFonts w:eastAsia="Calibri" w:cs="Arial"/>
          <w:bCs/>
        </w:rPr>
        <w:t>taking into account</w:t>
      </w:r>
      <w:proofErr w:type="gramEnd"/>
      <w:r w:rsidRPr="00A72B0D">
        <w:rPr>
          <w:rFonts w:eastAsia="Calibri" w:cs="Arial"/>
          <w:bCs/>
        </w:rPr>
        <w:t xml:space="preserve"> the composition of the pupil population that is served at the charter school.</w:t>
      </w:r>
    </w:p>
    <w:p w:rsidR="00036CAA" w:rsidRDefault="00036CAA" w:rsidP="00036CAA">
      <w:pPr>
        <w:spacing w:after="240"/>
        <w:rPr>
          <w:rFonts w:cs="Arial"/>
        </w:rPr>
      </w:pPr>
      <w:r>
        <w:rPr>
          <w:rFonts w:cs="Arial"/>
        </w:rPr>
        <w:t xml:space="preserve">CDE </w:t>
      </w:r>
      <w:r w:rsidRPr="004D1543">
        <w:rPr>
          <w:rFonts w:cs="Arial"/>
        </w:rPr>
        <w:t>will be reviewing the C</w:t>
      </w:r>
      <w:r>
        <w:rPr>
          <w:rFonts w:cs="Arial"/>
        </w:rPr>
        <w:t>AASPP</w:t>
      </w:r>
      <w:r w:rsidRPr="004D1543">
        <w:rPr>
          <w:rFonts w:cs="Arial"/>
        </w:rPr>
        <w:t xml:space="preserve"> results</w:t>
      </w:r>
      <w:r>
        <w:rPr>
          <w:rFonts w:cs="Arial"/>
        </w:rPr>
        <w:t xml:space="preserve"> as part of the renewal process if SBC−HTMNC submits its renewal petition to the SBE for approval.</w:t>
      </w:r>
    </w:p>
    <w:p w:rsidR="00036CAA" w:rsidRDefault="00036CAA" w:rsidP="00036CAA">
      <w:pPr>
        <w:spacing w:after="240"/>
        <w:rPr>
          <w:rFonts w:cs="Arial"/>
        </w:rPr>
      </w:pPr>
      <w:r>
        <w:rPr>
          <w:rFonts w:cs="Arial"/>
        </w:rPr>
        <w:lastRenderedPageBreak/>
        <w:t xml:space="preserve">The following is a </w:t>
      </w:r>
      <w:r w:rsidR="00F90E3C">
        <w:rPr>
          <w:rFonts w:cs="Arial"/>
        </w:rPr>
        <w:t xml:space="preserve">list of schools within a </w:t>
      </w:r>
      <w:proofErr w:type="gramStart"/>
      <w:r w:rsidR="00F90E3C">
        <w:rPr>
          <w:rFonts w:cs="Arial"/>
        </w:rPr>
        <w:t>5 mile</w:t>
      </w:r>
      <w:proofErr w:type="gramEnd"/>
      <w:r>
        <w:rPr>
          <w:rFonts w:cs="Arial"/>
        </w:rPr>
        <w:t xml:space="preserve"> radius where the student</w:t>
      </w:r>
      <w:r w:rsidR="006B5C0A">
        <w:rPr>
          <w:rFonts w:cs="Arial"/>
        </w:rPr>
        <w:t>s would otherwise attend:</w:t>
      </w:r>
    </w:p>
    <w:p w:rsidR="00036CAA" w:rsidRDefault="00036CAA" w:rsidP="00036CAA">
      <w:pPr>
        <w:pStyle w:val="ListParagraph"/>
        <w:numPr>
          <w:ilvl w:val="0"/>
          <w:numId w:val="12"/>
        </w:numPr>
        <w:spacing w:after="240"/>
        <w:rPr>
          <w:rFonts w:ascii="Arial" w:hAnsi="Arial" w:cs="Arial"/>
          <w:sz w:val="24"/>
          <w:szCs w:val="24"/>
        </w:rPr>
      </w:pPr>
      <w:r>
        <w:rPr>
          <w:rFonts w:ascii="Arial" w:hAnsi="Arial" w:cs="Arial"/>
          <w:sz w:val="24"/>
          <w:szCs w:val="24"/>
        </w:rPr>
        <w:t xml:space="preserve">San Marcos Middle </w:t>
      </w:r>
    </w:p>
    <w:p w:rsidR="00036CAA" w:rsidRDefault="00036CAA" w:rsidP="00036CAA">
      <w:pPr>
        <w:pStyle w:val="ListParagraph"/>
        <w:numPr>
          <w:ilvl w:val="0"/>
          <w:numId w:val="12"/>
        </w:numPr>
        <w:spacing w:after="240"/>
        <w:rPr>
          <w:rFonts w:ascii="Arial" w:hAnsi="Arial" w:cs="Arial"/>
          <w:sz w:val="24"/>
          <w:szCs w:val="24"/>
        </w:rPr>
      </w:pPr>
      <w:r>
        <w:rPr>
          <w:rFonts w:ascii="Arial" w:hAnsi="Arial" w:cs="Arial"/>
          <w:sz w:val="24"/>
          <w:szCs w:val="24"/>
        </w:rPr>
        <w:t xml:space="preserve">San </w:t>
      </w:r>
      <w:proofErr w:type="spellStart"/>
      <w:r>
        <w:rPr>
          <w:rFonts w:ascii="Arial" w:hAnsi="Arial" w:cs="Arial"/>
          <w:sz w:val="24"/>
          <w:szCs w:val="24"/>
        </w:rPr>
        <w:t>Elijo</w:t>
      </w:r>
      <w:proofErr w:type="spellEnd"/>
      <w:r>
        <w:rPr>
          <w:rFonts w:ascii="Arial" w:hAnsi="Arial" w:cs="Arial"/>
          <w:sz w:val="24"/>
          <w:szCs w:val="24"/>
        </w:rPr>
        <w:t xml:space="preserve"> Middle </w:t>
      </w:r>
    </w:p>
    <w:p w:rsidR="00036CAA" w:rsidRDefault="00036CAA" w:rsidP="00036CAA">
      <w:pPr>
        <w:pStyle w:val="ListParagraph"/>
        <w:numPr>
          <w:ilvl w:val="0"/>
          <w:numId w:val="12"/>
        </w:numPr>
        <w:spacing w:after="240"/>
        <w:rPr>
          <w:rFonts w:ascii="Arial" w:hAnsi="Arial" w:cs="Arial"/>
          <w:sz w:val="24"/>
          <w:szCs w:val="24"/>
        </w:rPr>
      </w:pPr>
      <w:r>
        <w:rPr>
          <w:rFonts w:ascii="Arial" w:hAnsi="Arial" w:cs="Arial"/>
          <w:sz w:val="24"/>
          <w:szCs w:val="24"/>
        </w:rPr>
        <w:t xml:space="preserve">Woodland Park Middle </w:t>
      </w:r>
    </w:p>
    <w:p w:rsidR="00036CAA" w:rsidRDefault="00036CAA" w:rsidP="00036CAA">
      <w:pPr>
        <w:pStyle w:val="ListParagraph"/>
        <w:numPr>
          <w:ilvl w:val="0"/>
          <w:numId w:val="12"/>
        </w:numPr>
        <w:spacing w:after="240"/>
        <w:rPr>
          <w:rFonts w:ascii="Arial" w:hAnsi="Arial" w:cs="Arial"/>
          <w:sz w:val="24"/>
          <w:szCs w:val="24"/>
        </w:rPr>
      </w:pPr>
      <w:r>
        <w:rPr>
          <w:rFonts w:ascii="Arial" w:hAnsi="Arial" w:cs="Arial"/>
          <w:sz w:val="24"/>
          <w:szCs w:val="24"/>
        </w:rPr>
        <w:t xml:space="preserve">Madison Middle </w:t>
      </w:r>
    </w:p>
    <w:p w:rsidR="00036CAA" w:rsidRPr="00B81161" w:rsidRDefault="00036CAA" w:rsidP="00036CAA">
      <w:pPr>
        <w:pStyle w:val="ListParagraph"/>
        <w:numPr>
          <w:ilvl w:val="0"/>
          <w:numId w:val="12"/>
        </w:numPr>
        <w:spacing w:after="240"/>
        <w:rPr>
          <w:rFonts w:ascii="Arial" w:hAnsi="Arial" w:cs="Arial"/>
          <w:sz w:val="24"/>
          <w:szCs w:val="24"/>
        </w:rPr>
      </w:pPr>
      <w:r>
        <w:rPr>
          <w:rFonts w:ascii="Arial" w:hAnsi="Arial" w:cs="Arial"/>
          <w:sz w:val="24"/>
          <w:szCs w:val="24"/>
        </w:rPr>
        <w:t xml:space="preserve">Aviara Oaks Middle </w:t>
      </w:r>
    </w:p>
    <w:p w:rsidR="00036CAA" w:rsidRPr="00B81161" w:rsidRDefault="00036CAA" w:rsidP="00036CAA">
      <w:pPr>
        <w:spacing w:after="240"/>
        <w:rPr>
          <w:rFonts w:cs="Arial"/>
        </w:rPr>
      </w:pPr>
      <w:r w:rsidRPr="00B81161">
        <w:rPr>
          <w:rFonts w:cs="Arial"/>
        </w:rPr>
        <w:t>The academic performance of these schools may be used as the comparison schools for purposes of renewal.</w:t>
      </w:r>
    </w:p>
    <w:p w:rsidR="00036CAA" w:rsidRDefault="00036CAA" w:rsidP="00036CAA">
      <w:pPr>
        <w:spacing w:after="240"/>
        <w:rPr>
          <w:rFonts w:cs="Arial"/>
        </w:rPr>
      </w:pPr>
      <w:r>
        <w:rPr>
          <w:rFonts w:cs="Arial"/>
        </w:rPr>
        <w:t xml:space="preserve">To further assist you, </w:t>
      </w:r>
      <w:r w:rsidRPr="00F461A6">
        <w:rPr>
          <w:rFonts w:cs="Arial"/>
        </w:rPr>
        <w:t>CDE has the following resources available to the schoo</w:t>
      </w:r>
      <w:r w:rsidR="006B5C0A">
        <w:rPr>
          <w:rFonts w:cs="Arial"/>
        </w:rPr>
        <w:t>l:</w:t>
      </w:r>
    </w:p>
    <w:p w:rsidR="00036CAA" w:rsidRPr="00A72B0D" w:rsidRDefault="00036CAA" w:rsidP="00036CAA">
      <w:pPr>
        <w:spacing w:after="240"/>
        <w:rPr>
          <w:rFonts w:cs="Arial"/>
          <w:color w:val="0000FF"/>
        </w:rPr>
      </w:pPr>
      <w:r>
        <w:rPr>
          <w:rFonts w:cs="Arial"/>
        </w:rPr>
        <w:t xml:space="preserve">California </w:t>
      </w:r>
      <w:r w:rsidRPr="00F461A6">
        <w:rPr>
          <w:rFonts w:cs="Arial"/>
        </w:rPr>
        <w:t xml:space="preserve">Dashboard: </w:t>
      </w:r>
      <w:hyperlink r:id="rId11" w:tooltip="California School Dashboard and System of Support" w:history="1">
        <w:r w:rsidRPr="00A72B0D">
          <w:rPr>
            <w:rStyle w:val="Hyperlink"/>
            <w:rFonts w:eastAsiaTheme="majorEastAsia" w:cs="Arial"/>
          </w:rPr>
          <w:t>https://www.cde.ca.gov/ta/ac/cm/</w:t>
        </w:r>
      </w:hyperlink>
    </w:p>
    <w:p w:rsidR="00036CAA" w:rsidRPr="00A72B0D" w:rsidRDefault="00036CAA" w:rsidP="00036CAA">
      <w:pPr>
        <w:spacing w:after="240"/>
        <w:rPr>
          <w:rFonts w:cs="Arial"/>
          <w:color w:val="0000FF"/>
        </w:rPr>
      </w:pPr>
      <w:r w:rsidRPr="00F461A6">
        <w:rPr>
          <w:rFonts w:cs="Arial"/>
        </w:rPr>
        <w:t xml:space="preserve">LCAP Resources: </w:t>
      </w:r>
      <w:hyperlink r:id="rId12" w:tooltip="Planning for the LCAP and School Plan" w:history="1">
        <w:r w:rsidRPr="00A72B0D">
          <w:rPr>
            <w:rStyle w:val="Hyperlink"/>
            <w:rFonts w:eastAsiaTheme="majorEastAsia" w:cs="Arial"/>
          </w:rPr>
          <w:t>https://www.cde.ca.gov/re/lc/planninglcapschoolplan.asp</w:t>
        </w:r>
      </w:hyperlink>
    </w:p>
    <w:p w:rsidR="00036CAA" w:rsidRDefault="00036CAA" w:rsidP="00C826BA">
      <w:pPr>
        <w:spacing w:after="240"/>
        <w:rPr>
          <w:rFonts w:eastAsiaTheme="minorHAnsi" w:cstheme="minorBidi"/>
          <w:szCs w:val="22"/>
        </w:rPr>
        <w:sectPr w:rsidR="00036CAA">
          <w:pgSz w:w="12240" w:h="15840"/>
          <w:pgMar w:top="1440" w:right="1440" w:bottom="1440" w:left="1440" w:header="720" w:footer="720" w:gutter="0"/>
          <w:cols w:space="720"/>
          <w:docGrid w:linePitch="360"/>
        </w:sectPr>
      </w:pPr>
    </w:p>
    <w:p w:rsidR="00036CAA" w:rsidRPr="003015B6" w:rsidRDefault="00036CAA" w:rsidP="00036CAA">
      <w:pPr>
        <w:pStyle w:val="Heading2"/>
        <w:jc w:val="center"/>
        <w:rPr>
          <w:sz w:val="36"/>
          <w:szCs w:val="36"/>
        </w:rPr>
      </w:pPr>
      <w:r w:rsidRPr="003015B6">
        <w:rPr>
          <w:sz w:val="36"/>
          <w:szCs w:val="36"/>
        </w:rPr>
        <w:lastRenderedPageBreak/>
        <w:t>California Assessment of Student Performance and Progress Test Results</w:t>
      </w:r>
    </w:p>
    <w:p w:rsidR="00036CAA" w:rsidRPr="006B7754" w:rsidRDefault="00036CAA" w:rsidP="006B5C0A">
      <w:pPr>
        <w:spacing w:after="100" w:afterAutospacing="1"/>
        <w:jc w:val="center"/>
        <w:rPr>
          <w:b/>
          <w:sz w:val="32"/>
          <w:szCs w:val="32"/>
        </w:rPr>
      </w:pPr>
      <w:r w:rsidRPr="006B7754">
        <w:rPr>
          <w:b/>
          <w:sz w:val="32"/>
          <w:szCs w:val="32"/>
        </w:rPr>
        <w:t>Schoolwide Percenta</w:t>
      </w:r>
      <w:r w:rsidR="004E578A">
        <w:rPr>
          <w:b/>
          <w:sz w:val="32"/>
          <w:szCs w:val="32"/>
        </w:rPr>
        <w:t>ge of All Grades Tested (6–8</w:t>
      </w:r>
      <w:r w:rsidRPr="006B7754">
        <w:rPr>
          <w:b/>
          <w:sz w:val="32"/>
          <w:szCs w:val="32"/>
        </w:rPr>
        <w:t>)</w:t>
      </w:r>
      <w:r>
        <w:rPr>
          <w:b/>
          <w:sz w:val="32"/>
          <w:szCs w:val="32"/>
        </w:rPr>
        <w:t xml:space="preserve"> </w:t>
      </w:r>
      <w:r w:rsidRPr="00EA3B5B">
        <w:rPr>
          <w:b/>
          <w:sz w:val="32"/>
          <w:szCs w:val="32"/>
        </w:rPr>
        <w:t>Standard Met/Exceeded</w:t>
      </w:r>
      <w:r w:rsidRPr="006B7754">
        <w:rPr>
          <w:b/>
          <w:sz w:val="32"/>
          <w:szCs w:val="32"/>
        </w:rPr>
        <w:t xml:space="preserve"> for English Language Arts and Mathematics</w:t>
      </w:r>
    </w:p>
    <w:tbl>
      <w:tblPr>
        <w:tblStyle w:val="TableGrid"/>
        <w:tblW w:w="0" w:type="auto"/>
        <w:jc w:val="center"/>
        <w:tblLook w:val="04A0" w:firstRow="1" w:lastRow="0" w:firstColumn="1" w:lastColumn="0" w:noHBand="0" w:noVBand="1"/>
        <w:tblDescription w:val="Schoolwide Percentage of All Grades Tested (6–8, 11) Standard Met/Exceeded for English Language Arts and Mathematics"/>
      </w:tblPr>
      <w:tblGrid>
        <w:gridCol w:w="2179"/>
        <w:gridCol w:w="1766"/>
        <w:gridCol w:w="1799"/>
        <w:gridCol w:w="1803"/>
        <w:gridCol w:w="1803"/>
      </w:tblGrid>
      <w:tr w:rsidR="00036CAA" w:rsidRPr="00EA3B5B" w:rsidTr="004369D5">
        <w:trPr>
          <w:cantSplit/>
          <w:tblHeader/>
          <w:jc w:val="center"/>
        </w:trPr>
        <w:tc>
          <w:tcPr>
            <w:tcW w:w="2179" w:type="dxa"/>
            <w:shd w:val="clear" w:color="auto" w:fill="BFBFBF" w:themeFill="background1" w:themeFillShade="BF"/>
          </w:tcPr>
          <w:p w:rsidR="00036CAA" w:rsidRPr="00EA3B5B" w:rsidRDefault="00036CAA" w:rsidP="004369D5">
            <w:pPr>
              <w:rPr>
                <w:b/>
              </w:rPr>
            </w:pPr>
            <w:r>
              <w:rPr>
                <w:b/>
              </w:rPr>
              <w:t>High Tech Middle North County</w:t>
            </w:r>
          </w:p>
        </w:tc>
        <w:tc>
          <w:tcPr>
            <w:tcW w:w="1766" w:type="dxa"/>
            <w:shd w:val="clear" w:color="auto" w:fill="BFBFBF" w:themeFill="background1" w:themeFillShade="BF"/>
          </w:tcPr>
          <w:p w:rsidR="00036CAA" w:rsidRPr="00EA3B5B" w:rsidRDefault="00036CAA" w:rsidP="004369D5">
            <w:pPr>
              <w:jc w:val="center"/>
              <w:rPr>
                <w:b/>
              </w:rPr>
            </w:pPr>
            <w:r>
              <w:rPr>
                <w:b/>
              </w:rPr>
              <w:t>2014–15</w:t>
            </w:r>
          </w:p>
        </w:tc>
        <w:tc>
          <w:tcPr>
            <w:tcW w:w="1799" w:type="dxa"/>
            <w:shd w:val="clear" w:color="auto" w:fill="BFBFBF" w:themeFill="background1" w:themeFillShade="BF"/>
          </w:tcPr>
          <w:p w:rsidR="00036CAA" w:rsidRPr="00EA3B5B" w:rsidRDefault="00036CAA" w:rsidP="004369D5">
            <w:pPr>
              <w:jc w:val="center"/>
              <w:rPr>
                <w:b/>
              </w:rPr>
            </w:pPr>
            <w:r w:rsidRPr="00EA3B5B">
              <w:rPr>
                <w:b/>
              </w:rPr>
              <w:t>20</w:t>
            </w:r>
            <w:r>
              <w:rPr>
                <w:b/>
              </w:rPr>
              <w:t>15–</w:t>
            </w:r>
            <w:r w:rsidRPr="00EA3B5B">
              <w:rPr>
                <w:b/>
              </w:rPr>
              <w:t>16</w:t>
            </w:r>
          </w:p>
        </w:tc>
        <w:tc>
          <w:tcPr>
            <w:tcW w:w="1803" w:type="dxa"/>
            <w:shd w:val="clear" w:color="auto" w:fill="BFBFBF" w:themeFill="background1" w:themeFillShade="BF"/>
          </w:tcPr>
          <w:p w:rsidR="00036CAA" w:rsidRPr="00EA3B5B" w:rsidRDefault="00036CAA" w:rsidP="004369D5">
            <w:pPr>
              <w:jc w:val="center"/>
              <w:rPr>
                <w:b/>
              </w:rPr>
            </w:pPr>
            <w:r w:rsidRPr="00EA3B5B">
              <w:rPr>
                <w:b/>
              </w:rPr>
              <w:t>20</w:t>
            </w:r>
            <w:r>
              <w:rPr>
                <w:b/>
              </w:rPr>
              <w:t>16–</w:t>
            </w:r>
            <w:r w:rsidRPr="00EA3B5B">
              <w:rPr>
                <w:b/>
              </w:rPr>
              <w:t>17</w:t>
            </w:r>
          </w:p>
        </w:tc>
        <w:tc>
          <w:tcPr>
            <w:tcW w:w="1803" w:type="dxa"/>
            <w:shd w:val="clear" w:color="auto" w:fill="BFBFBF" w:themeFill="background1" w:themeFillShade="BF"/>
          </w:tcPr>
          <w:p w:rsidR="00036CAA" w:rsidRPr="00EA3B5B" w:rsidRDefault="00036CAA" w:rsidP="004369D5">
            <w:pPr>
              <w:jc w:val="center"/>
              <w:rPr>
                <w:b/>
              </w:rPr>
            </w:pPr>
            <w:r w:rsidRPr="00EA3B5B">
              <w:rPr>
                <w:b/>
              </w:rPr>
              <w:t>20</w:t>
            </w:r>
            <w:r>
              <w:rPr>
                <w:b/>
              </w:rPr>
              <w:t>17–</w:t>
            </w:r>
            <w:r w:rsidRPr="00EA3B5B">
              <w:rPr>
                <w:b/>
              </w:rPr>
              <w:t>18</w:t>
            </w:r>
          </w:p>
        </w:tc>
      </w:tr>
      <w:tr w:rsidR="00036CAA" w:rsidTr="004369D5">
        <w:trPr>
          <w:cantSplit/>
          <w:jc w:val="center"/>
        </w:trPr>
        <w:tc>
          <w:tcPr>
            <w:tcW w:w="2179" w:type="dxa"/>
            <w:shd w:val="clear" w:color="auto" w:fill="BFBFBF" w:themeFill="background1" w:themeFillShade="BF"/>
          </w:tcPr>
          <w:p w:rsidR="00036CAA" w:rsidRPr="00EA3B5B" w:rsidRDefault="00036CAA" w:rsidP="004369D5">
            <w:pPr>
              <w:rPr>
                <w:b/>
              </w:rPr>
            </w:pPr>
            <w:r w:rsidRPr="00EA3B5B">
              <w:rPr>
                <w:b/>
              </w:rPr>
              <w:t>ELA</w:t>
            </w:r>
          </w:p>
        </w:tc>
        <w:tc>
          <w:tcPr>
            <w:tcW w:w="1766" w:type="dxa"/>
          </w:tcPr>
          <w:p w:rsidR="00036CAA" w:rsidRDefault="00036CAA" w:rsidP="004369D5">
            <w:pPr>
              <w:jc w:val="center"/>
            </w:pPr>
            <w:r>
              <w:t>53</w:t>
            </w:r>
          </w:p>
        </w:tc>
        <w:tc>
          <w:tcPr>
            <w:tcW w:w="1799" w:type="dxa"/>
          </w:tcPr>
          <w:p w:rsidR="00036CAA" w:rsidRDefault="00036CAA" w:rsidP="004369D5">
            <w:pPr>
              <w:jc w:val="center"/>
            </w:pPr>
            <w:r>
              <w:t>51</w:t>
            </w:r>
          </w:p>
        </w:tc>
        <w:tc>
          <w:tcPr>
            <w:tcW w:w="1803" w:type="dxa"/>
          </w:tcPr>
          <w:p w:rsidR="00036CAA" w:rsidRDefault="00036CAA" w:rsidP="004369D5">
            <w:pPr>
              <w:jc w:val="center"/>
            </w:pPr>
            <w:r>
              <w:t>54.08</w:t>
            </w:r>
          </w:p>
        </w:tc>
        <w:tc>
          <w:tcPr>
            <w:tcW w:w="1803" w:type="dxa"/>
          </w:tcPr>
          <w:p w:rsidR="00036CAA" w:rsidRDefault="00036CAA" w:rsidP="004369D5">
            <w:pPr>
              <w:jc w:val="center"/>
            </w:pPr>
            <w:r>
              <w:t>56.45</w:t>
            </w:r>
          </w:p>
        </w:tc>
      </w:tr>
      <w:tr w:rsidR="00036CAA" w:rsidTr="004369D5">
        <w:trPr>
          <w:cantSplit/>
          <w:jc w:val="center"/>
        </w:trPr>
        <w:tc>
          <w:tcPr>
            <w:tcW w:w="2179" w:type="dxa"/>
            <w:shd w:val="clear" w:color="auto" w:fill="BFBFBF" w:themeFill="background1" w:themeFillShade="BF"/>
          </w:tcPr>
          <w:p w:rsidR="00036CAA" w:rsidRPr="00EA3B5B" w:rsidRDefault="00036CAA" w:rsidP="004369D5">
            <w:pPr>
              <w:rPr>
                <w:b/>
              </w:rPr>
            </w:pPr>
            <w:r w:rsidRPr="00EA3B5B">
              <w:rPr>
                <w:b/>
              </w:rPr>
              <w:t>Math</w:t>
            </w:r>
          </w:p>
        </w:tc>
        <w:tc>
          <w:tcPr>
            <w:tcW w:w="1766" w:type="dxa"/>
          </w:tcPr>
          <w:p w:rsidR="00036CAA" w:rsidRDefault="00036CAA" w:rsidP="004369D5">
            <w:pPr>
              <w:jc w:val="center"/>
            </w:pPr>
            <w:r>
              <w:t>35</w:t>
            </w:r>
          </w:p>
        </w:tc>
        <w:tc>
          <w:tcPr>
            <w:tcW w:w="1799" w:type="dxa"/>
          </w:tcPr>
          <w:p w:rsidR="00036CAA" w:rsidRDefault="00036CAA" w:rsidP="004369D5">
            <w:pPr>
              <w:jc w:val="center"/>
            </w:pPr>
            <w:r>
              <w:t>31</w:t>
            </w:r>
          </w:p>
        </w:tc>
        <w:tc>
          <w:tcPr>
            <w:tcW w:w="1803" w:type="dxa"/>
          </w:tcPr>
          <w:p w:rsidR="00036CAA" w:rsidRDefault="00036CAA" w:rsidP="004369D5">
            <w:pPr>
              <w:jc w:val="center"/>
            </w:pPr>
            <w:r>
              <w:t>27.36</w:t>
            </w:r>
          </w:p>
        </w:tc>
        <w:tc>
          <w:tcPr>
            <w:tcW w:w="1803" w:type="dxa"/>
          </w:tcPr>
          <w:p w:rsidR="00036CAA" w:rsidRDefault="00036CAA" w:rsidP="004369D5">
            <w:pPr>
              <w:jc w:val="center"/>
            </w:pPr>
            <w:r>
              <w:t>30.67</w:t>
            </w:r>
          </w:p>
        </w:tc>
      </w:tr>
    </w:tbl>
    <w:p w:rsidR="00036CAA" w:rsidRPr="003015B6" w:rsidRDefault="00036CAA" w:rsidP="00036CAA">
      <w:pPr>
        <w:spacing w:before="100" w:beforeAutospacing="1"/>
        <w:rPr>
          <w:b/>
        </w:rPr>
      </w:pPr>
      <w:r w:rsidRPr="003015B6">
        <w:rPr>
          <w:b/>
        </w:rPr>
        <w:t xml:space="preserve">Data Source </w:t>
      </w:r>
    </w:p>
    <w:p w:rsidR="00036CAA" w:rsidRDefault="00683A67" w:rsidP="00036CAA">
      <w:hyperlink r:id="rId13" w:tooltip="CAASPP Dashboard" w:history="1">
        <w:r w:rsidR="00036CAA">
          <w:rPr>
            <w:rStyle w:val="Hyperlink"/>
          </w:rPr>
          <w:t>https://caaspp.cde.ca.gov/sb2018/ViewReport?ps=true&amp;lstTestYear=2018&amp;lstTestType=B&amp;lstCounty=37&amp;lstDistrict=76471-0119271&amp;lstSchool=0119271&amp;lstSubGroup=1&amp;keywd=high%20tech&amp;ct=14</w:t>
        </w:r>
      </w:hyperlink>
    </w:p>
    <w:p w:rsidR="00036CAA" w:rsidRPr="006B7754" w:rsidRDefault="00036CAA" w:rsidP="00036CAA">
      <w:pPr>
        <w:spacing w:before="240"/>
        <w:rPr>
          <w:b/>
        </w:rPr>
      </w:pPr>
      <w:r w:rsidRPr="006B7754">
        <w:t>Prepared by the California Department of Education, Charter Schools Division,</w:t>
      </w:r>
      <w:r>
        <w:t xml:space="preserve"> March 2019</w:t>
      </w:r>
    </w:p>
    <w:p w:rsidR="00036CAA" w:rsidRPr="006B5C0A" w:rsidRDefault="00036CAA" w:rsidP="006B5C0A">
      <w:pPr>
        <w:pStyle w:val="Heading2"/>
        <w:jc w:val="center"/>
        <w:rPr>
          <w:sz w:val="36"/>
          <w:szCs w:val="36"/>
        </w:rPr>
      </w:pPr>
      <w:r w:rsidRPr="006B5C0A">
        <w:rPr>
          <w:sz w:val="36"/>
          <w:szCs w:val="36"/>
        </w:rPr>
        <w:t>2018 California School Dashboard Data Summary Overview</w:t>
      </w:r>
    </w:p>
    <w:p w:rsidR="00036CAA" w:rsidRDefault="00036CAA" w:rsidP="00036CAA">
      <w:pPr>
        <w:spacing w:after="160" w:line="259" w:lineRule="auto"/>
        <w:jc w:val="center"/>
        <w:rPr>
          <w:b/>
          <w:sz w:val="32"/>
          <w:szCs w:val="32"/>
        </w:rPr>
      </w:pPr>
      <w:r>
        <w:rPr>
          <w:b/>
          <w:sz w:val="32"/>
          <w:szCs w:val="32"/>
        </w:rPr>
        <w:t>School Performance Overview</w:t>
      </w:r>
    </w:p>
    <w:tbl>
      <w:tblPr>
        <w:tblStyle w:val="TableGrid"/>
        <w:tblW w:w="0" w:type="auto"/>
        <w:tblLook w:val="04A0" w:firstRow="1" w:lastRow="0" w:firstColumn="1" w:lastColumn="0" w:noHBand="0" w:noVBand="1"/>
        <w:tblDescription w:val="School Performance Overview"/>
      </w:tblPr>
      <w:tblGrid>
        <w:gridCol w:w="4675"/>
        <w:gridCol w:w="4675"/>
      </w:tblGrid>
      <w:tr w:rsidR="00036CAA" w:rsidTr="004369D5">
        <w:trPr>
          <w:cantSplit/>
          <w:tblHeader/>
        </w:trPr>
        <w:tc>
          <w:tcPr>
            <w:tcW w:w="4675" w:type="dxa"/>
            <w:shd w:val="clear" w:color="auto" w:fill="BFBFBF" w:themeFill="background1" w:themeFillShade="BF"/>
          </w:tcPr>
          <w:p w:rsidR="00036CAA" w:rsidRPr="0096434F" w:rsidRDefault="00036CAA" w:rsidP="006B5C0A">
            <w:pPr>
              <w:spacing w:line="259" w:lineRule="auto"/>
              <w:jc w:val="center"/>
              <w:rPr>
                <w:b/>
              </w:rPr>
            </w:pPr>
            <w:r w:rsidRPr="0096434F">
              <w:rPr>
                <w:b/>
              </w:rPr>
              <w:t>Indicator</w:t>
            </w:r>
          </w:p>
        </w:tc>
        <w:tc>
          <w:tcPr>
            <w:tcW w:w="4675" w:type="dxa"/>
            <w:shd w:val="clear" w:color="auto" w:fill="BFBFBF" w:themeFill="background1" w:themeFillShade="BF"/>
          </w:tcPr>
          <w:p w:rsidR="00036CAA" w:rsidRPr="0096434F" w:rsidRDefault="00036CAA" w:rsidP="006B5C0A">
            <w:pPr>
              <w:spacing w:line="259" w:lineRule="auto"/>
              <w:jc w:val="center"/>
              <w:rPr>
                <w:b/>
              </w:rPr>
            </w:pPr>
            <w:r w:rsidRPr="0096434F">
              <w:rPr>
                <w:b/>
              </w:rPr>
              <w:t>Color</w:t>
            </w:r>
          </w:p>
        </w:tc>
      </w:tr>
      <w:tr w:rsidR="00036CAA" w:rsidTr="004369D5">
        <w:trPr>
          <w:cantSplit/>
        </w:trPr>
        <w:tc>
          <w:tcPr>
            <w:tcW w:w="4675" w:type="dxa"/>
            <w:shd w:val="clear" w:color="auto" w:fill="BFBFBF" w:themeFill="background1" w:themeFillShade="BF"/>
          </w:tcPr>
          <w:p w:rsidR="00036CAA" w:rsidRPr="0096434F" w:rsidRDefault="00036CAA" w:rsidP="006B5C0A">
            <w:pPr>
              <w:spacing w:line="259" w:lineRule="auto"/>
              <w:jc w:val="center"/>
              <w:rPr>
                <w:b/>
              </w:rPr>
            </w:pPr>
            <w:r w:rsidRPr="0096434F">
              <w:rPr>
                <w:b/>
              </w:rPr>
              <w:t>ELA</w:t>
            </w:r>
          </w:p>
        </w:tc>
        <w:tc>
          <w:tcPr>
            <w:tcW w:w="4675" w:type="dxa"/>
          </w:tcPr>
          <w:p w:rsidR="00036CAA" w:rsidRPr="0096434F" w:rsidRDefault="00036CAA" w:rsidP="006B5C0A">
            <w:pPr>
              <w:spacing w:line="259" w:lineRule="auto"/>
              <w:jc w:val="center"/>
            </w:pPr>
            <w:r>
              <w:t>Green</w:t>
            </w:r>
          </w:p>
        </w:tc>
      </w:tr>
      <w:tr w:rsidR="00036CAA" w:rsidTr="004369D5">
        <w:trPr>
          <w:cantSplit/>
        </w:trPr>
        <w:tc>
          <w:tcPr>
            <w:tcW w:w="4675" w:type="dxa"/>
            <w:shd w:val="clear" w:color="auto" w:fill="BFBFBF" w:themeFill="background1" w:themeFillShade="BF"/>
          </w:tcPr>
          <w:p w:rsidR="00036CAA" w:rsidRPr="0096434F" w:rsidRDefault="00036CAA" w:rsidP="006B5C0A">
            <w:pPr>
              <w:spacing w:line="259" w:lineRule="auto"/>
              <w:jc w:val="center"/>
              <w:rPr>
                <w:b/>
              </w:rPr>
            </w:pPr>
            <w:r w:rsidRPr="0096434F">
              <w:rPr>
                <w:b/>
              </w:rPr>
              <w:t>Math</w:t>
            </w:r>
          </w:p>
        </w:tc>
        <w:tc>
          <w:tcPr>
            <w:tcW w:w="4675" w:type="dxa"/>
          </w:tcPr>
          <w:p w:rsidR="00036CAA" w:rsidRPr="0096434F" w:rsidRDefault="00036CAA" w:rsidP="006B5C0A">
            <w:pPr>
              <w:spacing w:line="259" w:lineRule="auto"/>
              <w:jc w:val="center"/>
            </w:pPr>
            <w:r>
              <w:t>Yellow</w:t>
            </w:r>
          </w:p>
        </w:tc>
      </w:tr>
      <w:tr w:rsidR="00036CAA" w:rsidTr="004369D5">
        <w:trPr>
          <w:cantSplit/>
        </w:trPr>
        <w:tc>
          <w:tcPr>
            <w:tcW w:w="4675" w:type="dxa"/>
            <w:shd w:val="clear" w:color="auto" w:fill="BFBFBF" w:themeFill="background1" w:themeFillShade="BF"/>
          </w:tcPr>
          <w:p w:rsidR="00036CAA" w:rsidRPr="0096434F" w:rsidRDefault="00036CAA" w:rsidP="006B5C0A">
            <w:pPr>
              <w:spacing w:line="259" w:lineRule="auto"/>
              <w:jc w:val="center"/>
              <w:rPr>
                <w:b/>
              </w:rPr>
            </w:pPr>
            <w:r w:rsidRPr="0096434F">
              <w:rPr>
                <w:b/>
              </w:rPr>
              <w:t>Chronic Absenteeism</w:t>
            </w:r>
          </w:p>
        </w:tc>
        <w:tc>
          <w:tcPr>
            <w:tcW w:w="4675" w:type="dxa"/>
          </w:tcPr>
          <w:p w:rsidR="00036CAA" w:rsidRPr="0096434F" w:rsidRDefault="00036CAA" w:rsidP="006B5C0A">
            <w:pPr>
              <w:spacing w:line="259" w:lineRule="auto"/>
              <w:jc w:val="center"/>
            </w:pPr>
            <w:r>
              <w:t>Green</w:t>
            </w:r>
          </w:p>
        </w:tc>
      </w:tr>
      <w:tr w:rsidR="00036CAA" w:rsidTr="004369D5">
        <w:trPr>
          <w:cantSplit/>
        </w:trPr>
        <w:tc>
          <w:tcPr>
            <w:tcW w:w="4675" w:type="dxa"/>
            <w:shd w:val="clear" w:color="auto" w:fill="BFBFBF" w:themeFill="background1" w:themeFillShade="BF"/>
          </w:tcPr>
          <w:p w:rsidR="00036CAA" w:rsidRPr="0096434F" w:rsidRDefault="00036CAA" w:rsidP="006B5C0A">
            <w:pPr>
              <w:spacing w:line="259" w:lineRule="auto"/>
              <w:jc w:val="center"/>
              <w:rPr>
                <w:b/>
              </w:rPr>
            </w:pPr>
            <w:r w:rsidRPr="0096434F">
              <w:rPr>
                <w:b/>
              </w:rPr>
              <w:t>Suspension Rate</w:t>
            </w:r>
          </w:p>
        </w:tc>
        <w:tc>
          <w:tcPr>
            <w:tcW w:w="4675" w:type="dxa"/>
          </w:tcPr>
          <w:p w:rsidR="00036CAA" w:rsidRPr="0096434F" w:rsidRDefault="00036CAA" w:rsidP="006B5C0A">
            <w:pPr>
              <w:spacing w:line="259" w:lineRule="auto"/>
              <w:jc w:val="center"/>
            </w:pPr>
            <w:r>
              <w:t>Green</w:t>
            </w:r>
          </w:p>
        </w:tc>
      </w:tr>
      <w:tr w:rsidR="00036CAA" w:rsidTr="004369D5">
        <w:trPr>
          <w:cantSplit/>
        </w:trPr>
        <w:tc>
          <w:tcPr>
            <w:tcW w:w="4675" w:type="dxa"/>
            <w:shd w:val="clear" w:color="auto" w:fill="BFBFBF" w:themeFill="background1" w:themeFillShade="BF"/>
          </w:tcPr>
          <w:p w:rsidR="00036CAA" w:rsidRPr="0096434F" w:rsidRDefault="00036CAA" w:rsidP="006B5C0A">
            <w:pPr>
              <w:spacing w:line="259" w:lineRule="auto"/>
              <w:jc w:val="center"/>
              <w:rPr>
                <w:b/>
              </w:rPr>
            </w:pPr>
            <w:r w:rsidRPr="0096434F">
              <w:rPr>
                <w:b/>
              </w:rPr>
              <w:t>English Learner Progress</w:t>
            </w:r>
          </w:p>
        </w:tc>
        <w:tc>
          <w:tcPr>
            <w:tcW w:w="4675" w:type="dxa"/>
          </w:tcPr>
          <w:p w:rsidR="00036CAA" w:rsidRPr="0096434F" w:rsidRDefault="00036CAA" w:rsidP="006B5C0A">
            <w:pPr>
              <w:spacing w:line="259" w:lineRule="auto"/>
              <w:jc w:val="center"/>
            </w:pPr>
            <w:r w:rsidRPr="0096434F">
              <w:t>No Performance Color</w:t>
            </w:r>
          </w:p>
        </w:tc>
      </w:tr>
      <w:tr w:rsidR="00036CAA" w:rsidTr="004369D5">
        <w:trPr>
          <w:cantSplit/>
        </w:trPr>
        <w:tc>
          <w:tcPr>
            <w:tcW w:w="4675" w:type="dxa"/>
            <w:shd w:val="clear" w:color="auto" w:fill="BFBFBF" w:themeFill="background1" w:themeFillShade="BF"/>
          </w:tcPr>
          <w:p w:rsidR="00036CAA" w:rsidRPr="0096434F" w:rsidRDefault="00036CAA" w:rsidP="006B5C0A">
            <w:pPr>
              <w:spacing w:line="259" w:lineRule="auto"/>
              <w:jc w:val="center"/>
              <w:rPr>
                <w:b/>
              </w:rPr>
            </w:pPr>
            <w:r w:rsidRPr="0096434F">
              <w:rPr>
                <w:b/>
              </w:rPr>
              <w:t>Graduation Rate</w:t>
            </w:r>
          </w:p>
        </w:tc>
        <w:tc>
          <w:tcPr>
            <w:tcW w:w="4675" w:type="dxa"/>
          </w:tcPr>
          <w:p w:rsidR="00036CAA" w:rsidRPr="0096434F" w:rsidRDefault="00036CAA" w:rsidP="006B5C0A">
            <w:pPr>
              <w:spacing w:line="259" w:lineRule="auto"/>
              <w:jc w:val="center"/>
            </w:pPr>
            <w:r>
              <w:t>NA</w:t>
            </w:r>
          </w:p>
        </w:tc>
      </w:tr>
      <w:tr w:rsidR="00036CAA" w:rsidTr="004369D5">
        <w:trPr>
          <w:cantSplit/>
        </w:trPr>
        <w:tc>
          <w:tcPr>
            <w:tcW w:w="4675" w:type="dxa"/>
            <w:shd w:val="clear" w:color="auto" w:fill="BFBFBF" w:themeFill="background1" w:themeFillShade="BF"/>
          </w:tcPr>
          <w:p w:rsidR="00036CAA" w:rsidRPr="0096434F" w:rsidRDefault="00036CAA" w:rsidP="006B5C0A">
            <w:pPr>
              <w:spacing w:line="259" w:lineRule="auto"/>
              <w:jc w:val="center"/>
              <w:rPr>
                <w:b/>
              </w:rPr>
            </w:pPr>
            <w:r w:rsidRPr="0096434F">
              <w:rPr>
                <w:b/>
              </w:rPr>
              <w:t>College/Career</w:t>
            </w:r>
          </w:p>
        </w:tc>
        <w:tc>
          <w:tcPr>
            <w:tcW w:w="4675" w:type="dxa"/>
          </w:tcPr>
          <w:p w:rsidR="00036CAA" w:rsidRPr="0096434F" w:rsidRDefault="00036CAA" w:rsidP="006B5C0A">
            <w:pPr>
              <w:spacing w:line="259" w:lineRule="auto"/>
              <w:jc w:val="center"/>
            </w:pPr>
            <w:r>
              <w:t>NA</w:t>
            </w:r>
          </w:p>
        </w:tc>
      </w:tr>
    </w:tbl>
    <w:p w:rsidR="00036CAA" w:rsidRPr="003015B6" w:rsidRDefault="00036CAA" w:rsidP="00036CAA">
      <w:pPr>
        <w:spacing w:before="100" w:beforeAutospacing="1"/>
        <w:rPr>
          <w:b/>
        </w:rPr>
      </w:pPr>
      <w:r w:rsidRPr="003015B6">
        <w:rPr>
          <w:b/>
        </w:rPr>
        <w:t xml:space="preserve">Data Source </w:t>
      </w:r>
    </w:p>
    <w:p w:rsidR="00036CAA" w:rsidRDefault="00683A67" w:rsidP="006B5C0A">
      <w:pPr>
        <w:spacing w:after="100" w:afterAutospacing="1"/>
      </w:pPr>
      <w:hyperlink r:id="rId14" w:tooltip="California School Dashboard" w:history="1">
        <w:r w:rsidR="00036CAA">
          <w:rPr>
            <w:rStyle w:val="Hyperlink"/>
          </w:rPr>
          <w:t>https://www.caschooldashboard.org/reports/37764710119271/2018</w:t>
        </w:r>
      </w:hyperlink>
    </w:p>
    <w:p w:rsidR="00036CAA" w:rsidRPr="00EA3B5B" w:rsidRDefault="00036CAA" w:rsidP="00036CAA">
      <w:r w:rsidRPr="00EA3B5B">
        <w:t>Prepared by the California Department of Education, Charter Schools Division,</w:t>
      </w:r>
      <w:r>
        <w:t xml:space="preserve"> March 2019</w:t>
      </w:r>
    </w:p>
    <w:sectPr w:rsidR="00036CAA" w:rsidRPr="00EA3B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17B" w:rsidRDefault="00C01AD4">
      <w:r>
        <w:separator/>
      </w:r>
    </w:p>
  </w:endnote>
  <w:endnote w:type="continuationSeparator" w:id="0">
    <w:p w:rsidR="00EB117B" w:rsidRDefault="00C0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17B" w:rsidRDefault="00C01AD4">
      <w:r>
        <w:separator/>
      </w:r>
    </w:p>
  </w:footnote>
  <w:footnote w:type="continuationSeparator" w:id="0">
    <w:p w:rsidR="00EB117B" w:rsidRDefault="00C01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D9D" w:rsidRPr="00C6601E" w:rsidRDefault="00C6601E" w:rsidP="00C6601E">
    <w:pPr>
      <w:pStyle w:val="Header"/>
      <w:jc w:val="right"/>
      <w:rPr>
        <w:bCs/>
      </w:rPr>
    </w:pPr>
    <w:r>
      <w:rPr>
        <w:bCs/>
      </w:rPr>
      <w:t>m</w:t>
    </w:r>
    <w:r w:rsidRPr="00C6601E">
      <w:rPr>
        <w:bCs/>
      </w:rPr>
      <w:t>emo-gacsb-csd-jun19item02</w:t>
    </w:r>
  </w:p>
  <w:p w:rsidR="00C6601E" w:rsidRPr="00C6601E" w:rsidRDefault="00C6601E" w:rsidP="00C6601E">
    <w:pPr>
      <w:pStyle w:val="Header"/>
      <w:jc w:val="right"/>
      <w:rPr>
        <w:bCs/>
      </w:rPr>
    </w:pPr>
    <w:r w:rsidRPr="00C6601E">
      <w:rPr>
        <w:bCs/>
      </w:rPr>
      <w:t>Attachment 25</w:t>
    </w:r>
  </w:p>
  <w:p w:rsidR="00C6601E" w:rsidRPr="00C6601E" w:rsidRDefault="00C6601E" w:rsidP="00C6601E">
    <w:pPr>
      <w:pStyle w:val="Header"/>
      <w:spacing w:after="100" w:afterAutospacing="1"/>
      <w:jc w:val="right"/>
      <w:rPr>
        <w:bCs/>
      </w:rPr>
    </w:pPr>
    <w:r w:rsidRPr="00C6601E">
      <w:rPr>
        <w:bCs/>
      </w:rPr>
      <w:t xml:space="preserve">Page </w:t>
    </w:r>
    <w:r w:rsidRPr="00C6601E">
      <w:rPr>
        <w:bCs/>
      </w:rPr>
      <w:fldChar w:fldCharType="begin"/>
    </w:r>
    <w:r w:rsidRPr="00C6601E">
      <w:rPr>
        <w:bCs/>
      </w:rPr>
      <w:instrText xml:space="preserve"> PAGE   \* MERGEFORMAT </w:instrText>
    </w:r>
    <w:r w:rsidRPr="00C6601E">
      <w:rPr>
        <w:bCs/>
      </w:rPr>
      <w:fldChar w:fldCharType="separate"/>
    </w:r>
    <w:r w:rsidR="00E90FB9">
      <w:rPr>
        <w:bCs/>
        <w:noProof/>
      </w:rPr>
      <w:t>3</w:t>
    </w:r>
    <w:r w:rsidRPr="00C6601E">
      <w:rPr>
        <w:bCs/>
      </w:rPr>
      <w:fldChar w:fldCharType="end"/>
    </w:r>
    <w:r w:rsidRPr="00C6601E">
      <w:rPr>
        <w:bCs/>
      </w:rPr>
      <w:t xml:space="preserve"> of </w:t>
    </w:r>
    <w:r w:rsidRPr="00C6601E">
      <w:rPr>
        <w:bCs/>
      </w:rPr>
      <w:fldChar w:fldCharType="begin"/>
    </w:r>
    <w:r w:rsidRPr="00C6601E">
      <w:rPr>
        <w:bCs/>
      </w:rPr>
      <w:instrText xml:space="preserve"> NUMPAGES   \* MERGEFORMAT </w:instrText>
    </w:r>
    <w:r w:rsidRPr="00C6601E">
      <w:rPr>
        <w:bCs/>
      </w:rPr>
      <w:fldChar w:fldCharType="separate"/>
    </w:r>
    <w:r w:rsidR="00E90FB9">
      <w:rPr>
        <w:bCs/>
        <w:noProof/>
      </w:rPr>
      <w:t>4</w:t>
    </w:r>
    <w:r w:rsidRPr="00C6601E">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600EC1"/>
    <w:multiLevelType w:val="hybridMultilevel"/>
    <w:tmpl w:val="858E1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1C77F4D"/>
    <w:multiLevelType w:val="hybridMultilevel"/>
    <w:tmpl w:val="EFBE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851"/>
    <w:rsid w:val="00036CAA"/>
    <w:rsid w:val="00074851"/>
    <w:rsid w:val="000A5CCA"/>
    <w:rsid w:val="000F7AF5"/>
    <w:rsid w:val="00161238"/>
    <w:rsid w:val="001A0CA5"/>
    <w:rsid w:val="00223F78"/>
    <w:rsid w:val="00254AD1"/>
    <w:rsid w:val="002E4CB5"/>
    <w:rsid w:val="00430734"/>
    <w:rsid w:val="004619F8"/>
    <w:rsid w:val="004D58E8"/>
    <w:rsid w:val="004E578A"/>
    <w:rsid w:val="004E7AC1"/>
    <w:rsid w:val="0054064B"/>
    <w:rsid w:val="005C5B70"/>
    <w:rsid w:val="00683A67"/>
    <w:rsid w:val="006B5C0A"/>
    <w:rsid w:val="007428B8"/>
    <w:rsid w:val="007E5BF1"/>
    <w:rsid w:val="007E64ED"/>
    <w:rsid w:val="007F5F3F"/>
    <w:rsid w:val="0081256C"/>
    <w:rsid w:val="008E4D20"/>
    <w:rsid w:val="008F5FF1"/>
    <w:rsid w:val="00985C28"/>
    <w:rsid w:val="009B3E8C"/>
    <w:rsid w:val="009C70F5"/>
    <w:rsid w:val="00A87359"/>
    <w:rsid w:val="00AE0C8E"/>
    <w:rsid w:val="00AF0211"/>
    <w:rsid w:val="00BB1847"/>
    <w:rsid w:val="00BC76C9"/>
    <w:rsid w:val="00C01AD4"/>
    <w:rsid w:val="00C21731"/>
    <w:rsid w:val="00C6601E"/>
    <w:rsid w:val="00C826BA"/>
    <w:rsid w:val="00C82975"/>
    <w:rsid w:val="00CA6E47"/>
    <w:rsid w:val="00CB6664"/>
    <w:rsid w:val="00D15074"/>
    <w:rsid w:val="00D41632"/>
    <w:rsid w:val="00D47DAB"/>
    <w:rsid w:val="00DA52B3"/>
    <w:rsid w:val="00DC52B0"/>
    <w:rsid w:val="00DC670F"/>
    <w:rsid w:val="00DC6AE6"/>
    <w:rsid w:val="00DC774C"/>
    <w:rsid w:val="00E634EC"/>
    <w:rsid w:val="00E90B6F"/>
    <w:rsid w:val="00E90FB9"/>
    <w:rsid w:val="00EA58D4"/>
    <w:rsid w:val="00EB117B"/>
    <w:rsid w:val="00F90E3C"/>
    <w:rsid w:val="00FE3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37C85F4-7F11-4ACA-A057-C5E2663F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851"/>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C82975"/>
    <w:pPr>
      <w:keepNext/>
      <w:keepLines/>
      <w:spacing w:before="240" w:after="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after="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after="240"/>
      <w:outlineLvl w:val="2"/>
    </w:pPr>
    <w:rPr>
      <w:rFonts w:eastAsiaTheme="majorEastAsia" w:cstheme="majorBidi"/>
      <w:i/>
      <w:sz w:val="32"/>
    </w:rPr>
  </w:style>
  <w:style w:type="paragraph" w:styleId="Heading4">
    <w:name w:val="heading 4"/>
    <w:basedOn w:val="Normal"/>
    <w:next w:val="Normal"/>
    <w:link w:val="Heading4Char"/>
    <w:uiPriority w:val="9"/>
    <w:unhideWhenUsed/>
    <w:qFormat/>
    <w:rsid w:val="00C82975"/>
    <w:pPr>
      <w:keepNext/>
      <w:keepLines/>
      <w:spacing w:before="240" w:after="240"/>
      <w:outlineLvl w:val="3"/>
    </w:pPr>
    <w:rPr>
      <w:rFonts w:eastAsiaTheme="majorEastAsia" w:cstheme="majorBidi"/>
      <w:b/>
      <w:iCs/>
      <w:sz w:val="28"/>
      <w:szCs w:val="22"/>
    </w:rPr>
  </w:style>
  <w:style w:type="paragraph" w:styleId="Heading5">
    <w:name w:val="heading 5"/>
    <w:basedOn w:val="Normal"/>
    <w:next w:val="Normal"/>
    <w:link w:val="Heading5Char"/>
    <w:uiPriority w:val="9"/>
    <w:unhideWhenUsed/>
    <w:qFormat/>
    <w:rsid w:val="00C82975"/>
    <w:pPr>
      <w:keepNext/>
      <w:keepLines/>
      <w:spacing w:before="240" w:after="240"/>
      <w:outlineLvl w:val="4"/>
    </w:pPr>
    <w:rPr>
      <w:rFonts w:eastAsiaTheme="majorEastAsia" w:cstheme="majorBidi"/>
      <w:i/>
      <w:sz w:val="28"/>
      <w:szCs w:val="22"/>
    </w:rPr>
  </w:style>
  <w:style w:type="paragraph" w:styleId="Heading6">
    <w:name w:val="heading 6"/>
    <w:basedOn w:val="Normal"/>
    <w:next w:val="Normal"/>
    <w:link w:val="Heading6Char"/>
    <w:uiPriority w:val="9"/>
    <w:unhideWhenUsed/>
    <w:qFormat/>
    <w:rsid w:val="00C82975"/>
    <w:pPr>
      <w:keepNext/>
      <w:keepLines/>
      <w:spacing w:before="240" w:after="240"/>
      <w:outlineLvl w:val="5"/>
    </w:pPr>
    <w:rPr>
      <w:rFonts w:eastAsiaTheme="majorEastAsia" w:cstheme="majorBidi"/>
      <w:b/>
      <w:szCs w:val="22"/>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spacing w:after="240"/>
    </w:pPr>
    <w:rPr>
      <w:rFonts w:eastAsiaTheme="minorEastAsia" w:cstheme="minorBidi"/>
      <w:color w:val="5A5A5A" w:themeColor="text1" w:themeTint="A5"/>
      <w:spacing w:val="15"/>
      <w:sz w:val="28"/>
      <w:szCs w:val="22"/>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Header">
    <w:name w:val="header"/>
    <w:basedOn w:val="Normal"/>
    <w:link w:val="HeaderChar"/>
    <w:uiPriority w:val="99"/>
    <w:unhideWhenUsed/>
    <w:rsid w:val="00C826BA"/>
    <w:pPr>
      <w:tabs>
        <w:tab w:val="center" w:pos="4680"/>
        <w:tab w:val="right" w:pos="9360"/>
      </w:tabs>
    </w:pPr>
  </w:style>
  <w:style w:type="character" w:customStyle="1" w:styleId="HeaderChar">
    <w:name w:val="Header Char"/>
    <w:basedOn w:val="DefaultParagraphFont"/>
    <w:link w:val="Header"/>
    <w:uiPriority w:val="99"/>
    <w:rsid w:val="00C826BA"/>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C01AD4"/>
    <w:rPr>
      <w:color w:val="954F72" w:themeColor="followedHyperlink"/>
      <w:u w:val="single"/>
    </w:rPr>
  </w:style>
  <w:style w:type="paragraph" w:styleId="ListParagraph">
    <w:name w:val="List Paragraph"/>
    <w:basedOn w:val="Normal"/>
    <w:uiPriority w:val="34"/>
    <w:qFormat/>
    <w:rsid w:val="00036CAA"/>
    <w:pPr>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036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6601E"/>
    <w:pPr>
      <w:tabs>
        <w:tab w:val="center" w:pos="4680"/>
        <w:tab w:val="right" w:pos="9360"/>
      </w:tabs>
    </w:pPr>
  </w:style>
  <w:style w:type="character" w:customStyle="1" w:styleId="FooterChar">
    <w:name w:val="Footer Char"/>
    <w:basedOn w:val="DefaultParagraphFont"/>
    <w:link w:val="Footer"/>
    <w:uiPriority w:val="99"/>
    <w:rsid w:val="00C6601E"/>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aspp.cde.ca.gov/sb2018/ViewReport?ps=true&amp;lstTestYear=2018&amp;lstTestType=B&amp;lstCounty=37&amp;lstDistrict=76471-0119271&amp;lstSchool=0119271&amp;lstSubGroup=1&amp;keywd=high%20tech&amp;ct=14" TargetMode="External"/><Relationship Id="rId13" Type="http://schemas.openxmlformats.org/officeDocument/2006/relationships/hyperlink" Target="https://caaspp.cde.ca.gov/sb2018/ViewReport?ps=true&amp;lstTestYear=2018&amp;lstTestType=B&amp;lstCounty=37&amp;lstDistrict=76471-0119271&amp;lstSchool=0119271&amp;lstSubGroup=1&amp;keywd=high%20tech&amp;ct=14" TargetMode="External"/><Relationship Id="rId3" Type="http://schemas.openxmlformats.org/officeDocument/2006/relationships/settings" Target="settings.xml"/><Relationship Id="rId7" Type="http://schemas.openxmlformats.org/officeDocument/2006/relationships/hyperlink" Target="https://www.hightechhigh.org/htmnc/" TargetMode="External"/><Relationship Id="rId12" Type="http://schemas.openxmlformats.org/officeDocument/2006/relationships/hyperlink" Target="https://www.cde.ca.gov/re/lc/planninglcapschoolplan.a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ta/ac/c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schooldashboard.org/reports/37764710119271/2018" TargetMode="External"/><Relationship Id="rId14" Type="http://schemas.openxmlformats.org/officeDocument/2006/relationships/hyperlink" Target="https://www.caschooldashboard.org/reports/37764710119271/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June 2019 Memorandum Item 02 Attachment 25 - Information Memorandum (CA State Board of Education)</vt:lpstr>
    </vt:vector>
  </TitlesOfParts>
  <Company>California State Board of Education</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2019 Memo GACSB CSD June Item 02 Att 25 - Information Memorandum (CA State Board of Education)</dc:title>
  <dc:subject>High Tech Middle North County. Contains the letter and California Assessment of Student Performance and Progress Test Results sent by CDE.</dc:subject>
  <dc:creator/>
  <cp:keywords/>
  <dc:description/>
  <cp:lastPrinted>2017-12-08T22:18:00Z</cp:lastPrinted>
  <dcterms:created xsi:type="dcterms:W3CDTF">2019-05-24T22:28:00Z</dcterms:created>
  <dcterms:modified xsi:type="dcterms:W3CDTF">2019-08-02T22:10:00Z</dcterms:modified>
  <cp:category/>
</cp:coreProperties>
</file>