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660290" w:rsidRDefault="00D82FB8" w:rsidP="00660290">
      <w:pPr>
        <w:pStyle w:val="Heading1"/>
      </w:pPr>
      <w:bookmarkStart w:id="0" w:name="_GoBack"/>
      <w:bookmarkEnd w:id="0"/>
      <w:r w:rsidRPr="00660290">
        <w:t>School of Arts and Enterprise</w:t>
      </w:r>
    </w:p>
    <w:p w:rsidR="00F36ABE" w:rsidRPr="005B2D2C" w:rsidRDefault="00F36ABE" w:rsidP="00F36ABE">
      <w:pPr>
        <w:spacing w:before="120" w:after="240"/>
        <w:rPr>
          <w:rFonts w:cs="Arial"/>
        </w:rPr>
      </w:pPr>
      <w:r w:rsidRPr="005B2D2C">
        <w:rPr>
          <w:rFonts w:cs="Arial"/>
        </w:rPr>
        <w:t xml:space="preserve">Address: </w:t>
      </w:r>
      <w:r w:rsidR="00112AA8">
        <w:rPr>
          <w:rFonts w:cs="Arial"/>
        </w:rPr>
        <w:t xml:space="preserve">295 North </w:t>
      </w:r>
      <w:proofErr w:type="spellStart"/>
      <w:r w:rsidR="00112AA8">
        <w:rPr>
          <w:rFonts w:cs="Arial"/>
        </w:rPr>
        <w:t>Garey</w:t>
      </w:r>
      <w:proofErr w:type="spellEnd"/>
      <w:r w:rsidR="00112AA8">
        <w:rPr>
          <w:rFonts w:cs="Arial"/>
        </w:rPr>
        <w:t xml:space="preserve"> Avenue, </w:t>
      </w:r>
      <w:r w:rsidR="00112AA8" w:rsidRPr="00112AA8">
        <w:rPr>
          <w:rFonts w:cs="Arial"/>
        </w:rPr>
        <w:t>Pomona, CA 91767-5429</w:t>
      </w:r>
    </w:p>
    <w:p w:rsidR="00660290" w:rsidRDefault="00F36ABE" w:rsidP="00F36ABE">
      <w:pPr>
        <w:spacing w:before="120" w:after="240"/>
        <w:rPr>
          <w:rStyle w:val="Hyperlink"/>
          <w:color w:val="0000FF"/>
        </w:rPr>
      </w:pPr>
      <w:r w:rsidRPr="005B2D2C">
        <w:rPr>
          <w:rFonts w:cs="Arial"/>
        </w:rPr>
        <w:t xml:space="preserve">Web site Address: </w:t>
      </w:r>
      <w:hyperlink r:id="rId7" w:tgtFrame="_blank" w:tooltip="School of Arts and Enterprise" w:history="1">
        <w:r w:rsidR="00112AA8" w:rsidRPr="00C37E54">
          <w:rPr>
            <w:rStyle w:val="Hyperlink"/>
            <w:color w:val="0000FF"/>
          </w:rPr>
          <w:t>www.thesae.k12.ca.us/</w:t>
        </w:r>
      </w:hyperlink>
    </w:p>
    <w:p w:rsidR="00F36ABE" w:rsidRPr="005B2D2C" w:rsidRDefault="00F36ABE" w:rsidP="00F36ABE">
      <w:pPr>
        <w:spacing w:before="120" w:after="240"/>
        <w:rPr>
          <w:rFonts w:cs="Arial"/>
        </w:rPr>
      </w:pPr>
      <w:r w:rsidRPr="005B2D2C">
        <w:rPr>
          <w:rFonts w:cs="Arial"/>
        </w:rPr>
        <w:t xml:space="preserve">County-District-School Code: </w:t>
      </w:r>
      <w:r w:rsidR="00F268FA" w:rsidRPr="00F268FA">
        <w:rPr>
          <w:rFonts w:cs="Arial"/>
          <w:color w:val="000000"/>
        </w:rPr>
        <w:t>19 75697 1996693</w:t>
      </w:r>
    </w:p>
    <w:p w:rsidR="00F36ABE" w:rsidRPr="005B2D2C" w:rsidRDefault="00F36ABE" w:rsidP="00F36ABE">
      <w:pPr>
        <w:spacing w:before="120" w:after="240"/>
        <w:rPr>
          <w:rFonts w:cs="Arial"/>
        </w:rPr>
      </w:pPr>
      <w:r w:rsidRPr="005B2D2C">
        <w:rPr>
          <w:rFonts w:cs="Arial"/>
        </w:rPr>
        <w:t xml:space="preserve">Charter Number: </w:t>
      </w:r>
      <w:r w:rsidR="00F268FA">
        <w:rPr>
          <w:rFonts w:cs="Arial"/>
        </w:rPr>
        <w:t>0505</w:t>
      </w:r>
    </w:p>
    <w:p w:rsidR="00F36ABE" w:rsidRPr="005B2D2C" w:rsidRDefault="00F36ABE" w:rsidP="00F36ABE">
      <w:pPr>
        <w:spacing w:before="120" w:after="240"/>
        <w:rPr>
          <w:rFonts w:cs="Arial"/>
        </w:rPr>
      </w:pPr>
      <w:r w:rsidRPr="005B2D2C">
        <w:rPr>
          <w:rFonts w:cs="Arial"/>
        </w:rPr>
        <w:t xml:space="preserve">Charter Term: </w:t>
      </w:r>
      <w:r w:rsidR="00472DEF">
        <w:rPr>
          <w:rFonts w:cs="Arial"/>
        </w:rPr>
        <w:t>July 1, 2016</w:t>
      </w:r>
      <w:r w:rsidR="00F22E1B">
        <w:rPr>
          <w:rFonts w:cs="Arial"/>
        </w:rPr>
        <w:t>,</w:t>
      </w:r>
      <w:r w:rsidRPr="005B2D2C">
        <w:rPr>
          <w:rFonts w:cs="Arial"/>
        </w:rPr>
        <w:t xml:space="preserve"> through </w:t>
      </w:r>
      <w:r w:rsidR="00472DEF">
        <w:rPr>
          <w:rFonts w:cs="Arial"/>
        </w:rPr>
        <w:t>June 30, 2021</w:t>
      </w:r>
    </w:p>
    <w:p w:rsidR="00F36ABE" w:rsidRPr="00DD0CE6" w:rsidRDefault="00F36ABE" w:rsidP="00F36ABE">
      <w:pPr>
        <w:spacing w:before="120" w:after="240"/>
        <w:rPr>
          <w:rFonts w:cs="Arial"/>
        </w:rPr>
      </w:pPr>
      <w:r w:rsidRPr="00DD0CE6">
        <w:rPr>
          <w:rFonts w:cs="Arial"/>
        </w:rPr>
        <w:t xml:space="preserve">School Description: </w:t>
      </w:r>
      <w:r w:rsidR="0061173E">
        <w:rPr>
          <w:rFonts w:cs="Arial"/>
        </w:rPr>
        <w:t xml:space="preserve">The School of Arts and Enterprise (SAE) </w:t>
      </w:r>
      <w:r w:rsidR="0061173E" w:rsidRPr="0061173E">
        <w:rPr>
          <w:rFonts w:cs="Arial"/>
        </w:rPr>
        <w:t>create</w:t>
      </w:r>
      <w:r w:rsidR="0061173E">
        <w:rPr>
          <w:rFonts w:cs="Arial"/>
        </w:rPr>
        <w:t>s</w:t>
      </w:r>
      <w:r w:rsidR="0061173E" w:rsidRPr="0061173E">
        <w:rPr>
          <w:rFonts w:cs="Arial"/>
        </w:rPr>
        <w:t xml:space="preserve"> </w:t>
      </w:r>
      <w:r w:rsidR="0061173E">
        <w:rPr>
          <w:rFonts w:cs="Arial"/>
        </w:rPr>
        <w:t xml:space="preserve">accomplished life-long learners. </w:t>
      </w:r>
      <w:r w:rsidR="0061173E" w:rsidRPr="0061173E">
        <w:rPr>
          <w:rFonts w:cs="Arial"/>
        </w:rPr>
        <w:t>S</w:t>
      </w:r>
      <w:r w:rsidR="0061173E">
        <w:rPr>
          <w:rFonts w:cs="Arial"/>
        </w:rPr>
        <w:t>AE's standard-aligned, college-preparatory</w:t>
      </w:r>
      <w:r w:rsidR="0061173E" w:rsidRPr="0061173E">
        <w:rPr>
          <w:rFonts w:cs="Arial"/>
        </w:rPr>
        <w:t xml:space="preserve"> program emphasizes arts and business through innovative project-based learning.</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61173E">
        <w:rPr>
          <w:rFonts w:cs="Arial"/>
        </w:rPr>
        <w:t>Grade Six</w:t>
      </w:r>
      <w:r w:rsidR="0087603A">
        <w:rPr>
          <w:rFonts w:cs="Arial"/>
        </w:rPr>
        <w:t xml:space="preserve">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4630BA">
        <w:rPr>
          <w:rFonts w:cs="Arial"/>
        </w:rPr>
        <w:t>769</w:t>
      </w:r>
    </w:p>
    <w:p w:rsidR="007B0268" w:rsidRDefault="00F36ABE" w:rsidP="00C1415B">
      <w:pPr>
        <w:spacing w:before="120" w:after="240"/>
        <w:contextualSpacing/>
        <w:rPr>
          <w:rFonts w:cs="Arial"/>
        </w:rPr>
      </w:pPr>
      <w:r w:rsidRPr="005B2D2C">
        <w:rPr>
          <w:rFonts w:cs="Arial"/>
        </w:rPr>
        <w:t>Site Bas</w:t>
      </w:r>
      <w:r w:rsidR="001E3309">
        <w:rPr>
          <w:rFonts w:cs="Arial"/>
        </w:rPr>
        <w:t>ed or Non-Site Based: Site Based</w:t>
      </w:r>
    </w:p>
    <w:p w:rsidR="001E3309" w:rsidRPr="00660290" w:rsidRDefault="001E3309" w:rsidP="009D10A1">
      <w:pPr>
        <w:pStyle w:val="Heading2"/>
        <w:jc w:val="left"/>
      </w:pPr>
      <w:r w:rsidRPr="00660290">
        <w:t xml:space="preserve">Data Sources: </w:t>
      </w:r>
    </w:p>
    <w:p w:rsidR="001E3309" w:rsidRPr="00847BC6" w:rsidRDefault="001E3309" w:rsidP="001E3309">
      <w:pPr>
        <w:spacing w:after="240"/>
        <w:rPr>
          <w:rFonts w:eastAsiaTheme="minorHAnsi" w:cstheme="minorBidi"/>
          <w:b/>
          <w:szCs w:val="22"/>
        </w:rPr>
      </w:pPr>
      <w:r w:rsidRPr="00847BC6">
        <w:rPr>
          <w:rFonts w:eastAsiaTheme="minorHAnsi" w:cstheme="minorBidi"/>
          <w:b/>
          <w:szCs w:val="22"/>
        </w:rPr>
        <w:t>CAASPP</w:t>
      </w:r>
    </w:p>
    <w:p w:rsidR="001E3309" w:rsidRPr="00C37E54" w:rsidRDefault="00C077EE" w:rsidP="001E3309">
      <w:pPr>
        <w:spacing w:after="240"/>
        <w:rPr>
          <w:rFonts w:eastAsiaTheme="minorHAnsi" w:cstheme="minorBidi"/>
          <w:color w:val="0000FF"/>
          <w:szCs w:val="22"/>
          <w:u w:val="single"/>
        </w:rPr>
      </w:pPr>
      <w:hyperlink r:id="rId8" w:tooltip="CAASPP Dashboard" w:history="1">
        <w:r w:rsidR="001E3309" w:rsidRPr="00C37E54">
          <w:rPr>
            <w:rFonts w:eastAsiaTheme="minorHAnsi" w:cstheme="minorBidi"/>
            <w:color w:val="0000FF"/>
            <w:szCs w:val="22"/>
            <w:u w:val="single"/>
          </w:rPr>
          <w:t>https://caaspp.cde.ca.gov/sb2018/ViewReport?ps=true&amp;lstTestYear=2018&amp;lstTestType=B&amp;lstCounty=19&amp;lstDistrict=75697-000&amp;lstSchool=1996693&amp;lstSubGroup=1&amp;keywd=SCHOOL%20OF%20ARTS%20AND%20ENTERPRISE&amp;ct=2</w:t>
        </w:r>
      </w:hyperlink>
    </w:p>
    <w:p w:rsidR="001E3309" w:rsidRPr="00847BC6" w:rsidRDefault="001E3309" w:rsidP="001E3309">
      <w:pPr>
        <w:spacing w:after="240"/>
        <w:rPr>
          <w:rFonts w:eastAsiaTheme="minorHAnsi" w:cstheme="minorBidi"/>
          <w:b/>
          <w:szCs w:val="22"/>
        </w:rPr>
      </w:pPr>
      <w:r>
        <w:rPr>
          <w:rFonts w:eastAsiaTheme="minorHAnsi" w:cstheme="minorBidi"/>
          <w:b/>
          <w:szCs w:val="22"/>
        </w:rPr>
        <w:t>CA School Dashboard</w:t>
      </w:r>
    </w:p>
    <w:p w:rsidR="001E3309" w:rsidRDefault="00C077EE" w:rsidP="001E3309">
      <w:pPr>
        <w:spacing w:after="240"/>
        <w:rPr>
          <w:rFonts w:eastAsiaTheme="minorHAnsi" w:cstheme="minorBidi"/>
          <w:color w:val="0000FF"/>
          <w:szCs w:val="22"/>
          <w:u w:val="single"/>
        </w:rPr>
      </w:pPr>
      <w:hyperlink r:id="rId9" w:tooltip="California School Dashboard" w:history="1">
        <w:r w:rsidR="001E3309" w:rsidRPr="00C37E54">
          <w:rPr>
            <w:rFonts w:eastAsiaTheme="minorHAnsi" w:cstheme="minorBidi"/>
            <w:color w:val="0000FF"/>
            <w:szCs w:val="22"/>
            <w:u w:val="single"/>
          </w:rPr>
          <w:t>https://www.caschooldashboard.org/reports/19756971996693/2018</w:t>
        </w:r>
      </w:hyperlink>
    </w:p>
    <w:p w:rsidR="00330D09" w:rsidRDefault="00330D09" w:rsidP="001E3309">
      <w:pPr>
        <w:spacing w:after="240"/>
        <w:rPr>
          <w:rFonts w:eastAsiaTheme="minorHAnsi" w:cstheme="minorBidi"/>
          <w:color w:val="0000FF"/>
          <w:szCs w:val="22"/>
        </w:rPr>
        <w:sectPr w:rsidR="00330D09">
          <w:headerReference w:type="default" r:id="rId10"/>
          <w:pgSz w:w="12240" w:h="15840"/>
          <w:pgMar w:top="1440" w:right="1440" w:bottom="1440" w:left="1440" w:header="720" w:footer="720" w:gutter="0"/>
          <w:cols w:space="720"/>
          <w:docGrid w:linePitch="360"/>
        </w:sectPr>
      </w:pPr>
    </w:p>
    <w:p w:rsidR="00330D09" w:rsidRPr="00FD04B1" w:rsidRDefault="00330D09" w:rsidP="00330D09">
      <w:pPr>
        <w:spacing w:after="240"/>
        <w:rPr>
          <w:rFonts w:cs="Arial"/>
        </w:rPr>
      </w:pPr>
      <w:r w:rsidRPr="009F0C3A">
        <w:rPr>
          <w:rFonts w:cs="Arial"/>
        </w:rPr>
        <w:lastRenderedPageBreak/>
        <w:t>Dear Director</w:t>
      </w:r>
      <w:r>
        <w:rPr>
          <w:rFonts w:cs="Arial"/>
        </w:rPr>
        <w:t xml:space="preserve"> Berger and Director Gundry:</w:t>
      </w:r>
    </w:p>
    <w:p w:rsidR="00330D09" w:rsidRDefault="00330D09" w:rsidP="00330D09">
      <w:pPr>
        <w:spacing w:after="240"/>
        <w:rPr>
          <w:rFonts w:cs="Arial"/>
        </w:rPr>
      </w:pPr>
      <w:r>
        <w:rPr>
          <w:rFonts w:cs="Arial"/>
        </w:rPr>
        <w:t>The California Department of Education, Charter Schools Division, provides an annual academic update to the State Board of Education (SBE) in the form of an Ac</w:t>
      </w:r>
      <w:r w:rsidR="001C19FB">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001C19FB">
        <w:rPr>
          <w:rFonts w:cs="Arial"/>
        </w:rPr>
        <w:t>is being provided to each SBE-</w:t>
      </w:r>
      <w:r w:rsidRPr="004D1543">
        <w:rPr>
          <w:rFonts w:cs="Arial"/>
        </w:rPr>
        <w:t>authorized school in preparation for the annual Academic Memo that will be presented to the SBE members in June.</w:t>
      </w:r>
    </w:p>
    <w:p w:rsidR="00330D09" w:rsidRDefault="00330D09" w:rsidP="00330D09">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330D09" w:rsidRDefault="00330D09" w:rsidP="00330D09">
      <w:pPr>
        <w:spacing w:after="240"/>
        <w:rPr>
          <w:rFonts w:cs="Arial"/>
        </w:rPr>
      </w:pPr>
      <w:r>
        <w:rPr>
          <w:rFonts w:cs="Arial"/>
        </w:rPr>
        <w:t xml:space="preserve">The School of Arts and Enterprise (SAE) is up for </w:t>
      </w:r>
      <w:r w:rsidRPr="009F0C3A">
        <w:rPr>
          <w:rFonts w:cs="Arial"/>
        </w:rPr>
        <w:t>renewal in 2021. Based</w:t>
      </w:r>
      <w:r>
        <w:rPr>
          <w:rFonts w:cs="Arial"/>
        </w:rPr>
        <w:t xml:space="preserve"> on the school’s ELA and mathematics</w:t>
      </w:r>
      <w:r w:rsidRPr="004D1543">
        <w:rPr>
          <w:rFonts w:cs="Arial"/>
        </w:rPr>
        <w:t xml:space="preserve"> scores above, the academic performance of the</w:t>
      </w:r>
      <w:r>
        <w:rPr>
          <w:rFonts w:cs="Arial"/>
        </w:rPr>
        <w:t xml:space="preserve"> school appears to be improving in mathematics and declining in ELA.</w:t>
      </w:r>
    </w:p>
    <w:p w:rsidR="00330D09" w:rsidRPr="00F461A6" w:rsidRDefault="00330D09" w:rsidP="00330D09">
      <w:pPr>
        <w:spacing w:after="240"/>
        <w:rPr>
          <w:rFonts w:cs="Arial"/>
          <w:b/>
          <w:u w:val="single"/>
        </w:rPr>
      </w:pPr>
      <w:r w:rsidRPr="000143C2">
        <w:rPr>
          <w:rFonts w:cs="Arial"/>
          <w:b/>
        </w:rPr>
        <w:t>Written Response Needed: (no more than 3 pages)</w:t>
      </w:r>
    </w:p>
    <w:p w:rsidR="00330D09" w:rsidRPr="004D1543" w:rsidRDefault="00330D09" w:rsidP="00330D09">
      <w:pPr>
        <w:spacing w:after="240"/>
        <w:rPr>
          <w:rFonts w:cs="Arial"/>
        </w:rPr>
      </w:pPr>
      <w:r>
        <w:rPr>
          <w:rFonts w:cs="Arial"/>
        </w:rPr>
        <w:t xml:space="preserve">Provide a written response </w:t>
      </w:r>
      <w:r w:rsidRPr="007E1A84">
        <w:rPr>
          <w:rFonts w:cs="Arial"/>
        </w:rPr>
        <w:t xml:space="preserve">by </w:t>
      </w:r>
      <w:r w:rsidRPr="002E2B7E">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low-students groups (specifically, any area that is red on the California Dashboard) will be addressed.  Please also state how the SAE will address ELA </w:t>
      </w:r>
      <w:r w:rsidRPr="002E2B7E">
        <w:rPr>
          <w:rFonts w:cs="Arial"/>
        </w:rPr>
        <w:t>in</w:t>
      </w:r>
      <w:r>
        <w:rPr>
          <w:rFonts w:cs="Arial"/>
        </w:rPr>
        <w:t xml:space="preserve"> the coming school year. CDE will be reviewing your LCAP and this written response during monthly calls with the school as part of the oversight</w:t>
      </w:r>
      <w:r w:rsidR="00B43F4C">
        <w:rPr>
          <w:rFonts w:cs="Arial"/>
        </w:rPr>
        <w:t xml:space="preserve"> process</w:t>
      </w:r>
      <w:r>
        <w:rPr>
          <w:rFonts w:cs="Arial"/>
        </w:rPr>
        <w:t>.</w:t>
      </w:r>
    </w:p>
    <w:p w:rsidR="00330D09" w:rsidRPr="000143C2" w:rsidRDefault="00330D09" w:rsidP="00330D09">
      <w:pPr>
        <w:spacing w:after="240"/>
        <w:rPr>
          <w:rFonts w:cs="Arial"/>
          <w:b/>
        </w:rPr>
      </w:pPr>
      <w:r w:rsidRPr="000143C2">
        <w:rPr>
          <w:rFonts w:cs="Arial"/>
          <w:b/>
        </w:rPr>
        <w:t>Renewal Criteria</w:t>
      </w:r>
    </w:p>
    <w:p w:rsidR="00330D09" w:rsidRPr="00C13C3B" w:rsidRDefault="00330D09" w:rsidP="00330D09">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 xml:space="preserve">ets forth grounds for renewing a petition. </w:t>
      </w:r>
    </w:p>
    <w:p w:rsidR="00330D09" w:rsidRPr="000143C2" w:rsidRDefault="00330D09" w:rsidP="00330D09">
      <w:pPr>
        <w:numPr>
          <w:ilvl w:val="0"/>
          <w:numId w:val="16"/>
        </w:numPr>
        <w:autoSpaceDE w:val="0"/>
        <w:autoSpaceDN w:val="0"/>
        <w:adjustRightInd w:val="0"/>
        <w:spacing w:before="240" w:after="240"/>
        <w:rPr>
          <w:rFonts w:eastAsia="Calibri" w:cs="Arial"/>
          <w:bCs/>
        </w:rPr>
      </w:pPr>
      <w:r w:rsidRPr="000143C2">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330D09" w:rsidRPr="000143C2" w:rsidRDefault="00330D09" w:rsidP="00330D09">
      <w:pPr>
        <w:numPr>
          <w:ilvl w:val="0"/>
          <w:numId w:val="16"/>
        </w:numPr>
        <w:autoSpaceDE w:val="0"/>
        <w:autoSpaceDN w:val="0"/>
        <w:adjustRightInd w:val="0"/>
        <w:spacing w:before="240" w:after="240"/>
        <w:rPr>
          <w:rFonts w:eastAsia="Calibri" w:cs="Arial"/>
          <w:bCs/>
        </w:rPr>
      </w:pPr>
      <w:r w:rsidRPr="000143C2">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330D09" w:rsidRDefault="00330D09" w:rsidP="00330D09">
      <w:pPr>
        <w:spacing w:after="240"/>
        <w:rPr>
          <w:rFonts w:cs="Arial"/>
        </w:rPr>
      </w:pPr>
      <w:r>
        <w:rPr>
          <w:rFonts w:cs="Arial"/>
        </w:rPr>
        <w:t xml:space="preserve">CDE </w:t>
      </w:r>
      <w:r w:rsidRPr="004D1543">
        <w:rPr>
          <w:rFonts w:cs="Arial"/>
        </w:rPr>
        <w:t>will be reviewing the C</w:t>
      </w:r>
      <w:r w:rsidR="001C19FB">
        <w:rPr>
          <w:rFonts w:cs="Arial"/>
        </w:rPr>
        <w:t>AASPP</w:t>
      </w:r>
      <w:r w:rsidRPr="004D1543">
        <w:rPr>
          <w:rFonts w:cs="Arial"/>
        </w:rPr>
        <w:t xml:space="preserve"> results</w:t>
      </w:r>
      <w:r>
        <w:rPr>
          <w:rFonts w:cs="Arial"/>
        </w:rPr>
        <w:t xml:space="preserve"> as part of the renewal process if the SAE submits its renewal petition to the SBE for approval.</w:t>
      </w:r>
    </w:p>
    <w:p w:rsidR="00330D09" w:rsidRDefault="00330D09" w:rsidP="00330D09">
      <w:pPr>
        <w:spacing w:after="240"/>
        <w:contextualSpacing/>
        <w:rPr>
          <w:rFonts w:cs="Arial"/>
        </w:rPr>
      </w:pPr>
      <w:r>
        <w:rPr>
          <w:rFonts w:cs="Arial"/>
        </w:rPr>
        <w:lastRenderedPageBreak/>
        <w:t xml:space="preserve">The following is a </w:t>
      </w:r>
      <w:r w:rsidR="001C19FB">
        <w:rPr>
          <w:rFonts w:cs="Arial"/>
        </w:rPr>
        <w:t>list of schools within a 5 mile</w:t>
      </w:r>
      <w:r>
        <w:rPr>
          <w:rFonts w:cs="Arial"/>
        </w:rPr>
        <w:t xml:space="preserve"> radius where the s</w:t>
      </w:r>
      <w:r w:rsidR="009D10A1">
        <w:rPr>
          <w:rFonts w:cs="Arial"/>
        </w:rPr>
        <w:t>tudents would otherwise attend:</w:t>
      </w:r>
    </w:p>
    <w:p w:rsidR="00330D09" w:rsidRPr="00885F86" w:rsidRDefault="00330D09" w:rsidP="00330D09">
      <w:pPr>
        <w:pStyle w:val="ListParagraph"/>
        <w:numPr>
          <w:ilvl w:val="0"/>
          <w:numId w:val="17"/>
        </w:numPr>
        <w:spacing w:after="240"/>
        <w:rPr>
          <w:rFonts w:cs="Arial"/>
        </w:rPr>
      </w:pPr>
      <w:r w:rsidRPr="00885F86">
        <w:rPr>
          <w:rFonts w:cs="Arial"/>
        </w:rPr>
        <w:t>Pomona High</w:t>
      </w:r>
    </w:p>
    <w:p w:rsidR="00330D09" w:rsidRPr="00885F86" w:rsidRDefault="00330D09" w:rsidP="00330D09">
      <w:pPr>
        <w:pStyle w:val="ListParagraph"/>
        <w:numPr>
          <w:ilvl w:val="0"/>
          <w:numId w:val="17"/>
        </w:numPr>
        <w:spacing w:after="240"/>
        <w:rPr>
          <w:rFonts w:cs="Arial"/>
        </w:rPr>
      </w:pPr>
      <w:proofErr w:type="spellStart"/>
      <w:r w:rsidRPr="00885F86">
        <w:rPr>
          <w:rFonts w:cs="Arial"/>
        </w:rPr>
        <w:t>Garey</w:t>
      </w:r>
      <w:proofErr w:type="spellEnd"/>
      <w:r w:rsidRPr="00885F86">
        <w:rPr>
          <w:rFonts w:cs="Arial"/>
        </w:rPr>
        <w:t xml:space="preserve"> High</w:t>
      </w:r>
    </w:p>
    <w:p w:rsidR="00330D09" w:rsidRPr="00885F86" w:rsidRDefault="00330D09" w:rsidP="00330D09">
      <w:pPr>
        <w:pStyle w:val="ListParagraph"/>
        <w:numPr>
          <w:ilvl w:val="0"/>
          <w:numId w:val="17"/>
        </w:numPr>
        <w:spacing w:after="240"/>
        <w:rPr>
          <w:rFonts w:cs="Arial"/>
        </w:rPr>
      </w:pPr>
      <w:r w:rsidRPr="00885F86">
        <w:rPr>
          <w:rFonts w:cs="Arial"/>
        </w:rPr>
        <w:t>Emerson Middle</w:t>
      </w:r>
    </w:p>
    <w:p w:rsidR="00330D09" w:rsidRPr="000143C2" w:rsidRDefault="00330D09" w:rsidP="00330D09">
      <w:pPr>
        <w:pStyle w:val="ListParagraph"/>
        <w:numPr>
          <w:ilvl w:val="0"/>
          <w:numId w:val="17"/>
        </w:numPr>
        <w:spacing w:after="240"/>
        <w:rPr>
          <w:rFonts w:cs="Arial"/>
        </w:rPr>
      </w:pPr>
      <w:r w:rsidRPr="000143C2">
        <w:rPr>
          <w:rFonts w:cs="Arial"/>
        </w:rPr>
        <w:t>Marshall Middle</w:t>
      </w:r>
    </w:p>
    <w:p w:rsidR="00330D09" w:rsidRDefault="00330D09" w:rsidP="00330D09">
      <w:pPr>
        <w:spacing w:after="240"/>
        <w:rPr>
          <w:rFonts w:cs="Arial"/>
        </w:rPr>
      </w:pPr>
      <w:r w:rsidRPr="00885F86">
        <w:rPr>
          <w:rFonts w:cs="Arial"/>
        </w:rPr>
        <w:t>The academic</w:t>
      </w:r>
      <w:r>
        <w:rPr>
          <w:rFonts w:cs="Arial"/>
        </w:rPr>
        <w:t xml:space="preserve"> performance of these schools may be used as the comparison schools for purposes of renewal.</w:t>
      </w:r>
    </w:p>
    <w:p w:rsidR="00330D09" w:rsidRDefault="00330D09" w:rsidP="00330D09">
      <w:pPr>
        <w:spacing w:after="240"/>
        <w:rPr>
          <w:rFonts w:cs="Arial"/>
        </w:rPr>
      </w:pPr>
      <w:r>
        <w:rPr>
          <w:rFonts w:cs="Arial"/>
        </w:rPr>
        <w:t xml:space="preserve">To further assist you, </w:t>
      </w:r>
      <w:r w:rsidRPr="00F461A6">
        <w:rPr>
          <w:rFonts w:cs="Arial"/>
        </w:rPr>
        <w:t>CDE has the following resources available to the schoo</w:t>
      </w:r>
      <w:r w:rsidR="009D10A1">
        <w:rPr>
          <w:rFonts w:cs="Arial"/>
        </w:rPr>
        <w:t>l:</w:t>
      </w:r>
    </w:p>
    <w:p w:rsidR="00330D09" w:rsidRDefault="00330D09" w:rsidP="00330D09">
      <w:pPr>
        <w:spacing w:after="240"/>
        <w:rPr>
          <w:rFonts w:cs="Arial"/>
        </w:rPr>
      </w:pPr>
      <w:r>
        <w:rPr>
          <w:rFonts w:cs="Arial"/>
        </w:rPr>
        <w:t xml:space="preserve">California </w:t>
      </w:r>
      <w:r w:rsidRPr="00F461A6">
        <w:rPr>
          <w:rFonts w:cs="Arial"/>
        </w:rPr>
        <w:t xml:space="preserve">Dashboard: </w:t>
      </w:r>
      <w:hyperlink r:id="rId11" w:tooltip="California School Dashboard and System of Support" w:history="1">
        <w:r w:rsidRPr="000143C2">
          <w:rPr>
            <w:rStyle w:val="Hyperlink"/>
            <w:rFonts w:cs="Arial"/>
            <w:color w:val="0000FF"/>
          </w:rPr>
          <w:t>https://www.cde.ca.gov/ta/ac/cm/</w:t>
        </w:r>
      </w:hyperlink>
    </w:p>
    <w:p w:rsidR="00330D09" w:rsidRDefault="00330D09" w:rsidP="00330D09">
      <w:pPr>
        <w:spacing w:after="240"/>
        <w:rPr>
          <w:rFonts w:cs="Arial"/>
        </w:rPr>
      </w:pPr>
      <w:r w:rsidRPr="00F461A6">
        <w:rPr>
          <w:rFonts w:cs="Arial"/>
        </w:rPr>
        <w:t>LCAP Resources:</w:t>
      </w:r>
      <w:r w:rsidRPr="000143C2">
        <w:rPr>
          <w:rFonts w:cs="Arial"/>
          <w:color w:val="0000FF"/>
        </w:rPr>
        <w:t xml:space="preserve"> </w:t>
      </w:r>
      <w:hyperlink r:id="rId12" w:tooltip="Planning for the LCAP and School Plan" w:history="1">
        <w:r w:rsidRPr="000143C2">
          <w:rPr>
            <w:rStyle w:val="Hyperlink"/>
            <w:rFonts w:cs="Arial"/>
            <w:color w:val="0000FF"/>
          </w:rPr>
          <w:t>https://www.cde.ca.gov/re/lc/planninglcapschoolplan.asp</w:t>
        </w:r>
      </w:hyperlink>
    </w:p>
    <w:p w:rsidR="00330D09" w:rsidRDefault="00330D09" w:rsidP="001E3309">
      <w:pPr>
        <w:spacing w:after="240"/>
        <w:rPr>
          <w:rFonts w:eastAsiaTheme="minorHAnsi" w:cstheme="minorBidi"/>
          <w:color w:val="0000FF"/>
          <w:szCs w:val="22"/>
        </w:rPr>
        <w:sectPr w:rsidR="00330D09">
          <w:pgSz w:w="12240" w:h="15840"/>
          <w:pgMar w:top="1440" w:right="1440" w:bottom="1440" w:left="1440" w:header="720" w:footer="720" w:gutter="0"/>
          <w:cols w:space="720"/>
          <w:docGrid w:linePitch="360"/>
        </w:sectPr>
      </w:pPr>
    </w:p>
    <w:p w:rsidR="00330D09" w:rsidRPr="0039766D" w:rsidRDefault="00330D09" w:rsidP="009D10A1">
      <w:pPr>
        <w:pStyle w:val="Heading2"/>
      </w:pPr>
      <w:r w:rsidRPr="0039766D">
        <w:lastRenderedPageBreak/>
        <w:t>California Assessment of Student Performance and Progress Test Results</w:t>
      </w:r>
    </w:p>
    <w:p w:rsidR="00330D09" w:rsidRPr="006B7754" w:rsidRDefault="00330D09" w:rsidP="009D10A1">
      <w:pPr>
        <w:spacing w:after="100" w:afterAutospacing="1"/>
        <w:jc w:val="center"/>
        <w:rPr>
          <w:b/>
          <w:sz w:val="32"/>
          <w:szCs w:val="32"/>
        </w:rPr>
      </w:pPr>
      <w:r w:rsidRPr="006B7754">
        <w:rPr>
          <w:b/>
          <w:sz w:val="32"/>
          <w:szCs w:val="32"/>
        </w:rPr>
        <w:t>Schoolwide Percentage of All Grades Tested (6–8,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0" w:type="auto"/>
        <w:jc w:val="center"/>
        <w:tblLook w:val="04A0" w:firstRow="1" w:lastRow="0" w:firstColumn="1" w:lastColumn="0" w:noHBand="0" w:noVBand="1"/>
        <w:tblDescription w:val="Schoolwide Percentage of All Grades Tested (6–8, 11) Standard Met/Exceeded for English Language Arts and Mathematics"/>
      </w:tblPr>
      <w:tblGrid>
        <w:gridCol w:w="2179"/>
        <w:gridCol w:w="1766"/>
        <w:gridCol w:w="1799"/>
        <w:gridCol w:w="1803"/>
        <w:gridCol w:w="1803"/>
      </w:tblGrid>
      <w:tr w:rsidR="00330D09" w:rsidTr="004369D5">
        <w:trPr>
          <w:cantSplit/>
          <w:tblHeader/>
          <w:jc w:val="center"/>
        </w:trPr>
        <w:tc>
          <w:tcPr>
            <w:tcW w:w="2179" w:type="dxa"/>
            <w:shd w:val="clear" w:color="auto" w:fill="BFBFBF" w:themeFill="background1" w:themeFillShade="BF"/>
          </w:tcPr>
          <w:p w:rsidR="00330D09" w:rsidRPr="00EA3B5B" w:rsidRDefault="00330D09" w:rsidP="004369D5">
            <w:pPr>
              <w:rPr>
                <w:b/>
              </w:rPr>
            </w:pPr>
            <w:r>
              <w:rPr>
                <w:b/>
              </w:rPr>
              <w:t>School of Arts and Enterprise</w:t>
            </w:r>
          </w:p>
        </w:tc>
        <w:tc>
          <w:tcPr>
            <w:tcW w:w="1766" w:type="dxa"/>
            <w:shd w:val="clear" w:color="auto" w:fill="BFBFBF" w:themeFill="background1" w:themeFillShade="BF"/>
          </w:tcPr>
          <w:p w:rsidR="00330D09" w:rsidRPr="00EA3B5B" w:rsidRDefault="00330D09" w:rsidP="004369D5">
            <w:pPr>
              <w:jc w:val="center"/>
              <w:rPr>
                <w:b/>
              </w:rPr>
            </w:pPr>
            <w:r>
              <w:rPr>
                <w:b/>
              </w:rPr>
              <w:t>2014–15</w:t>
            </w:r>
          </w:p>
        </w:tc>
        <w:tc>
          <w:tcPr>
            <w:tcW w:w="1799" w:type="dxa"/>
            <w:shd w:val="clear" w:color="auto" w:fill="BFBFBF" w:themeFill="background1" w:themeFillShade="BF"/>
          </w:tcPr>
          <w:p w:rsidR="00330D09" w:rsidRPr="00EA3B5B" w:rsidRDefault="00330D09" w:rsidP="004369D5">
            <w:pPr>
              <w:jc w:val="center"/>
              <w:rPr>
                <w:b/>
              </w:rPr>
            </w:pPr>
            <w:r w:rsidRPr="00EA3B5B">
              <w:rPr>
                <w:b/>
              </w:rPr>
              <w:t>20</w:t>
            </w:r>
            <w:r>
              <w:rPr>
                <w:b/>
              </w:rPr>
              <w:t>15–</w:t>
            </w:r>
            <w:r w:rsidRPr="00EA3B5B">
              <w:rPr>
                <w:b/>
              </w:rPr>
              <w:t>16</w:t>
            </w:r>
          </w:p>
        </w:tc>
        <w:tc>
          <w:tcPr>
            <w:tcW w:w="1803" w:type="dxa"/>
            <w:shd w:val="clear" w:color="auto" w:fill="BFBFBF" w:themeFill="background1" w:themeFillShade="BF"/>
          </w:tcPr>
          <w:p w:rsidR="00330D09" w:rsidRPr="00EA3B5B" w:rsidRDefault="00330D09" w:rsidP="004369D5">
            <w:pPr>
              <w:jc w:val="center"/>
              <w:rPr>
                <w:b/>
              </w:rPr>
            </w:pPr>
            <w:r w:rsidRPr="00EA3B5B">
              <w:rPr>
                <w:b/>
              </w:rPr>
              <w:t>20</w:t>
            </w:r>
            <w:r>
              <w:rPr>
                <w:b/>
              </w:rPr>
              <w:t>16–</w:t>
            </w:r>
            <w:r w:rsidRPr="00EA3B5B">
              <w:rPr>
                <w:b/>
              </w:rPr>
              <w:t>17</w:t>
            </w:r>
          </w:p>
        </w:tc>
        <w:tc>
          <w:tcPr>
            <w:tcW w:w="1803" w:type="dxa"/>
            <w:shd w:val="clear" w:color="auto" w:fill="BFBFBF" w:themeFill="background1" w:themeFillShade="BF"/>
          </w:tcPr>
          <w:p w:rsidR="00330D09" w:rsidRPr="00EA3B5B" w:rsidRDefault="00330D09" w:rsidP="004369D5">
            <w:pPr>
              <w:jc w:val="center"/>
              <w:rPr>
                <w:b/>
              </w:rPr>
            </w:pPr>
            <w:r w:rsidRPr="00EA3B5B">
              <w:rPr>
                <w:b/>
              </w:rPr>
              <w:t>20</w:t>
            </w:r>
            <w:r>
              <w:rPr>
                <w:b/>
              </w:rPr>
              <w:t>17–</w:t>
            </w:r>
            <w:r w:rsidRPr="00EA3B5B">
              <w:rPr>
                <w:b/>
              </w:rPr>
              <w:t>18</w:t>
            </w:r>
          </w:p>
        </w:tc>
      </w:tr>
      <w:tr w:rsidR="00330D09" w:rsidTr="004369D5">
        <w:trPr>
          <w:cantSplit/>
          <w:jc w:val="center"/>
        </w:trPr>
        <w:tc>
          <w:tcPr>
            <w:tcW w:w="2179" w:type="dxa"/>
            <w:shd w:val="clear" w:color="auto" w:fill="BFBFBF" w:themeFill="background1" w:themeFillShade="BF"/>
          </w:tcPr>
          <w:p w:rsidR="00330D09" w:rsidRPr="00EA3B5B" w:rsidRDefault="00330D09" w:rsidP="004369D5">
            <w:pPr>
              <w:rPr>
                <w:b/>
              </w:rPr>
            </w:pPr>
            <w:r w:rsidRPr="00EA3B5B">
              <w:rPr>
                <w:b/>
              </w:rPr>
              <w:t>ELA</w:t>
            </w:r>
          </w:p>
        </w:tc>
        <w:tc>
          <w:tcPr>
            <w:tcW w:w="1766" w:type="dxa"/>
          </w:tcPr>
          <w:p w:rsidR="00330D09" w:rsidRDefault="00330D09" w:rsidP="004369D5">
            <w:pPr>
              <w:jc w:val="center"/>
            </w:pPr>
            <w:r>
              <w:t>40</w:t>
            </w:r>
          </w:p>
        </w:tc>
        <w:tc>
          <w:tcPr>
            <w:tcW w:w="1799" w:type="dxa"/>
          </w:tcPr>
          <w:p w:rsidR="00330D09" w:rsidRDefault="00330D09" w:rsidP="004369D5">
            <w:pPr>
              <w:jc w:val="center"/>
            </w:pPr>
            <w:r>
              <w:t>46</w:t>
            </w:r>
          </w:p>
        </w:tc>
        <w:tc>
          <w:tcPr>
            <w:tcW w:w="1803" w:type="dxa"/>
          </w:tcPr>
          <w:p w:rsidR="00330D09" w:rsidRDefault="00330D09" w:rsidP="004369D5">
            <w:pPr>
              <w:jc w:val="center"/>
            </w:pPr>
            <w:r>
              <w:t>43.13</w:t>
            </w:r>
          </w:p>
        </w:tc>
        <w:tc>
          <w:tcPr>
            <w:tcW w:w="1803" w:type="dxa"/>
          </w:tcPr>
          <w:p w:rsidR="00330D09" w:rsidRDefault="00330D09" w:rsidP="004369D5">
            <w:pPr>
              <w:jc w:val="center"/>
            </w:pPr>
            <w:r>
              <w:t>36.52</w:t>
            </w:r>
          </w:p>
        </w:tc>
      </w:tr>
      <w:tr w:rsidR="00330D09" w:rsidTr="004369D5">
        <w:trPr>
          <w:cantSplit/>
          <w:jc w:val="center"/>
        </w:trPr>
        <w:tc>
          <w:tcPr>
            <w:tcW w:w="2179" w:type="dxa"/>
            <w:shd w:val="clear" w:color="auto" w:fill="BFBFBF" w:themeFill="background1" w:themeFillShade="BF"/>
          </w:tcPr>
          <w:p w:rsidR="00330D09" w:rsidRPr="00EA3B5B" w:rsidRDefault="00330D09" w:rsidP="004369D5">
            <w:pPr>
              <w:rPr>
                <w:b/>
              </w:rPr>
            </w:pPr>
            <w:r w:rsidRPr="00EA3B5B">
              <w:rPr>
                <w:b/>
              </w:rPr>
              <w:t>Math</w:t>
            </w:r>
          </w:p>
        </w:tc>
        <w:tc>
          <w:tcPr>
            <w:tcW w:w="1766" w:type="dxa"/>
          </w:tcPr>
          <w:p w:rsidR="00330D09" w:rsidRDefault="00330D09" w:rsidP="004369D5">
            <w:pPr>
              <w:jc w:val="center"/>
            </w:pPr>
            <w:r>
              <w:t>6</w:t>
            </w:r>
          </w:p>
        </w:tc>
        <w:tc>
          <w:tcPr>
            <w:tcW w:w="1799" w:type="dxa"/>
          </w:tcPr>
          <w:p w:rsidR="00330D09" w:rsidRDefault="00330D09" w:rsidP="004369D5">
            <w:pPr>
              <w:jc w:val="center"/>
            </w:pPr>
            <w:r>
              <w:t>16</w:t>
            </w:r>
          </w:p>
        </w:tc>
        <w:tc>
          <w:tcPr>
            <w:tcW w:w="1803" w:type="dxa"/>
          </w:tcPr>
          <w:p w:rsidR="00330D09" w:rsidRDefault="00330D09" w:rsidP="004369D5">
            <w:pPr>
              <w:jc w:val="center"/>
            </w:pPr>
            <w:r>
              <w:t>18.71</w:t>
            </w:r>
          </w:p>
        </w:tc>
        <w:tc>
          <w:tcPr>
            <w:tcW w:w="1803" w:type="dxa"/>
          </w:tcPr>
          <w:p w:rsidR="00330D09" w:rsidRDefault="00330D09" w:rsidP="004369D5">
            <w:pPr>
              <w:jc w:val="center"/>
            </w:pPr>
            <w:r>
              <w:t>18.96</w:t>
            </w:r>
          </w:p>
        </w:tc>
      </w:tr>
    </w:tbl>
    <w:p w:rsidR="00330D09" w:rsidRPr="0039766D" w:rsidRDefault="00330D09" w:rsidP="00330D09">
      <w:pPr>
        <w:spacing w:before="100" w:beforeAutospacing="1"/>
        <w:rPr>
          <w:b/>
        </w:rPr>
      </w:pPr>
      <w:r w:rsidRPr="0039766D">
        <w:rPr>
          <w:b/>
        </w:rPr>
        <w:t xml:space="preserve">Data Source </w:t>
      </w:r>
    </w:p>
    <w:p w:rsidR="00330D09" w:rsidRPr="009D10A1" w:rsidRDefault="00C077EE" w:rsidP="00330D09">
      <w:pPr>
        <w:rPr>
          <w:rStyle w:val="Hyperlink"/>
          <w:color w:val="0000FF"/>
        </w:rPr>
      </w:pPr>
      <w:hyperlink r:id="rId13" w:tooltip="CAASPP Dashboard" w:history="1">
        <w:r w:rsidR="00330D09" w:rsidRPr="009D10A1">
          <w:rPr>
            <w:rStyle w:val="Hyperlink"/>
            <w:color w:val="0000FF"/>
          </w:rPr>
          <w:t>https://caaspp.cde.ca.gov/sb2018/ViewReport?ps=true&amp;lstTestYear=2018&amp;lstTestType=B&amp;lstCounty=19&amp;lstDistrict=75697-000&amp;lstSchool=1996693&amp;lstSubGroup=1&amp;keywd=SCHOOL%20OF%20ARTS%20AND%20ENTERPRISE&amp;ct=2</w:t>
        </w:r>
      </w:hyperlink>
    </w:p>
    <w:p w:rsidR="00330D09" w:rsidRPr="006B7754" w:rsidRDefault="00330D09" w:rsidP="00330D09">
      <w:pPr>
        <w:spacing w:before="240"/>
        <w:rPr>
          <w:b/>
        </w:rPr>
      </w:pPr>
      <w:r w:rsidRPr="006B7754">
        <w:t>Prepared by the California Department of Education, Charter Schools Division,</w:t>
      </w:r>
      <w:r>
        <w:t xml:space="preserve"> March 2019</w:t>
      </w:r>
    </w:p>
    <w:p w:rsidR="00330D09" w:rsidRDefault="00330D09" w:rsidP="009D10A1">
      <w:pPr>
        <w:pStyle w:val="Heading2"/>
      </w:pPr>
      <w:r>
        <w:t>2018 California School Dashboard Data Summary Overview</w:t>
      </w:r>
    </w:p>
    <w:p w:rsidR="00330D09" w:rsidRDefault="00330D09" w:rsidP="00330D09">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330D09" w:rsidTr="004369D5">
        <w:trPr>
          <w:cantSplit/>
          <w:tblHeader/>
        </w:trPr>
        <w:tc>
          <w:tcPr>
            <w:tcW w:w="4675" w:type="dxa"/>
            <w:shd w:val="clear" w:color="auto" w:fill="BFBFBF" w:themeFill="background1" w:themeFillShade="BF"/>
          </w:tcPr>
          <w:p w:rsidR="00330D09" w:rsidRPr="0096434F" w:rsidRDefault="00330D09" w:rsidP="009D10A1">
            <w:pPr>
              <w:spacing w:line="259" w:lineRule="auto"/>
              <w:jc w:val="center"/>
              <w:rPr>
                <w:b/>
              </w:rPr>
            </w:pPr>
            <w:r w:rsidRPr="0096434F">
              <w:rPr>
                <w:b/>
              </w:rPr>
              <w:t>Indicator</w:t>
            </w:r>
          </w:p>
        </w:tc>
        <w:tc>
          <w:tcPr>
            <w:tcW w:w="4675" w:type="dxa"/>
            <w:shd w:val="clear" w:color="auto" w:fill="BFBFBF" w:themeFill="background1" w:themeFillShade="BF"/>
          </w:tcPr>
          <w:p w:rsidR="00330D09" w:rsidRPr="0096434F" w:rsidRDefault="00330D09" w:rsidP="009D10A1">
            <w:pPr>
              <w:spacing w:line="259" w:lineRule="auto"/>
              <w:jc w:val="center"/>
              <w:rPr>
                <w:b/>
              </w:rPr>
            </w:pPr>
            <w:r w:rsidRPr="0096434F">
              <w:rPr>
                <w:b/>
              </w:rPr>
              <w:t>Color</w:t>
            </w:r>
          </w:p>
        </w:tc>
      </w:tr>
      <w:tr w:rsidR="00330D09" w:rsidTr="004369D5">
        <w:trPr>
          <w:cantSplit/>
        </w:trPr>
        <w:tc>
          <w:tcPr>
            <w:tcW w:w="4675" w:type="dxa"/>
            <w:shd w:val="clear" w:color="auto" w:fill="BFBFBF" w:themeFill="background1" w:themeFillShade="BF"/>
          </w:tcPr>
          <w:p w:rsidR="00330D09" w:rsidRPr="0096434F" w:rsidRDefault="00330D09" w:rsidP="009D10A1">
            <w:pPr>
              <w:spacing w:line="259" w:lineRule="auto"/>
              <w:jc w:val="center"/>
              <w:rPr>
                <w:b/>
              </w:rPr>
            </w:pPr>
            <w:r w:rsidRPr="0096434F">
              <w:rPr>
                <w:b/>
              </w:rPr>
              <w:t>ELA</w:t>
            </w:r>
          </w:p>
        </w:tc>
        <w:tc>
          <w:tcPr>
            <w:tcW w:w="4675" w:type="dxa"/>
          </w:tcPr>
          <w:p w:rsidR="00330D09" w:rsidRPr="0096434F" w:rsidRDefault="00330D09" w:rsidP="009D10A1">
            <w:pPr>
              <w:spacing w:line="259" w:lineRule="auto"/>
              <w:jc w:val="center"/>
            </w:pPr>
            <w:r w:rsidRPr="0096434F">
              <w:t>Orange</w:t>
            </w:r>
          </w:p>
        </w:tc>
      </w:tr>
      <w:tr w:rsidR="00330D09" w:rsidTr="004369D5">
        <w:trPr>
          <w:cantSplit/>
        </w:trPr>
        <w:tc>
          <w:tcPr>
            <w:tcW w:w="4675" w:type="dxa"/>
            <w:shd w:val="clear" w:color="auto" w:fill="BFBFBF" w:themeFill="background1" w:themeFillShade="BF"/>
          </w:tcPr>
          <w:p w:rsidR="00330D09" w:rsidRPr="0096434F" w:rsidRDefault="00330D09" w:rsidP="009D10A1">
            <w:pPr>
              <w:spacing w:line="259" w:lineRule="auto"/>
              <w:jc w:val="center"/>
              <w:rPr>
                <w:b/>
              </w:rPr>
            </w:pPr>
            <w:r w:rsidRPr="0096434F">
              <w:rPr>
                <w:b/>
              </w:rPr>
              <w:t>Math</w:t>
            </w:r>
          </w:p>
        </w:tc>
        <w:tc>
          <w:tcPr>
            <w:tcW w:w="4675" w:type="dxa"/>
          </w:tcPr>
          <w:p w:rsidR="00330D09" w:rsidRPr="0096434F" w:rsidRDefault="00330D09" w:rsidP="009D10A1">
            <w:pPr>
              <w:spacing w:line="259" w:lineRule="auto"/>
              <w:jc w:val="center"/>
            </w:pPr>
            <w:r>
              <w:t>Red</w:t>
            </w:r>
          </w:p>
        </w:tc>
      </w:tr>
      <w:tr w:rsidR="00330D09" w:rsidTr="004369D5">
        <w:trPr>
          <w:cantSplit/>
        </w:trPr>
        <w:tc>
          <w:tcPr>
            <w:tcW w:w="4675" w:type="dxa"/>
            <w:shd w:val="clear" w:color="auto" w:fill="BFBFBF" w:themeFill="background1" w:themeFillShade="BF"/>
          </w:tcPr>
          <w:p w:rsidR="00330D09" w:rsidRPr="0096434F" w:rsidRDefault="00330D09" w:rsidP="009D10A1">
            <w:pPr>
              <w:spacing w:line="259" w:lineRule="auto"/>
              <w:jc w:val="center"/>
              <w:rPr>
                <w:b/>
              </w:rPr>
            </w:pPr>
            <w:r w:rsidRPr="0096434F">
              <w:rPr>
                <w:b/>
              </w:rPr>
              <w:t>Chronic Absenteeism</w:t>
            </w:r>
          </w:p>
        </w:tc>
        <w:tc>
          <w:tcPr>
            <w:tcW w:w="4675" w:type="dxa"/>
          </w:tcPr>
          <w:p w:rsidR="00330D09" w:rsidRPr="0096434F" w:rsidRDefault="00330D09" w:rsidP="009D10A1">
            <w:pPr>
              <w:spacing w:line="259" w:lineRule="auto"/>
              <w:jc w:val="center"/>
            </w:pPr>
            <w:r w:rsidRPr="0096434F">
              <w:t>Red</w:t>
            </w:r>
          </w:p>
        </w:tc>
      </w:tr>
      <w:tr w:rsidR="00330D09" w:rsidTr="004369D5">
        <w:trPr>
          <w:cantSplit/>
        </w:trPr>
        <w:tc>
          <w:tcPr>
            <w:tcW w:w="4675" w:type="dxa"/>
            <w:shd w:val="clear" w:color="auto" w:fill="BFBFBF" w:themeFill="background1" w:themeFillShade="BF"/>
          </w:tcPr>
          <w:p w:rsidR="00330D09" w:rsidRPr="0096434F" w:rsidRDefault="00330D09" w:rsidP="009D10A1">
            <w:pPr>
              <w:spacing w:line="259" w:lineRule="auto"/>
              <w:jc w:val="center"/>
              <w:rPr>
                <w:b/>
              </w:rPr>
            </w:pPr>
            <w:r w:rsidRPr="0096434F">
              <w:rPr>
                <w:b/>
              </w:rPr>
              <w:t>Suspension Rate</w:t>
            </w:r>
          </w:p>
        </w:tc>
        <w:tc>
          <w:tcPr>
            <w:tcW w:w="4675" w:type="dxa"/>
          </w:tcPr>
          <w:p w:rsidR="00330D09" w:rsidRPr="0096434F" w:rsidRDefault="00330D09" w:rsidP="009D10A1">
            <w:pPr>
              <w:spacing w:line="259" w:lineRule="auto"/>
              <w:jc w:val="center"/>
            </w:pPr>
            <w:r>
              <w:t>Green</w:t>
            </w:r>
          </w:p>
        </w:tc>
      </w:tr>
      <w:tr w:rsidR="00330D09" w:rsidTr="004369D5">
        <w:trPr>
          <w:cantSplit/>
        </w:trPr>
        <w:tc>
          <w:tcPr>
            <w:tcW w:w="4675" w:type="dxa"/>
            <w:shd w:val="clear" w:color="auto" w:fill="BFBFBF" w:themeFill="background1" w:themeFillShade="BF"/>
          </w:tcPr>
          <w:p w:rsidR="00330D09" w:rsidRPr="0096434F" w:rsidRDefault="00330D09" w:rsidP="009D10A1">
            <w:pPr>
              <w:spacing w:line="259" w:lineRule="auto"/>
              <w:jc w:val="center"/>
              <w:rPr>
                <w:b/>
              </w:rPr>
            </w:pPr>
            <w:r w:rsidRPr="0096434F">
              <w:rPr>
                <w:b/>
              </w:rPr>
              <w:t>English Learner Progress</w:t>
            </w:r>
          </w:p>
        </w:tc>
        <w:tc>
          <w:tcPr>
            <w:tcW w:w="4675" w:type="dxa"/>
          </w:tcPr>
          <w:p w:rsidR="00330D09" w:rsidRPr="0096434F" w:rsidRDefault="00330D09" w:rsidP="009D10A1">
            <w:pPr>
              <w:spacing w:line="259" w:lineRule="auto"/>
              <w:jc w:val="center"/>
            </w:pPr>
            <w:r w:rsidRPr="0096434F">
              <w:t>No Performance Color</w:t>
            </w:r>
          </w:p>
        </w:tc>
      </w:tr>
      <w:tr w:rsidR="00330D09" w:rsidTr="004369D5">
        <w:trPr>
          <w:cantSplit/>
        </w:trPr>
        <w:tc>
          <w:tcPr>
            <w:tcW w:w="4675" w:type="dxa"/>
            <w:shd w:val="clear" w:color="auto" w:fill="BFBFBF" w:themeFill="background1" w:themeFillShade="BF"/>
          </w:tcPr>
          <w:p w:rsidR="00330D09" w:rsidRPr="0096434F" w:rsidRDefault="00330D09" w:rsidP="009D10A1">
            <w:pPr>
              <w:spacing w:line="259" w:lineRule="auto"/>
              <w:jc w:val="center"/>
              <w:rPr>
                <w:b/>
              </w:rPr>
            </w:pPr>
            <w:r w:rsidRPr="0096434F">
              <w:rPr>
                <w:b/>
              </w:rPr>
              <w:t>Graduation Rate</w:t>
            </w:r>
          </w:p>
        </w:tc>
        <w:tc>
          <w:tcPr>
            <w:tcW w:w="4675" w:type="dxa"/>
          </w:tcPr>
          <w:p w:rsidR="00330D09" w:rsidRPr="0096434F" w:rsidRDefault="00330D09" w:rsidP="009D10A1">
            <w:pPr>
              <w:spacing w:line="259" w:lineRule="auto"/>
              <w:jc w:val="center"/>
            </w:pPr>
            <w:r>
              <w:t>Green</w:t>
            </w:r>
          </w:p>
        </w:tc>
      </w:tr>
      <w:tr w:rsidR="00330D09" w:rsidTr="004369D5">
        <w:trPr>
          <w:cantSplit/>
        </w:trPr>
        <w:tc>
          <w:tcPr>
            <w:tcW w:w="4675" w:type="dxa"/>
            <w:shd w:val="clear" w:color="auto" w:fill="BFBFBF" w:themeFill="background1" w:themeFillShade="BF"/>
          </w:tcPr>
          <w:p w:rsidR="00330D09" w:rsidRPr="0096434F" w:rsidRDefault="00330D09" w:rsidP="009D10A1">
            <w:pPr>
              <w:spacing w:line="259" w:lineRule="auto"/>
              <w:jc w:val="center"/>
              <w:rPr>
                <w:b/>
              </w:rPr>
            </w:pPr>
            <w:r w:rsidRPr="0096434F">
              <w:rPr>
                <w:b/>
              </w:rPr>
              <w:t>College/Career</w:t>
            </w:r>
          </w:p>
        </w:tc>
        <w:tc>
          <w:tcPr>
            <w:tcW w:w="4675" w:type="dxa"/>
          </w:tcPr>
          <w:p w:rsidR="00330D09" w:rsidRPr="0096434F" w:rsidRDefault="00330D09" w:rsidP="009D10A1">
            <w:pPr>
              <w:spacing w:line="259" w:lineRule="auto"/>
              <w:jc w:val="center"/>
            </w:pPr>
            <w:r>
              <w:t>Orange</w:t>
            </w:r>
          </w:p>
        </w:tc>
      </w:tr>
    </w:tbl>
    <w:p w:rsidR="00330D09" w:rsidRPr="0039766D" w:rsidRDefault="00330D09" w:rsidP="00330D09">
      <w:pPr>
        <w:spacing w:before="100" w:beforeAutospacing="1"/>
        <w:rPr>
          <w:b/>
        </w:rPr>
      </w:pPr>
      <w:r w:rsidRPr="0039766D">
        <w:rPr>
          <w:b/>
        </w:rPr>
        <w:t xml:space="preserve">Data Source </w:t>
      </w:r>
    </w:p>
    <w:p w:rsidR="00330D09" w:rsidRPr="009D10A1" w:rsidRDefault="00C077EE" w:rsidP="009D10A1">
      <w:pPr>
        <w:spacing w:after="100" w:afterAutospacing="1"/>
        <w:rPr>
          <w:color w:val="0000FF"/>
        </w:rPr>
      </w:pPr>
      <w:hyperlink r:id="rId14" w:tooltip="California School Dashboard" w:history="1">
        <w:r w:rsidR="00330D09" w:rsidRPr="009D10A1">
          <w:rPr>
            <w:rStyle w:val="Hyperlink"/>
            <w:color w:val="0000FF"/>
          </w:rPr>
          <w:t>https://www.caschooldashboard.org/reports/19756971996693/2018</w:t>
        </w:r>
      </w:hyperlink>
    </w:p>
    <w:p w:rsidR="00330D09" w:rsidRPr="00EA3B5B" w:rsidRDefault="00330D09" w:rsidP="00330D09">
      <w:r w:rsidRPr="00EA3B5B">
        <w:t>Prepared by the California Department of Education, Charter Schools Division,</w:t>
      </w:r>
      <w:r>
        <w:t xml:space="preserve"> March 2019</w:t>
      </w:r>
    </w:p>
    <w:sectPr w:rsidR="00330D09"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4C1" w:rsidRDefault="008724C1" w:rsidP="008724C1">
    <w:pPr>
      <w:pStyle w:val="Header"/>
      <w:jc w:val="right"/>
    </w:pPr>
    <w:r>
      <w:t>memo-gacsb-csd-jun19item02</w:t>
    </w:r>
  </w:p>
  <w:p w:rsidR="008724C1" w:rsidRDefault="008724C1" w:rsidP="008724C1">
    <w:pPr>
      <w:pStyle w:val="Header"/>
      <w:jc w:val="right"/>
    </w:pPr>
    <w:r>
      <w:t>Attachment 69</w:t>
    </w:r>
  </w:p>
  <w:p w:rsidR="008724C1" w:rsidRDefault="008724C1" w:rsidP="008724C1">
    <w:pPr>
      <w:pStyle w:val="Header"/>
      <w:spacing w:after="100" w:afterAutospacing="1"/>
      <w:jc w:val="right"/>
    </w:pPr>
    <w:r>
      <w:t xml:space="preserve">Page </w:t>
    </w:r>
    <w:r>
      <w:fldChar w:fldCharType="begin"/>
    </w:r>
    <w:r>
      <w:instrText xml:space="preserve"> PAGE   \* MERGEFORMAT </w:instrText>
    </w:r>
    <w:r>
      <w:fldChar w:fldCharType="separate"/>
    </w:r>
    <w:r w:rsidR="00B43F4C">
      <w:rPr>
        <w:noProof/>
      </w:rPr>
      <w:t>3</w:t>
    </w:r>
    <w:r>
      <w:fldChar w:fldCharType="end"/>
    </w:r>
    <w:r>
      <w:t xml:space="preserve"> of </w:t>
    </w:r>
    <w:fldSimple w:instr=" NUMPAGES   \* MERGEFORMAT ">
      <w:r w:rsidR="00B43F4C">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6"/>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150DF"/>
    <w:rsid w:val="00047790"/>
    <w:rsid w:val="000600A8"/>
    <w:rsid w:val="00061520"/>
    <w:rsid w:val="000648C9"/>
    <w:rsid w:val="0008493B"/>
    <w:rsid w:val="00085798"/>
    <w:rsid w:val="0009138C"/>
    <w:rsid w:val="00097856"/>
    <w:rsid w:val="000B2EE0"/>
    <w:rsid w:val="000B7A34"/>
    <w:rsid w:val="000C2464"/>
    <w:rsid w:val="000D3721"/>
    <w:rsid w:val="000F3340"/>
    <w:rsid w:val="000F7D8F"/>
    <w:rsid w:val="00103647"/>
    <w:rsid w:val="001073DC"/>
    <w:rsid w:val="00112AA8"/>
    <w:rsid w:val="00116C91"/>
    <w:rsid w:val="00125396"/>
    <w:rsid w:val="001274A2"/>
    <w:rsid w:val="00131037"/>
    <w:rsid w:val="0014418A"/>
    <w:rsid w:val="001648B7"/>
    <w:rsid w:val="00167CDB"/>
    <w:rsid w:val="00172B15"/>
    <w:rsid w:val="001A08AC"/>
    <w:rsid w:val="001A75E6"/>
    <w:rsid w:val="001B1D9F"/>
    <w:rsid w:val="001C19FB"/>
    <w:rsid w:val="001E3309"/>
    <w:rsid w:val="001F1595"/>
    <w:rsid w:val="001F4827"/>
    <w:rsid w:val="0020673C"/>
    <w:rsid w:val="00207FD5"/>
    <w:rsid w:val="002170FE"/>
    <w:rsid w:val="00241991"/>
    <w:rsid w:val="00244D41"/>
    <w:rsid w:val="002452C0"/>
    <w:rsid w:val="00263D22"/>
    <w:rsid w:val="002664DF"/>
    <w:rsid w:val="00286BC4"/>
    <w:rsid w:val="002912E1"/>
    <w:rsid w:val="00295EF2"/>
    <w:rsid w:val="002A34CC"/>
    <w:rsid w:val="002A7EF9"/>
    <w:rsid w:val="002B2740"/>
    <w:rsid w:val="002B78B4"/>
    <w:rsid w:val="002C1547"/>
    <w:rsid w:val="002D4327"/>
    <w:rsid w:val="002E48CC"/>
    <w:rsid w:val="00330D09"/>
    <w:rsid w:val="00340078"/>
    <w:rsid w:val="00345824"/>
    <w:rsid w:val="0036761B"/>
    <w:rsid w:val="0037042C"/>
    <w:rsid w:val="0038323A"/>
    <w:rsid w:val="003864DD"/>
    <w:rsid w:val="00387CFD"/>
    <w:rsid w:val="00390654"/>
    <w:rsid w:val="00391ABF"/>
    <w:rsid w:val="003A6C1E"/>
    <w:rsid w:val="003B3848"/>
    <w:rsid w:val="0041470A"/>
    <w:rsid w:val="004630BA"/>
    <w:rsid w:val="00463B65"/>
    <w:rsid w:val="00472DEF"/>
    <w:rsid w:val="00476431"/>
    <w:rsid w:val="004C5721"/>
    <w:rsid w:val="004D6EFA"/>
    <w:rsid w:val="004D77AE"/>
    <w:rsid w:val="004F0F1D"/>
    <w:rsid w:val="004F11EE"/>
    <w:rsid w:val="00500CE6"/>
    <w:rsid w:val="0051245F"/>
    <w:rsid w:val="005146E7"/>
    <w:rsid w:val="00522050"/>
    <w:rsid w:val="0053009F"/>
    <w:rsid w:val="00541A13"/>
    <w:rsid w:val="00544819"/>
    <w:rsid w:val="005453B1"/>
    <w:rsid w:val="005646EC"/>
    <w:rsid w:val="00567994"/>
    <w:rsid w:val="0058057B"/>
    <w:rsid w:val="005845B2"/>
    <w:rsid w:val="00586CC0"/>
    <w:rsid w:val="00595819"/>
    <w:rsid w:val="005B1C0B"/>
    <w:rsid w:val="005B29B4"/>
    <w:rsid w:val="005C082A"/>
    <w:rsid w:val="005D5896"/>
    <w:rsid w:val="005F25C2"/>
    <w:rsid w:val="0061173E"/>
    <w:rsid w:val="0061608F"/>
    <w:rsid w:val="00626A3E"/>
    <w:rsid w:val="006343E3"/>
    <w:rsid w:val="00644F01"/>
    <w:rsid w:val="0065217B"/>
    <w:rsid w:val="00660290"/>
    <w:rsid w:val="00680BE8"/>
    <w:rsid w:val="00692276"/>
    <w:rsid w:val="006A099C"/>
    <w:rsid w:val="006C306A"/>
    <w:rsid w:val="006C6934"/>
    <w:rsid w:val="006D650D"/>
    <w:rsid w:val="006E64CE"/>
    <w:rsid w:val="007071CE"/>
    <w:rsid w:val="00746815"/>
    <w:rsid w:val="00750D21"/>
    <w:rsid w:val="00766164"/>
    <w:rsid w:val="0079101F"/>
    <w:rsid w:val="007A2FFA"/>
    <w:rsid w:val="007B0268"/>
    <w:rsid w:val="007C5E04"/>
    <w:rsid w:val="007E0133"/>
    <w:rsid w:val="007E7D26"/>
    <w:rsid w:val="00810FFF"/>
    <w:rsid w:val="00826388"/>
    <w:rsid w:val="00830896"/>
    <w:rsid w:val="008724C1"/>
    <w:rsid w:val="0087603A"/>
    <w:rsid w:val="00880337"/>
    <w:rsid w:val="00895DCD"/>
    <w:rsid w:val="008B1C80"/>
    <w:rsid w:val="008B1EB0"/>
    <w:rsid w:val="008C1D5B"/>
    <w:rsid w:val="008C5AFE"/>
    <w:rsid w:val="008C77C2"/>
    <w:rsid w:val="008D768B"/>
    <w:rsid w:val="008D7BD5"/>
    <w:rsid w:val="008E05D8"/>
    <w:rsid w:val="008E7686"/>
    <w:rsid w:val="008F4D4A"/>
    <w:rsid w:val="0092196B"/>
    <w:rsid w:val="0093048D"/>
    <w:rsid w:val="009528E4"/>
    <w:rsid w:val="00960835"/>
    <w:rsid w:val="00984E15"/>
    <w:rsid w:val="009B0B8C"/>
    <w:rsid w:val="009D10A1"/>
    <w:rsid w:val="009D596B"/>
    <w:rsid w:val="009F3028"/>
    <w:rsid w:val="00A03926"/>
    <w:rsid w:val="00A07DE3"/>
    <w:rsid w:val="00A102F6"/>
    <w:rsid w:val="00A119EF"/>
    <w:rsid w:val="00A554DA"/>
    <w:rsid w:val="00A769C3"/>
    <w:rsid w:val="00A91308"/>
    <w:rsid w:val="00A92E1C"/>
    <w:rsid w:val="00AA4FD3"/>
    <w:rsid w:val="00AA7C60"/>
    <w:rsid w:val="00AB0167"/>
    <w:rsid w:val="00AB0531"/>
    <w:rsid w:val="00AB2102"/>
    <w:rsid w:val="00AC6D88"/>
    <w:rsid w:val="00AE2F01"/>
    <w:rsid w:val="00B04898"/>
    <w:rsid w:val="00B1062A"/>
    <w:rsid w:val="00B15AE9"/>
    <w:rsid w:val="00B33553"/>
    <w:rsid w:val="00B41828"/>
    <w:rsid w:val="00B41A27"/>
    <w:rsid w:val="00B43F4C"/>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077EE"/>
    <w:rsid w:val="00C1415B"/>
    <w:rsid w:val="00C16173"/>
    <w:rsid w:val="00C36387"/>
    <w:rsid w:val="00C37E54"/>
    <w:rsid w:val="00C40A70"/>
    <w:rsid w:val="00C535A8"/>
    <w:rsid w:val="00C63C4A"/>
    <w:rsid w:val="00C72022"/>
    <w:rsid w:val="00C80FE0"/>
    <w:rsid w:val="00C81256"/>
    <w:rsid w:val="00CB27A3"/>
    <w:rsid w:val="00CB7D74"/>
    <w:rsid w:val="00CC4984"/>
    <w:rsid w:val="00CD269A"/>
    <w:rsid w:val="00CF640D"/>
    <w:rsid w:val="00D07785"/>
    <w:rsid w:val="00D1568F"/>
    <w:rsid w:val="00D15D9D"/>
    <w:rsid w:val="00D246FB"/>
    <w:rsid w:val="00D25D80"/>
    <w:rsid w:val="00D82FB8"/>
    <w:rsid w:val="00D91C03"/>
    <w:rsid w:val="00D936A2"/>
    <w:rsid w:val="00D944D2"/>
    <w:rsid w:val="00DA429D"/>
    <w:rsid w:val="00DB1668"/>
    <w:rsid w:val="00DD0CE6"/>
    <w:rsid w:val="00DD1EF1"/>
    <w:rsid w:val="00E0515B"/>
    <w:rsid w:val="00E061EF"/>
    <w:rsid w:val="00E1072B"/>
    <w:rsid w:val="00E47AD0"/>
    <w:rsid w:val="00E54891"/>
    <w:rsid w:val="00E70AFB"/>
    <w:rsid w:val="00E76B65"/>
    <w:rsid w:val="00E81F81"/>
    <w:rsid w:val="00E9105D"/>
    <w:rsid w:val="00E93479"/>
    <w:rsid w:val="00E97B86"/>
    <w:rsid w:val="00EA3BBB"/>
    <w:rsid w:val="00EA3C02"/>
    <w:rsid w:val="00EB223B"/>
    <w:rsid w:val="00EC3830"/>
    <w:rsid w:val="00ED21C4"/>
    <w:rsid w:val="00EE21D5"/>
    <w:rsid w:val="00EE7BA8"/>
    <w:rsid w:val="00F07557"/>
    <w:rsid w:val="00F10343"/>
    <w:rsid w:val="00F166C9"/>
    <w:rsid w:val="00F22E1B"/>
    <w:rsid w:val="00F256CB"/>
    <w:rsid w:val="00F268FA"/>
    <w:rsid w:val="00F30663"/>
    <w:rsid w:val="00F36ABE"/>
    <w:rsid w:val="00F372F6"/>
    <w:rsid w:val="00F50B46"/>
    <w:rsid w:val="00F72EFC"/>
    <w:rsid w:val="00F74EE8"/>
    <w:rsid w:val="00F818AE"/>
    <w:rsid w:val="00F83D63"/>
    <w:rsid w:val="00F873C8"/>
    <w:rsid w:val="00F9412E"/>
    <w:rsid w:val="00F97C43"/>
    <w:rsid w:val="00FC2577"/>
    <w:rsid w:val="00FD3A8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660290"/>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9D10A1"/>
    <w:pPr>
      <w:keepNext/>
      <w:spacing w:before="240" w:after="240"/>
      <w:jc w:val="center"/>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290"/>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9D10A1"/>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19&amp;lstDistrict=75697-000&amp;lstSchool=1996693&amp;lstSubGroup=1&amp;keywd=SCHOOL%20OF%20ARTS%20AND%20ENTERPRISE&amp;ct=2" TargetMode="External"/><Relationship Id="rId13" Type="http://schemas.openxmlformats.org/officeDocument/2006/relationships/hyperlink" Target="https://caaspp.cde.ca.gov/sb2018/ViewReport?ps=true&amp;lstTestYear=2018&amp;lstTestType=B&amp;lstCounty=19&amp;lstDistrict=75697-000&amp;lstSchool=1996693&amp;lstSubGroup=1&amp;keywd=SCHOOL%20OF%20ARTS%20AND%20ENTERPRISE&amp;ct=2" TargetMode="External"/><Relationship Id="rId3" Type="http://schemas.openxmlformats.org/officeDocument/2006/relationships/settings" Target="settings.xml"/><Relationship Id="rId7" Type="http://schemas.openxmlformats.org/officeDocument/2006/relationships/hyperlink" Target="http://www.thesae.k12.ca.us/"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19756971996693/2018" TargetMode="External"/><Relationship Id="rId14" Type="http://schemas.openxmlformats.org/officeDocument/2006/relationships/hyperlink" Target="https://www.caschooldashboard.org/reports/19756971996693/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2019 Memorandum Item 02 Attachment 69 - Information Memorandum (CA State Board of Education)</vt:lpstr>
    </vt:vector>
  </TitlesOfParts>
  <Company>California State Board of Education</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69 - Information Memorandum (CA State Board of Education)</dc:title>
  <dc:subject>School of Arts and Enterprise. Contains the letter and California Assessment of Student Performance and Progress Test Results sent by CDE.</dc:subject>
  <dc:creator/>
  <cp:keywords/>
  <dc:description/>
  <cp:lastPrinted>2018-04-13T22:28:00Z</cp:lastPrinted>
  <dcterms:created xsi:type="dcterms:W3CDTF">2019-05-24T20:19:00Z</dcterms:created>
  <dcterms:modified xsi:type="dcterms:W3CDTF">2019-08-02T23:10:00Z</dcterms:modified>
  <cp:category/>
</cp:coreProperties>
</file>